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7E77EB">
        <w:tblPrEx>
          <w:tblCellMar>
            <w:top w:w="0" w:type="dxa"/>
            <w:left w:w="0" w:type="dxa"/>
            <w:bottom w:w="0" w:type="dxa"/>
            <w:right w:w="0" w:type="dxa"/>
          </w:tblCellMar>
        </w:tblPrEx>
        <w:trPr>
          <w:wBefore w:w="0" w:type="auto"/>
          <w:tblCellSpacing w:w="0" w:type="dxa"/>
        </w:trPr>
        <w:tc>
          <w:tcPr>
            <w:tcW w:w="0" w:type="auto"/>
            <w:noWrap w:val="0"/>
            <w:vAlign w:val="center"/>
          </w:tcPr>
          <w:p w14:paraId="73F7AD1B">
            <w:bookmarkStart w:id="0" w:name="_GoBack"/>
            <w:bookmarkEnd w:id="0"/>
            <w:r>
              <w:rPr>
                <w:rStyle w:val="10"/>
                <w:rFonts w:hint="eastAsia"/>
              </w:rPr>
              <w:t>登记证号：</w:t>
            </w:r>
            <w:r>
              <w:rPr>
                <w:rFonts w:hint="eastAsia"/>
              </w:rPr>
              <w:t>PD20182726</w:t>
            </w:r>
          </w:p>
        </w:tc>
      </w:tr>
      <w:tr w14:paraId="425C190C">
        <w:tblPrEx>
          <w:tblCellMar>
            <w:top w:w="0" w:type="dxa"/>
            <w:left w:w="0" w:type="dxa"/>
            <w:bottom w:w="0" w:type="dxa"/>
            <w:right w:w="0" w:type="dxa"/>
          </w:tblCellMar>
        </w:tblPrEx>
        <w:trPr>
          <w:wBefore w:w="0" w:type="auto"/>
          <w:tblCellSpacing w:w="0" w:type="dxa"/>
        </w:trPr>
        <w:tc>
          <w:tcPr>
            <w:tcW w:w="0" w:type="auto"/>
            <w:noWrap w:val="0"/>
            <w:vAlign w:val="center"/>
          </w:tcPr>
          <w:p w14:paraId="2A20BB71">
            <w:r>
              <w:rPr>
                <w:rStyle w:val="10"/>
                <w:rFonts w:hint="eastAsia"/>
              </w:rPr>
              <w:t>登记证持有人：</w:t>
            </w:r>
            <w:r>
              <w:rPr>
                <w:rFonts w:hint="eastAsia"/>
              </w:rPr>
              <w:t>爱利思达生物化学品北美有限公司</w:t>
            </w:r>
          </w:p>
        </w:tc>
      </w:tr>
      <w:tr w14:paraId="4C142353">
        <w:tblPrEx>
          <w:tblCellMar>
            <w:top w:w="0" w:type="dxa"/>
            <w:left w:w="0" w:type="dxa"/>
            <w:bottom w:w="0" w:type="dxa"/>
            <w:right w:w="0" w:type="dxa"/>
          </w:tblCellMar>
        </w:tblPrEx>
        <w:trPr>
          <w:wBefore w:w="0" w:type="auto"/>
          <w:tblCellSpacing w:w="0" w:type="dxa"/>
        </w:trPr>
        <w:tc>
          <w:tcPr>
            <w:tcW w:w="0" w:type="auto"/>
            <w:noWrap w:val="0"/>
            <w:vAlign w:val="center"/>
          </w:tcPr>
          <w:p w14:paraId="16BC64CA">
            <w:r>
              <w:rPr>
                <w:rStyle w:val="10"/>
                <w:rFonts w:hint="eastAsia"/>
              </w:rPr>
              <w:t>农药名称：</w:t>
            </w:r>
            <w:r>
              <w:rPr>
                <w:rFonts w:hint="eastAsia"/>
              </w:rPr>
              <w:t>氟嘧·戊唑醇</w:t>
            </w:r>
          </w:p>
        </w:tc>
      </w:tr>
      <w:tr w14:paraId="4FF998CE">
        <w:tblPrEx>
          <w:tblCellMar>
            <w:top w:w="0" w:type="dxa"/>
            <w:left w:w="0" w:type="dxa"/>
            <w:bottom w:w="0" w:type="dxa"/>
            <w:right w:w="0" w:type="dxa"/>
          </w:tblCellMar>
        </w:tblPrEx>
        <w:trPr>
          <w:wBefore w:w="0" w:type="auto"/>
          <w:tblCellSpacing w:w="0" w:type="dxa"/>
        </w:trPr>
        <w:tc>
          <w:tcPr>
            <w:tcW w:w="0" w:type="auto"/>
            <w:noWrap w:val="0"/>
            <w:vAlign w:val="center"/>
          </w:tcPr>
          <w:p w14:paraId="3A5E84B6">
            <w:r>
              <w:rPr>
                <w:rStyle w:val="10"/>
                <w:rFonts w:hint="eastAsia"/>
              </w:rPr>
              <w:t>剂型：</w:t>
            </w:r>
            <w:r>
              <w:rPr>
                <w:rFonts w:hint="eastAsia"/>
              </w:rPr>
              <w:t>悬浮剂</w:t>
            </w:r>
          </w:p>
        </w:tc>
      </w:tr>
      <w:tr w14:paraId="23914029">
        <w:tblPrEx>
          <w:tblCellMar>
            <w:top w:w="0" w:type="dxa"/>
            <w:left w:w="0" w:type="dxa"/>
            <w:bottom w:w="0" w:type="dxa"/>
            <w:right w:w="0" w:type="dxa"/>
          </w:tblCellMar>
        </w:tblPrEx>
        <w:trPr>
          <w:wBefore w:w="0" w:type="auto"/>
          <w:tblCellSpacing w:w="0" w:type="dxa"/>
        </w:trPr>
        <w:tc>
          <w:tcPr>
            <w:tcW w:w="0" w:type="auto"/>
            <w:noWrap w:val="0"/>
            <w:vAlign w:val="center"/>
          </w:tcPr>
          <w:p w14:paraId="0F7CF35E">
            <w:r>
              <w:rPr>
                <w:rStyle w:val="10"/>
                <w:rFonts w:hint="eastAsia"/>
              </w:rPr>
              <w:t>毒性及其标识：</w:t>
            </w:r>
            <w:r>
              <w:rPr>
                <w:rFonts w:hint="eastAsia"/>
              </w:rPr>
              <w:t xml:space="preserve"> </w:t>
            </w:r>
            <w:r>
              <w:rPr>
                <w:lang/>
              </w:rPr>
              <w:drawing>
                <wp:inline distT="0" distB="0" distL="114300" distR="114300">
                  <wp:extent cx="476250" cy="323850"/>
                  <wp:effectExtent l="0" t="0" r="0" b="0"/>
                  <wp:docPr id="1" name="图片 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D49AB5">
        <w:tblPrEx>
          <w:tblCellMar>
            <w:top w:w="0" w:type="dxa"/>
            <w:left w:w="0" w:type="dxa"/>
            <w:bottom w:w="0" w:type="dxa"/>
            <w:right w:w="0" w:type="dxa"/>
          </w:tblCellMar>
        </w:tblPrEx>
        <w:trPr>
          <w:wBefore w:w="0" w:type="auto"/>
          <w:tblCellSpacing w:w="0" w:type="dxa"/>
        </w:trPr>
        <w:tc>
          <w:tcPr>
            <w:tcW w:w="0" w:type="auto"/>
            <w:noWrap w:val="0"/>
            <w:vAlign w:val="center"/>
          </w:tcPr>
          <w:p w14:paraId="4858DADF">
            <w:r>
              <w:rPr>
                <w:rStyle w:val="10"/>
                <w:rFonts w:hint="eastAsia"/>
              </w:rPr>
              <w:t>总有效成分含量：</w:t>
            </w:r>
            <w:r>
              <w:rPr>
                <w:rFonts w:hint="eastAsia"/>
              </w:rPr>
              <w:t>43%</w:t>
            </w:r>
          </w:p>
        </w:tc>
      </w:tr>
      <w:tr w14:paraId="68C62B0B">
        <w:tblPrEx>
          <w:tblCellMar>
            <w:top w:w="0" w:type="dxa"/>
            <w:left w:w="0" w:type="dxa"/>
            <w:bottom w:w="0" w:type="dxa"/>
            <w:right w:w="0" w:type="dxa"/>
          </w:tblCellMar>
        </w:tblPrEx>
        <w:trPr>
          <w:wBefore w:w="0" w:type="auto"/>
          <w:tblCellSpacing w:w="0" w:type="dxa"/>
        </w:trPr>
        <w:tc>
          <w:tcPr>
            <w:tcW w:w="0" w:type="auto"/>
            <w:noWrap w:val="0"/>
            <w:vAlign w:val="center"/>
          </w:tcPr>
          <w:p w14:paraId="5F5AB939">
            <w:r>
              <w:rPr>
                <w:rFonts w:hint="eastAsia"/>
              </w:rPr>
              <w:t xml:space="preserve">有效成分及其含量： </w:t>
            </w:r>
          </w:p>
          <w:p w14:paraId="592E19F1">
            <w:r>
              <w:rPr>
                <w:rFonts w:hint="eastAsia"/>
              </w:rPr>
              <w:t xml:space="preserve">    戊唑醇25%    氟嘧菌酯18%    </w:t>
            </w:r>
          </w:p>
        </w:tc>
      </w:tr>
      <w:tr w14:paraId="1298C8DF">
        <w:tblPrEx>
          <w:tblCellMar>
            <w:top w:w="0" w:type="dxa"/>
            <w:left w:w="0" w:type="dxa"/>
            <w:bottom w:w="0" w:type="dxa"/>
            <w:right w:w="0" w:type="dxa"/>
          </w:tblCellMar>
        </w:tblPrEx>
        <w:trPr>
          <w:wBefore w:w="0" w:type="auto"/>
          <w:tblCellSpacing w:w="0" w:type="dxa"/>
        </w:trPr>
        <w:tc>
          <w:tcPr>
            <w:tcW w:w="0" w:type="auto"/>
            <w:noWrap w:val="0"/>
            <w:vAlign w:val="center"/>
          </w:tcPr>
          <w:p w14:paraId="1EF690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9"/>
            </w:tblGrid>
            <w:tr w14:paraId="65AE5A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29EC3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214F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0EE5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629B36">
                  <w:r>
                    <w:rPr>
                      <w:rStyle w:val="11"/>
                      <w:rFonts w:hint="eastAsia"/>
                    </w:rPr>
                    <w:t>施用方式</w:t>
                  </w:r>
                </w:p>
              </w:tc>
            </w:tr>
            <w:tr w14:paraId="05074E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0D3937">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5B1031">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1E4E09">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573A28">
                  <w:r>
                    <w:rPr>
                      <w:rStyle w:val="11"/>
                      <w:rFonts w:hint="eastAsia"/>
                    </w:rPr>
                    <w:t>喷雾</w:t>
                  </w:r>
                </w:p>
              </w:tc>
            </w:tr>
          </w:tbl>
          <w:p w14:paraId="51AA37DD">
            <w:pPr>
              <w:rPr>
                <w:rFonts w:ascii="Times New Roman" w:hAnsi="Times New Roman" w:cs="Times New Roman"/>
                <w:sz w:val="20"/>
                <w:szCs w:val="20"/>
              </w:rPr>
            </w:pPr>
          </w:p>
        </w:tc>
      </w:tr>
      <w:tr w14:paraId="4D38D8D0">
        <w:tblPrEx>
          <w:tblCellMar>
            <w:top w:w="0" w:type="dxa"/>
            <w:left w:w="0" w:type="dxa"/>
            <w:bottom w:w="0" w:type="dxa"/>
            <w:right w:w="0" w:type="dxa"/>
          </w:tblCellMar>
        </w:tblPrEx>
        <w:trPr>
          <w:wBefore w:w="0" w:type="auto"/>
          <w:tblCellSpacing w:w="0" w:type="dxa"/>
        </w:trPr>
        <w:tc>
          <w:tcPr>
            <w:tcW w:w="0" w:type="auto"/>
            <w:noWrap w:val="0"/>
            <w:vAlign w:val="center"/>
          </w:tcPr>
          <w:p w14:paraId="24E8BD9C">
            <w:r>
              <w:rPr>
                <w:rStyle w:val="10"/>
                <w:rFonts w:hint="eastAsia"/>
              </w:rPr>
              <w:t>使用技术要求:</w:t>
            </w:r>
            <w:r>
              <w:rPr>
                <w:rFonts w:hint="eastAsia"/>
              </w:rPr>
              <w:br w:type="textWrapping"/>
            </w:r>
            <w:r>
              <w:rPr>
                <w:rStyle w:val="11"/>
                <w:rFonts w:hint="eastAsia"/>
              </w:rPr>
              <w:t>发病前或始见零星病斑时第一次施药。视天气条件及病情发展，间隔7-10天再喷施1~2次。可与戊唑醇、氟环唑等三唑类药剂轮换使用。氟吡菌胺与其他杀菌剂混用每年施药不超过6次。在黄瓜上，每季作物最多使用次数3次，安全间隔期1天；在玉米上，每季作物最多使用次数3次，安全间隔期21天。</w:t>
            </w:r>
          </w:p>
        </w:tc>
      </w:tr>
      <w:tr w14:paraId="7DBE5C33">
        <w:tblPrEx>
          <w:tblCellMar>
            <w:top w:w="0" w:type="dxa"/>
            <w:left w:w="0" w:type="dxa"/>
            <w:bottom w:w="0" w:type="dxa"/>
            <w:right w:w="0" w:type="dxa"/>
          </w:tblCellMar>
        </w:tblPrEx>
        <w:trPr>
          <w:wBefore w:w="0" w:type="auto"/>
          <w:tblCellSpacing w:w="0" w:type="dxa"/>
        </w:trPr>
        <w:tc>
          <w:tcPr>
            <w:tcW w:w="0" w:type="auto"/>
            <w:noWrap w:val="0"/>
            <w:vAlign w:val="center"/>
          </w:tcPr>
          <w:p w14:paraId="7725A54B">
            <w:r>
              <w:rPr>
                <w:rStyle w:val="10"/>
                <w:rFonts w:hint="eastAsia"/>
              </w:rPr>
              <w:t>产品性能:</w:t>
            </w:r>
            <w:r>
              <w:rPr>
                <w:rFonts w:hint="eastAsia"/>
              </w:rPr>
              <w:br w:type="textWrapping"/>
            </w:r>
            <w:r>
              <w:rPr>
                <w:rStyle w:val="11"/>
                <w:rFonts w:hint="eastAsia"/>
              </w:rPr>
              <w:t xml:space="preserve">本品为氟嘧菌酯和戊唑醇的混剂。氟嘧菌酯为第三代甲氧基丙烯酸酯类广谱杀菌剂，既可以抑制孢子萌发，也可以抑制菌丝生长；戊唑醇为三唑类杀菌剂，可有效地抑制菌丝发展。两者的混剂可以扩大杀菌谱，延缓抗性的发展，同时具有预防和治疗作用。 </w:t>
            </w:r>
          </w:p>
        </w:tc>
      </w:tr>
      <w:tr w14:paraId="0918F9B8">
        <w:tblPrEx>
          <w:tblCellMar>
            <w:top w:w="0" w:type="dxa"/>
            <w:left w:w="0" w:type="dxa"/>
            <w:bottom w:w="0" w:type="dxa"/>
            <w:right w:w="0" w:type="dxa"/>
          </w:tblCellMar>
        </w:tblPrEx>
        <w:trPr>
          <w:wBefore w:w="0" w:type="auto"/>
          <w:tblCellSpacing w:w="0" w:type="dxa"/>
        </w:trPr>
        <w:tc>
          <w:tcPr>
            <w:tcW w:w="0" w:type="auto"/>
            <w:noWrap w:val="0"/>
            <w:vAlign w:val="center"/>
          </w:tcPr>
          <w:p w14:paraId="0B16150D">
            <w:r>
              <w:rPr>
                <w:rStyle w:val="10"/>
                <w:rFonts w:hint="eastAsia"/>
              </w:rPr>
              <w:t>注意事项：</w:t>
            </w:r>
            <w:r>
              <w:rPr>
                <w:rFonts w:hint="eastAsia"/>
              </w:rPr>
              <w:br w:type="textWrapping"/>
            </w:r>
            <w:r>
              <w:rPr>
                <w:rStyle w:val="11"/>
                <w:rFonts w:hint="eastAsia"/>
              </w:rPr>
              <w:t>1. 操作本品时应注意人员安全防护，穿戴长衣、长裤、帽子、口罩、手套等防护措施，避免药剂接触皮肤和眼睛。操作过程中禁止饮水、吸烟或进食。操作完毕应及时洗手洗脸。2. 避免孕妇及哺乳期的妇女接触。3. 农药废弃物处置：用过的容器应妥善处理，不可做他用，也不可随意丢弃。清洗器具的废水不能排入河流、池塘等水源。推荐的处置废弃物的方式是焚烧，请按照当地法规处置。4. 灭火措施：适用灭火剂为水雾、泡沫、二氧化碳、干化学粉。5. 如有泄漏，用惰性吸附材料或真空收集器收集泄漏物，将吸附材料或泄漏物收集到封闭的容器内。6. 本品对水生生物有毒，远离水产养殖区，河塘等水体施药。禁止在河塘等水域清洗施药器具。蚕室及桑园附近禁用，赤眼蜂等天敌放飞区域禁用。7. 本品对眼睛、皮肤有刺激性，使用时避免药液接触眼睛和皮肤。8. 使用时注意对鸟类的保护，尽量避开鸟类活动区域；鸟类保护区附近禁用；田间使用中注意采用常规的物理驱鸟措施。9.</w:t>
            </w:r>
          </w:p>
        </w:tc>
      </w:tr>
      <w:tr w14:paraId="4482F5C1">
        <w:tblPrEx>
          <w:tblCellMar>
            <w:top w:w="0" w:type="dxa"/>
            <w:left w:w="0" w:type="dxa"/>
            <w:bottom w:w="0" w:type="dxa"/>
            <w:right w:w="0" w:type="dxa"/>
          </w:tblCellMar>
        </w:tblPrEx>
        <w:trPr>
          <w:wBefore w:w="0" w:type="auto"/>
          <w:tblCellSpacing w:w="0" w:type="dxa"/>
        </w:trPr>
        <w:tc>
          <w:tcPr>
            <w:tcW w:w="0" w:type="auto"/>
            <w:noWrap w:val="0"/>
            <w:vAlign w:val="center"/>
          </w:tcPr>
          <w:p w14:paraId="18EDB59E">
            <w:r>
              <w:rPr>
                <w:rStyle w:val="10"/>
                <w:rFonts w:hint="eastAsia"/>
              </w:rPr>
              <w:t>中毒急救措施：</w:t>
            </w:r>
            <w:r>
              <w:rPr>
                <w:rFonts w:hint="eastAsia"/>
              </w:rPr>
              <w:br w:type="textWrapping"/>
            </w:r>
            <w:r>
              <w:rPr>
                <w:rStyle w:val="11"/>
                <w:rFonts w:hint="eastAsia"/>
              </w:rPr>
              <w:t>不慎吸入：移至空气清鲜处，若停止呼吸，立即拨打急救电话。不慎接触皮肤：脱去污染的衣服，用肥皂和水彻底清洗受污染的部位。如果不适持续，寻求医疗救助。误入眼睛：保持眼睛睁开，轻轻地用清水冲洗15-20分钟。若戴隐形眼镜，在开始冲洗的5分钟后取下隐形眼镜，然后继续冲洗眼睛。呼叫中毒控制中心或向医生寻求治疗建议。不慎食入：呼叫医生或中毒控制中心立即寻求治疗建议。若病人能吞咽，饮用少量水。除非有医生或中毒控制中心告知，否则不要催吐。不要给昏迷的人口服任何东西。给医生的提示：对症治疗。</w:t>
            </w:r>
          </w:p>
        </w:tc>
      </w:tr>
      <w:tr w14:paraId="48B9C5D2">
        <w:tblPrEx>
          <w:tblCellMar>
            <w:top w:w="0" w:type="dxa"/>
            <w:left w:w="0" w:type="dxa"/>
            <w:bottom w:w="0" w:type="dxa"/>
            <w:right w:w="0" w:type="dxa"/>
          </w:tblCellMar>
        </w:tblPrEx>
        <w:trPr>
          <w:wBefore w:w="0" w:type="auto"/>
          <w:tblCellSpacing w:w="0" w:type="dxa"/>
        </w:trPr>
        <w:tc>
          <w:tcPr>
            <w:tcW w:w="0" w:type="auto"/>
            <w:noWrap w:val="0"/>
            <w:vAlign w:val="center"/>
          </w:tcPr>
          <w:p w14:paraId="42486EC8">
            <w:r>
              <w:rPr>
                <w:rStyle w:val="10"/>
                <w:rFonts w:hint="eastAsia"/>
              </w:rPr>
              <w:t>储存和运输方法：</w:t>
            </w:r>
            <w:r>
              <w:rPr>
                <w:rFonts w:hint="eastAsia"/>
              </w:rPr>
              <w:br w:type="textWrapping"/>
            </w:r>
            <w:r>
              <w:rPr>
                <w:rStyle w:val="11"/>
                <w:rFonts w:hint="eastAsia"/>
              </w:rPr>
              <w:t>需储藏于阴凉干燥通风之处，置于儿童、无关人员接触不到之处，并加锁，并远离水源和火源；不得与食物、种子、饮料、粮食、饲料混放和混运。</w:t>
            </w:r>
          </w:p>
        </w:tc>
      </w:tr>
      <w:tr w14:paraId="317A3439">
        <w:tblPrEx>
          <w:tblCellMar>
            <w:top w:w="0" w:type="dxa"/>
            <w:left w:w="0" w:type="dxa"/>
            <w:bottom w:w="0" w:type="dxa"/>
            <w:right w:w="0" w:type="dxa"/>
          </w:tblCellMar>
        </w:tblPrEx>
        <w:trPr>
          <w:wBefore w:w="0" w:type="auto"/>
          <w:tblCellSpacing w:w="0" w:type="dxa"/>
        </w:trPr>
        <w:tc>
          <w:tcPr>
            <w:tcW w:w="0" w:type="auto"/>
            <w:noWrap w:val="0"/>
            <w:vAlign w:val="center"/>
          </w:tcPr>
          <w:p w14:paraId="6309C7E7">
            <w:r>
              <w:rPr>
                <w:rStyle w:val="10"/>
                <w:rFonts w:hint="eastAsia"/>
              </w:rPr>
              <w:t>质量保证期：</w:t>
            </w:r>
            <w:r>
              <w:rPr>
                <w:rStyle w:val="11"/>
                <w:rFonts w:hint="eastAsia"/>
              </w:rPr>
              <w:t>2年</w:t>
            </w:r>
          </w:p>
        </w:tc>
      </w:tr>
      <w:tr w14:paraId="440AED3D">
        <w:tblPrEx>
          <w:tblCellMar>
            <w:top w:w="0" w:type="dxa"/>
            <w:left w:w="0" w:type="dxa"/>
            <w:bottom w:w="0" w:type="dxa"/>
            <w:right w:w="0" w:type="dxa"/>
          </w:tblCellMar>
        </w:tblPrEx>
        <w:trPr>
          <w:wBefore w:w="0" w:type="auto"/>
          <w:tblCellSpacing w:w="0" w:type="dxa"/>
        </w:trPr>
        <w:tc>
          <w:tcPr>
            <w:tcW w:w="0" w:type="auto"/>
            <w:noWrap w:val="0"/>
            <w:vAlign w:val="center"/>
          </w:tcPr>
          <w:p w14:paraId="03A8369F">
            <w:r>
              <w:rPr>
                <w:rStyle w:val="10"/>
                <w:rFonts w:hint="eastAsia"/>
              </w:rPr>
              <w:t>备注：</w:t>
            </w:r>
          </w:p>
        </w:tc>
      </w:tr>
    </w:tbl>
    <w:p w14:paraId="0D492B63"/>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32F6D8">
        <w:tblPrEx>
          <w:tblCellMar>
            <w:top w:w="0" w:type="dxa"/>
            <w:left w:w="0" w:type="dxa"/>
            <w:bottom w:w="0" w:type="dxa"/>
            <w:right w:w="0" w:type="dxa"/>
          </w:tblCellMar>
        </w:tblPrEx>
        <w:trPr>
          <w:wBefore w:w="0" w:type="auto"/>
          <w:tblCellSpacing w:w="0" w:type="dxa"/>
        </w:trPr>
        <w:tc>
          <w:tcPr>
            <w:tcW w:w="0" w:type="auto"/>
            <w:noWrap w:val="0"/>
            <w:vAlign w:val="center"/>
          </w:tcPr>
          <w:p w14:paraId="30022D76">
            <w:r>
              <w:rPr>
                <w:rStyle w:val="10"/>
                <w:rFonts w:hint="eastAsia"/>
              </w:rPr>
              <w:t>登记证号：</w:t>
            </w:r>
            <w:r>
              <w:rPr>
                <w:rFonts w:hint="eastAsia"/>
              </w:rPr>
              <w:t>PD20183616</w:t>
            </w:r>
          </w:p>
        </w:tc>
      </w:tr>
      <w:tr w14:paraId="34DC4B89">
        <w:tblPrEx>
          <w:tblCellMar>
            <w:top w:w="0" w:type="dxa"/>
            <w:left w:w="0" w:type="dxa"/>
            <w:bottom w:w="0" w:type="dxa"/>
            <w:right w:w="0" w:type="dxa"/>
          </w:tblCellMar>
        </w:tblPrEx>
        <w:trPr>
          <w:wBefore w:w="0" w:type="auto"/>
          <w:tblCellSpacing w:w="0" w:type="dxa"/>
        </w:trPr>
        <w:tc>
          <w:tcPr>
            <w:tcW w:w="0" w:type="auto"/>
            <w:noWrap w:val="0"/>
            <w:vAlign w:val="center"/>
          </w:tcPr>
          <w:p w14:paraId="2067CDD4">
            <w:r>
              <w:rPr>
                <w:rStyle w:val="10"/>
                <w:rFonts w:hint="eastAsia"/>
              </w:rPr>
              <w:t>登记证持有人：</w:t>
            </w:r>
            <w:r>
              <w:rPr>
                <w:rFonts w:hint="eastAsia"/>
              </w:rPr>
              <w:t>涿州拜奥威生物科技有限公司</w:t>
            </w:r>
          </w:p>
        </w:tc>
      </w:tr>
      <w:tr w14:paraId="3767DBF0">
        <w:tblPrEx>
          <w:tblCellMar>
            <w:top w:w="0" w:type="dxa"/>
            <w:left w:w="0" w:type="dxa"/>
            <w:bottom w:w="0" w:type="dxa"/>
            <w:right w:w="0" w:type="dxa"/>
          </w:tblCellMar>
        </w:tblPrEx>
        <w:trPr>
          <w:wBefore w:w="0" w:type="auto"/>
          <w:tblCellSpacing w:w="0" w:type="dxa"/>
        </w:trPr>
        <w:tc>
          <w:tcPr>
            <w:tcW w:w="0" w:type="auto"/>
            <w:noWrap w:val="0"/>
            <w:vAlign w:val="center"/>
          </w:tcPr>
          <w:p w14:paraId="38083E60">
            <w:r>
              <w:rPr>
                <w:rStyle w:val="10"/>
                <w:rFonts w:hint="eastAsia"/>
              </w:rPr>
              <w:t>农药名称：</w:t>
            </w:r>
            <w:r>
              <w:rPr>
                <w:rFonts w:hint="eastAsia"/>
              </w:rPr>
              <w:t>百菌清</w:t>
            </w:r>
          </w:p>
        </w:tc>
      </w:tr>
      <w:tr w14:paraId="103A2CE3">
        <w:tblPrEx>
          <w:tblCellMar>
            <w:top w:w="0" w:type="dxa"/>
            <w:left w:w="0" w:type="dxa"/>
            <w:bottom w:w="0" w:type="dxa"/>
            <w:right w:w="0" w:type="dxa"/>
          </w:tblCellMar>
        </w:tblPrEx>
        <w:trPr>
          <w:wBefore w:w="0" w:type="auto"/>
          <w:tblCellSpacing w:w="0" w:type="dxa"/>
        </w:trPr>
        <w:tc>
          <w:tcPr>
            <w:tcW w:w="0" w:type="auto"/>
            <w:noWrap w:val="0"/>
            <w:vAlign w:val="center"/>
          </w:tcPr>
          <w:p w14:paraId="53914F24">
            <w:r>
              <w:rPr>
                <w:rStyle w:val="10"/>
                <w:rFonts w:hint="eastAsia"/>
              </w:rPr>
              <w:t>剂型：</w:t>
            </w:r>
            <w:r>
              <w:rPr>
                <w:rFonts w:hint="eastAsia"/>
              </w:rPr>
              <w:t>悬浮剂</w:t>
            </w:r>
          </w:p>
        </w:tc>
      </w:tr>
      <w:tr w14:paraId="1EBC3F3C">
        <w:tblPrEx>
          <w:tblCellMar>
            <w:top w:w="0" w:type="dxa"/>
            <w:left w:w="0" w:type="dxa"/>
            <w:bottom w:w="0" w:type="dxa"/>
            <w:right w:w="0" w:type="dxa"/>
          </w:tblCellMar>
        </w:tblPrEx>
        <w:trPr>
          <w:wBefore w:w="0" w:type="auto"/>
          <w:tblCellSpacing w:w="0" w:type="dxa"/>
        </w:trPr>
        <w:tc>
          <w:tcPr>
            <w:tcW w:w="0" w:type="auto"/>
            <w:noWrap w:val="0"/>
            <w:vAlign w:val="center"/>
          </w:tcPr>
          <w:p w14:paraId="19DE6E97">
            <w:r>
              <w:rPr>
                <w:rStyle w:val="10"/>
                <w:rFonts w:hint="eastAsia"/>
              </w:rPr>
              <w:t>毒性及其标识：</w:t>
            </w:r>
            <w:r>
              <w:rPr>
                <w:rFonts w:hint="eastAsia"/>
              </w:rPr>
              <w:t xml:space="preserve"> </w:t>
            </w:r>
            <w:r>
              <w:rPr>
                <w:lang/>
              </w:rPr>
              <w:drawing>
                <wp:inline distT="0" distB="0" distL="114300" distR="114300">
                  <wp:extent cx="476250" cy="323850"/>
                  <wp:effectExtent l="0" t="0" r="0" b="0"/>
                  <wp:docPr id="2" name="图片 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16D594">
        <w:tblPrEx>
          <w:tblCellMar>
            <w:top w:w="0" w:type="dxa"/>
            <w:left w:w="0" w:type="dxa"/>
            <w:bottom w:w="0" w:type="dxa"/>
            <w:right w:w="0" w:type="dxa"/>
          </w:tblCellMar>
        </w:tblPrEx>
        <w:trPr>
          <w:wBefore w:w="0" w:type="auto"/>
          <w:tblCellSpacing w:w="0" w:type="dxa"/>
        </w:trPr>
        <w:tc>
          <w:tcPr>
            <w:tcW w:w="0" w:type="auto"/>
            <w:noWrap w:val="0"/>
            <w:vAlign w:val="center"/>
          </w:tcPr>
          <w:p w14:paraId="4F2A46B3">
            <w:r>
              <w:rPr>
                <w:rStyle w:val="10"/>
                <w:rFonts w:hint="eastAsia"/>
              </w:rPr>
              <w:t>总有效成分含量：</w:t>
            </w:r>
            <w:r>
              <w:rPr>
                <w:rFonts w:hint="eastAsia"/>
              </w:rPr>
              <w:t>40%</w:t>
            </w:r>
          </w:p>
        </w:tc>
      </w:tr>
      <w:tr w14:paraId="62F4D3B5">
        <w:tblPrEx>
          <w:tblCellMar>
            <w:top w:w="0" w:type="dxa"/>
            <w:left w:w="0" w:type="dxa"/>
            <w:bottom w:w="0" w:type="dxa"/>
            <w:right w:w="0" w:type="dxa"/>
          </w:tblCellMar>
        </w:tblPrEx>
        <w:trPr>
          <w:wBefore w:w="0" w:type="auto"/>
          <w:tblCellSpacing w:w="0" w:type="dxa"/>
        </w:trPr>
        <w:tc>
          <w:tcPr>
            <w:tcW w:w="0" w:type="auto"/>
            <w:noWrap w:val="0"/>
            <w:vAlign w:val="center"/>
          </w:tcPr>
          <w:p w14:paraId="324E8CF0">
            <w:r>
              <w:rPr>
                <w:rFonts w:hint="eastAsia"/>
              </w:rPr>
              <w:t xml:space="preserve">有效成分及其含量： </w:t>
            </w:r>
          </w:p>
          <w:p w14:paraId="791922B7">
            <w:r>
              <w:rPr>
                <w:rFonts w:hint="eastAsia"/>
              </w:rPr>
              <w:t xml:space="preserve">    百菌清40%    </w:t>
            </w:r>
          </w:p>
        </w:tc>
      </w:tr>
      <w:tr w14:paraId="4E6F0D4D">
        <w:tblPrEx>
          <w:tblCellMar>
            <w:top w:w="0" w:type="dxa"/>
            <w:left w:w="0" w:type="dxa"/>
            <w:bottom w:w="0" w:type="dxa"/>
            <w:right w:w="0" w:type="dxa"/>
          </w:tblCellMar>
        </w:tblPrEx>
        <w:trPr>
          <w:wBefore w:w="0" w:type="auto"/>
          <w:tblCellSpacing w:w="0" w:type="dxa"/>
        </w:trPr>
        <w:tc>
          <w:tcPr>
            <w:tcW w:w="0" w:type="auto"/>
            <w:noWrap w:val="0"/>
            <w:vAlign w:val="center"/>
          </w:tcPr>
          <w:p w14:paraId="6FF40E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9"/>
            </w:tblGrid>
            <w:tr w14:paraId="54EA0C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F5AF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2B74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5C3E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539153">
                  <w:r>
                    <w:rPr>
                      <w:rStyle w:val="11"/>
                      <w:rFonts w:hint="eastAsia"/>
                    </w:rPr>
                    <w:t>施用方式</w:t>
                  </w:r>
                </w:p>
              </w:tc>
            </w:tr>
            <w:tr w14:paraId="4E52F1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A0E8D4">
                  <w:r>
                    <w:rPr>
                      <w:rStyle w:val="11"/>
                      <w:rFonts w:hint="eastAsia"/>
                    </w:rPr>
                    <w:t>草坪</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66F66F">
                  <w:r>
                    <w:rPr>
                      <w:rStyle w:val="11"/>
                      <w:rFonts w:hint="eastAsia"/>
                    </w:rPr>
                    <w:t>褐斑病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2F2C04">
                  <w:r>
                    <w:rPr>
                      <w:rStyle w:val="11"/>
                      <w:rFonts w:hint="eastAsia"/>
                    </w:rPr>
                    <w:t>160-240毫升/亩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D8EB88">
                  <w:r>
                    <w:rPr>
                      <w:rStyle w:val="11"/>
                      <w:rFonts w:hint="eastAsia"/>
                    </w:rPr>
                    <w:t>喷雾</w:t>
                  </w:r>
                </w:p>
              </w:tc>
            </w:tr>
          </w:tbl>
          <w:p w14:paraId="39554FDB">
            <w:pPr>
              <w:rPr>
                <w:rFonts w:ascii="Times New Roman" w:hAnsi="Times New Roman" w:cs="Times New Roman"/>
                <w:sz w:val="20"/>
                <w:szCs w:val="20"/>
              </w:rPr>
            </w:pPr>
          </w:p>
        </w:tc>
      </w:tr>
      <w:tr w14:paraId="735E5D5A">
        <w:tblPrEx>
          <w:tblCellMar>
            <w:top w:w="0" w:type="dxa"/>
            <w:left w:w="0" w:type="dxa"/>
            <w:bottom w:w="0" w:type="dxa"/>
            <w:right w:w="0" w:type="dxa"/>
          </w:tblCellMar>
        </w:tblPrEx>
        <w:trPr>
          <w:wBefore w:w="0" w:type="auto"/>
          <w:tblCellSpacing w:w="0" w:type="dxa"/>
        </w:trPr>
        <w:tc>
          <w:tcPr>
            <w:tcW w:w="0" w:type="auto"/>
            <w:noWrap w:val="0"/>
            <w:vAlign w:val="center"/>
          </w:tcPr>
          <w:p w14:paraId="6FED6865">
            <w:r>
              <w:rPr>
                <w:rStyle w:val="10"/>
                <w:rFonts w:hint="eastAsia"/>
              </w:rPr>
              <w:t>使用技术要求:</w:t>
            </w:r>
            <w:r>
              <w:rPr>
                <w:rFonts w:hint="eastAsia"/>
              </w:rPr>
              <w:br w:type="textWrapping"/>
            </w:r>
            <w:r>
              <w:rPr>
                <w:rStyle w:val="11"/>
                <w:rFonts w:hint="eastAsia"/>
              </w:rPr>
              <w:t>1、黄瓜霜霉病发病初期（或发病前）施药，每次施药间隔7-10天，每季作物最多施药2次，安全间隔期为3天。2、在草坪褐斑病发病前或发病初期施药，施药2次，间隔7-10天。3、大风天或预计1小时内降雨，请勿施药。</w:t>
            </w:r>
          </w:p>
        </w:tc>
      </w:tr>
      <w:tr w14:paraId="584EC640">
        <w:tblPrEx>
          <w:tblCellMar>
            <w:top w:w="0" w:type="dxa"/>
            <w:left w:w="0" w:type="dxa"/>
            <w:bottom w:w="0" w:type="dxa"/>
            <w:right w:w="0" w:type="dxa"/>
          </w:tblCellMar>
        </w:tblPrEx>
        <w:trPr>
          <w:wBefore w:w="0" w:type="auto"/>
          <w:tblCellSpacing w:w="0" w:type="dxa"/>
        </w:trPr>
        <w:tc>
          <w:tcPr>
            <w:tcW w:w="0" w:type="auto"/>
            <w:noWrap w:val="0"/>
            <w:vAlign w:val="center"/>
          </w:tcPr>
          <w:p w14:paraId="5E38F18E">
            <w:r>
              <w:rPr>
                <w:rStyle w:val="10"/>
                <w:rFonts w:hint="eastAsia"/>
              </w:rPr>
              <w:t>产品性能:</w:t>
            </w:r>
            <w:r>
              <w:rPr>
                <w:rFonts w:hint="eastAsia"/>
              </w:rPr>
              <w:br w:type="textWrapping"/>
            </w:r>
            <w:r>
              <w:rPr>
                <w:rStyle w:val="11"/>
                <w:rFonts w:hint="eastAsia"/>
              </w:rPr>
              <w:t>百菌清为保护性杀菌剂，能有效防止病原真菌的侵染为害。能有效防治黄瓜霜霉病和草坪褐斑病。</w:t>
            </w:r>
          </w:p>
        </w:tc>
      </w:tr>
      <w:tr w14:paraId="59BDC01E">
        <w:tblPrEx>
          <w:tblCellMar>
            <w:top w:w="0" w:type="dxa"/>
            <w:left w:w="0" w:type="dxa"/>
            <w:bottom w:w="0" w:type="dxa"/>
            <w:right w:w="0" w:type="dxa"/>
          </w:tblCellMar>
        </w:tblPrEx>
        <w:trPr>
          <w:wBefore w:w="0" w:type="auto"/>
          <w:tblCellSpacing w:w="0" w:type="dxa"/>
        </w:trPr>
        <w:tc>
          <w:tcPr>
            <w:tcW w:w="0" w:type="auto"/>
            <w:noWrap w:val="0"/>
            <w:vAlign w:val="center"/>
          </w:tcPr>
          <w:p w14:paraId="6E111400">
            <w:r>
              <w:rPr>
                <w:rStyle w:val="10"/>
                <w:rFonts w:hint="eastAsia"/>
              </w:rPr>
              <w:t>注意事项：</w:t>
            </w:r>
            <w:r>
              <w:rPr>
                <w:rFonts w:hint="eastAsia"/>
              </w:rPr>
              <w:br w:type="textWrapping"/>
            </w:r>
            <w:r>
              <w:rPr>
                <w:rStyle w:val="11"/>
                <w:rFonts w:hint="eastAsia"/>
              </w:rPr>
              <w:t>1、对鱼类等水生生物有毒，水产养殖区、河塘等水体附近禁用，禁止在河塘等水域中清洗施药器具，药液及其废液不能污染各类水域、土壤等环境。2.不能与石硫合剂、波尔多液等强碱性农药物质混用。3、使用本品时应穿戴防护服,避免吸入药液，施药时不可吃东西和饮水，施药后应及时洗手、洗脸。4、建议与其它不同作用机制的杀菌剂轮换使用。5、用过的容器应妥善处理，不可做他用，也不可随意丢弃。6、避免孕妇及哺乳期妇女接触。</w:t>
            </w:r>
          </w:p>
        </w:tc>
      </w:tr>
      <w:tr w14:paraId="15C61D54">
        <w:tblPrEx>
          <w:tblCellMar>
            <w:top w:w="0" w:type="dxa"/>
            <w:left w:w="0" w:type="dxa"/>
            <w:bottom w:w="0" w:type="dxa"/>
            <w:right w:w="0" w:type="dxa"/>
          </w:tblCellMar>
        </w:tblPrEx>
        <w:trPr>
          <w:wBefore w:w="0" w:type="auto"/>
          <w:tblCellSpacing w:w="0" w:type="dxa"/>
        </w:trPr>
        <w:tc>
          <w:tcPr>
            <w:tcW w:w="0" w:type="auto"/>
            <w:noWrap w:val="0"/>
            <w:vAlign w:val="center"/>
          </w:tcPr>
          <w:p w14:paraId="57B42314">
            <w:r>
              <w:rPr>
                <w:rStyle w:val="10"/>
                <w:rFonts w:hint="eastAsia"/>
              </w:rPr>
              <w:t>中毒急救措施：</w:t>
            </w:r>
            <w:r>
              <w:rPr>
                <w:rFonts w:hint="eastAsia"/>
              </w:rPr>
              <w:br w:type="textWrapping"/>
            </w:r>
            <w:r>
              <w:rPr>
                <w:rStyle w:val="11"/>
                <w:rFonts w:hint="eastAsia"/>
              </w:rPr>
              <w:t>对皮肤、眼睛有刺激作用，使用时避免接触眼睛、皮肤。中毒急救：1.用药时如果感觉不适，请立即停止工作，采取急救措施，并携此标签送医就诊。2.皮肤接触：立即脱掉被污染的衣物，用肥皂和大量清水彻底清洗受污染的皮肤。如果皮肤发炎，请医生诊治。3.眼睛溅药：立即将眼睑翻开，用清水冲洗15分钟，再请医生诊治。4.发生吸入：立即将吸入者转移到空气新鲜处，注意保暖和休息，请医生诊治。5.误服：应立即催吐、洗胃并携此标签送医就诊。洗胃时防止胃残余物进入呼吸道。如果病人已昏迷，切勿经口喂入东西或引吐。6.中毒时，请拨打中国疾控中心中毒控制中心咨询热线400-650-5826.</w:t>
            </w:r>
          </w:p>
        </w:tc>
      </w:tr>
      <w:tr w14:paraId="6E046FA6">
        <w:tblPrEx>
          <w:tblCellMar>
            <w:top w:w="0" w:type="dxa"/>
            <w:left w:w="0" w:type="dxa"/>
            <w:bottom w:w="0" w:type="dxa"/>
            <w:right w:w="0" w:type="dxa"/>
          </w:tblCellMar>
        </w:tblPrEx>
        <w:trPr>
          <w:wBefore w:w="0" w:type="auto"/>
          <w:tblCellSpacing w:w="0" w:type="dxa"/>
        </w:trPr>
        <w:tc>
          <w:tcPr>
            <w:tcW w:w="0" w:type="auto"/>
            <w:noWrap w:val="0"/>
            <w:vAlign w:val="center"/>
          </w:tcPr>
          <w:p w14:paraId="42FCD859">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本品应贮存在干燥、阴凉、通风、防雨处，远离火源或热源。置于儿童触及不到之处，并加锁。勿与食品、饮料、饲料、粮食等其他商品同贮同运。</w:t>
            </w:r>
          </w:p>
        </w:tc>
      </w:tr>
      <w:tr w14:paraId="44D18748">
        <w:tblPrEx>
          <w:tblCellMar>
            <w:top w:w="0" w:type="dxa"/>
            <w:left w:w="0" w:type="dxa"/>
            <w:bottom w:w="0" w:type="dxa"/>
            <w:right w:w="0" w:type="dxa"/>
          </w:tblCellMar>
        </w:tblPrEx>
        <w:trPr>
          <w:wBefore w:w="0" w:type="auto"/>
          <w:tblCellSpacing w:w="0" w:type="dxa"/>
        </w:trPr>
        <w:tc>
          <w:tcPr>
            <w:tcW w:w="0" w:type="auto"/>
            <w:noWrap w:val="0"/>
            <w:vAlign w:val="center"/>
          </w:tcPr>
          <w:p w14:paraId="53F49350">
            <w:r>
              <w:rPr>
                <w:rStyle w:val="10"/>
                <w:rFonts w:hint="eastAsia"/>
              </w:rPr>
              <w:t>质量保证期：</w:t>
            </w:r>
            <w:r>
              <w:rPr>
                <w:rStyle w:val="11"/>
                <w:rFonts w:hint="eastAsia"/>
              </w:rPr>
              <w:t>2年</w:t>
            </w:r>
          </w:p>
        </w:tc>
      </w:tr>
      <w:tr w14:paraId="10279937">
        <w:tblPrEx>
          <w:tblCellMar>
            <w:top w:w="0" w:type="dxa"/>
            <w:left w:w="0" w:type="dxa"/>
            <w:bottom w:w="0" w:type="dxa"/>
            <w:right w:w="0" w:type="dxa"/>
          </w:tblCellMar>
        </w:tblPrEx>
        <w:trPr>
          <w:wBefore w:w="0" w:type="auto"/>
          <w:tblCellSpacing w:w="0" w:type="dxa"/>
        </w:trPr>
        <w:tc>
          <w:tcPr>
            <w:tcW w:w="0" w:type="auto"/>
            <w:noWrap w:val="0"/>
            <w:vAlign w:val="center"/>
          </w:tcPr>
          <w:p w14:paraId="2368AA17">
            <w:r>
              <w:rPr>
                <w:rStyle w:val="10"/>
                <w:rFonts w:hint="eastAsia"/>
              </w:rPr>
              <w:t>备注：</w:t>
            </w:r>
          </w:p>
        </w:tc>
      </w:tr>
    </w:tbl>
    <w:p w14:paraId="1E178F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CF7775">
        <w:tblPrEx>
          <w:tblCellMar>
            <w:top w:w="0" w:type="dxa"/>
            <w:left w:w="0" w:type="dxa"/>
            <w:bottom w:w="0" w:type="dxa"/>
            <w:right w:w="0" w:type="dxa"/>
          </w:tblCellMar>
        </w:tblPrEx>
        <w:trPr>
          <w:wBefore w:w="0" w:type="auto"/>
          <w:tblCellSpacing w:w="0" w:type="dxa"/>
        </w:trPr>
        <w:tc>
          <w:tcPr>
            <w:tcW w:w="0" w:type="auto"/>
            <w:noWrap w:val="0"/>
            <w:vAlign w:val="center"/>
          </w:tcPr>
          <w:p w14:paraId="65ECD321">
            <w:r>
              <w:rPr>
                <w:rStyle w:val="10"/>
                <w:rFonts w:hint="eastAsia"/>
              </w:rPr>
              <w:t>登记证号：</w:t>
            </w:r>
            <w:r>
              <w:rPr>
                <w:rFonts w:hint="eastAsia"/>
              </w:rPr>
              <w:t>PD20212468</w:t>
            </w:r>
          </w:p>
        </w:tc>
      </w:tr>
      <w:tr w14:paraId="6715BFE9">
        <w:tblPrEx>
          <w:tblCellMar>
            <w:top w:w="0" w:type="dxa"/>
            <w:left w:w="0" w:type="dxa"/>
            <w:bottom w:w="0" w:type="dxa"/>
            <w:right w:w="0" w:type="dxa"/>
          </w:tblCellMar>
        </w:tblPrEx>
        <w:trPr>
          <w:wBefore w:w="0" w:type="auto"/>
          <w:tblCellSpacing w:w="0" w:type="dxa"/>
        </w:trPr>
        <w:tc>
          <w:tcPr>
            <w:tcW w:w="0" w:type="auto"/>
            <w:noWrap w:val="0"/>
            <w:vAlign w:val="center"/>
          </w:tcPr>
          <w:p w14:paraId="2D5E9174">
            <w:r>
              <w:rPr>
                <w:rStyle w:val="10"/>
                <w:rFonts w:hint="eastAsia"/>
              </w:rPr>
              <w:t>登记证持有人：</w:t>
            </w:r>
            <w:r>
              <w:rPr>
                <w:rFonts w:hint="eastAsia"/>
              </w:rPr>
              <w:t>安徽众邦生物工程有限公司</w:t>
            </w:r>
          </w:p>
        </w:tc>
      </w:tr>
      <w:tr w14:paraId="10BDBC6E">
        <w:tblPrEx>
          <w:tblCellMar>
            <w:top w:w="0" w:type="dxa"/>
            <w:left w:w="0" w:type="dxa"/>
            <w:bottom w:w="0" w:type="dxa"/>
            <w:right w:w="0" w:type="dxa"/>
          </w:tblCellMar>
        </w:tblPrEx>
        <w:trPr>
          <w:wBefore w:w="0" w:type="auto"/>
          <w:tblCellSpacing w:w="0" w:type="dxa"/>
        </w:trPr>
        <w:tc>
          <w:tcPr>
            <w:tcW w:w="0" w:type="auto"/>
            <w:noWrap w:val="0"/>
            <w:vAlign w:val="center"/>
          </w:tcPr>
          <w:p w14:paraId="036F96F7">
            <w:r>
              <w:rPr>
                <w:rStyle w:val="10"/>
                <w:rFonts w:hint="eastAsia"/>
              </w:rPr>
              <w:t>农药名称：</w:t>
            </w:r>
            <w:r>
              <w:rPr>
                <w:rFonts w:hint="eastAsia"/>
              </w:rPr>
              <w:t>敌稗·二氯喹啉酸</w:t>
            </w:r>
          </w:p>
        </w:tc>
      </w:tr>
      <w:tr w14:paraId="3BEE1091">
        <w:tblPrEx>
          <w:tblCellMar>
            <w:top w:w="0" w:type="dxa"/>
            <w:left w:w="0" w:type="dxa"/>
            <w:bottom w:w="0" w:type="dxa"/>
            <w:right w:w="0" w:type="dxa"/>
          </w:tblCellMar>
        </w:tblPrEx>
        <w:trPr>
          <w:wBefore w:w="0" w:type="auto"/>
          <w:tblCellSpacing w:w="0" w:type="dxa"/>
        </w:trPr>
        <w:tc>
          <w:tcPr>
            <w:tcW w:w="0" w:type="auto"/>
            <w:noWrap w:val="0"/>
            <w:vAlign w:val="center"/>
          </w:tcPr>
          <w:p w14:paraId="5830DD68">
            <w:r>
              <w:rPr>
                <w:rStyle w:val="10"/>
                <w:rFonts w:hint="eastAsia"/>
              </w:rPr>
              <w:t>剂型：</w:t>
            </w:r>
            <w:r>
              <w:rPr>
                <w:rFonts w:hint="eastAsia"/>
              </w:rPr>
              <w:t>可分散油悬浮剂</w:t>
            </w:r>
          </w:p>
        </w:tc>
      </w:tr>
      <w:tr w14:paraId="1067A6D1">
        <w:tblPrEx>
          <w:tblCellMar>
            <w:top w:w="0" w:type="dxa"/>
            <w:left w:w="0" w:type="dxa"/>
            <w:bottom w:w="0" w:type="dxa"/>
            <w:right w:w="0" w:type="dxa"/>
          </w:tblCellMar>
        </w:tblPrEx>
        <w:trPr>
          <w:wBefore w:w="0" w:type="auto"/>
          <w:tblCellSpacing w:w="0" w:type="dxa"/>
        </w:trPr>
        <w:tc>
          <w:tcPr>
            <w:tcW w:w="0" w:type="auto"/>
            <w:noWrap w:val="0"/>
            <w:vAlign w:val="center"/>
          </w:tcPr>
          <w:p w14:paraId="24456CB1">
            <w:r>
              <w:rPr>
                <w:rStyle w:val="10"/>
                <w:rFonts w:hint="eastAsia"/>
              </w:rPr>
              <w:t>毒性及其标识：</w:t>
            </w:r>
            <w:r>
              <w:rPr>
                <w:rFonts w:hint="eastAsia"/>
              </w:rPr>
              <w:t xml:space="preserve"> </w:t>
            </w:r>
            <w:r>
              <w:rPr>
                <w:lang/>
              </w:rPr>
              <w:drawing>
                <wp:inline distT="0" distB="0" distL="114300" distR="114300">
                  <wp:extent cx="476250" cy="323850"/>
                  <wp:effectExtent l="0" t="0" r="0" b="0"/>
                  <wp:docPr id="3" name="图片 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398427">
        <w:tblPrEx>
          <w:tblCellMar>
            <w:top w:w="0" w:type="dxa"/>
            <w:left w:w="0" w:type="dxa"/>
            <w:bottom w:w="0" w:type="dxa"/>
            <w:right w:w="0" w:type="dxa"/>
          </w:tblCellMar>
        </w:tblPrEx>
        <w:trPr>
          <w:wBefore w:w="0" w:type="auto"/>
          <w:tblCellSpacing w:w="0" w:type="dxa"/>
        </w:trPr>
        <w:tc>
          <w:tcPr>
            <w:tcW w:w="0" w:type="auto"/>
            <w:noWrap w:val="0"/>
            <w:vAlign w:val="center"/>
          </w:tcPr>
          <w:p w14:paraId="0EF79676">
            <w:r>
              <w:rPr>
                <w:rStyle w:val="10"/>
                <w:rFonts w:hint="eastAsia"/>
              </w:rPr>
              <w:t>总有效成分含量：</w:t>
            </w:r>
            <w:r>
              <w:rPr>
                <w:rFonts w:hint="eastAsia"/>
              </w:rPr>
              <w:t>36%</w:t>
            </w:r>
          </w:p>
        </w:tc>
      </w:tr>
      <w:tr w14:paraId="13F28BB7">
        <w:tblPrEx>
          <w:tblCellMar>
            <w:top w:w="0" w:type="dxa"/>
            <w:left w:w="0" w:type="dxa"/>
            <w:bottom w:w="0" w:type="dxa"/>
            <w:right w:w="0" w:type="dxa"/>
          </w:tblCellMar>
        </w:tblPrEx>
        <w:trPr>
          <w:wBefore w:w="0" w:type="auto"/>
          <w:tblCellSpacing w:w="0" w:type="dxa"/>
        </w:trPr>
        <w:tc>
          <w:tcPr>
            <w:tcW w:w="0" w:type="auto"/>
            <w:noWrap w:val="0"/>
            <w:vAlign w:val="center"/>
          </w:tcPr>
          <w:p w14:paraId="71175E0B">
            <w:r>
              <w:rPr>
                <w:rFonts w:hint="eastAsia"/>
              </w:rPr>
              <w:t xml:space="preserve">有效成分及其含量： </w:t>
            </w:r>
          </w:p>
          <w:p w14:paraId="704F9B3A">
            <w:r>
              <w:rPr>
                <w:rFonts w:hint="eastAsia"/>
              </w:rPr>
              <w:t xml:space="preserve">    敌稗30%    二氯喹啉酸6%    </w:t>
            </w:r>
          </w:p>
        </w:tc>
      </w:tr>
      <w:tr w14:paraId="7C6FB3AD">
        <w:tblPrEx>
          <w:tblCellMar>
            <w:top w:w="0" w:type="dxa"/>
            <w:left w:w="0" w:type="dxa"/>
            <w:bottom w:w="0" w:type="dxa"/>
            <w:right w:w="0" w:type="dxa"/>
          </w:tblCellMar>
        </w:tblPrEx>
        <w:trPr>
          <w:wBefore w:w="0" w:type="auto"/>
          <w:tblCellSpacing w:w="0" w:type="dxa"/>
        </w:trPr>
        <w:tc>
          <w:tcPr>
            <w:tcW w:w="0" w:type="auto"/>
            <w:noWrap w:val="0"/>
            <w:vAlign w:val="center"/>
          </w:tcPr>
          <w:p w14:paraId="6B18EE0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9"/>
            </w:tblGrid>
            <w:tr w14:paraId="7324C7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530E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52BB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3635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507012">
                  <w:r>
                    <w:rPr>
                      <w:rStyle w:val="11"/>
                      <w:rFonts w:hint="eastAsia"/>
                    </w:rPr>
                    <w:t>施用方式</w:t>
                  </w:r>
                </w:p>
              </w:tc>
            </w:tr>
            <w:tr w14:paraId="49602A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74C0EE">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7424E4">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16E603">
                  <w:r>
                    <w:rPr>
                      <w:rStyle w:val="11"/>
                      <w:rFonts w:hint="eastAsia"/>
                    </w:rPr>
                    <w:t>300-400毫升/亩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61B9AB">
                  <w:r>
                    <w:rPr>
                      <w:rStyle w:val="11"/>
                      <w:rFonts w:hint="eastAsia"/>
                    </w:rPr>
                    <w:t>茎叶喷雾</w:t>
                  </w:r>
                </w:p>
              </w:tc>
            </w:tr>
          </w:tbl>
          <w:p w14:paraId="4BE90FA9">
            <w:pPr>
              <w:rPr>
                <w:rFonts w:ascii="Times New Roman" w:hAnsi="Times New Roman" w:cs="Times New Roman"/>
                <w:sz w:val="20"/>
                <w:szCs w:val="20"/>
              </w:rPr>
            </w:pPr>
          </w:p>
        </w:tc>
      </w:tr>
      <w:tr w14:paraId="3EE477C0">
        <w:tblPrEx>
          <w:tblCellMar>
            <w:top w:w="0" w:type="dxa"/>
            <w:left w:w="0" w:type="dxa"/>
            <w:bottom w:w="0" w:type="dxa"/>
            <w:right w:w="0" w:type="dxa"/>
          </w:tblCellMar>
        </w:tblPrEx>
        <w:trPr>
          <w:wBefore w:w="0" w:type="auto"/>
          <w:tblCellSpacing w:w="0" w:type="dxa"/>
        </w:trPr>
        <w:tc>
          <w:tcPr>
            <w:tcW w:w="0" w:type="auto"/>
            <w:noWrap w:val="0"/>
            <w:vAlign w:val="center"/>
          </w:tcPr>
          <w:p w14:paraId="122CD07F">
            <w:r>
              <w:rPr>
                <w:rStyle w:val="10"/>
                <w:rFonts w:hint="eastAsia"/>
              </w:rPr>
              <w:t>使用技术要求:</w:t>
            </w:r>
            <w:r>
              <w:rPr>
                <w:rFonts w:hint="eastAsia"/>
              </w:rPr>
              <w:br w:type="textWrapping"/>
            </w:r>
            <w:r>
              <w:rPr>
                <w:rStyle w:val="11"/>
                <w:rFonts w:hint="eastAsia"/>
              </w:rPr>
              <w:t>1.在直播稻4叶期后，禾本科杂草2-4叶期茎叶喷雾施药一次，每亩水量30-45公升。2.喷药前排干田水，喷药48小时后，禾本科草整株受药时，可灌深水淹没草心保水5-7天，以提高杀草效果，注意水层勿淹没水稻心叶避免药害。3.病苗田、弱苗田、浅根苗田及盐碱地、已遭受或药后5天内易遭受冻涝害等胁迫田块，不宜施用本品。4.低温、寡照天气一定程度影响药效发挥，强光、高温利于药效发挥。应选晴天、无风天气喷药。杂草叶面湿润会降低除草效果，要待露水干后施用。5.大风天或预计2小时内降雨，请勿施药。6.每季最多使用1次。7.建议该药在长江流域抗性稗草等禾本科杂草高发的稻区使用。</w:t>
            </w:r>
          </w:p>
        </w:tc>
      </w:tr>
      <w:tr w14:paraId="148936FC">
        <w:tblPrEx>
          <w:tblCellMar>
            <w:top w:w="0" w:type="dxa"/>
            <w:left w:w="0" w:type="dxa"/>
            <w:bottom w:w="0" w:type="dxa"/>
            <w:right w:w="0" w:type="dxa"/>
          </w:tblCellMar>
        </w:tblPrEx>
        <w:trPr>
          <w:wBefore w:w="0" w:type="auto"/>
          <w:tblCellSpacing w:w="0" w:type="dxa"/>
        </w:trPr>
        <w:tc>
          <w:tcPr>
            <w:tcW w:w="0" w:type="auto"/>
            <w:noWrap w:val="0"/>
            <w:vAlign w:val="center"/>
          </w:tcPr>
          <w:p w14:paraId="7B2EBDC7">
            <w:r>
              <w:rPr>
                <w:rStyle w:val="10"/>
                <w:rFonts w:hint="eastAsia"/>
              </w:rPr>
              <w:t>产品性能:</w:t>
            </w:r>
            <w:r>
              <w:rPr>
                <w:rFonts w:hint="eastAsia"/>
              </w:rPr>
              <w:br w:type="textWrapping"/>
            </w:r>
            <w:r>
              <w:rPr>
                <w:rStyle w:val="11"/>
                <w:rFonts w:hint="eastAsia"/>
              </w:rPr>
              <w:t>本品是喹啉羧酸类与酰胺类混配制剂，用于直播水稻田茎叶处理防除稗草、马唐、碎米知风草等一年生禾本科杂草。</w:t>
            </w:r>
          </w:p>
        </w:tc>
      </w:tr>
      <w:tr w14:paraId="6C22825D">
        <w:tblPrEx>
          <w:tblCellMar>
            <w:top w:w="0" w:type="dxa"/>
            <w:left w:w="0" w:type="dxa"/>
            <w:bottom w:w="0" w:type="dxa"/>
            <w:right w:w="0" w:type="dxa"/>
          </w:tblCellMar>
        </w:tblPrEx>
        <w:trPr>
          <w:wBefore w:w="0" w:type="auto"/>
          <w:tblCellSpacing w:w="0" w:type="dxa"/>
        </w:trPr>
        <w:tc>
          <w:tcPr>
            <w:tcW w:w="0" w:type="auto"/>
            <w:noWrap w:val="0"/>
            <w:vAlign w:val="center"/>
          </w:tcPr>
          <w:p w14:paraId="1B34F966">
            <w:r>
              <w:rPr>
                <w:rStyle w:val="10"/>
                <w:rFonts w:hint="eastAsia"/>
              </w:rPr>
              <w:t>注意事项：</w:t>
            </w:r>
            <w:r>
              <w:rPr>
                <w:rFonts w:hint="eastAsia"/>
              </w:rPr>
              <w:br w:type="textWrapping"/>
            </w:r>
            <w:r>
              <w:rPr>
                <w:rStyle w:val="11"/>
                <w:rFonts w:hint="eastAsia"/>
              </w:rPr>
              <w:t>1．本品不能与有机磷类和氨基酸甲酯类药剂及2,4滴丁酯混用,施用有机磷类和氨基酸甲酯类农药十天内避免使用敌稗,以免引起药害。2.本品对棉花、甜菜、烟草、向日葵、豌豆、苜蓿、马铃薯、大豆、蔬菜、果树等敏感，施药时应避免药液飘移到上述作物上，以防产生药害。3.盐碱较重的秧田，由于晒田引起泛碱，也会伤害水稻，应在浅水或秧根湿润的情况下施药，施药后不等泛碱，及时灌水淹稗和洗碱，以免产生碱害。4.远离水产养殖区施药，禁止在河塘等水体中清洗施药器具。鱼或虾蟹套样稻田禁用，施药后的田水不得直接排入水体。5.鸟类活动区附近禁用。蚕室及桑园附近禁用。6.施药时要穿防护衣、裤，戴口罩、手套，施药后要用肥皂洗手、洗脸，严禁抽烟、喝水、吃东西。7.喷药器具用过后要及时用水冲洗干净，用过的容器应妥善处理，不可做他用，也不可随意丢弃。8.孕妇和哺乳期妇女避免接触此药。</w:t>
            </w:r>
          </w:p>
        </w:tc>
      </w:tr>
      <w:tr w14:paraId="47F41F13">
        <w:tblPrEx>
          <w:tblCellMar>
            <w:top w:w="0" w:type="dxa"/>
            <w:left w:w="0" w:type="dxa"/>
            <w:bottom w:w="0" w:type="dxa"/>
            <w:right w:w="0" w:type="dxa"/>
          </w:tblCellMar>
        </w:tblPrEx>
        <w:trPr>
          <w:wBefore w:w="0" w:type="auto"/>
          <w:tblCellSpacing w:w="0" w:type="dxa"/>
        </w:trPr>
        <w:tc>
          <w:tcPr>
            <w:tcW w:w="0" w:type="auto"/>
            <w:noWrap w:val="0"/>
            <w:vAlign w:val="center"/>
          </w:tcPr>
          <w:p w14:paraId="3A532380">
            <w:r>
              <w:rPr>
                <w:rStyle w:val="10"/>
                <w:rFonts w:hint="eastAsia"/>
              </w:rPr>
              <w:t>中毒急救措施：</w:t>
            </w:r>
            <w:r>
              <w:rPr>
                <w:rFonts w:hint="eastAsia"/>
              </w:rPr>
              <w:br w:type="textWrapping"/>
            </w:r>
            <w:r>
              <w:rPr>
                <w:rStyle w:val="11"/>
                <w:rFonts w:hint="eastAsia"/>
              </w:rPr>
              <w:t>一旦发生中毒，请对症治疗。中毒急救：1.用药时如果感觉不适，立即停止工作，采取急救措施，并携此标签送医就诊。2.皮肤接触：立即脱掉被污染的衣物，用大量清水冲洗被污染的皮肤，如皮肤刺激感持续，请医生诊治。3.眼睛溅药：立即将眼睑翻开，用清水冲洗至少15分钟，再请医生诊治。4.发生吸入：立即将吸入者转移到空气新鲜处，如果吸入者停止呼吸，需要进行人工呼吸。注意保暖和休息，请医生诊治。5.误服：请勿引吐，立即携带标签，送医就诊。6.解毒剂:无专用解毒剂，请对症治疗。</w:t>
            </w:r>
          </w:p>
        </w:tc>
      </w:tr>
      <w:tr w14:paraId="4FF414CC">
        <w:tblPrEx>
          <w:tblCellMar>
            <w:top w:w="0" w:type="dxa"/>
            <w:left w:w="0" w:type="dxa"/>
            <w:bottom w:w="0" w:type="dxa"/>
            <w:right w:w="0" w:type="dxa"/>
          </w:tblCellMar>
        </w:tblPrEx>
        <w:trPr>
          <w:wBefore w:w="0" w:type="auto"/>
          <w:tblCellSpacing w:w="0" w:type="dxa"/>
        </w:trPr>
        <w:tc>
          <w:tcPr>
            <w:tcW w:w="0" w:type="auto"/>
            <w:noWrap w:val="0"/>
            <w:vAlign w:val="center"/>
          </w:tcPr>
          <w:p w14:paraId="5CBAFDF9">
            <w:r>
              <w:rPr>
                <w:rStyle w:val="10"/>
                <w:rFonts w:hint="eastAsia"/>
              </w:rPr>
              <w:t>储存和运输方法：</w:t>
            </w:r>
            <w:r>
              <w:rPr>
                <w:rFonts w:hint="eastAsia"/>
              </w:rPr>
              <w:br w:type="textWrapping"/>
            </w:r>
            <w:r>
              <w:rPr>
                <w:rStyle w:val="11"/>
                <w:rFonts w:hint="eastAsia"/>
              </w:rPr>
              <w:t>本品应储存在干燥、阴凉、通风的库房中。远离火源或热源。置于儿童触及不到之处，并加锁。储运时严防潮湿和日晒。勿与食品、饮料、饲料等同储同运。</w:t>
            </w:r>
          </w:p>
        </w:tc>
      </w:tr>
      <w:tr w14:paraId="0DD595C7">
        <w:tblPrEx>
          <w:tblCellMar>
            <w:top w:w="0" w:type="dxa"/>
            <w:left w:w="0" w:type="dxa"/>
            <w:bottom w:w="0" w:type="dxa"/>
            <w:right w:w="0" w:type="dxa"/>
          </w:tblCellMar>
        </w:tblPrEx>
        <w:trPr>
          <w:wBefore w:w="0" w:type="auto"/>
          <w:tblCellSpacing w:w="0" w:type="dxa"/>
        </w:trPr>
        <w:tc>
          <w:tcPr>
            <w:tcW w:w="0" w:type="auto"/>
            <w:noWrap w:val="0"/>
            <w:vAlign w:val="center"/>
          </w:tcPr>
          <w:p w14:paraId="415F981D">
            <w:r>
              <w:rPr>
                <w:rStyle w:val="10"/>
                <w:rFonts w:hint="eastAsia"/>
              </w:rPr>
              <w:t>质量保证期：</w:t>
            </w:r>
            <w:r>
              <w:rPr>
                <w:rStyle w:val="11"/>
                <w:rFonts w:hint="eastAsia"/>
              </w:rPr>
              <w:t>2年</w:t>
            </w:r>
          </w:p>
        </w:tc>
      </w:tr>
      <w:tr w14:paraId="38A89B5C">
        <w:tblPrEx>
          <w:tblCellMar>
            <w:top w:w="0" w:type="dxa"/>
            <w:left w:w="0" w:type="dxa"/>
            <w:bottom w:w="0" w:type="dxa"/>
            <w:right w:w="0" w:type="dxa"/>
          </w:tblCellMar>
        </w:tblPrEx>
        <w:trPr>
          <w:wBefore w:w="0" w:type="auto"/>
          <w:tblCellSpacing w:w="0" w:type="dxa"/>
        </w:trPr>
        <w:tc>
          <w:tcPr>
            <w:tcW w:w="0" w:type="auto"/>
            <w:noWrap w:val="0"/>
            <w:vAlign w:val="center"/>
          </w:tcPr>
          <w:p w14:paraId="5EEF4EA3">
            <w:r>
              <w:rPr>
                <w:rStyle w:val="10"/>
                <w:rFonts w:hint="eastAsia"/>
              </w:rPr>
              <w:t>备注：</w:t>
            </w:r>
          </w:p>
        </w:tc>
      </w:tr>
    </w:tbl>
    <w:p w14:paraId="157939C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A1479F">
        <w:tblPrEx>
          <w:tblCellMar>
            <w:top w:w="0" w:type="dxa"/>
            <w:left w:w="0" w:type="dxa"/>
            <w:bottom w:w="0" w:type="dxa"/>
            <w:right w:w="0" w:type="dxa"/>
          </w:tblCellMar>
        </w:tblPrEx>
        <w:trPr>
          <w:wBefore w:w="0" w:type="auto"/>
          <w:tblCellSpacing w:w="0" w:type="dxa"/>
        </w:trPr>
        <w:tc>
          <w:tcPr>
            <w:tcW w:w="0" w:type="auto"/>
            <w:noWrap w:val="0"/>
            <w:vAlign w:val="center"/>
          </w:tcPr>
          <w:p w14:paraId="03A5278E">
            <w:r>
              <w:rPr>
                <w:rStyle w:val="10"/>
                <w:rFonts w:hint="eastAsia"/>
              </w:rPr>
              <w:t>登记证号：</w:t>
            </w:r>
            <w:r>
              <w:rPr>
                <w:rFonts w:hint="eastAsia"/>
              </w:rPr>
              <w:t>PD20097878</w:t>
            </w:r>
          </w:p>
        </w:tc>
      </w:tr>
      <w:tr w14:paraId="2A4E70D8">
        <w:tblPrEx>
          <w:tblCellMar>
            <w:top w:w="0" w:type="dxa"/>
            <w:left w:w="0" w:type="dxa"/>
            <w:bottom w:w="0" w:type="dxa"/>
            <w:right w:w="0" w:type="dxa"/>
          </w:tblCellMar>
        </w:tblPrEx>
        <w:trPr>
          <w:wBefore w:w="0" w:type="auto"/>
          <w:tblCellSpacing w:w="0" w:type="dxa"/>
        </w:trPr>
        <w:tc>
          <w:tcPr>
            <w:tcW w:w="0" w:type="auto"/>
            <w:noWrap w:val="0"/>
            <w:vAlign w:val="center"/>
          </w:tcPr>
          <w:p w14:paraId="7CCC4F0C">
            <w:r>
              <w:rPr>
                <w:rStyle w:val="10"/>
                <w:rFonts w:hint="eastAsia"/>
              </w:rPr>
              <w:t>登记证持有人：</w:t>
            </w:r>
            <w:r>
              <w:rPr>
                <w:rFonts w:hint="eastAsia"/>
              </w:rPr>
              <w:t>陕西麦可罗生物科技有限公司</w:t>
            </w:r>
          </w:p>
        </w:tc>
      </w:tr>
      <w:tr w14:paraId="248DEFE6">
        <w:tblPrEx>
          <w:tblCellMar>
            <w:top w:w="0" w:type="dxa"/>
            <w:left w:w="0" w:type="dxa"/>
            <w:bottom w:w="0" w:type="dxa"/>
            <w:right w:w="0" w:type="dxa"/>
          </w:tblCellMar>
        </w:tblPrEx>
        <w:trPr>
          <w:wBefore w:w="0" w:type="auto"/>
          <w:tblCellSpacing w:w="0" w:type="dxa"/>
        </w:trPr>
        <w:tc>
          <w:tcPr>
            <w:tcW w:w="0" w:type="auto"/>
            <w:noWrap w:val="0"/>
            <w:vAlign w:val="center"/>
          </w:tcPr>
          <w:p w14:paraId="376EE574">
            <w:r>
              <w:rPr>
                <w:rStyle w:val="10"/>
                <w:rFonts w:hint="eastAsia"/>
              </w:rPr>
              <w:t>农药名称：</w:t>
            </w:r>
            <w:r>
              <w:rPr>
                <w:rFonts w:hint="eastAsia"/>
              </w:rPr>
              <w:t>多抗霉素</w:t>
            </w:r>
          </w:p>
        </w:tc>
      </w:tr>
      <w:tr w14:paraId="466EB6AA">
        <w:tblPrEx>
          <w:tblCellMar>
            <w:top w:w="0" w:type="dxa"/>
            <w:left w:w="0" w:type="dxa"/>
            <w:bottom w:w="0" w:type="dxa"/>
            <w:right w:w="0" w:type="dxa"/>
          </w:tblCellMar>
        </w:tblPrEx>
        <w:trPr>
          <w:wBefore w:w="0" w:type="auto"/>
          <w:tblCellSpacing w:w="0" w:type="dxa"/>
        </w:trPr>
        <w:tc>
          <w:tcPr>
            <w:tcW w:w="0" w:type="auto"/>
            <w:noWrap w:val="0"/>
            <w:vAlign w:val="center"/>
          </w:tcPr>
          <w:p w14:paraId="5852908E">
            <w:r>
              <w:rPr>
                <w:rStyle w:val="10"/>
                <w:rFonts w:hint="eastAsia"/>
              </w:rPr>
              <w:t>剂型：</w:t>
            </w:r>
            <w:r>
              <w:rPr>
                <w:rFonts w:hint="eastAsia"/>
              </w:rPr>
              <w:t>可湿性粉剂</w:t>
            </w:r>
          </w:p>
        </w:tc>
      </w:tr>
      <w:tr w14:paraId="5EE56984">
        <w:tblPrEx>
          <w:tblCellMar>
            <w:top w:w="0" w:type="dxa"/>
            <w:left w:w="0" w:type="dxa"/>
            <w:bottom w:w="0" w:type="dxa"/>
            <w:right w:w="0" w:type="dxa"/>
          </w:tblCellMar>
        </w:tblPrEx>
        <w:trPr>
          <w:wBefore w:w="0" w:type="auto"/>
          <w:tblCellSpacing w:w="0" w:type="dxa"/>
        </w:trPr>
        <w:tc>
          <w:tcPr>
            <w:tcW w:w="0" w:type="auto"/>
            <w:noWrap w:val="0"/>
            <w:vAlign w:val="center"/>
          </w:tcPr>
          <w:p w14:paraId="238D43BF">
            <w:r>
              <w:rPr>
                <w:rStyle w:val="10"/>
                <w:rFonts w:hint="eastAsia"/>
              </w:rPr>
              <w:t>毒性及其标识：</w:t>
            </w:r>
            <w:r>
              <w:rPr>
                <w:rFonts w:hint="eastAsia"/>
              </w:rPr>
              <w:t xml:space="preserve"> </w:t>
            </w:r>
            <w:r>
              <w:rPr>
                <w:lang/>
              </w:rPr>
              <w:drawing>
                <wp:inline distT="0" distB="0" distL="114300" distR="114300">
                  <wp:extent cx="476250" cy="323850"/>
                  <wp:effectExtent l="0" t="0" r="0" b="0"/>
                  <wp:docPr id="4" name="图片 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10C4FE">
        <w:tblPrEx>
          <w:tblCellMar>
            <w:top w:w="0" w:type="dxa"/>
            <w:left w:w="0" w:type="dxa"/>
            <w:bottom w:w="0" w:type="dxa"/>
            <w:right w:w="0" w:type="dxa"/>
          </w:tblCellMar>
        </w:tblPrEx>
        <w:trPr>
          <w:wBefore w:w="0" w:type="auto"/>
          <w:tblCellSpacing w:w="0" w:type="dxa"/>
        </w:trPr>
        <w:tc>
          <w:tcPr>
            <w:tcW w:w="0" w:type="auto"/>
            <w:noWrap w:val="0"/>
            <w:vAlign w:val="center"/>
          </w:tcPr>
          <w:p w14:paraId="5DA4BF92">
            <w:r>
              <w:rPr>
                <w:rStyle w:val="10"/>
                <w:rFonts w:hint="eastAsia"/>
              </w:rPr>
              <w:t>总有效成分含量：</w:t>
            </w:r>
            <w:r>
              <w:rPr>
                <w:rFonts w:hint="eastAsia"/>
              </w:rPr>
              <w:t>3%</w:t>
            </w:r>
          </w:p>
        </w:tc>
      </w:tr>
      <w:tr w14:paraId="78DFD8F4">
        <w:tblPrEx>
          <w:tblCellMar>
            <w:top w:w="0" w:type="dxa"/>
            <w:left w:w="0" w:type="dxa"/>
            <w:bottom w:w="0" w:type="dxa"/>
            <w:right w:w="0" w:type="dxa"/>
          </w:tblCellMar>
        </w:tblPrEx>
        <w:trPr>
          <w:wBefore w:w="0" w:type="auto"/>
          <w:tblCellSpacing w:w="0" w:type="dxa"/>
        </w:trPr>
        <w:tc>
          <w:tcPr>
            <w:tcW w:w="0" w:type="auto"/>
            <w:noWrap w:val="0"/>
            <w:vAlign w:val="center"/>
          </w:tcPr>
          <w:p w14:paraId="38835B8B">
            <w:r>
              <w:rPr>
                <w:rFonts w:hint="eastAsia"/>
              </w:rPr>
              <w:t xml:space="preserve">有效成分及其含量： </w:t>
            </w:r>
          </w:p>
          <w:p w14:paraId="35D64485">
            <w:r>
              <w:rPr>
                <w:rFonts w:hint="eastAsia"/>
              </w:rPr>
              <w:t xml:space="preserve">    多抗霉素3%    </w:t>
            </w:r>
          </w:p>
        </w:tc>
      </w:tr>
      <w:tr w14:paraId="415FECA6">
        <w:tblPrEx>
          <w:tblCellMar>
            <w:top w:w="0" w:type="dxa"/>
            <w:left w:w="0" w:type="dxa"/>
            <w:bottom w:w="0" w:type="dxa"/>
            <w:right w:w="0" w:type="dxa"/>
          </w:tblCellMar>
        </w:tblPrEx>
        <w:trPr>
          <w:wBefore w:w="0" w:type="auto"/>
          <w:tblCellSpacing w:w="0" w:type="dxa"/>
        </w:trPr>
        <w:tc>
          <w:tcPr>
            <w:tcW w:w="0" w:type="auto"/>
            <w:noWrap w:val="0"/>
            <w:vAlign w:val="center"/>
          </w:tcPr>
          <w:p w14:paraId="7EA458C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25C6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CA91B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A54C6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C86D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A37430">
                  <w:r>
                    <w:rPr>
                      <w:rStyle w:val="11"/>
                      <w:rFonts w:hint="eastAsia"/>
                    </w:rPr>
                    <w:t>施用方式</w:t>
                  </w:r>
                </w:p>
              </w:tc>
            </w:tr>
            <w:tr w14:paraId="2C6133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7685CF">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167992">
                  <w:r>
                    <w:rPr>
                      <w:rStyle w:val="11"/>
                      <w:rFonts w:hint="eastAsia"/>
                    </w:rPr>
                    <w:t>赤星病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327C9E">
                  <w:r>
                    <w:rPr>
                      <w:rStyle w:val="11"/>
                      <w:rFonts w:hint="eastAsia"/>
                    </w:rPr>
                    <w:t>230-300克/亩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338B09">
                  <w:r>
                    <w:rPr>
                      <w:rStyle w:val="11"/>
                      <w:rFonts w:hint="eastAsia"/>
                    </w:rPr>
                    <w:t>喷雾</w:t>
                  </w:r>
                </w:p>
              </w:tc>
            </w:tr>
          </w:tbl>
          <w:p w14:paraId="44D658A8">
            <w:pPr>
              <w:rPr>
                <w:rFonts w:ascii="Times New Roman" w:hAnsi="Times New Roman" w:cs="Times New Roman"/>
                <w:sz w:val="20"/>
                <w:szCs w:val="20"/>
              </w:rPr>
            </w:pPr>
          </w:p>
        </w:tc>
      </w:tr>
      <w:tr w14:paraId="236AD4FE">
        <w:tblPrEx>
          <w:tblCellMar>
            <w:top w:w="0" w:type="dxa"/>
            <w:left w:w="0" w:type="dxa"/>
            <w:bottom w:w="0" w:type="dxa"/>
            <w:right w:w="0" w:type="dxa"/>
          </w:tblCellMar>
        </w:tblPrEx>
        <w:trPr>
          <w:wBefore w:w="0" w:type="auto"/>
          <w:tblCellSpacing w:w="0" w:type="dxa"/>
        </w:trPr>
        <w:tc>
          <w:tcPr>
            <w:tcW w:w="0" w:type="auto"/>
            <w:noWrap w:val="0"/>
            <w:vAlign w:val="center"/>
          </w:tcPr>
          <w:p w14:paraId="2C613DF7">
            <w:r>
              <w:rPr>
                <w:rStyle w:val="10"/>
                <w:rFonts w:hint="eastAsia"/>
              </w:rPr>
              <w:t>使用技术要求:</w:t>
            </w:r>
            <w:r>
              <w:rPr>
                <w:rFonts w:hint="eastAsia"/>
              </w:rPr>
              <w:br w:type="textWrapping"/>
            </w:r>
            <w:r>
              <w:rPr>
                <w:rStyle w:val="11"/>
                <w:rFonts w:hint="eastAsia"/>
              </w:rPr>
              <w:t>1．番茄：番茄晚疫病发病前期或初期开始施药，每季作物最多使用3次，施药间隔7-10天，安全间隔期2天。烟草：烟草赤星病发病前期或初期开始施药，每季作物最多使用3次，施药间隔7-10天。 2.大风天或预计1小时内降雨，请勿施药。</w:t>
            </w:r>
          </w:p>
        </w:tc>
      </w:tr>
      <w:tr w14:paraId="3E31BECC">
        <w:tblPrEx>
          <w:tblCellMar>
            <w:top w:w="0" w:type="dxa"/>
            <w:left w:w="0" w:type="dxa"/>
            <w:bottom w:w="0" w:type="dxa"/>
            <w:right w:w="0" w:type="dxa"/>
          </w:tblCellMar>
        </w:tblPrEx>
        <w:trPr>
          <w:wBefore w:w="0" w:type="auto"/>
          <w:tblCellSpacing w:w="0" w:type="dxa"/>
        </w:trPr>
        <w:tc>
          <w:tcPr>
            <w:tcW w:w="0" w:type="auto"/>
            <w:noWrap w:val="0"/>
            <w:vAlign w:val="center"/>
          </w:tcPr>
          <w:p w14:paraId="3310BE3A">
            <w:r>
              <w:rPr>
                <w:rStyle w:val="10"/>
                <w:rFonts w:hint="eastAsia"/>
              </w:rPr>
              <w:t>产品性能:</w:t>
            </w:r>
            <w:r>
              <w:rPr>
                <w:rFonts w:hint="eastAsia"/>
              </w:rPr>
              <w:br w:type="textWrapping"/>
            </w:r>
            <w:r>
              <w:rPr>
                <w:rStyle w:val="11"/>
                <w:rFonts w:hint="eastAsia"/>
              </w:rPr>
              <w:t>本品为抗生素类杀菌剂，具有较好的内吸传导作用，其作用机制是干扰菌细胞几丁质的生物合成，芽管和菌丝体接触药剂后，局部膨大、破裂，溢出细胞内含物，而不能正常发育，导致死亡，还有抑制病菌产孢和病斑扩大作用，主要防治对象有番茄晚疫病和烟草赤星病的真菌病害。</w:t>
            </w:r>
          </w:p>
        </w:tc>
      </w:tr>
      <w:tr w14:paraId="74B56629">
        <w:tblPrEx>
          <w:tblCellMar>
            <w:top w:w="0" w:type="dxa"/>
            <w:left w:w="0" w:type="dxa"/>
            <w:bottom w:w="0" w:type="dxa"/>
            <w:right w:w="0" w:type="dxa"/>
          </w:tblCellMar>
        </w:tblPrEx>
        <w:trPr>
          <w:wBefore w:w="0" w:type="auto"/>
          <w:tblCellSpacing w:w="0" w:type="dxa"/>
        </w:trPr>
        <w:tc>
          <w:tcPr>
            <w:tcW w:w="0" w:type="auto"/>
            <w:noWrap w:val="0"/>
            <w:vAlign w:val="center"/>
          </w:tcPr>
          <w:p w14:paraId="1805131A">
            <w:r>
              <w:rPr>
                <w:rStyle w:val="10"/>
                <w:rFonts w:hint="eastAsia"/>
              </w:rPr>
              <w:t>注意事项：</w:t>
            </w:r>
            <w:r>
              <w:rPr>
                <w:rFonts w:hint="eastAsia"/>
              </w:rPr>
              <w:br w:type="textWrapping"/>
            </w:r>
            <w:r>
              <w:rPr>
                <w:rStyle w:val="11"/>
                <w:rFonts w:hint="eastAsia"/>
              </w:rPr>
              <w:t>1.施药时注意安全防护，穿戴防护服、口罩、手套，施药期间禁止吃东西，饮水，施完药后立即用清水洗手、洗脸以及暴露的皮肤。2.不要与酸性、碱性物质等混用，以免分解失效。3.对水生动物、蜜蜂、蚕极毒，因而在使用中必须注意不可污染水域及饲养蜂蚕场地。禁止在河塘等水体中清洗施药器具。4.密封保存，防潮结块。5.孕妇、哺乳期妇女及过敏者禁用，使用中有任何不良反应请及时就医。6. 用过的容器应妥善处理，不可做他用，也不可随意丢弃。</w:t>
            </w:r>
          </w:p>
        </w:tc>
      </w:tr>
      <w:tr w14:paraId="5C58D056">
        <w:tblPrEx>
          <w:tblCellMar>
            <w:top w:w="0" w:type="dxa"/>
            <w:left w:w="0" w:type="dxa"/>
            <w:bottom w:w="0" w:type="dxa"/>
            <w:right w:w="0" w:type="dxa"/>
          </w:tblCellMar>
        </w:tblPrEx>
        <w:trPr>
          <w:wBefore w:w="0" w:type="auto"/>
          <w:tblCellSpacing w:w="0" w:type="dxa"/>
        </w:trPr>
        <w:tc>
          <w:tcPr>
            <w:tcW w:w="0" w:type="auto"/>
            <w:noWrap w:val="0"/>
            <w:vAlign w:val="center"/>
          </w:tcPr>
          <w:p w14:paraId="55E8AEC6">
            <w:r>
              <w:rPr>
                <w:rStyle w:val="10"/>
                <w:rFonts w:hint="eastAsia"/>
              </w:rPr>
              <w:t>中毒急救措施：</w:t>
            </w:r>
            <w:r>
              <w:rPr>
                <w:rFonts w:hint="eastAsia"/>
              </w:rPr>
              <w:br w:type="textWrapping"/>
            </w:r>
            <w:r>
              <w:rPr>
                <w:rStyle w:val="11"/>
                <w:rFonts w:hint="eastAsia"/>
              </w:rPr>
              <w:t>如若发生中毒，及时送医院对症治疗，并带上产品标签。如不慎滴入眼睛立即用大量的清水冲洗至少15分钟。</w:t>
            </w:r>
          </w:p>
        </w:tc>
      </w:tr>
      <w:tr w14:paraId="2525B1C7">
        <w:tblPrEx>
          <w:tblCellMar>
            <w:top w:w="0" w:type="dxa"/>
            <w:left w:w="0" w:type="dxa"/>
            <w:bottom w:w="0" w:type="dxa"/>
            <w:right w:w="0" w:type="dxa"/>
          </w:tblCellMar>
        </w:tblPrEx>
        <w:trPr>
          <w:wBefore w:w="0" w:type="auto"/>
          <w:tblCellSpacing w:w="0" w:type="dxa"/>
        </w:trPr>
        <w:tc>
          <w:tcPr>
            <w:tcW w:w="0" w:type="auto"/>
            <w:noWrap w:val="0"/>
            <w:vAlign w:val="center"/>
          </w:tcPr>
          <w:p w14:paraId="326FDCDC">
            <w:r>
              <w:rPr>
                <w:rStyle w:val="10"/>
                <w:rFonts w:hint="eastAsia"/>
              </w:rPr>
              <w:t>储存和运输方法：</w:t>
            </w:r>
            <w:r>
              <w:rPr>
                <w:rFonts w:hint="eastAsia"/>
              </w:rPr>
              <w:br w:type="textWrapping"/>
            </w:r>
            <w:r>
              <w:rPr>
                <w:rStyle w:val="11"/>
                <w:rFonts w:hint="eastAsia"/>
              </w:rPr>
              <w:t>1. 储运时请远离高温和火源，贮存在干燥、避光和通风处。 2. 置于儿童、无关人员触及不到之处，并加锁。勿与食品、饮料、饲料、粮食等同贮同运。</w:t>
            </w:r>
          </w:p>
        </w:tc>
      </w:tr>
      <w:tr w14:paraId="2B64CAD4">
        <w:tblPrEx>
          <w:tblCellMar>
            <w:top w:w="0" w:type="dxa"/>
            <w:left w:w="0" w:type="dxa"/>
            <w:bottom w:w="0" w:type="dxa"/>
            <w:right w:w="0" w:type="dxa"/>
          </w:tblCellMar>
        </w:tblPrEx>
        <w:trPr>
          <w:wBefore w:w="0" w:type="auto"/>
          <w:tblCellSpacing w:w="0" w:type="dxa"/>
        </w:trPr>
        <w:tc>
          <w:tcPr>
            <w:tcW w:w="0" w:type="auto"/>
            <w:noWrap w:val="0"/>
            <w:vAlign w:val="center"/>
          </w:tcPr>
          <w:p w14:paraId="085592D7">
            <w:r>
              <w:rPr>
                <w:rStyle w:val="10"/>
                <w:rFonts w:hint="eastAsia"/>
              </w:rPr>
              <w:t>质量保证期：</w:t>
            </w:r>
            <w:r>
              <w:rPr>
                <w:rStyle w:val="11"/>
                <w:rFonts w:hint="eastAsia"/>
              </w:rPr>
              <w:t>2年</w:t>
            </w:r>
          </w:p>
        </w:tc>
      </w:tr>
      <w:tr w14:paraId="502FC005">
        <w:tblPrEx>
          <w:tblCellMar>
            <w:top w:w="0" w:type="dxa"/>
            <w:left w:w="0" w:type="dxa"/>
            <w:bottom w:w="0" w:type="dxa"/>
            <w:right w:w="0" w:type="dxa"/>
          </w:tblCellMar>
        </w:tblPrEx>
        <w:trPr>
          <w:wBefore w:w="0" w:type="auto"/>
          <w:tblCellSpacing w:w="0" w:type="dxa"/>
        </w:trPr>
        <w:tc>
          <w:tcPr>
            <w:tcW w:w="0" w:type="auto"/>
            <w:noWrap w:val="0"/>
            <w:vAlign w:val="center"/>
          </w:tcPr>
          <w:p w14:paraId="28D048A4">
            <w:r>
              <w:rPr>
                <w:rStyle w:val="10"/>
                <w:rFonts w:hint="eastAsia"/>
              </w:rPr>
              <w:t>备注：</w:t>
            </w:r>
          </w:p>
        </w:tc>
      </w:tr>
    </w:tbl>
    <w:p w14:paraId="628751F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E2EE41">
        <w:tblPrEx>
          <w:tblCellMar>
            <w:top w:w="0" w:type="dxa"/>
            <w:left w:w="0" w:type="dxa"/>
            <w:bottom w:w="0" w:type="dxa"/>
            <w:right w:w="0" w:type="dxa"/>
          </w:tblCellMar>
        </w:tblPrEx>
        <w:trPr>
          <w:wBefore w:w="0" w:type="auto"/>
          <w:tblCellSpacing w:w="0" w:type="dxa"/>
        </w:trPr>
        <w:tc>
          <w:tcPr>
            <w:tcW w:w="0" w:type="auto"/>
            <w:noWrap w:val="0"/>
            <w:vAlign w:val="center"/>
          </w:tcPr>
          <w:p w14:paraId="1AC988B0">
            <w:r>
              <w:rPr>
                <w:rStyle w:val="10"/>
                <w:rFonts w:hint="eastAsia"/>
              </w:rPr>
              <w:t>登记证号：</w:t>
            </w:r>
            <w:r>
              <w:rPr>
                <w:rFonts w:hint="eastAsia"/>
              </w:rPr>
              <w:t>PD20180740</w:t>
            </w:r>
          </w:p>
        </w:tc>
      </w:tr>
      <w:tr w14:paraId="62242DEE">
        <w:tblPrEx>
          <w:tblCellMar>
            <w:top w:w="0" w:type="dxa"/>
            <w:left w:w="0" w:type="dxa"/>
            <w:bottom w:w="0" w:type="dxa"/>
            <w:right w:w="0" w:type="dxa"/>
          </w:tblCellMar>
        </w:tblPrEx>
        <w:trPr>
          <w:wBefore w:w="0" w:type="auto"/>
          <w:tblCellSpacing w:w="0" w:type="dxa"/>
        </w:trPr>
        <w:tc>
          <w:tcPr>
            <w:tcW w:w="0" w:type="auto"/>
            <w:noWrap w:val="0"/>
            <w:vAlign w:val="center"/>
          </w:tcPr>
          <w:p w14:paraId="345937A5">
            <w:r>
              <w:rPr>
                <w:rStyle w:val="10"/>
                <w:rFonts w:hint="eastAsia"/>
              </w:rPr>
              <w:t>登记证持有人：</w:t>
            </w:r>
            <w:r>
              <w:rPr>
                <w:rFonts w:hint="eastAsia"/>
              </w:rPr>
              <w:t>上海悦联化工有限公司</w:t>
            </w:r>
          </w:p>
        </w:tc>
      </w:tr>
      <w:tr w14:paraId="01AF0CF6">
        <w:tblPrEx>
          <w:tblCellMar>
            <w:top w:w="0" w:type="dxa"/>
            <w:left w:w="0" w:type="dxa"/>
            <w:bottom w:w="0" w:type="dxa"/>
            <w:right w:w="0" w:type="dxa"/>
          </w:tblCellMar>
        </w:tblPrEx>
        <w:trPr>
          <w:wBefore w:w="0" w:type="auto"/>
          <w:tblCellSpacing w:w="0" w:type="dxa"/>
        </w:trPr>
        <w:tc>
          <w:tcPr>
            <w:tcW w:w="0" w:type="auto"/>
            <w:noWrap w:val="0"/>
            <w:vAlign w:val="center"/>
          </w:tcPr>
          <w:p w14:paraId="68D59C60">
            <w:r>
              <w:rPr>
                <w:rStyle w:val="10"/>
                <w:rFonts w:hint="eastAsia"/>
              </w:rPr>
              <w:t>农药名称：</w:t>
            </w:r>
            <w:r>
              <w:rPr>
                <w:rFonts w:hint="eastAsia"/>
              </w:rPr>
              <w:t>阿维·螺虫酯</w:t>
            </w:r>
          </w:p>
        </w:tc>
      </w:tr>
      <w:tr w14:paraId="21CDC56B">
        <w:tblPrEx>
          <w:tblCellMar>
            <w:top w:w="0" w:type="dxa"/>
            <w:left w:w="0" w:type="dxa"/>
            <w:bottom w:w="0" w:type="dxa"/>
            <w:right w:w="0" w:type="dxa"/>
          </w:tblCellMar>
        </w:tblPrEx>
        <w:trPr>
          <w:wBefore w:w="0" w:type="auto"/>
          <w:tblCellSpacing w:w="0" w:type="dxa"/>
        </w:trPr>
        <w:tc>
          <w:tcPr>
            <w:tcW w:w="0" w:type="auto"/>
            <w:noWrap w:val="0"/>
            <w:vAlign w:val="center"/>
          </w:tcPr>
          <w:p w14:paraId="4D0CBA91">
            <w:r>
              <w:rPr>
                <w:rStyle w:val="10"/>
                <w:rFonts w:hint="eastAsia"/>
              </w:rPr>
              <w:t>剂型：</w:t>
            </w:r>
            <w:r>
              <w:rPr>
                <w:rFonts w:hint="eastAsia"/>
              </w:rPr>
              <w:t>悬浮剂</w:t>
            </w:r>
          </w:p>
        </w:tc>
      </w:tr>
      <w:tr w14:paraId="63297C92">
        <w:tblPrEx>
          <w:tblCellMar>
            <w:top w:w="0" w:type="dxa"/>
            <w:left w:w="0" w:type="dxa"/>
            <w:bottom w:w="0" w:type="dxa"/>
            <w:right w:w="0" w:type="dxa"/>
          </w:tblCellMar>
        </w:tblPrEx>
        <w:trPr>
          <w:wBefore w:w="0" w:type="auto"/>
          <w:tblCellSpacing w:w="0" w:type="dxa"/>
        </w:trPr>
        <w:tc>
          <w:tcPr>
            <w:tcW w:w="0" w:type="auto"/>
            <w:noWrap w:val="0"/>
            <w:vAlign w:val="center"/>
          </w:tcPr>
          <w:p w14:paraId="100E30CA">
            <w:r>
              <w:rPr>
                <w:rStyle w:val="10"/>
                <w:rFonts w:hint="eastAsia"/>
              </w:rPr>
              <w:t>毒性及其标识：</w:t>
            </w:r>
            <w:r>
              <w:rPr>
                <w:rFonts w:hint="eastAsia"/>
              </w:rPr>
              <w:t xml:space="preserve"> </w:t>
            </w:r>
            <w:r>
              <w:rPr>
                <w:lang/>
              </w:rPr>
              <w:drawing>
                <wp:inline distT="0" distB="0" distL="114300" distR="114300">
                  <wp:extent cx="476250" cy="323850"/>
                  <wp:effectExtent l="0" t="0" r="0" b="0"/>
                  <wp:docPr id="5" name="图片 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695FEF31">
        <w:tblPrEx>
          <w:tblCellMar>
            <w:top w:w="0" w:type="dxa"/>
            <w:left w:w="0" w:type="dxa"/>
            <w:bottom w:w="0" w:type="dxa"/>
            <w:right w:w="0" w:type="dxa"/>
          </w:tblCellMar>
        </w:tblPrEx>
        <w:trPr>
          <w:wBefore w:w="0" w:type="auto"/>
          <w:tblCellSpacing w:w="0" w:type="dxa"/>
        </w:trPr>
        <w:tc>
          <w:tcPr>
            <w:tcW w:w="0" w:type="auto"/>
            <w:noWrap w:val="0"/>
            <w:vAlign w:val="center"/>
          </w:tcPr>
          <w:p w14:paraId="4447502A">
            <w:r>
              <w:rPr>
                <w:rStyle w:val="10"/>
                <w:rFonts w:hint="eastAsia"/>
              </w:rPr>
              <w:t>总有效成分含量：</w:t>
            </w:r>
            <w:r>
              <w:rPr>
                <w:rFonts w:hint="eastAsia"/>
              </w:rPr>
              <w:t>28%</w:t>
            </w:r>
          </w:p>
        </w:tc>
      </w:tr>
      <w:tr w14:paraId="5F7A709D">
        <w:tblPrEx>
          <w:tblCellMar>
            <w:top w:w="0" w:type="dxa"/>
            <w:left w:w="0" w:type="dxa"/>
            <w:bottom w:w="0" w:type="dxa"/>
            <w:right w:w="0" w:type="dxa"/>
          </w:tblCellMar>
        </w:tblPrEx>
        <w:trPr>
          <w:wBefore w:w="0" w:type="auto"/>
          <w:tblCellSpacing w:w="0" w:type="dxa"/>
        </w:trPr>
        <w:tc>
          <w:tcPr>
            <w:tcW w:w="0" w:type="auto"/>
            <w:noWrap w:val="0"/>
            <w:vAlign w:val="center"/>
          </w:tcPr>
          <w:p w14:paraId="72522541">
            <w:r>
              <w:rPr>
                <w:rFonts w:hint="eastAsia"/>
              </w:rPr>
              <w:t xml:space="preserve">有效成分及其含量： </w:t>
            </w:r>
          </w:p>
          <w:p w14:paraId="56D1C08A">
            <w:r>
              <w:rPr>
                <w:rFonts w:hint="eastAsia"/>
              </w:rPr>
              <w:t xml:space="preserve">    螺虫乙酯24%    阿维菌素4%    </w:t>
            </w:r>
          </w:p>
        </w:tc>
      </w:tr>
      <w:tr w14:paraId="1416134F">
        <w:tblPrEx>
          <w:tblCellMar>
            <w:top w:w="0" w:type="dxa"/>
            <w:left w:w="0" w:type="dxa"/>
            <w:bottom w:w="0" w:type="dxa"/>
            <w:right w:w="0" w:type="dxa"/>
          </w:tblCellMar>
        </w:tblPrEx>
        <w:trPr>
          <w:wBefore w:w="0" w:type="auto"/>
          <w:tblCellSpacing w:w="0" w:type="dxa"/>
        </w:trPr>
        <w:tc>
          <w:tcPr>
            <w:tcW w:w="0" w:type="auto"/>
            <w:noWrap w:val="0"/>
            <w:vAlign w:val="center"/>
          </w:tcPr>
          <w:p w14:paraId="19BFC3E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38B3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5FC52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E86CD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9C0A2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8D14EE">
                  <w:r>
                    <w:rPr>
                      <w:rStyle w:val="11"/>
                      <w:rFonts w:hint="eastAsia"/>
                    </w:rPr>
                    <w:t>施用方式</w:t>
                  </w:r>
                </w:p>
              </w:tc>
            </w:tr>
            <w:tr w14:paraId="68BBD8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4B0F6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D244D4">
                  <w:r>
                    <w:rPr>
                      <w:rStyle w:val="11"/>
                      <w:rFonts w:hint="eastAsia"/>
                    </w:rPr>
                    <w:t>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3EF8E3">
                  <w:r>
                    <w:rPr>
                      <w:rStyle w:val="11"/>
                      <w:rFonts w:hint="eastAsia"/>
                    </w:rPr>
                    <w:t>5000-7000倍液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7EF1AC">
                  <w:r>
                    <w:rPr>
                      <w:rStyle w:val="11"/>
                      <w:rFonts w:hint="eastAsia"/>
                    </w:rPr>
                    <w:t>喷雾</w:t>
                  </w:r>
                </w:p>
              </w:tc>
            </w:tr>
          </w:tbl>
          <w:p w14:paraId="5F52579D">
            <w:pPr>
              <w:rPr>
                <w:rFonts w:ascii="Times New Roman" w:hAnsi="Times New Roman" w:cs="Times New Roman"/>
                <w:sz w:val="20"/>
                <w:szCs w:val="20"/>
              </w:rPr>
            </w:pPr>
          </w:p>
        </w:tc>
      </w:tr>
      <w:tr w14:paraId="7F9DA5A3">
        <w:tblPrEx>
          <w:tblCellMar>
            <w:top w:w="0" w:type="dxa"/>
            <w:left w:w="0" w:type="dxa"/>
            <w:bottom w:w="0" w:type="dxa"/>
            <w:right w:w="0" w:type="dxa"/>
          </w:tblCellMar>
        </w:tblPrEx>
        <w:trPr>
          <w:wBefore w:w="0" w:type="auto"/>
          <w:tblCellSpacing w:w="0" w:type="dxa"/>
        </w:trPr>
        <w:tc>
          <w:tcPr>
            <w:tcW w:w="0" w:type="auto"/>
            <w:noWrap w:val="0"/>
            <w:vAlign w:val="center"/>
          </w:tcPr>
          <w:p w14:paraId="5203D7D6">
            <w:r>
              <w:rPr>
                <w:rStyle w:val="10"/>
                <w:rFonts w:hint="eastAsia"/>
              </w:rPr>
              <w:t>使用技术要求:</w:t>
            </w:r>
            <w:r>
              <w:rPr>
                <w:rFonts w:hint="eastAsia"/>
              </w:rPr>
              <w:br w:type="textWrapping"/>
            </w:r>
            <w:r>
              <w:rPr>
                <w:rStyle w:val="11"/>
                <w:rFonts w:hint="eastAsia"/>
              </w:rPr>
              <w:t>1 本品在柑橘上每季最多施用2次，安全间隔期为30天。本品在番茄上每季最多施用2次，安全间隔期为10天。 2.用于防治柑橘树红蜘蛛时应于红蜘蛛发生初期喷雾，用于防治介壳虫时，应于介壳虫低龄若虫盛期喷雾，用于防治木虱时于柑橘树木虱若虫发生初期喷雾施药1次，在柑橘上每季可连续使用1-2次，施药间隔期为15天，注意均匀喷雾。 3.用于防治番茄蚜虫、烟粉虱、蓟马时，应于害虫低龄若虫始盛期喷雾，每季可连续使用1-2次，施药间隔期为10天。 3.大风或预计4小时内有雨，请勿施药。 4.柑橘树的亩推荐用水量2000-3000升/公顷。</w:t>
            </w:r>
          </w:p>
        </w:tc>
      </w:tr>
      <w:tr w14:paraId="427E292D">
        <w:tblPrEx>
          <w:tblCellMar>
            <w:top w:w="0" w:type="dxa"/>
            <w:left w:w="0" w:type="dxa"/>
            <w:bottom w:w="0" w:type="dxa"/>
            <w:right w:w="0" w:type="dxa"/>
          </w:tblCellMar>
        </w:tblPrEx>
        <w:trPr>
          <w:wBefore w:w="0" w:type="auto"/>
          <w:tblCellSpacing w:w="0" w:type="dxa"/>
        </w:trPr>
        <w:tc>
          <w:tcPr>
            <w:tcW w:w="0" w:type="auto"/>
            <w:noWrap w:val="0"/>
            <w:vAlign w:val="center"/>
          </w:tcPr>
          <w:p w14:paraId="2CF5933C">
            <w:r>
              <w:rPr>
                <w:rStyle w:val="10"/>
                <w:rFonts w:hint="eastAsia"/>
              </w:rPr>
              <w:t>产品性能:</w:t>
            </w:r>
            <w:r>
              <w:rPr>
                <w:rFonts w:hint="eastAsia"/>
              </w:rPr>
              <w:br w:type="textWrapping"/>
            </w:r>
            <w:r>
              <w:rPr>
                <w:rStyle w:val="11"/>
                <w:rFonts w:hint="eastAsia"/>
              </w:rPr>
              <w:t>阿维菌素为大环内酯双糖类化合物，其作用机理是阻碍害虫运动神经信息传导而使身体麻痹死亡，具有触杀和胃毒作用，并有微弱的熏蒸作用，且对叶片有较强的渗透作用，可杀死表皮下的害虫；螺虫乙酯是防治刺吸式口器害虫的杀虫剂，持效期长，能干扰害虫脂肪合成、阻断能量代谢，内吸性强，可在植物体内上下传导。阿维菌素与螺虫乙酯混配对柑橘树红蜘蛛、介壳虫、番茄蚜虫、烟粉虱、蓟马有较好的防治效果。</w:t>
            </w:r>
          </w:p>
        </w:tc>
      </w:tr>
      <w:tr w14:paraId="590C8A57">
        <w:tblPrEx>
          <w:tblCellMar>
            <w:top w:w="0" w:type="dxa"/>
            <w:left w:w="0" w:type="dxa"/>
            <w:bottom w:w="0" w:type="dxa"/>
            <w:right w:w="0" w:type="dxa"/>
          </w:tblCellMar>
        </w:tblPrEx>
        <w:trPr>
          <w:wBefore w:w="0" w:type="auto"/>
          <w:tblCellSpacing w:w="0" w:type="dxa"/>
        </w:trPr>
        <w:tc>
          <w:tcPr>
            <w:tcW w:w="0" w:type="auto"/>
            <w:noWrap w:val="0"/>
            <w:vAlign w:val="center"/>
          </w:tcPr>
          <w:p w14:paraId="183E9B9D">
            <w:r>
              <w:rPr>
                <w:rStyle w:val="10"/>
                <w:rFonts w:hint="eastAsia"/>
              </w:rPr>
              <w:t>注意事项：</w:t>
            </w:r>
            <w:r>
              <w:rPr>
                <w:rFonts w:hint="eastAsia"/>
              </w:rPr>
              <w:br w:type="textWrapping"/>
            </w:r>
            <w:r>
              <w:rPr>
                <w:rStyle w:val="11"/>
                <w:rFonts w:hint="eastAsia"/>
              </w:rPr>
              <w:t>1.请按照农药安全使用准则用药。配制和使用本品应穿防护服，戴防护眼罩、防渗手套等，期间不可吸烟、饮水、吃东西等，避免药液溅到皮肤眼睛等处、避免吸入药液、避免误食药液。施药后要用肥皂和足量的清水清洗手、面和其他暴露部位皮肤，洗澡并及时更换衣物。工作服应同其他衣物分开清洗。 2.建议与其他作用机制不同的杀虫剂轮换使用。 3.本品对鱼类等水生生物有毒，应远离水产养殖区、河塘等水体施药。防止喷雾液滴或漂移、废弃物污染水井、池塘和水源。禁止在河塘等水体中清洗施药器具。对蜜蜂高毒、对家蚕剧毒，施药期间应避免对周围蜂群的影响，（周围）开花植物花期禁用，施药期间应密切关注对附近蜂群的影响； 蚕室和桑园附近禁用。有觅食蜜蜂活跃的地方禁止使用本品。使用时防止雾滴飘移到附近开花野草、树篱或其他开花作物上。赤眼蜂、瓢虫等天敌放飞区禁用。 4.应依照当地法律法规妥善处理农药空包装。使用过的铝箔袋空包装，请直接带离田间，安全保存，并交有资质的部门统一高温焚烧处理；其他类型的空包装，请用清水冲洗三次后，带离田间，妥善处理；切勿重复使用或改作其它用途。所有施药器具，用后应立即用清水或适当的洗涤剂清洗。 5避免孕妇及哺乳期妇女接触此药。</w:t>
            </w:r>
          </w:p>
        </w:tc>
      </w:tr>
      <w:tr w14:paraId="4E5D53A4">
        <w:tblPrEx>
          <w:tblCellMar>
            <w:top w:w="0" w:type="dxa"/>
            <w:left w:w="0" w:type="dxa"/>
            <w:bottom w:w="0" w:type="dxa"/>
            <w:right w:w="0" w:type="dxa"/>
          </w:tblCellMar>
        </w:tblPrEx>
        <w:trPr>
          <w:wBefore w:w="0" w:type="auto"/>
          <w:tblCellSpacing w:w="0" w:type="dxa"/>
        </w:trPr>
        <w:tc>
          <w:tcPr>
            <w:tcW w:w="0" w:type="auto"/>
            <w:noWrap w:val="0"/>
            <w:vAlign w:val="center"/>
          </w:tcPr>
          <w:p w14:paraId="76BD74E3">
            <w:r>
              <w:rPr>
                <w:rStyle w:val="10"/>
                <w:rFonts w:hint="eastAsia"/>
              </w:rPr>
              <w:t>中毒急救措施：</w:t>
            </w:r>
            <w:r>
              <w:rPr>
                <w:rFonts w:hint="eastAsia"/>
              </w:rPr>
              <w:br w:type="textWrapping"/>
            </w:r>
            <w:r>
              <w:rPr>
                <w:rStyle w:val="11"/>
                <w:rFonts w:hint="eastAsia"/>
              </w:rPr>
              <w:t>使用中或使用后若感觉不适，应立即停止工作，采取急救措施，并携带此标签到医院就诊。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如发生中毒情况，请拨打中国疾控中心中毒控制中心24小时咨询服务热线： 400 650 5726</w:t>
            </w:r>
          </w:p>
        </w:tc>
      </w:tr>
      <w:tr w14:paraId="1855C22B">
        <w:tblPrEx>
          <w:tblCellMar>
            <w:top w:w="0" w:type="dxa"/>
            <w:left w:w="0" w:type="dxa"/>
            <w:bottom w:w="0" w:type="dxa"/>
            <w:right w:w="0" w:type="dxa"/>
          </w:tblCellMar>
        </w:tblPrEx>
        <w:trPr>
          <w:wBefore w:w="0" w:type="auto"/>
          <w:tblCellSpacing w:w="0" w:type="dxa"/>
        </w:trPr>
        <w:tc>
          <w:tcPr>
            <w:tcW w:w="0" w:type="auto"/>
            <w:noWrap w:val="0"/>
            <w:vAlign w:val="center"/>
          </w:tcPr>
          <w:p w14:paraId="6237288E">
            <w:r>
              <w:rPr>
                <w:rStyle w:val="10"/>
                <w:rFonts w:hint="eastAsia"/>
              </w:rPr>
              <w:t>储存和运输方法：</w:t>
            </w:r>
            <w:r>
              <w:rPr>
                <w:rFonts w:hint="eastAsia"/>
              </w:rPr>
              <w:br w:type="textWrapping"/>
            </w:r>
            <w:r>
              <w:rPr>
                <w:rStyle w:val="11"/>
                <w:rFonts w:hint="eastAsia"/>
              </w:rPr>
              <w:t>本品应贮存在干燥、阴凉、通风、防雨处，远离火源和热源。置于儿童、无关人员及动物触及不到之处，并加锁保存。勿与食品、饮料、粮食、饲料等其他商品同贮同运。</w:t>
            </w:r>
          </w:p>
        </w:tc>
      </w:tr>
      <w:tr w14:paraId="34E61B1E">
        <w:tblPrEx>
          <w:tblCellMar>
            <w:top w:w="0" w:type="dxa"/>
            <w:left w:w="0" w:type="dxa"/>
            <w:bottom w:w="0" w:type="dxa"/>
            <w:right w:w="0" w:type="dxa"/>
          </w:tblCellMar>
        </w:tblPrEx>
        <w:trPr>
          <w:wBefore w:w="0" w:type="auto"/>
          <w:tblCellSpacing w:w="0" w:type="dxa"/>
        </w:trPr>
        <w:tc>
          <w:tcPr>
            <w:tcW w:w="0" w:type="auto"/>
            <w:noWrap w:val="0"/>
            <w:vAlign w:val="center"/>
          </w:tcPr>
          <w:p w14:paraId="73212016">
            <w:r>
              <w:rPr>
                <w:rStyle w:val="10"/>
                <w:rFonts w:hint="eastAsia"/>
              </w:rPr>
              <w:t>质量保证期：</w:t>
            </w:r>
            <w:r>
              <w:rPr>
                <w:rStyle w:val="11"/>
                <w:rFonts w:hint="eastAsia"/>
              </w:rPr>
              <w:t>2年</w:t>
            </w:r>
          </w:p>
        </w:tc>
      </w:tr>
      <w:tr w14:paraId="553D3A1E">
        <w:tblPrEx>
          <w:tblCellMar>
            <w:top w:w="0" w:type="dxa"/>
            <w:left w:w="0" w:type="dxa"/>
            <w:bottom w:w="0" w:type="dxa"/>
            <w:right w:w="0" w:type="dxa"/>
          </w:tblCellMar>
        </w:tblPrEx>
        <w:trPr>
          <w:wBefore w:w="0" w:type="auto"/>
          <w:tblCellSpacing w:w="0" w:type="dxa"/>
        </w:trPr>
        <w:tc>
          <w:tcPr>
            <w:tcW w:w="0" w:type="auto"/>
            <w:noWrap w:val="0"/>
            <w:vAlign w:val="center"/>
          </w:tcPr>
          <w:p w14:paraId="2D41819B">
            <w:r>
              <w:rPr>
                <w:rStyle w:val="10"/>
                <w:rFonts w:hint="eastAsia"/>
              </w:rPr>
              <w:t>备注：</w:t>
            </w:r>
          </w:p>
        </w:tc>
      </w:tr>
    </w:tbl>
    <w:p w14:paraId="1BB1071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579E73">
        <w:tblPrEx>
          <w:tblCellMar>
            <w:top w:w="0" w:type="dxa"/>
            <w:left w:w="0" w:type="dxa"/>
            <w:bottom w:w="0" w:type="dxa"/>
            <w:right w:w="0" w:type="dxa"/>
          </w:tblCellMar>
        </w:tblPrEx>
        <w:trPr>
          <w:wBefore w:w="0" w:type="auto"/>
          <w:tblCellSpacing w:w="0" w:type="dxa"/>
        </w:trPr>
        <w:tc>
          <w:tcPr>
            <w:tcW w:w="0" w:type="auto"/>
            <w:noWrap w:val="0"/>
            <w:vAlign w:val="center"/>
          </w:tcPr>
          <w:p w14:paraId="72C165C5">
            <w:r>
              <w:rPr>
                <w:rStyle w:val="10"/>
                <w:rFonts w:hint="eastAsia"/>
              </w:rPr>
              <w:t>登记证号：</w:t>
            </w:r>
            <w:r>
              <w:rPr>
                <w:rFonts w:hint="eastAsia"/>
              </w:rPr>
              <w:t>PD20212469</w:t>
            </w:r>
          </w:p>
        </w:tc>
      </w:tr>
      <w:tr w14:paraId="60700FFF">
        <w:tblPrEx>
          <w:tblCellMar>
            <w:top w:w="0" w:type="dxa"/>
            <w:left w:w="0" w:type="dxa"/>
            <w:bottom w:w="0" w:type="dxa"/>
            <w:right w:w="0" w:type="dxa"/>
          </w:tblCellMar>
        </w:tblPrEx>
        <w:trPr>
          <w:wBefore w:w="0" w:type="auto"/>
          <w:tblCellSpacing w:w="0" w:type="dxa"/>
        </w:trPr>
        <w:tc>
          <w:tcPr>
            <w:tcW w:w="0" w:type="auto"/>
            <w:noWrap w:val="0"/>
            <w:vAlign w:val="center"/>
          </w:tcPr>
          <w:p w14:paraId="3EBFAE4A">
            <w:r>
              <w:rPr>
                <w:rStyle w:val="10"/>
                <w:rFonts w:hint="eastAsia"/>
              </w:rPr>
              <w:t>登记证持有人：</w:t>
            </w:r>
            <w:r>
              <w:rPr>
                <w:rFonts w:hint="eastAsia"/>
              </w:rPr>
              <w:t>潍坊先达化工有限公司</w:t>
            </w:r>
          </w:p>
        </w:tc>
      </w:tr>
      <w:tr w14:paraId="2BA9E2FC">
        <w:tblPrEx>
          <w:tblCellMar>
            <w:top w:w="0" w:type="dxa"/>
            <w:left w:w="0" w:type="dxa"/>
            <w:bottom w:w="0" w:type="dxa"/>
            <w:right w:w="0" w:type="dxa"/>
          </w:tblCellMar>
        </w:tblPrEx>
        <w:trPr>
          <w:wBefore w:w="0" w:type="auto"/>
          <w:tblCellSpacing w:w="0" w:type="dxa"/>
        </w:trPr>
        <w:tc>
          <w:tcPr>
            <w:tcW w:w="0" w:type="auto"/>
            <w:noWrap w:val="0"/>
            <w:vAlign w:val="center"/>
          </w:tcPr>
          <w:p w14:paraId="4CFAC575">
            <w:r>
              <w:rPr>
                <w:rStyle w:val="10"/>
                <w:rFonts w:hint="eastAsia"/>
              </w:rPr>
              <w:t>农药名称：</w:t>
            </w:r>
            <w:r>
              <w:rPr>
                <w:rFonts w:hint="eastAsia"/>
              </w:rPr>
              <w:t>异噁草松</w:t>
            </w:r>
          </w:p>
        </w:tc>
      </w:tr>
      <w:tr w14:paraId="513A565F">
        <w:tblPrEx>
          <w:tblCellMar>
            <w:top w:w="0" w:type="dxa"/>
            <w:left w:w="0" w:type="dxa"/>
            <w:bottom w:w="0" w:type="dxa"/>
            <w:right w:w="0" w:type="dxa"/>
          </w:tblCellMar>
        </w:tblPrEx>
        <w:trPr>
          <w:wBefore w:w="0" w:type="auto"/>
          <w:tblCellSpacing w:w="0" w:type="dxa"/>
        </w:trPr>
        <w:tc>
          <w:tcPr>
            <w:tcW w:w="0" w:type="auto"/>
            <w:noWrap w:val="0"/>
            <w:vAlign w:val="center"/>
          </w:tcPr>
          <w:p w14:paraId="68865922">
            <w:r>
              <w:rPr>
                <w:rStyle w:val="10"/>
                <w:rFonts w:hint="eastAsia"/>
              </w:rPr>
              <w:t>剂型：</w:t>
            </w:r>
            <w:r>
              <w:rPr>
                <w:rFonts w:hint="eastAsia"/>
              </w:rPr>
              <w:t>乳油</w:t>
            </w:r>
          </w:p>
        </w:tc>
      </w:tr>
      <w:tr w14:paraId="43DC3A68">
        <w:tblPrEx>
          <w:tblCellMar>
            <w:top w:w="0" w:type="dxa"/>
            <w:left w:w="0" w:type="dxa"/>
            <w:bottom w:w="0" w:type="dxa"/>
            <w:right w:w="0" w:type="dxa"/>
          </w:tblCellMar>
        </w:tblPrEx>
        <w:trPr>
          <w:wBefore w:w="0" w:type="auto"/>
          <w:tblCellSpacing w:w="0" w:type="dxa"/>
        </w:trPr>
        <w:tc>
          <w:tcPr>
            <w:tcW w:w="0" w:type="auto"/>
            <w:noWrap w:val="0"/>
            <w:vAlign w:val="center"/>
          </w:tcPr>
          <w:p w14:paraId="343F5A4E">
            <w:r>
              <w:rPr>
                <w:rStyle w:val="10"/>
                <w:rFonts w:hint="eastAsia"/>
              </w:rPr>
              <w:t>毒性及其标识：</w:t>
            </w:r>
            <w:r>
              <w:rPr>
                <w:rFonts w:hint="eastAsia"/>
              </w:rPr>
              <w:t xml:space="preserve"> </w:t>
            </w:r>
            <w:r>
              <w:rPr>
                <w:lang/>
              </w:rPr>
              <w:drawing>
                <wp:inline distT="0" distB="0" distL="114300" distR="114300">
                  <wp:extent cx="476250" cy="323850"/>
                  <wp:effectExtent l="0" t="0" r="0" b="0"/>
                  <wp:docPr id="6" name="图片 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D6B210">
        <w:tblPrEx>
          <w:tblCellMar>
            <w:top w:w="0" w:type="dxa"/>
            <w:left w:w="0" w:type="dxa"/>
            <w:bottom w:w="0" w:type="dxa"/>
            <w:right w:w="0" w:type="dxa"/>
          </w:tblCellMar>
        </w:tblPrEx>
        <w:trPr>
          <w:wBefore w:w="0" w:type="auto"/>
          <w:tblCellSpacing w:w="0" w:type="dxa"/>
        </w:trPr>
        <w:tc>
          <w:tcPr>
            <w:tcW w:w="0" w:type="auto"/>
            <w:noWrap w:val="0"/>
            <w:vAlign w:val="center"/>
          </w:tcPr>
          <w:p w14:paraId="082AF4CB">
            <w:r>
              <w:rPr>
                <w:rStyle w:val="10"/>
                <w:rFonts w:hint="eastAsia"/>
              </w:rPr>
              <w:t>总有效成分含量：</w:t>
            </w:r>
            <w:r>
              <w:rPr>
                <w:rFonts w:hint="eastAsia"/>
              </w:rPr>
              <w:t>480克/升</w:t>
            </w:r>
          </w:p>
        </w:tc>
      </w:tr>
      <w:tr w14:paraId="350C2996">
        <w:tblPrEx>
          <w:tblCellMar>
            <w:top w:w="0" w:type="dxa"/>
            <w:left w:w="0" w:type="dxa"/>
            <w:bottom w:w="0" w:type="dxa"/>
            <w:right w:w="0" w:type="dxa"/>
          </w:tblCellMar>
        </w:tblPrEx>
        <w:trPr>
          <w:wBefore w:w="0" w:type="auto"/>
          <w:tblCellSpacing w:w="0" w:type="dxa"/>
        </w:trPr>
        <w:tc>
          <w:tcPr>
            <w:tcW w:w="0" w:type="auto"/>
            <w:noWrap w:val="0"/>
            <w:vAlign w:val="center"/>
          </w:tcPr>
          <w:p w14:paraId="2BEFB279">
            <w:r>
              <w:rPr>
                <w:rFonts w:hint="eastAsia"/>
              </w:rPr>
              <w:t xml:space="preserve">有效成分及其含量： </w:t>
            </w:r>
          </w:p>
          <w:p w14:paraId="23CF00EF">
            <w:r>
              <w:rPr>
                <w:rFonts w:hint="eastAsia"/>
              </w:rPr>
              <w:t xml:space="preserve">    异噁草松480克/升    </w:t>
            </w:r>
          </w:p>
        </w:tc>
      </w:tr>
      <w:tr w14:paraId="0250DA18">
        <w:tblPrEx>
          <w:tblCellMar>
            <w:top w:w="0" w:type="dxa"/>
            <w:left w:w="0" w:type="dxa"/>
            <w:bottom w:w="0" w:type="dxa"/>
            <w:right w:w="0" w:type="dxa"/>
          </w:tblCellMar>
        </w:tblPrEx>
        <w:trPr>
          <w:wBefore w:w="0" w:type="auto"/>
          <w:tblCellSpacing w:w="0" w:type="dxa"/>
        </w:trPr>
        <w:tc>
          <w:tcPr>
            <w:tcW w:w="0" w:type="auto"/>
            <w:noWrap w:val="0"/>
            <w:vAlign w:val="center"/>
          </w:tcPr>
          <w:p w14:paraId="7143751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BEBE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D728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3F1A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008D7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EA3E4F">
                  <w:r>
                    <w:rPr>
                      <w:rStyle w:val="11"/>
                      <w:rFonts w:hint="eastAsia"/>
                    </w:rPr>
                    <w:t>施用方式</w:t>
                  </w:r>
                </w:p>
              </w:tc>
            </w:tr>
            <w:tr w14:paraId="438AD5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ED7085">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089CA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F34A78">
                  <w:r>
                    <w:rPr>
                      <w:rStyle w:val="11"/>
                      <w:rFonts w:hint="eastAsia"/>
                    </w:rPr>
                    <w:t>117-146毫升/亩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1B71EE">
                  <w:r>
                    <w:rPr>
                      <w:rStyle w:val="11"/>
                      <w:rFonts w:hint="eastAsia"/>
                    </w:rPr>
                    <w:t>土壤喷雾</w:t>
                  </w:r>
                </w:p>
              </w:tc>
            </w:tr>
          </w:tbl>
          <w:p w14:paraId="451A1C6E">
            <w:pPr>
              <w:rPr>
                <w:rFonts w:ascii="Times New Roman" w:hAnsi="Times New Roman" w:cs="Times New Roman"/>
                <w:sz w:val="20"/>
                <w:szCs w:val="20"/>
              </w:rPr>
            </w:pPr>
          </w:p>
        </w:tc>
      </w:tr>
      <w:tr w14:paraId="6D4E0A7E">
        <w:tblPrEx>
          <w:tblCellMar>
            <w:top w:w="0" w:type="dxa"/>
            <w:left w:w="0" w:type="dxa"/>
            <w:bottom w:w="0" w:type="dxa"/>
            <w:right w:w="0" w:type="dxa"/>
          </w:tblCellMar>
        </w:tblPrEx>
        <w:trPr>
          <w:wBefore w:w="0" w:type="auto"/>
          <w:tblCellSpacing w:w="0" w:type="dxa"/>
        </w:trPr>
        <w:tc>
          <w:tcPr>
            <w:tcW w:w="0" w:type="auto"/>
            <w:noWrap w:val="0"/>
            <w:vAlign w:val="center"/>
          </w:tcPr>
          <w:p w14:paraId="6B410535">
            <w:r>
              <w:rPr>
                <w:rStyle w:val="10"/>
                <w:rFonts w:hint="eastAsia"/>
              </w:rPr>
              <w:t>使用技术要求:</w:t>
            </w:r>
            <w:r>
              <w:rPr>
                <w:rFonts w:hint="eastAsia"/>
              </w:rPr>
              <w:br w:type="textWrapping"/>
            </w:r>
            <w:r>
              <w:rPr>
                <w:rStyle w:val="11"/>
                <w:rFonts w:hint="eastAsia"/>
              </w:rPr>
              <w:t>1. 在春大豆播后苗前，以推荐剂量兑水均匀土壤喷雾施药1次。注意事项：尽量选择无风的天气施药，避免飘移药害。2. 每季最多使用1次。</w:t>
            </w:r>
          </w:p>
        </w:tc>
      </w:tr>
      <w:tr w14:paraId="0DF50BB1">
        <w:tblPrEx>
          <w:tblCellMar>
            <w:top w:w="0" w:type="dxa"/>
            <w:left w:w="0" w:type="dxa"/>
            <w:bottom w:w="0" w:type="dxa"/>
            <w:right w:w="0" w:type="dxa"/>
          </w:tblCellMar>
        </w:tblPrEx>
        <w:trPr>
          <w:wBefore w:w="0" w:type="auto"/>
          <w:tblCellSpacing w:w="0" w:type="dxa"/>
        </w:trPr>
        <w:tc>
          <w:tcPr>
            <w:tcW w:w="0" w:type="auto"/>
            <w:noWrap w:val="0"/>
            <w:vAlign w:val="center"/>
          </w:tcPr>
          <w:p w14:paraId="71EA7784">
            <w:r>
              <w:rPr>
                <w:rStyle w:val="10"/>
                <w:rFonts w:hint="eastAsia"/>
              </w:rPr>
              <w:t>产品性能:</w:t>
            </w:r>
            <w:r>
              <w:rPr>
                <w:rFonts w:hint="eastAsia"/>
              </w:rPr>
              <w:br w:type="textWrapping"/>
            </w:r>
            <w:r>
              <w:rPr>
                <w:rStyle w:val="11"/>
                <w:rFonts w:hint="eastAsia"/>
              </w:rPr>
              <w:t>本品选择性苗前除草剂，被吸收后可控制敏感植物叶绿素的生物合成，使植物在短期内死亡。大豆具特异代谢作用，使其变为无杀草作用的代谢物而具有选择性。与土壤有中等程度的粘合性，土壤中主要由微生物降解</w:t>
            </w:r>
          </w:p>
        </w:tc>
      </w:tr>
      <w:tr w14:paraId="694DA48E">
        <w:tblPrEx>
          <w:tblCellMar>
            <w:top w:w="0" w:type="dxa"/>
            <w:left w:w="0" w:type="dxa"/>
            <w:bottom w:w="0" w:type="dxa"/>
            <w:right w:w="0" w:type="dxa"/>
          </w:tblCellMar>
        </w:tblPrEx>
        <w:trPr>
          <w:wBefore w:w="0" w:type="auto"/>
          <w:tblCellSpacing w:w="0" w:type="dxa"/>
        </w:trPr>
        <w:tc>
          <w:tcPr>
            <w:tcW w:w="0" w:type="auto"/>
            <w:noWrap w:val="0"/>
            <w:vAlign w:val="center"/>
          </w:tcPr>
          <w:p w14:paraId="2E561AB0">
            <w:r>
              <w:rPr>
                <w:rStyle w:val="10"/>
                <w:rFonts w:hint="eastAsia"/>
              </w:rPr>
              <w:t>注意事项：</w:t>
            </w:r>
            <w:r>
              <w:rPr>
                <w:rFonts w:hint="eastAsia"/>
              </w:rPr>
              <w:br w:type="textWrapping"/>
            </w:r>
            <w:r>
              <w:rPr>
                <w:rStyle w:val="11"/>
                <w:rFonts w:hint="eastAsia"/>
              </w:rPr>
              <w:t>1. 此药在土壤中的生物活性可持续6个月以上，施用此药当年的秋天(即施用后4-5个月)或次年春天(即施用后6-10个月)，都不宜种植小麦、大麦、燕麦、黑麦、谷子、苜蓿。施用此药之后的次年春季，可以种植水稻、玉米、棉花、花生、向日葵等作物。可根据每一耕作区的具体条件安排后茬作物。2. 此药可与赛克、利谷隆、氟乐灵、拉索等剂混用。用药量同单用，赛克为单用的1/2，利谷隆为单用的2/3。当土壤砂性过强、有机含量过低或土壤偏碱性时，本品不宜与赛克混用，否则会使大豆产生药害。3.本品对眼睛有刺激性，使用时避免接触眼睛，穿戴长衣、长裤、帽子、口罩、手套等防护措施，使用后应及时清洗皮肤及所穿衣物。4. 本品对鸟类、蜜蜂、鱼类等水生生物、家蚕有毒，施药期间应避免对周围蜂群的影响，禁止在开花植物花期、蚕室和桑园附近使用。5. 远离水产养殖区、河塘等水域施药。禁止在河塘等水域清洗施药器具。6. 赤眼蜂、瓢虫等天敌放飞区域禁用。7. 避免孕妇和哺乳期的妇女接触本品。8. 用过的容器应妥善处理，不可随意丢弃或作他用。</w:t>
            </w:r>
          </w:p>
        </w:tc>
      </w:tr>
      <w:tr w14:paraId="7E8DFFA0">
        <w:tblPrEx>
          <w:tblCellMar>
            <w:top w:w="0" w:type="dxa"/>
            <w:left w:w="0" w:type="dxa"/>
            <w:bottom w:w="0" w:type="dxa"/>
            <w:right w:w="0" w:type="dxa"/>
          </w:tblCellMar>
        </w:tblPrEx>
        <w:trPr>
          <w:wBefore w:w="0" w:type="auto"/>
          <w:tblCellSpacing w:w="0" w:type="dxa"/>
        </w:trPr>
        <w:tc>
          <w:tcPr>
            <w:tcW w:w="0" w:type="auto"/>
            <w:noWrap w:val="0"/>
            <w:vAlign w:val="center"/>
          </w:tcPr>
          <w:p w14:paraId="3C6D8A1C">
            <w:r>
              <w:rPr>
                <w:rStyle w:val="10"/>
                <w:rFonts w:hint="eastAsia"/>
              </w:rPr>
              <w:t>中毒急救措施：</w:t>
            </w:r>
            <w:r>
              <w:rPr>
                <w:rFonts w:hint="eastAsia"/>
              </w:rPr>
              <w:br w:type="textWrapping"/>
            </w:r>
            <w:r>
              <w:rPr>
                <w:rStyle w:val="11"/>
                <w:rFonts w:hint="eastAsia"/>
              </w:rPr>
              <w:t>中毒症状：药液接触眼睛会使角膜暂时不透明，肺部有异常反应。 急救治疗：如误食，不要催吐，应使病人静卧勿动，请医生对症治疗。</w:t>
            </w:r>
          </w:p>
        </w:tc>
      </w:tr>
      <w:tr w14:paraId="22757C81">
        <w:tblPrEx>
          <w:tblCellMar>
            <w:top w:w="0" w:type="dxa"/>
            <w:left w:w="0" w:type="dxa"/>
            <w:bottom w:w="0" w:type="dxa"/>
            <w:right w:w="0" w:type="dxa"/>
          </w:tblCellMar>
        </w:tblPrEx>
        <w:trPr>
          <w:wBefore w:w="0" w:type="auto"/>
          <w:tblCellSpacing w:w="0" w:type="dxa"/>
        </w:trPr>
        <w:tc>
          <w:tcPr>
            <w:tcW w:w="0" w:type="auto"/>
            <w:noWrap w:val="0"/>
            <w:vAlign w:val="center"/>
          </w:tcPr>
          <w:p w14:paraId="4C5F43F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本品应贮存在干燥、阴凉、通风、防雨处，远离火源或热源。置于儿童、无关人员触及不到之处，并加锁保存。勿与食品、饮料、粮食、饲料等物其他商品同贮同运</w:t>
            </w:r>
          </w:p>
        </w:tc>
      </w:tr>
      <w:tr w14:paraId="36634FD3">
        <w:tblPrEx>
          <w:tblCellMar>
            <w:top w:w="0" w:type="dxa"/>
            <w:left w:w="0" w:type="dxa"/>
            <w:bottom w:w="0" w:type="dxa"/>
            <w:right w:w="0" w:type="dxa"/>
          </w:tblCellMar>
        </w:tblPrEx>
        <w:trPr>
          <w:wBefore w:w="0" w:type="auto"/>
          <w:tblCellSpacing w:w="0" w:type="dxa"/>
        </w:trPr>
        <w:tc>
          <w:tcPr>
            <w:tcW w:w="0" w:type="auto"/>
            <w:noWrap w:val="0"/>
            <w:vAlign w:val="center"/>
          </w:tcPr>
          <w:p w14:paraId="01CA4B1C">
            <w:r>
              <w:rPr>
                <w:rStyle w:val="10"/>
                <w:rFonts w:hint="eastAsia"/>
              </w:rPr>
              <w:t>质量保证期：</w:t>
            </w:r>
            <w:r>
              <w:rPr>
                <w:rStyle w:val="11"/>
                <w:rFonts w:hint="eastAsia"/>
              </w:rPr>
              <w:t>2年</w:t>
            </w:r>
          </w:p>
        </w:tc>
      </w:tr>
      <w:tr w14:paraId="2059AE0B">
        <w:tblPrEx>
          <w:tblCellMar>
            <w:top w:w="0" w:type="dxa"/>
            <w:left w:w="0" w:type="dxa"/>
            <w:bottom w:w="0" w:type="dxa"/>
            <w:right w:w="0" w:type="dxa"/>
          </w:tblCellMar>
        </w:tblPrEx>
        <w:trPr>
          <w:wBefore w:w="0" w:type="auto"/>
          <w:tblCellSpacing w:w="0" w:type="dxa"/>
        </w:trPr>
        <w:tc>
          <w:tcPr>
            <w:tcW w:w="0" w:type="auto"/>
            <w:noWrap w:val="0"/>
            <w:vAlign w:val="center"/>
          </w:tcPr>
          <w:p w14:paraId="5907B50A">
            <w:r>
              <w:rPr>
                <w:rStyle w:val="10"/>
                <w:rFonts w:hint="eastAsia"/>
              </w:rPr>
              <w:t>备注：</w:t>
            </w:r>
            <w:r>
              <w:rPr>
                <w:rFonts w:hint="eastAsia"/>
              </w:rPr>
              <w:br w:type="textWrapping"/>
            </w:r>
            <w:r>
              <w:rPr>
                <w:rStyle w:val="11"/>
                <w:rFonts w:hint="eastAsia"/>
              </w:rPr>
              <w:t>质量分数45%。</w:t>
            </w:r>
          </w:p>
        </w:tc>
      </w:tr>
    </w:tbl>
    <w:p w14:paraId="6AA10F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C6128A">
        <w:tblPrEx>
          <w:tblCellMar>
            <w:top w:w="0" w:type="dxa"/>
            <w:left w:w="0" w:type="dxa"/>
            <w:bottom w:w="0" w:type="dxa"/>
            <w:right w:w="0" w:type="dxa"/>
          </w:tblCellMar>
        </w:tblPrEx>
        <w:trPr>
          <w:wBefore w:w="0" w:type="auto"/>
          <w:tblCellSpacing w:w="0" w:type="dxa"/>
        </w:trPr>
        <w:tc>
          <w:tcPr>
            <w:tcW w:w="0" w:type="auto"/>
            <w:noWrap w:val="0"/>
            <w:vAlign w:val="center"/>
          </w:tcPr>
          <w:p w14:paraId="4A29FCA6">
            <w:r>
              <w:rPr>
                <w:rStyle w:val="10"/>
                <w:rFonts w:hint="eastAsia"/>
              </w:rPr>
              <w:t>登记证号：</w:t>
            </w:r>
            <w:r>
              <w:rPr>
                <w:rFonts w:hint="eastAsia"/>
              </w:rPr>
              <w:t>PD20212353</w:t>
            </w:r>
          </w:p>
        </w:tc>
      </w:tr>
      <w:tr w14:paraId="62A8C86B">
        <w:tblPrEx>
          <w:tblCellMar>
            <w:top w:w="0" w:type="dxa"/>
            <w:left w:w="0" w:type="dxa"/>
            <w:bottom w:w="0" w:type="dxa"/>
            <w:right w:w="0" w:type="dxa"/>
          </w:tblCellMar>
        </w:tblPrEx>
        <w:trPr>
          <w:wBefore w:w="0" w:type="auto"/>
          <w:tblCellSpacing w:w="0" w:type="dxa"/>
        </w:trPr>
        <w:tc>
          <w:tcPr>
            <w:tcW w:w="0" w:type="auto"/>
            <w:noWrap w:val="0"/>
            <w:vAlign w:val="center"/>
          </w:tcPr>
          <w:p w14:paraId="73035F47">
            <w:r>
              <w:rPr>
                <w:rStyle w:val="10"/>
                <w:rFonts w:hint="eastAsia"/>
              </w:rPr>
              <w:t>登记证持有人：</w:t>
            </w:r>
            <w:r>
              <w:rPr>
                <w:rFonts w:hint="eastAsia"/>
              </w:rPr>
              <w:t>六夫丁作物保护有限公司</w:t>
            </w:r>
          </w:p>
        </w:tc>
      </w:tr>
      <w:tr w14:paraId="2A9CDE35">
        <w:tblPrEx>
          <w:tblCellMar>
            <w:top w:w="0" w:type="dxa"/>
            <w:left w:w="0" w:type="dxa"/>
            <w:bottom w:w="0" w:type="dxa"/>
            <w:right w:w="0" w:type="dxa"/>
          </w:tblCellMar>
        </w:tblPrEx>
        <w:trPr>
          <w:wBefore w:w="0" w:type="auto"/>
          <w:tblCellSpacing w:w="0" w:type="dxa"/>
        </w:trPr>
        <w:tc>
          <w:tcPr>
            <w:tcW w:w="0" w:type="auto"/>
            <w:noWrap w:val="0"/>
            <w:vAlign w:val="center"/>
          </w:tcPr>
          <w:p w14:paraId="36267E01">
            <w:r>
              <w:rPr>
                <w:rStyle w:val="10"/>
                <w:rFonts w:hint="eastAsia"/>
              </w:rPr>
              <w:t>农药名称：</w:t>
            </w:r>
            <w:r>
              <w:rPr>
                <w:rFonts w:hint="eastAsia"/>
              </w:rPr>
              <w:t>氟啶·螺虫酯</w:t>
            </w:r>
          </w:p>
        </w:tc>
      </w:tr>
      <w:tr w14:paraId="76B6FD1F">
        <w:tblPrEx>
          <w:tblCellMar>
            <w:top w:w="0" w:type="dxa"/>
            <w:left w:w="0" w:type="dxa"/>
            <w:bottom w:w="0" w:type="dxa"/>
            <w:right w:w="0" w:type="dxa"/>
          </w:tblCellMar>
        </w:tblPrEx>
        <w:trPr>
          <w:wBefore w:w="0" w:type="auto"/>
          <w:tblCellSpacing w:w="0" w:type="dxa"/>
        </w:trPr>
        <w:tc>
          <w:tcPr>
            <w:tcW w:w="0" w:type="auto"/>
            <w:noWrap w:val="0"/>
            <w:vAlign w:val="center"/>
          </w:tcPr>
          <w:p w14:paraId="1F78E216">
            <w:r>
              <w:rPr>
                <w:rStyle w:val="10"/>
                <w:rFonts w:hint="eastAsia"/>
              </w:rPr>
              <w:t>剂型：</w:t>
            </w:r>
            <w:r>
              <w:rPr>
                <w:rFonts w:hint="eastAsia"/>
              </w:rPr>
              <w:t>悬浮剂</w:t>
            </w:r>
          </w:p>
        </w:tc>
      </w:tr>
      <w:tr w14:paraId="0B5739A8">
        <w:tblPrEx>
          <w:tblCellMar>
            <w:top w:w="0" w:type="dxa"/>
            <w:left w:w="0" w:type="dxa"/>
            <w:bottom w:w="0" w:type="dxa"/>
            <w:right w:w="0" w:type="dxa"/>
          </w:tblCellMar>
        </w:tblPrEx>
        <w:trPr>
          <w:wBefore w:w="0" w:type="auto"/>
          <w:tblCellSpacing w:w="0" w:type="dxa"/>
        </w:trPr>
        <w:tc>
          <w:tcPr>
            <w:tcW w:w="0" w:type="auto"/>
            <w:noWrap w:val="0"/>
            <w:vAlign w:val="center"/>
          </w:tcPr>
          <w:p w14:paraId="5D51DF84">
            <w:r>
              <w:rPr>
                <w:rStyle w:val="10"/>
                <w:rFonts w:hint="eastAsia"/>
              </w:rPr>
              <w:t>毒性及其标识：</w:t>
            </w:r>
            <w:r>
              <w:rPr>
                <w:rFonts w:hint="eastAsia"/>
              </w:rPr>
              <w:t xml:space="preserve"> </w:t>
            </w:r>
            <w:r>
              <w:rPr>
                <w:lang/>
              </w:rPr>
              <w:drawing>
                <wp:inline distT="0" distB="0" distL="114300" distR="114300">
                  <wp:extent cx="476250" cy="323850"/>
                  <wp:effectExtent l="0" t="0" r="0" b="0"/>
                  <wp:docPr id="7" name="图片 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8FA805">
        <w:tblPrEx>
          <w:tblCellMar>
            <w:top w:w="0" w:type="dxa"/>
            <w:left w:w="0" w:type="dxa"/>
            <w:bottom w:w="0" w:type="dxa"/>
            <w:right w:w="0" w:type="dxa"/>
          </w:tblCellMar>
        </w:tblPrEx>
        <w:trPr>
          <w:wBefore w:w="0" w:type="auto"/>
          <w:tblCellSpacing w:w="0" w:type="dxa"/>
        </w:trPr>
        <w:tc>
          <w:tcPr>
            <w:tcW w:w="0" w:type="auto"/>
            <w:noWrap w:val="0"/>
            <w:vAlign w:val="center"/>
          </w:tcPr>
          <w:p w14:paraId="433A38AC">
            <w:r>
              <w:rPr>
                <w:rStyle w:val="10"/>
                <w:rFonts w:hint="eastAsia"/>
              </w:rPr>
              <w:t>总有效成分含量：</w:t>
            </w:r>
            <w:r>
              <w:rPr>
                <w:rFonts w:hint="eastAsia"/>
              </w:rPr>
              <w:t>25%</w:t>
            </w:r>
          </w:p>
        </w:tc>
      </w:tr>
      <w:tr w14:paraId="6C0BCA4A">
        <w:tblPrEx>
          <w:tblCellMar>
            <w:top w:w="0" w:type="dxa"/>
            <w:left w:w="0" w:type="dxa"/>
            <w:bottom w:w="0" w:type="dxa"/>
            <w:right w:w="0" w:type="dxa"/>
          </w:tblCellMar>
        </w:tblPrEx>
        <w:trPr>
          <w:wBefore w:w="0" w:type="auto"/>
          <w:tblCellSpacing w:w="0" w:type="dxa"/>
        </w:trPr>
        <w:tc>
          <w:tcPr>
            <w:tcW w:w="0" w:type="auto"/>
            <w:noWrap w:val="0"/>
            <w:vAlign w:val="center"/>
          </w:tcPr>
          <w:p w14:paraId="2AD32135">
            <w:r>
              <w:rPr>
                <w:rFonts w:hint="eastAsia"/>
              </w:rPr>
              <w:t xml:space="preserve">有效成分及其含量： </w:t>
            </w:r>
          </w:p>
          <w:p w14:paraId="0078A655">
            <w:r>
              <w:rPr>
                <w:rFonts w:hint="eastAsia"/>
              </w:rPr>
              <w:t xml:space="preserve">    螺虫乙酯15%    氟啶虫酰胺10%    </w:t>
            </w:r>
          </w:p>
        </w:tc>
      </w:tr>
      <w:tr w14:paraId="579A3492">
        <w:tblPrEx>
          <w:tblCellMar>
            <w:top w:w="0" w:type="dxa"/>
            <w:left w:w="0" w:type="dxa"/>
            <w:bottom w:w="0" w:type="dxa"/>
            <w:right w:w="0" w:type="dxa"/>
          </w:tblCellMar>
        </w:tblPrEx>
        <w:trPr>
          <w:wBefore w:w="0" w:type="auto"/>
          <w:tblCellSpacing w:w="0" w:type="dxa"/>
        </w:trPr>
        <w:tc>
          <w:tcPr>
            <w:tcW w:w="0" w:type="auto"/>
            <w:noWrap w:val="0"/>
            <w:vAlign w:val="center"/>
          </w:tcPr>
          <w:p w14:paraId="716638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2F24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5EABC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DF7C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31B2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9F3B820">
                  <w:r>
                    <w:rPr>
                      <w:rStyle w:val="11"/>
                      <w:rFonts w:hint="eastAsia"/>
                    </w:rPr>
                    <w:t>施用方式</w:t>
                  </w:r>
                </w:p>
              </w:tc>
            </w:tr>
            <w:tr w14:paraId="140DBC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9C7C0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AEA305">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BA1FFE">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BFE98">
                  <w:r>
                    <w:rPr>
                      <w:rStyle w:val="11"/>
                      <w:rFonts w:hint="eastAsia"/>
                    </w:rPr>
                    <w:t>喷雾</w:t>
                  </w:r>
                </w:p>
              </w:tc>
            </w:tr>
          </w:tbl>
          <w:p w14:paraId="42D2D2CF">
            <w:pPr>
              <w:rPr>
                <w:rFonts w:ascii="Times New Roman" w:hAnsi="Times New Roman" w:cs="Times New Roman"/>
                <w:sz w:val="20"/>
                <w:szCs w:val="20"/>
              </w:rPr>
            </w:pPr>
          </w:p>
        </w:tc>
      </w:tr>
      <w:tr w14:paraId="7EF3ECB6">
        <w:tblPrEx>
          <w:tblCellMar>
            <w:top w:w="0" w:type="dxa"/>
            <w:left w:w="0" w:type="dxa"/>
            <w:bottom w:w="0" w:type="dxa"/>
            <w:right w:w="0" w:type="dxa"/>
          </w:tblCellMar>
        </w:tblPrEx>
        <w:trPr>
          <w:wBefore w:w="0" w:type="auto"/>
          <w:tblCellSpacing w:w="0" w:type="dxa"/>
        </w:trPr>
        <w:tc>
          <w:tcPr>
            <w:tcW w:w="0" w:type="auto"/>
            <w:noWrap w:val="0"/>
            <w:vAlign w:val="center"/>
          </w:tcPr>
          <w:p w14:paraId="2356FCE4">
            <w:r>
              <w:rPr>
                <w:rStyle w:val="10"/>
                <w:rFonts w:hint="eastAsia"/>
              </w:rPr>
              <w:t>使用技术要求:</w:t>
            </w:r>
            <w:r>
              <w:rPr>
                <w:rFonts w:hint="eastAsia"/>
              </w:rPr>
              <w:br w:type="textWrapping"/>
            </w:r>
            <w:r>
              <w:rPr>
                <w:rStyle w:val="11"/>
                <w:rFonts w:hint="eastAsia"/>
              </w:rPr>
              <w:t>1、在甘蓝蚜虫低龄若虫盛发期施药，施药时雾滴要细，喷雾要均匀。 2、本品在甘蓝上使用的安全间隔期为10天，每季作物最多使用1次。 3、大风天或预计1小时内有降雨，请勿施药。</w:t>
            </w:r>
          </w:p>
        </w:tc>
      </w:tr>
      <w:tr w14:paraId="542D6357">
        <w:tblPrEx>
          <w:tblCellMar>
            <w:top w:w="0" w:type="dxa"/>
            <w:left w:w="0" w:type="dxa"/>
            <w:bottom w:w="0" w:type="dxa"/>
            <w:right w:w="0" w:type="dxa"/>
          </w:tblCellMar>
        </w:tblPrEx>
        <w:trPr>
          <w:wBefore w:w="0" w:type="auto"/>
          <w:tblCellSpacing w:w="0" w:type="dxa"/>
        </w:trPr>
        <w:tc>
          <w:tcPr>
            <w:tcW w:w="0" w:type="auto"/>
            <w:noWrap w:val="0"/>
            <w:vAlign w:val="center"/>
          </w:tcPr>
          <w:p w14:paraId="1806B709">
            <w:r>
              <w:rPr>
                <w:rStyle w:val="10"/>
                <w:rFonts w:hint="eastAsia"/>
              </w:rPr>
              <w:t>产品性能:</w:t>
            </w:r>
            <w:r>
              <w:rPr>
                <w:rFonts w:hint="eastAsia"/>
              </w:rPr>
              <w:br w:type="textWrapping"/>
            </w:r>
            <w:r>
              <w:rPr>
                <w:rStyle w:val="11"/>
                <w:rFonts w:hint="eastAsia"/>
              </w:rPr>
              <w:t xml:space="preserve">本品是氟啶虫酰胺与螺虫乙酯的复配制剂，氟啶虫酰胺其作用机制是通过阻碍害虫吮吸作用，使害虫摄入药剂后很快停止吮吸，最后饥饿而死，具有触杀和胃毒作用。螺虫乙酯其作用机制是通过抑制昆虫脂质的合成使其中毒死亡，具有双向内吸传导性能。按登记剂量使用时，对甘蓝蚜虫有较好的防治效果，且对供试甘蓝安全。 </w:t>
            </w:r>
          </w:p>
        </w:tc>
      </w:tr>
      <w:tr w14:paraId="4EBD63EF">
        <w:tblPrEx>
          <w:tblCellMar>
            <w:top w:w="0" w:type="dxa"/>
            <w:left w:w="0" w:type="dxa"/>
            <w:bottom w:w="0" w:type="dxa"/>
            <w:right w:w="0" w:type="dxa"/>
          </w:tblCellMar>
        </w:tblPrEx>
        <w:trPr>
          <w:wBefore w:w="0" w:type="auto"/>
          <w:tblCellSpacing w:w="0" w:type="dxa"/>
        </w:trPr>
        <w:tc>
          <w:tcPr>
            <w:tcW w:w="0" w:type="auto"/>
            <w:noWrap w:val="0"/>
            <w:vAlign w:val="center"/>
          </w:tcPr>
          <w:p w14:paraId="730DFE24">
            <w:r>
              <w:rPr>
                <w:rStyle w:val="10"/>
                <w:rFonts w:hint="eastAsia"/>
              </w:rPr>
              <w:t>注意事项：</w:t>
            </w:r>
            <w:r>
              <w:rPr>
                <w:rFonts w:hint="eastAsia"/>
              </w:rPr>
              <w:br w:type="textWrapping"/>
            </w:r>
            <w:r>
              <w:rPr>
                <w:rStyle w:val="11"/>
                <w:rFonts w:hint="eastAsia"/>
              </w:rPr>
              <w:t>1.严格按照规定用药量和方法使用。 2.建议与其他作用机制不同的杀虫剂轮换使用。 3.本品对藻类、家蚕毒性有毒，水产养殖区、河塘等水体附近禁用；禁止在河塘等水体中清洗施药器具；蚕室和桑园附近禁用。 4.使用本品应采取相应的安全防护措施，穿防护服，戴防护手套、口罩等，避免皮肤接触及口鼻吸入。使用中不可吸烟、饮水及吃东西，使用后及时清洗手、脸等暴露部位皮肤并更换衣物。 5.用药后包装物及用过的容器应妥善处理，不可做他用，也不可随意丢弃。 6.孕妇及哺乳期妇女禁止接触本品。</w:t>
            </w:r>
          </w:p>
        </w:tc>
      </w:tr>
      <w:tr w14:paraId="4B10113A">
        <w:tblPrEx>
          <w:tblCellMar>
            <w:top w:w="0" w:type="dxa"/>
            <w:left w:w="0" w:type="dxa"/>
            <w:bottom w:w="0" w:type="dxa"/>
            <w:right w:w="0" w:type="dxa"/>
          </w:tblCellMar>
        </w:tblPrEx>
        <w:trPr>
          <w:wBefore w:w="0" w:type="auto"/>
          <w:tblCellSpacing w:w="0" w:type="dxa"/>
        </w:trPr>
        <w:tc>
          <w:tcPr>
            <w:tcW w:w="0" w:type="auto"/>
            <w:noWrap w:val="0"/>
            <w:vAlign w:val="center"/>
          </w:tcPr>
          <w:p w14:paraId="4DC9801B">
            <w:r>
              <w:rPr>
                <w:rStyle w:val="10"/>
                <w:rFonts w:hint="eastAsia"/>
              </w:rPr>
              <w:t>中毒急救措施：</w:t>
            </w:r>
            <w:r>
              <w:rPr>
                <w:rFonts w:hint="eastAsia"/>
              </w:rPr>
              <w:br w:type="textWrapping"/>
            </w:r>
            <w:r>
              <w:rPr>
                <w:rStyle w:val="11"/>
                <w:rFonts w:hint="eastAsia"/>
              </w:rPr>
              <w:t xml:space="preserve">中毒症状：动物试验表明可能造成轻度皮肤刺激。 急救措施：1.皮肤接触：立即脱掉被污染的衣物，用大量清水冲洗被污染的皮肤，再用肥皂清洗，然后用清水冲净。2.眼睛溅药：立刻用大量清水冲洗至少15 分钟。如配戴隐形眼镜，先冲洗1-2分钟后再摘掉眼镜冲洗。携此标签去医院诊治。3.发生吸入：立即将吸入者转移到空气新鲜处，请尽快就医诊治。4.误服：喝大量的水，并携本标签把患者送医院诊治。5.解毒剂：无专用解毒剂，对症治疗。 </w:t>
            </w:r>
          </w:p>
        </w:tc>
      </w:tr>
      <w:tr w14:paraId="16A94736">
        <w:tblPrEx>
          <w:tblCellMar>
            <w:top w:w="0" w:type="dxa"/>
            <w:left w:w="0" w:type="dxa"/>
            <w:bottom w:w="0" w:type="dxa"/>
            <w:right w:w="0" w:type="dxa"/>
          </w:tblCellMar>
        </w:tblPrEx>
        <w:trPr>
          <w:wBefore w:w="0" w:type="auto"/>
          <w:tblCellSpacing w:w="0" w:type="dxa"/>
        </w:trPr>
        <w:tc>
          <w:tcPr>
            <w:tcW w:w="0" w:type="auto"/>
            <w:noWrap w:val="0"/>
            <w:vAlign w:val="center"/>
          </w:tcPr>
          <w:p w14:paraId="03B757D1">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37C38568">
        <w:tblPrEx>
          <w:tblCellMar>
            <w:top w:w="0" w:type="dxa"/>
            <w:left w:w="0" w:type="dxa"/>
            <w:bottom w:w="0" w:type="dxa"/>
            <w:right w:w="0" w:type="dxa"/>
          </w:tblCellMar>
        </w:tblPrEx>
        <w:trPr>
          <w:wBefore w:w="0" w:type="auto"/>
          <w:tblCellSpacing w:w="0" w:type="dxa"/>
        </w:trPr>
        <w:tc>
          <w:tcPr>
            <w:tcW w:w="0" w:type="auto"/>
            <w:noWrap w:val="0"/>
            <w:vAlign w:val="center"/>
          </w:tcPr>
          <w:p w14:paraId="72CC7678">
            <w:r>
              <w:rPr>
                <w:rStyle w:val="10"/>
                <w:rFonts w:hint="eastAsia"/>
              </w:rPr>
              <w:t>质量保证期：</w:t>
            </w:r>
            <w:r>
              <w:rPr>
                <w:rStyle w:val="11"/>
                <w:rFonts w:hint="eastAsia"/>
              </w:rPr>
              <w:t>2年</w:t>
            </w:r>
          </w:p>
        </w:tc>
      </w:tr>
      <w:tr w14:paraId="736F4B60">
        <w:tblPrEx>
          <w:tblCellMar>
            <w:top w:w="0" w:type="dxa"/>
            <w:left w:w="0" w:type="dxa"/>
            <w:bottom w:w="0" w:type="dxa"/>
            <w:right w:w="0" w:type="dxa"/>
          </w:tblCellMar>
        </w:tblPrEx>
        <w:trPr>
          <w:wBefore w:w="0" w:type="auto"/>
          <w:tblCellSpacing w:w="0" w:type="dxa"/>
        </w:trPr>
        <w:tc>
          <w:tcPr>
            <w:tcW w:w="0" w:type="auto"/>
            <w:noWrap w:val="0"/>
            <w:vAlign w:val="center"/>
          </w:tcPr>
          <w:p w14:paraId="4DFBD05F">
            <w:r>
              <w:rPr>
                <w:rStyle w:val="10"/>
                <w:rFonts w:hint="eastAsia"/>
              </w:rPr>
              <w:t>备注：</w:t>
            </w:r>
          </w:p>
        </w:tc>
      </w:tr>
    </w:tbl>
    <w:p w14:paraId="299EC64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E9F36B">
        <w:tblPrEx>
          <w:tblCellMar>
            <w:top w:w="0" w:type="dxa"/>
            <w:left w:w="0" w:type="dxa"/>
            <w:bottom w:w="0" w:type="dxa"/>
            <w:right w:w="0" w:type="dxa"/>
          </w:tblCellMar>
        </w:tblPrEx>
        <w:trPr>
          <w:wBefore w:w="0" w:type="auto"/>
          <w:tblCellSpacing w:w="0" w:type="dxa"/>
        </w:trPr>
        <w:tc>
          <w:tcPr>
            <w:tcW w:w="0" w:type="auto"/>
            <w:noWrap w:val="0"/>
            <w:vAlign w:val="center"/>
          </w:tcPr>
          <w:p w14:paraId="53362DC4">
            <w:r>
              <w:rPr>
                <w:rStyle w:val="10"/>
                <w:rFonts w:hint="eastAsia"/>
              </w:rPr>
              <w:t>登记证号：</w:t>
            </w:r>
            <w:r>
              <w:rPr>
                <w:rFonts w:hint="eastAsia"/>
              </w:rPr>
              <w:t>PD20170507</w:t>
            </w:r>
          </w:p>
        </w:tc>
      </w:tr>
      <w:tr w14:paraId="5607E529">
        <w:tblPrEx>
          <w:tblCellMar>
            <w:top w:w="0" w:type="dxa"/>
            <w:left w:w="0" w:type="dxa"/>
            <w:bottom w:w="0" w:type="dxa"/>
            <w:right w:w="0" w:type="dxa"/>
          </w:tblCellMar>
        </w:tblPrEx>
        <w:trPr>
          <w:wBefore w:w="0" w:type="auto"/>
          <w:tblCellSpacing w:w="0" w:type="dxa"/>
        </w:trPr>
        <w:tc>
          <w:tcPr>
            <w:tcW w:w="0" w:type="auto"/>
            <w:noWrap w:val="0"/>
            <w:vAlign w:val="center"/>
          </w:tcPr>
          <w:p w14:paraId="3DCE9FE5">
            <w:r>
              <w:rPr>
                <w:rStyle w:val="10"/>
                <w:rFonts w:hint="eastAsia"/>
              </w:rPr>
              <w:t>登记证持有人：</w:t>
            </w:r>
            <w:r>
              <w:rPr>
                <w:rFonts w:hint="eastAsia"/>
              </w:rPr>
              <w:t>河北兴柏农业科技有限公司</w:t>
            </w:r>
          </w:p>
        </w:tc>
      </w:tr>
      <w:tr w14:paraId="04244948">
        <w:tblPrEx>
          <w:tblCellMar>
            <w:top w:w="0" w:type="dxa"/>
            <w:left w:w="0" w:type="dxa"/>
            <w:bottom w:w="0" w:type="dxa"/>
            <w:right w:w="0" w:type="dxa"/>
          </w:tblCellMar>
        </w:tblPrEx>
        <w:trPr>
          <w:wBefore w:w="0" w:type="auto"/>
          <w:tblCellSpacing w:w="0" w:type="dxa"/>
        </w:trPr>
        <w:tc>
          <w:tcPr>
            <w:tcW w:w="0" w:type="auto"/>
            <w:noWrap w:val="0"/>
            <w:vAlign w:val="center"/>
          </w:tcPr>
          <w:p w14:paraId="7C21761E">
            <w:r>
              <w:rPr>
                <w:rStyle w:val="10"/>
                <w:rFonts w:hint="eastAsia"/>
              </w:rPr>
              <w:t>农药名称：</w:t>
            </w:r>
            <w:r>
              <w:rPr>
                <w:rFonts w:hint="eastAsia"/>
              </w:rPr>
              <w:t>阿维菌素</w:t>
            </w:r>
          </w:p>
        </w:tc>
      </w:tr>
      <w:tr w14:paraId="6264B1FE">
        <w:tblPrEx>
          <w:tblCellMar>
            <w:top w:w="0" w:type="dxa"/>
            <w:left w:w="0" w:type="dxa"/>
            <w:bottom w:w="0" w:type="dxa"/>
            <w:right w:w="0" w:type="dxa"/>
          </w:tblCellMar>
        </w:tblPrEx>
        <w:trPr>
          <w:wBefore w:w="0" w:type="auto"/>
          <w:tblCellSpacing w:w="0" w:type="dxa"/>
        </w:trPr>
        <w:tc>
          <w:tcPr>
            <w:tcW w:w="0" w:type="auto"/>
            <w:noWrap w:val="0"/>
            <w:vAlign w:val="center"/>
          </w:tcPr>
          <w:p w14:paraId="43BEFAC2">
            <w:r>
              <w:rPr>
                <w:rStyle w:val="10"/>
                <w:rFonts w:hint="eastAsia"/>
              </w:rPr>
              <w:t>剂型：</w:t>
            </w:r>
            <w:r>
              <w:rPr>
                <w:rFonts w:hint="eastAsia"/>
              </w:rPr>
              <w:t>水乳剂</w:t>
            </w:r>
          </w:p>
        </w:tc>
      </w:tr>
      <w:tr w14:paraId="5E04ABB6">
        <w:tblPrEx>
          <w:tblCellMar>
            <w:top w:w="0" w:type="dxa"/>
            <w:left w:w="0" w:type="dxa"/>
            <w:bottom w:w="0" w:type="dxa"/>
            <w:right w:w="0" w:type="dxa"/>
          </w:tblCellMar>
        </w:tblPrEx>
        <w:trPr>
          <w:wBefore w:w="0" w:type="auto"/>
          <w:tblCellSpacing w:w="0" w:type="dxa"/>
        </w:trPr>
        <w:tc>
          <w:tcPr>
            <w:tcW w:w="0" w:type="auto"/>
            <w:noWrap w:val="0"/>
            <w:vAlign w:val="center"/>
          </w:tcPr>
          <w:p w14:paraId="79A53BB7">
            <w:r>
              <w:rPr>
                <w:rStyle w:val="10"/>
                <w:rFonts w:hint="eastAsia"/>
              </w:rPr>
              <w:t>毒性及其标识：</w:t>
            </w:r>
            <w:r>
              <w:rPr>
                <w:rFonts w:hint="eastAsia"/>
              </w:rPr>
              <w:t xml:space="preserve"> </w:t>
            </w:r>
            <w:r>
              <w:rPr>
                <w:lang/>
              </w:rPr>
              <w:drawing>
                <wp:inline distT="0" distB="0" distL="114300" distR="114300">
                  <wp:extent cx="476250" cy="323850"/>
                  <wp:effectExtent l="0" t="0" r="0" b="0"/>
                  <wp:docPr id="8" name="图片 8"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293FA336">
        <w:tblPrEx>
          <w:tblCellMar>
            <w:top w:w="0" w:type="dxa"/>
            <w:left w:w="0" w:type="dxa"/>
            <w:bottom w:w="0" w:type="dxa"/>
            <w:right w:w="0" w:type="dxa"/>
          </w:tblCellMar>
        </w:tblPrEx>
        <w:trPr>
          <w:wBefore w:w="0" w:type="auto"/>
          <w:tblCellSpacing w:w="0" w:type="dxa"/>
        </w:trPr>
        <w:tc>
          <w:tcPr>
            <w:tcW w:w="0" w:type="auto"/>
            <w:noWrap w:val="0"/>
            <w:vAlign w:val="center"/>
          </w:tcPr>
          <w:p w14:paraId="5AA9DC8E">
            <w:r>
              <w:rPr>
                <w:rStyle w:val="10"/>
                <w:rFonts w:hint="eastAsia"/>
              </w:rPr>
              <w:t>总有效成分含量：</w:t>
            </w:r>
            <w:r>
              <w:rPr>
                <w:rFonts w:hint="eastAsia"/>
              </w:rPr>
              <w:t>5%</w:t>
            </w:r>
          </w:p>
        </w:tc>
      </w:tr>
      <w:tr w14:paraId="19AAE1C8">
        <w:tblPrEx>
          <w:tblCellMar>
            <w:top w:w="0" w:type="dxa"/>
            <w:left w:w="0" w:type="dxa"/>
            <w:bottom w:w="0" w:type="dxa"/>
            <w:right w:w="0" w:type="dxa"/>
          </w:tblCellMar>
        </w:tblPrEx>
        <w:trPr>
          <w:wBefore w:w="0" w:type="auto"/>
          <w:tblCellSpacing w:w="0" w:type="dxa"/>
        </w:trPr>
        <w:tc>
          <w:tcPr>
            <w:tcW w:w="0" w:type="auto"/>
            <w:noWrap w:val="0"/>
            <w:vAlign w:val="center"/>
          </w:tcPr>
          <w:p w14:paraId="02671B07">
            <w:r>
              <w:rPr>
                <w:rFonts w:hint="eastAsia"/>
              </w:rPr>
              <w:t xml:space="preserve">有效成分及其含量： </w:t>
            </w:r>
          </w:p>
          <w:p w14:paraId="76DEA6D7">
            <w:r>
              <w:rPr>
                <w:rFonts w:hint="eastAsia"/>
              </w:rPr>
              <w:t xml:space="preserve">    阿维菌素5%    </w:t>
            </w:r>
          </w:p>
        </w:tc>
      </w:tr>
      <w:tr w14:paraId="16FF96BC">
        <w:tblPrEx>
          <w:tblCellMar>
            <w:top w:w="0" w:type="dxa"/>
            <w:left w:w="0" w:type="dxa"/>
            <w:bottom w:w="0" w:type="dxa"/>
            <w:right w:w="0" w:type="dxa"/>
          </w:tblCellMar>
        </w:tblPrEx>
        <w:trPr>
          <w:wBefore w:w="0" w:type="auto"/>
          <w:tblCellSpacing w:w="0" w:type="dxa"/>
        </w:trPr>
        <w:tc>
          <w:tcPr>
            <w:tcW w:w="0" w:type="auto"/>
            <w:noWrap w:val="0"/>
            <w:vAlign w:val="center"/>
          </w:tcPr>
          <w:p w14:paraId="14A152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4841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C6B0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D2A6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266C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7F0803">
                  <w:r>
                    <w:rPr>
                      <w:rStyle w:val="11"/>
                      <w:rFonts w:hint="eastAsia"/>
                    </w:rPr>
                    <w:t>施用方式</w:t>
                  </w:r>
                </w:p>
              </w:tc>
            </w:tr>
            <w:tr w14:paraId="6B8B07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9021D2">
                  <w:r>
                    <w:rPr>
                      <w:rStyle w:val="11"/>
                      <w:rFonts w:hint="eastAsia"/>
                    </w:rPr>
                    <w:t>松树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6B80EE">
                  <w:r>
                    <w:rPr>
                      <w:rStyle w:val="11"/>
                      <w:rFonts w:hint="eastAsia"/>
                    </w:rPr>
                    <w:t>松材线虫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B9B1D5">
                  <w:r>
                    <w:rPr>
                      <w:rStyle w:val="11"/>
                      <w:rFonts w:hint="eastAsia"/>
                    </w:rPr>
                    <w:t>2.6-3.6毫升/厘米胸径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1E61F0">
                  <w:r>
                    <w:rPr>
                      <w:rStyle w:val="11"/>
                      <w:rFonts w:hint="eastAsia"/>
                    </w:rPr>
                    <w:t>树干打孔注射</w:t>
                  </w:r>
                </w:p>
              </w:tc>
            </w:tr>
          </w:tbl>
          <w:p w14:paraId="03D6F44A">
            <w:pPr>
              <w:rPr>
                <w:rFonts w:ascii="Times New Roman" w:hAnsi="Times New Roman" w:cs="Times New Roman"/>
                <w:sz w:val="20"/>
                <w:szCs w:val="20"/>
              </w:rPr>
            </w:pPr>
          </w:p>
        </w:tc>
      </w:tr>
      <w:tr w14:paraId="0A891301">
        <w:tblPrEx>
          <w:tblCellMar>
            <w:top w:w="0" w:type="dxa"/>
            <w:left w:w="0" w:type="dxa"/>
            <w:bottom w:w="0" w:type="dxa"/>
            <w:right w:w="0" w:type="dxa"/>
          </w:tblCellMar>
        </w:tblPrEx>
        <w:trPr>
          <w:wBefore w:w="0" w:type="auto"/>
          <w:tblCellSpacing w:w="0" w:type="dxa"/>
        </w:trPr>
        <w:tc>
          <w:tcPr>
            <w:tcW w:w="0" w:type="auto"/>
            <w:noWrap w:val="0"/>
            <w:vAlign w:val="center"/>
          </w:tcPr>
          <w:p w14:paraId="2FCE674D">
            <w:r>
              <w:rPr>
                <w:rStyle w:val="10"/>
                <w:rFonts w:hint="eastAsia"/>
              </w:rPr>
              <w:t>使用技术要求:</w:t>
            </w:r>
            <w:r>
              <w:rPr>
                <w:rFonts w:hint="eastAsia"/>
              </w:rPr>
              <w:br w:type="textWrapping"/>
            </w:r>
            <w:r>
              <w:rPr>
                <w:rStyle w:val="11"/>
                <w:rFonts w:hint="eastAsia"/>
              </w:rPr>
              <w:t>1. 防治玉米螟，应于卵孵化高峰期至幼虫发生期，兑水均匀喷雾；每季作物最多使用2次，安全间隔期为14天。2. 防治水稻稻纵卷叶螟，应于稻纵卷叶螟卵孵盛期或低龄若虫发生盛期施药，兑水均匀喷雾；每季作物使用1次，安全间隔期为7天。3. 防治柑橘树红蜘蛛，应于柑橘树红蜘蛛发生始盛期施药，兑水均匀喷雾；每季作物使用1次，安全间隔期为21天。4. 防治松树松材线虫，于线虫侵染初期，树干打孔注射1次，施药后堵孔。5. 大风或预计1小时内降雨天气，请勿施药。</w:t>
            </w:r>
          </w:p>
        </w:tc>
      </w:tr>
      <w:tr w14:paraId="6897A6C9">
        <w:tblPrEx>
          <w:tblCellMar>
            <w:top w:w="0" w:type="dxa"/>
            <w:left w:w="0" w:type="dxa"/>
            <w:bottom w:w="0" w:type="dxa"/>
            <w:right w:w="0" w:type="dxa"/>
          </w:tblCellMar>
        </w:tblPrEx>
        <w:trPr>
          <w:wBefore w:w="0" w:type="auto"/>
          <w:tblCellSpacing w:w="0" w:type="dxa"/>
        </w:trPr>
        <w:tc>
          <w:tcPr>
            <w:tcW w:w="0" w:type="auto"/>
            <w:noWrap w:val="0"/>
            <w:vAlign w:val="center"/>
          </w:tcPr>
          <w:p w14:paraId="0F10347F">
            <w:r>
              <w:rPr>
                <w:rStyle w:val="10"/>
                <w:rFonts w:hint="eastAsia"/>
              </w:rPr>
              <w:t>产品性能:</w:t>
            </w:r>
            <w:r>
              <w:rPr>
                <w:rFonts w:hint="eastAsia"/>
              </w:rPr>
              <w:br w:type="textWrapping"/>
            </w:r>
            <w:r>
              <w:rPr>
                <w:rStyle w:val="11"/>
                <w:rFonts w:hint="eastAsia"/>
              </w:rPr>
              <w:t>本品为微生物发酵产生的杀虫剂，具有触杀和胃毒作用，能刺激昆虫神经肌肉系统释放γ-氨基丁酸，从而对昆虫的神经传导产生抑制作用。本品适用于防治玉米玉米螟、水稻稻纵卷叶螟、柑橘树红蜘蛛、松树松材线虫。</w:t>
            </w:r>
          </w:p>
        </w:tc>
      </w:tr>
      <w:tr w14:paraId="55E78F80">
        <w:tblPrEx>
          <w:tblCellMar>
            <w:top w:w="0" w:type="dxa"/>
            <w:left w:w="0" w:type="dxa"/>
            <w:bottom w:w="0" w:type="dxa"/>
            <w:right w:w="0" w:type="dxa"/>
          </w:tblCellMar>
        </w:tblPrEx>
        <w:trPr>
          <w:wBefore w:w="0" w:type="auto"/>
          <w:tblCellSpacing w:w="0" w:type="dxa"/>
        </w:trPr>
        <w:tc>
          <w:tcPr>
            <w:tcW w:w="0" w:type="auto"/>
            <w:noWrap w:val="0"/>
            <w:vAlign w:val="center"/>
          </w:tcPr>
          <w:p w14:paraId="18CB429F">
            <w:r>
              <w:rPr>
                <w:rStyle w:val="10"/>
                <w:rFonts w:hint="eastAsia"/>
              </w:rPr>
              <w:t>注意事项：</w:t>
            </w:r>
            <w:r>
              <w:rPr>
                <w:rFonts w:hint="eastAsia"/>
              </w:rPr>
              <w:br w:type="textWrapping"/>
            </w:r>
            <w:r>
              <w:rPr>
                <w:rStyle w:val="11"/>
                <w:rFonts w:hint="eastAsia"/>
              </w:rPr>
              <w:t>1. 使用本品应采取相应的安全防护措施，穿防护服、戴防护手套、口罩等，避免皮肤接触及口鼻吸入。使用中不可吸烟、饮水及吃东西。2. 施药后，彻底清洗防护用具，洗澡，并更换和清洗工作服。3. 本品对蜜蜂、家蚕、非靶标节肢动物风险较高。（周围）开花植物花期禁用，使用时应密切关注对附近蜂群的影响；桑园、蚕室附近禁止使用；天敌放飞区及其附近禁止使用。4. 本品对水生生物风险较高。远离水产养殖区、河塘等水体施药，禁止在河塘等水体中清洗施药器具，鱼或虾蟹套养稻田禁用，施药后的田水不得直接排入水体。5. 建议与作用机制不同的杀虫剂轮换使用，以延缓抗药性产生。6. 用过的容器应妥善处理，不可做他用，也不能随意丢弃。7. 禁止儿童、孕妇和哺乳期的妇女接触，过敏者禁用。</w:t>
            </w:r>
          </w:p>
        </w:tc>
      </w:tr>
      <w:tr w14:paraId="53E9F19E">
        <w:tblPrEx>
          <w:tblCellMar>
            <w:top w:w="0" w:type="dxa"/>
            <w:left w:w="0" w:type="dxa"/>
            <w:bottom w:w="0" w:type="dxa"/>
            <w:right w:w="0" w:type="dxa"/>
          </w:tblCellMar>
        </w:tblPrEx>
        <w:trPr>
          <w:wBefore w:w="0" w:type="auto"/>
          <w:tblCellSpacing w:w="0" w:type="dxa"/>
        </w:trPr>
        <w:tc>
          <w:tcPr>
            <w:tcW w:w="0" w:type="auto"/>
            <w:noWrap w:val="0"/>
            <w:vAlign w:val="center"/>
          </w:tcPr>
          <w:p w14:paraId="614ECE52">
            <w:r>
              <w:rPr>
                <w:rStyle w:val="10"/>
                <w:rFonts w:hint="eastAsia"/>
              </w:rPr>
              <w:t>中毒急救措施：</w:t>
            </w:r>
            <w:r>
              <w:rPr>
                <w:rFonts w:hint="eastAsia"/>
              </w:rPr>
              <w:br w:type="textWrapping"/>
            </w:r>
            <w:r>
              <w:rPr>
                <w:rStyle w:val="11"/>
                <w:rFonts w:hint="eastAsia"/>
              </w:rPr>
              <w:t>中毒症状：早期中毒症状为瞳孔放大，行动失调，肌肉颤抖等症状，严重时导致呕吐。 急救措施：使用中或使用后如果感觉不适，应立即停止工作，采取急救措施，并携带标签送医就诊。皮肤接触：脱去污染的衣物，用软布去除沾染农药，立即用大量清水和肥皂冲洗。眼睛溅入：立即将眼睑翻开，用流动的清水冲洗不少于15分钟。吸入：立即离开施药现场，转移到空气清新处。误食：立即停止服用，用清水充分漱口后，携带农药标签送医院就诊。清醒者立即催吐并给患者服用吐根糖浆或麻黄素，但勿给昏迷患者催吐或灌喂任何东西。抢救时避免给患者使用能增强γ-氨基丁酸活性的药物，如巴比妥、丙戊酸等。</w:t>
            </w:r>
          </w:p>
        </w:tc>
      </w:tr>
      <w:tr w14:paraId="13AC5BEC">
        <w:tblPrEx>
          <w:tblCellMar>
            <w:top w:w="0" w:type="dxa"/>
            <w:left w:w="0" w:type="dxa"/>
            <w:bottom w:w="0" w:type="dxa"/>
            <w:right w:w="0" w:type="dxa"/>
          </w:tblCellMar>
        </w:tblPrEx>
        <w:trPr>
          <w:wBefore w:w="0" w:type="auto"/>
          <w:tblCellSpacing w:w="0" w:type="dxa"/>
        </w:trPr>
        <w:tc>
          <w:tcPr>
            <w:tcW w:w="0" w:type="auto"/>
            <w:noWrap w:val="0"/>
            <w:vAlign w:val="center"/>
          </w:tcPr>
          <w:p w14:paraId="1C339A7D">
            <w:r>
              <w:rPr>
                <w:rStyle w:val="10"/>
                <w:rFonts w:hint="eastAsia"/>
              </w:rPr>
              <w:t>储存和运输方法：</w:t>
            </w:r>
            <w:r>
              <w:rPr>
                <w:rFonts w:hint="eastAsia"/>
              </w:rPr>
              <w:br w:type="textWrapping"/>
            </w:r>
            <w:r>
              <w:rPr>
                <w:rStyle w:val="11"/>
                <w:rFonts w:hint="eastAsia"/>
              </w:rPr>
              <w:t>1. 本品应贮存在干燥、阴凉、通风、防雨处，远离火源和热源。2. 置于儿童、无关人员及动物接触不到的地方，并加锁保存。3. 勿与食品、饮料、粮食、饲料等其他商品同储同运。</w:t>
            </w:r>
          </w:p>
        </w:tc>
      </w:tr>
      <w:tr w14:paraId="09963FB4">
        <w:tblPrEx>
          <w:tblCellMar>
            <w:top w:w="0" w:type="dxa"/>
            <w:left w:w="0" w:type="dxa"/>
            <w:bottom w:w="0" w:type="dxa"/>
            <w:right w:w="0" w:type="dxa"/>
          </w:tblCellMar>
        </w:tblPrEx>
        <w:trPr>
          <w:wBefore w:w="0" w:type="auto"/>
          <w:tblCellSpacing w:w="0" w:type="dxa"/>
        </w:trPr>
        <w:tc>
          <w:tcPr>
            <w:tcW w:w="0" w:type="auto"/>
            <w:noWrap w:val="0"/>
            <w:vAlign w:val="center"/>
          </w:tcPr>
          <w:p w14:paraId="2E416DC4">
            <w:r>
              <w:rPr>
                <w:rStyle w:val="10"/>
                <w:rFonts w:hint="eastAsia"/>
              </w:rPr>
              <w:t>质量保证期：</w:t>
            </w:r>
            <w:r>
              <w:rPr>
                <w:rStyle w:val="11"/>
                <w:rFonts w:hint="eastAsia"/>
              </w:rPr>
              <w:t>2年</w:t>
            </w:r>
          </w:p>
        </w:tc>
      </w:tr>
      <w:tr w14:paraId="2ABA0DD1">
        <w:tblPrEx>
          <w:tblCellMar>
            <w:top w:w="0" w:type="dxa"/>
            <w:left w:w="0" w:type="dxa"/>
            <w:bottom w:w="0" w:type="dxa"/>
            <w:right w:w="0" w:type="dxa"/>
          </w:tblCellMar>
        </w:tblPrEx>
        <w:trPr>
          <w:wBefore w:w="0" w:type="auto"/>
          <w:tblCellSpacing w:w="0" w:type="dxa"/>
        </w:trPr>
        <w:tc>
          <w:tcPr>
            <w:tcW w:w="0" w:type="auto"/>
            <w:noWrap w:val="0"/>
            <w:vAlign w:val="center"/>
          </w:tcPr>
          <w:p w14:paraId="624EF55C">
            <w:r>
              <w:rPr>
                <w:rStyle w:val="10"/>
                <w:rFonts w:hint="eastAsia"/>
              </w:rPr>
              <w:t>备注：</w:t>
            </w:r>
          </w:p>
        </w:tc>
      </w:tr>
    </w:tbl>
    <w:p w14:paraId="5F4AEDE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B11551">
        <w:tblPrEx>
          <w:tblCellMar>
            <w:top w:w="0" w:type="dxa"/>
            <w:left w:w="0" w:type="dxa"/>
            <w:bottom w:w="0" w:type="dxa"/>
            <w:right w:w="0" w:type="dxa"/>
          </w:tblCellMar>
        </w:tblPrEx>
        <w:trPr>
          <w:wBefore w:w="0" w:type="auto"/>
          <w:tblCellSpacing w:w="0" w:type="dxa"/>
        </w:trPr>
        <w:tc>
          <w:tcPr>
            <w:tcW w:w="0" w:type="auto"/>
            <w:noWrap w:val="0"/>
            <w:vAlign w:val="center"/>
          </w:tcPr>
          <w:p w14:paraId="24C3018F">
            <w:r>
              <w:rPr>
                <w:rStyle w:val="10"/>
                <w:rFonts w:hint="eastAsia"/>
              </w:rPr>
              <w:t>登记证号：</w:t>
            </w:r>
            <w:r>
              <w:rPr>
                <w:rFonts w:hint="eastAsia"/>
              </w:rPr>
              <w:t>PD20171714</w:t>
            </w:r>
          </w:p>
        </w:tc>
      </w:tr>
      <w:tr w14:paraId="224110E6">
        <w:tblPrEx>
          <w:tblCellMar>
            <w:top w:w="0" w:type="dxa"/>
            <w:left w:w="0" w:type="dxa"/>
            <w:bottom w:w="0" w:type="dxa"/>
            <w:right w:w="0" w:type="dxa"/>
          </w:tblCellMar>
        </w:tblPrEx>
        <w:trPr>
          <w:wBefore w:w="0" w:type="auto"/>
          <w:tblCellSpacing w:w="0" w:type="dxa"/>
        </w:trPr>
        <w:tc>
          <w:tcPr>
            <w:tcW w:w="0" w:type="auto"/>
            <w:noWrap w:val="0"/>
            <w:vAlign w:val="center"/>
          </w:tcPr>
          <w:p w14:paraId="69FA1BE7">
            <w:r>
              <w:rPr>
                <w:rStyle w:val="10"/>
                <w:rFonts w:hint="eastAsia"/>
              </w:rPr>
              <w:t>登记证持有人：</w:t>
            </w:r>
            <w:r>
              <w:rPr>
                <w:rFonts w:hint="eastAsia"/>
              </w:rPr>
              <w:t>上海悦联生物科技有限公司</w:t>
            </w:r>
          </w:p>
        </w:tc>
      </w:tr>
      <w:tr w14:paraId="7A617E98">
        <w:tblPrEx>
          <w:tblCellMar>
            <w:top w:w="0" w:type="dxa"/>
            <w:left w:w="0" w:type="dxa"/>
            <w:bottom w:w="0" w:type="dxa"/>
            <w:right w:w="0" w:type="dxa"/>
          </w:tblCellMar>
        </w:tblPrEx>
        <w:trPr>
          <w:wBefore w:w="0" w:type="auto"/>
          <w:tblCellSpacing w:w="0" w:type="dxa"/>
        </w:trPr>
        <w:tc>
          <w:tcPr>
            <w:tcW w:w="0" w:type="auto"/>
            <w:noWrap w:val="0"/>
            <w:vAlign w:val="center"/>
          </w:tcPr>
          <w:p w14:paraId="4C9FD0D9">
            <w:r>
              <w:rPr>
                <w:rStyle w:val="10"/>
                <w:rFonts w:hint="eastAsia"/>
              </w:rPr>
              <w:t>农药名称：</w:t>
            </w:r>
            <w:r>
              <w:rPr>
                <w:rFonts w:hint="eastAsia"/>
              </w:rPr>
              <w:t>阿维·虫螨腈</w:t>
            </w:r>
          </w:p>
        </w:tc>
      </w:tr>
      <w:tr w14:paraId="107E02DE">
        <w:tblPrEx>
          <w:tblCellMar>
            <w:top w:w="0" w:type="dxa"/>
            <w:left w:w="0" w:type="dxa"/>
            <w:bottom w:w="0" w:type="dxa"/>
            <w:right w:w="0" w:type="dxa"/>
          </w:tblCellMar>
        </w:tblPrEx>
        <w:trPr>
          <w:wBefore w:w="0" w:type="auto"/>
          <w:tblCellSpacing w:w="0" w:type="dxa"/>
        </w:trPr>
        <w:tc>
          <w:tcPr>
            <w:tcW w:w="0" w:type="auto"/>
            <w:noWrap w:val="0"/>
            <w:vAlign w:val="center"/>
          </w:tcPr>
          <w:p w14:paraId="32FE5E72">
            <w:r>
              <w:rPr>
                <w:rStyle w:val="10"/>
                <w:rFonts w:hint="eastAsia"/>
              </w:rPr>
              <w:t>剂型：</w:t>
            </w:r>
            <w:r>
              <w:rPr>
                <w:rFonts w:hint="eastAsia"/>
              </w:rPr>
              <w:t>悬乳剂</w:t>
            </w:r>
          </w:p>
        </w:tc>
      </w:tr>
      <w:tr w14:paraId="5F343570">
        <w:tblPrEx>
          <w:tblCellMar>
            <w:top w:w="0" w:type="dxa"/>
            <w:left w:w="0" w:type="dxa"/>
            <w:bottom w:w="0" w:type="dxa"/>
            <w:right w:w="0" w:type="dxa"/>
          </w:tblCellMar>
        </w:tblPrEx>
        <w:trPr>
          <w:wBefore w:w="0" w:type="auto"/>
          <w:tblCellSpacing w:w="0" w:type="dxa"/>
        </w:trPr>
        <w:tc>
          <w:tcPr>
            <w:tcW w:w="0" w:type="auto"/>
            <w:noWrap w:val="0"/>
            <w:vAlign w:val="center"/>
          </w:tcPr>
          <w:p w14:paraId="45E53CB5">
            <w:r>
              <w:rPr>
                <w:rStyle w:val="10"/>
                <w:rFonts w:hint="eastAsia"/>
              </w:rPr>
              <w:t>毒性及其标识：</w:t>
            </w:r>
            <w:r>
              <w:rPr>
                <w:rFonts w:hint="eastAsia"/>
              </w:rPr>
              <w:t xml:space="preserve"> </w:t>
            </w:r>
            <w:r>
              <w:rPr>
                <w:lang/>
              </w:rPr>
              <w:drawing>
                <wp:inline distT="0" distB="0" distL="114300" distR="114300">
                  <wp:extent cx="476250" cy="323850"/>
                  <wp:effectExtent l="0" t="0" r="0" b="0"/>
                  <wp:docPr id="9" name="图片 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78A4980C">
        <w:tblPrEx>
          <w:tblCellMar>
            <w:top w:w="0" w:type="dxa"/>
            <w:left w:w="0" w:type="dxa"/>
            <w:bottom w:w="0" w:type="dxa"/>
            <w:right w:w="0" w:type="dxa"/>
          </w:tblCellMar>
        </w:tblPrEx>
        <w:trPr>
          <w:wBefore w:w="0" w:type="auto"/>
          <w:tblCellSpacing w:w="0" w:type="dxa"/>
        </w:trPr>
        <w:tc>
          <w:tcPr>
            <w:tcW w:w="0" w:type="auto"/>
            <w:noWrap w:val="0"/>
            <w:vAlign w:val="center"/>
          </w:tcPr>
          <w:p w14:paraId="37DE9E2A">
            <w:r>
              <w:rPr>
                <w:rStyle w:val="10"/>
                <w:rFonts w:hint="eastAsia"/>
              </w:rPr>
              <w:t>总有效成分含量：</w:t>
            </w:r>
            <w:r>
              <w:rPr>
                <w:rFonts w:hint="eastAsia"/>
              </w:rPr>
              <w:t>20%</w:t>
            </w:r>
          </w:p>
        </w:tc>
      </w:tr>
      <w:tr w14:paraId="596D78C8">
        <w:tblPrEx>
          <w:tblCellMar>
            <w:top w:w="0" w:type="dxa"/>
            <w:left w:w="0" w:type="dxa"/>
            <w:bottom w:w="0" w:type="dxa"/>
            <w:right w:w="0" w:type="dxa"/>
          </w:tblCellMar>
        </w:tblPrEx>
        <w:trPr>
          <w:wBefore w:w="0" w:type="auto"/>
          <w:tblCellSpacing w:w="0" w:type="dxa"/>
        </w:trPr>
        <w:tc>
          <w:tcPr>
            <w:tcW w:w="0" w:type="auto"/>
            <w:noWrap w:val="0"/>
            <w:vAlign w:val="center"/>
          </w:tcPr>
          <w:p w14:paraId="12ECB1C8">
            <w:r>
              <w:rPr>
                <w:rFonts w:hint="eastAsia"/>
              </w:rPr>
              <w:t xml:space="preserve">有效成分及其含量： </w:t>
            </w:r>
          </w:p>
          <w:p w14:paraId="3CD398D1">
            <w:r>
              <w:rPr>
                <w:rFonts w:hint="eastAsia"/>
              </w:rPr>
              <w:t xml:space="preserve">    阿维菌素2%    虫螨腈18%    </w:t>
            </w:r>
          </w:p>
        </w:tc>
      </w:tr>
      <w:tr w14:paraId="66AF56EE">
        <w:tblPrEx>
          <w:tblCellMar>
            <w:top w:w="0" w:type="dxa"/>
            <w:left w:w="0" w:type="dxa"/>
            <w:bottom w:w="0" w:type="dxa"/>
            <w:right w:w="0" w:type="dxa"/>
          </w:tblCellMar>
        </w:tblPrEx>
        <w:trPr>
          <w:wBefore w:w="0" w:type="auto"/>
          <w:tblCellSpacing w:w="0" w:type="dxa"/>
        </w:trPr>
        <w:tc>
          <w:tcPr>
            <w:tcW w:w="0" w:type="auto"/>
            <w:noWrap w:val="0"/>
            <w:vAlign w:val="center"/>
          </w:tcPr>
          <w:p w14:paraId="6E0951F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546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A630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4314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C677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3F41D1">
                  <w:r>
                    <w:rPr>
                      <w:rStyle w:val="11"/>
                      <w:rFonts w:hint="eastAsia"/>
                    </w:rPr>
                    <w:t>施用方式</w:t>
                  </w:r>
                </w:p>
              </w:tc>
            </w:tr>
            <w:tr w14:paraId="40B2E3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BCCA6E">
                  <w:r>
                    <w:rPr>
                      <w:rStyle w:val="11"/>
                      <w:rFonts w:hint="eastAsia"/>
                    </w:rPr>
                    <w:t>芥蓝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B87ED3">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CAE88">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DE925D">
                  <w:r>
                    <w:rPr>
                      <w:rStyle w:val="11"/>
                      <w:rFonts w:hint="eastAsia"/>
                    </w:rPr>
                    <w:t>喷雾</w:t>
                  </w:r>
                </w:p>
              </w:tc>
            </w:tr>
          </w:tbl>
          <w:p w14:paraId="037DFCD6">
            <w:pPr>
              <w:rPr>
                <w:rFonts w:ascii="Times New Roman" w:hAnsi="Times New Roman" w:cs="Times New Roman"/>
                <w:sz w:val="20"/>
                <w:szCs w:val="20"/>
              </w:rPr>
            </w:pPr>
          </w:p>
        </w:tc>
      </w:tr>
      <w:tr w14:paraId="34F2E77E">
        <w:tblPrEx>
          <w:tblCellMar>
            <w:top w:w="0" w:type="dxa"/>
            <w:left w:w="0" w:type="dxa"/>
            <w:bottom w:w="0" w:type="dxa"/>
            <w:right w:w="0" w:type="dxa"/>
          </w:tblCellMar>
        </w:tblPrEx>
        <w:trPr>
          <w:wBefore w:w="0" w:type="auto"/>
          <w:tblCellSpacing w:w="0" w:type="dxa"/>
        </w:trPr>
        <w:tc>
          <w:tcPr>
            <w:tcW w:w="0" w:type="auto"/>
            <w:noWrap w:val="0"/>
            <w:vAlign w:val="center"/>
          </w:tcPr>
          <w:p w14:paraId="35E7F578">
            <w:r>
              <w:rPr>
                <w:rStyle w:val="10"/>
                <w:rFonts w:hint="eastAsia"/>
              </w:rPr>
              <w:t>使用技术要求:</w:t>
            </w:r>
            <w:r>
              <w:rPr>
                <w:rFonts w:hint="eastAsia"/>
              </w:rPr>
              <w:br w:type="textWrapping"/>
            </w:r>
            <w:r>
              <w:rPr>
                <w:rStyle w:val="11"/>
                <w:rFonts w:hint="eastAsia"/>
              </w:rPr>
              <w:t>1. 本品用于防治斜纹夜蛾时，应在斜纹夜蛾发生初期喷雾；用于防治小菜蛾时，应于小卵孵化盛期至低龄幼虫期，以推荐剂量兑水均匀喷雾施药一次，注意喷雾均匀。 2. 大风天或预计4小时内有雨请勿施药。 3. 安全间隔期：甘蓝10天，每季最多施用2次；芥蓝10天，每季最多施用1次。</w:t>
            </w:r>
          </w:p>
        </w:tc>
      </w:tr>
      <w:tr w14:paraId="48973E8D">
        <w:tblPrEx>
          <w:tblCellMar>
            <w:top w:w="0" w:type="dxa"/>
            <w:left w:w="0" w:type="dxa"/>
            <w:bottom w:w="0" w:type="dxa"/>
            <w:right w:w="0" w:type="dxa"/>
          </w:tblCellMar>
        </w:tblPrEx>
        <w:trPr>
          <w:wBefore w:w="0" w:type="auto"/>
          <w:tblCellSpacing w:w="0" w:type="dxa"/>
        </w:trPr>
        <w:tc>
          <w:tcPr>
            <w:tcW w:w="0" w:type="auto"/>
            <w:noWrap w:val="0"/>
            <w:vAlign w:val="center"/>
          </w:tcPr>
          <w:p w14:paraId="7CC94732">
            <w:r>
              <w:rPr>
                <w:rStyle w:val="10"/>
                <w:rFonts w:hint="eastAsia"/>
              </w:rPr>
              <w:t>产品性能:</w:t>
            </w:r>
            <w:r>
              <w:rPr>
                <w:rFonts w:hint="eastAsia"/>
              </w:rPr>
              <w:br w:type="textWrapping"/>
            </w:r>
            <w:r>
              <w:rPr>
                <w:rStyle w:val="11"/>
                <w:rFonts w:hint="eastAsia"/>
              </w:rPr>
              <w:t>阿维菌素是一种放线菌发酵产生的具有杀虫杀螨活性的物质，具有触杀和胃毒作用。虫螨腈为新型吡咯类杀虫杀螨剂。对多种害虫具有胃毒、触杀和一定的内吸作用。两者混配增效明显，对斜纹夜蛾、小菜蛾有较好防效。</w:t>
            </w:r>
          </w:p>
        </w:tc>
      </w:tr>
      <w:tr w14:paraId="5EFF2CBD">
        <w:tblPrEx>
          <w:tblCellMar>
            <w:top w:w="0" w:type="dxa"/>
            <w:left w:w="0" w:type="dxa"/>
            <w:bottom w:w="0" w:type="dxa"/>
            <w:right w:w="0" w:type="dxa"/>
          </w:tblCellMar>
        </w:tblPrEx>
        <w:trPr>
          <w:wBefore w:w="0" w:type="auto"/>
          <w:tblCellSpacing w:w="0" w:type="dxa"/>
        </w:trPr>
        <w:tc>
          <w:tcPr>
            <w:tcW w:w="0" w:type="auto"/>
            <w:noWrap w:val="0"/>
            <w:vAlign w:val="center"/>
          </w:tcPr>
          <w:p w14:paraId="7761405A">
            <w:r>
              <w:rPr>
                <w:rStyle w:val="10"/>
                <w:rFonts w:hint="eastAsia"/>
              </w:rPr>
              <w:t>注意事项：</w:t>
            </w:r>
            <w:r>
              <w:rPr>
                <w:rFonts w:hint="eastAsia"/>
              </w:rPr>
              <w:br w:type="textWrapping"/>
            </w:r>
            <w:r>
              <w:rPr>
                <w:rStyle w:val="11"/>
                <w:rFonts w:hint="eastAsia"/>
              </w:rPr>
              <w:t>1. 本品对眼睛有轻度至中度刺激性对皮肤有轻度刺激性,使用本品应采取相应的安全防护措施，穿防护服，戴防护手套、口罩等。避免皮肤接触及口鼻吸入药液。使用中不可吸烟、饮水和吃东西等，使用后及时清洗手、脸等暴露部位皮肤并更换衣物。 2. 本品对鱼类等水生生物、蜜蜂、家蚕、鸟类有毒，远离水产养殖区施药，禁止在池塘等水体中清洗施药器械，清洗施药器具的水也不能排入河塘等水体。开花植物花期、蚕室和桑园附近禁用，鸟类保护区禁用，赤眼蜂等天敌放飞区域禁用。 3. 不可与呈碱性的农药等物质混用。 4. 建议与其他作用机制不同的杀虫剂轮换使用，以延缓抗性产生。 5. 用过的容器应妥善处理，不可作他用，也不可随意丢弃。 避免孕妇及哺乳期妇女接触。</w:t>
            </w:r>
          </w:p>
        </w:tc>
      </w:tr>
      <w:tr w14:paraId="468D9F63">
        <w:tblPrEx>
          <w:tblCellMar>
            <w:top w:w="0" w:type="dxa"/>
            <w:left w:w="0" w:type="dxa"/>
            <w:bottom w:w="0" w:type="dxa"/>
            <w:right w:w="0" w:type="dxa"/>
          </w:tblCellMar>
        </w:tblPrEx>
        <w:trPr>
          <w:wBefore w:w="0" w:type="auto"/>
          <w:tblCellSpacing w:w="0" w:type="dxa"/>
        </w:trPr>
        <w:tc>
          <w:tcPr>
            <w:tcW w:w="0" w:type="auto"/>
            <w:noWrap w:val="0"/>
            <w:vAlign w:val="center"/>
          </w:tcPr>
          <w:p w14:paraId="66F6E622">
            <w:r>
              <w:rPr>
                <w:rStyle w:val="10"/>
                <w:rFonts w:hint="eastAsia"/>
              </w:rPr>
              <w:t>中毒急救措施：</w:t>
            </w:r>
            <w:r>
              <w:rPr>
                <w:rFonts w:hint="eastAsia"/>
              </w:rPr>
              <w:br w:type="textWrapping"/>
            </w:r>
            <w:r>
              <w:rPr>
                <w:rStyle w:val="11"/>
                <w:rFonts w:hint="eastAsia"/>
              </w:rPr>
              <w:t>中毒症状：过量误服可导致腹泻发生。急救措施：使用中或使用后如果感觉不适，应立即停止工作采取急救措施，并携带标签送医院就诊。 1. 皮肤接触：脱去污染的衣物，用软布去除沾染农药，立即用大量清水和肥皂冲洗。 2. 眼睛溅入：立即用流动清水冲洗不少于15分钟，若仍有刺激感携带标签到医院就诊。 3. 吸入：立即离开施药现场，转移到空气清新处。 4. 误食：立即停止服用，清醒者立即催吐并给患者服用吐根糖浆或麻黄素，但勿给昏迷患者催吐或灌任何东西。立即携带标签送医院就诊。 本品无特殊的解毒药。抢救时避免给患者使用增强γ-氨基丁酸活性的药物，如巴比妥等。</w:t>
            </w:r>
          </w:p>
        </w:tc>
      </w:tr>
      <w:tr w14:paraId="4C95FAF1">
        <w:tblPrEx>
          <w:tblCellMar>
            <w:top w:w="0" w:type="dxa"/>
            <w:left w:w="0" w:type="dxa"/>
            <w:bottom w:w="0" w:type="dxa"/>
            <w:right w:w="0" w:type="dxa"/>
          </w:tblCellMar>
        </w:tblPrEx>
        <w:trPr>
          <w:wBefore w:w="0" w:type="auto"/>
          <w:tblCellSpacing w:w="0" w:type="dxa"/>
        </w:trPr>
        <w:tc>
          <w:tcPr>
            <w:tcW w:w="0" w:type="auto"/>
            <w:noWrap w:val="0"/>
            <w:vAlign w:val="center"/>
          </w:tcPr>
          <w:p w14:paraId="0CBBD888">
            <w:r>
              <w:rPr>
                <w:rStyle w:val="10"/>
                <w:rFonts w:hint="eastAsia"/>
              </w:rPr>
              <w:t>储存和运输方法：</w:t>
            </w:r>
            <w:r>
              <w:rPr>
                <w:rFonts w:hint="eastAsia"/>
              </w:rPr>
              <w:br w:type="textWrapping"/>
            </w:r>
            <w:r>
              <w:rPr>
                <w:rStyle w:val="11"/>
                <w:rFonts w:hint="eastAsia"/>
              </w:rPr>
              <w:t>1. 本品应贮存在干燥、阴凉、通风、防雨处，远离火源和热源。保持装有药液的容器密封。2. 本品应当置于儿童、无关人员及动物接触不到的地方，并加锁保存。 3. 不得与食物、种子、粮食、饲料混放。</w:t>
            </w:r>
          </w:p>
        </w:tc>
      </w:tr>
      <w:tr w14:paraId="5A3FEEFF">
        <w:tblPrEx>
          <w:tblCellMar>
            <w:top w:w="0" w:type="dxa"/>
            <w:left w:w="0" w:type="dxa"/>
            <w:bottom w:w="0" w:type="dxa"/>
            <w:right w:w="0" w:type="dxa"/>
          </w:tblCellMar>
        </w:tblPrEx>
        <w:trPr>
          <w:wBefore w:w="0" w:type="auto"/>
          <w:tblCellSpacing w:w="0" w:type="dxa"/>
        </w:trPr>
        <w:tc>
          <w:tcPr>
            <w:tcW w:w="0" w:type="auto"/>
            <w:noWrap w:val="0"/>
            <w:vAlign w:val="center"/>
          </w:tcPr>
          <w:p w14:paraId="57FA7229">
            <w:r>
              <w:rPr>
                <w:rStyle w:val="10"/>
                <w:rFonts w:hint="eastAsia"/>
              </w:rPr>
              <w:t>质量保证期：</w:t>
            </w:r>
            <w:r>
              <w:rPr>
                <w:rStyle w:val="11"/>
                <w:rFonts w:hint="eastAsia"/>
              </w:rPr>
              <w:t>2年</w:t>
            </w:r>
          </w:p>
        </w:tc>
      </w:tr>
      <w:tr w14:paraId="141C7001">
        <w:tblPrEx>
          <w:tblCellMar>
            <w:top w:w="0" w:type="dxa"/>
            <w:left w:w="0" w:type="dxa"/>
            <w:bottom w:w="0" w:type="dxa"/>
            <w:right w:w="0" w:type="dxa"/>
          </w:tblCellMar>
        </w:tblPrEx>
        <w:trPr>
          <w:wBefore w:w="0" w:type="auto"/>
          <w:tblCellSpacing w:w="0" w:type="dxa"/>
        </w:trPr>
        <w:tc>
          <w:tcPr>
            <w:tcW w:w="0" w:type="auto"/>
            <w:noWrap w:val="0"/>
            <w:vAlign w:val="center"/>
          </w:tcPr>
          <w:p w14:paraId="4E3A9F28">
            <w:r>
              <w:rPr>
                <w:rStyle w:val="10"/>
                <w:rFonts w:hint="eastAsia"/>
              </w:rPr>
              <w:t>备注：</w:t>
            </w:r>
          </w:p>
        </w:tc>
      </w:tr>
    </w:tbl>
    <w:p w14:paraId="7C72DE5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C163A6">
        <w:tblPrEx>
          <w:tblCellMar>
            <w:top w:w="0" w:type="dxa"/>
            <w:left w:w="0" w:type="dxa"/>
            <w:bottom w:w="0" w:type="dxa"/>
            <w:right w:w="0" w:type="dxa"/>
          </w:tblCellMar>
        </w:tblPrEx>
        <w:trPr>
          <w:wBefore w:w="0" w:type="auto"/>
          <w:tblCellSpacing w:w="0" w:type="dxa"/>
        </w:trPr>
        <w:tc>
          <w:tcPr>
            <w:tcW w:w="0" w:type="auto"/>
            <w:noWrap w:val="0"/>
            <w:vAlign w:val="center"/>
          </w:tcPr>
          <w:p w14:paraId="292D5CDC">
            <w:r>
              <w:rPr>
                <w:rStyle w:val="10"/>
                <w:rFonts w:hint="eastAsia"/>
              </w:rPr>
              <w:t>登记证号：</w:t>
            </w:r>
            <w:r>
              <w:rPr>
                <w:rFonts w:hint="eastAsia"/>
              </w:rPr>
              <w:t>PD20141483</w:t>
            </w:r>
          </w:p>
        </w:tc>
      </w:tr>
      <w:tr w14:paraId="1D9348D8">
        <w:tblPrEx>
          <w:tblCellMar>
            <w:top w:w="0" w:type="dxa"/>
            <w:left w:w="0" w:type="dxa"/>
            <w:bottom w:w="0" w:type="dxa"/>
            <w:right w:w="0" w:type="dxa"/>
          </w:tblCellMar>
        </w:tblPrEx>
        <w:trPr>
          <w:wBefore w:w="0" w:type="auto"/>
          <w:tblCellSpacing w:w="0" w:type="dxa"/>
        </w:trPr>
        <w:tc>
          <w:tcPr>
            <w:tcW w:w="0" w:type="auto"/>
            <w:noWrap w:val="0"/>
            <w:vAlign w:val="center"/>
          </w:tcPr>
          <w:p w14:paraId="305604DA">
            <w:r>
              <w:rPr>
                <w:rStyle w:val="10"/>
                <w:rFonts w:hint="eastAsia"/>
              </w:rPr>
              <w:t>登记证持有人：</w:t>
            </w:r>
            <w:r>
              <w:rPr>
                <w:rFonts w:hint="eastAsia"/>
              </w:rPr>
              <w:t>上海悦联生物科技有限公司</w:t>
            </w:r>
          </w:p>
        </w:tc>
      </w:tr>
      <w:tr w14:paraId="77B03CCA">
        <w:tblPrEx>
          <w:tblCellMar>
            <w:top w:w="0" w:type="dxa"/>
            <w:left w:w="0" w:type="dxa"/>
            <w:bottom w:w="0" w:type="dxa"/>
            <w:right w:w="0" w:type="dxa"/>
          </w:tblCellMar>
        </w:tblPrEx>
        <w:trPr>
          <w:wBefore w:w="0" w:type="auto"/>
          <w:tblCellSpacing w:w="0" w:type="dxa"/>
        </w:trPr>
        <w:tc>
          <w:tcPr>
            <w:tcW w:w="0" w:type="auto"/>
            <w:noWrap w:val="0"/>
            <w:vAlign w:val="center"/>
          </w:tcPr>
          <w:p w14:paraId="2B9C4265">
            <w:r>
              <w:rPr>
                <w:rStyle w:val="10"/>
                <w:rFonts w:hint="eastAsia"/>
              </w:rPr>
              <w:t>农药名称：</w:t>
            </w:r>
            <w:r>
              <w:rPr>
                <w:rFonts w:hint="eastAsia"/>
              </w:rPr>
              <w:t>甲氨基阿维菌素苯甲酸盐</w:t>
            </w:r>
          </w:p>
        </w:tc>
      </w:tr>
      <w:tr w14:paraId="7E184949">
        <w:tblPrEx>
          <w:tblCellMar>
            <w:top w:w="0" w:type="dxa"/>
            <w:left w:w="0" w:type="dxa"/>
            <w:bottom w:w="0" w:type="dxa"/>
            <w:right w:w="0" w:type="dxa"/>
          </w:tblCellMar>
        </w:tblPrEx>
        <w:trPr>
          <w:wBefore w:w="0" w:type="auto"/>
          <w:tblCellSpacing w:w="0" w:type="dxa"/>
        </w:trPr>
        <w:tc>
          <w:tcPr>
            <w:tcW w:w="0" w:type="auto"/>
            <w:noWrap w:val="0"/>
            <w:vAlign w:val="center"/>
          </w:tcPr>
          <w:p w14:paraId="26A4AC03">
            <w:r>
              <w:rPr>
                <w:rStyle w:val="10"/>
                <w:rFonts w:hint="eastAsia"/>
              </w:rPr>
              <w:t>剂型：</w:t>
            </w:r>
            <w:r>
              <w:rPr>
                <w:rFonts w:hint="eastAsia"/>
              </w:rPr>
              <w:t>微乳剂</w:t>
            </w:r>
          </w:p>
        </w:tc>
      </w:tr>
      <w:tr w14:paraId="1B534E65">
        <w:tblPrEx>
          <w:tblCellMar>
            <w:top w:w="0" w:type="dxa"/>
            <w:left w:w="0" w:type="dxa"/>
            <w:bottom w:w="0" w:type="dxa"/>
            <w:right w:w="0" w:type="dxa"/>
          </w:tblCellMar>
        </w:tblPrEx>
        <w:trPr>
          <w:wBefore w:w="0" w:type="auto"/>
          <w:tblCellSpacing w:w="0" w:type="dxa"/>
        </w:trPr>
        <w:tc>
          <w:tcPr>
            <w:tcW w:w="0" w:type="auto"/>
            <w:noWrap w:val="0"/>
            <w:vAlign w:val="center"/>
          </w:tcPr>
          <w:p w14:paraId="43986AE4">
            <w:r>
              <w:rPr>
                <w:rStyle w:val="10"/>
                <w:rFonts w:hint="eastAsia"/>
              </w:rPr>
              <w:t>毒性及其标识：</w:t>
            </w:r>
            <w:r>
              <w:rPr>
                <w:rFonts w:hint="eastAsia"/>
              </w:rPr>
              <w:t xml:space="preserve"> </w:t>
            </w:r>
            <w:r>
              <w:rPr>
                <w:lang/>
              </w:rPr>
              <w:drawing>
                <wp:inline distT="0" distB="0" distL="114300" distR="114300">
                  <wp:extent cx="476250" cy="323850"/>
                  <wp:effectExtent l="0" t="0" r="0" b="0"/>
                  <wp:docPr id="10" name="图片 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9EBD77">
        <w:tblPrEx>
          <w:tblCellMar>
            <w:top w:w="0" w:type="dxa"/>
            <w:left w:w="0" w:type="dxa"/>
            <w:bottom w:w="0" w:type="dxa"/>
            <w:right w:w="0" w:type="dxa"/>
          </w:tblCellMar>
        </w:tblPrEx>
        <w:trPr>
          <w:wBefore w:w="0" w:type="auto"/>
          <w:tblCellSpacing w:w="0" w:type="dxa"/>
        </w:trPr>
        <w:tc>
          <w:tcPr>
            <w:tcW w:w="0" w:type="auto"/>
            <w:noWrap w:val="0"/>
            <w:vAlign w:val="center"/>
          </w:tcPr>
          <w:p w14:paraId="07B599D6">
            <w:r>
              <w:rPr>
                <w:rStyle w:val="10"/>
                <w:rFonts w:hint="eastAsia"/>
              </w:rPr>
              <w:t>总有效成分含量：</w:t>
            </w:r>
            <w:r>
              <w:rPr>
                <w:rFonts w:hint="eastAsia"/>
              </w:rPr>
              <w:t>5%</w:t>
            </w:r>
          </w:p>
        </w:tc>
      </w:tr>
      <w:tr w14:paraId="685A3E86">
        <w:tblPrEx>
          <w:tblCellMar>
            <w:top w:w="0" w:type="dxa"/>
            <w:left w:w="0" w:type="dxa"/>
            <w:bottom w:w="0" w:type="dxa"/>
            <w:right w:w="0" w:type="dxa"/>
          </w:tblCellMar>
        </w:tblPrEx>
        <w:trPr>
          <w:wBefore w:w="0" w:type="auto"/>
          <w:tblCellSpacing w:w="0" w:type="dxa"/>
        </w:trPr>
        <w:tc>
          <w:tcPr>
            <w:tcW w:w="0" w:type="auto"/>
            <w:noWrap w:val="0"/>
            <w:vAlign w:val="center"/>
          </w:tcPr>
          <w:p w14:paraId="61131F66">
            <w:r>
              <w:rPr>
                <w:rFonts w:hint="eastAsia"/>
              </w:rPr>
              <w:t xml:space="preserve">有效成分及其含量： </w:t>
            </w:r>
          </w:p>
          <w:p w14:paraId="2D0ACE59">
            <w:r>
              <w:rPr>
                <w:rFonts w:hint="eastAsia"/>
              </w:rPr>
              <w:t xml:space="preserve">    甲氨基阿维菌素5%    </w:t>
            </w:r>
          </w:p>
        </w:tc>
      </w:tr>
      <w:tr w14:paraId="62242AD4">
        <w:tblPrEx>
          <w:tblCellMar>
            <w:top w:w="0" w:type="dxa"/>
            <w:left w:w="0" w:type="dxa"/>
            <w:bottom w:w="0" w:type="dxa"/>
            <w:right w:w="0" w:type="dxa"/>
          </w:tblCellMar>
        </w:tblPrEx>
        <w:trPr>
          <w:wBefore w:w="0" w:type="auto"/>
          <w:tblCellSpacing w:w="0" w:type="dxa"/>
        </w:trPr>
        <w:tc>
          <w:tcPr>
            <w:tcW w:w="0" w:type="auto"/>
            <w:noWrap w:val="0"/>
            <w:vAlign w:val="center"/>
          </w:tcPr>
          <w:p w14:paraId="350F9A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6561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D70C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1632A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DC44E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37DE5E">
                  <w:r>
                    <w:rPr>
                      <w:rStyle w:val="11"/>
                      <w:rFonts w:hint="eastAsia"/>
                    </w:rPr>
                    <w:t>施用方式</w:t>
                  </w:r>
                </w:p>
              </w:tc>
            </w:tr>
            <w:tr w14:paraId="3D472A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21F1C4">
                  <w:r>
                    <w:rPr>
                      <w:rStyle w:val="11"/>
                      <w:rFonts w:hint="eastAsia"/>
                    </w:rPr>
                    <w:t>苦瓜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0C792A">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0490C7">
                  <w:r>
                    <w:rPr>
                      <w:rStyle w:val="11"/>
                      <w:rFonts w:hint="eastAsia"/>
                    </w:rPr>
                    <w:t>5-6毫升/亩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E38AC6">
                  <w:r>
                    <w:rPr>
                      <w:rStyle w:val="11"/>
                      <w:rFonts w:hint="eastAsia"/>
                    </w:rPr>
                    <w:t>喷雾</w:t>
                  </w:r>
                </w:p>
              </w:tc>
            </w:tr>
          </w:tbl>
          <w:p w14:paraId="476CC6EB">
            <w:pPr>
              <w:rPr>
                <w:rFonts w:ascii="Times New Roman" w:hAnsi="Times New Roman" w:cs="Times New Roman"/>
                <w:sz w:val="20"/>
                <w:szCs w:val="20"/>
              </w:rPr>
            </w:pPr>
          </w:p>
        </w:tc>
      </w:tr>
      <w:tr w14:paraId="0FD4F540">
        <w:tblPrEx>
          <w:tblCellMar>
            <w:top w:w="0" w:type="dxa"/>
            <w:left w:w="0" w:type="dxa"/>
            <w:bottom w:w="0" w:type="dxa"/>
            <w:right w:w="0" w:type="dxa"/>
          </w:tblCellMar>
        </w:tblPrEx>
        <w:trPr>
          <w:wBefore w:w="0" w:type="auto"/>
          <w:tblCellSpacing w:w="0" w:type="dxa"/>
        </w:trPr>
        <w:tc>
          <w:tcPr>
            <w:tcW w:w="0" w:type="auto"/>
            <w:noWrap w:val="0"/>
            <w:vAlign w:val="center"/>
          </w:tcPr>
          <w:p w14:paraId="1FEC8EA5">
            <w:r>
              <w:rPr>
                <w:rStyle w:val="10"/>
                <w:rFonts w:hint="eastAsia"/>
              </w:rPr>
              <w:t>使用技术要求:</w:t>
            </w:r>
            <w:r>
              <w:rPr>
                <w:rFonts w:hint="eastAsia"/>
              </w:rPr>
              <w:br w:type="textWrapping"/>
            </w:r>
            <w:r>
              <w:rPr>
                <w:rStyle w:val="11"/>
                <w:rFonts w:hint="eastAsia"/>
              </w:rPr>
              <w:t>1. 本品用于防治水稻二化螟时，应在二化螟低龄幼虫盛发期开始施药；用于防治苦瓜蓟马时，应于蓟马低龄若虫始盛期喷雾使用一次，注意喷雾均匀。 2. 大风天或预计4小时内有雨请勿施药。 3. 本品在水稻上安全间隔期为14天，每季最多使用2次；在苦瓜上的安全间隔期为5天，每季最多使用1次。</w:t>
            </w:r>
          </w:p>
        </w:tc>
      </w:tr>
      <w:tr w14:paraId="44835363">
        <w:tblPrEx>
          <w:tblCellMar>
            <w:top w:w="0" w:type="dxa"/>
            <w:left w:w="0" w:type="dxa"/>
            <w:bottom w:w="0" w:type="dxa"/>
            <w:right w:w="0" w:type="dxa"/>
          </w:tblCellMar>
        </w:tblPrEx>
        <w:trPr>
          <w:wBefore w:w="0" w:type="auto"/>
          <w:tblCellSpacing w:w="0" w:type="dxa"/>
        </w:trPr>
        <w:tc>
          <w:tcPr>
            <w:tcW w:w="0" w:type="auto"/>
            <w:noWrap w:val="0"/>
            <w:vAlign w:val="center"/>
          </w:tcPr>
          <w:p w14:paraId="31394627">
            <w:r>
              <w:rPr>
                <w:rStyle w:val="10"/>
                <w:rFonts w:hint="eastAsia"/>
              </w:rPr>
              <w:t>产品性能:</w:t>
            </w:r>
            <w:r>
              <w:rPr>
                <w:rFonts w:hint="eastAsia"/>
              </w:rPr>
              <w:br w:type="textWrapping"/>
            </w:r>
            <w:r>
              <w:rPr>
                <w:rStyle w:val="11"/>
                <w:rFonts w:hint="eastAsia"/>
              </w:rPr>
              <w:t>本品是一种半合成抗生素类杀虫剂，作用机理阻碍害虫运动神经信息传递而使身体麻痹死亡。作用方式以胃毒为主触杀作用，对作物无内吸性能，但所有效渗入施用作物表皮组织，形成二次杀虫高峰。对二化螟、蓟马有较好的防效。</w:t>
            </w:r>
          </w:p>
        </w:tc>
      </w:tr>
      <w:tr w14:paraId="43BF2399">
        <w:tblPrEx>
          <w:tblCellMar>
            <w:top w:w="0" w:type="dxa"/>
            <w:left w:w="0" w:type="dxa"/>
            <w:bottom w:w="0" w:type="dxa"/>
            <w:right w:w="0" w:type="dxa"/>
          </w:tblCellMar>
        </w:tblPrEx>
        <w:trPr>
          <w:wBefore w:w="0" w:type="auto"/>
          <w:tblCellSpacing w:w="0" w:type="dxa"/>
        </w:trPr>
        <w:tc>
          <w:tcPr>
            <w:tcW w:w="0" w:type="auto"/>
            <w:noWrap w:val="0"/>
            <w:vAlign w:val="center"/>
          </w:tcPr>
          <w:p w14:paraId="407DF160">
            <w:r>
              <w:rPr>
                <w:rStyle w:val="10"/>
                <w:rFonts w:hint="eastAsia"/>
              </w:rPr>
              <w:t>注意事项：</w:t>
            </w:r>
            <w:r>
              <w:rPr>
                <w:rFonts w:hint="eastAsia"/>
              </w:rPr>
              <w:br w:type="textWrapping"/>
            </w:r>
            <w:r>
              <w:rPr>
                <w:rStyle w:val="11"/>
                <w:rFonts w:hint="eastAsia"/>
              </w:rPr>
              <w:t>1. 远离河塘等水域施药，严禁在水产养殖区使用，禁止在河塘等水体中清洗施药器具。鱼或虾蟹套养稻田禁用，施药后的田水不得直接排入水体。 2. 鸟类保护区附近禁用；周围开花植物花期禁用，使用时应密切关注对附近蜂群的影响；蚕室及桑园附近禁用；赤眼蜂等天敌放飞区域禁用。 3. 使用本品时应采用相应的安全防护措施，穿防护服，戴防护手套、口罩等，避免皮肤接触及口鼻吸入。施药期间不可吃东西和饮水。施药后应及时洗手和洗脸并更换衣服。 4. 建议与其他作用机制不同的杀虫剂轮换使用，以延缓抗性产生。 5. 用过的容器应妥善处理，不可做他用，也不得随便丢弃。 6. 避免孕妇及哺乳期妇女接触。</w:t>
            </w:r>
          </w:p>
        </w:tc>
      </w:tr>
      <w:tr w14:paraId="44870E31">
        <w:tblPrEx>
          <w:tblCellMar>
            <w:top w:w="0" w:type="dxa"/>
            <w:left w:w="0" w:type="dxa"/>
            <w:bottom w:w="0" w:type="dxa"/>
            <w:right w:w="0" w:type="dxa"/>
          </w:tblCellMar>
        </w:tblPrEx>
        <w:trPr>
          <w:wBefore w:w="0" w:type="auto"/>
          <w:tblCellSpacing w:w="0" w:type="dxa"/>
        </w:trPr>
        <w:tc>
          <w:tcPr>
            <w:tcW w:w="0" w:type="auto"/>
            <w:noWrap w:val="0"/>
            <w:vAlign w:val="center"/>
          </w:tcPr>
          <w:p w14:paraId="11430981">
            <w:r>
              <w:rPr>
                <w:rStyle w:val="10"/>
                <w:rFonts w:hint="eastAsia"/>
              </w:rPr>
              <w:t>中毒急救措施：</w:t>
            </w:r>
            <w:r>
              <w:rPr>
                <w:rFonts w:hint="eastAsia"/>
              </w:rPr>
              <w:br w:type="textWrapping"/>
            </w:r>
            <w:r>
              <w:rPr>
                <w:rStyle w:val="11"/>
                <w:rFonts w:hint="eastAsia"/>
              </w:rPr>
              <w:t>中毒症状：本品对眼睛有刺激性，使用过程中应注意对眼睛的防护。避免将药剂溅入眼中或吸入药雾；避免药剂接触皮肤，以免经皮肤吸收中毒。 急救措施：使用中或使用后如果感觉不适，应立即停止工作，采取急救措施，并携带标签送医院就诊。 1.皮肤接触：脱去污染的衣物，用软布去除沾染农药，立即用大量清水和肥皂水冲洗。 2.眼睛溅入：立即用流动清水冲洗至少15分钟。 3.吸入：立即离开施药现场，转移到空气清新处。 4.误食：立即停止服用，用清水充分漱口后，立即携本标签送往医院就诊。</w:t>
            </w:r>
          </w:p>
        </w:tc>
      </w:tr>
      <w:tr w14:paraId="2A845100">
        <w:tblPrEx>
          <w:tblCellMar>
            <w:top w:w="0" w:type="dxa"/>
            <w:left w:w="0" w:type="dxa"/>
            <w:bottom w:w="0" w:type="dxa"/>
            <w:right w:w="0" w:type="dxa"/>
          </w:tblCellMar>
        </w:tblPrEx>
        <w:trPr>
          <w:wBefore w:w="0" w:type="auto"/>
          <w:tblCellSpacing w:w="0" w:type="dxa"/>
        </w:trPr>
        <w:tc>
          <w:tcPr>
            <w:tcW w:w="0" w:type="auto"/>
            <w:noWrap w:val="0"/>
            <w:vAlign w:val="center"/>
          </w:tcPr>
          <w:p w14:paraId="3F7919FA">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171C2142">
        <w:tblPrEx>
          <w:tblCellMar>
            <w:top w:w="0" w:type="dxa"/>
            <w:left w:w="0" w:type="dxa"/>
            <w:bottom w:w="0" w:type="dxa"/>
            <w:right w:w="0" w:type="dxa"/>
          </w:tblCellMar>
        </w:tblPrEx>
        <w:trPr>
          <w:wBefore w:w="0" w:type="auto"/>
          <w:tblCellSpacing w:w="0" w:type="dxa"/>
        </w:trPr>
        <w:tc>
          <w:tcPr>
            <w:tcW w:w="0" w:type="auto"/>
            <w:noWrap w:val="0"/>
            <w:vAlign w:val="center"/>
          </w:tcPr>
          <w:p w14:paraId="1EC91013">
            <w:r>
              <w:rPr>
                <w:rStyle w:val="10"/>
                <w:rFonts w:hint="eastAsia"/>
              </w:rPr>
              <w:t>质量保证期：</w:t>
            </w:r>
            <w:r>
              <w:rPr>
                <w:rStyle w:val="11"/>
                <w:rFonts w:hint="eastAsia"/>
              </w:rPr>
              <w:t>2年</w:t>
            </w:r>
          </w:p>
        </w:tc>
      </w:tr>
      <w:tr w14:paraId="4DC4A1EE">
        <w:tblPrEx>
          <w:tblCellMar>
            <w:top w:w="0" w:type="dxa"/>
            <w:left w:w="0" w:type="dxa"/>
            <w:bottom w:w="0" w:type="dxa"/>
            <w:right w:w="0" w:type="dxa"/>
          </w:tblCellMar>
        </w:tblPrEx>
        <w:trPr>
          <w:wBefore w:w="0" w:type="auto"/>
          <w:tblCellSpacing w:w="0" w:type="dxa"/>
        </w:trPr>
        <w:tc>
          <w:tcPr>
            <w:tcW w:w="0" w:type="auto"/>
            <w:noWrap w:val="0"/>
            <w:vAlign w:val="center"/>
          </w:tcPr>
          <w:p w14:paraId="72606985">
            <w:r>
              <w:rPr>
                <w:rStyle w:val="10"/>
                <w:rFonts w:hint="eastAsia"/>
              </w:rPr>
              <w:t>备注：</w:t>
            </w:r>
          </w:p>
        </w:tc>
      </w:tr>
    </w:tbl>
    <w:p w14:paraId="7434B13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D56128">
        <w:tblPrEx>
          <w:tblCellMar>
            <w:top w:w="0" w:type="dxa"/>
            <w:left w:w="0" w:type="dxa"/>
            <w:bottom w:w="0" w:type="dxa"/>
            <w:right w:w="0" w:type="dxa"/>
          </w:tblCellMar>
        </w:tblPrEx>
        <w:trPr>
          <w:wBefore w:w="0" w:type="auto"/>
          <w:tblCellSpacing w:w="0" w:type="dxa"/>
        </w:trPr>
        <w:tc>
          <w:tcPr>
            <w:tcW w:w="0" w:type="auto"/>
            <w:noWrap w:val="0"/>
            <w:vAlign w:val="center"/>
          </w:tcPr>
          <w:p w14:paraId="64752710">
            <w:r>
              <w:rPr>
                <w:rStyle w:val="10"/>
                <w:rFonts w:hint="eastAsia"/>
              </w:rPr>
              <w:t>登记证号：</w:t>
            </w:r>
            <w:r>
              <w:rPr>
                <w:rFonts w:hint="eastAsia"/>
              </w:rPr>
              <w:t>PD20212352</w:t>
            </w:r>
          </w:p>
        </w:tc>
      </w:tr>
      <w:tr w14:paraId="17A9E226">
        <w:tblPrEx>
          <w:tblCellMar>
            <w:top w:w="0" w:type="dxa"/>
            <w:left w:w="0" w:type="dxa"/>
            <w:bottom w:w="0" w:type="dxa"/>
            <w:right w:w="0" w:type="dxa"/>
          </w:tblCellMar>
        </w:tblPrEx>
        <w:trPr>
          <w:wBefore w:w="0" w:type="auto"/>
          <w:tblCellSpacing w:w="0" w:type="dxa"/>
        </w:trPr>
        <w:tc>
          <w:tcPr>
            <w:tcW w:w="0" w:type="auto"/>
            <w:noWrap w:val="0"/>
            <w:vAlign w:val="center"/>
          </w:tcPr>
          <w:p w14:paraId="2589F8E8">
            <w:r>
              <w:rPr>
                <w:rStyle w:val="10"/>
                <w:rFonts w:hint="eastAsia"/>
              </w:rPr>
              <w:t>登记证持有人：</w:t>
            </w:r>
            <w:r>
              <w:rPr>
                <w:rFonts w:hint="eastAsia"/>
              </w:rPr>
              <w:t>安徽华微农化股份有限公司</w:t>
            </w:r>
          </w:p>
        </w:tc>
      </w:tr>
      <w:tr w14:paraId="0A29D390">
        <w:tblPrEx>
          <w:tblCellMar>
            <w:top w:w="0" w:type="dxa"/>
            <w:left w:w="0" w:type="dxa"/>
            <w:bottom w:w="0" w:type="dxa"/>
            <w:right w:w="0" w:type="dxa"/>
          </w:tblCellMar>
        </w:tblPrEx>
        <w:trPr>
          <w:wBefore w:w="0" w:type="auto"/>
          <w:tblCellSpacing w:w="0" w:type="dxa"/>
        </w:trPr>
        <w:tc>
          <w:tcPr>
            <w:tcW w:w="0" w:type="auto"/>
            <w:noWrap w:val="0"/>
            <w:vAlign w:val="center"/>
          </w:tcPr>
          <w:p w14:paraId="3CE50974">
            <w:r>
              <w:rPr>
                <w:rStyle w:val="10"/>
                <w:rFonts w:hint="eastAsia"/>
              </w:rPr>
              <w:t>农药名称：</w:t>
            </w:r>
            <w:r>
              <w:rPr>
                <w:rFonts w:hint="eastAsia"/>
              </w:rPr>
              <w:t>联苯·噻虫胺</w:t>
            </w:r>
          </w:p>
        </w:tc>
      </w:tr>
      <w:tr w14:paraId="5241D14E">
        <w:tblPrEx>
          <w:tblCellMar>
            <w:top w:w="0" w:type="dxa"/>
            <w:left w:w="0" w:type="dxa"/>
            <w:bottom w:w="0" w:type="dxa"/>
            <w:right w:w="0" w:type="dxa"/>
          </w:tblCellMar>
        </w:tblPrEx>
        <w:trPr>
          <w:wBefore w:w="0" w:type="auto"/>
          <w:tblCellSpacing w:w="0" w:type="dxa"/>
        </w:trPr>
        <w:tc>
          <w:tcPr>
            <w:tcW w:w="0" w:type="auto"/>
            <w:noWrap w:val="0"/>
            <w:vAlign w:val="center"/>
          </w:tcPr>
          <w:p w14:paraId="02CD45C2">
            <w:r>
              <w:rPr>
                <w:rStyle w:val="10"/>
                <w:rFonts w:hint="eastAsia"/>
              </w:rPr>
              <w:t>剂型：</w:t>
            </w:r>
            <w:r>
              <w:rPr>
                <w:rFonts w:hint="eastAsia"/>
              </w:rPr>
              <w:t>悬浮剂</w:t>
            </w:r>
          </w:p>
        </w:tc>
      </w:tr>
      <w:tr w14:paraId="01DCED5E">
        <w:tblPrEx>
          <w:tblCellMar>
            <w:top w:w="0" w:type="dxa"/>
            <w:left w:w="0" w:type="dxa"/>
            <w:bottom w:w="0" w:type="dxa"/>
            <w:right w:w="0" w:type="dxa"/>
          </w:tblCellMar>
        </w:tblPrEx>
        <w:trPr>
          <w:wBefore w:w="0" w:type="auto"/>
          <w:tblCellSpacing w:w="0" w:type="dxa"/>
        </w:trPr>
        <w:tc>
          <w:tcPr>
            <w:tcW w:w="0" w:type="auto"/>
            <w:noWrap w:val="0"/>
            <w:vAlign w:val="center"/>
          </w:tcPr>
          <w:p w14:paraId="392BA6D2">
            <w:r>
              <w:rPr>
                <w:rStyle w:val="10"/>
                <w:rFonts w:hint="eastAsia"/>
              </w:rPr>
              <w:t>毒性及其标识：</w:t>
            </w:r>
            <w:r>
              <w:rPr>
                <w:rFonts w:hint="eastAsia"/>
              </w:rPr>
              <w:t xml:space="preserve"> </w:t>
            </w:r>
            <w:r>
              <w:rPr>
                <w:lang/>
              </w:rPr>
              <w:drawing>
                <wp:inline distT="0" distB="0" distL="114300" distR="114300">
                  <wp:extent cx="476250" cy="323850"/>
                  <wp:effectExtent l="0" t="0" r="0" b="0"/>
                  <wp:docPr id="11" name="图片 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6EC73E">
        <w:tblPrEx>
          <w:tblCellMar>
            <w:top w:w="0" w:type="dxa"/>
            <w:left w:w="0" w:type="dxa"/>
            <w:bottom w:w="0" w:type="dxa"/>
            <w:right w:w="0" w:type="dxa"/>
          </w:tblCellMar>
        </w:tblPrEx>
        <w:trPr>
          <w:wBefore w:w="0" w:type="auto"/>
          <w:tblCellSpacing w:w="0" w:type="dxa"/>
        </w:trPr>
        <w:tc>
          <w:tcPr>
            <w:tcW w:w="0" w:type="auto"/>
            <w:noWrap w:val="0"/>
            <w:vAlign w:val="center"/>
          </w:tcPr>
          <w:p w14:paraId="290F4793">
            <w:r>
              <w:rPr>
                <w:rStyle w:val="10"/>
                <w:rFonts w:hint="eastAsia"/>
              </w:rPr>
              <w:t>总有效成分含量：</w:t>
            </w:r>
            <w:r>
              <w:rPr>
                <w:rFonts w:hint="eastAsia"/>
              </w:rPr>
              <w:t>37%</w:t>
            </w:r>
          </w:p>
        </w:tc>
      </w:tr>
      <w:tr w14:paraId="083B579C">
        <w:tblPrEx>
          <w:tblCellMar>
            <w:top w:w="0" w:type="dxa"/>
            <w:left w:w="0" w:type="dxa"/>
            <w:bottom w:w="0" w:type="dxa"/>
            <w:right w:w="0" w:type="dxa"/>
          </w:tblCellMar>
        </w:tblPrEx>
        <w:trPr>
          <w:wBefore w:w="0" w:type="auto"/>
          <w:tblCellSpacing w:w="0" w:type="dxa"/>
        </w:trPr>
        <w:tc>
          <w:tcPr>
            <w:tcW w:w="0" w:type="auto"/>
            <w:noWrap w:val="0"/>
            <w:vAlign w:val="center"/>
          </w:tcPr>
          <w:p w14:paraId="669CEE49">
            <w:r>
              <w:rPr>
                <w:rFonts w:hint="eastAsia"/>
              </w:rPr>
              <w:t xml:space="preserve">有效成分及其含量： </w:t>
            </w:r>
          </w:p>
          <w:p w14:paraId="6864EF33">
            <w:r>
              <w:rPr>
                <w:rFonts w:hint="eastAsia"/>
              </w:rPr>
              <w:t xml:space="preserve">    联苯菊酯24.7%    噻虫胺12.3%    </w:t>
            </w:r>
          </w:p>
        </w:tc>
      </w:tr>
      <w:tr w14:paraId="6F8E7AAC">
        <w:tblPrEx>
          <w:tblCellMar>
            <w:top w:w="0" w:type="dxa"/>
            <w:left w:w="0" w:type="dxa"/>
            <w:bottom w:w="0" w:type="dxa"/>
            <w:right w:w="0" w:type="dxa"/>
          </w:tblCellMar>
        </w:tblPrEx>
        <w:trPr>
          <w:wBefore w:w="0" w:type="auto"/>
          <w:tblCellSpacing w:w="0" w:type="dxa"/>
        </w:trPr>
        <w:tc>
          <w:tcPr>
            <w:tcW w:w="0" w:type="auto"/>
            <w:noWrap w:val="0"/>
            <w:vAlign w:val="center"/>
          </w:tcPr>
          <w:p w14:paraId="32B592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7A4E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016B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22CF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F6E3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E4956B">
                  <w:r>
                    <w:rPr>
                      <w:rStyle w:val="11"/>
                      <w:rFonts w:hint="eastAsia"/>
                    </w:rPr>
                    <w:t>施用方式</w:t>
                  </w:r>
                </w:p>
              </w:tc>
            </w:tr>
            <w:tr w14:paraId="1D145A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BBA03F">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C9C44B">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04E1E5">
                  <w:r>
                    <w:rPr>
                      <w:rStyle w:val="11"/>
                      <w:rFonts w:hint="eastAsia"/>
                    </w:rPr>
                    <w:t>4-10毫升/亩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FBAC25">
                  <w:r>
                    <w:rPr>
                      <w:rStyle w:val="11"/>
                      <w:rFonts w:hint="eastAsia"/>
                    </w:rPr>
                    <w:t>喷雾</w:t>
                  </w:r>
                </w:p>
              </w:tc>
            </w:tr>
          </w:tbl>
          <w:p w14:paraId="0C6771F0">
            <w:pPr>
              <w:rPr>
                <w:rFonts w:ascii="Times New Roman" w:hAnsi="Times New Roman" w:cs="Times New Roman"/>
                <w:sz w:val="20"/>
                <w:szCs w:val="20"/>
              </w:rPr>
            </w:pPr>
          </w:p>
        </w:tc>
      </w:tr>
      <w:tr w14:paraId="73EFF11A">
        <w:tblPrEx>
          <w:tblCellMar>
            <w:top w:w="0" w:type="dxa"/>
            <w:left w:w="0" w:type="dxa"/>
            <w:bottom w:w="0" w:type="dxa"/>
            <w:right w:w="0" w:type="dxa"/>
          </w:tblCellMar>
        </w:tblPrEx>
        <w:trPr>
          <w:wBefore w:w="0" w:type="auto"/>
          <w:tblCellSpacing w:w="0" w:type="dxa"/>
        </w:trPr>
        <w:tc>
          <w:tcPr>
            <w:tcW w:w="0" w:type="auto"/>
            <w:noWrap w:val="0"/>
            <w:vAlign w:val="center"/>
          </w:tcPr>
          <w:p w14:paraId="5CBC0FE6">
            <w:r>
              <w:rPr>
                <w:rStyle w:val="10"/>
                <w:rFonts w:hint="eastAsia"/>
              </w:rPr>
              <w:t>使用技术要求:</w:t>
            </w:r>
            <w:r>
              <w:rPr>
                <w:rFonts w:hint="eastAsia"/>
              </w:rPr>
              <w:br w:type="textWrapping"/>
            </w:r>
            <w:r>
              <w:rPr>
                <w:rStyle w:val="11"/>
                <w:rFonts w:hint="eastAsia"/>
              </w:rPr>
              <w:t>1.于小麦蚜虫始盛期喷雾施药1次，按推荐剂量兑水均匀喷雾。 2.大风天或预计1小时有降雨，请勿施药，或雨后补喷一次。 3.在小麦作物上使用的安全间隔期为14天，每个作物周期的最多使用次数为21次。</w:t>
            </w:r>
          </w:p>
        </w:tc>
      </w:tr>
      <w:tr w14:paraId="4AADA829">
        <w:tblPrEx>
          <w:tblCellMar>
            <w:top w:w="0" w:type="dxa"/>
            <w:left w:w="0" w:type="dxa"/>
            <w:bottom w:w="0" w:type="dxa"/>
            <w:right w:w="0" w:type="dxa"/>
          </w:tblCellMar>
        </w:tblPrEx>
        <w:trPr>
          <w:wBefore w:w="0" w:type="auto"/>
          <w:tblCellSpacing w:w="0" w:type="dxa"/>
        </w:trPr>
        <w:tc>
          <w:tcPr>
            <w:tcW w:w="0" w:type="auto"/>
            <w:noWrap w:val="0"/>
            <w:vAlign w:val="center"/>
          </w:tcPr>
          <w:p w14:paraId="77151280">
            <w:r>
              <w:rPr>
                <w:rStyle w:val="10"/>
                <w:rFonts w:hint="eastAsia"/>
              </w:rPr>
              <w:t>产品性能:</w:t>
            </w:r>
            <w:r>
              <w:rPr>
                <w:rFonts w:hint="eastAsia"/>
              </w:rPr>
              <w:br w:type="textWrapping"/>
            </w:r>
            <w:r>
              <w:rPr>
                <w:rStyle w:val="11"/>
                <w:rFonts w:hint="eastAsia"/>
              </w:rPr>
              <w:t>本品为两种不同作用机理的有效成分联苯菊酯和噻虫胺的混配制剂。噻虫胺是新型氯代烟碱类杀虫剂，联苯菊酯是拟除虫菊酯类杀虫剂，二者混用具有内吸、触杀和胃毒的作用，对防治小麦蚜虫有显著的效果。</w:t>
            </w:r>
          </w:p>
        </w:tc>
      </w:tr>
      <w:tr w14:paraId="49D73386">
        <w:tblPrEx>
          <w:tblCellMar>
            <w:top w:w="0" w:type="dxa"/>
            <w:left w:w="0" w:type="dxa"/>
            <w:bottom w:w="0" w:type="dxa"/>
            <w:right w:w="0" w:type="dxa"/>
          </w:tblCellMar>
        </w:tblPrEx>
        <w:trPr>
          <w:wBefore w:w="0" w:type="auto"/>
          <w:tblCellSpacing w:w="0" w:type="dxa"/>
        </w:trPr>
        <w:tc>
          <w:tcPr>
            <w:tcW w:w="0" w:type="auto"/>
            <w:noWrap w:val="0"/>
            <w:vAlign w:val="center"/>
          </w:tcPr>
          <w:p w14:paraId="719AE85F">
            <w:r>
              <w:rPr>
                <w:rStyle w:val="10"/>
                <w:rFonts w:hint="eastAsia"/>
              </w:rPr>
              <w:t>注意事项：</w:t>
            </w:r>
            <w:r>
              <w:rPr>
                <w:rFonts w:hint="eastAsia"/>
              </w:rPr>
              <w:br w:type="textWrapping"/>
            </w:r>
            <w:r>
              <w:rPr>
                <w:rStyle w:val="11"/>
                <w:rFonts w:hint="eastAsia"/>
              </w:rPr>
              <w:t>1.水产养殖区、河塘等水体附近禁用，禁止在河塘等水域清洗施药器具。2.（周围）开花植物花期禁用，使用时应密切关注对附近蜂群的影响； 桑园及蚕室附近禁用；赤眼蜂等天敌放飞区域禁用。3.使用过的施药器械，应清洗干净方可用于其它的农药。 4.施用时应戴防护镜、口罩和手套，穿防护服；施药中禁止饮食、吸烟、饮水等；施药后应用肥皂和清水彻底清洗暴露在外的皮肤。5.用过的容器和废弃物应妥善处理，不可随意丢弃或做他用。6.孕妇及哺乳期妇女避免接触本品。</w:t>
            </w:r>
          </w:p>
        </w:tc>
      </w:tr>
      <w:tr w14:paraId="7487D9D4">
        <w:tblPrEx>
          <w:tblCellMar>
            <w:top w:w="0" w:type="dxa"/>
            <w:left w:w="0" w:type="dxa"/>
            <w:bottom w:w="0" w:type="dxa"/>
            <w:right w:w="0" w:type="dxa"/>
          </w:tblCellMar>
        </w:tblPrEx>
        <w:trPr>
          <w:wBefore w:w="0" w:type="auto"/>
          <w:tblCellSpacing w:w="0" w:type="dxa"/>
        </w:trPr>
        <w:tc>
          <w:tcPr>
            <w:tcW w:w="0" w:type="auto"/>
            <w:noWrap w:val="0"/>
            <w:vAlign w:val="center"/>
          </w:tcPr>
          <w:p w14:paraId="6A3D4307">
            <w:r>
              <w:rPr>
                <w:rStyle w:val="10"/>
                <w:rFonts w:hint="eastAsia"/>
              </w:rPr>
              <w:t>中毒急救措施：</w:t>
            </w:r>
            <w:r>
              <w:rPr>
                <w:rFonts w:hint="eastAsia"/>
              </w:rPr>
              <w:br w:type="textWrapping"/>
            </w:r>
            <w:r>
              <w:rPr>
                <w:rStyle w:val="11"/>
                <w:rFonts w:hint="eastAsia"/>
              </w:rPr>
              <w:t>中毒症状表现为恶心、呕吐、腹痛、腹泻，头痛、头晕、乏力。 眼睛接触：提起眼睑，用流动清水或生理盐水冲洗。就医。 吸 入：迅速脱离现场至空气新鲜处。保持呼吸道通畅。如呼吸困难，给输氧。如呼吸停止，立即进行人工呼吸。就医。 食 入：用水漱口，并饮1-2杯水，对神志不清者切勿催吐，携此标签送医院诊治。</w:t>
            </w:r>
          </w:p>
        </w:tc>
      </w:tr>
      <w:tr w14:paraId="5F632E0F">
        <w:tblPrEx>
          <w:tblCellMar>
            <w:top w:w="0" w:type="dxa"/>
            <w:left w:w="0" w:type="dxa"/>
            <w:bottom w:w="0" w:type="dxa"/>
            <w:right w:w="0" w:type="dxa"/>
          </w:tblCellMar>
        </w:tblPrEx>
        <w:trPr>
          <w:wBefore w:w="0" w:type="auto"/>
          <w:tblCellSpacing w:w="0" w:type="dxa"/>
        </w:trPr>
        <w:tc>
          <w:tcPr>
            <w:tcW w:w="0" w:type="auto"/>
            <w:noWrap w:val="0"/>
            <w:vAlign w:val="center"/>
          </w:tcPr>
          <w:p w14:paraId="2CEDD63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12679608">
        <w:tblPrEx>
          <w:tblCellMar>
            <w:top w:w="0" w:type="dxa"/>
            <w:left w:w="0" w:type="dxa"/>
            <w:bottom w:w="0" w:type="dxa"/>
            <w:right w:w="0" w:type="dxa"/>
          </w:tblCellMar>
        </w:tblPrEx>
        <w:trPr>
          <w:wBefore w:w="0" w:type="auto"/>
          <w:tblCellSpacing w:w="0" w:type="dxa"/>
        </w:trPr>
        <w:tc>
          <w:tcPr>
            <w:tcW w:w="0" w:type="auto"/>
            <w:noWrap w:val="0"/>
            <w:vAlign w:val="center"/>
          </w:tcPr>
          <w:p w14:paraId="1F442D00">
            <w:r>
              <w:rPr>
                <w:rStyle w:val="10"/>
                <w:rFonts w:hint="eastAsia"/>
              </w:rPr>
              <w:t>质量保证期：</w:t>
            </w:r>
            <w:r>
              <w:rPr>
                <w:rStyle w:val="11"/>
                <w:rFonts w:hint="eastAsia"/>
              </w:rPr>
              <w:t>2年</w:t>
            </w:r>
          </w:p>
        </w:tc>
      </w:tr>
      <w:tr w14:paraId="14A85D55">
        <w:tblPrEx>
          <w:tblCellMar>
            <w:top w:w="0" w:type="dxa"/>
            <w:left w:w="0" w:type="dxa"/>
            <w:bottom w:w="0" w:type="dxa"/>
            <w:right w:w="0" w:type="dxa"/>
          </w:tblCellMar>
        </w:tblPrEx>
        <w:trPr>
          <w:wBefore w:w="0" w:type="auto"/>
          <w:tblCellSpacing w:w="0" w:type="dxa"/>
        </w:trPr>
        <w:tc>
          <w:tcPr>
            <w:tcW w:w="0" w:type="auto"/>
            <w:noWrap w:val="0"/>
            <w:vAlign w:val="center"/>
          </w:tcPr>
          <w:p w14:paraId="48A7E88F">
            <w:r>
              <w:rPr>
                <w:rStyle w:val="10"/>
                <w:rFonts w:hint="eastAsia"/>
              </w:rPr>
              <w:t>备注：</w:t>
            </w:r>
          </w:p>
        </w:tc>
      </w:tr>
    </w:tbl>
    <w:p w14:paraId="07983C8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C63020">
        <w:tblPrEx>
          <w:tblCellMar>
            <w:top w:w="0" w:type="dxa"/>
            <w:left w:w="0" w:type="dxa"/>
            <w:bottom w:w="0" w:type="dxa"/>
            <w:right w:w="0" w:type="dxa"/>
          </w:tblCellMar>
        </w:tblPrEx>
        <w:trPr>
          <w:wBefore w:w="0" w:type="auto"/>
          <w:tblCellSpacing w:w="0" w:type="dxa"/>
        </w:trPr>
        <w:tc>
          <w:tcPr>
            <w:tcW w:w="0" w:type="auto"/>
            <w:noWrap w:val="0"/>
            <w:vAlign w:val="center"/>
          </w:tcPr>
          <w:p w14:paraId="6372DF42">
            <w:r>
              <w:rPr>
                <w:rStyle w:val="10"/>
                <w:rFonts w:hint="eastAsia"/>
              </w:rPr>
              <w:t>登记证号：</w:t>
            </w:r>
            <w:r>
              <w:rPr>
                <w:rFonts w:hint="eastAsia"/>
              </w:rPr>
              <w:t>PD20096835</w:t>
            </w:r>
          </w:p>
        </w:tc>
      </w:tr>
      <w:tr w14:paraId="4A22EFA0">
        <w:tblPrEx>
          <w:tblCellMar>
            <w:top w:w="0" w:type="dxa"/>
            <w:left w:w="0" w:type="dxa"/>
            <w:bottom w:w="0" w:type="dxa"/>
            <w:right w:w="0" w:type="dxa"/>
          </w:tblCellMar>
        </w:tblPrEx>
        <w:trPr>
          <w:wBefore w:w="0" w:type="auto"/>
          <w:tblCellSpacing w:w="0" w:type="dxa"/>
        </w:trPr>
        <w:tc>
          <w:tcPr>
            <w:tcW w:w="0" w:type="auto"/>
            <w:noWrap w:val="0"/>
            <w:vAlign w:val="center"/>
          </w:tcPr>
          <w:p w14:paraId="7EDF5D87">
            <w:r>
              <w:rPr>
                <w:rStyle w:val="10"/>
                <w:rFonts w:hint="eastAsia"/>
              </w:rPr>
              <w:t>登记证持有人：</w:t>
            </w:r>
            <w:r>
              <w:rPr>
                <w:rFonts w:hint="eastAsia"/>
              </w:rPr>
              <w:t>江西禾益化工股份有限公司</w:t>
            </w:r>
          </w:p>
        </w:tc>
      </w:tr>
      <w:tr w14:paraId="561297E3">
        <w:tblPrEx>
          <w:tblCellMar>
            <w:top w:w="0" w:type="dxa"/>
            <w:left w:w="0" w:type="dxa"/>
            <w:bottom w:w="0" w:type="dxa"/>
            <w:right w:w="0" w:type="dxa"/>
          </w:tblCellMar>
        </w:tblPrEx>
        <w:trPr>
          <w:wBefore w:w="0" w:type="auto"/>
          <w:tblCellSpacing w:w="0" w:type="dxa"/>
        </w:trPr>
        <w:tc>
          <w:tcPr>
            <w:tcW w:w="0" w:type="auto"/>
            <w:noWrap w:val="0"/>
            <w:vAlign w:val="center"/>
          </w:tcPr>
          <w:p w14:paraId="02B5AB9E">
            <w:r>
              <w:rPr>
                <w:rStyle w:val="10"/>
                <w:rFonts w:hint="eastAsia"/>
              </w:rPr>
              <w:t>农药名称：</w:t>
            </w:r>
            <w:r>
              <w:rPr>
                <w:rFonts w:hint="eastAsia"/>
              </w:rPr>
              <w:t>二氰蒽醌</w:t>
            </w:r>
          </w:p>
        </w:tc>
      </w:tr>
      <w:tr w14:paraId="3AE20743">
        <w:tblPrEx>
          <w:tblCellMar>
            <w:top w:w="0" w:type="dxa"/>
            <w:left w:w="0" w:type="dxa"/>
            <w:bottom w:w="0" w:type="dxa"/>
            <w:right w:w="0" w:type="dxa"/>
          </w:tblCellMar>
        </w:tblPrEx>
        <w:trPr>
          <w:wBefore w:w="0" w:type="auto"/>
          <w:tblCellSpacing w:w="0" w:type="dxa"/>
        </w:trPr>
        <w:tc>
          <w:tcPr>
            <w:tcW w:w="0" w:type="auto"/>
            <w:noWrap w:val="0"/>
            <w:vAlign w:val="center"/>
          </w:tcPr>
          <w:p w14:paraId="4E90BA1A">
            <w:r>
              <w:rPr>
                <w:rStyle w:val="10"/>
                <w:rFonts w:hint="eastAsia"/>
              </w:rPr>
              <w:t>剂型：</w:t>
            </w:r>
            <w:r>
              <w:rPr>
                <w:rFonts w:hint="eastAsia"/>
              </w:rPr>
              <w:t>悬浮剂</w:t>
            </w:r>
          </w:p>
        </w:tc>
      </w:tr>
      <w:tr w14:paraId="57953F8E">
        <w:tblPrEx>
          <w:tblCellMar>
            <w:top w:w="0" w:type="dxa"/>
            <w:left w:w="0" w:type="dxa"/>
            <w:bottom w:w="0" w:type="dxa"/>
            <w:right w:w="0" w:type="dxa"/>
          </w:tblCellMar>
        </w:tblPrEx>
        <w:trPr>
          <w:wBefore w:w="0" w:type="auto"/>
          <w:tblCellSpacing w:w="0" w:type="dxa"/>
        </w:trPr>
        <w:tc>
          <w:tcPr>
            <w:tcW w:w="0" w:type="auto"/>
            <w:noWrap w:val="0"/>
            <w:vAlign w:val="center"/>
          </w:tcPr>
          <w:p w14:paraId="3CC7B080">
            <w:r>
              <w:rPr>
                <w:rStyle w:val="10"/>
                <w:rFonts w:hint="eastAsia"/>
              </w:rPr>
              <w:t>毒性及其标识：</w:t>
            </w:r>
            <w:r>
              <w:rPr>
                <w:rFonts w:hint="eastAsia"/>
              </w:rPr>
              <w:t xml:space="preserve"> </w:t>
            </w:r>
            <w:r>
              <w:rPr>
                <w:lang/>
              </w:rPr>
              <w:drawing>
                <wp:inline distT="0" distB="0" distL="114300" distR="114300">
                  <wp:extent cx="476250" cy="323850"/>
                  <wp:effectExtent l="0" t="0" r="0" b="0"/>
                  <wp:docPr id="12" name="图片 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BD63B2">
        <w:tblPrEx>
          <w:tblCellMar>
            <w:top w:w="0" w:type="dxa"/>
            <w:left w:w="0" w:type="dxa"/>
            <w:bottom w:w="0" w:type="dxa"/>
            <w:right w:w="0" w:type="dxa"/>
          </w:tblCellMar>
        </w:tblPrEx>
        <w:trPr>
          <w:wBefore w:w="0" w:type="auto"/>
          <w:tblCellSpacing w:w="0" w:type="dxa"/>
        </w:trPr>
        <w:tc>
          <w:tcPr>
            <w:tcW w:w="0" w:type="auto"/>
            <w:noWrap w:val="0"/>
            <w:vAlign w:val="center"/>
          </w:tcPr>
          <w:p w14:paraId="5AE53190">
            <w:r>
              <w:rPr>
                <w:rStyle w:val="10"/>
                <w:rFonts w:hint="eastAsia"/>
              </w:rPr>
              <w:t>总有效成分含量：</w:t>
            </w:r>
            <w:r>
              <w:rPr>
                <w:rFonts w:hint="eastAsia"/>
              </w:rPr>
              <w:t>22.7%</w:t>
            </w:r>
          </w:p>
        </w:tc>
      </w:tr>
      <w:tr w14:paraId="630A08D3">
        <w:tblPrEx>
          <w:tblCellMar>
            <w:top w:w="0" w:type="dxa"/>
            <w:left w:w="0" w:type="dxa"/>
            <w:bottom w:w="0" w:type="dxa"/>
            <w:right w:w="0" w:type="dxa"/>
          </w:tblCellMar>
        </w:tblPrEx>
        <w:trPr>
          <w:wBefore w:w="0" w:type="auto"/>
          <w:tblCellSpacing w:w="0" w:type="dxa"/>
        </w:trPr>
        <w:tc>
          <w:tcPr>
            <w:tcW w:w="0" w:type="auto"/>
            <w:noWrap w:val="0"/>
            <w:vAlign w:val="center"/>
          </w:tcPr>
          <w:p w14:paraId="3C791215">
            <w:r>
              <w:rPr>
                <w:rFonts w:hint="eastAsia"/>
              </w:rPr>
              <w:t xml:space="preserve">有效成分及其含量： </w:t>
            </w:r>
          </w:p>
          <w:p w14:paraId="75D05B5D">
            <w:r>
              <w:rPr>
                <w:rFonts w:hint="eastAsia"/>
              </w:rPr>
              <w:t xml:space="preserve">    二氰蒽醌22.7%    </w:t>
            </w:r>
          </w:p>
        </w:tc>
      </w:tr>
      <w:tr w14:paraId="08646C10">
        <w:tblPrEx>
          <w:tblCellMar>
            <w:top w:w="0" w:type="dxa"/>
            <w:left w:w="0" w:type="dxa"/>
            <w:bottom w:w="0" w:type="dxa"/>
            <w:right w:w="0" w:type="dxa"/>
          </w:tblCellMar>
        </w:tblPrEx>
        <w:trPr>
          <w:wBefore w:w="0" w:type="auto"/>
          <w:tblCellSpacing w:w="0" w:type="dxa"/>
        </w:trPr>
        <w:tc>
          <w:tcPr>
            <w:tcW w:w="0" w:type="auto"/>
            <w:noWrap w:val="0"/>
            <w:vAlign w:val="center"/>
          </w:tcPr>
          <w:p w14:paraId="567F72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709F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D7B5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1C6A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C6CE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5522CB">
                  <w:r>
                    <w:rPr>
                      <w:rStyle w:val="11"/>
                      <w:rFonts w:hint="eastAsia"/>
                    </w:rPr>
                    <w:t>施用方式</w:t>
                  </w:r>
                </w:p>
              </w:tc>
            </w:tr>
            <w:tr w14:paraId="2FC372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CD1C23">
                  <w:r>
                    <w:rPr>
                      <w:rStyle w:val="11"/>
                      <w:rFonts w:hint="eastAsia"/>
                    </w:rPr>
                    <w:t>苹果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02ED16">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7EF716">
                  <w:r>
                    <w:rPr>
                      <w:rStyle w:val="11"/>
                      <w:rFonts w:hint="eastAsia"/>
                    </w:rPr>
                    <w:t>600-1000倍液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92014A">
                  <w:r>
                    <w:rPr>
                      <w:rStyle w:val="11"/>
                      <w:rFonts w:hint="eastAsia"/>
                    </w:rPr>
                    <w:t>喷雾</w:t>
                  </w:r>
                </w:p>
              </w:tc>
            </w:tr>
            <w:tr w14:paraId="102183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51C855">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0AE797">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A79F62">
                  <w:r>
                    <w:rPr>
                      <w:rStyle w:val="11"/>
                      <w:rFonts w:hint="eastAsia"/>
                    </w:rPr>
                    <w:t>66-88毫升/亩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FF6F74">
                  <w:r>
                    <w:rPr>
                      <w:rStyle w:val="11"/>
                      <w:rFonts w:hint="eastAsia"/>
                    </w:rPr>
                    <w:t>喷雾</w:t>
                  </w:r>
                </w:p>
              </w:tc>
            </w:tr>
          </w:tbl>
          <w:p w14:paraId="0F4C98F2">
            <w:pPr>
              <w:rPr>
                <w:rFonts w:ascii="Times New Roman" w:hAnsi="Times New Roman" w:cs="Times New Roman"/>
                <w:sz w:val="20"/>
                <w:szCs w:val="20"/>
              </w:rPr>
            </w:pPr>
          </w:p>
        </w:tc>
      </w:tr>
      <w:tr w14:paraId="664DD7B6">
        <w:tblPrEx>
          <w:tblCellMar>
            <w:top w:w="0" w:type="dxa"/>
            <w:left w:w="0" w:type="dxa"/>
            <w:bottom w:w="0" w:type="dxa"/>
            <w:right w:w="0" w:type="dxa"/>
          </w:tblCellMar>
        </w:tblPrEx>
        <w:trPr>
          <w:wBefore w:w="0" w:type="auto"/>
          <w:tblCellSpacing w:w="0" w:type="dxa"/>
        </w:trPr>
        <w:tc>
          <w:tcPr>
            <w:tcW w:w="0" w:type="auto"/>
            <w:noWrap w:val="0"/>
            <w:vAlign w:val="center"/>
          </w:tcPr>
          <w:p w14:paraId="0B01A58C">
            <w:r>
              <w:rPr>
                <w:rStyle w:val="10"/>
                <w:rFonts w:hint="eastAsia"/>
              </w:rPr>
              <w:t>使用技术要求:</w:t>
            </w:r>
            <w:r>
              <w:rPr>
                <w:rFonts w:hint="eastAsia"/>
              </w:rPr>
              <w:br w:type="textWrapping"/>
            </w:r>
            <w:r>
              <w:rPr>
                <w:rStyle w:val="11"/>
                <w:rFonts w:hint="eastAsia"/>
              </w:rPr>
              <w:t>1. 于辣椒炭疽病发病初期使用，对辣椒安全性好，整个生长期均可使用。安全间隔期为7天 ，每季最多使用3次；于苹果炭疽病发病前或发病初期施药，间隔10-15天，施药2-3次，安全间隔为21天，每季最多施药3次；于西瓜炭疽病发病前或发病初期施药，施药1-2次，间隔7-10天，安全间隔为14天，每季最多施药2次。2. 大风天或预计1小时内降雨，请勿施药。</w:t>
            </w:r>
          </w:p>
        </w:tc>
      </w:tr>
      <w:tr w14:paraId="063288F2">
        <w:tblPrEx>
          <w:tblCellMar>
            <w:top w:w="0" w:type="dxa"/>
            <w:left w:w="0" w:type="dxa"/>
            <w:bottom w:w="0" w:type="dxa"/>
            <w:right w:w="0" w:type="dxa"/>
          </w:tblCellMar>
        </w:tblPrEx>
        <w:trPr>
          <w:wBefore w:w="0" w:type="auto"/>
          <w:tblCellSpacing w:w="0" w:type="dxa"/>
        </w:trPr>
        <w:tc>
          <w:tcPr>
            <w:tcW w:w="0" w:type="auto"/>
            <w:noWrap w:val="0"/>
            <w:vAlign w:val="center"/>
          </w:tcPr>
          <w:p w14:paraId="093C0871">
            <w:r>
              <w:rPr>
                <w:rStyle w:val="10"/>
                <w:rFonts w:hint="eastAsia"/>
              </w:rPr>
              <w:t>产品性能:</w:t>
            </w:r>
            <w:r>
              <w:rPr>
                <w:rFonts w:hint="eastAsia"/>
              </w:rPr>
              <w:br w:type="textWrapping"/>
            </w:r>
            <w:r>
              <w:rPr>
                <w:rStyle w:val="11"/>
                <w:rFonts w:hint="eastAsia"/>
              </w:rPr>
              <w:t>本品为保护性杀菌剂，对炭疽病有较好的作用，提前预防为宜，对辣椒、苹果、西瓜炭疽病均有较好的防治效果。</w:t>
            </w:r>
          </w:p>
        </w:tc>
      </w:tr>
      <w:tr w14:paraId="0E8233F5">
        <w:tblPrEx>
          <w:tblCellMar>
            <w:top w:w="0" w:type="dxa"/>
            <w:left w:w="0" w:type="dxa"/>
            <w:bottom w:w="0" w:type="dxa"/>
            <w:right w:w="0" w:type="dxa"/>
          </w:tblCellMar>
        </w:tblPrEx>
        <w:trPr>
          <w:wBefore w:w="0" w:type="auto"/>
          <w:tblCellSpacing w:w="0" w:type="dxa"/>
        </w:trPr>
        <w:tc>
          <w:tcPr>
            <w:tcW w:w="0" w:type="auto"/>
            <w:noWrap w:val="0"/>
            <w:vAlign w:val="center"/>
          </w:tcPr>
          <w:p w14:paraId="3A3DF069">
            <w:r>
              <w:rPr>
                <w:rStyle w:val="10"/>
                <w:rFonts w:hint="eastAsia"/>
              </w:rPr>
              <w:t>注意事项：</w:t>
            </w:r>
            <w:r>
              <w:rPr>
                <w:rFonts w:hint="eastAsia"/>
              </w:rPr>
              <w:br w:type="textWrapping"/>
            </w:r>
            <w:r>
              <w:rPr>
                <w:rStyle w:val="11"/>
                <w:rFonts w:hint="eastAsia"/>
              </w:rPr>
              <w:t>1. 不可与碱性农药等物质及矿物油雾剂混用。2. 本品久置后可能有轻微分层现象，使用时振荡摇匀不影响药效。3. 施药期间应避免对周围蜂群的影响，开花植物花期、蚕室和桑园附近禁用。远离水产养殖区施药，禁止在河塘等水体中清洗施药器具。4. 建议与其它作用机制不同的杀菌剂轮换使用。5.施药时穿长衣长裤、戴手套、口罩等：此时不能饮食、吸烟等；施药后洗干净手脸等。6. 孕妇及哺乳期妇女禁止接触本品。7. 用过的容器应妥善处理，不可作他用，也不可随意丢弃。</w:t>
            </w:r>
          </w:p>
        </w:tc>
      </w:tr>
      <w:tr w14:paraId="204FA9B0">
        <w:tblPrEx>
          <w:tblCellMar>
            <w:top w:w="0" w:type="dxa"/>
            <w:left w:w="0" w:type="dxa"/>
            <w:bottom w:w="0" w:type="dxa"/>
            <w:right w:w="0" w:type="dxa"/>
          </w:tblCellMar>
        </w:tblPrEx>
        <w:trPr>
          <w:wBefore w:w="0" w:type="auto"/>
          <w:tblCellSpacing w:w="0" w:type="dxa"/>
        </w:trPr>
        <w:tc>
          <w:tcPr>
            <w:tcW w:w="0" w:type="auto"/>
            <w:noWrap w:val="0"/>
            <w:vAlign w:val="center"/>
          </w:tcPr>
          <w:p w14:paraId="297271BB">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急救措施：使用中或使用后如果感觉不适，应立即停止工作，采取急救措施，并携带标签送医院就诊。1.皮肤接触：用大量清水和肥皂冲洗。2.眼睛溅入：立即用流动清水冲洗不少于15分钟，仍有不适时，就医。3. 不慎吸入：立即脱离施药现场，转移到空气新鲜处，保持呼吸畅通。4.误食：立即停止服用，用清水充分漱口后，携带农药标签到医院就诊。无特效解毒剂 。</w:t>
            </w:r>
          </w:p>
        </w:tc>
      </w:tr>
      <w:tr w14:paraId="6EFE5A8A">
        <w:tblPrEx>
          <w:tblCellMar>
            <w:top w:w="0" w:type="dxa"/>
            <w:left w:w="0" w:type="dxa"/>
            <w:bottom w:w="0" w:type="dxa"/>
            <w:right w:w="0" w:type="dxa"/>
          </w:tblCellMar>
        </w:tblPrEx>
        <w:trPr>
          <w:wBefore w:w="0" w:type="auto"/>
          <w:tblCellSpacing w:w="0" w:type="dxa"/>
        </w:trPr>
        <w:tc>
          <w:tcPr>
            <w:tcW w:w="0" w:type="auto"/>
            <w:noWrap w:val="0"/>
            <w:vAlign w:val="center"/>
          </w:tcPr>
          <w:p w14:paraId="4FC2EFD3">
            <w:r>
              <w:rPr>
                <w:rStyle w:val="10"/>
                <w:rFonts w:hint="eastAsia"/>
              </w:rPr>
              <w:t>储存和运输方法：</w:t>
            </w:r>
            <w:r>
              <w:rPr>
                <w:rFonts w:hint="eastAsia"/>
              </w:rPr>
              <w:br w:type="textWrapping"/>
            </w:r>
            <w:r>
              <w:rPr>
                <w:rStyle w:val="11"/>
                <w:rFonts w:hint="eastAsia"/>
              </w:rPr>
              <w:t>1. 本品应存放于阴凉、干燥、通风处，远离火源或热源，勿让儿童等无关人员接触，并加锁保管。不能与食品、饮料、粮食、饲料等同贮同运，勿让家畜等动物接触。避免与皮肤、眼睛接触。 2. 储运时，严防潮湿和日晒，轻装轻卸，防止破损。用过的包装要妥善处理，不可随意丢弃。</w:t>
            </w:r>
          </w:p>
        </w:tc>
      </w:tr>
      <w:tr w14:paraId="57D5E509">
        <w:tblPrEx>
          <w:tblCellMar>
            <w:top w:w="0" w:type="dxa"/>
            <w:left w:w="0" w:type="dxa"/>
            <w:bottom w:w="0" w:type="dxa"/>
            <w:right w:w="0" w:type="dxa"/>
          </w:tblCellMar>
        </w:tblPrEx>
        <w:trPr>
          <w:wBefore w:w="0" w:type="auto"/>
          <w:tblCellSpacing w:w="0" w:type="dxa"/>
        </w:trPr>
        <w:tc>
          <w:tcPr>
            <w:tcW w:w="0" w:type="auto"/>
            <w:noWrap w:val="0"/>
            <w:vAlign w:val="center"/>
          </w:tcPr>
          <w:p w14:paraId="0DED087C">
            <w:r>
              <w:rPr>
                <w:rStyle w:val="10"/>
                <w:rFonts w:hint="eastAsia"/>
              </w:rPr>
              <w:t>质量保证期：</w:t>
            </w:r>
            <w:r>
              <w:rPr>
                <w:rStyle w:val="11"/>
                <w:rFonts w:hint="eastAsia"/>
              </w:rPr>
              <w:t>2年</w:t>
            </w:r>
          </w:p>
        </w:tc>
      </w:tr>
      <w:tr w14:paraId="2EAE45A1">
        <w:tblPrEx>
          <w:tblCellMar>
            <w:top w:w="0" w:type="dxa"/>
            <w:left w:w="0" w:type="dxa"/>
            <w:bottom w:w="0" w:type="dxa"/>
            <w:right w:w="0" w:type="dxa"/>
          </w:tblCellMar>
        </w:tblPrEx>
        <w:trPr>
          <w:wBefore w:w="0" w:type="auto"/>
          <w:tblCellSpacing w:w="0" w:type="dxa"/>
        </w:trPr>
        <w:tc>
          <w:tcPr>
            <w:tcW w:w="0" w:type="auto"/>
            <w:noWrap w:val="0"/>
            <w:vAlign w:val="center"/>
          </w:tcPr>
          <w:p w14:paraId="3297D7A5">
            <w:r>
              <w:rPr>
                <w:rStyle w:val="10"/>
                <w:rFonts w:hint="eastAsia"/>
              </w:rPr>
              <w:t>备注：</w:t>
            </w:r>
          </w:p>
        </w:tc>
      </w:tr>
    </w:tbl>
    <w:p w14:paraId="4CBE9E6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D9EDFC">
        <w:tblPrEx>
          <w:tblCellMar>
            <w:top w:w="0" w:type="dxa"/>
            <w:left w:w="0" w:type="dxa"/>
            <w:bottom w:w="0" w:type="dxa"/>
            <w:right w:w="0" w:type="dxa"/>
          </w:tblCellMar>
        </w:tblPrEx>
        <w:trPr>
          <w:wBefore w:w="0" w:type="auto"/>
          <w:tblCellSpacing w:w="0" w:type="dxa"/>
        </w:trPr>
        <w:tc>
          <w:tcPr>
            <w:tcW w:w="0" w:type="auto"/>
            <w:noWrap w:val="0"/>
            <w:vAlign w:val="center"/>
          </w:tcPr>
          <w:p w14:paraId="1E264F7F">
            <w:r>
              <w:rPr>
                <w:rStyle w:val="10"/>
                <w:rFonts w:hint="eastAsia"/>
              </w:rPr>
              <w:t>登记证号：</w:t>
            </w:r>
            <w:r>
              <w:rPr>
                <w:rFonts w:hint="eastAsia"/>
              </w:rPr>
              <w:t>PD20132449</w:t>
            </w:r>
          </w:p>
        </w:tc>
      </w:tr>
      <w:tr w14:paraId="59AF23D7">
        <w:tblPrEx>
          <w:tblCellMar>
            <w:top w:w="0" w:type="dxa"/>
            <w:left w:w="0" w:type="dxa"/>
            <w:bottom w:w="0" w:type="dxa"/>
            <w:right w:w="0" w:type="dxa"/>
          </w:tblCellMar>
        </w:tblPrEx>
        <w:trPr>
          <w:wBefore w:w="0" w:type="auto"/>
          <w:tblCellSpacing w:w="0" w:type="dxa"/>
        </w:trPr>
        <w:tc>
          <w:tcPr>
            <w:tcW w:w="0" w:type="auto"/>
            <w:noWrap w:val="0"/>
            <w:vAlign w:val="center"/>
          </w:tcPr>
          <w:p w14:paraId="2A80C924">
            <w:r>
              <w:rPr>
                <w:rStyle w:val="10"/>
                <w:rFonts w:hint="eastAsia"/>
              </w:rPr>
              <w:t>登记证持有人：</w:t>
            </w:r>
            <w:r>
              <w:rPr>
                <w:rFonts w:hint="eastAsia"/>
              </w:rPr>
              <w:t>江苏辉丰生物农业股份有限公司</w:t>
            </w:r>
          </w:p>
        </w:tc>
      </w:tr>
      <w:tr w14:paraId="47EA886B">
        <w:tblPrEx>
          <w:tblCellMar>
            <w:top w:w="0" w:type="dxa"/>
            <w:left w:w="0" w:type="dxa"/>
            <w:bottom w:w="0" w:type="dxa"/>
            <w:right w:w="0" w:type="dxa"/>
          </w:tblCellMar>
        </w:tblPrEx>
        <w:trPr>
          <w:wBefore w:w="0" w:type="auto"/>
          <w:tblCellSpacing w:w="0" w:type="dxa"/>
        </w:trPr>
        <w:tc>
          <w:tcPr>
            <w:tcW w:w="0" w:type="auto"/>
            <w:noWrap w:val="0"/>
            <w:vAlign w:val="center"/>
          </w:tcPr>
          <w:p w14:paraId="0549DC79">
            <w:r>
              <w:rPr>
                <w:rStyle w:val="10"/>
                <w:rFonts w:hint="eastAsia"/>
              </w:rPr>
              <w:t>农药名称：</w:t>
            </w:r>
            <w:r>
              <w:rPr>
                <w:rFonts w:hint="eastAsia"/>
              </w:rPr>
              <w:t>噻苯隆</w:t>
            </w:r>
          </w:p>
        </w:tc>
      </w:tr>
      <w:tr w14:paraId="58D77A01">
        <w:tblPrEx>
          <w:tblCellMar>
            <w:top w:w="0" w:type="dxa"/>
            <w:left w:w="0" w:type="dxa"/>
            <w:bottom w:w="0" w:type="dxa"/>
            <w:right w:w="0" w:type="dxa"/>
          </w:tblCellMar>
        </w:tblPrEx>
        <w:trPr>
          <w:wBefore w:w="0" w:type="auto"/>
          <w:tblCellSpacing w:w="0" w:type="dxa"/>
        </w:trPr>
        <w:tc>
          <w:tcPr>
            <w:tcW w:w="0" w:type="auto"/>
            <w:noWrap w:val="0"/>
            <w:vAlign w:val="center"/>
          </w:tcPr>
          <w:p w14:paraId="2CCEFA1B">
            <w:r>
              <w:rPr>
                <w:rStyle w:val="10"/>
                <w:rFonts w:hint="eastAsia"/>
              </w:rPr>
              <w:t>剂型：</w:t>
            </w:r>
            <w:r>
              <w:rPr>
                <w:rFonts w:hint="eastAsia"/>
              </w:rPr>
              <w:t>可溶液剂</w:t>
            </w:r>
          </w:p>
        </w:tc>
      </w:tr>
      <w:tr w14:paraId="1198F9B7">
        <w:tblPrEx>
          <w:tblCellMar>
            <w:top w:w="0" w:type="dxa"/>
            <w:left w:w="0" w:type="dxa"/>
            <w:bottom w:w="0" w:type="dxa"/>
            <w:right w:w="0" w:type="dxa"/>
          </w:tblCellMar>
        </w:tblPrEx>
        <w:trPr>
          <w:wBefore w:w="0" w:type="auto"/>
          <w:tblCellSpacing w:w="0" w:type="dxa"/>
        </w:trPr>
        <w:tc>
          <w:tcPr>
            <w:tcW w:w="0" w:type="auto"/>
            <w:noWrap w:val="0"/>
            <w:vAlign w:val="center"/>
          </w:tcPr>
          <w:p w14:paraId="3C1E7A5A">
            <w:r>
              <w:rPr>
                <w:rStyle w:val="10"/>
                <w:rFonts w:hint="eastAsia"/>
              </w:rPr>
              <w:t>毒性及其标识：</w:t>
            </w:r>
            <w:r>
              <w:rPr>
                <w:rFonts w:hint="eastAsia"/>
              </w:rPr>
              <w:t xml:space="preserve"> 微毒 </w:t>
            </w:r>
          </w:p>
        </w:tc>
      </w:tr>
      <w:tr w14:paraId="466506FC">
        <w:tblPrEx>
          <w:tblCellMar>
            <w:top w:w="0" w:type="dxa"/>
            <w:left w:w="0" w:type="dxa"/>
            <w:bottom w:w="0" w:type="dxa"/>
            <w:right w:w="0" w:type="dxa"/>
          </w:tblCellMar>
        </w:tblPrEx>
        <w:trPr>
          <w:wBefore w:w="0" w:type="auto"/>
          <w:tblCellSpacing w:w="0" w:type="dxa"/>
        </w:trPr>
        <w:tc>
          <w:tcPr>
            <w:tcW w:w="0" w:type="auto"/>
            <w:noWrap w:val="0"/>
            <w:vAlign w:val="center"/>
          </w:tcPr>
          <w:p w14:paraId="21A7FB25">
            <w:r>
              <w:rPr>
                <w:rStyle w:val="10"/>
                <w:rFonts w:hint="eastAsia"/>
              </w:rPr>
              <w:t>总有效成分含量：</w:t>
            </w:r>
            <w:r>
              <w:rPr>
                <w:rFonts w:hint="eastAsia"/>
              </w:rPr>
              <w:t>0.5%</w:t>
            </w:r>
          </w:p>
        </w:tc>
      </w:tr>
      <w:tr w14:paraId="0F645847">
        <w:tblPrEx>
          <w:tblCellMar>
            <w:top w:w="0" w:type="dxa"/>
            <w:left w:w="0" w:type="dxa"/>
            <w:bottom w:w="0" w:type="dxa"/>
            <w:right w:w="0" w:type="dxa"/>
          </w:tblCellMar>
        </w:tblPrEx>
        <w:trPr>
          <w:wBefore w:w="0" w:type="auto"/>
          <w:tblCellSpacing w:w="0" w:type="dxa"/>
        </w:trPr>
        <w:tc>
          <w:tcPr>
            <w:tcW w:w="0" w:type="auto"/>
            <w:noWrap w:val="0"/>
            <w:vAlign w:val="center"/>
          </w:tcPr>
          <w:p w14:paraId="5B2E7774">
            <w:r>
              <w:rPr>
                <w:rFonts w:hint="eastAsia"/>
              </w:rPr>
              <w:t xml:space="preserve">有效成分及其含量： </w:t>
            </w:r>
          </w:p>
          <w:p w14:paraId="5F5CA116">
            <w:r>
              <w:rPr>
                <w:rFonts w:hint="eastAsia"/>
              </w:rPr>
              <w:t xml:space="preserve">    噻苯隆0.5%    </w:t>
            </w:r>
          </w:p>
        </w:tc>
      </w:tr>
      <w:tr w14:paraId="13A0B52B">
        <w:tblPrEx>
          <w:tblCellMar>
            <w:top w:w="0" w:type="dxa"/>
            <w:left w:w="0" w:type="dxa"/>
            <w:bottom w:w="0" w:type="dxa"/>
            <w:right w:w="0" w:type="dxa"/>
          </w:tblCellMar>
        </w:tblPrEx>
        <w:trPr>
          <w:wBefore w:w="0" w:type="auto"/>
          <w:tblCellSpacing w:w="0" w:type="dxa"/>
        </w:trPr>
        <w:tc>
          <w:tcPr>
            <w:tcW w:w="0" w:type="auto"/>
            <w:noWrap w:val="0"/>
            <w:vAlign w:val="center"/>
          </w:tcPr>
          <w:p w14:paraId="488878C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ABE2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A41C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0D86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A543D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CB721B">
                  <w:r>
                    <w:rPr>
                      <w:rStyle w:val="11"/>
                      <w:rFonts w:hint="eastAsia"/>
                    </w:rPr>
                    <w:t>施用方式</w:t>
                  </w:r>
                </w:p>
              </w:tc>
            </w:tr>
            <w:tr w14:paraId="24A0E9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71B3D8">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168B5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61AA0">
                  <w:r>
                    <w:rPr>
                      <w:rStyle w:val="11"/>
                      <w:rFonts w:hint="eastAsia"/>
                    </w:rPr>
                    <w:t>8-10毫升/亩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ABF7B3">
                  <w:r>
                    <w:rPr>
                      <w:rStyle w:val="11"/>
                      <w:rFonts w:hint="eastAsia"/>
                    </w:rPr>
                    <w:t>喷雾</w:t>
                  </w:r>
                </w:p>
              </w:tc>
            </w:tr>
          </w:tbl>
          <w:p w14:paraId="78D81FF7">
            <w:pPr>
              <w:rPr>
                <w:rFonts w:ascii="Times New Roman" w:hAnsi="Times New Roman" w:cs="Times New Roman"/>
                <w:sz w:val="20"/>
                <w:szCs w:val="20"/>
              </w:rPr>
            </w:pPr>
          </w:p>
        </w:tc>
      </w:tr>
      <w:tr w14:paraId="0E07B798">
        <w:tblPrEx>
          <w:tblCellMar>
            <w:top w:w="0" w:type="dxa"/>
            <w:left w:w="0" w:type="dxa"/>
            <w:bottom w:w="0" w:type="dxa"/>
            <w:right w:w="0" w:type="dxa"/>
          </w:tblCellMar>
        </w:tblPrEx>
        <w:trPr>
          <w:wBefore w:w="0" w:type="auto"/>
          <w:tblCellSpacing w:w="0" w:type="dxa"/>
        </w:trPr>
        <w:tc>
          <w:tcPr>
            <w:tcW w:w="0" w:type="auto"/>
            <w:noWrap w:val="0"/>
            <w:vAlign w:val="center"/>
          </w:tcPr>
          <w:p w14:paraId="618A3D98">
            <w:r>
              <w:rPr>
                <w:rStyle w:val="10"/>
                <w:rFonts w:hint="eastAsia"/>
              </w:rPr>
              <w:t>使用技术要求:</w:t>
            </w:r>
            <w:r>
              <w:rPr>
                <w:rFonts w:hint="eastAsia"/>
              </w:rPr>
              <w:br w:type="textWrapping"/>
            </w:r>
            <w:r>
              <w:rPr>
                <w:rStyle w:val="11"/>
                <w:rFonts w:hint="eastAsia"/>
              </w:rPr>
              <w:t>1.本品应于苹果树中心花开10～20%和盛花期各施药1次，注意喷雾时要周到均匀，以叶片湿润水刚滴下为宜；用于苹果树每季最多使用次数为2次。 2.本品应于葡萄幼果膨大期施药1次，切勿超剂量使用，注意喷雾均匀；用于葡萄每季最多使用1次。 3.本品应于玉米7-8叶期施药1次，注意喷雾均匀；本品施用后在玉米收获期采收安全。 4.本品应于番茄开花期和第一穗果膨果期各施药1次，注意喷雾均匀；本品在番茄上安全间隔期为21天。 5.本品应于樱桃初花期（20%）和谢花后（脱裤期）各施药1次，注意喷雾均匀；本品施用后在樱桃收获期采收安全。 6. 本品应于猕猴桃谢花后果实膨大期施药，共计施药2次，施药间隔15天，注意喷雾均匀；本品施用后在猕猴桃收获期采收安全。 7.本品应于金橘第一批花谢花后及果实膨大期各施药1次，共计施药2次，注意喷雾均匀；本品在金橘上安全间隔期为21天。 8.本品应于烟草团棵期和旺长期各施药1次，注意喷雾均匀；本品施用后在烟草收获期采收安全，每季作物最多施药2次。 9.使用本品时应避免药液飘移到其它作物上，以免产生药害。 10.在用药量范围内，加水量随环境温度高低适当调整，温度高，加水多；温度低，加水少；温度过高(高于30℃)或温度过低(低于15℃)不宜使用以免造成药害。 11.施药后2天内降雨会影响药效，用药前应注意天气变化。</w:t>
            </w:r>
          </w:p>
        </w:tc>
      </w:tr>
      <w:tr w14:paraId="02285630">
        <w:tblPrEx>
          <w:tblCellMar>
            <w:top w:w="0" w:type="dxa"/>
            <w:left w:w="0" w:type="dxa"/>
            <w:bottom w:w="0" w:type="dxa"/>
            <w:right w:w="0" w:type="dxa"/>
          </w:tblCellMar>
        </w:tblPrEx>
        <w:trPr>
          <w:wBefore w:w="0" w:type="auto"/>
          <w:tblCellSpacing w:w="0" w:type="dxa"/>
        </w:trPr>
        <w:tc>
          <w:tcPr>
            <w:tcW w:w="0" w:type="auto"/>
            <w:noWrap w:val="0"/>
            <w:vAlign w:val="center"/>
          </w:tcPr>
          <w:p w14:paraId="43C5BCAA">
            <w:r>
              <w:rPr>
                <w:rStyle w:val="10"/>
                <w:rFonts w:hint="eastAsia"/>
              </w:rPr>
              <w:t>产品性能:</w:t>
            </w:r>
            <w:r>
              <w:rPr>
                <w:rFonts w:hint="eastAsia"/>
              </w:rPr>
              <w:br w:type="textWrapping"/>
            </w:r>
            <w:r>
              <w:rPr>
                <w:rStyle w:val="11"/>
                <w:rFonts w:hint="eastAsia"/>
              </w:rPr>
              <w:t>本品是一种脲类植物生长调节剂，有极强的细胞分裂活性，其诱导植物细胞分裂、愈伤组织的能力比一般细胞分裂素高一千倍以上；能延缓植物衰老，增强其抗逆性，促进植物的光合作用；还能提高作物产量，改善产物品质。</w:t>
            </w:r>
          </w:p>
        </w:tc>
      </w:tr>
      <w:tr w14:paraId="1993197F">
        <w:tblPrEx>
          <w:tblCellMar>
            <w:top w:w="0" w:type="dxa"/>
            <w:left w:w="0" w:type="dxa"/>
            <w:bottom w:w="0" w:type="dxa"/>
            <w:right w:w="0" w:type="dxa"/>
          </w:tblCellMar>
        </w:tblPrEx>
        <w:trPr>
          <w:wBefore w:w="0" w:type="auto"/>
          <w:tblCellSpacing w:w="0" w:type="dxa"/>
        </w:trPr>
        <w:tc>
          <w:tcPr>
            <w:tcW w:w="0" w:type="auto"/>
            <w:noWrap w:val="0"/>
            <w:vAlign w:val="center"/>
          </w:tcPr>
          <w:p w14:paraId="3473DB85">
            <w:r>
              <w:rPr>
                <w:rStyle w:val="10"/>
                <w:rFonts w:hint="eastAsia"/>
              </w:rPr>
              <w:t>注意事项：</w:t>
            </w:r>
            <w:r>
              <w:rPr>
                <w:rFonts w:hint="eastAsia"/>
              </w:rPr>
              <w:br w:type="textWrapping"/>
            </w:r>
            <w:r>
              <w:rPr>
                <w:rStyle w:val="11"/>
                <w:rFonts w:hint="eastAsia"/>
              </w:rPr>
              <w:t>1. 使用本品时应穿戴防护服和手套，避免吸入药液。施药期间不可吃东西和饮水，本品对眼有腐蚀性，注意防护。施药后应及时冲洗手、脸及裸露部位。 2. 本品对鸟类高毒，藻类中毒，蜜蜂中毒至低毒，鱼类、水蚤、家蚕、蚯蚓低毒，天敌赤眼蜂低风险性。施药时应避免对周围蜂群的影响、开花植物花期慎用；鸟类保护区附近禁用；蚕室和桑园附近、赤眼蜂等天敌放飞区域慎用。远离水产养殖区、河塘等水体施药，应避免药液流入河塘等水体中，清洗喷药器械时切忌污染水源。禁止在河塘等水体中清洗施药器具。 3. 用药应均匀，不宜重复喷施，用后加强肥水管理。 4. 孕妇及哺乳期妇女应避免接触此药。 5. 用过的废弃物要妥善处理，不能乱丢乱放，也不能做他用。</w:t>
            </w:r>
          </w:p>
        </w:tc>
      </w:tr>
      <w:tr w14:paraId="7F5F7246">
        <w:tblPrEx>
          <w:tblCellMar>
            <w:top w:w="0" w:type="dxa"/>
            <w:left w:w="0" w:type="dxa"/>
            <w:bottom w:w="0" w:type="dxa"/>
            <w:right w:w="0" w:type="dxa"/>
          </w:tblCellMar>
        </w:tblPrEx>
        <w:trPr>
          <w:wBefore w:w="0" w:type="auto"/>
          <w:tblCellSpacing w:w="0" w:type="dxa"/>
        </w:trPr>
        <w:tc>
          <w:tcPr>
            <w:tcW w:w="0" w:type="auto"/>
            <w:noWrap w:val="0"/>
            <w:vAlign w:val="center"/>
          </w:tcPr>
          <w:p w14:paraId="64C7BA18">
            <w:r>
              <w:rPr>
                <w:rStyle w:val="10"/>
                <w:rFonts w:hint="eastAsia"/>
              </w:rPr>
              <w:t>中毒急救措施：</w:t>
            </w:r>
            <w:r>
              <w:rPr>
                <w:rFonts w:hint="eastAsia"/>
              </w:rPr>
              <w:br w:type="textWrapping"/>
            </w:r>
            <w:r>
              <w:rPr>
                <w:rStyle w:val="11"/>
                <w:rFonts w:hint="eastAsia"/>
              </w:rPr>
              <w:t>对眼睛有刺激作用。 不慎吸入，应将病人移至空气流通处。溅入眼睛中，用大量清水冲洗至少15分钟，仍有不适，就医。皮肤接触，用清水及肥皂洗干净。误服，立即携此标签将病人送医院，对症治疗。无特效解毒剂。</w:t>
            </w:r>
          </w:p>
        </w:tc>
      </w:tr>
      <w:tr w14:paraId="4BA51915">
        <w:tblPrEx>
          <w:tblCellMar>
            <w:top w:w="0" w:type="dxa"/>
            <w:left w:w="0" w:type="dxa"/>
            <w:bottom w:w="0" w:type="dxa"/>
            <w:right w:w="0" w:type="dxa"/>
          </w:tblCellMar>
        </w:tblPrEx>
        <w:trPr>
          <w:wBefore w:w="0" w:type="auto"/>
          <w:tblCellSpacing w:w="0" w:type="dxa"/>
        </w:trPr>
        <w:tc>
          <w:tcPr>
            <w:tcW w:w="0" w:type="auto"/>
            <w:noWrap w:val="0"/>
            <w:vAlign w:val="center"/>
          </w:tcPr>
          <w:p w14:paraId="7583E313">
            <w:r>
              <w:rPr>
                <w:rStyle w:val="10"/>
                <w:rFonts w:hint="eastAsia"/>
              </w:rPr>
              <w:t>储存和运输方法：</w:t>
            </w:r>
            <w:r>
              <w:rPr>
                <w:rFonts w:hint="eastAsia"/>
              </w:rPr>
              <w:br w:type="textWrapping"/>
            </w:r>
            <w:r>
              <w:rPr>
                <w:rStyle w:val="11"/>
                <w:rFonts w:hint="eastAsia"/>
              </w:rPr>
              <w:t>1.本品应贮存在干燥、阴凉、通风、防雨处，远离火源或热源。远离儿童存放，并加锁保管。不能与食品、饮料、粮食、种子、饲料等物品同贮同运。 2.运输前应先检查包装容器是否完好、密封,运输过程中要确保容器不泄漏、不倒塌、不坠落、不损坏。运输时运输车辆应配备相应品种和数量的消防器材及泄露应急处理设备。运输途中应防暴晒、雨淋、高温。公路运输时要按规定路线行驶,勿在居民区和人口稠密区停留。</w:t>
            </w:r>
          </w:p>
        </w:tc>
      </w:tr>
      <w:tr w14:paraId="7F3A3357">
        <w:tblPrEx>
          <w:tblCellMar>
            <w:top w:w="0" w:type="dxa"/>
            <w:left w:w="0" w:type="dxa"/>
            <w:bottom w:w="0" w:type="dxa"/>
            <w:right w:w="0" w:type="dxa"/>
          </w:tblCellMar>
        </w:tblPrEx>
        <w:trPr>
          <w:wBefore w:w="0" w:type="auto"/>
          <w:tblCellSpacing w:w="0" w:type="dxa"/>
        </w:trPr>
        <w:tc>
          <w:tcPr>
            <w:tcW w:w="0" w:type="auto"/>
            <w:noWrap w:val="0"/>
            <w:vAlign w:val="center"/>
          </w:tcPr>
          <w:p w14:paraId="69BCA8D5">
            <w:r>
              <w:rPr>
                <w:rStyle w:val="10"/>
                <w:rFonts w:hint="eastAsia"/>
              </w:rPr>
              <w:t>质量保证期：</w:t>
            </w:r>
            <w:r>
              <w:rPr>
                <w:rStyle w:val="11"/>
                <w:rFonts w:hint="eastAsia"/>
              </w:rPr>
              <w:t>2年</w:t>
            </w:r>
          </w:p>
        </w:tc>
      </w:tr>
      <w:tr w14:paraId="06382071">
        <w:tblPrEx>
          <w:tblCellMar>
            <w:top w:w="0" w:type="dxa"/>
            <w:left w:w="0" w:type="dxa"/>
            <w:bottom w:w="0" w:type="dxa"/>
            <w:right w:w="0" w:type="dxa"/>
          </w:tblCellMar>
        </w:tblPrEx>
        <w:trPr>
          <w:wBefore w:w="0" w:type="auto"/>
          <w:tblCellSpacing w:w="0" w:type="dxa"/>
        </w:trPr>
        <w:tc>
          <w:tcPr>
            <w:tcW w:w="0" w:type="auto"/>
            <w:noWrap w:val="0"/>
            <w:vAlign w:val="center"/>
          </w:tcPr>
          <w:p w14:paraId="4EC1226C">
            <w:r>
              <w:rPr>
                <w:rStyle w:val="10"/>
                <w:rFonts w:hint="eastAsia"/>
              </w:rPr>
              <w:t>备注：</w:t>
            </w:r>
          </w:p>
        </w:tc>
      </w:tr>
    </w:tbl>
    <w:p w14:paraId="315727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C02367">
        <w:tblPrEx>
          <w:tblCellMar>
            <w:top w:w="0" w:type="dxa"/>
            <w:left w:w="0" w:type="dxa"/>
            <w:bottom w:w="0" w:type="dxa"/>
            <w:right w:w="0" w:type="dxa"/>
          </w:tblCellMar>
        </w:tblPrEx>
        <w:trPr>
          <w:wBefore w:w="0" w:type="auto"/>
          <w:tblCellSpacing w:w="0" w:type="dxa"/>
        </w:trPr>
        <w:tc>
          <w:tcPr>
            <w:tcW w:w="0" w:type="auto"/>
            <w:noWrap w:val="0"/>
            <w:vAlign w:val="center"/>
          </w:tcPr>
          <w:p w14:paraId="39E1A62A">
            <w:r>
              <w:rPr>
                <w:rStyle w:val="10"/>
                <w:rFonts w:hint="eastAsia"/>
              </w:rPr>
              <w:t>登记证号：</w:t>
            </w:r>
            <w:r>
              <w:rPr>
                <w:rFonts w:hint="eastAsia"/>
              </w:rPr>
              <w:t>PD20212467</w:t>
            </w:r>
          </w:p>
        </w:tc>
      </w:tr>
      <w:tr w14:paraId="6BD7BB9F">
        <w:tblPrEx>
          <w:tblCellMar>
            <w:top w:w="0" w:type="dxa"/>
            <w:left w:w="0" w:type="dxa"/>
            <w:bottom w:w="0" w:type="dxa"/>
            <w:right w:w="0" w:type="dxa"/>
          </w:tblCellMar>
        </w:tblPrEx>
        <w:trPr>
          <w:wBefore w:w="0" w:type="auto"/>
          <w:tblCellSpacing w:w="0" w:type="dxa"/>
        </w:trPr>
        <w:tc>
          <w:tcPr>
            <w:tcW w:w="0" w:type="auto"/>
            <w:noWrap w:val="0"/>
            <w:vAlign w:val="center"/>
          </w:tcPr>
          <w:p w14:paraId="04DBC487">
            <w:r>
              <w:rPr>
                <w:rStyle w:val="10"/>
                <w:rFonts w:hint="eastAsia"/>
              </w:rPr>
              <w:t>登记证持有人：</w:t>
            </w:r>
            <w:r>
              <w:rPr>
                <w:rFonts w:hint="eastAsia"/>
              </w:rPr>
              <w:t>杭州颖泰生物科技有限公司</w:t>
            </w:r>
          </w:p>
        </w:tc>
      </w:tr>
      <w:tr w14:paraId="7624892A">
        <w:tblPrEx>
          <w:tblCellMar>
            <w:top w:w="0" w:type="dxa"/>
            <w:left w:w="0" w:type="dxa"/>
            <w:bottom w:w="0" w:type="dxa"/>
            <w:right w:w="0" w:type="dxa"/>
          </w:tblCellMar>
        </w:tblPrEx>
        <w:trPr>
          <w:wBefore w:w="0" w:type="auto"/>
          <w:tblCellSpacing w:w="0" w:type="dxa"/>
        </w:trPr>
        <w:tc>
          <w:tcPr>
            <w:tcW w:w="0" w:type="auto"/>
            <w:noWrap w:val="0"/>
            <w:vAlign w:val="center"/>
          </w:tcPr>
          <w:p w14:paraId="527DD6CB">
            <w:r>
              <w:rPr>
                <w:rStyle w:val="10"/>
                <w:rFonts w:hint="eastAsia"/>
              </w:rPr>
              <w:t>农药名称：</w:t>
            </w:r>
            <w:r>
              <w:rPr>
                <w:rFonts w:hint="eastAsia"/>
              </w:rPr>
              <w:t>乙氧·异丙甲草胺</w:t>
            </w:r>
          </w:p>
        </w:tc>
      </w:tr>
      <w:tr w14:paraId="773F833D">
        <w:tblPrEx>
          <w:tblCellMar>
            <w:top w:w="0" w:type="dxa"/>
            <w:left w:w="0" w:type="dxa"/>
            <w:bottom w:w="0" w:type="dxa"/>
            <w:right w:w="0" w:type="dxa"/>
          </w:tblCellMar>
        </w:tblPrEx>
        <w:trPr>
          <w:wBefore w:w="0" w:type="auto"/>
          <w:tblCellSpacing w:w="0" w:type="dxa"/>
        </w:trPr>
        <w:tc>
          <w:tcPr>
            <w:tcW w:w="0" w:type="auto"/>
            <w:noWrap w:val="0"/>
            <w:vAlign w:val="center"/>
          </w:tcPr>
          <w:p w14:paraId="61F3A76E">
            <w:r>
              <w:rPr>
                <w:rStyle w:val="10"/>
                <w:rFonts w:hint="eastAsia"/>
              </w:rPr>
              <w:t>剂型：</w:t>
            </w:r>
            <w:r>
              <w:rPr>
                <w:rFonts w:hint="eastAsia"/>
              </w:rPr>
              <w:t>乳油</w:t>
            </w:r>
          </w:p>
        </w:tc>
      </w:tr>
      <w:tr w14:paraId="6E16F841">
        <w:tblPrEx>
          <w:tblCellMar>
            <w:top w:w="0" w:type="dxa"/>
            <w:left w:w="0" w:type="dxa"/>
            <w:bottom w:w="0" w:type="dxa"/>
            <w:right w:w="0" w:type="dxa"/>
          </w:tblCellMar>
        </w:tblPrEx>
        <w:trPr>
          <w:wBefore w:w="0" w:type="auto"/>
          <w:tblCellSpacing w:w="0" w:type="dxa"/>
        </w:trPr>
        <w:tc>
          <w:tcPr>
            <w:tcW w:w="0" w:type="auto"/>
            <w:noWrap w:val="0"/>
            <w:vAlign w:val="center"/>
          </w:tcPr>
          <w:p w14:paraId="1805CF8B">
            <w:r>
              <w:rPr>
                <w:rStyle w:val="10"/>
                <w:rFonts w:hint="eastAsia"/>
              </w:rPr>
              <w:t>毒性及其标识：</w:t>
            </w:r>
            <w:r>
              <w:rPr>
                <w:rFonts w:hint="eastAsia"/>
              </w:rPr>
              <w:t xml:space="preserve"> </w:t>
            </w:r>
            <w:r>
              <w:rPr>
                <w:lang/>
              </w:rPr>
              <w:drawing>
                <wp:inline distT="0" distB="0" distL="114300" distR="114300">
                  <wp:extent cx="476250" cy="323850"/>
                  <wp:effectExtent l="0" t="0" r="0" b="0"/>
                  <wp:docPr id="13" name="图片 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816A67">
        <w:tblPrEx>
          <w:tblCellMar>
            <w:top w:w="0" w:type="dxa"/>
            <w:left w:w="0" w:type="dxa"/>
            <w:bottom w:w="0" w:type="dxa"/>
            <w:right w:w="0" w:type="dxa"/>
          </w:tblCellMar>
        </w:tblPrEx>
        <w:trPr>
          <w:wBefore w:w="0" w:type="auto"/>
          <w:tblCellSpacing w:w="0" w:type="dxa"/>
        </w:trPr>
        <w:tc>
          <w:tcPr>
            <w:tcW w:w="0" w:type="auto"/>
            <w:noWrap w:val="0"/>
            <w:vAlign w:val="center"/>
          </w:tcPr>
          <w:p w14:paraId="00CA5595">
            <w:r>
              <w:rPr>
                <w:rStyle w:val="10"/>
                <w:rFonts w:hint="eastAsia"/>
              </w:rPr>
              <w:t>总有效成分含量：</w:t>
            </w:r>
            <w:r>
              <w:rPr>
                <w:rFonts w:hint="eastAsia"/>
              </w:rPr>
              <w:t>60%</w:t>
            </w:r>
          </w:p>
        </w:tc>
      </w:tr>
      <w:tr w14:paraId="26F0477E">
        <w:tblPrEx>
          <w:tblCellMar>
            <w:top w:w="0" w:type="dxa"/>
            <w:left w:w="0" w:type="dxa"/>
            <w:bottom w:w="0" w:type="dxa"/>
            <w:right w:w="0" w:type="dxa"/>
          </w:tblCellMar>
        </w:tblPrEx>
        <w:trPr>
          <w:wBefore w:w="0" w:type="auto"/>
          <w:tblCellSpacing w:w="0" w:type="dxa"/>
        </w:trPr>
        <w:tc>
          <w:tcPr>
            <w:tcW w:w="0" w:type="auto"/>
            <w:noWrap w:val="0"/>
            <w:vAlign w:val="center"/>
          </w:tcPr>
          <w:p w14:paraId="08E44639">
            <w:r>
              <w:rPr>
                <w:rFonts w:hint="eastAsia"/>
              </w:rPr>
              <w:t xml:space="preserve">有效成分及其含量： </w:t>
            </w:r>
          </w:p>
          <w:p w14:paraId="4B5D9ADC">
            <w:r>
              <w:rPr>
                <w:rFonts w:hint="eastAsia"/>
              </w:rPr>
              <w:t xml:space="preserve">    异丙甲草胺50%    乙氧氟草醚10%    </w:t>
            </w:r>
          </w:p>
        </w:tc>
      </w:tr>
      <w:tr w14:paraId="07347C19">
        <w:tblPrEx>
          <w:tblCellMar>
            <w:top w:w="0" w:type="dxa"/>
            <w:left w:w="0" w:type="dxa"/>
            <w:bottom w:w="0" w:type="dxa"/>
            <w:right w:w="0" w:type="dxa"/>
          </w:tblCellMar>
        </w:tblPrEx>
        <w:trPr>
          <w:wBefore w:w="0" w:type="auto"/>
          <w:tblCellSpacing w:w="0" w:type="dxa"/>
        </w:trPr>
        <w:tc>
          <w:tcPr>
            <w:tcW w:w="0" w:type="auto"/>
            <w:noWrap w:val="0"/>
            <w:vAlign w:val="center"/>
          </w:tcPr>
          <w:p w14:paraId="4BCCE4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9FB8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435A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CA2F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FB64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A85692">
                  <w:r>
                    <w:rPr>
                      <w:rStyle w:val="11"/>
                      <w:rFonts w:hint="eastAsia"/>
                    </w:rPr>
                    <w:t>施用方式</w:t>
                  </w:r>
                </w:p>
              </w:tc>
            </w:tr>
            <w:tr w14:paraId="6B8C94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9AFE96">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D3F58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6D0F53">
                  <w:r>
                    <w:rPr>
                      <w:rStyle w:val="11"/>
                      <w:rFonts w:hint="eastAsia"/>
                    </w:rPr>
                    <w:t>50-70克/亩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2675A8">
                  <w:r>
                    <w:rPr>
                      <w:rStyle w:val="11"/>
                      <w:rFonts w:hint="eastAsia"/>
                    </w:rPr>
                    <w:t>土壤喷雾</w:t>
                  </w:r>
                </w:p>
              </w:tc>
            </w:tr>
          </w:tbl>
          <w:p w14:paraId="3286963C">
            <w:pPr>
              <w:rPr>
                <w:rFonts w:ascii="Times New Roman" w:hAnsi="Times New Roman" w:cs="Times New Roman"/>
                <w:sz w:val="20"/>
                <w:szCs w:val="20"/>
              </w:rPr>
            </w:pPr>
          </w:p>
        </w:tc>
      </w:tr>
      <w:tr w14:paraId="13CEE5A2">
        <w:tblPrEx>
          <w:tblCellMar>
            <w:top w:w="0" w:type="dxa"/>
            <w:left w:w="0" w:type="dxa"/>
            <w:bottom w:w="0" w:type="dxa"/>
            <w:right w:w="0" w:type="dxa"/>
          </w:tblCellMar>
        </w:tblPrEx>
        <w:trPr>
          <w:wBefore w:w="0" w:type="auto"/>
          <w:tblCellSpacing w:w="0" w:type="dxa"/>
        </w:trPr>
        <w:tc>
          <w:tcPr>
            <w:tcW w:w="0" w:type="auto"/>
            <w:noWrap w:val="0"/>
            <w:vAlign w:val="center"/>
          </w:tcPr>
          <w:p w14:paraId="711173C0">
            <w:r>
              <w:rPr>
                <w:rStyle w:val="10"/>
                <w:rFonts w:hint="eastAsia"/>
              </w:rPr>
              <w:t>使用技术要求:</w:t>
            </w:r>
            <w:r>
              <w:rPr>
                <w:rFonts w:hint="eastAsia"/>
              </w:rPr>
              <w:br w:type="textWrapping"/>
            </w:r>
            <w:r>
              <w:rPr>
                <w:rStyle w:val="11"/>
                <w:rFonts w:hint="eastAsia"/>
              </w:rPr>
              <w:t>1. 在马铃薯播后苗前，以推荐剂量兑水均匀土壤喷雾施药一次。施药时尽量在无风时施药，避免雾滴飘移，危害周围作物。2.大风天或预计1小时内降雨，请勿施药。</w:t>
            </w:r>
          </w:p>
        </w:tc>
      </w:tr>
      <w:tr w14:paraId="31EAA05C">
        <w:tblPrEx>
          <w:tblCellMar>
            <w:top w:w="0" w:type="dxa"/>
            <w:left w:w="0" w:type="dxa"/>
            <w:bottom w:w="0" w:type="dxa"/>
            <w:right w:w="0" w:type="dxa"/>
          </w:tblCellMar>
        </w:tblPrEx>
        <w:trPr>
          <w:wBefore w:w="0" w:type="auto"/>
          <w:tblCellSpacing w:w="0" w:type="dxa"/>
        </w:trPr>
        <w:tc>
          <w:tcPr>
            <w:tcW w:w="0" w:type="auto"/>
            <w:noWrap w:val="0"/>
            <w:vAlign w:val="center"/>
          </w:tcPr>
          <w:p w14:paraId="2995BFF0">
            <w:r>
              <w:rPr>
                <w:rStyle w:val="10"/>
                <w:rFonts w:hint="eastAsia"/>
              </w:rPr>
              <w:t>产品性能:</w:t>
            </w:r>
            <w:r>
              <w:rPr>
                <w:rFonts w:hint="eastAsia"/>
              </w:rPr>
              <w:br w:type="textWrapping"/>
            </w:r>
            <w:r>
              <w:rPr>
                <w:rStyle w:val="11"/>
                <w:rFonts w:hint="eastAsia"/>
              </w:rPr>
              <w:t>本品为由异丙甲草胺及乙氧氟草醚复配的苗前除草剂，用于防治狗尾草、马唐、反枝苋等一年生杂草。</w:t>
            </w:r>
          </w:p>
        </w:tc>
      </w:tr>
      <w:tr w14:paraId="585CAA46">
        <w:tblPrEx>
          <w:tblCellMar>
            <w:top w:w="0" w:type="dxa"/>
            <w:left w:w="0" w:type="dxa"/>
            <w:bottom w:w="0" w:type="dxa"/>
            <w:right w:w="0" w:type="dxa"/>
          </w:tblCellMar>
        </w:tblPrEx>
        <w:trPr>
          <w:wBefore w:w="0" w:type="auto"/>
          <w:tblCellSpacing w:w="0" w:type="dxa"/>
        </w:trPr>
        <w:tc>
          <w:tcPr>
            <w:tcW w:w="0" w:type="auto"/>
            <w:noWrap w:val="0"/>
            <w:vAlign w:val="center"/>
          </w:tcPr>
          <w:p w14:paraId="225CB702">
            <w:r>
              <w:rPr>
                <w:rStyle w:val="10"/>
                <w:rFonts w:hint="eastAsia"/>
              </w:rPr>
              <w:t>注意事项：</w:t>
            </w:r>
            <w:r>
              <w:rPr>
                <w:rFonts w:hint="eastAsia"/>
              </w:rPr>
              <w:br w:type="textWrapping"/>
            </w:r>
            <w:r>
              <w:rPr>
                <w:rStyle w:val="11"/>
                <w:rFonts w:hint="eastAsia"/>
              </w:rPr>
              <w:t>1. 按标签使用本品。 2. 本品对眼睛、皮肤有刺激性，使用时避免接触眼睛、皮肤，穿戴长衣、长裤、帽子、口罩、手套等防护措施，施药期间不可吃东西和饮水。施药后及时洗手、洗脸。 3. 用过的容器及包装废弃物应妥善处理，不可做他用，也不可随意丢弃。 4. 本品对水生生物有毒，远离水产养殖区、河塘等水体施药，禁止在河塘等水体中清洗施药器具。 5. 鸟类保护区和桑园禁止使用本品。 6. 避免孕妇及哺乳期妇女接触。 7. 天敌赤眼蜂释放区域禁止使用。 8. 采用桑园外围一排作为隔离带。</w:t>
            </w:r>
          </w:p>
        </w:tc>
      </w:tr>
      <w:tr w14:paraId="7C9FD1C9">
        <w:tblPrEx>
          <w:tblCellMar>
            <w:top w:w="0" w:type="dxa"/>
            <w:left w:w="0" w:type="dxa"/>
            <w:bottom w:w="0" w:type="dxa"/>
            <w:right w:w="0" w:type="dxa"/>
          </w:tblCellMar>
        </w:tblPrEx>
        <w:trPr>
          <w:wBefore w:w="0" w:type="auto"/>
          <w:tblCellSpacing w:w="0" w:type="dxa"/>
        </w:trPr>
        <w:tc>
          <w:tcPr>
            <w:tcW w:w="0" w:type="auto"/>
            <w:noWrap w:val="0"/>
            <w:vAlign w:val="center"/>
          </w:tcPr>
          <w:p w14:paraId="7DA5BD29">
            <w:r>
              <w:rPr>
                <w:rStyle w:val="10"/>
                <w:rFonts w:hint="eastAsia"/>
              </w:rPr>
              <w:t>中毒急救措施：</w:t>
            </w:r>
            <w:r>
              <w:rPr>
                <w:rFonts w:hint="eastAsia"/>
              </w:rPr>
              <w:br w:type="textWrapping"/>
            </w:r>
            <w:r>
              <w:rPr>
                <w:rStyle w:val="11"/>
                <w:rFonts w:hint="eastAsia"/>
              </w:rPr>
              <w:t>皮肤接触：立即脱掉被污染的衣物，用大量清水冲洗被污染的皮肤，再用肥皂清洗，然后用清水冲净。眼睛溅药：本品对眼睛有强刺激性，使用时尽量避免与眼睛直接接触，如不慎入眼，立即将眼睑翻开，用大量流动的清水冲洗至少15分钟，再请医生诊治。误服：请勿引吐，立即携带标签，送医就诊。无专用解毒剂，对症治疗。</w:t>
            </w:r>
          </w:p>
        </w:tc>
      </w:tr>
      <w:tr w14:paraId="1EE0660B">
        <w:tblPrEx>
          <w:tblCellMar>
            <w:top w:w="0" w:type="dxa"/>
            <w:left w:w="0" w:type="dxa"/>
            <w:bottom w:w="0" w:type="dxa"/>
            <w:right w:w="0" w:type="dxa"/>
          </w:tblCellMar>
        </w:tblPrEx>
        <w:trPr>
          <w:wBefore w:w="0" w:type="auto"/>
          <w:tblCellSpacing w:w="0" w:type="dxa"/>
        </w:trPr>
        <w:tc>
          <w:tcPr>
            <w:tcW w:w="0" w:type="auto"/>
            <w:noWrap w:val="0"/>
            <w:vAlign w:val="center"/>
          </w:tcPr>
          <w:p w14:paraId="2B909A3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本品应贮存在干燥、阴凉、通风、防雨处，远离火源或热源。置于儿童、无关人员接触不到的地方。不能与食品、饮料、粮食、饲料等同贮同运。装卸时轻搬轻放，不可倒置。</w:t>
            </w:r>
          </w:p>
        </w:tc>
      </w:tr>
      <w:tr w14:paraId="70BEC79D">
        <w:tblPrEx>
          <w:tblCellMar>
            <w:top w:w="0" w:type="dxa"/>
            <w:left w:w="0" w:type="dxa"/>
            <w:bottom w:w="0" w:type="dxa"/>
            <w:right w:w="0" w:type="dxa"/>
          </w:tblCellMar>
        </w:tblPrEx>
        <w:trPr>
          <w:wBefore w:w="0" w:type="auto"/>
          <w:tblCellSpacing w:w="0" w:type="dxa"/>
        </w:trPr>
        <w:tc>
          <w:tcPr>
            <w:tcW w:w="0" w:type="auto"/>
            <w:noWrap w:val="0"/>
            <w:vAlign w:val="center"/>
          </w:tcPr>
          <w:p w14:paraId="283CDF90">
            <w:r>
              <w:rPr>
                <w:rStyle w:val="10"/>
                <w:rFonts w:hint="eastAsia"/>
              </w:rPr>
              <w:t>质量保证期：</w:t>
            </w:r>
            <w:r>
              <w:rPr>
                <w:rStyle w:val="11"/>
                <w:rFonts w:hint="eastAsia"/>
              </w:rPr>
              <w:t>2年</w:t>
            </w:r>
          </w:p>
        </w:tc>
      </w:tr>
      <w:tr w14:paraId="2346D954">
        <w:tblPrEx>
          <w:tblCellMar>
            <w:top w:w="0" w:type="dxa"/>
            <w:left w:w="0" w:type="dxa"/>
            <w:bottom w:w="0" w:type="dxa"/>
            <w:right w:w="0" w:type="dxa"/>
          </w:tblCellMar>
        </w:tblPrEx>
        <w:trPr>
          <w:wBefore w:w="0" w:type="auto"/>
          <w:tblCellSpacing w:w="0" w:type="dxa"/>
        </w:trPr>
        <w:tc>
          <w:tcPr>
            <w:tcW w:w="0" w:type="auto"/>
            <w:noWrap w:val="0"/>
            <w:vAlign w:val="center"/>
          </w:tcPr>
          <w:p w14:paraId="3316C572">
            <w:r>
              <w:rPr>
                <w:rStyle w:val="10"/>
                <w:rFonts w:hint="eastAsia"/>
              </w:rPr>
              <w:t>备注：</w:t>
            </w:r>
          </w:p>
        </w:tc>
      </w:tr>
    </w:tbl>
    <w:p w14:paraId="7E4DBAA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4A0C06">
        <w:tblPrEx>
          <w:tblCellMar>
            <w:top w:w="0" w:type="dxa"/>
            <w:left w:w="0" w:type="dxa"/>
            <w:bottom w:w="0" w:type="dxa"/>
            <w:right w:w="0" w:type="dxa"/>
          </w:tblCellMar>
        </w:tblPrEx>
        <w:trPr>
          <w:wBefore w:w="0" w:type="auto"/>
          <w:tblCellSpacing w:w="0" w:type="dxa"/>
        </w:trPr>
        <w:tc>
          <w:tcPr>
            <w:tcW w:w="0" w:type="auto"/>
            <w:noWrap w:val="0"/>
            <w:vAlign w:val="center"/>
          </w:tcPr>
          <w:p w14:paraId="2177E6B0">
            <w:r>
              <w:rPr>
                <w:rStyle w:val="10"/>
                <w:rFonts w:hint="eastAsia"/>
              </w:rPr>
              <w:t>登记证号：</w:t>
            </w:r>
            <w:r>
              <w:rPr>
                <w:rFonts w:hint="eastAsia"/>
              </w:rPr>
              <w:t>PD20094744</w:t>
            </w:r>
          </w:p>
        </w:tc>
      </w:tr>
      <w:tr w14:paraId="0A870121">
        <w:tblPrEx>
          <w:tblCellMar>
            <w:top w:w="0" w:type="dxa"/>
            <w:left w:w="0" w:type="dxa"/>
            <w:bottom w:w="0" w:type="dxa"/>
            <w:right w:w="0" w:type="dxa"/>
          </w:tblCellMar>
        </w:tblPrEx>
        <w:trPr>
          <w:wBefore w:w="0" w:type="auto"/>
          <w:tblCellSpacing w:w="0" w:type="dxa"/>
        </w:trPr>
        <w:tc>
          <w:tcPr>
            <w:tcW w:w="0" w:type="auto"/>
            <w:noWrap w:val="0"/>
            <w:vAlign w:val="center"/>
          </w:tcPr>
          <w:p w14:paraId="7785136D">
            <w:r>
              <w:rPr>
                <w:rStyle w:val="10"/>
                <w:rFonts w:hint="eastAsia"/>
              </w:rPr>
              <w:t>登记证持有人：</w:t>
            </w:r>
            <w:r>
              <w:rPr>
                <w:rFonts w:hint="eastAsia"/>
              </w:rPr>
              <w:t>陕西标正作物科学有限公司</w:t>
            </w:r>
          </w:p>
        </w:tc>
      </w:tr>
      <w:tr w14:paraId="30255D9C">
        <w:tblPrEx>
          <w:tblCellMar>
            <w:top w:w="0" w:type="dxa"/>
            <w:left w:w="0" w:type="dxa"/>
            <w:bottom w:w="0" w:type="dxa"/>
            <w:right w:w="0" w:type="dxa"/>
          </w:tblCellMar>
        </w:tblPrEx>
        <w:trPr>
          <w:wBefore w:w="0" w:type="auto"/>
          <w:tblCellSpacing w:w="0" w:type="dxa"/>
        </w:trPr>
        <w:tc>
          <w:tcPr>
            <w:tcW w:w="0" w:type="auto"/>
            <w:noWrap w:val="0"/>
            <w:vAlign w:val="center"/>
          </w:tcPr>
          <w:p w14:paraId="59E5AD28">
            <w:r>
              <w:rPr>
                <w:rStyle w:val="10"/>
                <w:rFonts w:hint="eastAsia"/>
              </w:rPr>
              <w:t>农药名称：</w:t>
            </w:r>
            <w:r>
              <w:rPr>
                <w:rFonts w:hint="eastAsia"/>
              </w:rPr>
              <w:t>草甘膦异丙胺盐</w:t>
            </w:r>
          </w:p>
        </w:tc>
      </w:tr>
      <w:tr w14:paraId="65F2EB55">
        <w:tblPrEx>
          <w:tblCellMar>
            <w:top w:w="0" w:type="dxa"/>
            <w:left w:w="0" w:type="dxa"/>
            <w:bottom w:w="0" w:type="dxa"/>
            <w:right w:w="0" w:type="dxa"/>
          </w:tblCellMar>
        </w:tblPrEx>
        <w:trPr>
          <w:wBefore w:w="0" w:type="auto"/>
          <w:tblCellSpacing w:w="0" w:type="dxa"/>
        </w:trPr>
        <w:tc>
          <w:tcPr>
            <w:tcW w:w="0" w:type="auto"/>
            <w:noWrap w:val="0"/>
            <w:vAlign w:val="center"/>
          </w:tcPr>
          <w:p w14:paraId="1C4C187A">
            <w:r>
              <w:rPr>
                <w:rStyle w:val="10"/>
                <w:rFonts w:hint="eastAsia"/>
              </w:rPr>
              <w:t>剂型：</w:t>
            </w:r>
            <w:r>
              <w:rPr>
                <w:rFonts w:hint="eastAsia"/>
              </w:rPr>
              <w:t>水剂</w:t>
            </w:r>
          </w:p>
        </w:tc>
      </w:tr>
      <w:tr w14:paraId="57721B02">
        <w:tblPrEx>
          <w:tblCellMar>
            <w:top w:w="0" w:type="dxa"/>
            <w:left w:w="0" w:type="dxa"/>
            <w:bottom w:w="0" w:type="dxa"/>
            <w:right w:w="0" w:type="dxa"/>
          </w:tblCellMar>
        </w:tblPrEx>
        <w:trPr>
          <w:wBefore w:w="0" w:type="auto"/>
          <w:tblCellSpacing w:w="0" w:type="dxa"/>
        </w:trPr>
        <w:tc>
          <w:tcPr>
            <w:tcW w:w="0" w:type="auto"/>
            <w:noWrap w:val="0"/>
            <w:vAlign w:val="center"/>
          </w:tcPr>
          <w:p w14:paraId="4C6E7F91">
            <w:r>
              <w:rPr>
                <w:rStyle w:val="10"/>
                <w:rFonts w:hint="eastAsia"/>
              </w:rPr>
              <w:t>毒性及其标识：</w:t>
            </w:r>
            <w:r>
              <w:rPr>
                <w:rFonts w:hint="eastAsia"/>
              </w:rPr>
              <w:t xml:space="preserve"> </w:t>
            </w:r>
            <w:r>
              <w:rPr>
                <w:lang/>
              </w:rPr>
              <w:drawing>
                <wp:inline distT="0" distB="0" distL="114300" distR="114300">
                  <wp:extent cx="476250" cy="323850"/>
                  <wp:effectExtent l="0" t="0" r="0" b="0"/>
                  <wp:docPr id="14" name="图片 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75BC9D">
        <w:tblPrEx>
          <w:tblCellMar>
            <w:top w:w="0" w:type="dxa"/>
            <w:left w:w="0" w:type="dxa"/>
            <w:bottom w:w="0" w:type="dxa"/>
            <w:right w:w="0" w:type="dxa"/>
          </w:tblCellMar>
        </w:tblPrEx>
        <w:trPr>
          <w:wBefore w:w="0" w:type="auto"/>
          <w:tblCellSpacing w:w="0" w:type="dxa"/>
        </w:trPr>
        <w:tc>
          <w:tcPr>
            <w:tcW w:w="0" w:type="auto"/>
            <w:noWrap w:val="0"/>
            <w:vAlign w:val="center"/>
          </w:tcPr>
          <w:p w14:paraId="798EDDE0">
            <w:r>
              <w:rPr>
                <w:rStyle w:val="10"/>
                <w:rFonts w:hint="eastAsia"/>
              </w:rPr>
              <w:t>总有效成分含量：</w:t>
            </w:r>
            <w:r>
              <w:rPr>
                <w:rFonts w:hint="eastAsia"/>
              </w:rPr>
              <w:t>30%</w:t>
            </w:r>
          </w:p>
        </w:tc>
      </w:tr>
      <w:tr w14:paraId="6E9B29B0">
        <w:tblPrEx>
          <w:tblCellMar>
            <w:top w:w="0" w:type="dxa"/>
            <w:left w:w="0" w:type="dxa"/>
            <w:bottom w:w="0" w:type="dxa"/>
            <w:right w:w="0" w:type="dxa"/>
          </w:tblCellMar>
        </w:tblPrEx>
        <w:trPr>
          <w:wBefore w:w="0" w:type="auto"/>
          <w:tblCellSpacing w:w="0" w:type="dxa"/>
        </w:trPr>
        <w:tc>
          <w:tcPr>
            <w:tcW w:w="0" w:type="auto"/>
            <w:noWrap w:val="0"/>
            <w:vAlign w:val="center"/>
          </w:tcPr>
          <w:p w14:paraId="150F1DCA">
            <w:r>
              <w:rPr>
                <w:rFonts w:hint="eastAsia"/>
              </w:rPr>
              <w:t xml:space="preserve">有效成分及其含量： </w:t>
            </w:r>
          </w:p>
          <w:p w14:paraId="328D283F">
            <w:r>
              <w:rPr>
                <w:rFonts w:hint="eastAsia"/>
              </w:rPr>
              <w:t xml:space="preserve">    草甘膦30%    </w:t>
            </w:r>
          </w:p>
        </w:tc>
      </w:tr>
      <w:tr w14:paraId="1027466E">
        <w:tblPrEx>
          <w:tblCellMar>
            <w:top w:w="0" w:type="dxa"/>
            <w:left w:w="0" w:type="dxa"/>
            <w:bottom w:w="0" w:type="dxa"/>
            <w:right w:w="0" w:type="dxa"/>
          </w:tblCellMar>
        </w:tblPrEx>
        <w:trPr>
          <w:wBefore w:w="0" w:type="auto"/>
          <w:tblCellSpacing w:w="0" w:type="dxa"/>
        </w:trPr>
        <w:tc>
          <w:tcPr>
            <w:tcW w:w="0" w:type="auto"/>
            <w:noWrap w:val="0"/>
            <w:vAlign w:val="center"/>
          </w:tcPr>
          <w:p w14:paraId="65EEBDC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F45F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3310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48A3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B5BE5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C4CEFA">
                  <w:r>
                    <w:rPr>
                      <w:rStyle w:val="11"/>
                      <w:rFonts w:hint="eastAsia"/>
                    </w:rPr>
                    <w:t>施用方式</w:t>
                  </w:r>
                </w:p>
              </w:tc>
            </w:tr>
            <w:tr w14:paraId="48C39E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B09F88">
                  <w:r>
                    <w:rPr>
                      <w:rStyle w:val="11"/>
                      <w:rFonts w:hint="eastAsia"/>
                    </w:rPr>
                    <w:t>柑橘园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1341F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B0B1B8">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7AC1F5">
                  <w:r>
                    <w:rPr>
                      <w:rStyle w:val="11"/>
                      <w:rFonts w:hint="eastAsia"/>
                    </w:rPr>
                    <w:t>定向茎叶喷雾</w:t>
                  </w:r>
                </w:p>
              </w:tc>
            </w:tr>
            <w:tr w14:paraId="2093C8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B04F9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08F6D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A03A3C">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9AE653">
                  <w:r>
                    <w:rPr>
                      <w:rStyle w:val="11"/>
                      <w:rFonts w:hint="eastAsia"/>
                    </w:rPr>
                    <w:t>茎叶喷雾</w:t>
                  </w:r>
                </w:p>
              </w:tc>
            </w:tr>
          </w:tbl>
          <w:p w14:paraId="312910A8">
            <w:pPr>
              <w:rPr>
                <w:rFonts w:ascii="Times New Roman" w:hAnsi="Times New Roman" w:cs="Times New Roman"/>
                <w:sz w:val="20"/>
                <w:szCs w:val="20"/>
              </w:rPr>
            </w:pPr>
          </w:p>
        </w:tc>
      </w:tr>
      <w:tr w14:paraId="4B2861DC">
        <w:tblPrEx>
          <w:tblCellMar>
            <w:top w:w="0" w:type="dxa"/>
            <w:left w:w="0" w:type="dxa"/>
            <w:bottom w:w="0" w:type="dxa"/>
            <w:right w:w="0" w:type="dxa"/>
          </w:tblCellMar>
        </w:tblPrEx>
        <w:trPr>
          <w:wBefore w:w="0" w:type="auto"/>
          <w:tblCellSpacing w:w="0" w:type="dxa"/>
        </w:trPr>
        <w:tc>
          <w:tcPr>
            <w:tcW w:w="0" w:type="auto"/>
            <w:noWrap w:val="0"/>
            <w:vAlign w:val="center"/>
          </w:tcPr>
          <w:p w14:paraId="6D09FA67">
            <w:r>
              <w:rPr>
                <w:rStyle w:val="10"/>
                <w:rFonts w:hint="eastAsia"/>
              </w:rPr>
              <w:t>使用技术要求:</w:t>
            </w:r>
            <w:r>
              <w:rPr>
                <w:rFonts w:hint="eastAsia"/>
              </w:rPr>
              <w:br w:type="textWrapping"/>
            </w:r>
            <w:r>
              <w:rPr>
                <w:rStyle w:val="11"/>
                <w:rFonts w:hint="eastAsia"/>
              </w:rPr>
              <w:t>1.在杂草基本出齐处于4-5叶期，用清水30-40升/亩稀释后行间定向均匀喷雾于杂草茎叶上。勿用浊水稀释，以免降低活性，影响药效，喷药时药液需润湿杂草茎叶，避免药液滴落，降低药效。 2.天气干旱，杂草枯萎，请酌情在推荐剂量范围内增加用量。3.柑橘园杂草每季最多使用次数为1次。</w:t>
            </w:r>
          </w:p>
        </w:tc>
      </w:tr>
      <w:tr w14:paraId="3207EF5A">
        <w:tblPrEx>
          <w:tblCellMar>
            <w:top w:w="0" w:type="dxa"/>
            <w:left w:w="0" w:type="dxa"/>
            <w:bottom w:w="0" w:type="dxa"/>
            <w:right w:w="0" w:type="dxa"/>
          </w:tblCellMar>
        </w:tblPrEx>
        <w:trPr>
          <w:wBefore w:w="0" w:type="auto"/>
          <w:tblCellSpacing w:w="0" w:type="dxa"/>
        </w:trPr>
        <w:tc>
          <w:tcPr>
            <w:tcW w:w="0" w:type="auto"/>
            <w:noWrap w:val="0"/>
            <w:vAlign w:val="center"/>
          </w:tcPr>
          <w:p w14:paraId="26264F86">
            <w:r>
              <w:rPr>
                <w:rStyle w:val="10"/>
                <w:rFonts w:hint="eastAsia"/>
              </w:rPr>
              <w:t>产品性能:</w:t>
            </w:r>
            <w:r>
              <w:rPr>
                <w:rFonts w:hint="eastAsia"/>
              </w:rPr>
              <w:br w:type="textWrapping"/>
            </w:r>
            <w:r>
              <w:rPr>
                <w:rStyle w:val="11"/>
                <w:rFonts w:hint="eastAsia"/>
              </w:rPr>
              <w:t>本品为内吸传导型灭生性除草剂，杂草吸收后，传导至全株，使整个植株死亡。本品进入土壤后会钝化而失去活性，土壤不板结。</w:t>
            </w:r>
          </w:p>
        </w:tc>
      </w:tr>
      <w:tr w14:paraId="02B0896D">
        <w:tblPrEx>
          <w:tblCellMar>
            <w:top w:w="0" w:type="dxa"/>
            <w:left w:w="0" w:type="dxa"/>
            <w:bottom w:w="0" w:type="dxa"/>
            <w:right w:w="0" w:type="dxa"/>
          </w:tblCellMar>
        </w:tblPrEx>
        <w:trPr>
          <w:wBefore w:w="0" w:type="auto"/>
          <w:tblCellSpacing w:w="0" w:type="dxa"/>
        </w:trPr>
        <w:tc>
          <w:tcPr>
            <w:tcW w:w="0" w:type="auto"/>
            <w:noWrap w:val="0"/>
            <w:vAlign w:val="center"/>
          </w:tcPr>
          <w:p w14:paraId="52872C0A">
            <w:r>
              <w:rPr>
                <w:rStyle w:val="10"/>
                <w:rFonts w:hint="eastAsia"/>
              </w:rPr>
              <w:t>注意事项：</w:t>
            </w:r>
            <w:r>
              <w:rPr>
                <w:rFonts w:hint="eastAsia"/>
              </w:rPr>
              <w:br w:type="textWrapping"/>
            </w:r>
            <w:r>
              <w:rPr>
                <w:rStyle w:val="11"/>
                <w:rFonts w:hint="eastAsia"/>
              </w:rPr>
              <w:t>1.使用前请仔细阅读本标签，须严格按照标签说明使用。 2.本品是灭生性除草剂，使用时应防止药液飘移到作物茎叶上，以免发生药害。3.勿用浊水稀释，以免降低药效。 4.喷雾时要均匀周到，用药量要准确。遇干燥天气，杂草枯萎，推荐用药高剂型。温暖晴天用药效果优于低温天气；5.本品对金属有腐蚀性，用过此药的器具要及时清洗。清洗器具的废水不能排入池塘、河流、水源。6.使用本品时应穿戴防护服和手套，避免吸入药液。施药期间不可吃东西和饮水。施药后及时洗手和洗脸。 7.低温贮存时会有结晶析出，用时应充分摇动容器，使结晶溶解，以保证药效。 8.水产养殖区、河塘等水体附近禁用。禁止在河塘等水体中清洗施药器具。9.用过的容器和废弃物应妥善处理，不可做他用，也不可随意丢弃。10.孕妇及哺乳期妇女应避免接触。</w:t>
            </w:r>
          </w:p>
        </w:tc>
      </w:tr>
      <w:tr w14:paraId="31C047F4">
        <w:tblPrEx>
          <w:tblCellMar>
            <w:top w:w="0" w:type="dxa"/>
            <w:left w:w="0" w:type="dxa"/>
            <w:bottom w:w="0" w:type="dxa"/>
            <w:right w:w="0" w:type="dxa"/>
          </w:tblCellMar>
        </w:tblPrEx>
        <w:trPr>
          <w:wBefore w:w="0" w:type="auto"/>
          <w:tblCellSpacing w:w="0" w:type="dxa"/>
        </w:trPr>
        <w:tc>
          <w:tcPr>
            <w:tcW w:w="0" w:type="auto"/>
            <w:noWrap w:val="0"/>
            <w:vAlign w:val="center"/>
          </w:tcPr>
          <w:p w14:paraId="51BF9288">
            <w:r>
              <w:rPr>
                <w:rStyle w:val="10"/>
                <w:rFonts w:hint="eastAsia"/>
              </w:rPr>
              <w:t>中毒急救措施：</w:t>
            </w:r>
            <w:r>
              <w:rPr>
                <w:rFonts w:hint="eastAsia"/>
              </w:rPr>
              <w:br w:type="textWrapping"/>
            </w:r>
            <w:r>
              <w:rPr>
                <w:rStyle w:val="11"/>
                <w:rFonts w:hint="eastAsia"/>
              </w:rPr>
              <w:t>对皮肤、眼睛和上呼吸道有刺激作用。 急救治疗： 1.皮肤污染要立即更换衣服，用肥皂和清水清洗皮肤。 2.眼睛接触，应立即用大量清水或生理盐水冲洗15分钟。 3.若误服，立即送医院对症治疗。尚无特效解毒剂。若摄入量大，病人十分清醒，可用吐根糖浆诱吐，还可在服用的活性炭泥中加入山梨醇。</w:t>
            </w:r>
          </w:p>
        </w:tc>
      </w:tr>
      <w:tr w14:paraId="7BDE717D">
        <w:tblPrEx>
          <w:tblCellMar>
            <w:top w:w="0" w:type="dxa"/>
            <w:left w:w="0" w:type="dxa"/>
            <w:bottom w:w="0" w:type="dxa"/>
            <w:right w:w="0" w:type="dxa"/>
          </w:tblCellMar>
        </w:tblPrEx>
        <w:trPr>
          <w:wBefore w:w="0" w:type="auto"/>
          <w:tblCellSpacing w:w="0" w:type="dxa"/>
        </w:trPr>
        <w:tc>
          <w:tcPr>
            <w:tcW w:w="0" w:type="auto"/>
            <w:noWrap w:val="0"/>
            <w:vAlign w:val="center"/>
          </w:tcPr>
          <w:p w14:paraId="42DA325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本品应贮存在干燥、阴凉、通风、防雨处，远离火源或热源。置于儿童、无关人触及不到之处，并加锁。勿与食品、饮料、饲料、粮食等同贮同运。运输过程中不可挤压、倒置。</w:t>
            </w:r>
          </w:p>
        </w:tc>
      </w:tr>
      <w:tr w14:paraId="5817507D">
        <w:tblPrEx>
          <w:tblCellMar>
            <w:top w:w="0" w:type="dxa"/>
            <w:left w:w="0" w:type="dxa"/>
            <w:bottom w:w="0" w:type="dxa"/>
            <w:right w:w="0" w:type="dxa"/>
          </w:tblCellMar>
        </w:tblPrEx>
        <w:trPr>
          <w:wBefore w:w="0" w:type="auto"/>
          <w:tblCellSpacing w:w="0" w:type="dxa"/>
        </w:trPr>
        <w:tc>
          <w:tcPr>
            <w:tcW w:w="0" w:type="auto"/>
            <w:noWrap w:val="0"/>
            <w:vAlign w:val="center"/>
          </w:tcPr>
          <w:p w14:paraId="47B744F5">
            <w:r>
              <w:rPr>
                <w:rStyle w:val="10"/>
                <w:rFonts w:hint="eastAsia"/>
              </w:rPr>
              <w:t>质量保证期：</w:t>
            </w:r>
            <w:r>
              <w:rPr>
                <w:rStyle w:val="11"/>
                <w:rFonts w:hint="eastAsia"/>
              </w:rPr>
              <w:t>2年</w:t>
            </w:r>
          </w:p>
        </w:tc>
      </w:tr>
      <w:tr w14:paraId="13C071DE">
        <w:tblPrEx>
          <w:tblCellMar>
            <w:top w:w="0" w:type="dxa"/>
            <w:left w:w="0" w:type="dxa"/>
            <w:bottom w:w="0" w:type="dxa"/>
            <w:right w:w="0" w:type="dxa"/>
          </w:tblCellMar>
        </w:tblPrEx>
        <w:trPr>
          <w:wBefore w:w="0" w:type="auto"/>
          <w:tblCellSpacing w:w="0" w:type="dxa"/>
        </w:trPr>
        <w:tc>
          <w:tcPr>
            <w:tcW w:w="0" w:type="auto"/>
            <w:noWrap w:val="0"/>
            <w:vAlign w:val="center"/>
          </w:tcPr>
          <w:p w14:paraId="5748EF07">
            <w:r>
              <w:rPr>
                <w:rStyle w:val="10"/>
                <w:rFonts w:hint="eastAsia"/>
              </w:rPr>
              <w:t>备注：</w:t>
            </w:r>
          </w:p>
        </w:tc>
      </w:tr>
    </w:tbl>
    <w:p w14:paraId="3179174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A87A75">
        <w:tblPrEx>
          <w:tblCellMar>
            <w:top w:w="0" w:type="dxa"/>
            <w:left w:w="0" w:type="dxa"/>
            <w:bottom w:w="0" w:type="dxa"/>
            <w:right w:w="0" w:type="dxa"/>
          </w:tblCellMar>
        </w:tblPrEx>
        <w:trPr>
          <w:wBefore w:w="0" w:type="auto"/>
          <w:tblCellSpacing w:w="0" w:type="dxa"/>
        </w:trPr>
        <w:tc>
          <w:tcPr>
            <w:tcW w:w="0" w:type="auto"/>
            <w:noWrap w:val="0"/>
            <w:vAlign w:val="center"/>
          </w:tcPr>
          <w:p w14:paraId="0A37DDEE">
            <w:r>
              <w:rPr>
                <w:rStyle w:val="10"/>
                <w:rFonts w:hint="eastAsia"/>
              </w:rPr>
              <w:t>登记证号：</w:t>
            </w:r>
            <w:r>
              <w:rPr>
                <w:rFonts w:hint="eastAsia"/>
              </w:rPr>
              <w:t>PD20212652</w:t>
            </w:r>
          </w:p>
        </w:tc>
      </w:tr>
      <w:tr w14:paraId="1586EBD8">
        <w:tblPrEx>
          <w:tblCellMar>
            <w:top w:w="0" w:type="dxa"/>
            <w:left w:w="0" w:type="dxa"/>
            <w:bottom w:w="0" w:type="dxa"/>
            <w:right w:w="0" w:type="dxa"/>
          </w:tblCellMar>
        </w:tblPrEx>
        <w:trPr>
          <w:wBefore w:w="0" w:type="auto"/>
          <w:tblCellSpacing w:w="0" w:type="dxa"/>
        </w:trPr>
        <w:tc>
          <w:tcPr>
            <w:tcW w:w="0" w:type="auto"/>
            <w:noWrap w:val="0"/>
            <w:vAlign w:val="center"/>
          </w:tcPr>
          <w:p w14:paraId="496CB086">
            <w:r>
              <w:rPr>
                <w:rStyle w:val="10"/>
                <w:rFonts w:hint="eastAsia"/>
              </w:rPr>
              <w:t>登记证持有人：</w:t>
            </w:r>
            <w:r>
              <w:rPr>
                <w:rFonts w:hint="eastAsia"/>
              </w:rPr>
              <w:t>黑龙江绿丰源生物科技有限公司</w:t>
            </w:r>
          </w:p>
        </w:tc>
      </w:tr>
      <w:tr w14:paraId="67B0E57A">
        <w:tblPrEx>
          <w:tblCellMar>
            <w:top w:w="0" w:type="dxa"/>
            <w:left w:w="0" w:type="dxa"/>
            <w:bottom w:w="0" w:type="dxa"/>
            <w:right w:w="0" w:type="dxa"/>
          </w:tblCellMar>
        </w:tblPrEx>
        <w:trPr>
          <w:wBefore w:w="0" w:type="auto"/>
          <w:tblCellSpacing w:w="0" w:type="dxa"/>
        </w:trPr>
        <w:tc>
          <w:tcPr>
            <w:tcW w:w="0" w:type="auto"/>
            <w:noWrap w:val="0"/>
            <w:vAlign w:val="center"/>
          </w:tcPr>
          <w:p w14:paraId="45DFB428">
            <w:r>
              <w:rPr>
                <w:rStyle w:val="10"/>
                <w:rFonts w:hint="eastAsia"/>
              </w:rPr>
              <w:t>农药名称：</w:t>
            </w:r>
            <w:r>
              <w:rPr>
                <w:rFonts w:hint="eastAsia"/>
              </w:rPr>
              <w:t>氟噻草胺</w:t>
            </w:r>
          </w:p>
        </w:tc>
      </w:tr>
      <w:tr w14:paraId="124591BA">
        <w:tblPrEx>
          <w:tblCellMar>
            <w:top w:w="0" w:type="dxa"/>
            <w:left w:w="0" w:type="dxa"/>
            <w:bottom w:w="0" w:type="dxa"/>
            <w:right w:w="0" w:type="dxa"/>
          </w:tblCellMar>
        </w:tblPrEx>
        <w:trPr>
          <w:wBefore w:w="0" w:type="auto"/>
          <w:tblCellSpacing w:w="0" w:type="dxa"/>
        </w:trPr>
        <w:tc>
          <w:tcPr>
            <w:tcW w:w="0" w:type="auto"/>
            <w:noWrap w:val="0"/>
            <w:vAlign w:val="center"/>
          </w:tcPr>
          <w:p w14:paraId="5E88A742">
            <w:r>
              <w:rPr>
                <w:rStyle w:val="10"/>
                <w:rFonts w:hint="eastAsia"/>
              </w:rPr>
              <w:t>剂型：</w:t>
            </w:r>
            <w:r>
              <w:rPr>
                <w:rFonts w:hint="eastAsia"/>
              </w:rPr>
              <w:t>悬浮剂</w:t>
            </w:r>
          </w:p>
        </w:tc>
      </w:tr>
      <w:tr w14:paraId="697AB576">
        <w:tblPrEx>
          <w:tblCellMar>
            <w:top w:w="0" w:type="dxa"/>
            <w:left w:w="0" w:type="dxa"/>
            <w:bottom w:w="0" w:type="dxa"/>
            <w:right w:w="0" w:type="dxa"/>
          </w:tblCellMar>
        </w:tblPrEx>
        <w:trPr>
          <w:wBefore w:w="0" w:type="auto"/>
          <w:tblCellSpacing w:w="0" w:type="dxa"/>
        </w:trPr>
        <w:tc>
          <w:tcPr>
            <w:tcW w:w="0" w:type="auto"/>
            <w:noWrap w:val="0"/>
            <w:vAlign w:val="center"/>
          </w:tcPr>
          <w:p w14:paraId="7825AEC7">
            <w:r>
              <w:rPr>
                <w:rStyle w:val="10"/>
                <w:rFonts w:hint="eastAsia"/>
              </w:rPr>
              <w:t>毒性及其标识：</w:t>
            </w:r>
            <w:r>
              <w:rPr>
                <w:rFonts w:hint="eastAsia"/>
              </w:rPr>
              <w:t xml:space="preserve"> </w:t>
            </w:r>
            <w:r>
              <w:rPr>
                <w:lang/>
              </w:rPr>
              <w:drawing>
                <wp:inline distT="0" distB="0" distL="114300" distR="114300">
                  <wp:extent cx="476250" cy="323850"/>
                  <wp:effectExtent l="0" t="0" r="0" b="0"/>
                  <wp:docPr id="15" name="图片 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43D7F3">
        <w:tblPrEx>
          <w:tblCellMar>
            <w:top w:w="0" w:type="dxa"/>
            <w:left w:w="0" w:type="dxa"/>
            <w:bottom w:w="0" w:type="dxa"/>
            <w:right w:w="0" w:type="dxa"/>
          </w:tblCellMar>
        </w:tblPrEx>
        <w:trPr>
          <w:wBefore w:w="0" w:type="auto"/>
          <w:tblCellSpacing w:w="0" w:type="dxa"/>
        </w:trPr>
        <w:tc>
          <w:tcPr>
            <w:tcW w:w="0" w:type="auto"/>
            <w:noWrap w:val="0"/>
            <w:vAlign w:val="center"/>
          </w:tcPr>
          <w:p w14:paraId="30E38731">
            <w:r>
              <w:rPr>
                <w:rStyle w:val="10"/>
                <w:rFonts w:hint="eastAsia"/>
              </w:rPr>
              <w:t>总有效成分含量：</w:t>
            </w:r>
            <w:r>
              <w:rPr>
                <w:rFonts w:hint="eastAsia"/>
              </w:rPr>
              <w:t>41%</w:t>
            </w:r>
          </w:p>
        </w:tc>
      </w:tr>
      <w:tr w14:paraId="23EF33F9">
        <w:tblPrEx>
          <w:tblCellMar>
            <w:top w:w="0" w:type="dxa"/>
            <w:left w:w="0" w:type="dxa"/>
            <w:bottom w:w="0" w:type="dxa"/>
            <w:right w:w="0" w:type="dxa"/>
          </w:tblCellMar>
        </w:tblPrEx>
        <w:trPr>
          <w:wBefore w:w="0" w:type="auto"/>
          <w:tblCellSpacing w:w="0" w:type="dxa"/>
        </w:trPr>
        <w:tc>
          <w:tcPr>
            <w:tcW w:w="0" w:type="auto"/>
            <w:noWrap w:val="0"/>
            <w:vAlign w:val="center"/>
          </w:tcPr>
          <w:p w14:paraId="2B2A368E">
            <w:r>
              <w:rPr>
                <w:rFonts w:hint="eastAsia"/>
              </w:rPr>
              <w:t xml:space="preserve">有效成分及其含量： </w:t>
            </w:r>
          </w:p>
          <w:p w14:paraId="631C0FF5">
            <w:r>
              <w:rPr>
                <w:rFonts w:hint="eastAsia"/>
              </w:rPr>
              <w:t xml:space="preserve">    氟噻草胺41%    </w:t>
            </w:r>
          </w:p>
        </w:tc>
      </w:tr>
      <w:tr w14:paraId="43B2AA63">
        <w:tblPrEx>
          <w:tblCellMar>
            <w:top w:w="0" w:type="dxa"/>
            <w:left w:w="0" w:type="dxa"/>
            <w:bottom w:w="0" w:type="dxa"/>
            <w:right w:w="0" w:type="dxa"/>
          </w:tblCellMar>
        </w:tblPrEx>
        <w:trPr>
          <w:wBefore w:w="0" w:type="auto"/>
          <w:tblCellSpacing w:w="0" w:type="dxa"/>
        </w:trPr>
        <w:tc>
          <w:tcPr>
            <w:tcW w:w="0" w:type="auto"/>
            <w:noWrap w:val="0"/>
            <w:vAlign w:val="center"/>
          </w:tcPr>
          <w:p w14:paraId="48C2D2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EBE6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5ED9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39A0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0FA58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1FF285">
                  <w:r>
                    <w:rPr>
                      <w:rStyle w:val="11"/>
                      <w:rFonts w:hint="eastAsia"/>
                    </w:rPr>
                    <w:t>施用方式</w:t>
                  </w:r>
                </w:p>
              </w:tc>
            </w:tr>
            <w:tr w14:paraId="3E1AA5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BF901E">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AF49E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637AA2">
                  <w:r>
                    <w:rPr>
                      <w:rStyle w:val="11"/>
                      <w:rFonts w:hint="eastAsia"/>
                    </w:rPr>
                    <w:t>133-160毫升/亩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95584D">
                  <w:r>
                    <w:rPr>
                      <w:rStyle w:val="11"/>
                      <w:rFonts w:hint="eastAsia"/>
                    </w:rPr>
                    <w:t>土壤喷雾</w:t>
                  </w:r>
                </w:p>
              </w:tc>
            </w:tr>
          </w:tbl>
          <w:p w14:paraId="4316A866">
            <w:pPr>
              <w:rPr>
                <w:rFonts w:ascii="Times New Roman" w:hAnsi="Times New Roman" w:cs="Times New Roman"/>
                <w:sz w:val="20"/>
                <w:szCs w:val="20"/>
              </w:rPr>
            </w:pPr>
          </w:p>
        </w:tc>
      </w:tr>
      <w:tr w14:paraId="5D827D64">
        <w:tblPrEx>
          <w:tblCellMar>
            <w:top w:w="0" w:type="dxa"/>
            <w:left w:w="0" w:type="dxa"/>
            <w:bottom w:w="0" w:type="dxa"/>
            <w:right w:w="0" w:type="dxa"/>
          </w:tblCellMar>
        </w:tblPrEx>
        <w:trPr>
          <w:wBefore w:w="0" w:type="auto"/>
          <w:tblCellSpacing w:w="0" w:type="dxa"/>
        </w:trPr>
        <w:tc>
          <w:tcPr>
            <w:tcW w:w="0" w:type="auto"/>
            <w:noWrap w:val="0"/>
            <w:vAlign w:val="center"/>
          </w:tcPr>
          <w:p w14:paraId="4785D450">
            <w:r>
              <w:rPr>
                <w:rStyle w:val="10"/>
                <w:rFonts w:hint="eastAsia"/>
              </w:rPr>
              <w:t>使用技术要求:</w:t>
            </w:r>
            <w:r>
              <w:rPr>
                <w:rFonts w:hint="eastAsia"/>
              </w:rPr>
              <w:br w:type="textWrapping"/>
            </w:r>
            <w:r>
              <w:rPr>
                <w:rStyle w:val="11"/>
                <w:rFonts w:hint="eastAsia"/>
              </w:rPr>
              <w:t>于玉米播后苗前土壤喷雾施药处理。每季最多使用1次</w:t>
            </w:r>
          </w:p>
        </w:tc>
      </w:tr>
      <w:tr w14:paraId="50623490">
        <w:tblPrEx>
          <w:tblCellMar>
            <w:top w:w="0" w:type="dxa"/>
            <w:left w:w="0" w:type="dxa"/>
            <w:bottom w:w="0" w:type="dxa"/>
            <w:right w:w="0" w:type="dxa"/>
          </w:tblCellMar>
        </w:tblPrEx>
        <w:trPr>
          <w:wBefore w:w="0" w:type="auto"/>
          <w:tblCellSpacing w:w="0" w:type="dxa"/>
        </w:trPr>
        <w:tc>
          <w:tcPr>
            <w:tcW w:w="0" w:type="auto"/>
            <w:noWrap w:val="0"/>
            <w:vAlign w:val="center"/>
          </w:tcPr>
          <w:p w14:paraId="4455547B">
            <w:r>
              <w:rPr>
                <w:rStyle w:val="10"/>
                <w:rFonts w:hint="eastAsia"/>
              </w:rPr>
              <w:t>产品性能:</w:t>
            </w:r>
            <w:r>
              <w:rPr>
                <w:rFonts w:hint="eastAsia"/>
              </w:rPr>
              <w:br w:type="textWrapping"/>
            </w:r>
            <w:r>
              <w:rPr>
                <w:rStyle w:val="11"/>
                <w:rFonts w:hint="eastAsia"/>
              </w:rPr>
              <w:t>本品属芳氧乙酰胺类化合物，细胞分裂和生长抑制剂，选择性除草剂。可有效防除玉米田里的一年生杂草如狗尾草、稗草、马唐等，以及冬小麦田里的一年生杂草如菵草、看麦娘、日本看麦娘、硬草等，对阔叶杂草也具有一定的抑制作用。</w:t>
            </w:r>
          </w:p>
        </w:tc>
      </w:tr>
      <w:tr w14:paraId="25D4EF41">
        <w:tblPrEx>
          <w:tblCellMar>
            <w:top w:w="0" w:type="dxa"/>
            <w:left w:w="0" w:type="dxa"/>
            <w:bottom w:w="0" w:type="dxa"/>
            <w:right w:w="0" w:type="dxa"/>
          </w:tblCellMar>
        </w:tblPrEx>
        <w:trPr>
          <w:wBefore w:w="0" w:type="auto"/>
          <w:tblCellSpacing w:w="0" w:type="dxa"/>
        </w:trPr>
        <w:tc>
          <w:tcPr>
            <w:tcW w:w="0" w:type="auto"/>
            <w:noWrap w:val="0"/>
            <w:vAlign w:val="center"/>
          </w:tcPr>
          <w:p w14:paraId="679DC779">
            <w:r>
              <w:rPr>
                <w:rStyle w:val="10"/>
                <w:rFonts w:hint="eastAsia"/>
              </w:rPr>
              <w:t>注意事项：</w:t>
            </w:r>
            <w:r>
              <w:rPr>
                <w:rFonts w:hint="eastAsia"/>
              </w:rPr>
              <w:br w:type="textWrapping"/>
            </w:r>
            <w:r>
              <w:rPr>
                <w:rStyle w:val="11"/>
                <w:rFonts w:hint="eastAsia"/>
              </w:rPr>
              <w:t>1、药剂配制采用两次稀释，充分混合，本品严禁加洗衣粉等助剂；2、使用本品时应穿戴长衣、长裤、帽子、口罩、手套等防护措施。应避免药液接触皮肤和眼睛等身体部位；3、操作本品时应禁止饮食、吸烟和饮水等。施药后应及时洗澡，清洗防护用具和衣物等；4、药后须及时彻底清洗药械，空包装应三次清洗并压烂或划破后妥善处理，切勿重复使用或它用。5、本品对藻类水生生物有毒，废液和清洗液不得倒入池塘、湖泊等任何水体中；禁止在河塘等水域清洗施药器具。远离水产养殖区、河塘等水体施药。鸟类保护区附近禁用； 地下水、饮用水水源地附近禁用。6、孕妇及哺乳期妇女避免接触本品。</w:t>
            </w:r>
          </w:p>
        </w:tc>
      </w:tr>
      <w:tr w14:paraId="35B6EBED">
        <w:tblPrEx>
          <w:tblCellMar>
            <w:top w:w="0" w:type="dxa"/>
            <w:left w:w="0" w:type="dxa"/>
            <w:bottom w:w="0" w:type="dxa"/>
            <w:right w:w="0" w:type="dxa"/>
          </w:tblCellMar>
        </w:tblPrEx>
        <w:trPr>
          <w:wBefore w:w="0" w:type="auto"/>
          <w:tblCellSpacing w:w="0" w:type="dxa"/>
        </w:trPr>
        <w:tc>
          <w:tcPr>
            <w:tcW w:w="0" w:type="auto"/>
            <w:noWrap w:val="0"/>
            <w:vAlign w:val="center"/>
          </w:tcPr>
          <w:p w14:paraId="6EB0D8F2">
            <w:r>
              <w:rPr>
                <w:rStyle w:val="10"/>
                <w:rFonts w:hint="eastAsia"/>
              </w:rPr>
              <w:t>中毒急救措施：</w:t>
            </w:r>
            <w:r>
              <w:rPr>
                <w:rFonts w:hint="eastAsia"/>
              </w:rPr>
              <w:br w:type="textWrapping"/>
            </w:r>
            <w:r>
              <w:rPr>
                <w:rStyle w:val="11"/>
                <w:rFonts w:hint="eastAsia"/>
              </w:rPr>
              <w:t>该产品对眼睛有刺激性，使用时避免接触眼睛。 皮肤接触：脱掉污染衣物，用肥皂和清水清洗皮肤触药部位。如仍不适，请就医。眼睛接触：立即将眼睑翻开用大量清水缓慢冲洗至少15分钟。如仍不适，请就医。吸入：立即将病人转移至空气流通处，如果呼吸困难或者其他不适，请立即就医。误服：可给患者饮用1-2杯清水。请勿给意识不清的病人喂食任何东西。也不要催吐，除非医生告知需要催吐。</w:t>
            </w:r>
          </w:p>
        </w:tc>
      </w:tr>
      <w:tr w14:paraId="0F3BF6EE">
        <w:tblPrEx>
          <w:tblCellMar>
            <w:top w:w="0" w:type="dxa"/>
            <w:left w:w="0" w:type="dxa"/>
            <w:bottom w:w="0" w:type="dxa"/>
            <w:right w:w="0" w:type="dxa"/>
          </w:tblCellMar>
        </w:tblPrEx>
        <w:trPr>
          <w:wBefore w:w="0" w:type="auto"/>
          <w:tblCellSpacing w:w="0" w:type="dxa"/>
        </w:trPr>
        <w:tc>
          <w:tcPr>
            <w:tcW w:w="0" w:type="auto"/>
            <w:noWrap w:val="0"/>
            <w:vAlign w:val="center"/>
          </w:tcPr>
          <w:p w14:paraId="6BF3C886">
            <w:r>
              <w:rPr>
                <w:rStyle w:val="10"/>
                <w:rFonts w:hint="eastAsia"/>
              </w:rPr>
              <w:t>储存和运输方法：</w:t>
            </w:r>
            <w:r>
              <w:rPr>
                <w:rFonts w:hint="eastAsia"/>
              </w:rPr>
              <w:br w:type="textWrapping"/>
            </w:r>
            <w:r>
              <w:rPr>
                <w:rStyle w:val="11"/>
                <w:rFonts w:hint="eastAsia"/>
              </w:rPr>
              <w:t>1、本品只可存放于原包装中；2、本品应密封贮存于干燥、阴凉、通风、防雨处，远离火源和热源；3、存放于儿童及无关人员接触不到之处，并加锁；4、勿与食品、饮料、粮食、饲料等同贮同运。贮运时堆放不得超过规定，注意轻拿轻放，以免损坏包装，导致产品泄露。</w:t>
            </w:r>
          </w:p>
        </w:tc>
      </w:tr>
      <w:tr w14:paraId="0D97DA4A">
        <w:tblPrEx>
          <w:tblCellMar>
            <w:top w:w="0" w:type="dxa"/>
            <w:left w:w="0" w:type="dxa"/>
            <w:bottom w:w="0" w:type="dxa"/>
            <w:right w:w="0" w:type="dxa"/>
          </w:tblCellMar>
        </w:tblPrEx>
        <w:trPr>
          <w:wBefore w:w="0" w:type="auto"/>
          <w:tblCellSpacing w:w="0" w:type="dxa"/>
        </w:trPr>
        <w:tc>
          <w:tcPr>
            <w:tcW w:w="0" w:type="auto"/>
            <w:noWrap w:val="0"/>
            <w:vAlign w:val="center"/>
          </w:tcPr>
          <w:p w14:paraId="00FA37F3">
            <w:r>
              <w:rPr>
                <w:rStyle w:val="10"/>
                <w:rFonts w:hint="eastAsia"/>
              </w:rPr>
              <w:t>质量保证期：</w:t>
            </w:r>
            <w:r>
              <w:rPr>
                <w:rStyle w:val="11"/>
                <w:rFonts w:hint="eastAsia"/>
              </w:rPr>
              <w:t>2年</w:t>
            </w:r>
          </w:p>
        </w:tc>
      </w:tr>
      <w:tr w14:paraId="4ADEFD2A">
        <w:tblPrEx>
          <w:tblCellMar>
            <w:top w:w="0" w:type="dxa"/>
            <w:left w:w="0" w:type="dxa"/>
            <w:bottom w:w="0" w:type="dxa"/>
            <w:right w:w="0" w:type="dxa"/>
          </w:tblCellMar>
        </w:tblPrEx>
        <w:trPr>
          <w:wBefore w:w="0" w:type="auto"/>
          <w:tblCellSpacing w:w="0" w:type="dxa"/>
        </w:trPr>
        <w:tc>
          <w:tcPr>
            <w:tcW w:w="0" w:type="auto"/>
            <w:noWrap w:val="0"/>
            <w:vAlign w:val="center"/>
          </w:tcPr>
          <w:p w14:paraId="46755BAC">
            <w:r>
              <w:rPr>
                <w:rStyle w:val="10"/>
                <w:rFonts w:hint="eastAsia"/>
              </w:rPr>
              <w:t>备注：</w:t>
            </w:r>
          </w:p>
        </w:tc>
      </w:tr>
    </w:tbl>
    <w:p w14:paraId="4C7BCA5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2CC319">
        <w:tblPrEx>
          <w:tblCellMar>
            <w:top w:w="0" w:type="dxa"/>
            <w:left w:w="0" w:type="dxa"/>
            <w:bottom w:w="0" w:type="dxa"/>
            <w:right w:w="0" w:type="dxa"/>
          </w:tblCellMar>
        </w:tblPrEx>
        <w:trPr>
          <w:wBefore w:w="0" w:type="auto"/>
          <w:tblCellSpacing w:w="0" w:type="dxa"/>
        </w:trPr>
        <w:tc>
          <w:tcPr>
            <w:tcW w:w="0" w:type="auto"/>
            <w:noWrap w:val="0"/>
            <w:vAlign w:val="center"/>
          </w:tcPr>
          <w:p w14:paraId="19C086A1">
            <w:r>
              <w:rPr>
                <w:rStyle w:val="10"/>
                <w:rFonts w:hint="eastAsia"/>
              </w:rPr>
              <w:t>登记证号：</w:t>
            </w:r>
            <w:r>
              <w:rPr>
                <w:rFonts w:hint="eastAsia"/>
              </w:rPr>
              <w:t>PD20212688</w:t>
            </w:r>
          </w:p>
        </w:tc>
      </w:tr>
      <w:tr w14:paraId="701A4CFC">
        <w:tblPrEx>
          <w:tblCellMar>
            <w:top w:w="0" w:type="dxa"/>
            <w:left w:w="0" w:type="dxa"/>
            <w:bottom w:w="0" w:type="dxa"/>
            <w:right w:w="0" w:type="dxa"/>
          </w:tblCellMar>
        </w:tblPrEx>
        <w:trPr>
          <w:wBefore w:w="0" w:type="auto"/>
          <w:tblCellSpacing w:w="0" w:type="dxa"/>
        </w:trPr>
        <w:tc>
          <w:tcPr>
            <w:tcW w:w="0" w:type="auto"/>
            <w:noWrap w:val="0"/>
            <w:vAlign w:val="center"/>
          </w:tcPr>
          <w:p w14:paraId="477434F1">
            <w:r>
              <w:rPr>
                <w:rStyle w:val="10"/>
                <w:rFonts w:hint="eastAsia"/>
              </w:rPr>
              <w:t>登记证持有人：</w:t>
            </w:r>
            <w:r>
              <w:rPr>
                <w:rFonts w:hint="eastAsia"/>
              </w:rPr>
              <w:t>北京富力特农业科技有限责任公司</w:t>
            </w:r>
          </w:p>
        </w:tc>
      </w:tr>
      <w:tr w14:paraId="09C94CCD">
        <w:tblPrEx>
          <w:tblCellMar>
            <w:top w:w="0" w:type="dxa"/>
            <w:left w:w="0" w:type="dxa"/>
            <w:bottom w:w="0" w:type="dxa"/>
            <w:right w:w="0" w:type="dxa"/>
          </w:tblCellMar>
        </w:tblPrEx>
        <w:trPr>
          <w:wBefore w:w="0" w:type="auto"/>
          <w:tblCellSpacing w:w="0" w:type="dxa"/>
        </w:trPr>
        <w:tc>
          <w:tcPr>
            <w:tcW w:w="0" w:type="auto"/>
            <w:noWrap w:val="0"/>
            <w:vAlign w:val="center"/>
          </w:tcPr>
          <w:p w14:paraId="4194E938">
            <w:r>
              <w:rPr>
                <w:rStyle w:val="10"/>
                <w:rFonts w:hint="eastAsia"/>
              </w:rPr>
              <w:t>农药名称：</w:t>
            </w:r>
            <w:r>
              <w:rPr>
                <w:rFonts w:hint="eastAsia"/>
              </w:rPr>
              <w:t>王铜</w:t>
            </w:r>
          </w:p>
        </w:tc>
      </w:tr>
      <w:tr w14:paraId="69F3CDFB">
        <w:tblPrEx>
          <w:tblCellMar>
            <w:top w:w="0" w:type="dxa"/>
            <w:left w:w="0" w:type="dxa"/>
            <w:bottom w:w="0" w:type="dxa"/>
            <w:right w:w="0" w:type="dxa"/>
          </w:tblCellMar>
        </w:tblPrEx>
        <w:trPr>
          <w:wBefore w:w="0" w:type="auto"/>
          <w:tblCellSpacing w:w="0" w:type="dxa"/>
        </w:trPr>
        <w:tc>
          <w:tcPr>
            <w:tcW w:w="0" w:type="auto"/>
            <w:noWrap w:val="0"/>
            <w:vAlign w:val="center"/>
          </w:tcPr>
          <w:p w14:paraId="3FF79248">
            <w:r>
              <w:rPr>
                <w:rStyle w:val="10"/>
                <w:rFonts w:hint="eastAsia"/>
              </w:rPr>
              <w:t>剂型：</w:t>
            </w:r>
            <w:r>
              <w:rPr>
                <w:rFonts w:hint="eastAsia"/>
              </w:rPr>
              <w:t>悬浮剂</w:t>
            </w:r>
          </w:p>
        </w:tc>
      </w:tr>
      <w:tr w14:paraId="4C9A44A3">
        <w:tblPrEx>
          <w:tblCellMar>
            <w:top w:w="0" w:type="dxa"/>
            <w:left w:w="0" w:type="dxa"/>
            <w:bottom w:w="0" w:type="dxa"/>
            <w:right w:w="0" w:type="dxa"/>
          </w:tblCellMar>
        </w:tblPrEx>
        <w:trPr>
          <w:wBefore w:w="0" w:type="auto"/>
          <w:tblCellSpacing w:w="0" w:type="dxa"/>
        </w:trPr>
        <w:tc>
          <w:tcPr>
            <w:tcW w:w="0" w:type="auto"/>
            <w:noWrap w:val="0"/>
            <w:vAlign w:val="center"/>
          </w:tcPr>
          <w:p w14:paraId="62E9DE56">
            <w:r>
              <w:rPr>
                <w:rStyle w:val="10"/>
                <w:rFonts w:hint="eastAsia"/>
              </w:rPr>
              <w:t>毒性及其标识：</w:t>
            </w:r>
            <w:r>
              <w:rPr>
                <w:rFonts w:hint="eastAsia"/>
              </w:rPr>
              <w:t xml:space="preserve"> </w:t>
            </w:r>
            <w:r>
              <w:rPr>
                <w:lang/>
              </w:rPr>
              <w:drawing>
                <wp:inline distT="0" distB="0" distL="114300" distR="114300">
                  <wp:extent cx="476250" cy="323850"/>
                  <wp:effectExtent l="0" t="0" r="0" b="0"/>
                  <wp:docPr id="16" name="图片 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2AC912">
        <w:tblPrEx>
          <w:tblCellMar>
            <w:top w:w="0" w:type="dxa"/>
            <w:left w:w="0" w:type="dxa"/>
            <w:bottom w:w="0" w:type="dxa"/>
            <w:right w:w="0" w:type="dxa"/>
          </w:tblCellMar>
        </w:tblPrEx>
        <w:trPr>
          <w:wBefore w:w="0" w:type="auto"/>
          <w:tblCellSpacing w:w="0" w:type="dxa"/>
        </w:trPr>
        <w:tc>
          <w:tcPr>
            <w:tcW w:w="0" w:type="auto"/>
            <w:noWrap w:val="0"/>
            <w:vAlign w:val="center"/>
          </w:tcPr>
          <w:p w14:paraId="392998CB">
            <w:r>
              <w:rPr>
                <w:rStyle w:val="10"/>
                <w:rFonts w:hint="eastAsia"/>
              </w:rPr>
              <w:t>总有效成分含量：</w:t>
            </w:r>
            <w:r>
              <w:rPr>
                <w:rFonts w:hint="eastAsia"/>
              </w:rPr>
              <w:t>35%</w:t>
            </w:r>
          </w:p>
        </w:tc>
      </w:tr>
      <w:tr w14:paraId="1F096437">
        <w:tblPrEx>
          <w:tblCellMar>
            <w:top w:w="0" w:type="dxa"/>
            <w:left w:w="0" w:type="dxa"/>
            <w:bottom w:w="0" w:type="dxa"/>
            <w:right w:w="0" w:type="dxa"/>
          </w:tblCellMar>
        </w:tblPrEx>
        <w:trPr>
          <w:wBefore w:w="0" w:type="auto"/>
          <w:tblCellSpacing w:w="0" w:type="dxa"/>
        </w:trPr>
        <w:tc>
          <w:tcPr>
            <w:tcW w:w="0" w:type="auto"/>
            <w:noWrap w:val="0"/>
            <w:vAlign w:val="center"/>
          </w:tcPr>
          <w:p w14:paraId="782A3522">
            <w:r>
              <w:rPr>
                <w:rFonts w:hint="eastAsia"/>
              </w:rPr>
              <w:t xml:space="preserve">有效成分及其含量： </w:t>
            </w:r>
          </w:p>
          <w:p w14:paraId="6C3D65B7">
            <w:r>
              <w:rPr>
                <w:rFonts w:hint="eastAsia"/>
              </w:rPr>
              <w:t xml:space="preserve">    王铜35%    </w:t>
            </w:r>
          </w:p>
        </w:tc>
      </w:tr>
      <w:tr w14:paraId="1AF09B03">
        <w:tblPrEx>
          <w:tblCellMar>
            <w:top w:w="0" w:type="dxa"/>
            <w:left w:w="0" w:type="dxa"/>
            <w:bottom w:w="0" w:type="dxa"/>
            <w:right w:w="0" w:type="dxa"/>
          </w:tblCellMar>
        </w:tblPrEx>
        <w:trPr>
          <w:wBefore w:w="0" w:type="auto"/>
          <w:tblCellSpacing w:w="0" w:type="dxa"/>
        </w:trPr>
        <w:tc>
          <w:tcPr>
            <w:tcW w:w="0" w:type="auto"/>
            <w:noWrap w:val="0"/>
            <w:vAlign w:val="center"/>
          </w:tcPr>
          <w:p w14:paraId="4544704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03BF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2529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90ED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9BB4B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FC49AC">
                  <w:r>
                    <w:rPr>
                      <w:rStyle w:val="11"/>
                      <w:rFonts w:hint="eastAsia"/>
                    </w:rPr>
                    <w:t>施用方式</w:t>
                  </w:r>
                </w:p>
              </w:tc>
            </w:tr>
            <w:tr w14:paraId="68E486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A7642D">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4DB4B6">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C18600">
                  <w:r>
                    <w:rPr>
                      <w:rStyle w:val="11"/>
                      <w:rFonts w:hint="eastAsia"/>
                    </w:rPr>
                    <w:t>700-900倍液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C50F41">
                  <w:r>
                    <w:rPr>
                      <w:rStyle w:val="11"/>
                      <w:rFonts w:hint="eastAsia"/>
                    </w:rPr>
                    <w:t>喷雾</w:t>
                  </w:r>
                </w:p>
              </w:tc>
            </w:tr>
          </w:tbl>
          <w:p w14:paraId="1A4AFBB3">
            <w:pPr>
              <w:rPr>
                <w:rFonts w:ascii="Times New Roman" w:hAnsi="Times New Roman" w:cs="Times New Roman"/>
                <w:sz w:val="20"/>
                <w:szCs w:val="20"/>
              </w:rPr>
            </w:pPr>
          </w:p>
        </w:tc>
      </w:tr>
      <w:tr w14:paraId="7CA8A4A1">
        <w:tblPrEx>
          <w:tblCellMar>
            <w:top w:w="0" w:type="dxa"/>
            <w:left w:w="0" w:type="dxa"/>
            <w:bottom w:w="0" w:type="dxa"/>
            <w:right w:w="0" w:type="dxa"/>
          </w:tblCellMar>
        </w:tblPrEx>
        <w:trPr>
          <w:wBefore w:w="0" w:type="auto"/>
          <w:tblCellSpacing w:w="0" w:type="dxa"/>
        </w:trPr>
        <w:tc>
          <w:tcPr>
            <w:tcW w:w="0" w:type="auto"/>
            <w:noWrap w:val="0"/>
            <w:vAlign w:val="center"/>
          </w:tcPr>
          <w:p w14:paraId="5674156C">
            <w:r>
              <w:rPr>
                <w:rStyle w:val="10"/>
                <w:rFonts w:hint="eastAsia"/>
              </w:rPr>
              <w:t>使用技术要求:</w:t>
            </w:r>
            <w:r>
              <w:rPr>
                <w:rFonts w:hint="eastAsia"/>
              </w:rPr>
              <w:br w:type="textWrapping"/>
            </w:r>
            <w:r>
              <w:rPr>
                <w:rStyle w:val="11"/>
                <w:rFonts w:hint="eastAsia"/>
              </w:rPr>
              <w:t>1、防治柑橘树溃疡病，于发病前或发病初期开始施药。病情较严重时，每隔7天施药1次，连施2-3次。均匀喷雾。 2、喷药时，药液于树冠内膛，叶片正背面及果实等处应喷洒均匀，避免漏喷。 3、避免在高温高湿条件下施药，否则易出现药害。</w:t>
            </w:r>
          </w:p>
        </w:tc>
      </w:tr>
      <w:tr w14:paraId="708DB43F">
        <w:tblPrEx>
          <w:tblCellMar>
            <w:top w:w="0" w:type="dxa"/>
            <w:left w:w="0" w:type="dxa"/>
            <w:bottom w:w="0" w:type="dxa"/>
            <w:right w:w="0" w:type="dxa"/>
          </w:tblCellMar>
        </w:tblPrEx>
        <w:trPr>
          <w:wBefore w:w="0" w:type="auto"/>
          <w:tblCellSpacing w:w="0" w:type="dxa"/>
        </w:trPr>
        <w:tc>
          <w:tcPr>
            <w:tcW w:w="0" w:type="auto"/>
            <w:noWrap w:val="0"/>
            <w:vAlign w:val="center"/>
          </w:tcPr>
          <w:p w14:paraId="7B5482F4">
            <w:r>
              <w:rPr>
                <w:rStyle w:val="10"/>
                <w:rFonts w:hint="eastAsia"/>
              </w:rPr>
              <w:t>产品性能:</w:t>
            </w:r>
            <w:r>
              <w:rPr>
                <w:rFonts w:hint="eastAsia"/>
              </w:rPr>
              <w:br w:type="textWrapping"/>
            </w:r>
            <w:r>
              <w:rPr>
                <w:rStyle w:val="11"/>
                <w:rFonts w:hint="eastAsia"/>
              </w:rPr>
              <w:t>王铜为无机铜类杀菌剂。当本品施用于作物表面后，会形成一层保护膜，且在一定湿度条件下，释放出铜离子，能有效防止或隔绝病原体的侵害，起到防病治病作用。对柑橘树溃疡病具有较好防治效果。</w:t>
            </w:r>
          </w:p>
        </w:tc>
      </w:tr>
      <w:tr w14:paraId="297F56C6">
        <w:tblPrEx>
          <w:tblCellMar>
            <w:top w:w="0" w:type="dxa"/>
            <w:left w:w="0" w:type="dxa"/>
            <w:bottom w:w="0" w:type="dxa"/>
            <w:right w:w="0" w:type="dxa"/>
          </w:tblCellMar>
        </w:tblPrEx>
        <w:trPr>
          <w:wBefore w:w="0" w:type="auto"/>
          <w:tblCellSpacing w:w="0" w:type="dxa"/>
        </w:trPr>
        <w:tc>
          <w:tcPr>
            <w:tcW w:w="0" w:type="auto"/>
            <w:noWrap w:val="0"/>
            <w:vAlign w:val="center"/>
          </w:tcPr>
          <w:p w14:paraId="57EEE9F0">
            <w:r>
              <w:rPr>
                <w:rStyle w:val="10"/>
                <w:rFonts w:hint="eastAsia"/>
              </w:rPr>
              <w:t>注意事项：</w:t>
            </w:r>
            <w:r>
              <w:rPr>
                <w:rFonts w:hint="eastAsia"/>
              </w:rPr>
              <w:br w:type="textWrapping"/>
            </w:r>
            <w:r>
              <w:rPr>
                <w:rStyle w:val="11"/>
                <w:rFonts w:hint="eastAsia"/>
              </w:rPr>
              <w:t>1.使用本品前，请充分摇匀，喷洒时请均匀喷雾。 2. 本品对水生生物、蚕和鸟类等均有毒，需远离水产养殖区施药，禁止在河塘等水域清洗施药器具。蚕室及桑园附近禁用；鸟类保护区禁用。3. 使用本品应穿防护服，戴手套，戴口罩，穿胶靴等。避免吸入药液及皮肤接触。施药期间不可饮食、吸烟等，施药后应及时洗手和洗脸及暴露部位的皮肤。 4. 孕妇及哺乳期妇女禁止接触。5.不能与石硫合剂、矿物油、硫磺制剂等物质混用。6.建议与其他作用机制不同的杀菌剂合理轮换使用，避免抗性的发生。7.用过的容器和包装应妥善处理，不可挪作他用，也不可随意丢弃。8.避免与具有氧化性物质接触或混合。</w:t>
            </w:r>
          </w:p>
        </w:tc>
      </w:tr>
      <w:tr w14:paraId="5D0B3370">
        <w:tblPrEx>
          <w:tblCellMar>
            <w:top w:w="0" w:type="dxa"/>
            <w:left w:w="0" w:type="dxa"/>
            <w:bottom w:w="0" w:type="dxa"/>
            <w:right w:w="0" w:type="dxa"/>
          </w:tblCellMar>
        </w:tblPrEx>
        <w:trPr>
          <w:wBefore w:w="0" w:type="auto"/>
          <w:tblCellSpacing w:w="0" w:type="dxa"/>
        </w:trPr>
        <w:tc>
          <w:tcPr>
            <w:tcW w:w="0" w:type="auto"/>
            <w:noWrap w:val="0"/>
            <w:vAlign w:val="center"/>
          </w:tcPr>
          <w:p w14:paraId="3D558573">
            <w:r>
              <w:rPr>
                <w:rStyle w:val="10"/>
                <w:rFonts w:hint="eastAsia"/>
              </w:rPr>
              <w:t>中毒急救措施：</w:t>
            </w:r>
            <w:r>
              <w:rPr>
                <w:rFonts w:hint="eastAsia"/>
              </w:rPr>
              <w:br w:type="textWrapping"/>
            </w:r>
            <w:r>
              <w:rPr>
                <w:rStyle w:val="11"/>
                <w:rFonts w:hint="eastAsia"/>
              </w:rPr>
              <w:t>1.中毒症状：表现为头痛、恶心、呕吐、昏迷等。2.中毒急救：眼睛溅入：立刻用大量流动清水冲洗眼睛15-20分钟，并携此标签去医院诊治，对症治疗。皮肤粘附：脱去被溅到药液的衣服，立即用大量清水冲洗皮肤至少15分钟。误食：不要自行引吐，速携此标签去医院诊治，并配合对症治疗。</w:t>
            </w:r>
          </w:p>
        </w:tc>
      </w:tr>
      <w:tr w14:paraId="0D2B1F43">
        <w:tblPrEx>
          <w:tblCellMar>
            <w:top w:w="0" w:type="dxa"/>
            <w:left w:w="0" w:type="dxa"/>
            <w:bottom w:w="0" w:type="dxa"/>
            <w:right w:w="0" w:type="dxa"/>
          </w:tblCellMar>
        </w:tblPrEx>
        <w:trPr>
          <w:wBefore w:w="0" w:type="auto"/>
          <w:tblCellSpacing w:w="0" w:type="dxa"/>
        </w:trPr>
        <w:tc>
          <w:tcPr>
            <w:tcW w:w="0" w:type="auto"/>
            <w:noWrap w:val="0"/>
            <w:vAlign w:val="center"/>
          </w:tcPr>
          <w:p w14:paraId="5B9A18DB">
            <w:r>
              <w:rPr>
                <w:rStyle w:val="10"/>
                <w:rFonts w:hint="eastAsia"/>
              </w:rPr>
              <w:t>储存和运输方法：</w:t>
            </w:r>
            <w:r>
              <w:rPr>
                <w:rFonts w:hint="eastAsia"/>
              </w:rPr>
              <w:br w:type="textWrapping"/>
            </w:r>
            <w:r>
              <w:rPr>
                <w:rStyle w:val="11"/>
                <w:rFonts w:hint="eastAsia"/>
              </w:rPr>
              <w:t>贮运时，应轻装轻卸，贮存于阴凉、干燥、通风处，严防日晒雨淋，远离热源火源，远离儿童，并加锁保存。禁止与食品、饮料、粮食、饲料、等其他商品同贮同运。</w:t>
            </w:r>
          </w:p>
        </w:tc>
      </w:tr>
      <w:tr w14:paraId="1E2C2635">
        <w:tblPrEx>
          <w:tblCellMar>
            <w:top w:w="0" w:type="dxa"/>
            <w:left w:w="0" w:type="dxa"/>
            <w:bottom w:w="0" w:type="dxa"/>
            <w:right w:w="0" w:type="dxa"/>
          </w:tblCellMar>
        </w:tblPrEx>
        <w:trPr>
          <w:wBefore w:w="0" w:type="auto"/>
          <w:tblCellSpacing w:w="0" w:type="dxa"/>
        </w:trPr>
        <w:tc>
          <w:tcPr>
            <w:tcW w:w="0" w:type="auto"/>
            <w:noWrap w:val="0"/>
            <w:vAlign w:val="center"/>
          </w:tcPr>
          <w:p w14:paraId="0A9D6A6D">
            <w:r>
              <w:rPr>
                <w:rStyle w:val="10"/>
                <w:rFonts w:hint="eastAsia"/>
              </w:rPr>
              <w:t>质量保证期：</w:t>
            </w:r>
            <w:r>
              <w:rPr>
                <w:rStyle w:val="11"/>
                <w:rFonts w:hint="eastAsia"/>
              </w:rPr>
              <w:t>2年</w:t>
            </w:r>
          </w:p>
        </w:tc>
      </w:tr>
      <w:tr w14:paraId="01B239EC">
        <w:tblPrEx>
          <w:tblCellMar>
            <w:top w:w="0" w:type="dxa"/>
            <w:left w:w="0" w:type="dxa"/>
            <w:bottom w:w="0" w:type="dxa"/>
            <w:right w:w="0" w:type="dxa"/>
          </w:tblCellMar>
        </w:tblPrEx>
        <w:trPr>
          <w:wBefore w:w="0" w:type="auto"/>
          <w:tblCellSpacing w:w="0" w:type="dxa"/>
        </w:trPr>
        <w:tc>
          <w:tcPr>
            <w:tcW w:w="0" w:type="auto"/>
            <w:noWrap w:val="0"/>
            <w:vAlign w:val="center"/>
          </w:tcPr>
          <w:p w14:paraId="3F123F21">
            <w:r>
              <w:rPr>
                <w:rStyle w:val="10"/>
                <w:rFonts w:hint="eastAsia"/>
              </w:rPr>
              <w:t>备注：</w:t>
            </w:r>
          </w:p>
        </w:tc>
      </w:tr>
    </w:tbl>
    <w:p w14:paraId="6426AF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64F210">
        <w:tblPrEx>
          <w:tblCellMar>
            <w:top w:w="0" w:type="dxa"/>
            <w:left w:w="0" w:type="dxa"/>
            <w:bottom w:w="0" w:type="dxa"/>
            <w:right w:w="0" w:type="dxa"/>
          </w:tblCellMar>
        </w:tblPrEx>
        <w:trPr>
          <w:wBefore w:w="0" w:type="auto"/>
          <w:tblCellSpacing w:w="0" w:type="dxa"/>
        </w:trPr>
        <w:tc>
          <w:tcPr>
            <w:tcW w:w="0" w:type="auto"/>
            <w:noWrap w:val="0"/>
            <w:vAlign w:val="center"/>
          </w:tcPr>
          <w:p w14:paraId="62427C6E">
            <w:r>
              <w:rPr>
                <w:rStyle w:val="10"/>
                <w:rFonts w:hint="eastAsia"/>
              </w:rPr>
              <w:t>登记证号：</w:t>
            </w:r>
            <w:r>
              <w:rPr>
                <w:rFonts w:hint="eastAsia"/>
              </w:rPr>
              <w:t>PD20212487</w:t>
            </w:r>
          </w:p>
        </w:tc>
      </w:tr>
      <w:tr w14:paraId="219D0CDF">
        <w:tblPrEx>
          <w:tblCellMar>
            <w:top w:w="0" w:type="dxa"/>
            <w:left w:w="0" w:type="dxa"/>
            <w:bottom w:w="0" w:type="dxa"/>
            <w:right w:w="0" w:type="dxa"/>
          </w:tblCellMar>
        </w:tblPrEx>
        <w:trPr>
          <w:wBefore w:w="0" w:type="auto"/>
          <w:tblCellSpacing w:w="0" w:type="dxa"/>
        </w:trPr>
        <w:tc>
          <w:tcPr>
            <w:tcW w:w="0" w:type="auto"/>
            <w:noWrap w:val="0"/>
            <w:vAlign w:val="center"/>
          </w:tcPr>
          <w:p w14:paraId="62973DBA">
            <w:r>
              <w:rPr>
                <w:rStyle w:val="10"/>
                <w:rFonts w:hint="eastAsia"/>
              </w:rPr>
              <w:t>登记证持有人：</w:t>
            </w:r>
            <w:r>
              <w:rPr>
                <w:rFonts w:hint="eastAsia"/>
              </w:rPr>
              <w:t>江苏省农用激素工程技术研究中心有限公司</w:t>
            </w:r>
          </w:p>
        </w:tc>
      </w:tr>
      <w:tr w14:paraId="0E3724A9">
        <w:tblPrEx>
          <w:tblCellMar>
            <w:top w:w="0" w:type="dxa"/>
            <w:left w:w="0" w:type="dxa"/>
            <w:bottom w:w="0" w:type="dxa"/>
            <w:right w:w="0" w:type="dxa"/>
          </w:tblCellMar>
        </w:tblPrEx>
        <w:trPr>
          <w:wBefore w:w="0" w:type="auto"/>
          <w:tblCellSpacing w:w="0" w:type="dxa"/>
        </w:trPr>
        <w:tc>
          <w:tcPr>
            <w:tcW w:w="0" w:type="auto"/>
            <w:noWrap w:val="0"/>
            <w:vAlign w:val="center"/>
          </w:tcPr>
          <w:p w14:paraId="3079E285">
            <w:r>
              <w:rPr>
                <w:rStyle w:val="10"/>
                <w:rFonts w:hint="eastAsia"/>
              </w:rPr>
              <w:t>农药名称：</w:t>
            </w:r>
            <w:r>
              <w:rPr>
                <w:rFonts w:hint="eastAsia"/>
              </w:rPr>
              <w:t>噁嗪草酮</w:t>
            </w:r>
          </w:p>
        </w:tc>
      </w:tr>
      <w:tr w14:paraId="54B8EBB3">
        <w:tblPrEx>
          <w:tblCellMar>
            <w:top w:w="0" w:type="dxa"/>
            <w:left w:w="0" w:type="dxa"/>
            <w:bottom w:w="0" w:type="dxa"/>
            <w:right w:w="0" w:type="dxa"/>
          </w:tblCellMar>
        </w:tblPrEx>
        <w:trPr>
          <w:wBefore w:w="0" w:type="auto"/>
          <w:tblCellSpacing w:w="0" w:type="dxa"/>
        </w:trPr>
        <w:tc>
          <w:tcPr>
            <w:tcW w:w="0" w:type="auto"/>
            <w:noWrap w:val="0"/>
            <w:vAlign w:val="center"/>
          </w:tcPr>
          <w:p w14:paraId="66466B86">
            <w:r>
              <w:rPr>
                <w:rStyle w:val="10"/>
                <w:rFonts w:hint="eastAsia"/>
              </w:rPr>
              <w:t>剂型：</w:t>
            </w:r>
            <w:r>
              <w:rPr>
                <w:rFonts w:hint="eastAsia"/>
              </w:rPr>
              <w:t>悬浮剂</w:t>
            </w:r>
          </w:p>
        </w:tc>
      </w:tr>
      <w:tr w14:paraId="7EB02CAE">
        <w:tblPrEx>
          <w:tblCellMar>
            <w:top w:w="0" w:type="dxa"/>
            <w:left w:w="0" w:type="dxa"/>
            <w:bottom w:w="0" w:type="dxa"/>
            <w:right w:w="0" w:type="dxa"/>
          </w:tblCellMar>
        </w:tblPrEx>
        <w:trPr>
          <w:wBefore w:w="0" w:type="auto"/>
          <w:tblCellSpacing w:w="0" w:type="dxa"/>
        </w:trPr>
        <w:tc>
          <w:tcPr>
            <w:tcW w:w="0" w:type="auto"/>
            <w:noWrap w:val="0"/>
            <w:vAlign w:val="center"/>
          </w:tcPr>
          <w:p w14:paraId="5721CF3B">
            <w:r>
              <w:rPr>
                <w:rStyle w:val="10"/>
                <w:rFonts w:hint="eastAsia"/>
              </w:rPr>
              <w:t>毒性及其标识：</w:t>
            </w:r>
            <w:r>
              <w:rPr>
                <w:rFonts w:hint="eastAsia"/>
              </w:rPr>
              <w:t xml:space="preserve"> </w:t>
            </w:r>
            <w:r>
              <w:rPr>
                <w:lang/>
              </w:rPr>
              <w:drawing>
                <wp:inline distT="0" distB="0" distL="114300" distR="114300">
                  <wp:extent cx="476250" cy="323850"/>
                  <wp:effectExtent l="0" t="0" r="0" b="0"/>
                  <wp:docPr id="17" name="图片 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A835B80">
        <w:tblPrEx>
          <w:tblCellMar>
            <w:top w:w="0" w:type="dxa"/>
            <w:left w:w="0" w:type="dxa"/>
            <w:bottom w:w="0" w:type="dxa"/>
            <w:right w:w="0" w:type="dxa"/>
          </w:tblCellMar>
        </w:tblPrEx>
        <w:trPr>
          <w:wBefore w:w="0" w:type="auto"/>
          <w:tblCellSpacing w:w="0" w:type="dxa"/>
        </w:trPr>
        <w:tc>
          <w:tcPr>
            <w:tcW w:w="0" w:type="auto"/>
            <w:noWrap w:val="0"/>
            <w:vAlign w:val="center"/>
          </w:tcPr>
          <w:p w14:paraId="399E40BF">
            <w:r>
              <w:rPr>
                <w:rStyle w:val="10"/>
                <w:rFonts w:hint="eastAsia"/>
              </w:rPr>
              <w:t>总有效成分含量：</w:t>
            </w:r>
            <w:r>
              <w:rPr>
                <w:rFonts w:hint="eastAsia"/>
              </w:rPr>
              <w:t>30%</w:t>
            </w:r>
          </w:p>
        </w:tc>
      </w:tr>
      <w:tr w14:paraId="3954A6E5">
        <w:tblPrEx>
          <w:tblCellMar>
            <w:top w:w="0" w:type="dxa"/>
            <w:left w:w="0" w:type="dxa"/>
            <w:bottom w:w="0" w:type="dxa"/>
            <w:right w:w="0" w:type="dxa"/>
          </w:tblCellMar>
        </w:tblPrEx>
        <w:trPr>
          <w:wBefore w:w="0" w:type="auto"/>
          <w:tblCellSpacing w:w="0" w:type="dxa"/>
        </w:trPr>
        <w:tc>
          <w:tcPr>
            <w:tcW w:w="0" w:type="auto"/>
            <w:noWrap w:val="0"/>
            <w:vAlign w:val="center"/>
          </w:tcPr>
          <w:p w14:paraId="4E1447F0">
            <w:r>
              <w:rPr>
                <w:rFonts w:hint="eastAsia"/>
              </w:rPr>
              <w:t xml:space="preserve">有效成分及其含量： </w:t>
            </w:r>
          </w:p>
          <w:p w14:paraId="676486B9">
            <w:r>
              <w:rPr>
                <w:rFonts w:hint="eastAsia"/>
              </w:rPr>
              <w:t xml:space="preserve">    噁嗪草酮30%    </w:t>
            </w:r>
          </w:p>
        </w:tc>
      </w:tr>
      <w:tr w14:paraId="077F2607">
        <w:tblPrEx>
          <w:tblCellMar>
            <w:top w:w="0" w:type="dxa"/>
            <w:left w:w="0" w:type="dxa"/>
            <w:bottom w:w="0" w:type="dxa"/>
            <w:right w:w="0" w:type="dxa"/>
          </w:tblCellMar>
        </w:tblPrEx>
        <w:trPr>
          <w:wBefore w:w="0" w:type="auto"/>
          <w:tblCellSpacing w:w="0" w:type="dxa"/>
        </w:trPr>
        <w:tc>
          <w:tcPr>
            <w:tcW w:w="0" w:type="auto"/>
            <w:noWrap w:val="0"/>
            <w:vAlign w:val="center"/>
          </w:tcPr>
          <w:p w14:paraId="47D055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F16D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FFA8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FAA2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48C3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A7772C">
                  <w:r>
                    <w:rPr>
                      <w:rStyle w:val="11"/>
                      <w:rFonts w:hint="eastAsia"/>
                    </w:rPr>
                    <w:t>施用方式</w:t>
                  </w:r>
                </w:p>
              </w:tc>
            </w:tr>
            <w:tr w14:paraId="37E81A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D61EB5">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DAB52A">
                  <w:r>
                    <w:rPr>
                      <w:rStyle w:val="11"/>
                      <w:rFonts w:hint="eastAsia"/>
                    </w:rPr>
                    <w:t>稗草、千金子等禾本科杂草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7C0433">
                  <w:r>
                    <w:rPr>
                      <w:rStyle w:val="11"/>
                      <w:rFonts w:hint="eastAsia"/>
                    </w:rPr>
                    <w:t>5-10毫升/亩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BF6297">
                  <w:r>
                    <w:rPr>
                      <w:rStyle w:val="11"/>
                      <w:rFonts w:hint="eastAsia"/>
                    </w:rPr>
                    <w:t>茎叶喷雾</w:t>
                  </w:r>
                </w:p>
              </w:tc>
            </w:tr>
          </w:tbl>
          <w:p w14:paraId="7B4F5968">
            <w:pPr>
              <w:rPr>
                <w:rFonts w:ascii="Times New Roman" w:hAnsi="Times New Roman" w:cs="Times New Roman"/>
                <w:sz w:val="20"/>
                <w:szCs w:val="20"/>
              </w:rPr>
            </w:pPr>
          </w:p>
        </w:tc>
      </w:tr>
      <w:tr w14:paraId="1BF2F2BE">
        <w:tblPrEx>
          <w:tblCellMar>
            <w:top w:w="0" w:type="dxa"/>
            <w:left w:w="0" w:type="dxa"/>
            <w:bottom w:w="0" w:type="dxa"/>
            <w:right w:w="0" w:type="dxa"/>
          </w:tblCellMar>
        </w:tblPrEx>
        <w:trPr>
          <w:wBefore w:w="0" w:type="auto"/>
          <w:tblCellSpacing w:w="0" w:type="dxa"/>
        </w:trPr>
        <w:tc>
          <w:tcPr>
            <w:tcW w:w="0" w:type="auto"/>
            <w:noWrap w:val="0"/>
            <w:vAlign w:val="center"/>
          </w:tcPr>
          <w:p w14:paraId="240E3B31">
            <w:r>
              <w:rPr>
                <w:rStyle w:val="10"/>
                <w:rFonts w:hint="eastAsia"/>
              </w:rPr>
              <w:t>使用技术要求:</w:t>
            </w:r>
            <w:r>
              <w:rPr>
                <w:rFonts w:hint="eastAsia"/>
              </w:rPr>
              <w:br w:type="textWrapping"/>
            </w:r>
            <w:r>
              <w:rPr>
                <w:rStyle w:val="11"/>
                <w:rFonts w:hint="eastAsia"/>
              </w:rPr>
              <w:t>1、水稻2-3叶期，禾本科杂草2叶期施药，每亩兑水30公斤，茎叶喷雾一次，不得漏喷或重喷。 2、施药时，保持田间1～2cm浅水层，药后1～3天内灌水入田，建立3～5cm水层，水层不能淹没稻心，保持5～7天后正常管理。 3、大风天或预计6小时内降雨，请勿施药。 4、每季最多使用1次。</w:t>
            </w:r>
          </w:p>
        </w:tc>
      </w:tr>
      <w:tr w14:paraId="53B559FB">
        <w:tblPrEx>
          <w:tblCellMar>
            <w:top w:w="0" w:type="dxa"/>
            <w:left w:w="0" w:type="dxa"/>
            <w:bottom w:w="0" w:type="dxa"/>
            <w:right w:w="0" w:type="dxa"/>
          </w:tblCellMar>
        </w:tblPrEx>
        <w:trPr>
          <w:wBefore w:w="0" w:type="auto"/>
          <w:tblCellSpacing w:w="0" w:type="dxa"/>
        </w:trPr>
        <w:tc>
          <w:tcPr>
            <w:tcW w:w="0" w:type="auto"/>
            <w:noWrap w:val="0"/>
            <w:vAlign w:val="center"/>
          </w:tcPr>
          <w:p w14:paraId="33E24123">
            <w:r>
              <w:rPr>
                <w:rStyle w:val="10"/>
                <w:rFonts w:hint="eastAsia"/>
              </w:rPr>
              <w:t>产品性能:</w:t>
            </w:r>
            <w:r>
              <w:rPr>
                <w:rFonts w:hint="eastAsia"/>
              </w:rPr>
              <w:br w:type="textWrapping"/>
            </w:r>
            <w:r>
              <w:rPr>
                <w:rStyle w:val="11"/>
                <w:rFonts w:hint="eastAsia"/>
              </w:rPr>
              <w:t>本品为内吸传导型水稻田除草剂。可有效防除稗草、沟繁缕、千金子、异型莎草等多种禾本科杂草。</w:t>
            </w:r>
          </w:p>
        </w:tc>
      </w:tr>
      <w:tr w14:paraId="5FF32408">
        <w:tblPrEx>
          <w:tblCellMar>
            <w:top w:w="0" w:type="dxa"/>
            <w:left w:w="0" w:type="dxa"/>
            <w:bottom w:w="0" w:type="dxa"/>
            <w:right w:w="0" w:type="dxa"/>
          </w:tblCellMar>
        </w:tblPrEx>
        <w:trPr>
          <w:wBefore w:w="0" w:type="auto"/>
          <w:tblCellSpacing w:w="0" w:type="dxa"/>
        </w:trPr>
        <w:tc>
          <w:tcPr>
            <w:tcW w:w="0" w:type="auto"/>
            <w:noWrap w:val="0"/>
            <w:vAlign w:val="center"/>
          </w:tcPr>
          <w:p w14:paraId="65D78717">
            <w:r>
              <w:rPr>
                <w:rStyle w:val="10"/>
                <w:rFonts w:hint="eastAsia"/>
              </w:rPr>
              <w:t>注意事项：</w:t>
            </w:r>
            <w:r>
              <w:rPr>
                <w:rFonts w:hint="eastAsia"/>
              </w:rPr>
              <w:br w:type="textWrapping"/>
            </w:r>
            <w:r>
              <w:rPr>
                <w:rStyle w:val="11"/>
                <w:rFonts w:hint="eastAsia"/>
              </w:rPr>
              <w:t>1、在不同地区在面积推广前建议开展小范围试验研究，明确对不同水稻品种的安全性。2、在蚕室及桑园附近禁用3、使用本品应带防护手套、口罩，穿干净防护服。工作结束后，应用肥皂、清水洗脸、手和裸露部位。4、包装容器不可挪作他用或随便丢弃。5、施药器施药后器具应彻底清洗，禁止在河塘等水体中清洗，剩余的药液和洗刷施药用具的水，不要倒入河塘等水体。6、配制和运输该剂时请穿戴必要的防护用具。7、避免孕妇及哺乳期的妇女接触。8、严格按照推荐方法使用、操作和贮藏本品。使用时应接受当地农业技术部门的指导。9、避免与氧化剂接触或混合。</w:t>
            </w:r>
          </w:p>
        </w:tc>
      </w:tr>
      <w:tr w14:paraId="4298F20A">
        <w:tblPrEx>
          <w:tblCellMar>
            <w:top w:w="0" w:type="dxa"/>
            <w:left w:w="0" w:type="dxa"/>
            <w:bottom w:w="0" w:type="dxa"/>
            <w:right w:w="0" w:type="dxa"/>
          </w:tblCellMar>
        </w:tblPrEx>
        <w:trPr>
          <w:wBefore w:w="0" w:type="auto"/>
          <w:tblCellSpacing w:w="0" w:type="dxa"/>
        </w:trPr>
        <w:tc>
          <w:tcPr>
            <w:tcW w:w="0" w:type="auto"/>
            <w:noWrap w:val="0"/>
            <w:vAlign w:val="center"/>
          </w:tcPr>
          <w:p w14:paraId="5C587B21">
            <w:r>
              <w:rPr>
                <w:rStyle w:val="10"/>
                <w:rFonts w:hint="eastAsia"/>
              </w:rPr>
              <w:t>中毒急救措施：</w:t>
            </w:r>
            <w:r>
              <w:rPr>
                <w:rFonts w:hint="eastAsia"/>
              </w:rPr>
              <w:br w:type="textWrapping"/>
            </w:r>
            <w:r>
              <w:rPr>
                <w:rStyle w:val="11"/>
                <w:rFonts w:hint="eastAsia"/>
              </w:rPr>
              <w:t>1、中毒症状：毒性低，一般不会引起全身中毒。2、如不慎接触皮肤，应用肥皂和大量清水冲洗，若溅入眼内，立即用大量清水冲洗至少15分钟，如还不适请就医。3、如吸入，立即将吸入者转移到空气清新处，如果吸入者停止呼吸，需要进行人工呼吸。注意保暖和休息，请医生诊治。4、无特殊解毒剂，若误服饮大量水催吐，保持安静，并送往医院对症治疗。</w:t>
            </w:r>
          </w:p>
        </w:tc>
      </w:tr>
      <w:tr w14:paraId="0B263F42">
        <w:tblPrEx>
          <w:tblCellMar>
            <w:top w:w="0" w:type="dxa"/>
            <w:left w:w="0" w:type="dxa"/>
            <w:bottom w:w="0" w:type="dxa"/>
            <w:right w:w="0" w:type="dxa"/>
          </w:tblCellMar>
        </w:tblPrEx>
        <w:trPr>
          <w:wBefore w:w="0" w:type="auto"/>
          <w:tblCellSpacing w:w="0" w:type="dxa"/>
        </w:trPr>
        <w:tc>
          <w:tcPr>
            <w:tcW w:w="0" w:type="auto"/>
            <w:noWrap w:val="0"/>
            <w:vAlign w:val="center"/>
          </w:tcPr>
          <w:p w14:paraId="1A882CDE">
            <w:r>
              <w:rPr>
                <w:rStyle w:val="10"/>
                <w:rFonts w:hint="eastAsia"/>
              </w:rPr>
              <w:t>储存和运输方法：</w:t>
            </w:r>
            <w:r>
              <w:rPr>
                <w:rFonts w:hint="eastAsia"/>
              </w:rPr>
              <w:br w:type="textWrapping"/>
            </w:r>
            <w:r>
              <w:rPr>
                <w:rStyle w:val="11"/>
                <w:rFonts w:hint="eastAsia"/>
              </w:rPr>
              <w:t>包装件应贮存于通风、干燥、防雨、阴凉的库房中，远离火源和热源。置于儿童及无关人员接触不到处，并加锁。贮运时，严防潮湿和日晒，远离儿童，不能与食品、饮料、粮食、饲料等物质同贮同运。运输时专人专车，确保不泄漏、不损坏、不倒塌，运输中防曝晒、雨淋、防高温，公路运输时按规定的路线行驶。</w:t>
            </w:r>
          </w:p>
        </w:tc>
      </w:tr>
      <w:tr w14:paraId="4F1EBB6C">
        <w:tblPrEx>
          <w:tblCellMar>
            <w:top w:w="0" w:type="dxa"/>
            <w:left w:w="0" w:type="dxa"/>
            <w:bottom w:w="0" w:type="dxa"/>
            <w:right w:w="0" w:type="dxa"/>
          </w:tblCellMar>
        </w:tblPrEx>
        <w:trPr>
          <w:wBefore w:w="0" w:type="auto"/>
          <w:tblCellSpacing w:w="0" w:type="dxa"/>
        </w:trPr>
        <w:tc>
          <w:tcPr>
            <w:tcW w:w="0" w:type="auto"/>
            <w:noWrap w:val="0"/>
            <w:vAlign w:val="center"/>
          </w:tcPr>
          <w:p w14:paraId="29371BD6">
            <w:r>
              <w:rPr>
                <w:rStyle w:val="10"/>
                <w:rFonts w:hint="eastAsia"/>
              </w:rPr>
              <w:t>质量保证期：</w:t>
            </w:r>
            <w:r>
              <w:rPr>
                <w:rStyle w:val="11"/>
                <w:rFonts w:hint="eastAsia"/>
              </w:rPr>
              <w:t>2年</w:t>
            </w:r>
          </w:p>
        </w:tc>
      </w:tr>
      <w:tr w14:paraId="6C6700D9">
        <w:tblPrEx>
          <w:tblCellMar>
            <w:top w:w="0" w:type="dxa"/>
            <w:left w:w="0" w:type="dxa"/>
            <w:bottom w:w="0" w:type="dxa"/>
            <w:right w:w="0" w:type="dxa"/>
          </w:tblCellMar>
        </w:tblPrEx>
        <w:trPr>
          <w:wBefore w:w="0" w:type="auto"/>
          <w:tblCellSpacing w:w="0" w:type="dxa"/>
        </w:trPr>
        <w:tc>
          <w:tcPr>
            <w:tcW w:w="0" w:type="auto"/>
            <w:noWrap w:val="0"/>
            <w:vAlign w:val="center"/>
          </w:tcPr>
          <w:p w14:paraId="2014FE03">
            <w:r>
              <w:rPr>
                <w:rStyle w:val="10"/>
                <w:rFonts w:hint="eastAsia"/>
              </w:rPr>
              <w:t>备注：</w:t>
            </w:r>
          </w:p>
        </w:tc>
      </w:tr>
    </w:tbl>
    <w:p w14:paraId="11C509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399008">
        <w:tblPrEx>
          <w:tblCellMar>
            <w:top w:w="0" w:type="dxa"/>
            <w:left w:w="0" w:type="dxa"/>
            <w:bottom w:w="0" w:type="dxa"/>
            <w:right w:w="0" w:type="dxa"/>
          </w:tblCellMar>
        </w:tblPrEx>
        <w:trPr>
          <w:wBefore w:w="0" w:type="auto"/>
          <w:tblCellSpacing w:w="0" w:type="dxa"/>
        </w:trPr>
        <w:tc>
          <w:tcPr>
            <w:tcW w:w="0" w:type="auto"/>
            <w:noWrap w:val="0"/>
            <w:vAlign w:val="center"/>
          </w:tcPr>
          <w:p w14:paraId="07B0F340">
            <w:r>
              <w:rPr>
                <w:rStyle w:val="10"/>
                <w:rFonts w:hint="eastAsia"/>
              </w:rPr>
              <w:t>登记证号：</w:t>
            </w:r>
            <w:r>
              <w:rPr>
                <w:rFonts w:hint="eastAsia"/>
              </w:rPr>
              <w:t>PD20212507</w:t>
            </w:r>
          </w:p>
        </w:tc>
      </w:tr>
      <w:tr w14:paraId="70FE6955">
        <w:tblPrEx>
          <w:tblCellMar>
            <w:top w:w="0" w:type="dxa"/>
            <w:left w:w="0" w:type="dxa"/>
            <w:bottom w:w="0" w:type="dxa"/>
            <w:right w:w="0" w:type="dxa"/>
          </w:tblCellMar>
        </w:tblPrEx>
        <w:trPr>
          <w:wBefore w:w="0" w:type="auto"/>
          <w:tblCellSpacing w:w="0" w:type="dxa"/>
        </w:trPr>
        <w:tc>
          <w:tcPr>
            <w:tcW w:w="0" w:type="auto"/>
            <w:noWrap w:val="0"/>
            <w:vAlign w:val="center"/>
          </w:tcPr>
          <w:p w14:paraId="75C0EFEF">
            <w:r>
              <w:rPr>
                <w:rStyle w:val="10"/>
                <w:rFonts w:hint="eastAsia"/>
              </w:rPr>
              <w:t>登记证持有人：</w:t>
            </w:r>
            <w:r>
              <w:rPr>
                <w:rFonts w:hint="eastAsia"/>
              </w:rPr>
              <w:t>广东省佛山市盈辉作物科学有限公司</w:t>
            </w:r>
          </w:p>
        </w:tc>
      </w:tr>
      <w:tr w14:paraId="18A206F8">
        <w:tblPrEx>
          <w:tblCellMar>
            <w:top w:w="0" w:type="dxa"/>
            <w:left w:w="0" w:type="dxa"/>
            <w:bottom w:w="0" w:type="dxa"/>
            <w:right w:w="0" w:type="dxa"/>
          </w:tblCellMar>
        </w:tblPrEx>
        <w:trPr>
          <w:wBefore w:w="0" w:type="auto"/>
          <w:tblCellSpacing w:w="0" w:type="dxa"/>
        </w:trPr>
        <w:tc>
          <w:tcPr>
            <w:tcW w:w="0" w:type="auto"/>
            <w:noWrap w:val="0"/>
            <w:vAlign w:val="center"/>
          </w:tcPr>
          <w:p w14:paraId="5BDC481C">
            <w:r>
              <w:rPr>
                <w:rStyle w:val="10"/>
                <w:rFonts w:hint="eastAsia"/>
              </w:rPr>
              <w:t>农药名称：</w:t>
            </w:r>
            <w:r>
              <w:rPr>
                <w:rFonts w:hint="eastAsia"/>
              </w:rPr>
              <w:t>滴酸·草甘膦</w:t>
            </w:r>
          </w:p>
        </w:tc>
      </w:tr>
      <w:tr w14:paraId="761156A2">
        <w:tblPrEx>
          <w:tblCellMar>
            <w:top w:w="0" w:type="dxa"/>
            <w:left w:w="0" w:type="dxa"/>
            <w:bottom w:w="0" w:type="dxa"/>
            <w:right w:w="0" w:type="dxa"/>
          </w:tblCellMar>
        </w:tblPrEx>
        <w:trPr>
          <w:wBefore w:w="0" w:type="auto"/>
          <w:tblCellSpacing w:w="0" w:type="dxa"/>
        </w:trPr>
        <w:tc>
          <w:tcPr>
            <w:tcW w:w="0" w:type="auto"/>
            <w:noWrap w:val="0"/>
            <w:vAlign w:val="center"/>
          </w:tcPr>
          <w:p w14:paraId="3E281400">
            <w:r>
              <w:rPr>
                <w:rStyle w:val="10"/>
                <w:rFonts w:hint="eastAsia"/>
              </w:rPr>
              <w:t>剂型：</w:t>
            </w:r>
            <w:r>
              <w:rPr>
                <w:rFonts w:hint="eastAsia"/>
              </w:rPr>
              <w:t>可溶液剂</w:t>
            </w:r>
          </w:p>
        </w:tc>
      </w:tr>
      <w:tr w14:paraId="51D7E6C0">
        <w:tblPrEx>
          <w:tblCellMar>
            <w:top w:w="0" w:type="dxa"/>
            <w:left w:w="0" w:type="dxa"/>
            <w:bottom w:w="0" w:type="dxa"/>
            <w:right w:w="0" w:type="dxa"/>
          </w:tblCellMar>
        </w:tblPrEx>
        <w:trPr>
          <w:wBefore w:w="0" w:type="auto"/>
          <w:tblCellSpacing w:w="0" w:type="dxa"/>
        </w:trPr>
        <w:tc>
          <w:tcPr>
            <w:tcW w:w="0" w:type="auto"/>
            <w:noWrap w:val="0"/>
            <w:vAlign w:val="center"/>
          </w:tcPr>
          <w:p w14:paraId="5F96C875">
            <w:r>
              <w:rPr>
                <w:rStyle w:val="10"/>
                <w:rFonts w:hint="eastAsia"/>
              </w:rPr>
              <w:t>毒性及其标识：</w:t>
            </w:r>
            <w:r>
              <w:rPr>
                <w:rFonts w:hint="eastAsia"/>
              </w:rPr>
              <w:t xml:space="preserve"> </w:t>
            </w:r>
            <w:r>
              <w:rPr>
                <w:lang/>
              </w:rPr>
              <w:drawing>
                <wp:inline distT="0" distB="0" distL="114300" distR="114300">
                  <wp:extent cx="476250" cy="323850"/>
                  <wp:effectExtent l="0" t="0" r="0" b="0"/>
                  <wp:docPr id="18" name="图片 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264B26">
        <w:tblPrEx>
          <w:tblCellMar>
            <w:top w:w="0" w:type="dxa"/>
            <w:left w:w="0" w:type="dxa"/>
            <w:bottom w:w="0" w:type="dxa"/>
            <w:right w:w="0" w:type="dxa"/>
          </w:tblCellMar>
        </w:tblPrEx>
        <w:trPr>
          <w:wBefore w:w="0" w:type="auto"/>
          <w:tblCellSpacing w:w="0" w:type="dxa"/>
        </w:trPr>
        <w:tc>
          <w:tcPr>
            <w:tcW w:w="0" w:type="auto"/>
            <w:noWrap w:val="0"/>
            <w:vAlign w:val="center"/>
          </w:tcPr>
          <w:p w14:paraId="1FD6070F">
            <w:r>
              <w:rPr>
                <w:rStyle w:val="10"/>
                <w:rFonts w:hint="eastAsia"/>
              </w:rPr>
              <w:t>总有效成分含量：</w:t>
            </w:r>
            <w:r>
              <w:rPr>
                <w:rFonts w:hint="eastAsia"/>
              </w:rPr>
              <w:t>32.4%</w:t>
            </w:r>
          </w:p>
        </w:tc>
      </w:tr>
      <w:tr w14:paraId="580D43CD">
        <w:tblPrEx>
          <w:tblCellMar>
            <w:top w:w="0" w:type="dxa"/>
            <w:left w:w="0" w:type="dxa"/>
            <w:bottom w:w="0" w:type="dxa"/>
            <w:right w:w="0" w:type="dxa"/>
          </w:tblCellMar>
        </w:tblPrEx>
        <w:trPr>
          <w:wBefore w:w="0" w:type="auto"/>
          <w:tblCellSpacing w:w="0" w:type="dxa"/>
        </w:trPr>
        <w:tc>
          <w:tcPr>
            <w:tcW w:w="0" w:type="auto"/>
            <w:noWrap w:val="0"/>
            <w:vAlign w:val="center"/>
          </w:tcPr>
          <w:p w14:paraId="642762E7">
            <w:r>
              <w:rPr>
                <w:rFonts w:hint="eastAsia"/>
              </w:rPr>
              <w:t xml:space="preserve">有效成分及其含量： </w:t>
            </w:r>
          </w:p>
          <w:p w14:paraId="46824541">
            <w:r>
              <w:rPr>
                <w:rFonts w:hint="eastAsia"/>
              </w:rPr>
              <w:t xml:space="preserve">    2,4-滴2.4%    草甘膦30%    </w:t>
            </w:r>
          </w:p>
        </w:tc>
      </w:tr>
      <w:tr w14:paraId="168D8777">
        <w:tblPrEx>
          <w:tblCellMar>
            <w:top w:w="0" w:type="dxa"/>
            <w:left w:w="0" w:type="dxa"/>
            <w:bottom w:w="0" w:type="dxa"/>
            <w:right w:w="0" w:type="dxa"/>
          </w:tblCellMar>
        </w:tblPrEx>
        <w:trPr>
          <w:wBefore w:w="0" w:type="auto"/>
          <w:tblCellSpacing w:w="0" w:type="dxa"/>
        </w:trPr>
        <w:tc>
          <w:tcPr>
            <w:tcW w:w="0" w:type="auto"/>
            <w:noWrap w:val="0"/>
            <w:vAlign w:val="center"/>
          </w:tcPr>
          <w:p w14:paraId="3EEE68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372A4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264C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C067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A1C49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86D41D">
                  <w:r>
                    <w:rPr>
                      <w:rStyle w:val="11"/>
                      <w:rFonts w:hint="eastAsia"/>
                    </w:rPr>
                    <w:t>施用方式</w:t>
                  </w:r>
                </w:p>
              </w:tc>
            </w:tr>
            <w:tr w14:paraId="2D01D1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EA9164">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4DACD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74498E">
                  <w:r>
                    <w:rPr>
                      <w:rStyle w:val="11"/>
                      <w:rFonts w:hint="eastAsia"/>
                    </w:rPr>
                    <w:t>250-400毫升/亩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E8ABD0">
                  <w:r>
                    <w:rPr>
                      <w:rStyle w:val="11"/>
                      <w:rFonts w:hint="eastAsia"/>
                    </w:rPr>
                    <w:t>茎叶喷雾</w:t>
                  </w:r>
                </w:p>
              </w:tc>
            </w:tr>
          </w:tbl>
          <w:p w14:paraId="374BE4D4">
            <w:pPr>
              <w:rPr>
                <w:rFonts w:ascii="Times New Roman" w:hAnsi="Times New Roman" w:cs="Times New Roman"/>
                <w:sz w:val="20"/>
                <w:szCs w:val="20"/>
              </w:rPr>
            </w:pPr>
          </w:p>
        </w:tc>
      </w:tr>
      <w:tr w14:paraId="57191D89">
        <w:tblPrEx>
          <w:tblCellMar>
            <w:top w:w="0" w:type="dxa"/>
            <w:left w:w="0" w:type="dxa"/>
            <w:bottom w:w="0" w:type="dxa"/>
            <w:right w:w="0" w:type="dxa"/>
          </w:tblCellMar>
        </w:tblPrEx>
        <w:trPr>
          <w:wBefore w:w="0" w:type="auto"/>
          <w:tblCellSpacing w:w="0" w:type="dxa"/>
        </w:trPr>
        <w:tc>
          <w:tcPr>
            <w:tcW w:w="0" w:type="auto"/>
            <w:noWrap w:val="0"/>
            <w:vAlign w:val="center"/>
          </w:tcPr>
          <w:p w14:paraId="24A9ED20">
            <w:r>
              <w:rPr>
                <w:rStyle w:val="10"/>
                <w:rFonts w:hint="eastAsia"/>
              </w:rPr>
              <w:t>使用技术要求:</w:t>
            </w:r>
            <w:r>
              <w:rPr>
                <w:rFonts w:hint="eastAsia"/>
              </w:rPr>
              <w:br w:type="textWrapping"/>
            </w:r>
            <w:r>
              <w:rPr>
                <w:rStyle w:val="11"/>
                <w:rFonts w:hint="eastAsia"/>
              </w:rPr>
              <w:t>1. 在非耕地杂草旺盛生长期，以推荐剂量兑水均匀茎叶喷雾施药1次，2. 大风天或预计1小时内降雨，请勿施药。3. 禁止在田间道路、田埂、果树行间、休耕地、林场林地等农林业区域使用。茎叶喷雾，避免漂移到其他作物上造成药害。</w:t>
            </w:r>
          </w:p>
        </w:tc>
      </w:tr>
      <w:tr w14:paraId="19B40519">
        <w:tblPrEx>
          <w:tblCellMar>
            <w:top w:w="0" w:type="dxa"/>
            <w:left w:w="0" w:type="dxa"/>
            <w:bottom w:w="0" w:type="dxa"/>
            <w:right w:w="0" w:type="dxa"/>
          </w:tblCellMar>
        </w:tblPrEx>
        <w:trPr>
          <w:wBefore w:w="0" w:type="auto"/>
          <w:tblCellSpacing w:w="0" w:type="dxa"/>
        </w:trPr>
        <w:tc>
          <w:tcPr>
            <w:tcW w:w="0" w:type="auto"/>
            <w:noWrap w:val="0"/>
            <w:vAlign w:val="center"/>
          </w:tcPr>
          <w:p w14:paraId="30CE3F8C">
            <w:r>
              <w:rPr>
                <w:rStyle w:val="10"/>
                <w:rFonts w:hint="eastAsia"/>
              </w:rPr>
              <w:t>产品性能:</w:t>
            </w:r>
            <w:r>
              <w:rPr>
                <w:rFonts w:hint="eastAsia"/>
              </w:rPr>
              <w:br w:type="textWrapping"/>
            </w:r>
            <w:r>
              <w:rPr>
                <w:rStyle w:val="11"/>
                <w:rFonts w:hint="eastAsia"/>
              </w:rPr>
              <w:t>本品是由苯氧乙酸类激素型选择性除草剂与有机磷类灭生性除草剂混配而成，具有杀草谱广、除草效果好等特点，能有效地防除非耕地杂草。</w:t>
            </w:r>
          </w:p>
        </w:tc>
      </w:tr>
      <w:tr w14:paraId="6806CC58">
        <w:tblPrEx>
          <w:tblCellMar>
            <w:top w:w="0" w:type="dxa"/>
            <w:left w:w="0" w:type="dxa"/>
            <w:bottom w:w="0" w:type="dxa"/>
            <w:right w:w="0" w:type="dxa"/>
          </w:tblCellMar>
        </w:tblPrEx>
        <w:trPr>
          <w:wBefore w:w="0" w:type="auto"/>
          <w:tblCellSpacing w:w="0" w:type="dxa"/>
        </w:trPr>
        <w:tc>
          <w:tcPr>
            <w:tcW w:w="0" w:type="auto"/>
            <w:noWrap w:val="0"/>
            <w:vAlign w:val="center"/>
          </w:tcPr>
          <w:p w14:paraId="21D8FCF1">
            <w:r>
              <w:rPr>
                <w:rStyle w:val="10"/>
                <w:rFonts w:hint="eastAsia"/>
              </w:rPr>
              <w:t>注意事项：</w:t>
            </w:r>
            <w:r>
              <w:rPr>
                <w:rFonts w:hint="eastAsia"/>
              </w:rPr>
              <w:br w:type="textWrapping"/>
            </w:r>
            <w:r>
              <w:rPr>
                <w:rStyle w:val="11"/>
                <w:rFonts w:hint="eastAsia"/>
              </w:rPr>
              <w:t>1. 使用时需定向均匀全面喷雾在杂草上，勿使药液漂移或接触到作物上，以免产生药害。2. 本品对眼睛有刺激性，使用时避免接触眼睛，穿戴长衣、长裤、帽子、口罩、手套等防护措施。施药时不能吃东西、吸烟、饮水等；施药后彻底清洗裸露部位。3. 用过的容器应妥善处理，不可做他用，也不可随意丢弃。 4. 禁止在河塘等水体中清洗施药器具。5. 桑园及蚕室附近禁用。6.避免孕妇及哺乳期妇女接触本品。</w:t>
            </w:r>
          </w:p>
        </w:tc>
      </w:tr>
      <w:tr w14:paraId="31F57BD1">
        <w:tblPrEx>
          <w:tblCellMar>
            <w:top w:w="0" w:type="dxa"/>
            <w:left w:w="0" w:type="dxa"/>
            <w:bottom w:w="0" w:type="dxa"/>
            <w:right w:w="0" w:type="dxa"/>
          </w:tblCellMar>
        </w:tblPrEx>
        <w:trPr>
          <w:wBefore w:w="0" w:type="auto"/>
          <w:tblCellSpacing w:w="0" w:type="dxa"/>
        </w:trPr>
        <w:tc>
          <w:tcPr>
            <w:tcW w:w="0" w:type="auto"/>
            <w:noWrap w:val="0"/>
            <w:vAlign w:val="center"/>
          </w:tcPr>
          <w:p w14:paraId="09F3595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13203062">
        <w:tblPrEx>
          <w:tblCellMar>
            <w:top w:w="0" w:type="dxa"/>
            <w:left w:w="0" w:type="dxa"/>
            <w:bottom w:w="0" w:type="dxa"/>
            <w:right w:w="0" w:type="dxa"/>
          </w:tblCellMar>
        </w:tblPrEx>
        <w:trPr>
          <w:wBefore w:w="0" w:type="auto"/>
          <w:tblCellSpacing w:w="0" w:type="dxa"/>
        </w:trPr>
        <w:tc>
          <w:tcPr>
            <w:tcW w:w="0" w:type="auto"/>
            <w:noWrap w:val="0"/>
            <w:vAlign w:val="center"/>
          </w:tcPr>
          <w:p w14:paraId="02664D80">
            <w:r>
              <w:rPr>
                <w:rStyle w:val="10"/>
                <w:rFonts w:hint="eastAsia"/>
              </w:rPr>
              <w:t>储存和运输方法：</w:t>
            </w:r>
            <w:r>
              <w:rPr>
                <w:rFonts w:hint="eastAsia"/>
              </w:rPr>
              <w:br w:type="textWrapping"/>
            </w:r>
            <w:r>
              <w:rPr>
                <w:rStyle w:val="11"/>
                <w:rFonts w:hint="eastAsia"/>
              </w:rPr>
              <w:t>本品应贮存在干燥、阴凉、通风、防雨处，远离火源或热源。置于儿童不易接触到的地方，不能与食品、饮料、种子、粮食等同贮同运。</w:t>
            </w:r>
          </w:p>
        </w:tc>
      </w:tr>
      <w:tr w14:paraId="2C395223">
        <w:tblPrEx>
          <w:tblCellMar>
            <w:top w:w="0" w:type="dxa"/>
            <w:left w:w="0" w:type="dxa"/>
            <w:bottom w:w="0" w:type="dxa"/>
            <w:right w:w="0" w:type="dxa"/>
          </w:tblCellMar>
        </w:tblPrEx>
        <w:trPr>
          <w:wBefore w:w="0" w:type="auto"/>
          <w:tblCellSpacing w:w="0" w:type="dxa"/>
        </w:trPr>
        <w:tc>
          <w:tcPr>
            <w:tcW w:w="0" w:type="auto"/>
            <w:noWrap w:val="0"/>
            <w:vAlign w:val="center"/>
          </w:tcPr>
          <w:p w14:paraId="0B6B6B7E">
            <w:r>
              <w:rPr>
                <w:rStyle w:val="10"/>
                <w:rFonts w:hint="eastAsia"/>
              </w:rPr>
              <w:t>质量保证期：</w:t>
            </w:r>
            <w:r>
              <w:rPr>
                <w:rStyle w:val="11"/>
                <w:rFonts w:hint="eastAsia"/>
              </w:rPr>
              <w:t>2年</w:t>
            </w:r>
          </w:p>
        </w:tc>
      </w:tr>
      <w:tr w14:paraId="316841E1">
        <w:tblPrEx>
          <w:tblCellMar>
            <w:top w:w="0" w:type="dxa"/>
            <w:left w:w="0" w:type="dxa"/>
            <w:bottom w:w="0" w:type="dxa"/>
            <w:right w:w="0" w:type="dxa"/>
          </w:tblCellMar>
        </w:tblPrEx>
        <w:trPr>
          <w:wBefore w:w="0" w:type="auto"/>
          <w:tblCellSpacing w:w="0" w:type="dxa"/>
        </w:trPr>
        <w:tc>
          <w:tcPr>
            <w:tcW w:w="0" w:type="auto"/>
            <w:noWrap w:val="0"/>
            <w:vAlign w:val="center"/>
          </w:tcPr>
          <w:p w14:paraId="77095DE0">
            <w:r>
              <w:rPr>
                <w:rStyle w:val="10"/>
                <w:rFonts w:hint="eastAsia"/>
              </w:rPr>
              <w:t>备注：</w:t>
            </w:r>
            <w:r>
              <w:rPr>
                <w:rFonts w:hint="eastAsia"/>
              </w:rPr>
              <w:br w:type="textWrapping"/>
            </w:r>
            <w:r>
              <w:rPr>
                <w:rStyle w:val="11"/>
                <w:rFonts w:hint="eastAsia"/>
              </w:rPr>
              <w:t>草甘膦铵盐33%；2,4-滴钠盐2.6%。</w:t>
            </w:r>
          </w:p>
        </w:tc>
      </w:tr>
    </w:tbl>
    <w:p w14:paraId="76EDB00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E5F830">
        <w:tblPrEx>
          <w:tblCellMar>
            <w:top w:w="0" w:type="dxa"/>
            <w:left w:w="0" w:type="dxa"/>
            <w:bottom w:w="0" w:type="dxa"/>
            <w:right w:w="0" w:type="dxa"/>
          </w:tblCellMar>
        </w:tblPrEx>
        <w:trPr>
          <w:wBefore w:w="0" w:type="auto"/>
          <w:tblCellSpacing w:w="0" w:type="dxa"/>
        </w:trPr>
        <w:tc>
          <w:tcPr>
            <w:tcW w:w="0" w:type="auto"/>
            <w:noWrap w:val="0"/>
            <w:vAlign w:val="center"/>
          </w:tcPr>
          <w:p w14:paraId="119F5748">
            <w:r>
              <w:rPr>
                <w:rStyle w:val="10"/>
                <w:rFonts w:hint="eastAsia"/>
              </w:rPr>
              <w:t>登记证号：</w:t>
            </w:r>
            <w:r>
              <w:rPr>
                <w:rFonts w:hint="eastAsia"/>
              </w:rPr>
              <w:t>EX20210046</w:t>
            </w:r>
          </w:p>
        </w:tc>
      </w:tr>
      <w:tr w14:paraId="1493915F">
        <w:tblPrEx>
          <w:tblCellMar>
            <w:top w:w="0" w:type="dxa"/>
            <w:left w:w="0" w:type="dxa"/>
            <w:bottom w:w="0" w:type="dxa"/>
            <w:right w:w="0" w:type="dxa"/>
          </w:tblCellMar>
        </w:tblPrEx>
        <w:trPr>
          <w:wBefore w:w="0" w:type="auto"/>
          <w:tblCellSpacing w:w="0" w:type="dxa"/>
        </w:trPr>
        <w:tc>
          <w:tcPr>
            <w:tcW w:w="0" w:type="auto"/>
            <w:noWrap w:val="0"/>
            <w:vAlign w:val="center"/>
          </w:tcPr>
          <w:p w14:paraId="149FC3D8">
            <w:r>
              <w:rPr>
                <w:rStyle w:val="10"/>
                <w:rFonts w:hint="eastAsia"/>
              </w:rPr>
              <w:t>登记证持有人：</w:t>
            </w:r>
            <w:r>
              <w:rPr>
                <w:rFonts w:hint="eastAsia"/>
              </w:rPr>
              <w:t>连云港纽泰科化工有限公司</w:t>
            </w:r>
          </w:p>
        </w:tc>
      </w:tr>
      <w:tr w14:paraId="7F37F01F">
        <w:tblPrEx>
          <w:tblCellMar>
            <w:top w:w="0" w:type="dxa"/>
            <w:left w:w="0" w:type="dxa"/>
            <w:bottom w:w="0" w:type="dxa"/>
            <w:right w:w="0" w:type="dxa"/>
          </w:tblCellMar>
        </w:tblPrEx>
        <w:trPr>
          <w:wBefore w:w="0" w:type="auto"/>
          <w:tblCellSpacing w:w="0" w:type="dxa"/>
        </w:trPr>
        <w:tc>
          <w:tcPr>
            <w:tcW w:w="0" w:type="auto"/>
            <w:noWrap w:val="0"/>
            <w:vAlign w:val="center"/>
          </w:tcPr>
          <w:p w14:paraId="3D4432F1">
            <w:r>
              <w:rPr>
                <w:rStyle w:val="10"/>
                <w:rFonts w:hint="eastAsia"/>
              </w:rPr>
              <w:t>农药名称：</w:t>
            </w:r>
            <w:r>
              <w:rPr>
                <w:rFonts w:hint="eastAsia"/>
              </w:rPr>
              <w:t>苄草丹</w:t>
            </w:r>
          </w:p>
        </w:tc>
      </w:tr>
      <w:tr w14:paraId="1270DB7E">
        <w:tblPrEx>
          <w:tblCellMar>
            <w:top w:w="0" w:type="dxa"/>
            <w:left w:w="0" w:type="dxa"/>
            <w:bottom w:w="0" w:type="dxa"/>
            <w:right w:w="0" w:type="dxa"/>
          </w:tblCellMar>
        </w:tblPrEx>
        <w:trPr>
          <w:wBefore w:w="0" w:type="auto"/>
          <w:tblCellSpacing w:w="0" w:type="dxa"/>
        </w:trPr>
        <w:tc>
          <w:tcPr>
            <w:tcW w:w="0" w:type="auto"/>
            <w:noWrap w:val="0"/>
            <w:vAlign w:val="center"/>
          </w:tcPr>
          <w:p w14:paraId="6C37807C">
            <w:r>
              <w:rPr>
                <w:rStyle w:val="10"/>
                <w:rFonts w:hint="eastAsia"/>
              </w:rPr>
              <w:t>剂型：</w:t>
            </w:r>
            <w:r>
              <w:rPr>
                <w:rFonts w:hint="eastAsia"/>
              </w:rPr>
              <w:t>原药</w:t>
            </w:r>
          </w:p>
        </w:tc>
      </w:tr>
      <w:tr w14:paraId="512CB34E">
        <w:tblPrEx>
          <w:tblCellMar>
            <w:top w:w="0" w:type="dxa"/>
            <w:left w:w="0" w:type="dxa"/>
            <w:bottom w:w="0" w:type="dxa"/>
            <w:right w:w="0" w:type="dxa"/>
          </w:tblCellMar>
        </w:tblPrEx>
        <w:trPr>
          <w:wBefore w:w="0" w:type="auto"/>
          <w:tblCellSpacing w:w="0" w:type="dxa"/>
        </w:trPr>
        <w:tc>
          <w:tcPr>
            <w:tcW w:w="0" w:type="auto"/>
            <w:noWrap w:val="0"/>
            <w:vAlign w:val="center"/>
          </w:tcPr>
          <w:p w14:paraId="0EBF13AC">
            <w:r>
              <w:rPr>
                <w:rStyle w:val="10"/>
                <w:rFonts w:hint="eastAsia"/>
              </w:rPr>
              <w:t>毒性及其标识：</w:t>
            </w:r>
            <w:r>
              <w:rPr>
                <w:rFonts w:hint="eastAsia"/>
              </w:rPr>
              <w:t xml:space="preserve"> </w:t>
            </w:r>
            <w:r>
              <w:rPr>
                <w:lang/>
              </w:rPr>
              <w:drawing>
                <wp:inline distT="0" distB="0" distL="114300" distR="114300">
                  <wp:extent cx="476250" cy="323850"/>
                  <wp:effectExtent l="0" t="0" r="0" b="0"/>
                  <wp:docPr id="19" name="图片 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FE3FD2">
        <w:tblPrEx>
          <w:tblCellMar>
            <w:top w:w="0" w:type="dxa"/>
            <w:left w:w="0" w:type="dxa"/>
            <w:bottom w:w="0" w:type="dxa"/>
            <w:right w:w="0" w:type="dxa"/>
          </w:tblCellMar>
        </w:tblPrEx>
        <w:trPr>
          <w:wBefore w:w="0" w:type="auto"/>
          <w:tblCellSpacing w:w="0" w:type="dxa"/>
        </w:trPr>
        <w:tc>
          <w:tcPr>
            <w:tcW w:w="0" w:type="auto"/>
            <w:noWrap w:val="0"/>
            <w:vAlign w:val="center"/>
          </w:tcPr>
          <w:p w14:paraId="1A2E53FF">
            <w:r>
              <w:rPr>
                <w:rStyle w:val="10"/>
                <w:rFonts w:hint="eastAsia"/>
              </w:rPr>
              <w:t>总有效成分含量：</w:t>
            </w:r>
            <w:r>
              <w:rPr>
                <w:rFonts w:hint="eastAsia"/>
              </w:rPr>
              <w:t>97%</w:t>
            </w:r>
          </w:p>
        </w:tc>
      </w:tr>
      <w:tr w14:paraId="25FE2179">
        <w:tblPrEx>
          <w:tblCellMar>
            <w:top w:w="0" w:type="dxa"/>
            <w:left w:w="0" w:type="dxa"/>
            <w:bottom w:w="0" w:type="dxa"/>
            <w:right w:w="0" w:type="dxa"/>
          </w:tblCellMar>
        </w:tblPrEx>
        <w:trPr>
          <w:wBefore w:w="0" w:type="auto"/>
          <w:tblCellSpacing w:w="0" w:type="dxa"/>
        </w:trPr>
        <w:tc>
          <w:tcPr>
            <w:tcW w:w="0" w:type="auto"/>
            <w:noWrap w:val="0"/>
            <w:vAlign w:val="center"/>
          </w:tcPr>
          <w:p w14:paraId="1923660A">
            <w:r>
              <w:rPr>
                <w:rFonts w:hint="eastAsia"/>
              </w:rPr>
              <w:t xml:space="preserve">有效成分及其含量： </w:t>
            </w:r>
          </w:p>
          <w:p w14:paraId="486CA04A">
            <w:r>
              <w:rPr>
                <w:rFonts w:hint="eastAsia"/>
              </w:rPr>
              <w:t xml:space="preserve">    苄草丹97%    </w:t>
            </w:r>
          </w:p>
        </w:tc>
      </w:tr>
      <w:tr w14:paraId="5392601B">
        <w:tblPrEx>
          <w:tblCellMar>
            <w:top w:w="0" w:type="dxa"/>
            <w:left w:w="0" w:type="dxa"/>
            <w:bottom w:w="0" w:type="dxa"/>
            <w:right w:w="0" w:type="dxa"/>
          </w:tblCellMar>
        </w:tblPrEx>
        <w:trPr>
          <w:wBefore w:w="0" w:type="auto"/>
          <w:tblCellSpacing w:w="0" w:type="dxa"/>
        </w:trPr>
        <w:tc>
          <w:tcPr>
            <w:tcW w:w="0" w:type="auto"/>
            <w:noWrap w:val="0"/>
            <w:vAlign w:val="center"/>
          </w:tcPr>
          <w:p w14:paraId="3A869F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F687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E44DB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231A3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FB4AA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6BB253">
                  <w:r>
                    <w:rPr>
                      <w:rStyle w:val="11"/>
                      <w:rFonts w:hint="eastAsia"/>
                    </w:rPr>
                    <w:t>施用方式</w:t>
                  </w:r>
                </w:p>
              </w:tc>
            </w:tr>
          </w:tbl>
          <w:p w14:paraId="4CA306CA">
            <w:pPr>
              <w:rPr>
                <w:rFonts w:ascii="Times New Roman" w:hAnsi="Times New Roman" w:cs="Times New Roman"/>
                <w:sz w:val="20"/>
                <w:szCs w:val="20"/>
              </w:rPr>
            </w:pPr>
          </w:p>
        </w:tc>
      </w:tr>
      <w:tr w14:paraId="2A539E8C">
        <w:tblPrEx>
          <w:tblCellMar>
            <w:top w:w="0" w:type="dxa"/>
            <w:left w:w="0" w:type="dxa"/>
            <w:bottom w:w="0" w:type="dxa"/>
            <w:right w:w="0" w:type="dxa"/>
          </w:tblCellMar>
        </w:tblPrEx>
        <w:trPr>
          <w:wBefore w:w="0" w:type="auto"/>
          <w:tblCellSpacing w:w="0" w:type="dxa"/>
        </w:trPr>
        <w:tc>
          <w:tcPr>
            <w:tcW w:w="0" w:type="auto"/>
            <w:noWrap w:val="0"/>
            <w:vAlign w:val="center"/>
          </w:tcPr>
          <w:p w14:paraId="097F222F">
            <w:r>
              <w:rPr>
                <w:rStyle w:val="10"/>
                <w:rFonts w:hint="eastAsia"/>
              </w:rPr>
              <w:t>使用技术要求:</w:t>
            </w:r>
            <w:r>
              <w:rPr>
                <w:rFonts w:hint="eastAsia"/>
              </w:rPr>
              <w:br w:type="textWrapping"/>
            </w:r>
            <w:r>
              <w:rPr>
                <w:rStyle w:val="11"/>
                <w:rFonts w:hint="eastAsia"/>
              </w:rPr>
              <w:t>本产品仅用于加工农药制剂，不可直接用于农作物和其他场所。该产品仅供出口，不在中华人民共和国境内进行销售使用。</w:t>
            </w:r>
          </w:p>
        </w:tc>
      </w:tr>
      <w:tr w14:paraId="22BD314C">
        <w:tblPrEx>
          <w:tblCellMar>
            <w:top w:w="0" w:type="dxa"/>
            <w:left w:w="0" w:type="dxa"/>
            <w:bottom w:w="0" w:type="dxa"/>
            <w:right w:w="0" w:type="dxa"/>
          </w:tblCellMar>
        </w:tblPrEx>
        <w:trPr>
          <w:wBefore w:w="0" w:type="auto"/>
          <w:tblCellSpacing w:w="0" w:type="dxa"/>
        </w:trPr>
        <w:tc>
          <w:tcPr>
            <w:tcW w:w="0" w:type="auto"/>
            <w:noWrap w:val="0"/>
            <w:vAlign w:val="center"/>
          </w:tcPr>
          <w:p w14:paraId="5368192D">
            <w:r>
              <w:rPr>
                <w:rStyle w:val="10"/>
                <w:rFonts w:hint="eastAsia"/>
              </w:rPr>
              <w:t>产品性能:</w:t>
            </w:r>
            <w:r>
              <w:rPr>
                <w:rFonts w:hint="eastAsia"/>
              </w:rPr>
              <w:br w:type="textWrapping"/>
            </w:r>
            <w:r>
              <w:rPr>
                <w:rStyle w:val="11"/>
                <w:rFonts w:hint="eastAsia"/>
              </w:rPr>
              <w:t>硫代氨基甲酸酯类，内吸传导型选择性除草剂。主要通过叶子和根部吸收，抑制分生组织的脂肪合成从而抑制叶子和根的生长。主要防除冬小麦、冬小麦和黑麦田中的禾本科和阔叶杂草。本产品仅用于加工农药制剂，不可直接用于农作物和其他场所</w:t>
            </w:r>
          </w:p>
        </w:tc>
      </w:tr>
      <w:tr w14:paraId="098F41B1">
        <w:tblPrEx>
          <w:tblCellMar>
            <w:top w:w="0" w:type="dxa"/>
            <w:left w:w="0" w:type="dxa"/>
            <w:bottom w:w="0" w:type="dxa"/>
            <w:right w:w="0" w:type="dxa"/>
          </w:tblCellMar>
        </w:tblPrEx>
        <w:trPr>
          <w:wBefore w:w="0" w:type="auto"/>
          <w:tblCellSpacing w:w="0" w:type="dxa"/>
        </w:trPr>
        <w:tc>
          <w:tcPr>
            <w:tcW w:w="0" w:type="auto"/>
            <w:noWrap w:val="0"/>
            <w:vAlign w:val="center"/>
          </w:tcPr>
          <w:p w14:paraId="77338021">
            <w:r>
              <w:rPr>
                <w:rStyle w:val="10"/>
                <w:rFonts w:hint="eastAsia"/>
              </w:rPr>
              <w:t>注意事项：</w:t>
            </w:r>
            <w:r>
              <w:rPr>
                <w:rFonts w:hint="eastAsia"/>
              </w:rPr>
              <w:br w:type="textWrapping"/>
            </w:r>
            <w:r>
              <w:rPr>
                <w:rStyle w:val="11"/>
                <w:rFonts w:hint="eastAsia"/>
              </w:rPr>
              <w:t>1.用扳手逆时针旋转包装桶上的密封内盖即可开启包装桶，废弃原药包装用深埋或焚烧等方法处理。2.接触到本品时应戴呼吸器、防护眼镜和耐腐蚀手套。3.本品着火时可用二氧化碳、干粉、泡沫、水灭火。4.泄漏时处理人员应穿戴氧气呼吸器、厚胶手套，胶靴，用沙子吸收泄漏物，然后把沙子放入密闭的容器。通风，用水冲洗受污染场地。5.用过的容器应妥善处理，不可做他用，也不可随意丢弃。</w:t>
            </w:r>
          </w:p>
        </w:tc>
      </w:tr>
      <w:tr w14:paraId="503A4FCC">
        <w:tblPrEx>
          <w:tblCellMar>
            <w:top w:w="0" w:type="dxa"/>
            <w:left w:w="0" w:type="dxa"/>
            <w:bottom w:w="0" w:type="dxa"/>
            <w:right w:w="0" w:type="dxa"/>
          </w:tblCellMar>
        </w:tblPrEx>
        <w:trPr>
          <w:wBefore w:w="0" w:type="auto"/>
          <w:tblCellSpacing w:w="0" w:type="dxa"/>
        </w:trPr>
        <w:tc>
          <w:tcPr>
            <w:tcW w:w="0" w:type="auto"/>
            <w:noWrap w:val="0"/>
            <w:vAlign w:val="center"/>
          </w:tcPr>
          <w:p w14:paraId="23302CB3">
            <w:r>
              <w:rPr>
                <w:rStyle w:val="10"/>
                <w:rFonts w:hint="eastAsia"/>
              </w:rPr>
              <w:t>中毒急救措施：</w:t>
            </w:r>
            <w:r>
              <w:rPr>
                <w:rFonts w:hint="eastAsia"/>
              </w:rPr>
              <w:br w:type="textWrapping"/>
            </w:r>
            <w:r>
              <w:rPr>
                <w:rStyle w:val="11"/>
                <w:rFonts w:hint="eastAsia"/>
              </w:rPr>
              <w:t>中毒症状表现为对皮肤和眼睛刺激性，口服者出现恶心、呕吐等一般中毒症状，严重者中毒性休克。不慎吸入，应将病人移至空气流通处，不慎接触皮肤或溅入眼睛，应用大量清水冲洗至少15分钟。误服清醒时可口服牛奶、蛋清或催吐，清水洗胃，避免饮酒。同时应立即携此标签将病人送医院诊治。医生应首先判断中毒的主要原因，若判断为苄草丹中毒，应对症治疗，无特殊解毒剂。</w:t>
            </w:r>
          </w:p>
        </w:tc>
      </w:tr>
      <w:tr w14:paraId="7158729D">
        <w:tblPrEx>
          <w:tblCellMar>
            <w:top w:w="0" w:type="dxa"/>
            <w:left w:w="0" w:type="dxa"/>
            <w:bottom w:w="0" w:type="dxa"/>
            <w:right w:w="0" w:type="dxa"/>
          </w:tblCellMar>
        </w:tblPrEx>
        <w:trPr>
          <w:wBefore w:w="0" w:type="auto"/>
          <w:tblCellSpacing w:w="0" w:type="dxa"/>
        </w:trPr>
        <w:tc>
          <w:tcPr>
            <w:tcW w:w="0" w:type="auto"/>
            <w:noWrap w:val="0"/>
            <w:vAlign w:val="center"/>
          </w:tcPr>
          <w:p w14:paraId="19A48101">
            <w:r>
              <w:rPr>
                <w:rStyle w:val="10"/>
                <w:rFonts w:hint="eastAsia"/>
              </w:rPr>
              <w:t>储存和运输方法：</w:t>
            </w:r>
            <w:r>
              <w:rPr>
                <w:rFonts w:hint="eastAsia"/>
              </w:rPr>
              <w:br w:type="textWrapping"/>
            </w:r>
            <w:r>
              <w:rPr>
                <w:rStyle w:val="11"/>
                <w:rFonts w:hint="eastAsia"/>
              </w:rPr>
              <w:t>本品应密封，贮存在干燥、阴凉、通风、防雨处，远离火源或热源，避免与强氧化剂接触。置于儿童触及不到之处，勿与食品、饮料、饲料等其他商品同贮同运。</w:t>
            </w:r>
          </w:p>
        </w:tc>
      </w:tr>
      <w:tr w14:paraId="2001D670">
        <w:tblPrEx>
          <w:tblCellMar>
            <w:top w:w="0" w:type="dxa"/>
            <w:left w:w="0" w:type="dxa"/>
            <w:bottom w:w="0" w:type="dxa"/>
            <w:right w:w="0" w:type="dxa"/>
          </w:tblCellMar>
        </w:tblPrEx>
        <w:trPr>
          <w:wBefore w:w="0" w:type="auto"/>
          <w:tblCellSpacing w:w="0" w:type="dxa"/>
        </w:trPr>
        <w:tc>
          <w:tcPr>
            <w:tcW w:w="0" w:type="auto"/>
            <w:noWrap w:val="0"/>
            <w:vAlign w:val="center"/>
          </w:tcPr>
          <w:p w14:paraId="43B1EA31">
            <w:r>
              <w:rPr>
                <w:rStyle w:val="10"/>
                <w:rFonts w:hint="eastAsia"/>
              </w:rPr>
              <w:t>质量保证期：</w:t>
            </w:r>
            <w:r>
              <w:rPr>
                <w:rStyle w:val="11"/>
                <w:rFonts w:hint="eastAsia"/>
              </w:rPr>
              <w:t>2年</w:t>
            </w:r>
          </w:p>
        </w:tc>
      </w:tr>
      <w:tr w14:paraId="4CC77196">
        <w:tblPrEx>
          <w:tblCellMar>
            <w:top w:w="0" w:type="dxa"/>
            <w:left w:w="0" w:type="dxa"/>
            <w:bottom w:w="0" w:type="dxa"/>
            <w:right w:w="0" w:type="dxa"/>
          </w:tblCellMar>
        </w:tblPrEx>
        <w:trPr>
          <w:wBefore w:w="0" w:type="auto"/>
          <w:tblCellSpacing w:w="0" w:type="dxa"/>
        </w:trPr>
        <w:tc>
          <w:tcPr>
            <w:tcW w:w="0" w:type="auto"/>
            <w:noWrap w:val="0"/>
            <w:vAlign w:val="center"/>
          </w:tcPr>
          <w:p w14:paraId="0E288B04">
            <w:r>
              <w:rPr>
                <w:rStyle w:val="10"/>
                <w:rFonts w:hint="eastAsia"/>
              </w:rPr>
              <w:t>备注：</w:t>
            </w:r>
          </w:p>
        </w:tc>
      </w:tr>
    </w:tbl>
    <w:p w14:paraId="2EED2CB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59003E">
        <w:tblPrEx>
          <w:tblCellMar>
            <w:top w:w="0" w:type="dxa"/>
            <w:left w:w="0" w:type="dxa"/>
            <w:bottom w:w="0" w:type="dxa"/>
            <w:right w:w="0" w:type="dxa"/>
          </w:tblCellMar>
        </w:tblPrEx>
        <w:trPr>
          <w:wBefore w:w="0" w:type="auto"/>
          <w:tblCellSpacing w:w="0" w:type="dxa"/>
        </w:trPr>
        <w:tc>
          <w:tcPr>
            <w:tcW w:w="0" w:type="auto"/>
            <w:noWrap w:val="0"/>
            <w:vAlign w:val="center"/>
          </w:tcPr>
          <w:p w14:paraId="19F89A80">
            <w:r>
              <w:rPr>
                <w:rStyle w:val="10"/>
                <w:rFonts w:hint="eastAsia"/>
              </w:rPr>
              <w:t>登记证号：</w:t>
            </w:r>
            <w:r>
              <w:rPr>
                <w:rFonts w:hint="eastAsia"/>
              </w:rPr>
              <w:t>PD20212354</w:t>
            </w:r>
          </w:p>
        </w:tc>
      </w:tr>
      <w:tr w14:paraId="3F5E22A9">
        <w:tblPrEx>
          <w:tblCellMar>
            <w:top w:w="0" w:type="dxa"/>
            <w:left w:w="0" w:type="dxa"/>
            <w:bottom w:w="0" w:type="dxa"/>
            <w:right w:w="0" w:type="dxa"/>
          </w:tblCellMar>
        </w:tblPrEx>
        <w:trPr>
          <w:wBefore w:w="0" w:type="auto"/>
          <w:tblCellSpacing w:w="0" w:type="dxa"/>
        </w:trPr>
        <w:tc>
          <w:tcPr>
            <w:tcW w:w="0" w:type="auto"/>
            <w:noWrap w:val="0"/>
            <w:vAlign w:val="center"/>
          </w:tcPr>
          <w:p w14:paraId="7E844CFA">
            <w:r>
              <w:rPr>
                <w:rStyle w:val="10"/>
                <w:rFonts w:hint="eastAsia"/>
              </w:rPr>
              <w:t>登记证持有人：</w:t>
            </w:r>
            <w:r>
              <w:rPr>
                <w:rFonts w:hint="eastAsia"/>
              </w:rPr>
              <w:t>河南农王实业有限公司</w:t>
            </w:r>
          </w:p>
        </w:tc>
      </w:tr>
      <w:tr w14:paraId="7B7D59F8">
        <w:tblPrEx>
          <w:tblCellMar>
            <w:top w:w="0" w:type="dxa"/>
            <w:left w:w="0" w:type="dxa"/>
            <w:bottom w:w="0" w:type="dxa"/>
            <w:right w:w="0" w:type="dxa"/>
          </w:tblCellMar>
        </w:tblPrEx>
        <w:trPr>
          <w:wBefore w:w="0" w:type="auto"/>
          <w:tblCellSpacing w:w="0" w:type="dxa"/>
        </w:trPr>
        <w:tc>
          <w:tcPr>
            <w:tcW w:w="0" w:type="auto"/>
            <w:noWrap w:val="0"/>
            <w:vAlign w:val="center"/>
          </w:tcPr>
          <w:p w14:paraId="4A9C914C">
            <w:r>
              <w:rPr>
                <w:rStyle w:val="10"/>
                <w:rFonts w:hint="eastAsia"/>
              </w:rPr>
              <w:t>农药名称：</w:t>
            </w:r>
            <w:r>
              <w:rPr>
                <w:rFonts w:hint="eastAsia"/>
              </w:rPr>
              <w:t>噻虫嗪</w:t>
            </w:r>
          </w:p>
        </w:tc>
      </w:tr>
      <w:tr w14:paraId="6C5F0019">
        <w:tblPrEx>
          <w:tblCellMar>
            <w:top w:w="0" w:type="dxa"/>
            <w:left w:w="0" w:type="dxa"/>
            <w:bottom w:w="0" w:type="dxa"/>
            <w:right w:w="0" w:type="dxa"/>
          </w:tblCellMar>
        </w:tblPrEx>
        <w:trPr>
          <w:wBefore w:w="0" w:type="auto"/>
          <w:tblCellSpacing w:w="0" w:type="dxa"/>
        </w:trPr>
        <w:tc>
          <w:tcPr>
            <w:tcW w:w="0" w:type="auto"/>
            <w:noWrap w:val="0"/>
            <w:vAlign w:val="center"/>
          </w:tcPr>
          <w:p w14:paraId="26D14316">
            <w:r>
              <w:rPr>
                <w:rStyle w:val="10"/>
                <w:rFonts w:hint="eastAsia"/>
              </w:rPr>
              <w:t>剂型：</w:t>
            </w:r>
            <w:r>
              <w:rPr>
                <w:rFonts w:hint="eastAsia"/>
              </w:rPr>
              <w:t>颗粒剂</w:t>
            </w:r>
          </w:p>
        </w:tc>
      </w:tr>
      <w:tr w14:paraId="199B7F1F">
        <w:tblPrEx>
          <w:tblCellMar>
            <w:top w:w="0" w:type="dxa"/>
            <w:left w:w="0" w:type="dxa"/>
            <w:bottom w:w="0" w:type="dxa"/>
            <w:right w:w="0" w:type="dxa"/>
          </w:tblCellMar>
        </w:tblPrEx>
        <w:trPr>
          <w:wBefore w:w="0" w:type="auto"/>
          <w:tblCellSpacing w:w="0" w:type="dxa"/>
        </w:trPr>
        <w:tc>
          <w:tcPr>
            <w:tcW w:w="0" w:type="auto"/>
            <w:noWrap w:val="0"/>
            <w:vAlign w:val="center"/>
          </w:tcPr>
          <w:p w14:paraId="17AD2C32">
            <w:r>
              <w:rPr>
                <w:rStyle w:val="10"/>
                <w:rFonts w:hint="eastAsia"/>
              </w:rPr>
              <w:t>毒性及其标识：</w:t>
            </w:r>
            <w:r>
              <w:rPr>
                <w:rFonts w:hint="eastAsia"/>
              </w:rPr>
              <w:t xml:space="preserve"> 微毒 </w:t>
            </w:r>
          </w:p>
        </w:tc>
      </w:tr>
      <w:tr w14:paraId="6C1ACD76">
        <w:tblPrEx>
          <w:tblCellMar>
            <w:top w:w="0" w:type="dxa"/>
            <w:left w:w="0" w:type="dxa"/>
            <w:bottom w:w="0" w:type="dxa"/>
            <w:right w:w="0" w:type="dxa"/>
          </w:tblCellMar>
        </w:tblPrEx>
        <w:trPr>
          <w:wBefore w:w="0" w:type="auto"/>
          <w:tblCellSpacing w:w="0" w:type="dxa"/>
        </w:trPr>
        <w:tc>
          <w:tcPr>
            <w:tcW w:w="0" w:type="auto"/>
            <w:noWrap w:val="0"/>
            <w:vAlign w:val="center"/>
          </w:tcPr>
          <w:p w14:paraId="25DA93C5">
            <w:r>
              <w:rPr>
                <w:rStyle w:val="10"/>
                <w:rFonts w:hint="eastAsia"/>
              </w:rPr>
              <w:t>总有效成分含量：</w:t>
            </w:r>
            <w:r>
              <w:rPr>
                <w:rFonts w:hint="eastAsia"/>
              </w:rPr>
              <w:t>5%</w:t>
            </w:r>
          </w:p>
        </w:tc>
      </w:tr>
      <w:tr w14:paraId="1F755A08">
        <w:tblPrEx>
          <w:tblCellMar>
            <w:top w:w="0" w:type="dxa"/>
            <w:left w:w="0" w:type="dxa"/>
            <w:bottom w:w="0" w:type="dxa"/>
            <w:right w:w="0" w:type="dxa"/>
          </w:tblCellMar>
        </w:tblPrEx>
        <w:trPr>
          <w:wBefore w:w="0" w:type="auto"/>
          <w:tblCellSpacing w:w="0" w:type="dxa"/>
        </w:trPr>
        <w:tc>
          <w:tcPr>
            <w:tcW w:w="0" w:type="auto"/>
            <w:noWrap w:val="0"/>
            <w:vAlign w:val="center"/>
          </w:tcPr>
          <w:p w14:paraId="066A818E">
            <w:r>
              <w:rPr>
                <w:rFonts w:hint="eastAsia"/>
              </w:rPr>
              <w:t xml:space="preserve">有效成分及其含量： </w:t>
            </w:r>
          </w:p>
          <w:p w14:paraId="56C5F534">
            <w:r>
              <w:rPr>
                <w:rFonts w:hint="eastAsia"/>
              </w:rPr>
              <w:t xml:space="preserve">    噻虫嗪5%    </w:t>
            </w:r>
          </w:p>
        </w:tc>
      </w:tr>
      <w:tr w14:paraId="3D6D4F9C">
        <w:tblPrEx>
          <w:tblCellMar>
            <w:top w:w="0" w:type="dxa"/>
            <w:left w:w="0" w:type="dxa"/>
            <w:bottom w:w="0" w:type="dxa"/>
            <w:right w:w="0" w:type="dxa"/>
          </w:tblCellMar>
        </w:tblPrEx>
        <w:trPr>
          <w:wBefore w:w="0" w:type="auto"/>
          <w:tblCellSpacing w:w="0" w:type="dxa"/>
        </w:trPr>
        <w:tc>
          <w:tcPr>
            <w:tcW w:w="0" w:type="auto"/>
            <w:noWrap w:val="0"/>
            <w:vAlign w:val="center"/>
          </w:tcPr>
          <w:p w14:paraId="420F53E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C68A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338F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577C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69120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EB0AFD">
                  <w:r>
                    <w:rPr>
                      <w:rStyle w:val="11"/>
                      <w:rFonts w:hint="eastAsia"/>
                    </w:rPr>
                    <w:t>施用方式</w:t>
                  </w:r>
                </w:p>
              </w:tc>
            </w:tr>
            <w:tr w14:paraId="66889C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60967B">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AC6E26">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0EF003">
                  <w:r>
                    <w:rPr>
                      <w:rStyle w:val="11"/>
                      <w:rFonts w:hint="eastAsia"/>
                    </w:rPr>
                    <w:t>500-600克/亩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4BC3FB">
                  <w:r>
                    <w:rPr>
                      <w:rStyle w:val="11"/>
                      <w:rFonts w:hint="eastAsia"/>
                    </w:rPr>
                    <w:t>沟施</w:t>
                  </w:r>
                </w:p>
              </w:tc>
            </w:tr>
          </w:tbl>
          <w:p w14:paraId="6446A824">
            <w:pPr>
              <w:rPr>
                <w:rFonts w:ascii="Times New Roman" w:hAnsi="Times New Roman" w:cs="Times New Roman"/>
                <w:sz w:val="20"/>
                <w:szCs w:val="20"/>
              </w:rPr>
            </w:pPr>
          </w:p>
        </w:tc>
      </w:tr>
      <w:tr w14:paraId="66D5ABD2">
        <w:tblPrEx>
          <w:tblCellMar>
            <w:top w:w="0" w:type="dxa"/>
            <w:left w:w="0" w:type="dxa"/>
            <w:bottom w:w="0" w:type="dxa"/>
            <w:right w:w="0" w:type="dxa"/>
          </w:tblCellMar>
        </w:tblPrEx>
        <w:trPr>
          <w:wBefore w:w="0" w:type="auto"/>
          <w:tblCellSpacing w:w="0" w:type="dxa"/>
        </w:trPr>
        <w:tc>
          <w:tcPr>
            <w:tcW w:w="0" w:type="auto"/>
            <w:noWrap w:val="0"/>
            <w:vAlign w:val="center"/>
          </w:tcPr>
          <w:p w14:paraId="23228072">
            <w:r>
              <w:rPr>
                <w:rStyle w:val="10"/>
                <w:rFonts w:hint="eastAsia"/>
              </w:rPr>
              <w:t>使用技术要求:</w:t>
            </w:r>
            <w:r>
              <w:rPr>
                <w:rFonts w:hint="eastAsia"/>
              </w:rPr>
              <w:br w:type="textWrapping"/>
            </w:r>
            <w:r>
              <w:rPr>
                <w:rStyle w:val="11"/>
                <w:rFonts w:hint="eastAsia"/>
              </w:rPr>
              <w:t>1. 本品应于甘蓝移栽时施药1次。施药时将药剂与细砂混匀后，在甘蓝苗周围开沟均匀撒施，覆土，可适当浇水。2. 大风天或预计1小时内降雨，请勿施药。3. 本品在甘蓝上每季作物最多使用1次。</w:t>
            </w:r>
          </w:p>
        </w:tc>
      </w:tr>
      <w:tr w14:paraId="217B7316">
        <w:tblPrEx>
          <w:tblCellMar>
            <w:top w:w="0" w:type="dxa"/>
            <w:left w:w="0" w:type="dxa"/>
            <w:bottom w:w="0" w:type="dxa"/>
            <w:right w:w="0" w:type="dxa"/>
          </w:tblCellMar>
        </w:tblPrEx>
        <w:trPr>
          <w:wBefore w:w="0" w:type="auto"/>
          <w:tblCellSpacing w:w="0" w:type="dxa"/>
        </w:trPr>
        <w:tc>
          <w:tcPr>
            <w:tcW w:w="0" w:type="auto"/>
            <w:noWrap w:val="0"/>
            <w:vAlign w:val="center"/>
          </w:tcPr>
          <w:p w14:paraId="25847A59">
            <w:r>
              <w:rPr>
                <w:rStyle w:val="10"/>
                <w:rFonts w:hint="eastAsia"/>
              </w:rPr>
              <w:t>产品性能:</w:t>
            </w:r>
            <w:r>
              <w:rPr>
                <w:rFonts w:hint="eastAsia"/>
              </w:rPr>
              <w:br w:type="textWrapping"/>
            </w:r>
            <w:r>
              <w:rPr>
                <w:rStyle w:val="11"/>
                <w:rFonts w:hint="eastAsia"/>
              </w:rPr>
              <w:t>本品为新烟碱类杀虫剂，具有较强的触杀、胃毒和内吸作用，对害虫具有较高的活性。其作用机理是阻断昆虫中枢神经系统的正常传导，造成害虫出现麻痹而死亡。按登记剂量使用时，对甘蓝黄条跳甲有较好的防治效果。</w:t>
            </w:r>
          </w:p>
        </w:tc>
      </w:tr>
      <w:tr w14:paraId="4333FF8D">
        <w:tblPrEx>
          <w:tblCellMar>
            <w:top w:w="0" w:type="dxa"/>
            <w:left w:w="0" w:type="dxa"/>
            <w:bottom w:w="0" w:type="dxa"/>
            <w:right w:w="0" w:type="dxa"/>
          </w:tblCellMar>
        </w:tblPrEx>
        <w:trPr>
          <w:wBefore w:w="0" w:type="auto"/>
          <w:tblCellSpacing w:w="0" w:type="dxa"/>
        </w:trPr>
        <w:tc>
          <w:tcPr>
            <w:tcW w:w="0" w:type="auto"/>
            <w:noWrap w:val="0"/>
            <w:vAlign w:val="center"/>
          </w:tcPr>
          <w:p w14:paraId="23077CD2">
            <w:r>
              <w:rPr>
                <w:rStyle w:val="10"/>
                <w:rFonts w:hint="eastAsia"/>
              </w:rPr>
              <w:t>注意事项：</w:t>
            </w:r>
            <w:r>
              <w:rPr>
                <w:rFonts w:hint="eastAsia"/>
              </w:rPr>
              <w:br w:type="textWrapping"/>
            </w:r>
            <w:r>
              <w:rPr>
                <w:rStyle w:val="11"/>
                <w:rFonts w:hint="eastAsia"/>
              </w:rPr>
              <w:t>1. 严格按照规定用药量和方法使用。2. 建议与其他作用机制不同的杀虫剂轮换使用，以延缓抗性产生。3. 鸟类保护区附近禁用，施药后应立即覆土；（周围）开花植物花期禁用，使用后密切关注对附近蜂群的影响，告知所在地及邻近3000 米以内的养蜂者；禁止在河塘等水体中清洗施药器具。4. 使用过的施药器械，应清洗干净方可用于其它的农药。5. 本品对眼睛有刺激性，使用时避免接触眼睛，穿戴长衣、长裤、帽子、口罩、手套等防护措施。施药中禁止饮食、吸烟、饮水等；施药后应用肥皂和清水彻底清洗暴露在外的皮肤。6. 用药后包装物及用过的容器应妥善处理，不可做他用，也不可随意丢弃。7. 孕妇、哺乳期的妇女禁止接触本产品。</w:t>
            </w:r>
          </w:p>
        </w:tc>
      </w:tr>
      <w:tr w14:paraId="6069A248">
        <w:tblPrEx>
          <w:tblCellMar>
            <w:top w:w="0" w:type="dxa"/>
            <w:left w:w="0" w:type="dxa"/>
            <w:bottom w:w="0" w:type="dxa"/>
            <w:right w:w="0" w:type="dxa"/>
          </w:tblCellMar>
        </w:tblPrEx>
        <w:trPr>
          <w:wBefore w:w="0" w:type="auto"/>
          <w:tblCellSpacing w:w="0" w:type="dxa"/>
        </w:trPr>
        <w:tc>
          <w:tcPr>
            <w:tcW w:w="0" w:type="auto"/>
            <w:noWrap w:val="0"/>
            <w:vAlign w:val="center"/>
          </w:tcPr>
          <w:p w14:paraId="7C7BC8DF">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01BC0669">
        <w:tblPrEx>
          <w:tblCellMar>
            <w:top w:w="0" w:type="dxa"/>
            <w:left w:w="0" w:type="dxa"/>
            <w:bottom w:w="0" w:type="dxa"/>
            <w:right w:w="0" w:type="dxa"/>
          </w:tblCellMar>
        </w:tblPrEx>
        <w:trPr>
          <w:wBefore w:w="0" w:type="auto"/>
          <w:tblCellSpacing w:w="0" w:type="dxa"/>
        </w:trPr>
        <w:tc>
          <w:tcPr>
            <w:tcW w:w="0" w:type="auto"/>
            <w:noWrap w:val="0"/>
            <w:vAlign w:val="center"/>
          </w:tcPr>
          <w:p w14:paraId="3E894ACD">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本品应储存在干燥、阴凉、通风、防雨处，远离火源或热源。置于儿童接触不到的地方，并加锁。不能与食品、饮料、粮食、饲料等同储同运。在装卸、运输时应轻拿轻放。</w:t>
            </w:r>
          </w:p>
        </w:tc>
      </w:tr>
      <w:tr w14:paraId="57F6B62D">
        <w:tblPrEx>
          <w:tblCellMar>
            <w:top w:w="0" w:type="dxa"/>
            <w:left w:w="0" w:type="dxa"/>
            <w:bottom w:w="0" w:type="dxa"/>
            <w:right w:w="0" w:type="dxa"/>
          </w:tblCellMar>
        </w:tblPrEx>
        <w:trPr>
          <w:wBefore w:w="0" w:type="auto"/>
          <w:tblCellSpacing w:w="0" w:type="dxa"/>
        </w:trPr>
        <w:tc>
          <w:tcPr>
            <w:tcW w:w="0" w:type="auto"/>
            <w:noWrap w:val="0"/>
            <w:vAlign w:val="center"/>
          </w:tcPr>
          <w:p w14:paraId="1CFD4378">
            <w:r>
              <w:rPr>
                <w:rStyle w:val="10"/>
                <w:rFonts w:hint="eastAsia"/>
              </w:rPr>
              <w:t>质量保证期：</w:t>
            </w:r>
            <w:r>
              <w:rPr>
                <w:rStyle w:val="11"/>
                <w:rFonts w:hint="eastAsia"/>
              </w:rPr>
              <w:t>2年</w:t>
            </w:r>
          </w:p>
        </w:tc>
      </w:tr>
      <w:tr w14:paraId="7AA63404">
        <w:tblPrEx>
          <w:tblCellMar>
            <w:top w:w="0" w:type="dxa"/>
            <w:left w:w="0" w:type="dxa"/>
            <w:bottom w:w="0" w:type="dxa"/>
            <w:right w:w="0" w:type="dxa"/>
          </w:tblCellMar>
        </w:tblPrEx>
        <w:trPr>
          <w:wBefore w:w="0" w:type="auto"/>
          <w:tblCellSpacing w:w="0" w:type="dxa"/>
        </w:trPr>
        <w:tc>
          <w:tcPr>
            <w:tcW w:w="0" w:type="auto"/>
            <w:noWrap w:val="0"/>
            <w:vAlign w:val="center"/>
          </w:tcPr>
          <w:p w14:paraId="6818F828">
            <w:r>
              <w:rPr>
                <w:rStyle w:val="10"/>
                <w:rFonts w:hint="eastAsia"/>
              </w:rPr>
              <w:t>备注：</w:t>
            </w:r>
          </w:p>
        </w:tc>
      </w:tr>
    </w:tbl>
    <w:p w14:paraId="4BA79C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B8A17C">
        <w:tblPrEx>
          <w:tblCellMar>
            <w:top w:w="0" w:type="dxa"/>
            <w:left w:w="0" w:type="dxa"/>
            <w:bottom w:w="0" w:type="dxa"/>
            <w:right w:w="0" w:type="dxa"/>
          </w:tblCellMar>
        </w:tblPrEx>
        <w:trPr>
          <w:wBefore w:w="0" w:type="auto"/>
          <w:tblCellSpacing w:w="0" w:type="dxa"/>
        </w:trPr>
        <w:tc>
          <w:tcPr>
            <w:tcW w:w="0" w:type="auto"/>
            <w:noWrap w:val="0"/>
            <w:vAlign w:val="center"/>
          </w:tcPr>
          <w:p w14:paraId="0D177F01">
            <w:r>
              <w:rPr>
                <w:rStyle w:val="10"/>
                <w:rFonts w:hint="eastAsia"/>
              </w:rPr>
              <w:t>登记证号：</w:t>
            </w:r>
            <w:r>
              <w:rPr>
                <w:rFonts w:hint="eastAsia"/>
              </w:rPr>
              <w:t>PD20212478</w:t>
            </w:r>
          </w:p>
        </w:tc>
      </w:tr>
      <w:tr w14:paraId="0EA82527">
        <w:tblPrEx>
          <w:tblCellMar>
            <w:top w:w="0" w:type="dxa"/>
            <w:left w:w="0" w:type="dxa"/>
            <w:bottom w:w="0" w:type="dxa"/>
            <w:right w:w="0" w:type="dxa"/>
          </w:tblCellMar>
        </w:tblPrEx>
        <w:trPr>
          <w:wBefore w:w="0" w:type="auto"/>
          <w:tblCellSpacing w:w="0" w:type="dxa"/>
        </w:trPr>
        <w:tc>
          <w:tcPr>
            <w:tcW w:w="0" w:type="auto"/>
            <w:noWrap w:val="0"/>
            <w:vAlign w:val="center"/>
          </w:tcPr>
          <w:p w14:paraId="09E8EA27">
            <w:r>
              <w:rPr>
                <w:rStyle w:val="10"/>
                <w:rFonts w:hint="eastAsia"/>
              </w:rPr>
              <w:t>登记证持有人：</w:t>
            </w:r>
            <w:r>
              <w:rPr>
                <w:rFonts w:hint="eastAsia"/>
              </w:rPr>
              <w:t>黑龙江绿丰源生物科技有限公司</w:t>
            </w:r>
          </w:p>
        </w:tc>
      </w:tr>
      <w:tr w14:paraId="0581C04A">
        <w:tblPrEx>
          <w:tblCellMar>
            <w:top w:w="0" w:type="dxa"/>
            <w:left w:w="0" w:type="dxa"/>
            <w:bottom w:w="0" w:type="dxa"/>
            <w:right w:w="0" w:type="dxa"/>
          </w:tblCellMar>
        </w:tblPrEx>
        <w:trPr>
          <w:wBefore w:w="0" w:type="auto"/>
          <w:tblCellSpacing w:w="0" w:type="dxa"/>
        </w:trPr>
        <w:tc>
          <w:tcPr>
            <w:tcW w:w="0" w:type="auto"/>
            <w:noWrap w:val="0"/>
            <w:vAlign w:val="center"/>
          </w:tcPr>
          <w:p w14:paraId="25E3ECD5">
            <w:r>
              <w:rPr>
                <w:rStyle w:val="10"/>
                <w:rFonts w:hint="eastAsia"/>
              </w:rPr>
              <w:t>农药名称：</w:t>
            </w:r>
            <w:r>
              <w:rPr>
                <w:rFonts w:hint="eastAsia"/>
              </w:rPr>
              <w:t>苄·扑·西草净</w:t>
            </w:r>
          </w:p>
        </w:tc>
      </w:tr>
      <w:tr w14:paraId="219BB0BC">
        <w:tblPrEx>
          <w:tblCellMar>
            <w:top w:w="0" w:type="dxa"/>
            <w:left w:w="0" w:type="dxa"/>
            <w:bottom w:w="0" w:type="dxa"/>
            <w:right w:w="0" w:type="dxa"/>
          </w:tblCellMar>
        </w:tblPrEx>
        <w:trPr>
          <w:wBefore w:w="0" w:type="auto"/>
          <w:tblCellSpacing w:w="0" w:type="dxa"/>
        </w:trPr>
        <w:tc>
          <w:tcPr>
            <w:tcW w:w="0" w:type="auto"/>
            <w:noWrap w:val="0"/>
            <w:vAlign w:val="center"/>
          </w:tcPr>
          <w:p w14:paraId="0A3C517B">
            <w:r>
              <w:rPr>
                <w:rStyle w:val="10"/>
                <w:rFonts w:hint="eastAsia"/>
              </w:rPr>
              <w:t>剂型：</w:t>
            </w:r>
            <w:r>
              <w:rPr>
                <w:rFonts w:hint="eastAsia"/>
              </w:rPr>
              <w:t>可湿性粉剂</w:t>
            </w:r>
          </w:p>
        </w:tc>
      </w:tr>
      <w:tr w14:paraId="0E82C604">
        <w:tblPrEx>
          <w:tblCellMar>
            <w:top w:w="0" w:type="dxa"/>
            <w:left w:w="0" w:type="dxa"/>
            <w:bottom w:w="0" w:type="dxa"/>
            <w:right w:w="0" w:type="dxa"/>
          </w:tblCellMar>
        </w:tblPrEx>
        <w:trPr>
          <w:wBefore w:w="0" w:type="auto"/>
          <w:tblCellSpacing w:w="0" w:type="dxa"/>
        </w:trPr>
        <w:tc>
          <w:tcPr>
            <w:tcW w:w="0" w:type="auto"/>
            <w:noWrap w:val="0"/>
            <w:vAlign w:val="center"/>
          </w:tcPr>
          <w:p w14:paraId="079585C7">
            <w:r>
              <w:rPr>
                <w:rStyle w:val="10"/>
                <w:rFonts w:hint="eastAsia"/>
              </w:rPr>
              <w:t>毒性及其标识：</w:t>
            </w:r>
            <w:r>
              <w:rPr>
                <w:rFonts w:hint="eastAsia"/>
              </w:rPr>
              <w:t xml:space="preserve"> </w:t>
            </w:r>
            <w:r>
              <w:rPr>
                <w:lang/>
              </w:rPr>
              <w:drawing>
                <wp:inline distT="0" distB="0" distL="114300" distR="114300">
                  <wp:extent cx="476250" cy="323850"/>
                  <wp:effectExtent l="0" t="0" r="0" b="0"/>
                  <wp:docPr id="20" name="图片 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AB8A19">
        <w:tblPrEx>
          <w:tblCellMar>
            <w:top w:w="0" w:type="dxa"/>
            <w:left w:w="0" w:type="dxa"/>
            <w:bottom w:w="0" w:type="dxa"/>
            <w:right w:w="0" w:type="dxa"/>
          </w:tblCellMar>
        </w:tblPrEx>
        <w:trPr>
          <w:wBefore w:w="0" w:type="auto"/>
          <w:tblCellSpacing w:w="0" w:type="dxa"/>
        </w:trPr>
        <w:tc>
          <w:tcPr>
            <w:tcW w:w="0" w:type="auto"/>
            <w:noWrap w:val="0"/>
            <w:vAlign w:val="center"/>
          </w:tcPr>
          <w:p w14:paraId="69B329DD">
            <w:r>
              <w:rPr>
                <w:rStyle w:val="10"/>
                <w:rFonts w:hint="eastAsia"/>
              </w:rPr>
              <w:t>总有效成分含量：</w:t>
            </w:r>
            <w:r>
              <w:rPr>
                <w:rFonts w:hint="eastAsia"/>
              </w:rPr>
              <w:t>38%</w:t>
            </w:r>
          </w:p>
        </w:tc>
      </w:tr>
      <w:tr w14:paraId="79F315E3">
        <w:tblPrEx>
          <w:tblCellMar>
            <w:top w:w="0" w:type="dxa"/>
            <w:left w:w="0" w:type="dxa"/>
            <w:bottom w:w="0" w:type="dxa"/>
            <w:right w:w="0" w:type="dxa"/>
          </w:tblCellMar>
        </w:tblPrEx>
        <w:trPr>
          <w:wBefore w:w="0" w:type="auto"/>
          <w:tblCellSpacing w:w="0" w:type="dxa"/>
        </w:trPr>
        <w:tc>
          <w:tcPr>
            <w:tcW w:w="0" w:type="auto"/>
            <w:noWrap w:val="0"/>
            <w:vAlign w:val="center"/>
          </w:tcPr>
          <w:p w14:paraId="681434CF">
            <w:r>
              <w:rPr>
                <w:rFonts w:hint="eastAsia"/>
              </w:rPr>
              <w:t xml:space="preserve">有效成分及其含量： </w:t>
            </w:r>
          </w:p>
          <w:p w14:paraId="0D758005">
            <w:r>
              <w:rPr>
                <w:rFonts w:hint="eastAsia"/>
              </w:rPr>
              <w:t xml:space="preserve">    苄嘧磺隆6%    西草净20%    扑草净12%    </w:t>
            </w:r>
          </w:p>
        </w:tc>
      </w:tr>
      <w:tr w14:paraId="5558068E">
        <w:tblPrEx>
          <w:tblCellMar>
            <w:top w:w="0" w:type="dxa"/>
            <w:left w:w="0" w:type="dxa"/>
            <w:bottom w:w="0" w:type="dxa"/>
            <w:right w:w="0" w:type="dxa"/>
          </w:tblCellMar>
        </w:tblPrEx>
        <w:trPr>
          <w:wBefore w:w="0" w:type="auto"/>
          <w:tblCellSpacing w:w="0" w:type="dxa"/>
        </w:trPr>
        <w:tc>
          <w:tcPr>
            <w:tcW w:w="0" w:type="auto"/>
            <w:noWrap w:val="0"/>
            <w:vAlign w:val="center"/>
          </w:tcPr>
          <w:p w14:paraId="762690A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DDB3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D77A6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D072A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FFFF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8C7D82">
                  <w:r>
                    <w:rPr>
                      <w:rStyle w:val="11"/>
                      <w:rFonts w:hint="eastAsia"/>
                    </w:rPr>
                    <w:t>施用方式</w:t>
                  </w:r>
                </w:p>
              </w:tc>
            </w:tr>
            <w:tr w14:paraId="685467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E3C70D">
                  <w:r>
                    <w:rPr>
                      <w:rStyle w:val="11"/>
                      <w:rFonts w:hint="eastAsia"/>
                    </w:rPr>
                    <w:t>移栽水稻田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AEF0B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4913BD">
                  <w:r>
                    <w:rPr>
                      <w:rStyle w:val="11"/>
                      <w:rFonts w:hint="eastAsia"/>
                    </w:rPr>
                    <w:t>45-60克/亩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C80FA1">
                  <w:r>
                    <w:rPr>
                      <w:rStyle w:val="11"/>
                      <w:rFonts w:hint="eastAsia"/>
                    </w:rPr>
                    <w:t>药土法</w:t>
                  </w:r>
                </w:p>
              </w:tc>
            </w:tr>
          </w:tbl>
          <w:p w14:paraId="7BF4D642">
            <w:pPr>
              <w:rPr>
                <w:rFonts w:ascii="Times New Roman" w:hAnsi="Times New Roman" w:cs="Times New Roman"/>
                <w:sz w:val="20"/>
                <w:szCs w:val="20"/>
              </w:rPr>
            </w:pPr>
          </w:p>
        </w:tc>
      </w:tr>
      <w:tr w14:paraId="67166399">
        <w:tblPrEx>
          <w:tblCellMar>
            <w:top w:w="0" w:type="dxa"/>
            <w:left w:w="0" w:type="dxa"/>
            <w:bottom w:w="0" w:type="dxa"/>
            <w:right w:w="0" w:type="dxa"/>
          </w:tblCellMar>
        </w:tblPrEx>
        <w:trPr>
          <w:wBefore w:w="0" w:type="auto"/>
          <w:tblCellSpacing w:w="0" w:type="dxa"/>
        </w:trPr>
        <w:tc>
          <w:tcPr>
            <w:tcW w:w="0" w:type="auto"/>
            <w:noWrap w:val="0"/>
            <w:vAlign w:val="center"/>
          </w:tcPr>
          <w:p w14:paraId="0A7C5BEF">
            <w:r>
              <w:rPr>
                <w:rStyle w:val="10"/>
                <w:rFonts w:hint="eastAsia"/>
              </w:rPr>
              <w:t>使用技术要求:</w:t>
            </w:r>
            <w:r>
              <w:rPr>
                <w:rFonts w:hint="eastAsia"/>
              </w:rPr>
              <w:br w:type="textWrapping"/>
            </w:r>
            <w:r>
              <w:rPr>
                <w:rStyle w:val="11"/>
                <w:rFonts w:hint="eastAsia"/>
              </w:rPr>
              <w:t>应于水稻移栽缓苗后采用药土法，混细潮土15-20千克混均匀后撒施施药1次，药后保浅水层5-7天后常规田管。施药前堵住进出水口，施药后保持3－5厘米药水层5－7天（勿淹没稻苗心叶），不灌不排，然后转入正常管理。施药时称样量应准确，撒施要均匀。每季作物最多使用次数为1次。</w:t>
            </w:r>
          </w:p>
        </w:tc>
      </w:tr>
      <w:tr w14:paraId="13ABF7B0">
        <w:tblPrEx>
          <w:tblCellMar>
            <w:top w:w="0" w:type="dxa"/>
            <w:left w:w="0" w:type="dxa"/>
            <w:bottom w:w="0" w:type="dxa"/>
            <w:right w:w="0" w:type="dxa"/>
          </w:tblCellMar>
        </w:tblPrEx>
        <w:trPr>
          <w:wBefore w:w="0" w:type="auto"/>
          <w:tblCellSpacing w:w="0" w:type="dxa"/>
        </w:trPr>
        <w:tc>
          <w:tcPr>
            <w:tcW w:w="0" w:type="auto"/>
            <w:noWrap w:val="0"/>
            <w:vAlign w:val="center"/>
          </w:tcPr>
          <w:p w14:paraId="343FB1B1">
            <w:r>
              <w:rPr>
                <w:rStyle w:val="10"/>
                <w:rFonts w:hint="eastAsia"/>
              </w:rPr>
              <w:t>产品性能:</w:t>
            </w:r>
            <w:r>
              <w:rPr>
                <w:rFonts w:hint="eastAsia"/>
              </w:rPr>
              <w:br w:type="textWrapping"/>
            </w:r>
            <w:r>
              <w:rPr>
                <w:rStyle w:val="11"/>
                <w:rFonts w:hint="eastAsia"/>
              </w:rPr>
              <w:t>本品为选择性内吸型传导性除草剂，可从根部吸收，也可从茎叶渗入体内。对刚萌发的杂草防效最好。它能抑制杂草的光合作用，使之因生理饥饿而死亡。可防除移栽水稻田中的一年生杂草、部分阔叶杂草及莎草科杂草。</w:t>
            </w:r>
          </w:p>
        </w:tc>
      </w:tr>
      <w:tr w14:paraId="5D4552CE">
        <w:tblPrEx>
          <w:tblCellMar>
            <w:top w:w="0" w:type="dxa"/>
            <w:left w:w="0" w:type="dxa"/>
            <w:bottom w:w="0" w:type="dxa"/>
            <w:right w:w="0" w:type="dxa"/>
          </w:tblCellMar>
        </w:tblPrEx>
        <w:trPr>
          <w:wBefore w:w="0" w:type="auto"/>
          <w:tblCellSpacing w:w="0" w:type="dxa"/>
        </w:trPr>
        <w:tc>
          <w:tcPr>
            <w:tcW w:w="0" w:type="auto"/>
            <w:noWrap w:val="0"/>
            <w:vAlign w:val="center"/>
          </w:tcPr>
          <w:p w14:paraId="10E3A3C9">
            <w:r>
              <w:rPr>
                <w:rStyle w:val="10"/>
                <w:rFonts w:hint="eastAsia"/>
              </w:rPr>
              <w:t>注意事项：</w:t>
            </w:r>
            <w:r>
              <w:rPr>
                <w:rFonts w:hint="eastAsia"/>
              </w:rPr>
              <w:br w:type="textWrapping"/>
            </w:r>
            <w:r>
              <w:rPr>
                <w:rStyle w:val="11"/>
                <w:rFonts w:hint="eastAsia"/>
              </w:rPr>
              <w:t>1.本品为水稻移栽田专用除草剂，不可用于其它作物田。本药剂禁止喷雾施用。施药时保持水层4-6厘米（勿淹没稻苗心叶），保水7天，只灌不排。弱苗、漏水田、稻叶露水未干不能使用。2.在气温超过30℃或水温超过28℃时请在当地农技人员指导下使用。最好选择无风天下午施药，早晨叶片有露水不宜施药。3.使用时应穿戴防护服、防护眼镜和口罩、手套、避免吸入药液。施药期间不可吃东西和饮水，施药后应及时洗手和洗脸。4.远离水产养殖区，河塘等水体放药，禁止在河塘等水体中清洗施药器具，鱼或虾蟹套养稻田禁用，施药区的田水不得直接排入水体。5.避免孕妇及哺乳期的妇女接触本品。6.用过的容器应妥善处理，不可做他用，也不可随意丢弃。</w:t>
            </w:r>
          </w:p>
        </w:tc>
      </w:tr>
      <w:tr w14:paraId="59297E5B">
        <w:tblPrEx>
          <w:tblCellMar>
            <w:top w:w="0" w:type="dxa"/>
            <w:left w:w="0" w:type="dxa"/>
            <w:bottom w:w="0" w:type="dxa"/>
            <w:right w:w="0" w:type="dxa"/>
          </w:tblCellMar>
        </w:tblPrEx>
        <w:trPr>
          <w:wBefore w:w="0" w:type="auto"/>
          <w:tblCellSpacing w:w="0" w:type="dxa"/>
        </w:trPr>
        <w:tc>
          <w:tcPr>
            <w:tcW w:w="0" w:type="auto"/>
            <w:noWrap w:val="0"/>
            <w:vAlign w:val="center"/>
          </w:tcPr>
          <w:p w14:paraId="2E77C092">
            <w:r>
              <w:rPr>
                <w:rStyle w:val="10"/>
                <w:rFonts w:hint="eastAsia"/>
              </w:rPr>
              <w:t>中毒急救措施：</w:t>
            </w:r>
            <w:r>
              <w:rPr>
                <w:rFonts w:hint="eastAsia"/>
              </w:rPr>
              <w:br w:type="textWrapping"/>
            </w:r>
            <w:r>
              <w:rPr>
                <w:rStyle w:val="11"/>
                <w:rFonts w:hint="eastAsia"/>
              </w:rPr>
              <w:t>本品对眼睛有刺激性，若不慎溅入眼睛，用大量清水冲洗至少15分钟，如症状没有缓解，请医生疹疗。使用时应做好劳动防护，若中毒及时送医院对症治疗。本品无特殊解毒药，误服应立即携此标签将病人送医院诊治。</w:t>
            </w:r>
          </w:p>
        </w:tc>
      </w:tr>
      <w:tr w14:paraId="3EF88B62">
        <w:tblPrEx>
          <w:tblCellMar>
            <w:top w:w="0" w:type="dxa"/>
            <w:left w:w="0" w:type="dxa"/>
            <w:bottom w:w="0" w:type="dxa"/>
            <w:right w:w="0" w:type="dxa"/>
          </w:tblCellMar>
        </w:tblPrEx>
        <w:trPr>
          <w:wBefore w:w="0" w:type="auto"/>
          <w:tblCellSpacing w:w="0" w:type="dxa"/>
        </w:trPr>
        <w:tc>
          <w:tcPr>
            <w:tcW w:w="0" w:type="auto"/>
            <w:noWrap w:val="0"/>
            <w:vAlign w:val="center"/>
          </w:tcPr>
          <w:p w14:paraId="54E077B8">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本品应贮存在干燥、阴凉、通风、防雨处，远离火源或热源。置于儿童触及不到之处，并加锁。勿与食品、粮食、饮料、饲料等同贮同运。</w:t>
            </w:r>
          </w:p>
        </w:tc>
      </w:tr>
      <w:tr w14:paraId="334B4D4B">
        <w:tblPrEx>
          <w:tblCellMar>
            <w:top w:w="0" w:type="dxa"/>
            <w:left w:w="0" w:type="dxa"/>
            <w:bottom w:w="0" w:type="dxa"/>
            <w:right w:w="0" w:type="dxa"/>
          </w:tblCellMar>
        </w:tblPrEx>
        <w:trPr>
          <w:wBefore w:w="0" w:type="auto"/>
          <w:tblCellSpacing w:w="0" w:type="dxa"/>
        </w:trPr>
        <w:tc>
          <w:tcPr>
            <w:tcW w:w="0" w:type="auto"/>
            <w:noWrap w:val="0"/>
            <w:vAlign w:val="center"/>
          </w:tcPr>
          <w:p w14:paraId="10A02055">
            <w:r>
              <w:rPr>
                <w:rStyle w:val="10"/>
                <w:rFonts w:hint="eastAsia"/>
              </w:rPr>
              <w:t>质量保证期：</w:t>
            </w:r>
            <w:r>
              <w:rPr>
                <w:rStyle w:val="11"/>
                <w:rFonts w:hint="eastAsia"/>
              </w:rPr>
              <w:t>2年</w:t>
            </w:r>
          </w:p>
        </w:tc>
      </w:tr>
      <w:tr w14:paraId="4D10F348">
        <w:tblPrEx>
          <w:tblCellMar>
            <w:top w:w="0" w:type="dxa"/>
            <w:left w:w="0" w:type="dxa"/>
            <w:bottom w:w="0" w:type="dxa"/>
            <w:right w:w="0" w:type="dxa"/>
          </w:tblCellMar>
        </w:tblPrEx>
        <w:trPr>
          <w:wBefore w:w="0" w:type="auto"/>
          <w:tblCellSpacing w:w="0" w:type="dxa"/>
        </w:trPr>
        <w:tc>
          <w:tcPr>
            <w:tcW w:w="0" w:type="auto"/>
            <w:noWrap w:val="0"/>
            <w:vAlign w:val="center"/>
          </w:tcPr>
          <w:p w14:paraId="71D13AC6">
            <w:r>
              <w:rPr>
                <w:rStyle w:val="10"/>
                <w:rFonts w:hint="eastAsia"/>
              </w:rPr>
              <w:t>备注：</w:t>
            </w:r>
          </w:p>
        </w:tc>
      </w:tr>
    </w:tbl>
    <w:p w14:paraId="7ADB0F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F727C2">
        <w:tblPrEx>
          <w:tblCellMar>
            <w:top w:w="0" w:type="dxa"/>
            <w:left w:w="0" w:type="dxa"/>
            <w:bottom w:w="0" w:type="dxa"/>
            <w:right w:w="0" w:type="dxa"/>
          </w:tblCellMar>
        </w:tblPrEx>
        <w:trPr>
          <w:wBefore w:w="0" w:type="auto"/>
          <w:tblCellSpacing w:w="0" w:type="dxa"/>
        </w:trPr>
        <w:tc>
          <w:tcPr>
            <w:tcW w:w="0" w:type="auto"/>
            <w:noWrap w:val="0"/>
            <w:vAlign w:val="center"/>
          </w:tcPr>
          <w:p w14:paraId="58BB87F3">
            <w:r>
              <w:rPr>
                <w:rStyle w:val="10"/>
                <w:rFonts w:hint="eastAsia"/>
              </w:rPr>
              <w:t>登记证号：</w:t>
            </w:r>
            <w:r>
              <w:rPr>
                <w:rFonts w:hint="eastAsia"/>
              </w:rPr>
              <w:t>PD20212726</w:t>
            </w:r>
          </w:p>
        </w:tc>
      </w:tr>
      <w:tr w14:paraId="0195B2E0">
        <w:tblPrEx>
          <w:tblCellMar>
            <w:top w:w="0" w:type="dxa"/>
            <w:left w:w="0" w:type="dxa"/>
            <w:bottom w:w="0" w:type="dxa"/>
            <w:right w:w="0" w:type="dxa"/>
          </w:tblCellMar>
        </w:tblPrEx>
        <w:trPr>
          <w:wBefore w:w="0" w:type="auto"/>
          <w:tblCellSpacing w:w="0" w:type="dxa"/>
        </w:trPr>
        <w:tc>
          <w:tcPr>
            <w:tcW w:w="0" w:type="auto"/>
            <w:noWrap w:val="0"/>
            <w:vAlign w:val="center"/>
          </w:tcPr>
          <w:p w14:paraId="726C99FA">
            <w:r>
              <w:rPr>
                <w:rStyle w:val="10"/>
                <w:rFonts w:hint="eastAsia"/>
              </w:rPr>
              <w:t>登记证持有人：</w:t>
            </w:r>
            <w:r>
              <w:rPr>
                <w:rFonts w:hint="eastAsia"/>
              </w:rPr>
              <w:t>上海悦联生物科技有限公司</w:t>
            </w:r>
          </w:p>
        </w:tc>
      </w:tr>
      <w:tr w14:paraId="29197B3B">
        <w:tblPrEx>
          <w:tblCellMar>
            <w:top w:w="0" w:type="dxa"/>
            <w:left w:w="0" w:type="dxa"/>
            <w:bottom w:w="0" w:type="dxa"/>
            <w:right w:w="0" w:type="dxa"/>
          </w:tblCellMar>
        </w:tblPrEx>
        <w:trPr>
          <w:wBefore w:w="0" w:type="auto"/>
          <w:tblCellSpacing w:w="0" w:type="dxa"/>
        </w:trPr>
        <w:tc>
          <w:tcPr>
            <w:tcW w:w="0" w:type="auto"/>
            <w:noWrap w:val="0"/>
            <w:vAlign w:val="center"/>
          </w:tcPr>
          <w:p w14:paraId="5B260101">
            <w:r>
              <w:rPr>
                <w:rStyle w:val="10"/>
                <w:rFonts w:hint="eastAsia"/>
              </w:rPr>
              <w:t>农药名称：</w:t>
            </w:r>
            <w:r>
              <w:rPr>
                <w:rFonts w:hint="eastAsia"/>
              </w:rPr>
              <w:t>唑醚·锰锌</w:t>
            </w:r>
          </w:p>
        </w:tc>
      </w:tr>
      <w:tr w14:paraId="5B5E096C">
        <w:tblPrEx>
          <w:tblCellMar>
            <w:top w:w="0" w:type="dxa"/>
            <w:left w:w="0" w:type="dxa"/>
            <w:bottom w:w="0" w:type="dxa"/>
            <w:right w:w="0" w:type="dxa"/>
          </w:tblCellMar>
        </w:tblPrEx>
        <w:trPr>
          <w:wBefore w:w="0" w:type="auto"/>
          <w:tblCellSpacing w:w="0" w:type="dxa"/>
        </w:trPr>
        <w:tc>
          <w:tcPr>
            <w:tcW w:w="0" w:type="auto"/>
            <w:noWrap w:val="0"/>
            <w:vAlign w:val="center"/>
          </w:tcPr>
          <w:p w14:paraId="118C2553">
            <w:r>
              <w:rPr>
                <w:rStyle w:val="10"/>
                <w:rFonts w:hint="eastAsia"/>
              </w:rPr>
              <w:t>剂型：</w:t>
            </w:r>
            <w:r>
              <w:rPr>
                <w:rFonts w:hint="eastAsia"/>
              </w:rPr>
              <w:t>可分散油悬浮剂</w:t>
            </w:r>
          </w:p>
        </w:tc>
      </w:tr>
      <w:tr w14:paraId="42FD6A8B">
        <w:tblPrEx>
          <w:tblCellMar>
            <w:top w:w="0" w:type="dxa"/>
            <w:left w:w="0" w:type="dxa"/>
            <w:bottom w:w="0" w:type="dxa"/>
            <w:right w:w="0" w:type="dxa"/>
          </w:tblCellMar>
        </w:tblPrEx>
        <w:trPr>
          <w:wBefore w:w="0" w:type="auto"/>
          <w:tblCellSpacing w:w="0" w:type="dxa"/>
        </w:trPr>
        <w:tc>
          <w:tcPr>
            <w:tcW w:w="0" w:type="auto"/>
            <w:noWrap w:val="0"/>
            <w:vAlign w:val="center"/>
          </w:tcPr>
          <w:p w14:paraId="6E16FCAC">
            <w:r>
              <w:rPr>
                <w:rStyle w:val="10"/>
                <w:rFonts w:hint="eastAsia"/>
              </w:rPr>
              <w:t>毒性及其标识：</w:t>
            </w:r>
            <w:r>
              <w:rPr>
                <w:rFonts w:hint="eastAsia"/>
              </w:rPr>
              <w:t xml:space="preserve"> </w:t>
            </w:r>
            <w:r>
              <w:rPr>
                <w:lang/>
              </w:rPr>
              <w:drawing>
                <wp:inline distT="0" distB="0" distL="114300" distR="114300">
                  <wp:extent cx="476250" cy="323850"/>
                  <wp:effectExtent l="0" t="0" r="0" b="0"/>
                  <wp:docPr id="21" name="图片 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5BAFF0">
        <w:tblPrEx>
          <w:tblCellMar>
            <w:top w:w="0" w:type="dxa"/>
            <w:left w:w="0" w:type="dxa"/>
            <w:bottom w:w="0" w:type="dxa"/>
            <w:right w:w="0" w:type="dxa"/>
          </w:tblCellMar>
        </w:tblPrEx>
        <w:trPr>
          <w:wBefore w:w="0" w:type="auto"/>
          <w:tblCellSpacing w:w="0" w:type="dxa"/>
        </w:trPr>
        <w:tc>
          <w:tcPr>
            <w:tcW w:w="0" w:type="auto"/>
            <w:noWrap w:val="0"/>
            <w:vAlign w:val="center"/>
          </w:tcPr>
          <w:p w14:paraId="3707EA94">
            <w:r>
              <w:rPr>
                <w:rStyle w:val="10"/>
                <w:rFonts w:hint="eastAsia"/>
              </w:rPr>
              <w:t>总有效成分含量：</w:t>
            </w:r>
            <w:r>
              <w:rPr>
                <w:rFonts w:hint="eastAsia"/>
              </w:rPr>
              <w:t>410克/升</w:t>
            </w:r>
          </w:p>
        </w:tc>
      </w:tr>
      <w:tr w14:paraId="7C9D2795">
        <w:tblPrEx>
          <w:tblCellMar>
            <w:top w:w="0" w:type="dxa"/>
            <w:left w:w="0" w:type="dxa"/>
            <w:bottom w:w="0" w:type="dxa"/>
            <w:right w:w="0" w:type="dxa"/>
          </w:tblCellMar>
        </w:tblPrEx>
        <w:trPr>
          <w:wBefore w:w="0" w:type="auto"/>
          <w:tblCellSpacing w:w="0" w:type="dxa"/>
        </w:trPr>
        <w:tc>
          <w:tcPr>
            <w:tcW w:w="0" w:type="auto"/>
            <w:noWrap w:val="0"/>
            <w:vAlign w:val="center"/>
          </w:tcPr>
          <w:p w14:paraId="559A4BA4">
            <w:r>
              <w:rPr>
                <w:rFonts w:hint="eastAsia"/>
              </w:rPr>
              <w:t xml:space="preserve">有效成分及其含量： </w:t>
            </w:r>
          </w:p>
          <w:p w14:paraId="41E45480">
            <w:r>
              <w:rPr>
                <w:rFonts w:hint="eastAsia"/>
              </w:rPr>
              <w:t xml:space="preserve">    代森锰锌351克/升    吡唑醚菌酯59克/升    </w:t>
            </w:r>
          </w:p>
        </w:tc>
      </w:tr>
      <w:tr w14:paraId="339C1D3B">
        <w:tblPrEx>
          <w:tblCellMar>
            <w:top w:w="0" w:type="dxa"/>
            <w:left w:w="0" w:type="dxa"/>
            <w:bottom w:w="0" w:type="dxa"/>
            <w:right w:w="0" w:type="dxa"/>
          </w:tblCellMar>
        </w:tblPrEx>
        <w:trPr>
          <w:wBefore w:w="0" w:type="auto"/>
          <w:tblCellSpacing w:w="0" w:type="dxa"/>
        </w:trPr>
        <w:tc>
          <w:tcPr>
            <w:tcW w:w="0" w:type="auto"/>
            <w:noWrap w:val="0"/>
            <w:vAlign w:val="center"/>
          </w:tcPr>
          <w:p w14:paraId="69DE6F4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0E7D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7F6D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47FBD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A556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3D8E97">
                  <w:r>
                    <w:rPr>
                      <w:rStyle w:val="11"/>
                      <w:rFonts w:hint="eastAsia"/>
                    </w:rPr>
                    <w:t>施用方式</w:t>
                  </w:r>
                </w:p>
              </w:tc>
            </w:tr>
            <w:tr w14:paraId="04EDD4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D19281">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C12D8A">
                  <w:r>
                    <w:rPr>
                      <w:rStyle w:val="11"/>
                      <w:rFonts w:hint="eastAsia"/>
                    </w:rPr>
                    <w:t>叶斑病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3CC38D">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F799C9">
                  <w:r>
                    <w:rPr>
                      <w:rStyle w:val="11"/>
                      <w:rFonts w:hint="eastAsia"/>
                    </w:rPr>
                    <w:t>喷雾</w:t>
                  </w:r>
                </w:p>
              </w:tc>
            </w:tr>
            <w:tr w14:paraId="6EEFFA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1A9D3A">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133F31">
                  <w:r>
                    <w:rPr>
                      <w:rStyle w:val="11"/>
                      <w:rFonts w:hint="eastAsia"/>
                    </w:rPr>
                    <w:t>树脂病(砂皮病)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9B9E7E">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23C28A">
                  <w:r>
                    <w:rPr>
                      <w:rStyle w:val="11"/>
                      <w:rFonts w:hint="eastAsia"/>
                    </w:rPr>
                    <w:t>喷雾</w:t>
                  </w:r>
                </w:p>
              </w:tc>
            </w:tr>
          </w:tbl>
          <w:p w14:paraId="5B32A699">
            <w:pPr>
              <w:rPr>
                <w:rFonts w:ascii="Times New Roman" w:hAnsi="Times New Roman" w:cs="Times New Roman"/>
                <w:sz w:val="20"/>
                <w:szCs w:val="20"/>
              </w:rPr>
            </w:pPr>
          </w:p>
        </w:tc>
      </w:tr>
      <w:tr w14:paraId="247C1520">
        <w:tblPrEx>
          <w:tblCellMar>
            <w:top w:w="0" w:type="dxa"/>
            <w:left w:w="0" w:type="dxa"/>
            <w:bottom w:w="0" w:type="dxa"/>
            <w:right w:w="0" w:type="dxa"/>
          </w:tblCellMar>
        </w:tblPrEx>
        <w:trPr>
          <w:wBefore w:w="0" w:type="auto"/>
          <w:tblCellSpacing w:w="0" w:type="dxa"/>
        </w:trPr>
        <w:tc>
          <w:tcPr>
            <w:tcW w:w="0" w:type="auto"/>
            <w:noWrap w:val="0"/>
            <w:vAlign w:val="center"/>
          </w:tcPr>
          <w:p w14:paraId="43046A4E">
            <w:r>
              <w:rPr>
                <w:rStyle w:val="10"/>
                <w:rFonts w:hint="eastAsia"/>
              </w:rPr>
              <w:t>使用技术要求:</w:t>
            </w:r>
            <w:r>
              <w:rPr>
                <w:rFonts w:hint="eastAsia"/>
              </w:rPr>
              <w:br w:type="textWrapping"/>
            </w:r>
            <w:r>
              <w:rPr>
                <w:rStyle w:val="11"/>
                <w:rFonts w:hint="eastAsia"/>
              </w:rPr>
              <w:t>1.香蕉叶斑病：于病害发生前或发病初期开始施药，视病害发生发展情况连续施药3次，施药间隔为7~15天，注意喷雾均匀、周到（叶片正反面均匀喷雾）。2.柑橘树脂病（砂皮病）：于新稍抽发期、幼果发病前或发病初期开始施药，连续施药2~3次，施药间隔为7~14天，注意喷雾要均匀，喷雾至叶片微滴水为度。2.大风天或预计1小时内有雨，请勿施药。3.在香蕉上的安全间隔期为42天，每季最多使用3次；在柑橘上的安全间隔期为21天，每季最多使用3次。</w:t>
            </w:r>
          </w:p>
        </w:tc>
      </w:tr>
      <w:tr w14:paraId="644CE5FB">
        <w:tblPrEx>
          <w:tblCellMar>
            <w:top w:w="0" w:type="dxa"/>
            <w:left w:w="0" w:type="dxa"/>
            <w:bottom w:w="0" w:type="dxa"/>
            <w:right w:w="0" w:type="dxa"/>
          </w:tblCellMar>
        </w:tblPrEx>
        <w:trPr>
          <w:wBefore w:w="0" w:type="auto"/>
          <w:tblCellSpacing w:w="0" w:type="dxa"/>
        </w:trPr>
        <w:tc>
          <w:tcPr>
            <w:tcW w:w="0" w:type="auto"/>
            <w:noWrap w:val="0"/>
            <w:vAlign w:val="center"/>
          </w:tcPr>
          <w:p w14:paraId="74A5D9CD">
            <w:r>
              <w:rPr>
                <w:rStyle w:val="10"/>
                <w:rFonts w:hint="eastAsia"/>
              </w:rPr>
              <w:t>产品性能:</w:t>
            </w:r>
            <w:r>
              <w:rPr>
                <w:rFonts w:hint="eastAsia"/>
              </w:rPr>
              <w:br w:type="textWrapping"/>
            </w:r>
            <w:r>
              <w:rPr>
                <w:rStyle w:val="11"/>
                <w:rFonts w:hint="eastAsia"/>
              </w:rPr>
              <w:t>本品为吡唑醚菌酯和代森锰锌的混配杀菌剂，具有保护、治疗和叶片渗透传导作用。早期使用可有效阻止病菌侵入并提高植物体免疫能力，减少植物发病次数和用药次数。更宽的杀菌谱和更高的杀菌活性，具有阻止病菌侵入，防止病菌扩散和清除体内病菌等多种作用，对大多数真菌病害有效。两者复配对香蕉叶斑病和柑橘树脂病（砂皮病）有较好的防治效果。</w:t>
            </w:r>
          </w:p>
        </w:tc>
      </w:tr>
      <w:tr w14:paraId="08103AF0">
        <w:tblPrEx>
          <w:tblCellMar>
            <w:top w:w="0" w:type="dxa"/>
            <w:left w:w="0" w:type="dxa"/>
            <w:bottom w:w="0" w:type="dxa"/>
            <w:right w:w="0" w:type="dxa"/>
          </w:tblCellMar>
        </w:tblPrEx>
        <w:trPr>
          <w:wBefore w:w="0" w:type="auto"/>
          <w:tblCellSpacing w:w="0" w:type="dxa"/>
        </w:trPr>
        <w:tc>
          <w:tcPr>
            <w:tcW w:w="0" w:type="auto"/>
            <w:noWrap w:val="0"/>
            <w:vAlign w:val="center"/>
          </w:tcPr>
          <w:p w14:paraId="2F1DAFBA">
            <w:r>
              <w:rPr>
                <w:rStyle w:val="10"/>
                <w:rFonts w:hint="eastAsia"/>
              </w:rPr>
              <w:t>注意事项：</w:t>
            </w:r>
            <w:r>
              <w:rPr>
                <w:rFonts w:hint="eastAsia"/>
              </w:rPr>
              <w:br w:type="textWrapping"/>
            </w:r>
            <w:r>
              <w:rPr>
                <w:rStyle w:val="11"/>
                <w:rFonts w:hint="eastAsia"/>
              </w:rPr>
              <w:t>1.本品对眼睛和皮肤有刺激性，使用本品应采取相应的安全防护措施，穿防护服，戴防护手套、戴防护镜、口罩等，避免皮肤、眼睛接触和口鼻吸入。使用中不可吸烟、饮水和吃东西，使用后及时清洗手、脸等暴露部位皮肤并更换衣物。2. 水产养殖区、河塘等水体附近禁用，禁止在河塘等水域清洗施药器具；鸟类保护区附近禁用； 桑园及蚕室附近禁用；瓢虫等天敌放飞区域禁用。3.建议与其他作用机制不同的杀菌剂轮换使用，以延缓抗性产生。4.使用后的包装物应遵照农药包装废弃物回收准则的相关规定处理，不可作他用，也不可随意丢弃。5.避免孕妇及哺乳期妇女接触。</w:t>
            </w:r>
          </w:p>
        </w:tc>
      </w:tr>
      <w:tr w14:paraId="38583BB2">
        <w:tblPrEx>
          <w:tblCellMar>
            <w:top w:w="0" w:type="dxa"/>
            <w:left w:w="0" w:type="dxa"/>
            <w:bottom w:w="0" w:type="dxa"/>
            <w:right w:w="0" w:type="dxa"/>
          </w:tblCellMar>
        </w:tblPrEx>
        <w:trPr>
          <w:wBefore w:w="0" w:type="auto"/>
          <w:tblCellSpacing w:w="0" w:type="dxa"/>
        </w:trPr>
        <w:tc>
          <w:tcPr>
            <w:tcW w:w="0" w:type="auto"/>
            <w:noWrap w:val="0"/>
            <w:vAlign w:val="center"/>
          </w:tcPr>
          <w:p w14:paraId="438517B8">
            <w:r>
              <w:rPr>
                <w:rStyle w:val="10"/>
                <w:rFonts w:hint="eastAsia"/>
              </w:rPr>
              <w:t>中毒急救措施：</w:t>
            </w:r>
            <w:r>
              <w:rPr>
                <w:rFonts w:hint="eastAsia"/>
              </w:rPr>
              <w:br w:type="textWrapping"/>
            </w:r>
            <w:r>
              <w:rPr>
                <w:rStyle w:val="11"/>
                <w:rFonts w:hint="eastAsia"/>
              </w:rPr>
              <w:t>中毒症状：对眼睛和皮肤有刺激性。急救措施：使用中或使用后如果感觉不适，应立即停止工作，采取急救措施，并携带标签送医院就诊。1.皮肤接触：脱去污染衣物，立即用软布去除沾染农药，用大量清水和肥皂冲洗。2.眼睛接触：如溅入眼睛立即用流动清水冲洗不少于15分钟，送医院就治。3.吸入：立即离开施药现场，转移至空气新鲜处；呼吸有困难，可采用人工呼吸。4.误服：立即携此农药标签到医院就诊。本品无特效解毒剂，对症治疗。</w:t>
            </w:r>
          </w:p>
        </w:tc>
      </w:tr>
      <w:tr w14:paraId="57C5E7A8">
        <w:tblPrEx>
          <w:tblCellMar>
            <w:top w:w="0" w:type="dxa"/>
            <w:left w:w="0" w:type="dxa"/>
            <w:bottom w:w="0" w:type="dxa"/>
            <w:right w:w="0" w:type="dxa"/>
          </w:tblCellMar>
        </w:tblPrEx>
        <w:trPr>
          <w:wBefore w:w="0" w:type="auto"/>
          <w:tblCellSpacing w:w="0" w:type="dxa"/>
        </w:trPr>
        <w:tc>
          <w:tcPr>
            <w:tcW w:w="0" w:type="auto"/>
            <w:noWrap w:val="0"/>
            <w:vAlign w:val="center"/>
          </w:tcPr>
          <w:p w14:paraId="178B00DD">
            <w:r>
              <w:rPr>
                <w:rStyle w:val="10"/>
                <w:rFonts w:hint="eastAsia"/>
              </w:rPr>
              <w:t>储存和运输方法：</w:t>
            </w:r>
            <w:r>
              <w:rPr>
                <w:rFonts w:hint="eastAsia"/>
              </w:rPr>
              <w:br w:type="textWrapping"/>
            </w:r>
            <w:r>
              <w:rPr>
                <w:rStyle w:val="11"/>
                <w:rFonts w:hint="eastAsia"/>
              </w:rPr>
              <w:t>1.贮存在阴凉、通风仓库内；远离火源或热源。2.置于儿童接触不到的地方，并加锁保存。3.不能与食品、饮料、粮食、饲料等混合储运。</w:t>
            </w:r>
          </w:p>
        </w:tc>
      </w:tr>
      <w:tr w14:paraId="7CD6E182">
        <w:tblPrEx>
          <w:tblCellMar>
            <w:top w:w="0" w:type="dxa"/>
            <w:left w:w="0" w:type="dxa"/>
            <w:bottom w:w="0" w:type="dxa"/>
            <w:right w:w="0" w:type="dxa"/>
          </w:tblCellMar>
        </w:tblPrEx>
        <w:trPr>
          <w:wBefore w:w="0" w:type="auto"/>
          <w:tblCellSpacing w:w="0" w:type="dxa"/>
        </w:trPr>
        <w:tc>
          <w:tcPr>
            <w:tcW w:w="0" w:type="auto"/>
            <w:noWrap w:val="0"/>
            <w:vAlign w:val="center"/>
          </w:tcPr>
          <w:p w14:paraId="41D1B9E0">
            <w:r>
              <w:rPr>
                <w:rStyle w:val="10"/>
                <w:rFonts w:hint="eastAsia"/>
              </w:rPr>
              <w:t>质量保证期：</w:t>
            </w:r>
            <w:r>
              <w:rPr>
                <w:rStyle w:val="11"/>
                <w:rFonts w:hint="eastAsia"/>
              </w:rPr>
              <w:t>2年</w:t>
            </w:r>
          </w:p>
        </w:tc>
      </w:tr>
      <w:tr w14:paraId="2FE53A29">
        <w:tblPrEx>
          <w:tblCellMar>
            <w:top w:w="0" w:type="dxa"/>
            <w:left w:w="0" w:type="dxa"/>
            <w:bottom w:w="0" w:type="dxa"/>
            <w:right w:w="0" w:type="dxa"/>
          </w:tblCellMar>
        </w:tblPrEx>
        <w:trPr>
          <w:wBefore w:w="0" w:type="auto"/>
          <w:tblCellSpacing w:w="0" w:type="dxa"/>
        </w:trPr>
        <w:tc>
          <w:tcPr>
            <w:tcW w:w="0" w:type="auto"/>
            <w:noWrap w:val="0"/>
            <w:vAlign w:val="center"/>
          </w:tcPr>
          <w:p w14:paraId="20565178">
            <w:r>
              <w:rPr>
                <w:rStyle w:val="10"/>
                <w:rFonts w:hint="eastAsia"/>
              </w:rPr>
              <w:t>备注：</w:t>
            </w:r>
            <w:r>
              <w:rPr>
                <w:rFonts w:hint="eastAsia"/>
              </w:rPr>
              <w:br w:type="textWrapping"/>
            </w:r>
            <w:r>
              <w:rPr>
                <w:rStyle w:val="11"/>
                <w:rFonts w:hint="eastAsia"/>
              </w:rPr>
              <w:t>吡唑嘧菌酯5%，代森锰锌30%。</w:t>
            </w:r>
          </w:p>
        </w:tc>
      </w:tr>
    </w:tbl>
    <w:p w14:paraId="5346D2C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41E397">
        <w:tblPrEx>
          <w:tblCellMar>
            <w:top w:w="0" w:type="dxa"/>
            <w:left w:w="0" w:type="dxa"/>
            <w:bottom w:w="0" w:type="dxa"/>
            <w:right w:w="0" w:type="dxa"/>
          </w:tblCellMar>
        </w:tblPrEx>
        <w:trPr>
          <w:wBefore w:w="0" w:type="auto"/>
          <w:tblCellSpacing w:w="0" w:type="dxa"/>
        </w:trPr>
        <w:tc>
          <w:tcPr>
            <w:tcW w:w="0" w:type="auto"/>
            <w:noWrap w:val="0"/>
            <w:vAlign w:val="center"/>
          </w:tcPr>
          <w:p w14:paraId="498EF2A6">
            <w:r>
              <w:rPr>
                <w:rStyle w:val="10"/>
                <w:rFonts w:hint="eastAsia"/>
              </w:rPr>
              <w:t>登记证号：</w:t>
            </w:r>
            <w:r>
              <w:rPr>
                <w:rFonts w:hint="eastAsia"/>
              </w:rPr>
              <w:t>PD20212372</w:t>
            </w:r>
          </w:p>
        </w:tc>
      </w:tr>
      <w:tr w14:paraId="658808BD">
        <w:tblPrEx>
          <w:tblCellMar>
            <w:top w:w="0" w:type="dxa"/>
            <w:left w:w="0" w:type="dxa"/>
            <w:bottom w:w="0" w:type="dxa"/>
            <w:right w:w="0" w:type="dxa"/>
          </w:tblCellMar>
        </w:tblPrEx>
        <w:trPr>
          <w:wBefore w:w="0" w:type="auto"/>
          <w:tblCellSpacing w:w="0" w:type="dxa"/>
        </w:trPr>
        <w:tc>
          <w:tcPr>
            <w:tcW w:w="0" w:type="auto"/>
            <w:noWrap w:val="0"/>
            <w:vAlign w:val="center"/>
          </w:tcPr>
          <w:p w14:paraId="1147423B">
            <w:r>
              <w:rPr>
                <w:rStyle w:val="10"/>
                <w:rFonts w:hint="eastAsia"/>
              </w:rPr>
              <w:t>登记证持有人：</w:t>
            </w:r>
            <w:r>
              <w:rPr>
                <w:rFonts w:hint="eastAsia"/>
              </w:rPr>
              <w:t>辽宁壮苗生化科技股份有限公司</w:t>
            </w:r>
          </w:p>
        </w:tc>
      </w:tr>
      <w:tr w14:paraId="01F38CB5">
        <w:tblPrEx>
          <w:tblCellMar>
            <w:top w:w="0" w:type="dxa"/>
            <w:left w:w="0" w:type="dxa"/>
            <w:bottom w:w="0" w:type="dxa"/>
            <w:right w:w="0" w:type="dxa"/>
          </w:tblCellMar>
        </w:tblPrEx>
        <w:trPr>
          <w:wBefore w:w="0" w:type="auto"/>
          <w:tblCellSpacing w:w="0" w:type="dxa"/>
        </w:trPr>
        <w:tc>
          <w:tcPr>
            <w:tcW w:w="0" w:type="auto"/>
            <w:noWrap w:val="0"/>
            <w:vAlign w:val="center"/>
          </w:tcPr>
          <w:p w14:paraId="0E41C368">
            <w:r>
              <w:rPr>
                <w:rStyle w:val="10"/>
                <w:rFonts w:hint="eastAsia"/>
              </w:rPr>
              <w:t>农药名称：</w:t>
            </w:r>
            <w:r>
              <w:rPr>
                <w:rFonts w:hint="eastAsia"/>
              </w:rPr>
              <w:t>噻虫胺</w:t>
            </w:r>
          </w:p>
        </w:tc>
      </w:tr>
      <w:tr w14:paraId="1DED13EB">
        <w:tblPrEx>
          <w:tblCellMar>
            <w:top w:w="0" w:type="dxa"/>
            <w:left w:w="0" w:type="dxa"/>
            <w:bottom w:w="0" w:type="dxa"/>
            <w:right w:w="0" w:type="dxa"/>
          </w:tblCellMar>
        </w:tblPrEx>
        <w:trPr>
          <w:wBefore w:w="0" w:type="auto"/>
          <w:tblCellSpacing w:w="0" w:type="dxa"/>
        </w:trPr>
        <w:tc>
          <w:tcPr>
            <w:tcW w:w="0" w:type="auto"/>
            <w:noWrap w:val="0"/>
            <w:vAlign w:val="center"/>
          </w:tcPr>
          <w:p w14:paraId="2542A2CA">
            <w:r>
              <w:rPr>
                <w:rStyle w:val="10"/>
                <w:rFonts w:hint="eastAsia"/>
              </w:rPr>
              <w:t>剂型：</w:t>
            </w:r>
            <w:r>
              <w:rPr>
                <w:rFonts w:hint="eastAsia"/>
              </w:rPr>
              <w:t>种子处理悬浮剂</w:t>
            </w:r>
          </w:p>
        </w:tc>
      </w:tr>
      <w:tr w14:paraId="2197D488">
        <w:tblPrEx>
          <w:tblCellMar>
            <w:top w:w="0" w:type="dxa"/>
            <w:left w:w="0" w:type="dxa"/>
            <w:bottom w:w="0" w:type="dxa"/>
            <w:right w:w="0" w:type="dxa"/>
          </w:tblCellMar>
        </w:tblPrEx>
        <w:trPr>
          <w:wBefore w:w="0" w:type="auto"/>
          <w:tblCellSpacing w:w="0" w:type="dxa"/>
        </w:trPr>
        <w:tc>
          <w:tcPr>
            <w:tcW w:w="0" w:type="auto"/>
            <w:noWrap w:val="0"/>
            <w:vAlign w:val="center"/>
          </w:tcPr>
          <w:p w14:paraId="66954AE9">
            <w:r>
              <w:rPr>
                <w:rStyle w:val="10"/>
                <w:rFonts w:hint="eastAsia"/>
              </w:rPr>
              <w:t>毒性及其标识：</w:t>
            </w:r>
            <w:r>
              <w:rPr>
                <w:rFonts w:hint="eastAsia"/>
              </w:rPr>
              <w:t xml:space="preserve"> </w:t>
            </w:r>
            <w:r>
              <w:rPr>
                <w:lang/>
              </w:rPr>
              <w:drawing>
                <wp:inline distT="0" distB="0" distL="114300" distR="114300">
                  <wp:extent cx="476250" cy="323850"/>
                  <wp:effectExtent l="0" t="0" r="0" b="0"/>
                  <wp:docPr id="22" name="图片 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94A474">
        <w:tblPrEx>
          <w:tblCellMar>
            <w:top w:w="0" w:type="dxa"/>
            <w:left w:w="0" w:type="dxa"/>
            <w:bottom w:w="0" w:type="dxa"/>
            <w:right w:w="0" w:type="dxa"/>
          </w:tblCellMar>
        </w:tblPrEx>
        <w:trPr>
          <w:wBefore w:w="0" w:type="auto"/>
          <w:tblCellSpacing w:w="0" w:type="dxa"/>
        </w:trPr>
        <w:tc>
          <w:tcPr>
            <w:tcW w:w="0" w:type="auto"/>
            <w:noWrap w:val="0"/>
            <w:vAlign w:val="center"/>
          </w:tcPr>
          <w:p w14:paraId="366F313F">
            <w:r>
              <w:rPr>
                <w:rStyle w:val="10"/>
                <w:rFonts w:hint="eastAsia"/>
              </w:rPr>
              <w:t>总有效成分含量：</w:t>
            </w:r>
            <w:r>
              <w:rPr>
                <w:rFonts w:hint="eastAsia"/>
              </w:rPr>
              <w:t>48%</w:t>
            </w:r>
          </w:p>
        </w:tc>
      </w:tr>
      <w:tr w14:paraId="2C885B3F">
        <w:tblPrEx>
          <w:tblCellMar>
            <w:top w:w="0" w:type="dxa"/>
            <w:left w:w="0" w:type="dxa"/>
            <w:bottom w:w="0" w:type="dxa"/>
            <w:right w:w="0" w:type="dxa"/>
          </w:tblCellMar>
        </w:tblPrEx>
        <w:trPr>
          <w:wBefore w:w="0" w:type="auto"/>
          <w:tblCellSpacing w:w="0" w:type="dxa"/>
        </w:trPr>
        <w:tc>
          <w:tcPr>
            <w:tcW w:w="0" w:type="auto"/>
            <w:noWrap w:val="0"/>
            <w:vAlign w:val="center"/>
          </w:tcPr>
          <w:p w14:paraId="1A1DE8FB">
            <w:r>
              <w:rPr>
                <w:rFonts w:hint="eastAsia"/>
              </w:rPr>
              <w:t xml:space="preserve">有效成分及其含量： </w:t>
            </w:r>
          </w:p>
          <w:p w14:paraId="2EC42D88">
            <w:r>
              <w:rPr>
                <w:rFonts w:hint="eastAsia"/>
              </w:rPr>
              <w:t xml:space="preserve">    噻虫胺48%    </w:t>
            </w:r>
          </w:p>
        </w:tc>
      </w:tr>
      <w:tr w14:paraId="6A088A2B">
        <w:tblPrEx>
          <w:tblCellMar>
            <w:top w:w="0" w:type="dxa"/>
            <w:left w:w="0" w:type="dxa"/>
            <w:bottom w:w="0" w:type="dxa"/>
            <w:right w:w="0" w:type="dxa"/>
          </w:tblCellMar>
        </w:tblPrEx>
        <w:trPr>
          <w:wBefore w:w="0" w:type="auto"/>
          <w:tblCellSpacing w:w="0" w:type="dxa"/>
        </w:trPr>
        <w:tc>
          <w:tcPr>
            <w:tcW w:w="0" w:type="auto"/>
            <w:noWrap w:val="0"/>
            <w:vAlign w:val="center"/>
          </w:tcPr>
          <w:p w14:paraId="41082C7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2B41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FB38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071F7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1493E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3ACD27">
                  <w:r>
                    <w:rPr>
                      <w:rStyle w:val="11"/>
                      <w:rFonts w:hint="eastAsia"/>
                    </w:rPr>
                    <w:t>施用方式</w:t>
                  </w:r>
                </w:p>
              </w:tc>
            </w:tr>
            <w:tr w14:paraId="027A92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1C011E">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81A81D">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75DC8C">
                  <w:r>
                    <w:rPr>
                      <w:rStyle w:val="11"/>
                      <w:rFonts w:hint="eastAsia"/>
                    </w:rPr>
                    <w:t>200-360毫升/100千克种子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7D481E">
                  <w:r>
                    <w:rPr>
                      <w:rStyle w:val="11"/>
                      <w:rFonts w:hint="eastAsia"/>
                    </w:rPr>
                    <w:t>种子包衣</w:t>
                  </w:r>
                </w:p>
              </w:tc>
            </w:tr>
          </w:tbl>
          <w:p w14:paraId="4488C4EF">
            <w:pPr>
              <w:rPr>
                <w:rFonts w:ascii="Times New Roman" w:hAnsi="Times New Roman" w:cs="Times New Roman"/>
                <w:sz w:val="20"/>
                <w:szCs w:val="20"/>
              </w:rPr>
            </w:pPr>
          </w:p>
        </w:tc>
      </w:tr>
      <w:tr w14:paraId="12F2AABB">
        <w:tblPrEx>
          <w:tblCellMar>
            <w:top w:w="0" w:type="dxa"/>
            <w:left w:w="0" w:type="dxa"/>
            <w:bottom w:w="0" w:type="dxa"/>
            <w:right w:w="0" w:type="dxa"/>
          </w:tblCellMar>
        </w:tblPrEx>
        <w:trPr>
          <w:wBefore w:w="0" w:type="auto"/>
          <w:tblCellSpacing w:w="0" w:type="dxa"/>
        </w:trPr>
        <w:tc>
          <w:tcPr>
            <w:tcW w:w="0" w:type="auto"/>
            <w:noWrap w:val="0"/>
            <w:vAlign w:val="center"/>
          </w:tcPr>
          <w:p w14:paraId="2CEBF1B8">
            <w:r>
              <w:rPr>
                <w:rStyle w:val="10"/>
                <w:rFonts w:hint="eastAsia"/>
              </w:rPr>
              <w:t>使用技术要求:</w:t>
            </w:r>
            <w:r>
              <w:rPr>
                <w:rFonts w:hint="eastAsia"/>
              </w:rPr>
              <w:br w:type="textWrapping"/>
            </w:r>
            <w:r>
              <w:rPr>
                <w:rStyle w:val="11"/>
                <w:rFonts w:hint="eastAsia"/>
              </w:rPr>
              <w:t>1.水稻播种前种子包衣，在阴凉处阴干后，正常浸种、催芽、播种。3.药剂即配即用。4.每季最多施药1次。</w:t>
            </w:r>
          </w:p>
        </w:tc>
      </w:tr>
      <w:tr w14:paraId="4EDC5DDA">
        <w:tblPrEx>
          <w:tblCellMar>
            <w:top w:w="0" w:type="dxa"/>
            <w:left w:w="0" w:type="dxa"/>
            <w:bottom w:w="0" w:type="dxa"/>
            <w:right w:w="0" w:type="dxa"/>
          </w:tblCellMar>
        </w:tblPrEx>
        <w:trPr>
          <w:wBefore w:w="0" w:type="auto"/>
          <w:tblCellSpacing w:w="0" w:type="dxa"/>
        </w:trPr>
        <w:tc>
          <w:tcPr>
            <w:tcW w:w="0" w:type="auto"/>
            <w:noWrap w:val="0"/>
            <w:vAlign w:val="center"/>
          </w:tcPr>
          <w:p w14:paraId="2B1055D4">
            <w:r>
              <w:rPr>
                <w:rStyle w:val="10"/>
                <w:rFonts w:hint="eastAsia"/>
              </w:rPr>
              <w:t>产品性能:</w:t>
            </w:r>
            <w:r>
              <w:rPr>
                <w:rFonts w:hint="eastAsia"/>
              </w:rPr>
              <w:br w:type="textWrapping"/>
            </w:r>
            <w:r>
              <w:rPr>
                <w:rStyle w:val="11"/>
                <w:rFonts w:hint="eastAsia"/>
              </w:rPr>
              <w:t>本品属新烟碱类杀虫剂，是一种活性高、具有内吸性、触杀和胃毒作用的广谱杀虫剂。作用机理是结合位于神经后突触的烟碱乙酰胆碱受体。</w:t>
            </w:r>
          </w:p>
        </w:tc>
      </w:tr>
      <w:tr w14:paraId="69678085">
        <w:tblPrEx>
          <w:tblCellMar>
            <w:top w:w="0" w:type="dxa"/>
            <w:left w:w="0" w:type="dxa"/>
            <w:bottom w:w="0" w:type="dxa"/>
            <w:right w:w="0" w:type="dxa"/>
          </w:tblCellMar>
        </w:tblPrEx>
        <w:trPr>
          <w:wBefore w:w="0" w:type="auto"/>
          <w:tblCellSpacing w:w="0" w:type="dxa"/>
        </w:trPr>
        <w:tc>
          <w:tcPr>
            <w:tcW w:w="0" w:type="auto"/>
            <w:noWrap w:val="0"/>
            <w:vAlign w:val="center"/>
          </w:tcPr>
          <w:p w14:paraId="78EA83CF">
            <w:r>
              <w:rPr>
                <w:rStyle w:val="10"/>
                <w:rFonts w:hint="eastAsia"/>
              </w:rPr>
              <w:t>注意事项：</w:t>
            </w:r>
            <w:r>
              <w:rPr>
                <w:rFonts w:hint="eastAsia"/>
              </w:rPr>
              <w:br w:type="textWrapping"/>
            </w:r>
            <w:r>
              <w:rPr>
                <w:rStyle w:val="11"/>
                <w:rFonts w:hint="eastAsia"/>
              </w:rPr>
              <w:t>1.施药和播种时应穿保护性作业服，戴口罩、手套等，严禁吸烟和饮食；用药后应用大量清水和肥皂清洗手、脸及其它可能接触到药剂的身体部位。 2.本品对蜜蜂、家蚕有毒，施药期间应避免对周围蜂群的影响，(周围)开花植物花期、蚕室和桑园附近禁用，禁止在赤眼蜂等天敌放飞区使用。3.本品对鸟类有毒，鸟类保护区禁用，施药后立即覆土。4.远离水产养殖区、河塘等水体施药，禁止在河塘等水体中清洗施药器具。5.用过的容器应妥善处理，不可做他用，也不可随意丢弃。6.孕妇及哺乳期妇女禁止接触本品。7、本品避免与氧化剂接触。</w:t>
            </w:r>
          </w:p>
        </w:tc>
      </w:tr>
      <w:tr w14:paraId="2FE4DA80">
        <w:tblPrEx>
          <w:tblCellMar>
            <w:top w:w="0" w:type="dxa"/>
            <w:left w:w="0" w:type="dxa"/>
            <w:bottom w:w="0" w:type="dxa"/>
            <w:right w:w="0" w:type="dxa"/>
          </w:tblCellMar>
        </w:tblPrEx>
        <w:trPr>
          <w:wBefore w:w="0" w:type="auto"/>
          <w:tblCellSpacing w:w="0" w:type="dxa"/>
        </w:trPr>
        <w:tc>
          <w:tcPr>
            <w:tcW w:w="0" w:type="auto"/>
            <w:noWrap w:val="0"/>
            <w:vAlign w:val="center"/>
          </w:tcPr>
          <w:p w14:paraId="3AC93134">
            <w:r>
              <w:rPr>
                <w:rStyle w:val="10"/>
                <w:rFonts w:hint="eastAsia"/>
              </w:rPr>
              <w:t>中毒急救措施：</w:t>
            </w:r>
            <w:r>
              <w:rPr>
                <w:rFonts w:hint="eastAsia"/>
              </w:rPr>
              <w:br w:type="textWrapping"/>
            </w:r>
            <w:r>
              <w:rPr>
                <w:rStyle w:val="11"/>
                <w:rFonts w:hint="eastAsia"/>
              </w:rPr>
              <w:t>中毒症状：头痛、恶心、呕吐、胸闷等。急救措施：使用中或使用后如感到不适，立即停止工作，采取急救措施并携标签到医院治疗。1.皮肤接触：立即脱掉被污染的衣物，用大量清水冲洗被污染的皮肤，再用肥皂清洗，然后用清水冲净。2.眼睛溅药：立即将眼睑翻开，用清水冲洗至少15分钟，再请医生诊治。3.不慎吸入：立即将吸入者转移到空气新鲜处，如果吸入者停止呼吸， 需进行人工呼吸。请医生诊治。4.误服：请用清水充分漱口后，立即携带标签，送医就诊。无专用解毒剂，对症治疗。</w:t>
            </w:r>
          </w:p>
        </w:tc>
      </w:tr>
      <w:tr w14:paraId="491F54CA">
        <w:tblPrEx>
          <w:tblCellMar>
            <w:top w:w="0" w:type="dxa"/>
            <w:left w:w="0" w:type="dxa"/>
            <w:bottom w:w="0" w:type="dxa"/>
            <w:right w:w="0" w:type="dxa"/>
          </w:tblCellMar>
        </w:tblPrEx>
        <w:trPr>
          <w:wBefore w:w="0" w:type="auto"/>
          <w:tblCellSpacing w:w="0" w:type="dxa"/>
        </w:trPr>
        <w:tc>
          <w:tcPr>
            <w:tcW w:w="0" w:type="auto"/>
            <w:noWrap w:val="0"/>
            <w:vAlign w:val="center"/>
          </w:tcPr>
          <w:p w14:paraId="5F423DEC">
            <w:r>
              <w:rPr>
                <w:rStyle w:val="10"/>
                <w:rFonts w:hint="eastAsia"/>
              </w:rPr>
              <w:t>储存和运输方法：</w:t>
            </w:r>
            <w:r>
              <w:rPr>
                <w:rFonts w:hint="eastAsia"/>
              </w:rPr>
              <w:br w:type="textWrapping"/>
            </w:r>
            <w:r>
              <w:rPr>
                <w:rStyle w:val="11"/>
                <w:rFonts w:hint="eastAsia"/>
              </w:rPr>
              <w:t>1.本品应贮存在干燥、阴凉、通风、防雨处，远离火源或热源；2.避免阳光直接照射；3.置于儿童、无关人员及动物接触不到的地方，并加锁；4.不得与食物、饮料、种子、饲料、粮食等物品同贮同运。搬运及运输过程中，轻拿轻放。</w:t>
            </w:r>
          </w:p>
        </w:tc>
      </w:tr>
      <w:tr w14:paraId="194FBA40">
        <w:tblPrEx>
          <w:tblCellMar>
            <w:top w:w="0" w:type="dxa"/>
            <w:left w:w="0" w:type="dxa"/>
            <w:bottom w:w="0" w:type="dxa"/>
            <w:right w:w="0" w:type="dxa"/>
          </w:tblCellMar>
        </w:tblPrEx>
        <w:trPr>
          <w:wBefore w:w="0" w:type="auto"/>
          <w:tblCellSpacing w:w="0" w:type="dxa"/>
        </w:trPr>
        <w:tc>
          <w:tcPr>
            <w:tcW w:w="0" w:type="auto"/>
            <w:noWrap w:val="0"/>
            <w:vAlign w:val="center"/>
          </w:tcPr>
          <w:p w14:paraId="33F08135">
            <w:r>
              <w:rPr>
                <w:rStyle w:val="10"/>
                <w:rFonts w:hint="eastAsia"/>
              </w:rPr>
              <w:t>质量保证期：</w:t>
            </w:r>
            <w:r>
              <w:rPr>
                <w:rStyle w:val="11"/>
                <w:rFonts w:hint="eastAsia"/>
              </w:rPr>
              <w:t>2年</w:t>
            </w:r>
          </w:p>
        </w:tc>
      </w:tr>
      <w:tr w14:paraId="470DF0C7">
        <w:tblPrEx>
          <w:tblCellMar>
            <w:top w:w="0" w:type="dxa"/>
            <w:left w:w="0" w:type="dxa"/>
            <w:bottom w:w="0" w:type="dxa"/>
            <w:right w:w="0" w:type="dxa"/>
          </w:tblCellMar>
        </w:tblPrEx>
        <w:trPr>
          <w:wBefore w:w="0" w:type="auto"/>
          <w:tblCellSpacing w:w="0" w:type="dxa"/>
        </w:trPr>
        <w:tc>
          <w:tcPr>
            <w:tcW w:w="0" w:type="auto"/>
            <w:noWrap w:val="0"/>
            <w:vAlign w:val="center"/>
          </w:tcPr>
          <w:p w14:paraId="54AC6E31">
            <w:r>
              <w:rPr>
                <w:rStyle w:val="10"/>
                <w:rFonts w:hint="eastAsia"/>
              </w:rPr>
              <w:t>备注：</w:t>
            </w:r>
          </w:p>
        </w:tc>
      </w:tr>
    </w:tbl>
    <w:p w14:paraId="11B90CB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ED026E">
        <w:tblPrEx>
          <w:tblCellMar>
            <w:top w:w="0" w:type="dxa"/>
            <w:left w:w="0" w:type="dxa"/>
            <w:bottom w:w="0" w:type="dxa"/>
            <w:right w:w="0" w:type="dxa"/>
          </w:tblCellMar>
        </w:tblPrEx>
        <w:trPr>
          <w:wBefore w:w="0" w:type="auto"/>
          <w:tblCellSpacing w:w="0" w:type="dxa"/>
        </w:trPr>
        <w:tc>
          <w:tcPr>
            <w:tcW w:w="0" w:type="auto"/>
            <w:noWrap w:val="0"/>
            <w:vAlign w:val="center"/>
          </w:tcPr>
          <w:p w14:paraId="021F5A57">
            <w:r>
              <w:rPr>
                <w:rStyle w:val="10"/>
                <w:rFonts w:hint="eastAsia"/>
              </w:rPr>
              <w:t>登记证号：</w:t>
            </w:r>
            <w:r>
              <w:rPr>
                <w:rFonts w:hint="eastAsia"/>
              </w:rPr>
              <w:t>PD20212366</w:t>
            </w:r>
          </w:p>
        </w:tc>
      </w:tr>
      <w:tr w14:paraId="17341F62">
        <w:tblPrEx>
          <w:tblCellMar>
            <w:top w:w="0" w:type="dxa"/>
            <w:left w:w="0" w:type="dxa"/>
            <w:bottom w:w="0" w:type="dxa"/>
            <w:right w:w="0" w:type="dxa"/>
          </w:tblCellMar>
        </w:tblPrEx>
        <w:trPr>
          <w:wBefore w:w="0" w:type="auto"/>
          <w:tblCellSpacing w:w="0" w:type="dxa"/>
        </w:trPr>
        <w:tc>
          <w:tcPr>
            <w:tcW w:w="0" w:type="auto"/>
            <w:noWrap w:val="0"/>
            <w:vAlign w:val="center"/>
          </w:tcPr>
          <w:p w14:paraId="59C02CD7">
            <w:r>
              <w:rPr>
                <w:rStyle w:val="10"/>
                <w:rFonts w:hint="eastAsia"/>
              </w:rPr>
              <w:t>登记证持有人：</w:t>
            </w:r>
            <w:r>
              <w:rPr>
                <w:rFonts w:hint="eastAsia"/>
              </w:rPr>
              <w:t>广西田园生化股份有限公司</w:t>
            </w:r>
          </w:p>
        </w:tc>
      </w:tr>
      <w:tr w14:paraId="386E29BD">
        <w:tblPrEx>
          <w:tblCellMar>
            <w:top w:w="0" w:type="dxa"/>
            <w:left w:w="0" w:type="dxa"/>
            <w:bottom w:w="0" w:type="dxa"/>
            <w:right w:w="0" w:type="dxa"/>
          </w:tblCellMar>
        </w:tblPrEx>
        <w:trPr>
          <w:wBefore w:w="0" w:type="auto"/>
          <w:tblCellSpacing w:w="0" w:type="dxa"/>
        </w:trPr>
        <w:tc>
          <w:tcPr>
            <w:tcW w:w="0" w:type="auto"/>
            <w:noWrap w:val="0"/>
            <w:vAlign w:val="center"/>
          </w:tcPr>
          <w:p w14:paraId="2709010A">
            <w:r>
              <w:rPr>
                <w:rStyle w:val="10"/>
                <w:rFonts w:hint="eastAsia"/>
              </w:rPr>
              <w:t>农药名称：</w:t>
            </w:r>
            <w:r>
              <w:rPr>
                <w:rFonts w:hint="eastAsia"/>
              </w:rPr>
              <w:t>联苯·噻虫胺</w:t>
            </w:r>
          </w:p>
        </w:tc>
      </w:tr>
      <w:tr w14:paraId="4943EB4D">
        <w:tblPrEx>
          <w:tblCellMar>
            <w:top w:w="0" w:type="dxa"/>
            <w:left w:w="0" w:type="dxa"/>
            <w:bottom w:w="0" w:type="dxa"/>
            <w:right w:w="0" w:type="dxa"/>
          </w:tblCellMar>
        </w:tblPrEx>
        <w:trPr>
          <w:wBefore w:w="0" w:type="auto"/>
          <w:tblCellSpacing w:w="0" w:type="dxa"/>
        </w:trPr>
        <w:tc>
          <w:tcPr>
            <w:tcW w:w="0" w:type="auto"/>
            <w:noWrap w:val="0"/>
            <w:vAlign w:val="center"/>
          </w:tcPr>
          <w:p w14:paraId="6C7A2673">
            <w:r>
              <w:rPr>
                <w:rStyle w:val="10"/>
                <w:rFonts w:hint="eastAsia"/>
              </w:rPr>
              <w:t>剂型：</w:t>
            </w:r>
            <w:r>
              <w:rPr>
                <w:rFonts w:hint="eastAsia"/>
              </w:rPr>
              <w:t>颗粒剂</w:t>
            </w:r>
          </w:p>
        </w:tc>
      </w:tr>
      <w:tr w14:paraId="483DDB8C">
        <w:tblPrEx>
          <w:tblCellMar>
            <w:top w:w="0" w:type="dxa"/>
            <w:left w:w="0" w:type="dxa"/>
            <w:bottom w:w="0" w:type="dxa"/>
            <w:right w:w="0" w:type="dxa"/>
          </w:tblCellMar>
        </w:tblPrEx>
        <w:trPr>
          <w:wBefore w:w="0" w:type="auto"/>
          <w:tblCellSpacing w:w="0" w:type="dxa"/>
        </w:trPr>
        <w:tc>
          <w:tcPr>
            <w:tcW w:w="0" w:type="auto"/>
            <w:noWrap w:val="0"/>
            <w:vAlign w:val="center"/>
          </w:tcPr>
          <w:p w14:paraId="48BC052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 name="图片 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215E091">
        <w:tblPrEx>
          <w:tblCellMar>
            <w:top w:w="0" w:type="dxa"/>
            <w:left w:w="0" w:type="dxa"/>
            <w:bottom w:w="0" w:type="dxa"/>
            <w:right w:w="0" w:type="dxa"/>
          </w:tblCellMar>
        </w:tblPrEx>
        <w:trPr>
          <w:wBefore w:w="0" w:type="auto"/>
          <w:tblCellSpacing w:w="0" w:type="dxa"/>
        </w:trPr>
        <w:tc>
          <w:tcPr>
            <w:tcW w:w="0" w:type="auto"/>
            <w:noWrap w:val="0"/>
            <w:vAlign w:val="center"/>
          </w:tcPr>
          <w:p w14:paraId="0F31271F">
            <w:r>
              <w:rPr>
                <w:rStyle w:val="10"/>
                <w:rFonts w:hint="eastAsia"/>
              </w:rPr>
              <w:t>总有效成分含量：</w:t>
            </w:r>
            <w:r>
              <w:rPr>
                <w:rFonts w:hint="eastAsia"/>
              </w:rPr>
              <w:t>0.1%</w:t>
            </w:r>
          </w:p>
        </w:tc>
      </w:tr>
      <w:tr w14:paraId="2DB3322A">
        <w:tblPrEx>
          <w:tblCellMar>
            <w:top w:w="0" w:type="dxa"/>
            <w:left w:w="0" w:type="dxa"/>
            <w:bottom w:w="0" w:type="dxa"/>
            <w:right w:w="0" w:type="dxa"/>
          </w:tblCellMar>
        </w:tblPrEx>
        <w:trPr>
          <w:wBefore w:w="0" w:type="auto"/>
          <w:tblCellSpacing w:w="0" w:type="dxa"/>
        </w:trPr>
        <w:tc>
          <w:tcPr>
            <w:tcW w:w="0" w:type="auto"/>
            <w:noWrap w:val="0"/>
            <w:vAlign w:val="center"/>
          </w:tcPr>
          <w:p w14:paraId="16B88A9A">
            <w:r>
              <w:rPr>
                <w:rFonts w:hint="eastAsia"/>
              </w:rPr>
              <w:t xml:space="preserve">有效成分及其含量： </w:t>
            </w:r>
          </w:p>
          <w:p w14:paraId="79BFD282">
            <w:r>
              <w:rPr>
                <w:rFonts w:hint="eastAsia"/>
              </w:rPr>
              <w:t xml:space="preserve">    联苯菊酯0.02%    噻虫胺0.08%    </w:t>
            </w:r>
          </w:p>
        </w:tc>
      </w:tr>
      <w:tr w14:paraId="5A4E030B">
        <w:tblPrEx>
          <w:tblCellMar>
            <w:top w:w="0" w:type="dxa"/>
            <w:left w:w="0" w:type="dxa"/>
            <w:bottom w:w="0" w:type="dxa"/>
            <w:right w:w="0" w:type="dxa"/>
          </w:tblCellMar>
        </w:tblPrEx>
        <w:trPr>
          <w:wBefore w:w="0" w:type="auto"/>
          <w:tblCellSpacing w:w="0" w:type="dxa"/>
        </w:trPr>
        <w:tc>
          <w:tcPr>
            <w:tcW w:w="0" w:type="auto"/>
            <w:noWrap w:val="0"/>
            <w:vAlign w:val="center"/>
          </w:tcPr>
          <w:p w14:paraId="255DEB1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F1BF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0A20C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A93D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93F658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E80D3F">
                  <w:r>
                    <w:rPr>
                      <w:rStyle w:val="11"/>
                      <w:rFonts w:hint="eastAsia"/>
                    </w:rPr>
                    <w:t>施用方式</w:t>
                  </w:r>
                </w:p>
              </w:tc>
            </w:tr>
            <w:tr w14:paraId="6E29CF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99C214">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353CEC">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721F74">
                  <w:r>
                    <w:rPr>
                      <w:rStyle w:val="11"/>
                      <w:rFonts w:hint="eastAsia"/>
                    </w:rPr>
                    <w:t>20-25千克/亩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E91CD4">
                  <w:r>
                    <w:rPr>
                      <w:rStyle w:val="11"/>
                      <w:rFonts w:hint="eastAsia"/>
                    </w:rPr>
                    <w:t>沟施</w:t>
                  </w:r>
                </w:p>
              </w:tc>
            </w:tr>
          </w:tbl>
          <w:p w14:paraId="199E6579">
            <w:pPr>
              <w:rPr>
                <w:rFonts w:ascii="Times New Roman" w:hAnsi="Times New Roman" w:cs="Times New Roman"/>
                <w:sz w:val="20"/>
                <w:szCs w:val="20"/>
              </w:rPr>
            </w:pPr>
          </w:p>
        </w:tc>
      </w:tr>
      <w:tr w14:paraId="52B3EA91">
        <w:tblPrEx>
          <w:tblCellMar>
            <w:top w:w="0" w:type="dxa"/>
            <w:left w:w="0" w:type="dxa"/>
            <w:bottom w:w="0" w:type="dxa"/>
            <w:right w:w="0" w:type="dxa"/>
          </w:tblCellMar>
        </w:tblPrEx>
        <w:trPr>
          <w:wBefore w:w="0" w:type="auto"/>
          <w:tblCellSpacing w:w="0" w:type="dxa"/>
        </w:trPr>
        <w:tc>
          <w:tcPr>
            <w:tcW w:w="0" w:type="auto"/>
            <w:noWrap w:val="0"/>
            <w:vAlign w:val="center"/>
          </w:tcPr>
          <w:p w14:paraId="4593CA69">
            <w:r>
              <w:rPr>
                <w:rStyle w:val="10"/>
                <w:rFonts w:hint="eastAsia"/>
              </w:rPr>
              <w:t>使用技术要求:</w:t>
            </w:r>
            <w:r>
              <w:rPr>
                <w:rFonts w:hint="eastAsia"/>
              </w:rPr>
              <w:br w:type="textWrapping"/>
            </w:r>
            <w:r>
              <w:rPr>
                <w:rStyle w:val="11"/>
                <w:rFonts w:hint="eastAsia"/>
              </w:rPr>
              <w:t>1.于甘蔗播种或培土时施药1次，将药剂撒施于播种沟内，播种后覆土；或培土时在甘蔗茎基部附近开沟，撒施药剂后覆土。2.预计一个小时内有大雨请勿撒施。 3.每季最多使用1次。</w:t>
            </w:r>
          </w:p>
        </w:tc>
      </w:tr>
      <w:tr w14:paraId="0EB211C9">
        <w:tblPrEx>
          <w:tblCellMar>
            <w:top w:w="0" w:type="dxa"/>
            <w:left w:w="0" w:type="dxa"/>
            <w:bottom w:w="0" w:type="dxa"/>
            <w:right w:w="0" w:type="dxa"/>
          </w:tblCellMar>
        </w:tblPrEx>
        <w:trPr>
          <w:wBefore w:w="0" w:type="auto"/>
          <w:tblCellSpacing w:w="0" w:type="dxa"/>
        </w:trPr>
        <w:tc>
          <w:tcPr>
            <w:tcW w:w="0" w:type="auto"/>
            <w:noWrap w:val="0"/>
            <w:vAlign w:val="center"/>
          </w:tcPr>
          <w:p w14:paraId="25752D8F">
            <w:r>
              <w:rPr>
                <w:rStyle w:val="10"/>
                <w:rFonts w:hint="eastAsia"/>
              </w:rPr>
              <w:t>产品性能:</w:t>
            </w:r>
            <w:r>
              <w:rPr>
                <w:rFonts w:hint="eastAsia"/>
              </w:rPr>
              <w:br w:type="textWrapping"/>
            </w:r>
            <w:r>
              <w:rPr>
                <w:rStyle w:val="11"/>
                <w:rFonts w:hint="eastAsia"/>
              </w:rPr>
              <w:t>本品为两种不同作用机理的有效成分联苯菊酯和噻虫胺的混配制剂。二者混用具有内吸、触杀和胃毒的作用，可有效防治甘蔗蔗龟。</w:t>
            </w:r>
          </w:p>
        </w:tc>
      </w:tr>
      <w:tr w14:paraId="38BDEB05">
        <w:tblPrEx>
          <w:tblCellMar>
            <w:top w:w="0" w:type="dxa"/>
            <w:left w:w="0" w:type="dxa"/>
            <w:bottom w:w="0" w:type="dxa"/>
            <w:right w:w="0" w:type="dxa"/>
          </w:tblCellMar>
        </w:tblPrEx>
        <w:trPr>
          <w:wBefore w:w="0" w:type="auto"/>
          <w:tblCellSpacing w:w="0" w:type="dxa"/>
        </w:trPr>
        <w:tc>
          <w:tcPr>
            <w:tcW w:w="0" w:type="auto"/>
            <w:noWrap w:val="0"/>
            <w:vAlign w:val="center"/>
          </w:tcPr>
          <w:p w14:paraId="12A6F4B2">
            <w:r>
              <w:rPr>
                <w:rStyle w:val="10"/>
                <w:rFonts w:hint="eastAsia"/>
              </w:rPr>
              <w:t>注意事项：</w:t>
            </w:r>
            <w:r>
              <w:rPr>
                <w:rFonts w:hint="eastAsia"/>
              </w:rPr>
              <w:br w:type="textWrapping"/>
            </w:r>
            <w:r>
              <w:rPr>
                <w:rStyle w:val="11"/>
                <w:rFonts w:hint="eastAsia"/>
              </w:rPr>
              <w:t>1、本品对鸟类、蜜蜂、土壤生物的存在风险。鸟类保护区、鸟类栖息地、养殖场及其附近禁用，施药后立即覆土。2、施用期间密切关注对土壤生物的风险性。3、本品不能与碱性农药等物质混用，不同用于碱性土壤。4、使用本品时应穿戴防护和防毒面具，穿干净的防护服。施药后应及时用肥皂和清水洗干净。5、建议与不同作用机制的杀虫剂轮换使用。6、用过的容器应妥善处理，不要做他用，也不可随意丢弃。7、孕妇及哺乳期妇女禁止接触本品。8、禁止在河塘等水体中清洗施药器具。</w:t>
            </w:r>
          </w:p>
        </w:tc>
      </w:tr>
      <w:tr w14:paraId="25B9C86A">
        <w:tblPrEx>
          <w:tblCellMar>
            <w:top w:w="0" w:type="dxa"/>
            <w:left w:w="0" w:type="dxa"/>
            <w:bottom w:w="0" w:type="dxa"/>
            <w:right w:w="0" w:type="dxa"/>
          </w:tblCellMar>
        </w:tblPrEx>
        <w:trPr>
          <w:wBefore w:w="0" w:type="auto"/>
          <w:tblCellSpacing w:w="0" w:type="dxa"/>
        </w:trPr>
        <w:tc>
          <w:tcPr>
            <w:tcW w:w="0" w:type="auto"/>
            <w:noWrap w:val="0"/>
            <w:vAlign w:val="center"/>
          </w:tcPr>
          <w:p w14:paraId="7FDC89AE">
            <w:r>
              <w:rPr>
                <w:rStyle w:val="10"/>
                <w:rFonts w:hint="eastAsia"/>
              </w:rPr>
              <w:t>中毒急救措施：</w:t>
            </w:r>
            <w:r>
              <w:rPr>
                <w:rFonts w:hint="eastAsia"/>
              </w:rPr>
              <w:br w:type="textWrapping"/>
            </w:r>
            <w:r>
              <w:rPr>
                <w:rStyle w:val="11"/>
                <w:rFonts w:hint="eastAsia"/>
              </w:rPr>
              <w:t>对眼睛有刺激性，使用时避免接触眼睛。中毒症状：请严格按标签推荐使用，如因疏忽或误用而发生中毒现象 (头昏、呕吐等) 时，请立即携此标签就医。 1.误服：用水漱口, 并饮1-2杯水，对神志不清者切勿催吐，携此标签就医。 2.吸入：移至空气清新的地方，携此标签就医。 3.眼睛：以清水冲洗至少15分钟，携此标签就医。 4.皮肤：用大量肥皂和清水冲洗，携此标签就医。5.医生须知：本产品含有微粒物体(砂土), 可能对眼睛造成机械性刺激。</w:t>
            </w:r>
          </w:p>
        </w:tc>
      </w:tr>
      <w:tr w14:paraId="3DCD1AD4">
        <w:tblPrEx>
          <w:tblCellMar>
            <w:top w:w="0" w:type="dxa"/>
            <w:left w:w="0" w:type="dxa"/>
            <w:bottom w:w="0" w:type="dxa"/>
            <w:right w:w="0" w:type="dxa"/>
          </w:tblCellMar>
        </w:tblPrEx>
        <w:trPr>
          <w:wBefore w:w="0" w:type="auto"/>
          <w:tblCellSpacing w:w="0" w:type="dxa"/>
        </w:trPr>
        <w:tc>
          <w:tcPr>
            <w:tcW w:w="0" w:type="auto"/>
            <w:noWrap w:val="0"/>
            <w:vAlign w:val="center"/>
          </w:tcPr>
          <w:p w14:paraId="2CC48AE8">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本品贮存应注意阴凉、干燥、通风，远离火源，不能与食品、饮料、粮食、饲料等物品同贮同运。远离儿童及家畜并加锁，以免误服。避免与皮肤、眼睛接触。装卸运输时注意检查包装是否密封完整，轻拿轻放。</w:t>
            </w:r>
          </w:p>
        </w:tc>
      </w:tr>
      <w:tr w14:paraId="2E8BFACB">
        <w:tblPrEx>
          <w:tblCellMar>
            <w:top w:w="0" w:type="dxa"/>
            <w:left w:w="0" w:type="dxa"/>
            <w:bottom w:w="0" w:type="dxa"/>
            <w:right w:w="0" w:type="dxa"/>
          </w:tblCellMar>
        </w:tblPrEx>
        <w:trPr>
          <w:wBefore w:w="0" w:type="auto"/>
          <w:tblCellSpacing w:w="0" w:type="dxa"/>
        </w:trPr>
        <w:tc>
          <w:tcPr>
            <w:tcW w:w="0" w:type="auto"/>
            <w:noWrap w:val="0"/>
            <w:vAlign w:val="center"/>
          </w:tcPr>
          <w:p w14:paraId="4CFF019F">
            <w:r>
              <w:rPr>
                <w:rStyle w:val="10"/>
                <w:rFonts w:hint="eastAsia"/>
              </w:rPr>
              <w:t>质量保证期：</w:t>
            </w:r>
            <w:r>
              <w:rPr>
                <w:rStyle w:val="11"/>
                <w:rFonts w:hint="eastAsia"/>
              </w:rPr>
              <w:t>2年</w:t>
            </w:r>
          </w:p>
        </w:tc>
      </w:tr>
      <w:tr w14:paraId="1E4AA1AF">
        <w:tblPrEx>
          <w:tblCellMar>
            <w:top w:w="0" w:type="dxa"/>
            <w:left w:w="0" w:type="dxa"/>
            <w:bottom w:w="0" w:type="dxa"/>
            <w:right w:w="0" w:type="dxa"/>
          </w:tblCellMar>
        </w:tblPrEx>
        <w:trPr>
          <w:wBefore w:w="0" w:type="auto"/>
          <w:tblCellSpacing w:w="0" w:type="dxa"/>
        </w:trPr>
        <w:tc>
          <w:tcPr>
            <w:tcW w:w="0" w:type="auto"/>
            <w:noWrap w:val="0"/>
            <w:vAlign w:val="center"/>
          </w:tcPr>
          <w:p w14:paraId="26C6C978">
            <w:r>
              <w:rPr>
                <w:rStyle w:val="10"/>
                <w:rFonts w:hint="eastAsia"/>
              </w:rPr>
              <w:t>备注：</w:t>
            </w:r>
          </w:p>
        </w:tc>
      </w:tr>
    </w:tbl>
    <w:p w14:paraId="68DAE8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277C90">
        <w:tblPrEx>
          <w:tblCellMar>
            <w:top w:w="0" w:type="dxa"/>
            <w:left w:w="0" w:type="dxa"/>
            <w:bottom w:w="0" w:type="dxa"/>
            <w:right w:w="0" w:type="dxa"/>
          </w:tblCellMar>
        </w:tblPrEx>
        <w:trPr>
          <w:wBefore w:w="0" w:type="auto"/>
          <w:tblCellSpacing w:w="0" w:type="dxa"/>
        </w:trPr>
        <w:tc>
          <w:tcPr>
            <w:tcW w:w="0" w:type="auto"/>
            <w:noWrap w:val="0"/>
            <w:vAlign w:val="center"/>
          </w:tcPr>
          <w:p w14:paraId="7EB7EB98">
            <w:r>
              <w:rPr>
                <w:rStyle w:val="10"/>
                <w:rFonts w:hint="eastAsia"/>
              </w:rPr>
              <w:t>登记证号：</w:t>
            </w:r>
            <w:r>
              <w:rPr>
                <w:rFonts w:hint="eastAsia"/>
              </w:rPr>
              <w:t>PD20212368</w:t>
            </w:r>
          </w:p>
        </w:tc>
      </w:tr>
      <w:tr w14:paraId="33EBAFC2">
        <w:tblPrEx>
          <w:tblCellMar>
            <w:top w:w="0" w:type="dxa"/>
            <w:left w:w="0" w:type="dxa"/>
            <w:bottom w:w="0" w:type="dxa"/>
            <w:right w:w="0" w:type="dxa"/>
          </w:tblCellMar>
        </w:tblPrEx>
        <w:trPr>
          <w:wBefore w:w="0" w:type="auto"/>
          <w:tblCellSpacing w:w="0" w:type="dxa"/>
        </w:trPr>
        <w:tc>
          <w:tcPr>
            <w:tcW w:w="0" w:type="auto"/>
            <w:noWrap w:val="0"/>
            <w:vAlign w:val="center"/>
          </w:tcPr>
          <w:p w14:paraId="3824E6EF">
            <w:r>
              <w:rPr>
                <w:rStyle w:val="10"/>
                <w:rFonts w:hint="eastAsia"/>
              </w:rPr>
              <w:t>登记证持有人：</w:t>
            </w:r>
            <w:r>
              <w:rPr>
                <w:rFonts w:hint="eastAsia"/>
              </w:rPr>
              <w:t>安徽博海生物科技有限公司</w:t>
            </w:r>
          </w:p>
        </w:tc>
      </w:tr>
      <w:tr w14:paraId="7C5509FB">
        <w:tblPrEx>
          <w:tblCellMar>
            <w:top w:w="0" w:type="dxa"/>
            <w:left w:w="0" w:type="dxa"/>
            <w:bottom w:w="0" w:type="dxa"/>
            <w:right w:w="0" w:type="dxa"/>
          </w:tblCellMar>
        </w:tblPrEx>
        <w:trPr>
          <w:wBefore w:w="0" w:type="auto"/>
          <w:tblCellSpacing w:w="0" w:type="dxa"/>
        </w:trPr>
        <w:tc>
          <w:tcPr>
            <w:tcW w:w="0" w:type="auto"/>
            <w:noWrap w:val="0"/>
            <w:vAlign w:val="center"/>
          </w:tcPr>
          <w:p w14:paraId="2B412829">
            <w:r>
              <w:rPr>
                <w:rStyle w:val="10"/>
                <w:rFonts w:hint="eastAsia"/>
              </w:rPr>
              <w:t>农药名称：</w:t>
            </w:r>
            <w:r>
              <w:rPr>
                <w:rFonts w:hint="eastAsia"/>
              </w:rPr>
              <w:t>虫螨腈·虱螨脲</w:t>
            </w:r>
          </w:p>
        </w:tc>
      </w:tr>
      <w:tr w14:paraId="2F2DD779">
        <w:tblPrEx>
          <w:tblCellMar>
            <w:top w:w="0" w:type="dxa"/>
            <w:left w:w="0" w:type="dxa"/>
            <w:bottom w:w="0" w:type="dxa"/>
            <w:right w:w="0" w:type="dxa"/>
          </w:tblCellMar>
        </w:tblPrEx>
        <w:trPr>
          <w:wBefore w:w="0" w:type="auto"/>
          <w:tblCellSpacing w:w="0" w:type="dxa"/>
        </w:trPr>
        <w:tc>
          <w:tcPr>
            <w:tcW w:w="0" w:type="auto"/>
            <w:noWrap w:val="0"/>
            <w:vAlign w:val="center"/>
          </w:tcPr>
          <w:p w14:paraId="17BD9E73">
            <w:r>
              <w:rPr>
                <w:rStyle w:val="10"/>
                <w:rFonts w:hint="eastAsia"/>
              </w:rPr>
              <w:t>剂型：</w:t>
            </w:r>
            <w:r>
              <w:rPr>
                <w:rFonts w:hint="eastAsia"/>
              </w:rPr>
              <w:t>悬浮剂</w:t>
            </w:r>
          </w:p>
        </w:tc>
      </w:tr>
      <w:tr w14:paraId="7A9D189D">
        <w:tblPrEx>
          <w:tblCellMar>
            <w:top w:w="0" w:type="dxa"/>
            <w:left w:w="0" w:type="dxa"/>
            <w:bottom w:w="0" w:type="dxa"/>
            <w:right w:w="0" w:type="dxa"/>
          </w:tblCellMar>
        </w:tblPrEx>
        <w:trPr>
          <w:wBefore w:w="0" w:type="auto"/>
          <w:tblCellSpacing w:w="0" w:type="dxa"/>
        </w:trPr>
        <w:tc>
          <w:tcPr>
            <w:tcW w:w="0" w:type="auto"/>
            <w:noWrap w:val="0"/>
            <w:vAlign w:val="center"/>
          </w:tcPr>
          <w:p w14:paraId="4DF0F86C">
            <w:r>
              <w:rPr>
                <w:rStyle w:val="10"/>
                <w:rFonts w:hint="eastAsia"/>
              </w:rPr>
              <w:t>毒性及其标识：</w:t>
            </w:r>
            <w:r>
              <w:rPr>
                <w:rFonts w:hint="eastAsia"/>
              </w:rPr>
              <w:t xml:space="preserve"> </w:t>
            </w:r>
            <w:r>
              <w:rPr>
                <w:lang/>
              </w:rPr>
              <w:drawing>
                <wp:inline distT="0" distB="0" distL="114300" distR="114300">
                  <wp:extent cx="476250" cy="323850"/>
                  <wp:effectExtent l="0" t="0" r="0" b="0"/>
                  <wp:docPr id="24" name="图片 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D1E60B">
        <w:tblPrEx>
          <w:tblCellMar>
            <w:top w:w="0" w:type="dxa"/>
            <w:left w:w="0" w:type="dxa"/>
            <w:bottom w:w="0" w:type="dxa"/>
            <w:right w:w="0" w:type="dxa"/>
          </w:tblCellMar>
        </w:tblPrEx>
        <w:trPr>
          <w:wBefore w:w="0" w:type="auto"/>
          <w:tblCellSpacing w:w="0" w:type="dxa"/>
        </w:trPr>
        <w:tc>
          <w:tcPr>
            <w:tcW w:w="0" w:type="auto"/>
            <w:noWrap w:val="0"/>
            <w:vAlign w:val="center"/>
          </w:tcPr>
          <w:p w14:paraId="0561682D">
            <w:r>
              <w:rPr>
                <w:rStyle w:val="10"/>
                <w:rFonts w:hint="eastAsia"/>
              </w:rPr>
              <w:t>总有效成分含量：</w:t>
            </w:r>
            <w:r>
              <w:rPr>
                <w:rFonts w:hint="eastAsia"/>
              </w:rPr>
              <w:t>18%</w:t>
            </w:r>
          </w:p>
        </w:tc>
      </w:tr>
      <w:tr w14:paraId="373FED15">
        <w:tblPrEx>
          <w:tblCellMar>
            <w:top w:w="0" w:type="dxa"/>
            <w:left w:w="0" w:type="dxa"/>
            <w:bottom w:w="0" w:type="dxa"/>
            <w:right w:w="0" w:type="dxa"/>
          </w:tblCellMar>
        </w:tblPrEx>
        <w:trPr>
          <w:wBefore w:w="0" w:type="auto"/>
          <w:tblCellSpacing w:w="0" w:type="dxa"/>
        </w:trPr>
        <w:tc>
          <w:tcPr>
            <w:tcW w:w="0" w:type="auto"/>
            <w:noWrap w:val="0"/>
            <w:vAlign w:val="center"/>
          </w:tcPr>
          <w:p w14:paraId="0E508CFF">
            <w:r>
              <w:rPr>
                <w:rFonts w:hint="eastAsia"/>
              </w:rPr>
              <w:t xml:space="preserve">有效成分及其含量： </w:t>
            </w:r>
          </w:p>
          <w:p w14:paraId="7561E37F">
            <w:r>
              <w:rPr>
                <w:rFonts w:hint="eastAsia"/>
              </w:rPr>
              <w:t xml:space="preserve">    虫螨腈15%    虱螨脲3%    </w:t>
            </w:r>
          </w:p>
        </w:tc>
      </w:tr>
      <w:tr w14:paraId="2A778E96">
        <w:tblPrEx>
          <w:tblCellMar>
            <w:top w:w="0" w:type="dxa"/>
            <w:left w:w="0" w:type="dxa"/>
            <w:bottom w:w="0" w:type="dxa"/>
            <w:right w:w="0" w:type="dxa"/>
          </w:tblCellMar>
        </w:tblPrEx>
        <w:trPr>
          <w:wBefore w:w="0" w:type="auto"/>
          <w:tblCellSpacing w:w="0" w:type="dxa"/>
        </w:trPr>
        <w:tc>
          <w:tcPr>
            <w:tcW w:w="0" w:type="auto"/>
            <w:noWrap w:val="0"/>
            <w:vAlign w:val="center"/>
          </w:tcPr>
          <w:p w14:paraId="043F83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720F2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5F37C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4E375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CB8C1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DDB59D">
                  <w:r>
                    <w:rPr>
                      <w:rStyle w:val="11"/>
                      <w:rFonts w:hint="eastAsia"/>
                    </w:rPr>
                    <w:t>施用方式</w:t>
                  </w:r>
                </w:p>
              </w:tc>
            </w:tr>
            <w:tr w14:paraId="04907C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943670">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2697CA">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B1DAC2">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597B3F">
                  <w:r>
                    <w:rPr>
                      <w:rStyle w:val="11"/>
                      <w:rFonts w:hint="eastAsia"/>
                    </w:rPr>
                    <w:t>喷雾</w:t>
                  </w:r>
                </w:p>
              </w:tc>
            </w:tr>
          </w:tbl>
          <w:p w14:paraId="3005C498">
            <w:pPr>
              <w:rPr>
                <w:rFonts w:ascii="Times New Roman" w:hAnsi="Times New Roman" w:cs="Times New Roman"/>
                <w:sz w:val="20"/>
                <w:szCs w:val="20"/>
              </w:rPr>
            </w:pPr>
          </w:p>
        </w:tc>
      </w:tr>
      <w:tr w14:paraId="06B7AAD0">
        <w:tblPrEx>
          <w:tblCellMar>
            <w:top w:w="0" w:type="dxa"/>
            <w:left w:w="0" w:type="dxa"/>
            <w:bottom w:w="0" w:type="dxa"/>
            <w:right w:w="0" w:type="dxa"/>
          </w:tblCellMar>
        </w:tblPrEx>
        <w:trPr>
          <w:wBefore w:w="0" w:type="auto"/>
          <w:tblCellSpacing w:w="0" w:type="dxa"/>
        </w:trPr>
        <w:tc>
          <w:tcPr>
            <w:tcW w:w="0" w:type="auto"/>
            <w:noWrap w:val="0"/>
            <w:vAlign w:val="center"/>
          </w:tcPr>
          <w:p w14:paraId="08B7BF4C">
            <w:r>
              <w:rPr>
                <w:rStyle w:val="10"/>
                <w:rFonts w:hint="eastAsia"/>
              </w:rPr>
              <w:t>使用技术要求:</w:t>
            </w:r>
            <w:r>
              <w:rPr>
                <w:rFonts w:hint="eastAsia"/>
              </w:rPr>
              <w:br w:type="textWrapping"/>
            </w:r>
            <w:r>
              <w:rPr>
                <w:rStyle w:val="11"/>
                <w:rFonts w:hint="eastAsia"/>
              </w:rPr>
              <w:t>1.于甜菜夜蛾卵孵盛期至低龄幼虫期喷雾施药1次。2.大风天或预计1小时内降雨，请勿施药。3.本品在甘蓝上的安全间隔期为14天，每季作物最多使用1次。</w:t>
            </w:r>
          </w:p>
        </w:tc>
      </w:tr>
      <w:tr w14:paraId="757A7972">
        <w:tblPrEx>
          <w:tblCellMar>
            <w:top w:w="0" w:type="dxa"/>
            <w:left w:w="0" w:type="dxa"/>
            <w:bottom w:w="0" w:type="dxa"/>
            <w:right w:w="0" w:type="dxa"/>
          </w:tblCellMar>
        </w:tblPrEx>
        <w:trPr>
          <w:wBefore w:w="0" w:type="auto"/>
          <w:tblCellSpacing w:w="0" w:type="dxa"/>
        </w:trPr>
        <w:tc>
          <w:tcPr>
            <w:tcW w:w="0" w:type="auto"/>
            <w:noWrap w:val="0"/>
            <w:vAlign w:val="center"/>
          </w:tcPr>
          <w:p w14:paraId="2557B8E2">
            <w:r>
              <w:rPr>
                <w:rStyle w:val="10"/>
                <w:rFonts w:hint="eastAsia"/>
              </w:rPr>
              <w:t>产品性能:</w:t>
            </w:r>
            <w:r>
              <w:rPr>
                <w:rFonts w:hint="eastAsia"/>
              </w:rPr>
              <w:br w:type="textWrapping"/>
            </w:r>
            <w:r>
              <w:rPr>
                <w:rStyle w:val="11"/>
                <w:rFonts w:hint="eastAsia"/>
              </w:rPr>
              <w:t>本品为虫螨腈和虱螨脲的复配杀虫剂，具有胃毒、触杀和内吸作用，对甘蓝甜菜夜蛾有很好的防治效果。</w:t>
            </w:r>
          </w:p>
        </w:tc>
      </w:tr>
      <w:tr w14:paraId="4B9BD829">
        <w:tblPrEx>
          <w:tblCellMar>
            <w:top w:w="0" w:type="dxa"/>
            <w:left w:w="0" w:type="dxa"/>
            <w:bottom w:w="0" w:type="dxa"/>
            <w:right w:w="0" w:type="dxa"/>
          </w:tblCellMar>
        </w:tblPrEx>
        <w:trPr>
          <w:wBefore w:w="0" w:type="auto"/>
          <w:tblCellSpacing w:w="0" w:type="dxa"/>
        </w:trPr>
        <w:tc>
          <w:tcPr>
            <w:tcW w:w="0" w:type="auto"/>
            <w:noWrap w:val="0"/>
            <w:vAlign w:val="center"/>
          </w:tcPr>
          <w:p w14:paraId="0E107DFC">
            <w:r>
              <w:rPr>
                <w:rStyle w:val="10"/>
                <w:rFonts w:hint="eastAsia"/>
              </w:rPr>
              <w:t>注意事项：</w:t>
            </w:r>
            <w:r>
              <w:rPr>
                <w:rFonts w:hint="eastAsia"/>
              </w:rPr>
              <w:br w:type="textWrapping"/>
            </w:r>
            <w:r>
              <w:rPr>
                <w:rStyle w:val="11"/>
                <w:rFonts w:hint="eastAsia"/>
              </w:rPr>
              <w:t>1.使用时穿戴长衣、长裤、帽子、口罩、手套等安全防护措施。 避免皮肤接触及口鼻吸入。使用中不可吸烟、饮水及吃东西，使用后及时清洗手、脸等暴露部位皮肤并更换衣物。2.本品对鸟类、家蚕、蜜蜂等有毒，鸟类保护区附近禁用，（周围）开花植物花期禁用，采用最外围桑树作为隔离带，使用时应密切关注对附近蜂群的影响，蚕室及桑园附近禁用； 赤眼蜂、瓢虫等天敌放飞区域禁用。3.本品对鱼类等水生生物有毒，水产养殖区、河塘等水体附近禁用，禁止在河塘等水体中清洗施药器具。4.用药后包装物及用过的容器请妥善处理，不可用作他用，也不可随意丢弃。5.孕妇和哺乳期妇女禁止接触本品。</w:t>
            </w:r>
          </w:p>
        </w:tc>
      </w:tr>
      <w:tr w14:paraId="28F0669A">
        <w:tblPrEx>
          <w:tblCellMar>
            <w:top w:w="0" w:type="dxa"/>
            <w:left w:w="0" w:type="dxa"/>
            <w:bottom w:w="0" w:type="dxa"/>
            <w:right w:w="0" w:type="dxa"/>
          </w:tblCellMar>
        </w:tblPrEx>
        <w:trPr>
          <w:wBefore w:w="0" w:type="auto"/>
          <w:tblCellSpacing w:w="0" w:type="dxa"/>
        </w:trPr>
        <w:tc>
          <w:tcPr>
            <w:tcW w:w="0" w:type="auto"/>
            <w:noWrap w:val="0"/>
            <w:vAlign w:val="center"/>
          </w:tcPr>
          <w:p w14:paraId="29E6E23A">
            <w:r>
              <w:rPr>
                <w:rStyle w:val="10"/>
                <w:rFonts w:hint="eastAsia"/>
              </w:rPr>
              <w:t>中毒急救措施：</w:t>
            </w:r>
            <w:r>
              <w:rPr>
                <w:rFonts w:hint="eastAsia"/>
              </w:rPr>
              <w:br w:type="textWrapping"/>
            </w:r>
            <w:r>
              <w:rPr>
                <w:rStyle w:val="11"/>
                <w:rFonts w:hint="eastAsia"/>
              </w:rPr>
              <w:t>1.皮肤接触：立即脱掉被污染的衣物，用大量清水和肥皂冲洗皮肤。2.眼睛溅入：立即用流动清水冲洗不少于15分钟。如症状持续，携此标签去医院诊治。3.不慎吸入：立即将吸入者移至空气流通处，请医生诊治。4.误食：勿引吐，立即携此标签送医就诊，对症治疗，无特效解毒药。</w:t>
            </w:r>
          </w:p>
        </w:tc>
      </w:tr>
      <w:tr w14:paraId="0AFBB210">
        <w:tblPrEx>
          <w:tblCellMar>
            <w:top w:w="0" w:type="dxa"/>
            <w:left w:w="0" w:type="dxa"/>
            <w:bottom w:w="0" w:type="dxa"/>
            <w:right w:w="0" w:type="dxa"/>
          </w:tblCellMar>
        </w:tblPrEx>
        <w:trPr>
          <w:wBefore w:w="0" w:type="auto"/>
          <w:tblCellSpacing w:w="0" w:type="dxa"/>
        </w:trPr>
        <w:tc>
          <w:tcPr>
            <w:tcW w:w="0" w:type="auto"/>
            <w:noWrap w:val="0"/>
            <w:vAlign w:val="center"/>
          </w:tcPr>
          <w:p w14:paraId="79A0189B">
            <w:r>
              <w:rPr>
                <w:rStyle w:val="10"/>
                <w:rFonts w:hint="eastAsia"/>
              </w:rPr>
              <w:t>储存和运输方法：</w:t>
            </w:r>
            <w:r>
              <w:rPr>
                <w:rFonts w:hint="eastAsia"/>
              </w:rPr>
              <w:br w:type="textWrapping"/>
            </w:r>
            <w:r>
              <w:rPr>
                <w:rStyle w:val="11"/>
                <w:rFonts w:hint="eastAsia"/>
              </w:rPr>
              <w:t>1.本品应贮存在干燥、阴凉、通风处，远离火源或热源。2.置于儿童接触不到的地方，并加锁保存。3.不能与食品、饮料、粮食、饲料等物品同贮同运。</w:t>
            </w:r>
          </w:p>
        </w:tc>
      </w:tr>
      <w:tr w14:paraId="6E68FEC7">
        <w:tblPrEx>
          <w:tblCellMar>
            <w:top w:w="0" w:type="dxa"/>
            <w:left w:w="0" w:type="dxa"/>
            <w:bottom w:w="0" w:type="dxa"/>
            <w:right w:w="0" w:type="dxa"/>
          </w:tblCellMar>
        </w:tblPrEx>
        <w:trPr>
          <w:wBefore w:w="0" w:type="auto"/>
          <w:tblCellSpacing w:w="0" w:type="dxa"/>
        </w:trPr>
        <w:tc>
          <w:tcPr>
            <w:tcW w:w="0" w:type="auto"/>
            <w:noWrap w:val="0"/>
            <w:vAlign w:val="center"/>
          </w:tcPr>
          <w:p w14:paraId="4DE5009F">
            <w:r>
              <w:rPr>
                <w:rStyle w:val="10"/>
                <w:rFonts w:hint="eastAsia"/>
              </w:rPr>
              <w:t>质量保证期：</w:t>
            </w:r>
            <w:r>
              <w:rPr>
                <w:rStyle w:val="11"/>
                <w:rFonts w:hint="eastAsia"/>
              </w:rPr>
              <w:t>2年</w:t>
            </w:r>
          </w:p>
        </w:tc>
      </w:tr>
      <w:tr w14:paraId="66326646">
        <w:tblPrEx>
          <w:tblCellMar>
            <w:top w:w="0" w:type="dxa"/>
            <w:left w:w="0" w:type="dxa"/>
            <w:bottom w:w="0" w:type="dxa"/>
            <w:right w:w="0" w:type="dxa"/>
          </w:tblCellMar>
        </w:tblPrEx>
        <w:trPr>
          <w:wBefore w:w="0" w:type="auto"/>
          <w:tblCellSpacing w:w="0" w:type="dxa"/>
        </w:trPr>
        <w:tc>
          <w:tcPr>
            <w:tcW w:w="0" w:type="auto"/>
            <w:noWrap w:val="0"/>
            <w:vAlign w:val="center"/>
          </w:tcPr>
          <w:p w14:paraId="31ACFDFC">
            <w:r>
              <w:rPr>
                <w:rStyle w:val="10"/>
                <w:rFonts w:hint="eastAsia"/>
              </w:rPr>
              <w:t>备注：</w:t>
            </w:r>
          </w:p>
        </w:tc>
      </w:tr>
    </w:tbl>
    <w:p w14:paraId="545FDD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035268">
        <w:tblPrEx>
          <w:tblCellMar>
            <w:top w:w="0" w:type="dxa"/>
            <w:left w:w="0" w:type="dxa"/>
            <w:bottom w:w="0" w:type="dxa"/>
            <w:right w:w="0" w:type="dxa"/>
          </w:tblCellMar>
        </w:tblPrEx>
        <w:trPr>
          <w:wBefore w:w="0" w:type="auto"/>
          <w:tblCellSpacing w:w="0" w:type="dxa"/>
        </w:trPr>
        <w:tc>
          <w:tcPr>
            <w:tcW w:w="0" w:type="auto"/>
            <w:noWrap w:val="0"/>
            <w:vAlign w:val="center"/>
          </w:tcPr>
          <w:p w14:paraId="2FD2ABE3">
            <w:r>
              <w:rPr>
                <w:rStyle w:val="10"/>
                <w:rFonts w:hint="eastAsia"/>
              </w:rPr>
              <w:t>登记证号：</w:t>
            </w:r>
            <w:r>
              <w:rPr>
                <w:rFonts w:hint="eastAsia"/>
              </w:rPr>
              <w:t>PD20212539</w:t>
            </w:r>
          </w:p>
        </w:tc>
      </w:tr>
      <w:tr w14:paraId="1728B22F">
        <w:tblPrEx>
          <w:tblCellMar>
            <w:top w:w="0" w:type="dxa"/>
            <w:left w:w="0" w:type="dxa"/>
            <w:bottom w:w="0" w:type="dxa"/>
            <w:right w:w="0" w:type="dxa"/>
          </w:tblCellMar>
        </w:tblPrEx>
        <w:trPr>
          <w:wBefore w:w="0" w:type="auto"/>
          <w:tblCellSpacing w:w="0" w:type="dxa"/>
        </w:trPr>
        <w:tc>
          <w:tcPr>
            <w:tcW w:w="0" w:type="auto"/>
            <w:noWrap w:val="0"/>
            <w:vAlign w:val="center"/>
          </w:tcPr>
          <w:p w14:paraId="45674550">
            <w:r>
              <w:rPr>
                <w:rStyle w:val="10"/>
                <w:rFonts w:hint="eastAsia"/>
              </w:rPr>
              <w:t>登记证持有人：</w:t>
            </w:r>
            <w:r>
              <w:rPr>
                <w:rFonts w:hint="eastAsia"/>
              </w:rPr>
              <w:t>山东滨农科技有限公司</w:t>
            </w:r>
          </w:p>
        </w:tc>
      </w:tr>
      <w:tr w14:paraId="772A9181">
        <w:tblPrEx>
          <w:tblCellMar>
            <w:top w:w="0" w:type="dxa"/>
            <w:left w:w="0" w:type="dxa"/>
            <w:bottom w:w="0" w:type="dxa"/>
            <w:right w:w="0" w:type="dxa"/>
          </w:tblCellMar>
        </w:tblPrEx>
        <w:trPr>
          <w:wBefore w:w="0" w:type="auto"/>
          <w:tblCellSpacing w:w="0" w:type="dxa"/>
        </w:trPr>
        <w:tc>
          <w:tcPr>
            <w:tcW w:w="0" w:type="auto"/>
            <w:noWrap w:val="0"/>
            <w:vAlign w:val="center"/>
          </w:tcPr>
          <w:p w14:paraId="69A8AE0D">
            <w:r>
              <w:rPr>
                <w:rStyle w:val="10"/>
                <w:rFonts w:hint="eastAsia"/>
              </w:rPr>
              <w:t>农药名称：</w:t>
            </w:r>
            <w:r>
              <w:rPr>
                <w:rFonts w:hint="eastAsia"/>
              </w:rPr>
              <w:t>高效氟吡甲禾灵</w:t>
            </w:r>
          </w:p>
        </w:tc>
      </w:tr>
      <w:tr w14:paraId="2270A64D">
        <w:tblPrEx>
          <w:tblCellMar>
            <w:top w:w="0" w:type="dxa"/>
            <w:left w:w="0" w:type="dxa"/>
            <w:bottom w:w="0" w:type="dxa"/>
            <w:right w:w="0" w:type="dxa"/>
          </w:tblCellMar>
        </w:tblPrEx>
        <w:trPr>
          <w:wBefore w:w="0" w:type="auto"/>
          <w:tblCellSpacing w:w="0" w:type="dxa"/>
        </w:trPr>
        <w:tc>
          <w:tcPr>
            <w:tcW w:w="0" w:type="auto"/>
            <w:noWrap w:val="0"/>
            <w:vAlign w:val="center"/>
          </w:tcPr>
          <w:p w14:paraId="7B22B458">
            <w:r>
              <w:rPr>
                <w:rStyle w:val="10"/>
                <w:rFonts w:hint="eastAsia"/>
              </w:rPr>
              <w:t>剂型：</w:t>
            </w:r>
            <w:r>
              <w:rPr>
                <w:rFonts w:hint="eastAsia"/>
              </w:rPr>
              <w:t>乳油</w:t>
            </w:r>
          </w:p>
        </w:tc>
      </w:tr>
      <w:tr w14:paraId="53F48185">
        <w:tblPrEx>
          <w:tblCellMar>
            <w:top w:w="0" w:type="dxa"/>
            <w:left w:w="0" w:type="dxa"/>
            <w:bottom w:w="0" w:type="dxa"/>
            <w:right w:w="0" w:type="dxa"/>
          </w:tblCellMar>
        </w:tblPrEx>
        <w:trPr>
          <w:wBefore w:w="0" w:type="auto"/>
          <w:tblCellSpacing w:w="0" w:type="dxa"/>
        </w:trPr>
        <w:tc>
          <w:tcPr>
            <w:tcW w:w="0" w:type="auto"/>
            <w:noWrap w:val="0"/>
            <w:vAlign w:val="center"/>
          </w:tcPr>
          <w:p w14:paraId="45891B49">
            <w:r>
              <w:rPr>
                <w:rStyle w:val="10"/>
                <w:rFonts w:hint="eastAsia"/>
              </w:rPr>
              <w:t>毒性及其标识：</w:t>
            </w:r>
            <w:r>
              <w:rPr>
                <w:rFonts w:hint="eastAsia"/>
              </w:rPr>
              <w:t xml:space="preserve"> </w:t>
            </w:r>
            <w:r>
              <w:rPr>
                <w:lang/>
              </w:rPr>
              <w:drawing>
                <wp:inline distT="0" distB="0" distL="114300" distR="114300">
                  <wp:extent cx="476250" cy="323850"/>
                  <wp:effectExtent l="0" t="0" r="0" b="0"/>
                  <wp:docPr id="25" name="图片 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83A5C6">
        <w:tblPrEx>
          <w:tblCellMar>
            <w:top w:w="0" w:type="dxa"/>
            <w:left w:w="0" w:type="dxa"/>
            <w:bottom w:w="0" w:type="dxa"/>
            <w:right w:w="0" w:type="dxa"/>
          </w:tblCellMar>
        </w:tblPrEx>
        <w:trPr>
          <w:wBefore w:w="0" w:type="auto"/>
          <w:tblCellSpacing w:w="0" w:type="dxa"/>
        </w:trPr>
        <w:tc>
          <w:tcPr>
            <w:tcW w:w="0" w:type="auto"/>
            <w:noWrap w:val="0"/>
            <w:vAlign w:val="center"/>
          </w:tcPr>
          <w:p w14:paraId="410A9BF8">
            <w:r>
              <w:rPr>
                <w:rStyle w:val="10"/>
                <w:rFonts w:hint="eastAsia"/>
              </w:rPr>
              <w:t>总有效成分含量：</w:t>
            </w:r>
            <w:r>
              <w:rPr>
                <w:rFonts w:hint="eastAsia"/>
              </w:rPr>
              <w:t>48%</w:t>
            </w:r>
          </w:p>
        </w:tc>
      </w:tr>
      <w:tr w14:paraId="087FA705">
        <w:tblPrEx>
          <w:tblCellMar>
            <w:top w:w="0" w:type="dxa"/>
            <w:left w:w="0" w:type="dxa"/>
            <w:bottom w:w="0" w:type="dxa"/>
            <w:right w:w="0" w:type="dxa"/>
          </w:tblCellMar>
        </w:tblPrEx>
        <w:trPr>
          <w:wBefore w:w="0" w:type="auto"/>
          <w:tblCellSpacing w:w="0" w:type="dxa"/>
        </w:trPr>
        <w:tc>
          <w:tcPr>
            <w:tcW w:w="0" w:type="auto"/>
            <w:noWrap w:val="0"/>
            <w:vAlign w:val="center"/>
          </w:tcPr>
          <w:p w14:paraId="2E0862B6">
            <w:r>
              <w:rPr>
                <w:rFonts w:hint="eastAsia"/>
              </w:rPr>
              <w:t xml:space="preserve">有效成分及其含量： </w:t>
            </w:r>
          </w:p>
          <w:p w14:paraId="0C4F67E7">
            <w:r>
              <w:rPr>
                <w:rFonts w:hint="eastAsia"/>
              </w:rPr>
              <w:t xml:space="preserve">    高效氟吡甲禾灵48%    </w:t>
            </w:r>
          </w:p>
        </w:tc>
      </w:tr>
      <w:tr w14:paraId="4CDAB0ED">
        <w:tblPrEx>
          <w:tblCellMar>
            <w:top w:w="0" w:type="dxa"/>
            <w:left w:w="0" w:type="dxa"/>
            <w:bottom w:w="0" w:type="dxa"/>
            <w:right w:w="0" w:type="dxa"/>
          </w:tblCellMar>
        </w:tblPrEx>
        <w:trPr>
          <w:wBefore w:w="0" w:type="auto"/>
          <w:tblCellSpacing w:w="0" w:type="dxa"/>
        </w:trPr>
        <w:tc>
          <w:tcPr>
            <w:tcW w:w="0" w:type="auto"/>
            <w:noWrap w:val="0"/>
            <w:vAlign w:val="center"/>
          </w:tcPr>
          <w:p w14:paraId="40AC03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2C86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9FE8E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5DA6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D3C3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130F6E">
                  <w:r>
                    <w:rPr>
                      <w:rStyle w:val="11"/>
                      <w:rFonts w:hint="eastAsia"/>
                    </w:rPr>
                    <w:t>施用方式</w:t>
                  </w:r>
                </w:p>
              </w:tc>
            </w:tr>
            <w:tr w14:paraId="48E7DB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F94BE3">
                  <w:r>
                    <w:rPr>
                      <w:rStyle w:val="11"/>
                      <w:rFonts w:hint="eastAsia"/>
                    </w:rPr>
                    <w:t>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A372BE">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C90AD3">
                  <w:r>
                    <w:rPr>
                      <w:rStyle w:val="11"/>
                      <w:rFonts w:hint="eastAsia"/>
                    </w:rPr>
                    <w:t>8-10毫升/亩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863744">
                  <w:r>
                    <w:rPr>
                      <w:rStyle w:val="11"/>
                      <w:rFonts w:hint="eastAsia"/>
                    </w:rPr>
                    <w:t>茎叶喷雾</w:t>
                  </w:r>
                </w:p>
              </w:tc>
            </w:tr>
          </w:tbl>
          <w:p w14:paraId="62E54567">
            <w:pPr>
              <w:rPr>
                <w:rFonts w:ascii="Times New Roman" w:hAnsi="Times New Roman" w:cs="Times New Roman"/>
                <w:sz w:val="20"/>
                <w:szCs w:val="20"/>
              </w:rPr>
            </w:pPr>
          </w:p>
        </w:tc>
      </w:tr>
      <w:tr w14:paraId="7B0BD8D2">
        <w:tblPrEx>
          <w:tblCellMar>
            <w:top w:w="0" w:type="dxa"/>
            <w:left w:w="0" w:type="dxa"/>
            <w:bottom w:w="0" w:type="dxa"/>
            <w:right w:w="0" w:type="dxa"/>
          </w:tblCellMar>
        </w:tblPrEx>
        <w:trPr>
          <w:wBefore w:w="0" w:type="auto"/>
          <w:tblCellSpacing w:w="0" w:type="dxa"/>
        </w:trPr>
        <w:tc>
          <w:tcPr>
            <w:tcW w:w="0" w:type="auto"/>
            <w:noWrap w:val="0"/>
            <w:vAlign w:val="center"/>
          </w:tcPr>
          <w:p w14:paraId="28D26C6F">
            <w:r>
              <w:rPr>
                <w:rStyle w:val="10"/>
                <w:rFonts w:hint="eastAsia"/>
              </w:rPr>
              <w:t>使用技术要求:</w:t>
            </w:r>
            <w:r>
              <w:rPr>
                <w:rFonts w:hint="eastAsia"/>
              </w:rPr>
              <w:br w:type="textWrapping"/>
            </w:r>
            <w:r>
              <w:rPr>
                <w:rStyle w:val="11"/>
                <w:rFonts w:hint="eastAsia"/>
              </w:rPr>
              <w:t>1. 在大豆1-2复叶期，禾本科杂草2-5叶期，以推荐剂量对水均匀茎叶喷雾施药一次。2. 若在1小时内有雨，不可施药。尽量选择无风天气，避免飘移药害。3. 对阔叶作物安全，且对后茬禾本科作物也无不良影响。与阔叶除草剂混用时通常可采用适当增加高效盖草能的用量和降低阔叶除草剂的用量来避免拮抗作用，减轻混剂的害。最好混用前先进行试验，以确定混用时高效盖草能和阔叶除草剂的用量。4. 每季最多使用1次。</w:t>
            </w:r>
          </w:p>
        </w:tc>
      </w:tr>
      <w:tr w14:paraId="0CDBD933">
        <w:tblPrEx>
          <w:tblCellMar>
            <w:top w:w="0" w:type="dxa"/>
            <w:left w:w="0" w:type="dxa"/>
            <w:bottom w:w="0" w:type="dxa"/>
            <w:right w:w="0" w:type="dxa"/>
          </w:tblCellMar>
        </w:tblPrEx>
        <w:trPr>
          <w:wBefore w:w="0" w:type="auto"/>
          <w:tblCellSpacing w:w="0" w:type="dxa"/>
        </w:trPr>
        <w:tc>
          <w:tcPr>
            <w:tcW w:w="0" w:type="auto"/>
            <w:noWrap w:val="0"/>
            <w:vAlign w:val="center"/>
          </w:tcPr>
          <w:p w14:paraId="1EEB65D9">
            <w:r>
              <w:rPr>
                <w:rStyle w:val="10"/>
                <w:rFonts w:hint="eastAsia"/>
              </w:rPr>
              <w:t>产品性能:</w:t>
            </w:r>
            <w:r>
              <w:rPr>
                <w:rFonts w:hint="eastAsia"/>
              </w:rPr>
              <w:br w:type="textWrapping"/>
            </w:r>
            <w:r>
              <w:rPr>
                <w:rStyle w:val="11"/>
                <w:rFonts w:hint="eastAsia"/>
              </w:rPr>
              <w:t>高效氟吡甲禾灵为一种苗后选择性除草剂，通过抑制植物分生组织而杀死禾草。对苗后到分孽、抽穗初期的一年生和多年生禾本杂草，有很好的防除效果，对阔叶草和莎草无效。</w:t>
            </w:r>
          </w:p>
        </w:tc>
      </w:tr>
      <w:tr w14:paraId="4E1C1FD8">
        <w:tblPrEx>
          <w:tblCellMar>
            <w:top w:w="0" w:type="dxa"/>
            <w:left w:w="0" w:type="dxa"/>
            <w:bottom w:w="0" w:type="dxa"/>
            <w:right w:w="0" w:type="dxa"/>
          </w:tblCellMar>
        </w:tblPrEx>
        <w:trPr>
          <w:wBefore w:w="0" w:type="auto"/>
          <w:tblCellSpacing w:w="0" w:type="dxa"/>
        </w:trPr>
        <w:tc>
          <w:tcPr>
            <w:tcW w:w="0" w:type="auto"/>
            <w:noWrap w:val="0"/>
            <w:vAlign w:val="center"/>
          </w:tcPr>
          <w:p w14:paraId="4863930C">
            <w:r>
              <w:rPr>
                <w:rStyle w:val="10"/>
                <w:rFonts w:hint="eastAsia"/>
              </w:rPr>
              <w:t>注意事项：</w:t>
            </w:r>
            <w:r>
              <w:rPr>
                <w:rFonts w:hint="eastAsia"/>
              </w:rPr>
              <w:br w:type="textWrapping"/>
            </w:r>
            <w:r>
              <w:rPr>
                <w:rStyle w:val="11"/>
                <w:rFonts w:hint="eastAsia"/>
              </w:rPr>
              <w:t>1. 施药时避免药雾飘移到水稻、小麦、玉米等禾本科作物上。喷药器械应彻底清洗后再用于喷洒其他农药。 2. 建议采用二次稀释法配药。雨前一小时不要喷药。 3. 使用时穿戴长衣、长裤、帽子、口罩、手套等安全防护措施，避免吸入药液。施药期间不可吃东西和饮水等；施药后及时洗手和洗脸等。 4. 远离水产养殖区、河塘等水体施药；禁止在河塘等水体中清洗施药器具；地下水、饮用水水源地禁用。 5. 孕期和哺乳期妇女应避免接触。 6. 用过的容器应妥善处理，不可做他用，也不可随意丢弃。</w:t>
            </w:r>
          </w:p>
        </w:tc>
      </w:tr>
      <w:tr w14:paraId="3106AD5D">
        <w:tblPrEx>
          <w:tblCellMar>
            <w:top w:w="0" w:type="dxa"/>
            <w:left w:w="0" w:type="dxa"/>
            <w:bottom w:w="0" w:type="dxa"/>
            <w:right w:w="0" w:type="dxa"/>
          </w:tblCellMar>
        </w:tblPrEx>
        <w:trPr>
          <w:wBefore w:w="0" w:type="auto"/>
          <w:tblCellSpacing w:w="0" w:type="dxa"/>
        </w:trPr>
        <w:tc>
          <w:tcPr>
            <w:tcW w:w="0" w:type="auto"/>
            <w:noWrap w:val="0"/>
            <w:vAlign w:val="center"/>
          </w:tcPr>
          <w:p w14:paraId="796F6165">
            <w:r>
              <w:rPr>
                <w:rStyle w:val="10"/>
                <w:rFonts w:hint="eastAsia"/>
              </w:rPr>
              <w:t>中毒急救措施：</w:t>
            </w:r>
            <w:r>
              <w:rPr>
                <w:rFonts w:hint="eastAsia"/>
              </w:rPr>
              <w:br w:type="textWrapping"/>
            </w:r>
            <w:r>
              <w:rPr>
                <w:rStyle w:val="11"/>
                <w:rFonts w:hint="eastAsia"/>
              </w:rPr>
              <w:t>中毒症状：可能造成严重眼、皮肤刺激，或角膜损伤。眼睛溅入∶立刻用大量清水冲洗至少30分钟。如配戴隐形眼镜，先冲洗5分钟后再摘掉眼镜冲洗。携此标签去医院诊治。误食∶清醒患者可饮用两杯水。如误食人员已昏迷，则不要让其服用任何东西。携此标签送医诊治。皮肤沾附∶用大量清水及肥皂洗干净。误吸∶转移至空气清新处，如症状持续，向医生咨询。给医护人员的提示：无特殊解毒药，由医生对症治疗，决定是否催吐、洗胃和导泻。</w:t>
            </w:r>
          </w:p>
        </w:tc>
      </w:tr>
      <w:tr w14:paraId="5C737AE5">
        <w:tblPrEx>
          <w:tblCellMar>
            <w:top w:w="0" w:type="dxa"/>
            <w:left w:w="0" w:type="dxa"/>
            <w:bottom w:w="0" w:type="dxa"/>
            <w:right w:w="0" w:type="dxa"/>
          </w:tblCellMar>
        </w:tblPrEx>
        <w:trPr>
          <w:wBefore w:w="0" w:type="auto"/>
          <w:tblCellSpacing w:w="0" w:type="dxa"/>
        </w:trPr>
        <w:tc>
          <w:tcPr>
            <w:tcW w:w="0" w:type="auto"/>
            <w:noWrap w:val="0"/>
            <w:vAlign w:val="center"/>
          </w:tcPr>
          <w:p w14:paraId="52B48CE7">
            <w:r>
              <w:rPr>
                <w:rStyle w:val="10"/>
                <w:rFonts w:hint="eastAsia"/>
              </w:rPr>
              <w:t>储存和运输方法：</w:t>
            </w:r>
            <w:r>
              <w:rPr>
                <w:rFonts w:hint="eastAsia"/>
              </w:rPr>
              <w:br w:type="textWrapping"/>
            </w:r>
            <w:r>
              <w:rPr>
                <w:rStyle w:val="11"/>
                <w:rFonts w:hint="eastAsia"/>
              </w:rPr>
              <w:t>1. 本品应密封贮存在干燥、阴凉、通风、防雨处，本品为易燃液体，远离火源或热源。 2. 存放于儿童、无关人员触及不到之处，并加锁。 3. 勿与食品、饮料、粮食、饲料等其他商品同贮同运。贮存或运输时堆层不得超过规定，注意轻拿轻放，以免损坏包装，导致产品泄漏。</w:t>
            </w:r>
          </w:p>
        </w:tc>
      </w:tr>
      <w:tr w14:paraId="7462D0FE">
        <w:tblPrEx>
          <w:tblCellMar>
            <w:top w:w="0" w:type="dxa"/>
            <w:left w:w="0" w:type="dxa"/>
            <w:bottom w:w="0" w:type="dxa"/>
            <w:right w:w="0" w:type="dxa"/>
          </w:tblCellMar>
        </w:tblPrEx>
        <w:trPr>
          <w:wBefore w:w="0" w:type="auto"/>
          <w:tblCellSpacing w:w="0" w:type="dxa"/>
        </w:trPr>
        <w:tc>
          <w:tcPr>
            <w:tcW w:w="0" w:type="auto"/>
            <w:noWrap w:val="0"/>
            <w:vAlign w:val="center"/>
          </w:tcPr>
          <w:p w14:paraId="6EE25B12">
            <w:r>
              <w:rPr>
                <w:rStyle w:val="10"/>
                <w:rFonts w:hint="eastAsia"/>
              </w:rPr>
              <w:t>质量保证期：</w:t>
            </w:r>
            <w:r>
              <w:rPr>
                <w:rStyle w:val="11"/>
                <w:rFonts w:hint="eastAsia"/>
              </w:rPr>
              <w:t>2年</w:t>
            </w:r>
          </w:p>
        </w:tc>
      </w:tr>
      <w:tr w14:paraId="4CFDDB06">
        <w:tblPrEx>
          <w:tblCellMar>
            <w:top w:w="0" w:type="dxa"/>
            <w:left w:w="0" w:type="dxa"/>
            <w:bottom w:w="0" w:type="dxa"/>
            <w:right w:w="0" w:type="dxa"/>
          </w:tblCellMar>
        </w:tblPrEx>
        <w:trPr>
          <w:wBefore w:w="0" w:type="auto"/>
          <w:tblCellSpacing w:w="0" w:type="dxa"/>
        </w:trPr>
        <w:tc>
          <w:tcPr>
            <w:tcW w:w="0" w:type="auto"/>
            <w:noWrap w:val="0"/>
            <w:vAlign w:val="center"/>
          </w:tcPr>
          <w:p w14:paraId="6623E15A">
            <w:r>
              <w:rPr>
                <w:rStyle w:val="10"/>
                <w:rFonts w:hint="eastAsia"/>
              </w:rPr>
              <w:t>备注：</w:t>
            </w:r>
          </w:p>
        </w:tc>
      </w:tr>
    </w:tbl>
    <w:p w14:paraId="5C4AF4A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A5DBEA">
        <w:tblPrEx>
          <w:tblCellMar>
            <w:top w:w="0" w:type="dxa"/>
            <w:left w:w="0" w:type="dxa"/>
            <w:bottom w:w="0" w:type="dxa"/>
            <w:right w:w="0" w:type="dxa"/>
          </w:tblCellMar>
        </w:tblPrEx>
        <w:trPr>
          <w:wBefore w:w="0" w:type="auto"/>
          <w:tblCellSpacing w:w="0" w:type="dxa"/>
        </w:trPr>
        <w:tc>
          <w:tcPr>
            <w:tcW w:w="0" w:type="auto"/>
            <w:noWrap w:val="0"/>
            <w:vAlign w:val="center"/>
          </w:tcPr>
          <w:p w14:paraId="12282DE0">
            <w:r>
              <w:rPr>
                <w:rStyle w:val="10"/>
                <w:rFonts w:hint="eastAsia"/>
              </w:rPr>
              <w:t>登记证号：</w:t>
            </w:r>
            <w:r>
              <w:rPr>
                <w:rFonts w:hint="eastAsia"/>
              </w:rPr>
              <w:t>WP20210388</w:t>
            </w:r>
          </w:p>
        </w:tc>
      </w:tr>
      <w:tr w14:paraId="733424B1">
        <w:tblPrEx>
          <w:tblCellMar>
            <w:top w:w="0" w:type="dxa"/>
            <w:left w:w="0" w:type="dxa"/>
            <w:bottom w:w="0" w:type="dxa"/>
            <w:right w:w="0" w:type="dxa"/>
          </w:tblCellMar>
        </w:tblPrEx>
        <w:trPr>
          <w:wBefore w:w="0" w:type="auto"/>
          <w:tblCellSpacing w:w="0" w:type="dxa"/>
        </w:trPr>
        <w:tc>
          <w:tcPr>
            <w:tcW w:w="0" w:type="auto"/>
            <w:noWrap w:val="0"/>
            <w:vAlign w:val="center"/>
          </w:tcPr>
          <w:p w14:paraId="6074D940">
            <w:r>
              <w:rPr>
                <w:rStyle w:val="10"/>
                <w:rFonts w:hint="eastAsia"/>
              </w:rPr>
              <w:t>登记证持有人：</w:t>
            </w:r>
            <w:r>
              <w:rPr>
                <w:rFonts w:hint="eastAsia"/>
              </w:rPr>
              <w:t>石家庄市华星农药有限公司</w:t>
            </w:r>
          </w:p>
        </w:tc>
      </w:tr>
      <w:tr w14:paraId="44A95550">
        <w:tblPrEx>
          <w:tblCellMar>
            <w:top w:w="0" w:type="dxa"/>
            <w:left w:w="0" w:type="dxa"/>
            <w:bottom w:w="0" w:type="dxa"/>
            <w:right w:w="0" w:type="dxa"/>
          </w:tblCellMar>
        </w:tblPrEx>
        <w:trPr>
          <w:wBefore w:w="0" w:type="auto"/>
          <w:tblCellSpacing w:w="0" w:type="dxa"/>
        </w:trPr>
        <w:tc>
          <w:tcPr>
            <w:tcW w:w="0" w:type="auto"/>
            <w:noWrap w:val="0"/>
            <w:vAlign w:val="center"/>
          </w:tcPr>
          <w:p w14:paraId="1E97F043">
            <w:r>
              <w:rPr>
                <w:rStyle w:val="10"/>
                <w:rFonts w:hint="eastAsia"/>
              </w:rPr>
              <w:t>农药名称：</w:t>
            </w:r>
            <w:r>
              <w:rPr>
                <w:rFonts w:hint="eastAsia"/>
              </w:rPr>
              <w:t>吡丙·噻虫嗪</w:t>
            </w:r>
          </w:p>
        </w:tc>
      </w:tr>
      <w:tr w14:paraId="05210D0C">
        <w:tblPrEx>
          <w:tblCellMar>
            <w:top w:w="0" w:type="dxa"/>
            <w:left w:w="0" w:type="dxa"/>
            <w:bottom w:w="0" w:type="dxa"/>
            <w:right w:w="0" w:type="dxa"/>
          </w:tblCellMar>
        </w:tblPrEx>
        <w:trPr>
          <w:wBefore w:w="0" w:type="auto"/>
          <w:tblCellSpacing w:w="0" w:type="dxa"/>
        </w:trPr>
        <w:tc>
          <w:tcPr>
            <w:tcW w:w="0" w:type="auto"/>
            <w:noWrap w:val="0"/>
            <w:vAlign w:val="center"/>
          </w:tcPr>
          <w:p w14:paraId="7321E84F">
            <w:r>
              <w:rPr>
                <w:rStyle w:val="10"/>
                <w:rFonts w:hint="eastAsia"/>
              </w:rPr>
              <w:t>剂型：</w:t>
            </w:r>
            <w:r>
              <w:rPr>
                <w:rFonts w:hint="eastAsia"/>
              </w:rPr>
              <w:t>悬浮剂</w:t>
            </w:r>
          </w:p>
        </w:tc>
      </w:tr>
      <w:tr w14:paraId="095AE2D4">
        <w:tblPrEx>
          <w:tblCellMar>
            <w:top w:w="0" w:type="dxa"/>
            <w:left w:w="0" w:type="dxa"/>
            <w:bottom w:w="0" w:type="dxa"/>
            <w:right w:w="0" w:type="dxa"/>
          </w:tblCellMar>
        </w:tblPrEx>
        <w:trPr>
          <w:wBefore w:w="0" w:type="auto"/>
          <w:tblCellSpacing w:w="0" w:type="dxa"/>
        </w:trPr>
        <w:tc>
          <w:tcPr>
            <w:tcW w:w="0" w:type="auto"/>
            <w:noWrap w:val="0"/>
            <w:vAlign w:val="center"/>
          </w:tcPr>
          <w:p w14:paraId="741D73C8">
            <w:r>
              <w:rPr>
                <w:rStyle w:val="10"/>
                <w:rFonts w:hint="eastAsia"/>
              </w:rPr>
              <w:t>毒性及其标识：</w:t>
            </w:r>
            <w:r>
              <w:rPr>
                <w:rFonts w:hint="eastAsia"/>
              </w:rPr>
              <w:t xml:space="preserve"> 微毒 </w:t>
            </w:r>
          </w:p>
        </w:tc>
      </w:tr>
      <w:tr w14:paraId="27474ABE">
        <w:tblPrEx>
          <w:tblCellMar>
            <w:top w:w="0" w:type="dxa"/>
            <w:left w:w="0" w:type="dxa"/>
            <w:bottom w:w="0" w:type="dxa"/>
            <w:right w:w="0" w:type="dxa"/>
          </w:tblCellMar>
        </w:tblPrEx>
        <w:trPr>
          <w:wBefore w:w="0" w:type="auto"/>
          <w:tblCellSpacing w:w="0" w:type="dxa"/>
        </w:trPr>
        <w:tc>
          <w:tcPr>
            <w:tcW w:w="0" w:type="auto"/>
            <w:noWrap w:val="0"/>
            <w:vAlign w:val="center"/>
          </w:tcPr>
          <w:p w14:paraId="379ADAA5">
            <w:r>
              <w:rPr>
                <w:rStyle w:val="10"/>
                <w:rFonts w:hint="eastAsia"/>
              </w:rPr>
              <w:t>总有效成分含量：</w:t>
            </w:r>
            <w:r>
              <w:rPr>
                <w:rFonts w:hint="eastAsia"/>
              </w:rPr>
              <w:t>9%</w:t>
            </w:r>
          </w:p>
        </w:tc>
      </w:tr>
      <w:tr w14:paraId="4F380211">
        <w:tblPrEx>
          <w:tblCellMar>
            <w:top w:w="0" w:type="dxa"/>
            <w:left w:w="0" w:type="dxa"/>
            <w:bottom w:w="0" w:type="dxa"/>
            <w:right w:w="0" w:type="dxa"/>
          </w:tblCellMar>
        </w:tblPrEx>
        <w:trPr>
          <w:wBefore w:w="0" w:type="auto"/>
          <w:tblCellSpacing w:w="0" w:type="dxa"/>
        </w:trPr>
        <w:tc>
          <w:tcPr>
            <w:tcW w:w="0" w:type="auto"/>
            <w:noWrap w:val="0"/>
            <w:vAlign w:val="center"/>
          </w:tcPr>
          <w:p w14:paraId="4691B7E2">
            <w:r>
              <w:rPr>
                <w:rFonts w:hint="eastAsia"/>
              </w:rPr>
              <w:t xml:space="preserve">有效成分及其含量： </w:t>
            </w:r>
          </w:p>
          <w:p w14:paraId="6BC0B385">
            <w:r>
              <w:rPr>
                <w:rFonts w:hint="eastAsia"/>
              </w:rPr>
              <w:t xml:space="preserve">    噻虫嗪4%    吡丙醚5%    </w:t>
            </w:r>
          </w:p>
        </w:tc>
      </w:tr>
      <w:tr w14:paraId="548B1A04">
        <w:tblPrEx>
          <w:tblCellMar>
            <w:top w:w="0" w:type="dxa"/>
            <w:left w:w="0" w:type="dxa"/>
            <w:bottom w:w="0" w:type="dxa"/>
            <w:right w:w="0" w:type="dxa"/>
          </w:tblCellMar>
        </w:tblPrEx>
        <w:trPr>
          <w:wBefore w:w="0" w:type="auto"/>
          <w:tblCellSpacing w:w="0" w:type="dxa"/>
        </w:trPr>
        <w:tc>
          <w:tcPr>
            <w:tcW w:w="0" w:type="auto"/>
            <w:noWrap w:val="0"/>
            <w:vAlign w:val="center"/>
          </w:tcPr>
          <w:p w14:paraId="2CC49AD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1161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BC53F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D81E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EBAE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78B206">
                  <w:r>
                    <w:rPr>
                      <w:rStyle w:val="11"/>
                      <w:rFonts w:hint="eastAsia"/>
                    </w:rPr>
                    <w:t>施用方式</w:t>
                  </w:r>
                </w:p>
              </w:tc>
            </w:tr>
            <w:tr w14:paraId="14389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924240">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EA2CB4">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C5A825">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D8A2A5">
                  <w:r>
                    <w:rPr>
                      <w:rStyle w:val="11"/>
                      <w:rFonts w:hint="eastAsia"/>
                    </w:rPr>
                    <w:t>喷洒</w:t>
                  </w:r>
                </w:p>
              </w:tc>
            </w:tr>
          </w:tbl>
          <w:p w14:paraId="6DEB0A58">
            <w:pPr>
              <w:rPr>
                <w:rFonts w:ascii="Times New Roman" w:hAnsi="Times New Roman" w:cs="Times New Roman"/>
                <w:sz w:val="20"/>
                <w:szCs w:val="20"/>
              </w:rPr>
            </w:pPr>
          </w:p>
        </w:tc>
      </w:tr>
      <w:tr w14:paraId="5CD91AAC">
        <w:tblPrEx>
          <w:tblCellMar>
            <w:top w:w="0" w:type="dxa"/>
            <w:left w:w="0" w:type="dxa"/>
            <w:bottom w:w="0" w:type="dxa"/>
            <w:right w:w="0" w:type="dxa"/>
          </w:tblCellMar>
        </w:tblPrEx>
        <w:trPr>
          <w:wBefore w:w="0" w:type="auto"/>
          <w:tblCellSpacing w:w="0" w:type="dxa"/>
        </w:trPr>
        <w:tc>
          <w:tcPr>
            <w:tcW w:w="0" w:type="auto"/>
            <w:noWrap w:val="0"/>
            <w:vAlign w:val="center"/>
          </w:tcPr>
          <w:p w14:paraId="65F80AFB">
            <w:r>
              <w:rPr>
                <w:rStyle w:val="10"/>
                <w:rFonts w:hint="eastAsia"/>
              </w:rPr>
              <w:t>使用技术要求:</w:t>
            </w:r>
            <w:r>
              <w:rPr>
                <w:rFonts w:hint="eastAsia"/>
              </w:rPr>
              <w:br w:type="textWrapping"/>
            </w:r>
            <w:r>
              <w:rPr>
                <w:rStyle w:val="11"/>
                <w:rFonts w:hint="eastAsia"/>
              </w:rPr>
              <w:t>本产品仅用于室外，施药时，将制剂用一定量的清水稀释后（稀释50-200倍），在蝇（幼虫）孳生地直接喷洒。</w:t>
            </w:r>
          </w:p>
        </w:tc>
      </w:tr>
      <w:tr w14:paraId="195B62E0">
        <w:tblPrEx>
          <w:tblCellMar>
            <w:top w:w="0" w:type="dxa"/>
            <w:left w:w="0" w:type="dxa"/>
            <w:bottom w:w="0" w:type="dxa"/>
            <w:right w:w="0" w:type="dxa"/>
          </w:tblCellMar>
        </w:tblPrEx>
        <w:trPr>
          <w:wBefore w:w="0" w:type="auto"/>
          <w:tblCellSpacing w:w="0" w:type="dxa"/>
        </w:trPr>
        <w:tc>
          <w:tcPr>
            <w:tcW w:w="0" w:type="auto"/>
            <w:noWrap w:val="0"/>
            <w:vAlign w:val="center"/>
          </w:tcPr>
          <w:p w14:paraId="383AD488">
            <w:r>
              <w:rPr>
                <w:rStyle w:val="10"/>
                <w:rFonts w:hint="eastAsia"/>
              </w:rPr>
              <w:t>产品性能:</w:t>
            </w:r>
            <w:r>
              <w:rPr>
                <w:rFonts w:hint="eastAsia"/>
              </w:rPr>
              <w:br w:type="textWrapping"/>
            </w:r>
            <w:r>
              <w:rPr>
                <w:rStyle w:val="11"/>
                <w:rFonts w:hint="eastAsia"/>
              </w:rPr>
              <w:t>本品是由吡丙醚和噻虫嗪混配而成的一种卫生杀虫剂，对蝇（幼虫）有较好的杀灭效果。</w:t>
            </w:r>
          </w:p>
        </w:tc>
      </w:tr>
      <w:tr w14:paraId="1D4CE6D1">
        <w:tblPrEx>
          <w:tblCellMar>
            <w:top w:w="0" w:type="dxa"/>
            <w:left w:w="0" w:type="dxa"/>
            <w:bottom w:w="0" w:type="dxa"/>
            <w:right w:w="0" w:type="dxa"/>
          </w:tblCellMar>
        </w:tblPrEx>
        <w:trPr>
          <w:wBefore w:w="0" w:type="auto"/>
          <w:tblCellSpacing w:w="0" w:type="dxa"/>
        </w:trPr>
        <w:tc>
          <w:tcPr>
            <w:tcW w:w="0" w:type="auto"/>
            <w:noWrap w:val="0"/>
            <w:vAlign w:val="center"/>
          </w:tcPr>
          <w:p w14:paraId="697D0FD3">
            <w:r>
              <w:rPr>
                <w:rStyle w:val="10"/>
                <w:rFonts w:hint="eastAsia"/>
              </w:rPr>
              <w:t>注意事项：</w:t>
            </w:r>
            <w:r>
              <w:rPr>
                <w:rFonts w:hint="eastAsia"/>
              </w:rPr>
              <w:br w:type="textWrapping"/>
            </w:r>
            <w:r>
              <w:rPr>
                <w:rStyle w:val="11"/>
                <w:rFonts w:hint="eastAsia"/>
              </w:rPr>
              <w:t>1. 本品供专业人士使用，本品对眼睛有刺激性，使用时避免接触眼睛，穿戴长衣、长裤、帽子、口罩、手套等防护措施，避免经口、鼻吸入，不要让药液沾染粘膜、伤口和眼睛。 2. 使用后，及时洗手、洗脸，清洗暴露在外的皮肤和工作服等。 3. 用过的容器应妥善处理，不可做他用，也不可以随意丢弃。 4. 对家蚕高毒，禁止在蚕室及桑园周围使用。 5. 水产养殖区、河塘等水体附近禁用，禁止在河塘等水体中清洗施药器具。 6.（周围）开花植物花期禁用，使用时应密切关注对附近蜂群的影响； 蚕室及桑园附近禁用；鸟类保护区附近禁用。 7. 不能与食品、饲料存放一起。尽管本品低毒，但在施药时应遵照安全使用农药守则。 8. 孕妇、哺乳期妇女及过敏者应远离本品。</w:t>
            </w:r>
          </w:p>
        </w:tc>
      </w:tr>
      <w:tr w14:paraId="75B22D2C">
        <w:tblPrEx>
          <w:tblCellMar>
            <w:top w:w="0" w:type="dxa"/>
            <w:left w:w="0" w:type="dxa"/>
            <w:bottom w:w="0" w:type="dxa"/>
            <w:right w:w="0" w:type="dxa"/>
          </w:tblCellMar>
        </w:tblPrEx>
        <w:trPr>
          <w:wBefore w:w="0" w:type="auto"/>
          <w:tblCellSpacing w:w="0" w:type="dxa"/>
        </w:trPr>
        <w:tc>
          <w:tcPr>
            <w:tcW w:w="0" w:type="auto"/>
            <w:noWrap w:val="0"/>
            <w:vAlign w:val="center"/>
          </w:tcPr>
          <w:p w14:paraId="66FB41B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1. 皮肤接触：脱去污染的衣物，用软布去除沾染农药，立即用大量清水和肥皂冲洗； 2. 眼睛溅入：立即用流动清水冲洗不少于15分钟； 3. 吸入：立即离开施药现场，转移到空气清新处； 4. 误食：立即停止服用，用清水充分漱口后，立即携带农药标签到医院就诊。</w:t>
            </w:r>
          </w:p>
        </w:tc>
      </w:tr>
      <w:tr w14:paraId="665F1A57">
        <w:tblPrEx>
          <w:tblCellMar>
            <w:top w:w="0" w:type="dxa"/>
            <w:left w:w="0" w:type="dxa"/>
            <w:bottom w:w="0" w:type="dxa"/>
            <w:right w:w="0" w:type="dxa"/>
          </w:tblCellMar>
        </w:tblPrEx>
        <w:trPr>
          <w:wBefore w:w="0" w:type="auto"/>
          <w:tblCellSpacing w:w="0" w:type="dxa"/>
        </w:trPr>
        <w:tc>
          <w:tcPr>
            <w:tcW w:w="0" w:type="auto"/>
            <w:noWrap w:val="0"/>
            <w:vAlign w:val="center"/>
          </w:tcPr>
          <w:p w14:paraId="76241BE5">
            <w:r>
              <w:rPr>
                <w:rStyle w:val="10"/>
                <w:rFonts w:hint="eastAsia"/>
              </w:rPr>
              <w:t>储存和运输方法：</w:t>
            </w:r>
            <w:r>
              <w:rPr>
                <w:rFonts w:hint="eastAsia"/>
              </w:rPr>
              <w:br w:type="textWrapping"/>
            </w:r>
            <w:r>
              <w:rPr>
                <w:rStyle w:val="11"/>
                <w:rFonts w:hint="eastAsia"/>
              </w:rPr>
              <w:t>1. 本品应以原包装贮存于通风、干燥的库房中。贮运时，严防潮湿和日 晒；不可倒置。 2. 置于儿童、无关人员触及不到之处，并加锁。勿与食品、饮料、饲料、粮食等同贮同运。</w:t>
            </w:r>
          </w:p>
        </w:tc>
      </w:tr>
      <w:tr w14:paraId="3435AAF3">
        <w:tblPrEx>
          <w:tblCellMar>
            <w:top w:w="0" w:type="dxa"/>
            <w:left w:w="0" w:type="dxa"/>
            <w:bottom w:w="0" w:type="dxa"/>
            <w:right w:w="0" w:type="dxa"/>
          </w:tblCellMar>
        </w:tblPrEx>
        <w:trPr>
          <w:wBefore w:w="0" w:type="auto"/>
          <w:tblCellSpacing w:w="0" w:type="dxa"/>
        </w:trPr>
        <w:tc>
          <w:tcPr>
            <w:tcW w:w="0" w:type="auto"/>
            <w:noWrap w:val="0"/>
            <w:vAlign w:val="center"/>
          </w:tcPr>
          <w:p w14:paraId="3E7667F4">
            <w:r>
              <w:rPr>
                <w:rStyle w:val="10"/>
                <w:rFonts w:hint="eastAsia"/>
              </w:rPr>
              <w:t>质量保证期：</w:t>
            </w:r>
            <w:r>
              <w:rPr>
                <w:rStyle w:val="11"/>
                <w:rFonts w:hint="eastAsia"/>
              </w:rPr>
              <w:t>2年</w:t>
            </w:r>
          </w:p>
        </w:tc>
      </w:tr>
      <w:tr w14:paraId="13F582EA">
        <w:tblPrEx>
          <w:tblCellMar>
            <w:top w:w="0" w:type="dxa"/>
            <w:left w:w="0" w:type="dxa"/>
            <w:bottom w:w="0" w:type="dxa"/>
            <w:right w:w="0" w:type="dxa"/>
          </w:tblCellMar>
        </w:tblPrEx>
        <w:trPr>
          <w:wBefore w:w="0" w:type="auto"/>
          <w:tblCellSpacing w:w="0" w:type="dxa"/>
        </w:trPr>
        <w:tc>
          <w:tcPr>
            <w:tcW w:w="0" w:type="auto"/>
            <w:noWrap w:val="0"/>
            <w:vAlign w:val="center"/>
          </w:tcPr>
          <w:p w14:paraId="4723BDA6">
            <w:r>
              <w:rPr>
                <w:rStyle w:val="10"/>
                <w:rFonts w:hint="eastAsia"/>
              </w:rPr>
              <w:t>备注：</w:t>
            </w:r>
          </w:p>
        </w:tc>
      </w:tr>
    </w:tbl>
    <w:p w14:paraId="4E0CFC1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238386">
        <w:tblPrEx>
          <w:tblCellMar>
            <w:top w:w="0" w:type="dxa"/>
            <w:left w:w="0" w:type="dxa"/>
            <w:bottom w:w="0" w:type="dxa"/>
            <w:right w:w="0" w:type="dxa"/>
          </w:tblCellMar>
        </w:tblPrEx>
        <w:trPr>
          <w:wBefore w:w="0" w:type="auto"/>
          <w:tblCellSpacing w:w="0" w:type="dxa"/>
        </w:trPr>
        <w:tc>
          <w:tcPr>
            <w:tcW w:w="0" w:type="auto"/>
            <w:noWrap w:val="0"/>
            <w:vAlign w:val="center"/>
          </w:tcPr>
          <w:p w14:paraId="04FFCE9E">
            <w:r>
              <w:rPr>
                <w:rStyle w:val="10"/>
                <w:rFonts w:hint="eastAsia"/>
              </w:rPr>
              <w:t>登记证号：</w:t>
            </w:r>
            <w:r>
              <w:rPr>
                <w:rFonts w:hint="eastAsia"/>
              </w:rPr>
              <w:t>PD20212421</w:t>
            </w:r>
          </w:p>
        </w:tc>
      </w:tr>
      <w:tr w14:paraId="5F5F2DC9">
        <w:tblPrEx>
          <w:tblCellMar>
            <w:top w:w="0" w:type="dxa"/>
            <w:left w:w="0" w:type="dxa"/>
            <w:bottom w:w="0" w:type="dxa"/>
            <w:right w:w="0" w:type="dxa"/>
          </w:tblCellMar>
        </w:tblPrEx>
        <w:trPr>
          <w:wBefore w:w="0" w:type="auto"/>
          <w:tblCellSpacing w:w="0" w:type="dxa"/>
        </w:trPr>
        <w:tc>
          <w:tcPr>
            <w:tcW w:w="0" w:type="auto"/>
            <w:noWrap w:val="0"/>
            <w:vAlign w:val="center"/>
          </w:tcPr>
          <w:p w14:paraId="6D3BA540">
            <w:r>
              <w:rPr>
                <w:rStyle w:val="10"/>
                <w:rFonts w:hint="eastAsia"/>
              </w:rPr>
              <w:t>登记证持有人：</w:t>
            </w:r>
            <w:r>
              <w:rPr>
                <w:rFonts w:hint="eastAsia"/>
              </w:rPr>
              <w:t>广西恒丰化工有限公司</w:t>
            </w:r>
          </w:p>
        </w:tc>
      </w:tr>
      <w:tr w14:paraId="48D7A413">
        <w:tblPrEx>
          <w:tblCellMar>
            <w:top w:w="0" w:type="dxa"/>
            <w:left w:w="0" w:type="dxa"/>
            <w:bottom w:w="0" w:type="dxa"/>
            <w:right w:w="0" w:type="dxa"/>
          </w:tblCellMar>
        </w:tblPrEx>
        <w:trPr>
          <w:wBefore w:w="0" w:type="auto"/>
          <w:tblCellSpacing w:w="0" w:type="dxa"/>
        </w:trPr>
        <w:tc>
          <w:tcPr>
            <w:tcW w:w="0" w:type="auto"/>
            <w:noWrap w:val="0"/>
            <w:vAlign w:val="center"/>
          </w:tcPr>
          <w:p w14:paraId="1FC796ED">
            <w:r>
              <w:rPr>
                <w:rStyle w:val="10"/>
                <w:rFonts w:hint="eastAsia"/>
              </w:rPr>
              <w:t>农药名称：</w:t>
            </w:r>
            <w:r>
              <w:rPr>
                <w:rFonts w:hint="eastAsia"/>
              </w:rPr>
              <w:t>噻虫胺</w:t>
            </w:r>
          </w:p>
        </w:tc>
      </w:tr>
      <w:tr w14:paraId="48755D48">
        <w:tblPrEx>
          <w:tblCellMar>
            <w:top w:w="0" w:type="dxa"/>
            <w:left w:w="0" w:type="dxa"/>
            <w:bottom w:w="0" w:type="dxa"/>
            <w:right w:w="0" w:type="dxa"/>
          </w:tblCellMar>
        </w:tblPrEx>
        <w:trPr>
          <w:wBefore w:w="0" w:type="auto"/>
          <w:tblCellSpacing w:w="0" w:type="dxa"/>
        </w:trPr>
        <w:tc>
          <w:tcPr>
            <w:tcW w:w="0" w:type="auto"/>
            <w:noWrap w:val="0"/>
            <w:vAlign w:val="center"/>
          </w:tcPr>
          <w:p w14:paraId="0871B61A">
            <w:r>
              <w:rPr>
                <w:rStyle w:val="10"/>
                <w:rFonts w:hint="eastAsia"/>
              </w:rPr>
              <w:t>剂型：</w:t>
            </w:r>
            <w:r>
              <w:rPr>
                <w:rFonts w:hint="eastAsia"/>
              </w:rPr>
              <w:t>颗粒剂</w:t>
            </w:r>
          </w:p>
        </w:tc>
      </w:tr>
      <w:tr w14:paraId="793A7718">
        <w:tblPrEx>
          <w:tblCellMar>
            <w:top w:w="0" w:type="dxa"/>
            <w:left w:w="0" w:type="dxa"/>
            <w:bottom w:w="0" w:type="dxa"/>
            <w:right w:w="0" w:type="dxa"/>
          </w:tblCellMar>
        </w:tblPrEx>
        <w:trPr>
          <w:wBefore w:w="0" w:type="auto"/>
          <w:tblCellSpacing w:w="0" w:type="dxa"/>
        </w:trPr>
        <w:tc>
          <w:tcPr>
            <w:tcW w:w="0" w:type="auto"/>
            <w:noWrap w:val="0"/>
            <w:vAlign w:val="center"/>
          </w:tcPr>
          <w:p w14:paraId="2974D2FB">
            <w:r>
              <w:rPr>
                <w:rStyle w:val="10"/>
                <w:rFonts w:hint="eastAsia"/>
              </w:rPr>
              <w:t>毒性及其标识：</w:t>
            </w:r>
            <w:r>
              <w:rPr>
                <w:rFonts w:hint="eastAsia"/>
              </w:rPr>
              <w:t xml:space="preserve"> </w:t>
            </w:r>
            <w:r>
              <w:rPr>
                <w:lang/>
              </w:rPr>
              <w:drawing>
                <wp:inline distT="0" distB="0" distL="114300" distR="114300">
                  <wp:extent cx="476250" cy="323850"/>
                  <wp:effectExtent l="0" t="0" r="0" b="0"/>
                  <wp:docPr id="26" name="图片 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34D42C">
        <w:tblPrEx>
          <w:tblCellMar>
            <w:top w:w="0" w:type="dxa"/>
            <w:left w:w="0" w:type="dxa"/>
            <w:bottom w:w="0" w:type="dxa"/>
            <w:right w:w="0" w:type="dxa"/>
          </w:tblCellMar>
        </w:tblPrEx>
        <w:trPr>
          <w:wBefore w:w="0" w:type="auto"/>
          <w:tblCellSpacing w:w="0" w:type="dxa"/>
        </w:trPr>
        <w:tc>
          <w:tcPr>
            <w:tcW w:w="0" w:type="auto"/>
            <w:noWrap w:val="0"/>
            <w:vAlign w:val="center"/>
          </w:tcPr>
          <w:p w14:paraId="587D90DE">
            <w:r>
              <w:rPr>
                <w:rStyle w:val="10"/>
                <w:rFonts w:hint="eastAsia"/>
              </w:rPr>
              <w:t>总有效成分含量：</w:t>
            </w:r>
            <w:r>
              <w:rPr>
                <w:rFonts w:hint="eastAsia"/>
              </w:rPr>
              <w:t>0.06%</w:t>
            </w:r>
          </w:p>
        </w:tc>
      </w:tr>
      <w:tr w14:paraId="4BCF5635">
        <w:tblPrEx>
          <w:tblCellMar>
            <w:top w:w="0" w:type="dxa"/>
            <w:left w:w="0" w:type="dxa"/>
            <w:bottom w:w="0" w:type="dxa"/>
            <w:right w:w="0" w:type="dxa"/>
          </w:tblCellMar>
        </w:tblPrEx>
        <w:trPr>
          <w:wBefore w:w="0" w:type="auto"/>
          <w:tblCellSpacing w:w="0" w:type="dxa"/>
        </w:trPr>
        <w:tc>
          <w:tcPr>
            <w:tcW w:w="0" w:type="auto"/>
            <w:noWrap w:val="0"/>
            <w:vAlign w:val="center"/>
          </w:tcPr>
          <w:p w14:paraId="7239F974">
            <w:r>
              <w:rPr>
                <w:rFonts w:hint="eastAsia"/>
              </w:rPr>
              <w:t xml:space="preserve">有效成分及其含量： </w:t>
            </w:r>
          </w:p>
          <w:p w14:paraId="157BC17A">
            <w:r>
              <w:rPr>
                <w:rFonts w:hint="eastAsia"/>
              </w:rPr>
              <w:t xml:space="preserve">    噻虫胺0.06%    </w:t>
            </w:r>
          </w:p>
        </w:tc>
      </w:tr>
      <w:tr w14:paraId="534C9871">
        <w:tblPrEx>
          <w:tblCellMar>
            <w:top w:w="0" w:type="dxa"/>
            <w:left w:w="0" w:type="dxa"/>
            <w:bottom w:w="0" w:type="dxa"/>
            <w:right w:w="0" w:type="dxa"/>
          </w:tblCellMar>
        </w:tblPrEx>
        <w:trPr>
          <w:wBefore w:w="0" w:type="auto"/>
          <w:tblCellSpacing w:w="0" w:type="dxa"/>
        </w:trPr>
        <w:tc>
          <w:tcPr>
            <w:tcW w:w="0" w:type="auto"/>
            <w:noWrap w:val="0"/>
            <w:vAlign w:val="center"/>
          </w:tcPr>
          <w:p w14:paraId="77FF7C1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EB74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B0DB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2C7FD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84A7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FDB597">
                  <w:r>
                    <w:rPr>
                      <w:rStyle w:val="11"/>
                      <w:rFonts w:hint="eastAsia"/>
                    </w:rPr>
                    <w:t>施用方式</w:t>
                  </w:r>
                </w:p>
              </w:tc>
            </w:tr>
            <w:tr w14:paraId="6203E4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A7E1F2">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06A17D">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28AE34">
                  <w:r>
                    <w:rPr>
                      <w:rStyle w:val="11"/>
                      <w:rFonts w:hint="eastAsia"/>
                    </w:rPr>
                    <w:t>25-35千克/亩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FD122D">
                  <w:r>
                    <w:rPr>
                      <w:rStyle w:val="11"/>
                      <w:rFonts w:hint="eastAsia"/>
                    </w:rPr>
                    <w:t>沟施</w:t>
                  </w:r>
                </w:p>
              </w:tc>
            </w:tr>
          </w:tbl>
          <w:p w14:paraId="47C552E8">
            <w:pPr>
              <w:rPr>
                <w:rFonts w:ascii="Times New Roman" w:hAnsi="Times New Roman" w:cs="Times New Roman"/>
                <w:sz w:val="20"/>
                <w:szCs w:val="20"/>
              </w:rPr>
            </w:pPr>
          </w:p>
        </w:tc>
      </w:tr>
      <w:tr w14:paraId="30C4E332">
        <w:tblPrEx>
          <w:tblCellMar>
            <w:top w:w="0" w:type="dxa"/>
            <w:left w:w="0" w:type="dxa"/>
            <w:bottom w:w="0" w:type="dxa"/>
            <w:right w:w="0" w:type="dxa"/>
          </w:tblCellMar>
        </w:tblPrEx>
        <w:trPr>
          <w:wBefore w:w="0" w:type="auto"/>
          <w:tblCellSpacing w:w="0" w:type="dxa"/>
        </w:trPr>
        <w:tc>
          <w:tcPr>
            <w:tcW w:w="0" w:type="auto"/>
            <w:noWrap w:val="0"/>
            <w:vAlign w:val="center"/>
          </w:tcPr>
          <w:p w14:paraId="198C416F">
            <w:r>
              <w:rPr>
                <w:rStyle w:val="10"/>
                <w:rFonts w:hint="eastAsia"/>
              </w:rPr>
              <w:t>使用技术要求:</w:t>
            </w:r>
            <w:r>
              <w:rPr>
                <w:rFonts w:hint="eastAsia"/>
              </w:rPr>
              <w:br w:type="textWrapping"/>
            </w:r>
            <w:r>
              <w:rPr>
                <w:rStyle w:val="11"/>
                <w:rFonts w:hint="eastAsia"/>
              </w:rPr>
              <w:t>1.于甘蔗种植时施药，开沟将药剂撒施于甘蔗基部周围，培土覆盖。 2.本品在甘蔗上每季使用1次。</w:t>
            </w:r>
          </w:p>
        </w:tc>
      </w:tr>
      <w:tr w14:paraId="461C03F8">
        <w:tblPrEx>
          <w:tblCellMar>
            <w:top w:w="0" w:type="dxa"/>
            <w:left w:w="0" w:type="dxa"/>
            <w:bottom w:w="0" w:type="dxa"/>
            <w:right w:w="0" w:type="dxa"/>
          </w:tblCellMar>
        </w:tblPrEx>
        <w:trPr>
          <w:wBefore w:w="0" w:type="auto"/>
          <w:tblCellSpacing w:w="0" w:type="dxa"/>
        </w:trPr>
        <w:tc>
          <w:tcPr>
            <w:tcW w:w="0" w:type="auto"/>
            <w:noWrap w:val="0"/>
            <w:vAlign w:val="center"/>
          </w:tcPr>
          <w:p w14:paraId="53681526">
            <w:r>
              <w:rPr>
                <w:rStyle w:val="10"/>
                <w:rFonts w:hint="eastAsia"/>
              </w:rPr>
              <w:t>产品性能:</w:t>
            </w:r>
            <w:r>
              <w:rPr>
                <w:rFonts w:hint="eastAsia"/>
              </w:rPr>
              <w:br w:type="textWrapping"/>
            </w:r>
            <w:r>
              <w:rPr>
                <w:rStyle w:val="11"/>
                <w:rFonts w:hint="eastAsia"/>
              </w:rPr>
              <w:t>噻虫胺是新烟碱类杀虫剂，为烟碱乙酰胆碱受体拮抗体，具有触杀、胃毒和内吸活性。能够影响昆虫中枢神经系统的突触。干扰昆虫神经系统刺激传导，引起神经通路的堵塞。从而导致昆虫麻痹，最终死亡。</w:t>
            </w:r>
          </w:p>
        </w:tc>
      </w:tr>
      <w:tr w14:paraId="05F473E2">
        <w:tblPrEx>
          <w:tblCellMar>
            <w:top w:w="0" w:type="dxa"/>
            <w:left w:w="0" w:type="dxa"/>
            <w:bottom w:w="0" w:type="dxa"/>
            <w:right w:w="0" w:type="dxa"/>
          </w:tblCellMar>
        </w:tblPrEx>
        <w:trPr>
          <w:wBefore w:w="0" w:type="auto"/>
          <w:tblCellSpacing w:w="0" w:type="dxa"/>
        </w:trPr>
        <w:tc>
          <w:tcPr>
            <w:tcW w:w="0" w:type="auto"/>
            <w:noWrap w:val="0"/>
            <w:vAlign w:val="center"/>
          </w:tcPr>
          <w:p w14:paraId="125C5EFD">
            <w:r>
              <w:rPr>
                <w:rStyle w:val="10"/>
                <w:rFonts w:hint="eastAsia"/>
              </w:rPr>
              <w:t>注意事项：</w:t>
            </w:r>
            <w:r>
              <w:rPr>
                <w:rFonts w:hint="eastAsia"/>
              </w:rPr>
              <w:br w:type="textWrapping"/>
            </w:r>
            <w:r>
              <w:rPr>
                <w:rStyle w:val="11"/>
                <w:rFonts w:hint="eastAsia"/>
              </w:rPr>
              <w:t>1.使用前请详细阅读产品标签，严格按照农药标签推荐的剂量和方法施用。2.使用本品时应穿防护服、戴防护手套、口罩、长衣、长裤、鞋等防护衣物；使用中禁止饮食和吸烟；使用后及时用肥皂和清水彻底清洗皮肤暴露部位并更换衣物。3.本品对鸟类、蜜蜂、土壤生物有毒，施药时尽量减少本产品裸露在土壤表面上的比例。鸟类保护区附近禁用；施药后可用土覆盖制剂并及时处理散落在田间地头的颗粒剂；开花植物花期禁用，赤眼蜂等天敌放飞区域禁用；施药时应根据实际情况合理控制使药量，避免过量用药。4.施药时应远离河塘等水域，严禁在河塘等水体中清洗施药器具，禁止将残液倒入湖泊、河流或池塘等，施药后的田水不得直接排入水体。5.未用完的制剂应放在原包装内密封保存，切勿将本品置于饮食容器内。用过的容器或空包装应妥善处置，不可做他用，也不可随意丢弃。6.孕妇及哺乳期妇女避免接触此药。</w:t>
            </w:r>
          </w:p>
        </w:tc>
      </w:tr>
      <w:tr w14:paraId="1F04C586">
        <w:tblPrEx>
          <w:tblCellMar>
            <w:top w:w="0" w:type="dxa"/>
            <w:left w:w="0" w:type="dxa"/>
            <w:bottom w:w="0" w:type="dxa"/>
            <w:right w:w="0" w:type="dxa"/>
          </w:tblCellMar>
        </w:tblPrEx>
        <w:trPr>
          <w:wBefore w:w="0" w:type="auto"/>
          <w:tblCellSpacing w:w="0" w:type="dxa"/>
        </w:trPr>
        <w:tc>
          <w:tcPr>
            <w:tcW w:w="0" w:type="auto"/>
            <w:noWrap w:val="0"/>
            <w:vAlign w:val="center"/>
          </w:tcPr>
          <w:p w14:paraId="267919B3">
            <w:r>
              <w:rPr>
                <w:rStyle w:val="10"/>
                <w:rFonts w:hint="eastAsia"/>
              </w:rPr>
              <w:t>中毒急救措施：</w:t>
            </w:r>
            <w:r>
              <w:rPr>
                <w:rFonts w:hint="eastAsia"/>
              </w:rPr>
              <w:br w:type="textWrapping"/>
            </w:r>
            <w:r>
              <w:rPr>
                <w:rStyle w:val="11"/>
                <w:rFonts w:hint="eastAsia"/>
              </w:rPr>
              <w:t>该产品对眼睛、皮肤有刺激性，使用时避免接触眼睛、皮肤。 1.用药时如果感觉不适，应立即停止工作，采取急救措施，并携带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w:t>
            </w:r>
          </w:p>
        </w:tc>
      </w:tr>
      <w:tr w14:paraId="3508A9D4">
        <w:tblPrEx>
          <w:tblCellMar>
            <w:top w:w="0" w:type="dxa"/>
            <w:left w:w="0" w:type="dxa"/>
            <w:bottom w:w="0" w:type="dxa"/>
            <w:right w:w="0" w:type="dxa"/>
          </w:tblCellMar>
        </w:tblPrEx>
        <w:trPr>
          <w:wBefore w:w="0" w:type="auto"/>
          <w:tblCellSpacing w:w="0" w:type="dxa"/>
        </w:trPr>
        <w:tc>
          <w:tcPr>
            <w:tcW w:w="0" w:type="auto"/>
            <w:noWrap w:val="0"/>
            <w:vAlign w:val="center"/>
          </w:tcPr>
          <w:p w14:paraId="47D61AE1">
            <w:r>
              <w:rPr>
                <w:rStyle w:val="10"/>
                <w:rFonts w:hint="eastAsia"/>
              </w:rPr>
              <w:t>储存和运输方法：</w:t>
            </w:r>
            <w:r>
              <w:rPr>
                <w:rFonts w:hint="eastAsia"/>
              </w:rPr>
              <w:br w:type="textWrapping"/>
            </w:r>
            <w:r>
              <w:rPr>
                <w:rStyle w:val="11"/>
                <w:rFonts w:hint="eastAsia"/>
              </w:rPr>
              <w:t>1.本品应贮存在阴凉、干燥、通风、防雨处，远离火源或热源； 2.置于儿童、无关人员及动物接触不到的地方，并加锁保存；3.勿与食品、饮料、粮食、种子、饲料等同贮同运，运输时要防潮防晒；4.装卸时，注意检查包装是否密封完整，轻拿轻放。</w:t>
            </w:r>
          </w:p>
        </w:tc>
      </w:tr>
      <w:tr w14:paraId="23A45E08">
        <w:tblPrEx>
          <w:tblCellMar>
            <w:top w:w="0" w:type="dxa"/>
            <w:left w:w="0" w:type="dxa"/>
            <w:bottom w:w="0" w:type="dxa"/>
            <w:right w:w="0" w:type="dxa"/>
          </w:tblCellMar>
        </w:tblPrEx>
        <w:trPr>
          <w:wBefore w:w="0" w:type="auto"/>
          <w:tblCellSpacing w:w="0" w:type="dxa"/>
        </w:trPr>
        <w:tc>
          <w:tcPr>
            <w:tcW w:w="0" w:type="auto"/>
            <w:noWrap w:val="0"/>
            <w:vAlign w:val="center"/>
          </w:tcPr>
          <w:p w14:paraId="5F43F72E">
            <w:r>
              <w:rPr>
                <w:rStyle w:val="10"/>
                <w:rFonts w:hint="eastAsia"/>
              </w:rPr>
              <w:t>质量保证期：</w:t>
            </w:r>
            <w:r>
              <w:rPr>
                <w:rStyle w:val="11"/>
                <w:rFonts w:hint="eastAsia"/>
              </w:rPr>
              <w:t>2年</w:t>
            </w:r>
          </w:p>
        </w:tc>
      </w:tr>
      <w:tr w14:paraId="170ABB21">
        <w:tblPrEx>
          <w:tblCellMar>
            <w:top w:w="0" w:type="dxa"/>
            <w:left w:w="0" w:type="dxa"/>
            <w:bottom w:w="0" w:type="dxa"/>
            <w:right w:w="0" w:type="dxa"/>
          </w:tblCellMar>
        </w:tblPrEx>
        <w:trPr>
          <w:wBefore w:w="0" w:type="auto"/>
          <w:tblCellSpacing w:w="0" w:type="dxa"/>
        </w:trPr>
        <w:tc>
          <w:tcPr>
            <w:tcW w:w="0" w:type="auto"/>
            <w:noWrap w:val="0"/>
            <w:vAlign w:val="center"/>
          </w:tcPr>
          <w:p w14:paraId="4452D18D">
            <w:r>
              <w:rPr>
                <w:rStyle w:val="10"/>
                <w:rFonts w:hint="eastAsia"/>
              </w:rPr>
              <w:t>备注：</w:t>
            </w:r>
          </w:p>
        </w:tc>
      </w:tr>
    </w:tbl>
    <w:p w14:paraId="4F06BA6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CBBF1C">
        <w:tblPrEx>
          <w:tblCellMar>
            <w:top w:w="0" w:type="dxa"/>
            <w:left w:w="0" w:type="dxa"/>
            <w:bottom w:w="0" w:type="dxa"/>
            <w:right w:w="0" w:type="dxa"/>
          </w:tblCellMar>
        </w:tblPrEx>
        <w:trPr>
          <w:wBefore w:w="0" w:type="auto"/>
          <w:tblCellSpacing w:w="0" w:type="dxa"/>
        </w:trPr>
        <w:tc>
          <w:tcPr>
            <w:tcW w:w="0" w:type="auto"/>
            <w:noWrap w:val="0"/>
            <w:vAlign w:val="center"/>
          </w:tcPr>
          <w:p w14:paraId="661CF6DF">
            <w:r>
              <w:rPr>
                <w:rStyle w:val="10"/>
                <w:rFonts w:hint="eastAsia"/>
              </w:rPr>
              <w:t>登记证号：</w:t>
            </w:r>
            <w:r>
              <w:rPr>
                <w:rFonts w:hint="eastAsia"/>
              </w:rPr>
              <w:t>PD20212569</w:t>
            </w:r>
          </w:p>
        </w:tc>
      </w:tr>
      <w:tr w14:paraId="590884A0">
        <w:tblPrEx>
          <w:tblCellMar>
            <w:top w:w="0" w:type="dxa"/>
            <w:left w:w="0" w:type="dxa"/>
            <w:bottom w:w="0" w:type="dxa"/>
            <w:right w:w="0" w:type="dxa"/>
          </w:tblCellMar>
        </w:tblPrEx>
        <w:trPr>
          <w:wBefore w:w="0" w:type="auto"/>
          <w:tblCellSpacing w:w="0" w:type="dxa"/>
        </w:trPr>
        <w:tc>
          <w:tcPr>
            <w:tcW w:w="0" w:type="auto"/>
            <w:noWrap w:val="0"/>
            <w:vAlign w:val="center"/>
          </w:tcPr>
          <w:p w14:paraId="75B33250">
            <w:r>
              <w:rPr>
                <w:rStyle w:val="10"/>
                <w:rFonts w:hint="eastAsia"/>
              </w:rPr>
              <w:t>登记证持有人：</w:t>
            </w:r>
            <w:r>
              <w:rPr>
                <w:rFonts w:hint="eastAsia"/>
              </w:rPr>
              <w:t>河南省新乡市洪洲农化有限公司</w:t>
            </w:r>
          </w:p>
        </w:tc>
      </w:tr>
      <w:tr w14:paraId="5BB4E5FA">
        <w:tblPrEx>
          <w:tblCellMar>
            <w:top w:w="0" w:type="dxa"/>
            <w:left w:w="0" w:type="dxa"/>
            <w:bottom w:w="0" w:type="dxa"/>
            <w:right w:w="0" w:type="dxa"/>
          </w:tblCellMar>
        </w:tblPrEx>
        <w:trPr>
          <w:wBefore w:w="0" w:type="auto"/>
          <w:tblCellSpacing w:w="0" w:type="dxa"/>
        </w:trPr>
        <w:tc>
          <w:tcPr>
            <w:tcW w:w="0" w:type="auto"/>
            <w:noWrap w:val="0"/>
            <w:vAlign w:val="center"/>
          </w:tcPr>
          <w:p w14:paraId="61F0D020">
            <w:r>
              <w:rPr>
                <w:rStyle w:val="10"/>
                <w:rFonts w:hint="eastAsia"/>
              </w:rPr>
              <w:t>农药名称：</w:t>
            </w:r>
            <w:r>
              <w:rPr>
                <w:rFonts w:hint="eastAsia"/>
              </w:rPr>
              <w:t>甲基二磺隆</w:t>
            </w:r>
          </w:p>
        </w:tc>
      </w:tr>
      <w:tr w14:paraId="699777B1">
        <w:tblPrEx>
          <w:tblCellMar>
            <w:top w:w="0" w:type="dxa"/>
            <w:left w:w="0" w:type="dxa"/>
            <w:bottom w:w="0" w:type="dxa"/>
            <w:right w:w="0" w:type="dxa"/>
          </w:tblCellMar>
        </w:tblPrEx>
        <w:trPr>
          <w:wBefore w:w="0" w:type="auto"/>
          <w:tblCellSpacing w:w="0" w:type="dxa"/>
        </w:trPr>
        <w:tc>
          <w:tcPr>
            <w:tcW w:w="0" w:type="auto"/>
            <w:noWrap w:val="0"/>
            <w:vAlign w:val="center"/>
          </w:tcPr>
          <w:p w14:paraId="69D0502E">
            <w:r>
              <w:rPr>
                <w:rStyle w:val="10"/>
                <w:rFonts w:hint="eastAsia"/>
              </w:rPr>
              <w:t>剂型：</w:t>
            </w:r>
            <w:r>
              <w:rPr>
                <w:rFonts w:hint="eastAsia"/>
              </w:rPr>
              <w:t>可分散油悬浮剂</w:t>
            </w:r>
          </w:p>
        </w:tc>
      </w:tr>
      <w:tr w14:paraId="5665CECB">
        <w:tblPrEx>
          <w:tblCellMar>
            <w:top w:w="0" w:type="dxa"/>
            <w:left w:w="0" w:type="dxa"/>
            <w:bottom w:w="0" w:type="dxa"/>
            <w:right w:w="0" w:type="dxa"/>
          </w:tblCellMar>
        </w:tblPrEx>
        <w:trPr>
          <w:wBefore w:w="0" w:type="auto"/>
          <w:tblCellSpacing w:w="0" w:type="dxa"/>
        </w:trPr>
        <w:tc>
          <w:tcPr>
            <w:tcW w:w="0" w:type="auto"/>
            <w:noWrap w:val="0"/>
            <w:vAlign w:val="center"/>
          </w:tcPr>
          <w:p w14:paraId="6418A93A">
            <w:r>
              <w:rPr>
                <w:rStyle w:val="10"/>
                <w:rFonts w:hint="eastAsia"/>
              </w:rPr>
              <w:t>毒性及其标识：</w:t>
            </w:r>
            <w:r>
              <w:rPr>
                <w:rFonts w:hint="eastAsia"/>
              </w:rPr>
              <w:t xml:space="preserve"> </w:t>
            </w:r>
            <w:r>
              <w:rPr>
                <w:lang/>
              </w:rPr>
              <w:drawing>
                <wp:inline distT="0" distB="0" distL="114300" distR="114300">
                  <wp:extent cx="476250" cy="323850"/>
                  <wp:effectExtent l="0" t="0" r="0" b="0"/>
                  <wp:docPr id="27" name="图片 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81E22E">
        <w:tblPrEx>
          <w:tblCellMar>
            <w:top w:w="0" w:type="dxa"/>
            <w:left w:w="0" w:type="dxa"/>
            <w:bottom w:w="0" w:type="dxa"/>
            <w:right w:w="0" w:type="dxa"/>
          </w:tblCellMar>
        </w:tblPrEx>
        <w:trPr>
          <w:wBefore w:w="0" w:type="auto"/>
          <w:tblCellSpacing w:w="0" w:type="dxa"/>
        </w:trPr>
        <w:tc>
          <w:tcPr>
            <w:tcW w:w="0" w:type="auto"/>
            <w:noWrap w:val="0"/>
            <w:vAlign w:val="center"/>
          </w:tcPr>
          <w:p w14:paraId="46B66287">
            <w:r>
              <w:rPr>
                <w:rStyle w:val="10"/>
                <w:rFonts w:hint="eastAsia"/>
              </w:rPr>
              <w:t>总有效成分含量：</w:t>
            </w:r>
            <w:r>
              <w:rPr>
                <w:rFonts w:hint="eastAsia"/>
              </w:rPr>
              <w:t>30克/升</w:t>
            </w:r>
          </w:p>
        </w:tc>
      </w:tr>
      <w:tr w14:paraId="4A1943C9">
        <w:tblPrEx>
          <w:tblCellMar>
            <w:top w:w="0" w:type="dxa"/>
            <w:left w:w="0" w:type="dxa"/>
            <w:bottom w:w="0" w:type="dxa"/>
            <w:right w:w="0" w:type="dxa"/>
          </w:tblCellMar>
        </w:tblPrEx>
        <w:trPr>
          <w:wBefore w:w="0" w:type="auto"/>
          <w:tblCellSpacing w:w="0" w:type="dxa"/>
        </w:trPr>
        <w:tc>
          <w:tcPr>
            <w:tcW w:w="0" w:type="auto"/>
            <w:noWrap w:val="0"/>
            <w:vAlign w:val="center"/>
          </w:tcPr>
          <w:p w14:paraId="727C514A">
            <w:r>
              <w:rPr>
                <w:rFonts w:hint="eastAsia"/>
              </w:rPr>
              <w:t xml:space="preserve">有效成分及其含量： </w:t>
            </w:r>
          </w:p>
          <w:p w14:paraId="27C559F0">
            <w:r>
              <w:rPr>
                <w:rFonts w:hint="eastAsia"/>
              </w:rPr>
              <w:t xml:space="preserve">    甲基二磺隆30克/升    </w:t>
            </w:r>
          </w:p>
        </w:tc>
      </w:tr>
      <w:tr w14:paraId="54F87526">
        <w:tblPrEx>
          <w:tblCellMar>
            <w:top w:w="0" w:type="dxa"/>
            <w:left w:w="0" w:type="dxa"/>
            <w:bottom w:w="0" w:type="dxa"/>
            <w:right w:w="0" w:type="dxa"/>
          </w:tblCellMar>
        </w:tblPrEx>
        <w:trPr>
          <w:wBefore w:w="0" w:type="auto"/>
          <w:tblCellSpacing w:w="0" w:type="dxa"/>
        </w:trPr>
        <w:tc>
          <w:tcPr>
            <w:tcW w:w="0" w:type="auto"/>
            <w:noWrap w:val="0"/>
            <w:vAlign w:val="center"/>
          </w:tcPr>
          <w:p w14:paraId="143833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3EB9B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0D89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69DC0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688D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AE29BB">
                  <w:r>
                    <w:rPr>
                      <w:rStyle w:val="11"/>
                      <w:rFonts w:hint="eastAsia"/>
                    </w:rPr>
                    <w:t>施用方式</w:t>
                  </w:r>
                </w:p>
              </w:tc>
            </w:tr>
            <w:tr w14:paraId="3F3F33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32FB0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F875D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94E648">
                  <w:r>
                    <w:rPr>
                      <w:rStyle w:val="11"/>
                      <w:rFonts w:hint="eastAsia"/>
                    </w:rPr>
                    <w:t>30-35毫升/亩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A70A75">
                  <w:r>
                    <w:rPr>
                      <w:rStyle w:val="11"/>
                      <w:rFonts w:hint="eastAsia"/>
                    </w:rPr>
                    <w:t>茎叶喷雾</w:t>
                  </w:r>
                </w:p>
              </w:tc>
            </w:tr>
          </w:tbl>
          <w:p w14:paraId="7ECE8D91">
            <w:pPr>
              <w:rPr>
                <w:rFonts w:ascii="Times New Roman" w:hAnsi="Times New Roman" w:cs="Times New Roman"/>
                <w:sz w:val="20"/>
                <w:szCs w:val="20"/>
              </w:rPr>
            </w:pPr>
          </w:p>
        </w:tc>
      </w:tr>
      <w:tr w14:paraId="56A2ED4B">
        <w:tblPrEx>
          <w:tblCellMar>
            <w:top w:w="0" w:type="dxa"/>
            <w:left w:w="0" w:type="dxa"/>
            <w:bottom w:w="0" w:type="dxa"/>
            <w:right w:w="0" w:type="dxa"/>
          </w:tblCellMar>
        </w:tblPrEx>
        <w:trPr>
          <w:wBefore w:w="0" w:type="auto"/>
          <w:tblCellSpacing w:w="0" w:type="dxa"/>
        </w:trPr>
        <w:tc>
          <w:tcPr>
            <w:tcW w:w="0" w:type="auto"/>
            <w:noWrap w:val="0"/>
            <w:vAlign w:val="center"/>
          </w:tcPr>
          <w:p w14:paraId="3FCE019F">
            <w:r>
              <w:rPr>
                <w:rStyle w:val="10"/>
                <w:rFonts w:hint="eastAsia"/>
              </w:rPr>
              <w:t>使用技术要求:</w:t>
            </w:r>
            <w:r>
              <w:rPr>
                <w:rFonts w:hint="eastAsia"/>
              </w:rPr>
              <w:br w:type="textWrapping"/>
            </w:r>
            <w:r>
              <w:rPr>
                <w:rStyle w:val="11"/>
                <w:rFonts w:hint="eastAsia"/>
              </w:rPr>
              <w:t>1. 防除小麦田一年生杂草，于小麦苗后3-6叶期至拔节前，田间一年生杂草2-5叶期，茎叶喷雾施药1次。2. 亩用水量15-30公斤，喷雾均匀、周到，勿重喷漏喷。小麦整个生育期最多使用1次。3. 大风天请勿施药，应防止药液漂移到周围敏感作物，以免产生药害。</w:t>
            </w:r>
          </w:p>
        </w:tc>
      </w:tr>
      <w:tr w14:paraId="6278ABBC">
        <w:tblPrEx>
          <w:tblCellMar>
            <w:top w:w="0" w:type="dxa"/>
            <w:left w:w="0" w:type="dxa"/>
            <w:bottom w:w="0" w:type="dxa"/>
            <w:right w:w="0" w:type="dxa"/>
          </w:tblCellMar>
        </w:tblPrEx>
        <w:trPr>
          <w:wBefore w:w="0" w:type="auto"/>
          <w:tblCellSpacing w:w="0" w:type="dxa"/>
        </w:trPr>
        <w:tc>
          <w:tcPr>
            <w:tcW w:w="0" w:type="auto"/>
            <w:noWrap w:val="0"/>
            <w:vAlign w:val="center"/>
          </w:tcPr>
          <w:p w14:paraId="472BD209">
            <w:r>
              <w:rPr>
                <w:rStyle w:val="10"/>
                <w:rFonts w:hint="eastAsia"/>
              </w:rPr>
              <w:t>产品性能:</w:t>
            </w:r>
            <w:r>
              <w:rPr>
                <w:rFonts w:hint="eastAsia"/>
              </w:rPr>
              <w:br w:type="textWrapping"/>
            </w:r>
            <w:r>
              <w:rPr>
                <w:rStyle w:val="11"/>
                <w:rFonts w:hint="eastAsia"/>
              </w:rPr>
              <w:t>本品是小麦田苗后具有内吸选择性茎叶除草剂，施药期宽，可防除硬草、早熟禾、碱茅、棒头草、看麦娘、野燕麦、牛繁缕等麦田多数一年生杂草，对雀麦、节节麦、偃麦草等恶性杂草也有较好的控制效果。</w:t>
            </w:r>
          </w:p>
        </w:tc>
      </w:tr>
      <w:tr w14:paraId="7EFC1E52">
        <w:tblPrEx>
          <w:tblCellMar>
            <w:top w:w="0" w:type="dxa"/>
            <w:left w:w="0" w:type="dxa"/>
            <w:bottom w:w="0" w:type="dxa"/>
            <w:right w:w="0" w:type="dxa"/>
          </w:tblCellMar>
        </w:tblPrEx>
        <w:trPr>
          <w:wBefore w:w="0" w:type="auto"/>
          <w:tblCellSpacing w:w="0" w:type="dxa"/>
        </w:trPr>
        <w:tc>
          <w:tcPr>
            <w:tcW w:w="0" w:type="auto"/>
            <w:noWrap w:val="0"/>
            <w:vAlign w:val="center"/>
          </w:tcPr>
          <w:p w14:paraId="6CF2B2D8">
            <w:r>
              <w:rPr>
                <w:rStyle w:val="10"/>
                <w:rFonts w:hint="eastAsia"/>
              </w:rPr>
              <w:t>注意事项：</w:t>
            </w:r>
            <w:r>
              <w:rPr>
                <w:rFonts w:hint="eastAsia"/>
              </w:rPr>
              <w:br w:type="textWrapping"/>
            </w:r>
            <w:r>
              <w:rPr>
                <w:rStyle w:val="11"/>
                <w:rFonts w:hint="eastAsia"/>
              </w:rPr>
              <w:t>1. 严格按推荐的使用技术均匀施用，不得超范围使用。使用前须先进行小范围安全性试验验证。 2. 霜冻期、拔节期、大雨前、低洼积水或遭受涝、冻、盐碱、病害等胁迫的小麦田不宜施用。 3. 不宜与2，4-滴混用，以免药害。本剂型储藏后，常出现分层现象，使用前用力摇匀后配制药液，不影响药效。 4. 本品对鱼等水生生物有毒，远离水产养殖区、河塘等水体施药；禁止在河塘等水体中清洗施药器具。 5 本品对眼睛有刺激性，使用时避免接触眼睛，穿戴长衣、长裤、帽子、口罩、手套等防护措施，并禁止饮食、吸烟、饮水等。使用后彻底清洗暴露在外的皮肤。 6. 用过的容器应妥善处理，不可做他用，也不可随意丢弃。7. 避免孕妇及哺乳期的妇女接触。</w:t>
            </w:r>
          </w:p>
        </w:tc>
      </w:tr>
      <w:tr w14:paraId="73A91D55">
        <w:tblPrEx>
          <w:tblCellMar>
            <w:top w:w="0" w:type="dxa"/>
            <w:left w:w="0" w:type="dxa"/>
            <w:bottom w:w="0" w:type="dxa"/>
            <w:right w:w="0" w:type="dxa"/>
          </w:tblCellMar>
        </w:tblPrEx>
        <w:trPr>
          <w:wBefore w:w="0" w:type="auto"/>
          <w:tblCellSpacing w:w="0" w:type="dxa"/>
        </w:trPr>
        <w:tc>
          <w:tcPr>
            <w:tcW w:w="0" w:type="auto"/>
            <w:noWrap w:val="0"/>
            <w:vAlign w:val="center"/>
          </w:tcPr>
          <w:p w14:paraId="22069CE6">
            <w:r>
              <w:rPr>
                <w:rStyle w:val="10"/>
                <w:rFonts w:hint="eastAsia"/>
              </w:rPr>
              <w:t>中毒急救措施：</w:t>
            </w:r>
            <w:r>
              <w:rPr>
                <w:rFonts w:hint="eastAsia"/>
              </w:rPr>
              <w:br w:type="textWrapping"/>
            </w:r>
            <w:r>
              <w:rPr>
                <w:rStyle w:val="11"/>
                <w:rFonts w:hint="eastAsia"/>
              </w:rPr>
              <w:t>中毒症状：本品对眼睛和皮肤有刺激作用。使用中或使用后如果感觉不适，应立即停止工作，采取急救措施，并携带标签送医院就诊。1.如不慎溅入眼睛，立即用大量清水冲洗15分钟以上，并速携此标签就医。如药液溅到皮肤，应马上脱掉污染物，立即用肥皂和足量清水冲洗。如误吞服，应立即用清水漱口，严禁引吐，避免呕吐物吸入肺部，并携本标签把患者送医院诊治。2.治疗：对症治疗。应先洗胃，再用活性炭和硫酸钠处理。</w:t>
            </w:r>
          </w:p>
        </w:tc>
      </w:tr>
      <w:tr w14:paraId="1B3325B6">
        <w:tblPrEx>
          <w:tblCellMar>
            <w:top w:w="0" w:type="dxa"/>
            <w:left w:w="0" w:type="dxa"/>
            <w:bottom w:w="0" w:type="dxa"/>
            <w:right w:w="0" w:type="dxa"/>
          </w:tblCellMar>
        </w:tblPrEx>
        <w:trPr>
          <w:wBefore w:w="0" w:type="auto"/>
          <w:tblCellSpacing w:w="0" w:type="dxa"/>
        </w:trPr>
        <w:tc>
          <w:tcPr>
            <w:tcW w:w="0" w:type="auto"/>
            <w:noWrap w:val="0"/>
            <w:vAlign w:val="center"/>
          </w:tcPr>
          <w:p w14:paraId="771EA727">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勿与食品、饮料、粮食、饲料等其他商品同贮同运。贮存或运输时堆层不得超过规定，注意轻拿轻放，以免损坏包装，导致产品泄漏。</w:t>
            </w:r>
          </w:p>
        </w:tc>
      </w:tr>
      <w:tr w14:paraId="07D6FD3D">
        <w:tblPrEx>
          <w:tblCellMar>
            <w:top w:w="0" w:type="dxa"/>
            <w:left w:w="0" w:type="dxa"/>
            <w:bottom w:w="0" w:type="dxa"/>
            <w:right w:w="0" w:type="dxa"/>
          </w:tblCellMar>
        </w:tblPrEx>
        <w:trPr>
          <w:wBefore w:w="0" w:type="auto"/>
          <w:tblCellSpacing w:w="0" w:type="dxa"/>
        </w:trPr>
        <w:tc>
          <w:tcPr>
            <w:tcW w:w="0" w:type="auto"/>
            <w:noWrap w:val="0"/>
            <w:vAlign w:val="center"/>
          </w:tcPr>
          <w:p w14:paraId="342F445A">
            <w:r>
              <w:rPr>
                <w:rStyle w:val="10"/>
                <w:rFonts w:hint="eastAsia"/>
              </w:rPr>
              <w:t>质量保证期：</w:t>
            </w:r>
            <w:r>
              <w:rPr>
                <w:rStyle w:val="11"/>
                <w:rFonts w:hint="eastAsia"/>
              </w:rPr>
              <w:t>2年</w:t>
            </w:r>
          </w:p>
        </w:tc>
      </w:tr>
      <w:tr w14:paraId="1661B105">
        <w:tblPrEx>
          <w:tblCellMar>
            <w:top w:w="0" w:type="dxa"/>
            <w:left w:w="0" w:type="dxa"/>
            <w:bottom w:w="0" w:type="dxa"/>
            <w:right w:w="0" w:type="dxa"/>
          </w:tblCellMar>
        </w:tblPrEx>
        <w:trPr>
          <w:wBefore w:w="0" w:type="auto"/>
          <w:tblCellSpacing w:w="0" w:type="dxa"/>
        </w:trPr>
        <w:tc>
          <w:tcPr>
            <w:tcW w:w="0" w:type="auto"/>
            <w:noWrap w:val="0"/>
            <w:vAlign w:val="center"/>
          </w:tcPr>
          <w:p w14:paraId="5CB750E7">
            <w:r>
              <w:rPr>
                <w:rStyle w:val="10"/>
                <w:rFonts w:hint="eastAsia"/>
              </w:rPr>
              <w:t>备注：</w:t>
            </w:r>
            <w:r>
              <w:rPr>
                <w:rFonts w:hint="eastAsia"/>
              </w:rPr>
              <w:br w:type="textWrapping"/>
            </w:r>
            <w:r>
              <w:rPr>
                <w:rStyle w:val="11"/>
                <w:rFonts w:hint="eastAsia"/>
              </w:rPr>
              <w:t>质量分数3%。</w:t>
            </w:r>
          </w:p>
        </w:tc>
      </w:tr>
    </w:tbl>
    <w:p w14:paraId="6E9F4B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BD1C93">
        <w:tblPrEx>
          <w:tblCellMar>
            <w:top w:w="0" w:type="dxa"/>
            <w:left w:w="0" w:type="dxa"/>
            <w:bottom w:w="0" w:type="dxa"/>
            <w:right w:w="0" w:type="dxa"/>
          </w:tblCellMar>
        </w:tblPrEx>
        <w:trPr>
          <w:wBefore w:w="0" w:type="auto"/>
          <w:tblCellSpacing w:w="0" w:type="dxa"/>
        </w:trPr>
        <w:tc>
          <w:tcPr>
            <w:tcW w:w="0" w:type="auto"/>
            <w:noWrap w:val="0"/>
            <w:vAlign w:val="center"/>
          </w:tcPr>
          <w:p w14:paraId="1F3134B2">
            <w:r>
              <w:rPr>
                <w:rStyle w:val="10"/>
                <w:rFonts w:hint="eastAsia"/>
              </w:rPr>
              <w:t>登记证号：</w:t>
            </w:r>
            <w:r>
              <w:rPr>
                <w:rFonts w:hint="eastAsia"/>
              </w:rPr>
              <w:t>PD20212705</w:t>
            </w:r>
          </w:p>
        </w:tc>
      </w:tr>
      <w:tr w14:paraId="576C9EDD">
        <w:tblPrEx>
          <w:tblCellMar>
            <w:top w:w="0" w:type="dxa"/>
            <w:left w:w="0" w:type="dxa"/>
            <w:bottom w:w="0" w:type="dxa"/>
            <w:right w:w="0" w:type="dxa"/>
          </w:tblCellMar>
        </w:tblPrEx>
        <w:trPr>
          <w:wBefore w:w="0" w:type="auto"/>
          <w:tblCellSpacing w:w="0" w:type="dxa"/>
        </w:trPr>
        <w:tc>
          <w:tcPr>
            <w:tcW w:w="0" w:type="auto"/>
            <w:noWrap w:val="0"/>
            <w:vAlign w:val="center"/>
          </w:tcPr>
          <w:p w14:paraId="12EBD9F9">
            <w:r>
              <w:rPr>
                <w:rStyle w:val="10"/>
                <w:rFonts w:hint="eastAsia"/>
              </w:rPr>
              <w:t>登记证持有人：</w:t>
            </w:r>
            <w:r>
              <w:rPr>
                <w:rFonts w:hint="eastAsia"/>
              </w:rPr>
              <w:t>宁波三江益农化学有限公司</w:t>
            </w:r>
          </w:p>
        </w:tc>
      </w:tr>
      <w:tr w14:paraId="2C85AF77">
        <w:tblPrEx>
          <w:tblCellMar>
            <w:top w:w="0" w:type="dxa"/>
            <w:left w:w="0" w:type="dxa"/>
            <w:bottom w:w="0" w:type="dxa"/>
            <w:right w:w="0" w:type="dxa"/>
          </w:tblCellMar>
        </w:tblPrEx>
        <w:trPr>
          <w:wBefore w:w="0" w:type="auto"/>
          <w:tblCellSpacing w:w="0" w:type="dxa"/>
        </w:trPr>
        <w:tc>
          <w:tcPr>
            <w:tcW w:w="0" w:type="auto"/>
            <w:noWrap w:val="0"/>
            <w:vAlign w:val="center"/>
          </w:tcPr>
          <w:p w14:paraId="73DCF345">
            <w:r>
              <w:rPr>
                <w:rStyle w:val="10"/>
                <w:rFonts w:hint="eastAsia"/>
              </w:rPr>
              <w:t>农药名称：</w:t>
            </w:r>
            <w:r>
              <w:rPr>
                <w:rFonts w:hint="eastAsia"/>
              </w:rPr>
              <w:t>波尔多液</w:t>
            </w:r>
          </w:p>
        </w:tc>
      </w:tr>
      <w:tr w14:paraId="7CA9D901">
        <w:tblPrEx>
          <w:tblCellMar>
            <w:top w:w="0" w:type="dxa"/>
            <w:left w:w="0" w:type="dxa"/>
            <w:bottom w:w="0" w:type="dxa"/>
            <w:right w:w="0" w:type="dxa"/>
          </w:tblCellMar>
        </w:tblPrEx>
        <w:trPr>
          <w:wBefore w:w="0" w:type="auto"/>
          <w:tblCellSpacing w:w="0" w:type="dxa"/>
        </w:trPr>
        <w:tc>
          <w:tcPr>
            <w:tcW w:w="0" w:type="auto"/>
            <w:noWrap w:val="0"/>
            <w:vAlign w:val="center"/>
          </w:tcPr>
          <w:p w14:paraId="7A02BA80">
            <w:r>
              <w:rPr>
                <w:rStyle w:val="10"/>
                <w:rFonts w:hint="eastAsia"/>
              </w:rPr>
              <w:t>剂型：</w:t>
            </w:r>
            <w:r>
              <w:rPr>
                <w:rFonts w:hint="eastAsia"/>
              </w:rPr>
              <w:t>水分散粒剂</w:t>
            </w:r>
          </w:p>
        </w:tc>
      </w:tr>
      <w:tr w14:paraId="4056A998">
        <w:tblPrEx>
          <w:tblCellMar>
            <w:top w:w="0" w:type="dxa"/>
            <w:left w:w="0" w:type="dxa"/>
            <w:bottom w:w="0" w:type="dxa"/>
            <w:right w:w="0" w:type="dxa"/>
          </w:tblCellMar>
        </w:tblPrEx>
        <w:trPr>
          <w:wBefore w:w="0" w:type="auto"/>
          <w:tblCellSpacing w:w="0" w:type="dxa"/>
        </w:trPr>
        <w:tc>
          <w:tcPr>
            <w:tcW w:w="0" w:type="auto"/>
            <w:noWrap w:val="0"/>
            <w:vAlign w:val="center"/>
          </w:tcPr>
          <w:p w14:paraId="12A52801">
            <w:r>
              <w:rPr>
                <w:rStyle w:val="10"/>
                <w:rFonts w:hint="eastAsia"/>
              </w:rPr>
              <w:t>毒性及其标识：</w:t>
            </w:r>
            <w:r>
              <w:rPr>
                <w:rFonts w:hint="eastAsia"/>
              </w:rPr>
              <w:t xml:space="preserve"> </w:t>
            </w:r>
            <w:r>
              <w:rPr>
                <w:lang/>
              </w:rPr>
              <w:drawing>
                <wp:inline distT="0" distB="0" distL="114300" distR="114300">
                  <wp:extent cx="476250" cy="323850"/>
                  <wp:effectExtent l="0" t="0" r="0" b="0"/>
                  <wp:docPr id="28" name="图片 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F67AC5">
        <w:tblPrEx>
          <w:tblCellMar>
            <w:top w:w="0" w:type="dxa"/>
            <w:left w:w="0" w:type="dxa"/>
            <w:bottom w:w="0" w:type="dxa"/>
            <w:right w:w="0" w:type="dxa"/>
          </w:tblCellMar>
        </w:tblPrEx>
        <w:trPr>
          <w:wBefore w:w="0" w:type="auto"/>
          <w:tblCellSpacing w:w="0" w:type="dxa"/>
        </w:trPr>
        <w:tc>
          <w:tcPr>
            <w:tcW w:w="0" w:type="auto"/>
            <w:noWrap w:val="0"/>
            <w:vAlign w:val="center"/>
          </w:tcPr>
          <w:p w14:paraId="2FC0BA23">
            <w:r>
              <w:rPr>
                <w:rStyle w:val="10"/>
                <w:rFonts w:hint="eastAsia"/>
              </w:rPr>
              <w:t>总有效成分含量：</w:t>
            </w:r>
            <w:r>
              <w:rPr>
                <w:rFonts w:hint="eastAsia"/>
              </w:rPr>
              <w:t>86%</w:t>
            </w:r>
          </w:p>
        </w:tc>
      </w:tr>
      <w:tr w14:paraId="13C44B18">
        <w:tblPrEx>
          <w:tblCellMar>
            <w:top w:w="0" w:type="dxa"/>
            <w:left w:w="0" w:type="dxa"/>
            <w:bottom w:w="0" w:type="dxa"/>
            <w:right w:w="0" w:type="dxa"/>
          </w:tblCellMar>
        </w:tblPrEx>
        <w:trPr>
          <w:wBefore w:w="0" w:type="auto"/>
          <w:tblCellSpacing w:w="0" w:type="dxa"/>
        </w:trPr>
        <w:tc>
          <w:tcPr>
            <w:tcW w:w="0" w:type="auto"/>
            <w:noWrap w:val="0"/>
            <w:vAlign w:val="center"/>
          </w:tcPr>
          <w:p w14:paraId="0565EE2D">
            <w:r>
              <w:rPr>
                <w:rFonts w:hint="eastAsia"/>
              </w:rPr>
              <w:t xml:space="preserve">有效成分及其含量： </w:t>
            </w:r>
          </w:p>
          <w:p w14:paraId="5AC245D5">
            <w:r>
              <w:rPr>
                <w:rFonts w:hint="eastAsia"/>
              </w:rPr>
              <w:t xml:space="preserve">    波尔多液86%    </w:t>
            </w:r>
          </w:p>
        </w:tc>
      </w:tr>
      <w:tr w14:paraId="70835C0F">
        <w:tblPrEx>
          <w:tblCellMar>
            <w:top w:w="0" w:type="dxa"/>
            <w:left w:w="0" w:type="dxa"/>
            <w:bottom w:w="0" w:type="dxa"/>
            <w:right w:w="0" w:type="dxa"/>
          </w:tblCellMar>
        </w:tblPrEx>
        <w:trPr>
          <w:wBefore w:w="0" w:type="auto"/>
          <w:tblCellSpacing w:w="0" w:type="dxa"/>
        </w:trPr>
        <w:tc>
          <w:tcPr>
            <w:tcW w:w="0" w:type="auto"/>
            <w:noWrap w:val="0"/>
            <w:vAlign w:val="center"/>
          </w:tcPr>
          <w:p w14:paraId="293395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80BB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836FD2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32F29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9F02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A353D5">
                  <w:r>
                    <w:rPr>
                      <w:rStyle w:val="11"/>
                      <w:rFonts w:hint="eastAsia"/>
                    </w:rPr>
                    <w:t>施用方式</w:t>
                  </w:r>
                </w:p>
              </w:tc>
            </w:tr>
            <w:tr w14:paraId="35CE5F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8E344C">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CC350E">
                  <w:r>
                    <w:rPr>
                      <w:rStyle w:val="11"/>
                      <w:rFonts w:hint="eastAsia"/>
                    </w:rPr>
                    <w:t>轮纹病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5BFC85">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56490">
                  <w:r>
                    <w:rPr>
                      <w:rStyle w:val="11"/>
                      <w:rFonts w:hint="eastAsia"/>
                    </w:rPr>
                    <w:t>喷雾</w:t>
                  </w:r>
                </w:p>
              </w:tc>
            </w:tr>
          </w:tbl>
          <w:p w14:paraId="66AB1184">
            <w:pPr>
              <w:rPr>
                <w:rFonts w:ascii="Times New Roman" w:hAnsi="Times New Roman" w:cs="Times New Roman"/>
                <w:sz w:val="20"/>
                <w:szCs w:val="20"/>
              </w:rPr>
            </w:pPr>
          </w:p>
        </w:tc>
      </w:tr>
      <w:tr w14:paraId="41634ADB">
        <w:tblPrEx>
          <w:tblCellMar>
            <w:top w:w="0" w:type="dxa"/>
            <w:left w:w="0" w:type="dxa"/>
            <w:bottom w:w="0" w:type="dxa"/>
            <w:right w:w="0" w:type="dxa"/>
          </w:tblCellMar>
        </w:tblPrEx>
        <w:trPr>
          <w:wBefore w:w="0" w:type="auto"/>
          <w:tblCellSpacing w:w="0" w:type="dxa"/>
        </w:trPr>
        <w:tc>
          <w:tcPr>
            <w:tcW w:w="0" w:type="auto"/>
            <w:noWrap w:val="0"/>
            <w:vAlign w:val="center"/>
          </w:tcPr>
          <w:p w14:paraId="4B71F73E">
            <w:r>
              <w:rPr>
                <w:rStyle w:val="10"/>
                <w:rFonts w:hint="eastAsia"/>
              </w:rPr>
              <w:t>使用技术要求:</w:t>
            </w:r>
            <w:r>
              <w:rPr>
                <w:rFonts w:hint="eastAsia"/>
              </w:rPr>
              <w:br w:type="textWrapping"/>
            </w:r>
            <w:r>
              <w:rPr>
                <w:rStyle w:val="11"/>
                <w:rFonts w:hint="eastAsia"/>
              </w:rPr>
              <w:t>1. 配药时，建议使用二次稀释法，稀释效果更好。2.采用叶面喷雾法施药，根据植株大小确定每亩喷施的药液量，以均匀喷湿叶片正反面为度。3. 苹果树轮纹病发病前或发病初期喷雾使用，间隔10-15天施药一次，连续施药3-4次。具体施药次数和施药间隔可根据作物、病情发生程度和天气情况调整。 4. 避免在阴湿天气和露水未干前喷药。大风天或预计1小时内降雨，请勿喷药。</w:t>
            </w:r>
          </w:p>
        </w:tc>
      </w:tr>
      <w:tr w14:paraId="20AB674B">
        <w:tblPrEx>
          <w:tblCellMar>
            <w:top w:w="0" w:type="dxa"/>
            <w:left w:w="0" w:type="dxa"/>
            <w:bottom w:w="0" w:type="dxa"/>
            <w:right w:w="0" w:type="dxa"/>
          </w:tblCellMar>
        </w:tblPrEx>
        <w:trPr>
          <w:wBefore w:w="0" w:type="auto"/>
          <w:tblCellSpacing w:w="0" w:type="dxa"/>
        </w:trPr>
        <w:tc>
          <w:tcPr>
            <w:tcW w:w="0" w:type="auto"/>
            <w:noWrap w:val="0"/>
            <w:vAlign w:val="center"/>
          </w:tcPr>
          <w:p w14:paraId="33568F7E">
            <w:r>
              <w:rPr>
                <w:rStyle w:val="10"/>
                <w:rFonts w:hint="eastAsia"/>
              </w:rPr>
              <w:t>产品性能:</w:t>
            </w:r>
            <w:r>
              <w:rPr>
                <w:rFonts w:hint="eastAsia"/>
              </w:rPr>
              <w:br w:type="textWrapping"/>
            </w:r>
            <w:r>
              <w:rPr>
                <w:rStyle w:val="11"/>
                <w:rFonts w:hint="eastAsia"/>
              </w:rPr>
              <w:t>本产品为无机铜素保护性杀菌剂，植物在新陈代谢过程中分泌出的酸性液体以及细菌入侵植物细胞时分泌的酸性物质，使波尔多液中少量的碱式硫酸铜转化为可溶的硫酸铜，从而产生少量铜离子，使病菌细胞中的蛋白质凝固。同时铜离子还能破坏其细胞中某种酶，使细菌体中代谢作用不能正常进行。具有较好的防治作用。</w:t>
            </w:r>
          </w:p>
        </w:tc>
      </w:tr>
      <w:tr w14:paraId="60D8F732">
        <w:tblPrEx>
          <w:tblCellMar>
            <w:top w:w="0" w:type="dxa"/>
            <w:left w:w="0" w:type="dxa"/>
            <w:bottom w:w="0" w:type="dxa"/>
            <w:right w:w="0" w:type="dxa"/>
          </w:tblCellMar>
        </w:tblPrEx>
        <w:trPr>
          <w:wBefore w:w="0" w:type="auto"/>
          <w:tblCellSpacing w:w="0" w:type="dxa"/>
        </w:trPr>
        <w:tc>
          <w:tcPr>
            <w:tcW w:w="0" w:type="auto"/>
            <w:noWrap w:val="0"/>
            <w:vAlign w:val="center"/>
          </w:tcPr>
          <w:p w14:paraId="777BB6E5">
            <w:r>
              <w:rPr>
                <w:rStyle w:val="10"/>
                <w:rFonts w:hint="eastAsia"/>
              </w:rPr>
              <w:t>注意事项：</w:t>
            </w:r>
            <w:r>
              <w:rPr>
                <w:rFonts w:hint="eastAsia"/>
              </w:rPr>
              <w:br w:type="textWrapping"/>
            </w:r>
            <w:r>
              <w:rPr>
                <w:rStyle w:val="11"/>
                <w:rFonts w:hint="eastAsia"/>
              </w:rPr>
              <w:t>1. 对铜敏感的时期和作物（桃、李、梅、杏、柿子、大白菜、菜豆、莴苣、荸荠等）慎用。施药时注意避免漂移至上述作物。 2. 本品不能与含有其他金属元素的药剂和微肥混合使用，也不宜与强酸、强碱性物质混用。建议与其他作用机制不同的杀菌剂轮换使用，以延缓抗性产生。 3. 本品对水生生物有毒，水产养殖区、河塘等水体附近禁用，禁止在河塘等水域内清洗施药器具。鱼或虾蟹套养稻田禁用，施药后的田水不得直接排入水体。蚕室和桑园附近禁用。鸟类保护区附近禁用。（周围）开花植物花期禁用，使用时应密切关注对蜂群的影响，施药前3日告知所在地及邻近3000m以内的养蜂者。施用时密切关注对土壤生物的风险。 4. 本品对眼睛有刺激性，使用时避免接触眼睛，穿戴长衣、长裤、帽子、口罩、手套等防护措施，避免皮肤接触及口鼻吸入，避免眼睛接触；施药期间不可吃东西、饮水、吸烟等；施药后应及时冲洗手、脸及裸露部位，并更换和清洗工作服。 5. 孕妇及哺乳期妇女禁止接触本品。 6. 用过的容器应妥善处理，不可作他用，也不可随意丢弃。</w:t>
            </w:r>
          </w:p>
        </w:tc>
      </w:tr>
      <w:tr w14:paraId="24F2641D">
        <w:tblPrEx>
          <w:tblCellMar>
            <w:top w:w="0" w:type="dxa"/>
            <w:left w:w="0" w:type="dxa"/>
            <w:bottom w:w="0" w:type="dxa"/>
            <w:right w:w="0" w:type="dxa"/>
          </w:tblCellMar>
        </w:tblPrEx>
        <w:trPr>
          <w:wBefore w:w="0" w:type="auto"/>
          <w:tblCellSpacing w:w="0" w:type="dxa"/>
        </w:trPr>
        <w:tc>
          <w:tcPr>
            <w:tcW w:w="0" w:type="auto"/>
            <w:noWrap w:val="0"/>
            <w:vAlign w:val="center"/>
          </w:tcPr>
          <w:p w14:paraId="2C23B6BD">
            <w:r>
              <w:rPr>
                <w:rStyle w:val="10"/>
                <w:rFonts w:hint="eastAsia"/>
              </w:rPr>
              <w:t>中毒急救措施：</w:t>
            </w:r>
            <w:r>
              <w:rPr>
                <w:rFonts w:hint="eastAsia"/>
              </w:rPr>
              <w:br w:type="textWrapping"/>
            </w:r>
            <w:r>
              <w:rPr>
                <w:rStyle w:val="11"/>
                <w:rFonts w:hint="eastAsia"/>
              </w:rPr>
              <w:t>使用中或使用后如果感觉不适，立即停止工作，采取急救措施，并携此标签送医就诊。皮肤接触：立即脱掉被污染的衣物，用大量清水冲洗被污染的皮肤，衣服彻底清洗后方可再穿。眼睛溅入：立即将眼睑翻开，用清水冲洗至少15分钟。如症状持续，携此标签去医院诊治。误吸：立即将吸入者转移到空气清新处，请医生诊治。误服：立即停止服用，用清水充分漱口后，携此标签去医院诊治，对症治疗。</w:t>
            </w:r>
          </w:p>
        </w:tc>
      </w:tr>
      <w:tr w14:paraId="01D81779">
        <w:tblPrEx>
          <w:tblCellMar>
            <w:top w:w="0" w:type="dxa"/>
            <w:left w:w="0" w:type="dxa"/>
            <w:bottom w:w="0" w:type="dxa"/>
            <w:right w:w="0" w:type="dxa"/>
          </w:tblCellMar>
        </w:tblPrEx>
        <w:trPr>
          <w:wBefore w:w="0" w:type="auto"/>
          <w:tblCellSpacing w:w="0" w:type="dxa"/>
        </w:trPr>
        <w:tc>
          <w:tcPr>
            <w:tcW w:w="0" w:type="auto"/>
            <w:noWrap w:val="0"/>
            <w:vAlign w:val="center"/>
          </w:tcPr>
          <w:p w14:paraId="3562F4CC">
            <w:r>
              <w:rPr>
                <w:rStyle w:val="10"/>
                <w:rFonts w:hint="eastAsia"/>
              </w:rPr>
              <w:t>储存和运输方法：</w:t>
            </w:r>
            <w:r>
              <w:rPr>
                <w:rFonts w:hint="eastAsia"/>
              </w:rPr>
              <w:br w:type="textWrapping"/>
            </w:r>
            <w:r>
              <w:rPr>
                <w:rStyle w:val="11"/>
                <w:rFonts w:hint="eastAsia"/>
              </w:rPr>
              <w:t>1. 本品应贮存在干燥、阴凉、通风、防雨处，远离热源或火源。置于儿童与无关人员接触不到的地方，并加锁保管，不能与食品、饮料、粮食、饲料等混合储存。 2. 运输时，严防潮湿和日晒雨淋，搬运时轻搬轻放，避免与皮肤、眼睛接触，防止由口鼻吸入。</w:t>
            </w:r>
          </w:p>
        </w:tc>
      </w:tr>
      <w:tr w14:paraId="25B84C39">
        <w:tblPrEx>
          <w:tblCellMar>
            <w:top w:w="0" w:type="dxa"/>
            <w:left w:w="0" w:type="dxa"/>
            <w:bottom w:w="0" w:type="dxa"/>
            <w:right w:w="0" w:type="dxa"/>
          </w:tblCellMar>
        </w:tblPrEx>
        <w:trPr>
          <w:wBefore w:w="0" w:type="auto"/>
          <w:tblCellSpacing w:w="0" w:type="dxa"/>
        </w:trPr>
        <w:tc>
          <w:tcPr>
            <w:tcW w:w="0" w:type="auto"/>
            <w:noWrap w:val="0"/>
            <w:vAlign w:val="center"/>
          </w:tcPr>
          <w:p w14:paraId="3B4B4EB5">
            <w:r>
              <w:rPr>
                <w:rStyle w:val="10"/>
                <w:rFonts w:hint="eastAsia"/>
              </w:rPr>
              <w:t>质量保证期：</w:t>
            </w:r>
            <w:r>
              <w:rPr>
                <w:rStyle w:val="11"/>
                <w:rFonts w:hint="eastAsia"/>
              </w:rPr>
              <w:t>2年</w:t>
            </w:r>
          </w:p>
        </w:tc>
      </w:tr>
      <w:tr w14:paraId="1AD1BA70">
        <w:tblPrEx>
          <w:tblCellMar>
            <w:top w:w="0" w:type="dxa"/>
            <w:left w:w="0" w:type="dxa"/>
            <w:bottom w:w="0" w:type="dxa"/>
            <w:right w:w="0" w:type="dxa"/>
          </w:tblCellMar>
        </w:tblPrEx>
        <w:trPr>
          <w:wBefore w:w="0" w:type="auto"/>
          <w:tblCellSpacing w:w="0" w:type="dxa"/>
        </w:trPr>
        <w:tc>
          <w:tcPr>
            <w:tcW w:w="0" w:type="auto"/>
            <w:noWrap w:val="0"/>
            <w:vAlign w:val="center"/>
          </w:tcPr>
          <w:p w14:paraId="244FF6D6">
            <w:r>
              <w:rPr>
                <w:rStyle w:val="10"/>
                <w:rFonts w:hint="eastAsia"/>
              </w:rPr>
              <w:t>备注：</w:t>
            </w:r>
          </w:p>
        </w:tc>
      </w:tr>
    </w:tbl>
    <w:p w14:paraId="4261491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E94BE4">
        <w:tblPrEx>
          <w:tblCellMar>
            <w:top w:w="0" w:type="dxa"/>
            <w:left w:w="0" w:type="dxa"/>
            <w:bottom w:w="0" w:type="dxa"/>
            <w:right w:w="0" w:type="dxa"/>
          </w:tblCellMar>
        </w:tblPrEx>
        <w:trPr>
          <w:wBefore w:w="0" w:type="auto"/>
          <w:tblCellSpacing w:w="0" w:type="dxa"/>
        </w:trPr>
        <w:tc>
          <w:tcPr>
            <w:tcW w:w="0" w:type="auto"/>
            <w:noWrap w:val="0"/>
            <w:vAlign w:val="center"/>
          </w:tcPr>
          <w:p w14:paraId="2E9F280C">
            <w:r>
              <w:rPr>
                <w:rStyle w:val="10"/>
                <w:rFonts w:hint="eastAsia"/>
              </w:rPr>
              <w:t>登记证号：</w:t>
            </w:r>
            <w:r>
              <w:rPr>
                <w:rFonts w:hint="eastAsia"/>
              </w:rPr>
              <w:t>PD20212570</w:t>
            </w:r>
          </w:p>
        </w:tc>
      </w:tr>
      <w:tr w14:paraId="72645214">
        <w:tblPrEx>
          <w:tblCellMar>
            <w:top w:w="0" w:type="dxa"/>
            <w:left w:w="0" w:type="dxa"/>
            <w:bottom w:w="0" w:type="dxa"/>
            <w:right w:w="0" w:type="dxa"/>
          </w:tblCellMar>
        </w:tblPrEx>
        <w:trPr>
          <w:wBefore w:w="0" w:type="auto"/>
          <w:tblCellSpacing w:w="0" w:type="dxa"/>
        </w:trPr>
        <w:tc>
          <w:tcPr>
            <w:tcW w:w="0" w:type="auto"/>
            <w:noWrap w:val="0"/>
            <w:vAlign w:val="center"/>
          </w:tcPr>
          <w:p w14:paraId="60169AAF">
            <w:r>
              <w:rPr>
                <w:rStyle w:val="10"/>
                <w:rFonts w:hint="eastAsia"/>
              </w:rPr>
              <w:t>登记证持有人：</w:t>
            </w:r>
            <w:r>
              <w:rPr>
                <w:rFonts w:hint="eastAsia"/>
              </w:rPr>
              <w:t>湖北泰盛化工有限公司</w:t>
            </w:r>
          </w:p>
        </w:tc>
      </w:tr>
      <w:tr w14:paraId="6EC10CEF">
        <w:tblPrEx>
          <w:tblCellMar>
            <w:top w:w="0" w:type="dxa"/>
            <w:left w:w="0" w:type="dxa"/>
            <w:bottom w:w="0" w:type="dxa"/>
            <w:right w:w="0" w:type="dxa"/>
          </w:tblCellMar>
        </w:tblPrEx>
        <w:trPr>
          <w:wBefore w:w="0" w:type="auto"/>
          <w:tblCellSpacing w:w="0" w:type="dxa"/>
        </w:trPr>
        <w:tc>
          <w:tcPr>
            <w:tcW w:w="0" w:type="auto"/>
            <w:noWrap w:val="0"/>
            <w:vAlign w:val="center"/>
          </w:tcPr>
          <w:p w14:paraId="1FC3C82D">
            <w:r>
              <w:rPr>
                <w:rStyle w:val="10"/>
                <w:rFonts w:hint="eastAsia"/>
              </w:rPr>
              <w:t>农药名称：</w:t>
            </w:r>
            <w:r>
              <w:rPr>
                <w:rFonts w:hint="eastAsia"/>
              </w:rPr>
              <w:t>麦畏·草甘膦</w:t>
            </w:r>
          </w:p>
        </w:tc>
      </w:tr>
      <w:tr w14:paraId="173C61D1">
        <w:tblPrEx>
          <w:tblCellMar>
            <w:top w:w="0" w:type="dxa"/>
            <w:left w:w="0" w:type="dxa"/>
            <w:bottom w:w="0" w:type="dxa"/>
            <w:right w:w="0" w:type="dxa"/>
          </w:tblCellMar>
        </w:tblPrEx>
        <w:trPr>
          <w:wBefore w:w="0" w:type="auto"/>
          <w:tblCellSpacing w:w="0" w:type="dxa"/>
        </w:trPr>
        <w:tc>
          <w:tcPr>
            <w:tcW w:w="0" w:type="auto"/>
            <w:noWrap w:val="0"/>
            <w:vAlign w:val="center"/>
          </w:tcPr>
          <w:p w14:paraId="206B3ECA">
            <w:r>
              <w:rPr>
                <w:rStyle w:val="10"/>
                <w:rFonts w:hint="eastAsia"/>
              </w:rPr>
              <w:t>剂型：</w:t>
            </w:r>
            <w:r>
              <w:rPr>
                <w:rFonts w:hint="eastAsia"/>
              </w:rPr>
              <w:t>可溶粒剂</w:t>
            </w:r>
          </w:p>
        </w:tc>
      </w:tr>
      <w:tr w14:paraId="3F19E7D7">
        <w:tblPrEx>
          <w:tblCellMar>
            <w:top w:w="0" w:type="dxa"/>
            <w:left w:w="0" w:type="dxa"/>
            <w:bottom w:w="0" w:type="dxa"/>
            <w:right w:w="0" w:type="dxa"/>
          </w:tblCellMar>
        </w:tblPrEx>
        <w:trPr>
          <w:wBefore w:w="0" w:type="auto"/>
          <w:tblCellSpacing w:w="0" w:type="dxa"/>
        </w:trPr>
        <w:tc>
          <w:tcPr>
            <w:tcW w:w="0" w:type="auto"/>
            <w:noWrap w:val="0"/>
            <w:vAlign w:val="center"/>
          </w:tcPr>
          <w:p w14:paraId="36AB5867">
            <w:r>
              <w:rPr>
                <w:rStyle w:val="10"/>
                <w:rFonts w:hint="eastAsia"/>
              </w:rPr>
              <w:t>毒性及其标识：</w:t>
            </w:r>
            <w:r>
              <w:rPr>
                <w:rFonts w:hint="eastAsia"/>
              </w:rPr>
              <w:t xml:space="preserve"> </w:t>
            </w:r>
            <w:r>
              <w:rPr>
                <w:lang/>
              </w:rPr>
              <w:drawing>
                <wp:inline distT="0" distB="0" distL="114300" distR="114300">
                  <wp:extent cx="476250" cy="323850"/>
                  <wp:effectExtent l="0" t="0" r="0" b="0"/>
                  <wp:docPr id="29" name="图片 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402BC9">
        <w:tblPrEx>
          <w:tblCellMar>
            <w:top w:w="0" w:type="dxa"/>
            <w:left w:w="0" w:type="dxa"/>
            <w:bottom w:w="0" w:type="dxa"/>
            <w:right w:w="0" w:type="dxa"/>
          </w:tblCellMar>
        </w:tblPrEx>
        <w:trPr>
          <w:wBefore w:w="0" w:type="auto"/>
          <w:tblCellSpacing w:w="0" w:type="dxa"/>
        </w:trPr>
        <w:tc>
          <w:tcPr>
            <w:tcW w:w="0" w:type="auto"/>
            <w:noWrap w:val="0"/>
            <w:vAlign w:val="center"/>
          </w:tcPr>
          <w:p w14:paraId="67D766E2">
            <w:r>
              <w:rPr>
                <w:rStyle w:val="10"/>
                <w:rFonts w:hint="eastAsia"/>
              </w:rPr>
              <w:t>总有效成分含量：</w:t>
            </w:r>
            <w:r>
              <w:rPr>
                <w:rFonts w:hint="eastAsia"/>
              </w:rPr>
              <w:t>64.6%</w:t>
            </w:r>
          </w:p>
        </w:tc>
      </w:tr>
      <w:tr w14:paraId="42CF5A30">
        <w:tblPrEx>
          <w:tblCellMar>
            <w:top w:w="0" w:type="dxa"/>
            <w:left w:w="0" w:type="dxa"/>
            <w:bottom w:w="0" w:type="dxa"/>
            <w:right w:w="0" w:type="dxa"/>
          </w:tblCellMar>
        </w:tblPrEx>
        <w:trPr>
          <w:wBefore w:w="0" w:type="auto"/>
          <w:tblCellSpacing w:w="0" w:type="dxa"/>
        </w:trPr>
        <w:tc>
          <w:tcPr>
            <w:tcW w:w="0" w:type="auto"/>
            <w:noWrap w:val="0"/>
            <w:vAlign w:val="center"/>
          </w:tcPr>
          <w:p w14:paraId="55D11DFD">
            <w:r>
              <w:rPr>
                <w:rFonts w:hint="eastAsia"/>
              </w:rPr>
              <w:t xml:space="preserve">有效成分及其含量： </w:t>
            </w:r>
          </w:p>
          <w:p w14:paraId="70814721">
            <w:r>
              <w:rPr>
                <w:rFonts w:hint="eastAsia"/>
              </w:rPr>
              <w:t xml:space="preserve">    麦草畏10.5%    草甘膦54.1%    </w:t>
            </w:r>
          </w:p>
        </w:tc>
      </w:tr>
      <w:tr w14:paraId="3292E14E">
        <w:tblPrEx>
          <w:tblCellMar>
            <w:top w:w="0" w:type="dxa"/>
            <w:left w:w="0" w:type="dxa"/>
            <w:bottom w:w="0" w:type="dxa"/>
            <w:right w:w="0" w:type="dxa"/>
          </w:tblCellMar>
        </w:tblPrEx>
        <w:trPr>
          <w:wBefore w:w="0" w:type="auto"/>
          <w:tblCellSpacing w:w="0" w:type="dxa"/>
        </w:trPr>
        <w:tc>
          <w:tcPr>
            <w:tcW w:w="0" w:type="auto"/>
            <w:noWrap w:val="0"/>
            <w:vAlign w:val="center"/>
          </w:tcPr>
          <w:p w14:paraId="17E3691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29B3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4441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7AD8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C4B7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9201E6">
                  <w:r>
                    <w:rPr>
                      <w:rStyle w:val="11"/>
                      <w:rFonts w:hint="eastAsia"/>
                    </w:rPr>
                    <w:t>施用方式</w:t>
                  </w:r>
                </w:p>
              </w:tc>
            </w:tr>
            <w:tr w14:paraId="013B12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47326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2CAD6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6D07C0">
                  <w:r>
                    <w:rPr>
                      <w:rStyle w:val="11"/>
                      <w:rFonts w:hint="eastAsia"/>
                    </w:rPr>
                    <w:t>60-90克/亩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A077D8">
                  <w:r>
                    <w:rPr>
                      <w:rStyle w:val="11"/>
                      <w:rFonts w:hint="eastAsia"/>
                    </w:rPr>
                    <w:t>茎叶喷雾</w:t>
                  </w:r>
                </w:p>
              </w:tc>
            </w:tr>
          </w:tbl>
          <w:p w14:paraId="21C35FDB">
            <w:pPr>
              <w:rPr>
                <w:rFonts w:ascii="Times New Roman" w:hAnsi="Times New Roman" w:cs="Times New Roman"/>
                <w:sz w:val="20"/>
                <w:szCs w:val="20"/>
              </w:rPr>
            </w:pPr>
          </w:p>
        </w:tc>
      </w:tr>
      <w:tr w14:paraId="0DBED490">
        <w:tblPrEx>
          <w:tblCellMar>
            <w:top w:w="0" w:type="dxa"/>
            <w:left w:w="0" w:type="dxa"/>
            <w:bottom w:w="0" w:type="dxa"/>
            <w:right w:w="0" w:type="dxa"/>
          </w:tblCellMar>
        </w:tblPrEx>
        <w:trPr>
          <w:wBefore w:w="0" w:type="auto"/>
          <w:tblCellSpacing w:w="0" w:type="dxa"/>
        </w:trPr>
        <w:tc>
          <w:tcPr>
            <w:tcW w:w="0" w:type="auto"/>
            <w:noWrap w:val="0"/>
            <w:vAlign w:val="center"/>
          </w:tcPr>
          <w:p w14:paraId="74493631">
            <w:r>
              <w:rPr>
                <w:rStyle w:val="10"/>
                <w:rFonts w:hint="eastAsia"/>
              </w:rPr>
              <w:t>使用技术要求:</w:t>
            </w:r>
            <w:r>
              <w:rPr>
                <w:rFonts w:hint="eastAsia"/>
              </w:rPr>
              <w:br w:type="textWrapping"/>
            </w:r>
            <w:r>
              <w:rPr>
                <w:rStyle w:val="11"/>
                <w:rFonts w:hint="eastAsia"/>
              </w:rPr>
              <w:t>1. 施药的最佳时期为非耕地杂草的营养生长旺盛期。 2. 选择晴好天气，按防治作物、用药量、使用方法、根据杂草的株高，调节喷头高度，喷雾时勿接触作物绿色部分，以免产生药害。 3. 如施药后4小时内下雨，会影响药效，应酌情补喷。4. 禁止在田间道路、田埂、果树行间、休耕地、林场林地等农林业区域使用。</w:t>
            </w:r>
          </w:p>
        </w:tc>
      </w:tr>
      <w:tr w14:paraId="64EBF43F">
        <w:tblPrEx>
          <w:tblCellMar>
            <w:top w:w="0" w:type="dxa"/>
            <w:left w:w="0" w:type="dxa"/>
            <w:bottom w:w="0" w:type="dxa"/>
            <w:right w:w="0" w:type="dxa"/>
          </w:tblCellMar>
        </w:tblPrEx>
        <w:trPr>
          <w:wBefore w:w="0" w:type="auto"/>
          <w:tblCellSpacing w:w="0" w:type="dxa"/>
        </w:trPr>
        <w:tc>
          <w:tcPr>
            <w:tcW w:w="0" w:type="auto"/>
            <w:noWrap w:val="0"/>
            <w:vAlign w:val="center"/>
          </w:tcPr>
          <w:p w14:paraId="5D9B5B00">
            <w:r>
              <w:rPr>
                <w:rStyle w:val="10"/>
                <w:rFonts w:hint="eastAsia"/>
              </w:rPr>
              <w:t>产品性能:</w:t>
            </w:r>
            <w:r>
              <w:rPr>
                <w:rFonts w:hint="eastAsia"/>
              </w:rPr>
              <w:br w:type="textWrapping"/>
            </w:r>
            <w:r>
              <w:rPr>
                <w:rStyle w:val="11"/>
                <w:rFonts w:hint="eastAsia"/>
              </w:rPr>
              <w:t>本品是有机磷类除草剂和安息香酸系除草剂的复配制剂，草甘膦能抑制植物的莽草素向苯丙氨酸、酪氨酸及色氨酸转化，使杂草蛋白质的合成受到干扰，麦草畏能阻碍杂草激素的正常作用，两者复配改善了草甘膦除草速度慢的问题，大大提高了对一年生及多年生阔叶杂草的速效性及防除效果。</w:t>
            </w:r>
          </w:p>
        </w:tc>
      </w:tr>
      <w:tr w14:paraId="3F08F147">
        <w:tblPrEx>
          <w:tblCellMar>
            <w:top w:w="0" w:type="dxa"/>
            <w:left w:w="0" w:type="dxa"/>
            <w:bottom w:w="0" w:type="dxa"/>
            <w:right w:w="0" w:type="dxa"/>
          </w:tblCellMar>
        </w:tblPrEx>
        <w:trPr>
          <w:wBefore w:w="0" w:type="auto"/>
          <w:tblCellSpacing w:w="0" w:type="dxa"/>
        </w:trPr>
        <w:tc>
          <w:tcPr>
            <w:tcW w:w="0" w:type="auto"/>
            <w:noWrap w:val="0"/>
            <w:vAlign w:val="center"/>
          </w:tcPr>
          <w:p w14:paraId="2FCCDABE">
            <w:r>
              <w:rPr>
                <w:rStyle w:val="10"/>
                <w:rFonts w:hint="eastAsia"/>
              </w:rPr>
              <w:t>注意事项：</w:t>
            </w:r>
            <w:r>
              <w:rPr>
                <w:rFonts w:hint="eastAsia"/>
              </w:rPr>
              <w:br w:type="textWrapping"/>
            </w:r>
            <w:r>
              <w:rPr>
                <w:rStyle w:val="11"/>
                <w:rFonts w:hint="eastAsia"/>
              </w:rPr>
              <w:t>1. 本品为灭生性除草剂，因此施药时应防止药液漂移到非目标植物上，造成药害。2. 药液用清水稀释，不得使用污水、混浊水，以免降低药效。 3. 本品对眼睛有刺激性，使用时避免接触眼睛，穿戴长衣、长裤、帽子、口罩、手套等防护措施，避免皮肤接触及口鼻吸入。使用中不可吸烟、饮水及吃东西，使用后及时用大量清水和肥皂清洗手、脸等暴露部分皮肤并更换衣物。 4. 施用本品后5天内勿割草、放牧和翻地。 5. 使用本品大面积灭草时，药后杂草与灌木成片干枯，应注意火灾发生。 6. 本品对蜜蜂、鱼类等水生生物、家蚕有毒，施药期间应避免对周围蜂群的影响、开花植物花期、蚕室和桑园附近禁用，可将最外围桑树作为隔离带，不可使用最外围桑树上的叶片饲喂家蚕。远离水产养殖区施药，禁止在河塘等水体中清洗施药器具。 7. 孕妇和哺乳期妇女应避免接触。 8. 用过的容器应妥善处理，不可做他用，也不可随意丢弃。</w:t>
            </w:r>
          </w:p>
        </w:tc>
      </w:tr>
      <w:tr w14:paraId="49410645">
        <w:tblPrEx>
          <w:tblCellMar>
            <w:top w:w="0" w:type="dxa"/>
            <w:left w:w="0" w:type="dxa"/>
            <w:bottom w:w="0" w:type="dxa"/>
            <w:right w:w="0" w:type="dxa"/>
          </w:tblCellMar>
        </w:tblPrEx>
        <w:trPr>
          <w:wBefore w:w="0" w:type="auto"/>
          <w:tblCellSpacing w:w="0" w:type="dxa"/>
        </w:trPr>
        <w:tc>
          <w:tcPr>
            <w:tcW w:w="0" w:type="auto"/>
            <w:noWrap w:val="0"/>
            <w:vAlign w:val="center"/>
          </w:tcPr>
          <w:p w14:paraId="686DB8C0">
            <w:r>
              <w:rPr>
                <w:rStyle w:val="10"/>
                <w:rFonts w:hint="eastAsia"/>
              </w:rPr>
              <w:t>中毒急救措施：</w:t>
            </w:r>
            <w:r>
              <w:rPr>
                <w:rFonts w:hint="eastAsia"/>
              </w:rPr>
              <w:br w:type="textWrapping"/>
            </w:r>
            <w:r>
              <w:rPr>
                <w:rStyle w:val="11"/>
                <w:rFonts w:hint="eastAsia"/>
              </w:rPr>
              <w:t>对眼睛有刺激作用。使用中或使用后如感不适，应立即停止工作，采取急救措施，并携标签就医。皮肤接触：脱去污染的衣物，用软布去除沾染农药，立即用大量清水和肥皂清洗并就医。眼睛溅入：立即用流动清水冲洗不少于15分钟并就医。吸入：立即离开施药现场，转移至空气清新处并就医。误服：立即停止服用，用清水充分漱口后并携标签就医。本品无特殊解毒剂,对症治疗。</w:t>
            </w:r>
          </w:p>
        </w:tc>
      </w:tr>
      <w:tr w14:paraId="36CA888F">
        <w:tblPrEx>
          <w:tblCellMar>
            <w:top w:w="0" w:type="dxa"/>
            <w:left w:w="0" w:type="dxa"/>
            <w:bottom w:w="0" w:type="dxa"/>
            <w:right w:w="0" w:type="dxa"/>
          </w:tblCellMar>
        </w:tblPrEx>
        <w:trPr>
          <w:wBefore w:w="0" w:type="auto"/>
          <w:tblCellSpacing w:w="0" w:type="dxa"/>
        </w:trPr>
        <w:tc>
          <w:tcPr>
            <w:tcW w:w="0" w:type="auto"/>
            <w:noWrap w:val="0"/>
            <w:vAlign w:val="center"/>
          </w:tcPr>
          <w:p w14:paraId="6F0C610A">
            <w:r>
              <w:rPr>
                <w:rStyle w:val="10"/>
                <w:rFonts w:hint="eastAsia"/>
              </w:rPr>
              <w:t>储存和运输方法：</w:t>
            </w:r>
            <w:r>
              <w:rPr>
                <w:rFonts w:hint="eastAsia"/>
              </w:rPr>
              <w:br w:type="textWrapping"/>
            </w:r>
            <w:r>
              <w:rPr>
                <w:rStyle w:val="11"/>
                <w:rFonts w:hint="eastAsia"/>
              </w:rPr>
              <w:t>本品应储存在干燥、阴凉、通风、防雨处，远离热源。置于儿童、无关人员接触不到的地方，并加锁 。不能与食品、饮料、粮食、饲料等混合储存。本品对金属有腐蚀性，储存和使用时，应尽量使用塑料容器。在装卸、运输时轻拿轻放。</w:t>
            </w:r>
          </w:p>
        </w:tc>
      </w:tr>
      <w:tr w14:paraId="62332B39">
        <w:tblPrEx>
          <w:tblCellMar>
            <w:top w:w="0" w:type="dxa"/>
            <w:left w:w="0" w:type="dxa"/>
            <w:bottom w:w="0" w:type="dxa"/>
            <w:right w:w="0" w:type="dxa"/>
          </w:tblCellMar>
        </w:tblPrEx>
        <w:trPr>
          <w:wBefore w:w="0" w:type="auto"/>
          <w:tblCellSpacing w:w="0" w:type="dxa"/>
        </w:trPr>
        <w:tc>
          <w:tcPr>
            <w:tcW w:w="0" w:type="auto"/>
            <w:noWrap w:val="0"/>
            <w:vAlign w:val="center"/>
          </w:tcPr>
          <w:p w14:paraId="03CAE0E7">
            <w:r>
              <w:rPr>
                <w:rStyle w:val="10"/>
                <w:rFonts w:hint="eastAsia"/>
              </w:rPr>
              <w:t>质量保证期：</w:t>
            </w:r>
            <w:r>
              <w:rPr>
                <w:rStyle w:val="11"/>
                <w:rFonts w:hint="eastAsia"/>
              </w:rPr>
              <w:t>2年</w:t>
            </w:r>
          </w:p>
        </w:tc>
      </w:tr>
      <w:tr w14:paraId="6577FDAF">
        <w:tblPrEx>
          <w:tblCellMar>
            <w:top w:w="0" w:type="dxa"/>
            <w:left w:w="0" w:type="dxa"/>
            <w:bottom w:w="0" w:type="dxa"/>
            <w:right w:w="0" w:type="dxa"/>
          </w:tblCellMar>
        </w:tblPrEx>
        <w:trPr>
          <w:wBefore w:w="0" w:type="auto"/>
          <w:tblCellSpacing w:w="0" w:type="dxa"/>
        </w:trPr>
        <w:tc>
          <w:tcPr>
            <w:tcW w:w="0" w:type="auto"/>
            <w:noWrap w:val="0"/>
            <w:vAlign w:val="center"/>
          </w:tcPr>
          <w:p w14:paraId="4C4ECA4F">
            <w:r>
              <w:rPr>
                <w:rStyle w:val="10"/>
                <w:rFonts w:hint="eastAsia"/>
              </w:rPr>
              <w:t>备注：</w:t>
            </w:r>
            <w:r>
              <w:rPr>
                <w:rFonts w:hint="eastAsia"/>
              </w:rPr>
              <w:br w:type="textWrapping"/>
            </w:r>
            <w:r>
              <w:rPr>
                <w:rStyle w:val="11"/>
                <w:rFonts w:hint="eastAsia"/>
              </w:rPr>
              <w:t>草甘膦铵盐59.5%。</w:t>
            </w:r>
          </w:p>
        </w:tc>
      </w:tr>
    </w:tbl>
    <w:p w14:paraId="082391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FD1670">
        <w:tblPrEx>
          <w:tblCellMar>
            <w:top w:w="0" w:type="dxa"/>
            <w:left w:w="0" w:type="dxa"/>
            <w:bottom w:w="0" w:type="dxa"/>
            <w:right w:w="0" w:type="dxa"/>
          </w:tblCellMar>
        </w:tblPrEx>
        <w:trPr>
          <w:wBefore w:w="0" w:type="auto"/>
          <w:tblCellSpacing w:w="0" w:type="dxa"/>
        </w:trPr>
        <w:tc>
          <w:tcPr>
            <w:tcW w:w="0" w:type="auto"/>
            <w:noWrap w:val="0"/>
            <w:vAlign w:val="center"/>
          </w:tcPr>
          <w:p w14:paraId="6EDDB4C0">
            <w:r>
              <w:rPr>
                <w:rStyle w:val="10"/>
                <w:rFonts w:hint="eastAsia"/>
              </w:rPr>
              <w:t>登记证号：</w:t>
            </w:r>
            <w:r>
              <w:rPr>
                <w:rFonts w:hint="eastAsia"/>
              </w:rPr>
              <w:t>PD20212571</w:t>
            </w:r>
          </w:p>
        </w:tc>
      </w:tr>
      <w:tr w14:paraId="4E2EFBB9">
        <w:tblPrEx>
          <w:tblCellMar>
            <w:top w:w="0" w:type="dxa"/>
            <w:left w:w="0" w:type="dxa"/>
            <w:bottom w:w="0" w:type="dxa"/>
            <w:right w:w="0" w:type="dxa"/>
          </w:tblCellMar>
        </w:tblPrEx>
        <w:trPr>
          <w:wBefore w:w="0" w:type="auto"/>
          <w:tblCellSpacing w:w="0" w:type="dxa"/>
        </w:trPr>
        <w:tc>
          <w:tcPr>
            <w:tcW w:w="0" w:type="auto"/>
            <w:noWrap w:val="0"/>
            <w:vAlign w:val="center"/>
          </w:tcPr>
          <w:p w14:paraId="27EC7EFE">
            <w:r>
              <w:rPr>
                <w:rStyle w:val="10"/>
                <w:rFonts w:hint="eastAsia"/>
              </w:rPr>
              <w:t>登记证持有人：</w:t>
            </w:r>
            <w:r>
              <w:rPr>
                <w:rFonts w:hint="eastAsia"/>
              </w:rPr>
              <w:t>河南巴博斯生物科技有限公司</w:t>
            </w:r>
          </w:p>
        </w:tc>
      </w:tr>
      <w:tr w14:paraId="6EC3309F">
        <w:tblPrEx>
          <w:tblCellMar>
            <w:top w:w="0" w:type="dxa"/>
            <w:left w:w="0" w:type="dxa"/>
            <w:bottom w:w="0" w:type="dxa"/>
            <w:right w:w="0" w:type="dxa"/>
          </w:tblCellMar>
        </w:tblPrEx>
        <w:trPr>
          <w:wBefore w:w="0" w:type="auto"/>
          <w:tblCellSpacing w:w="0" w:type="dxa"/>
        </w:trPr>
        <w:tc>
          <w:tcPr>
            <w:tcW w:w="0" w:type="auto"/>
            <w:noWrap w:val="0"/>
            <w:vAlign w:val="center"/>
          </w:tcPr>
          <w:p w14:paraId="4237E7A7">
            <w:r>
              <w:rPr>
                <w:rStyle w:val="10"/>
                <w:rFonts w:hint="eastAsia"/>
              </w:rPr>
              <w:t>农药名称：</w:t>
            </w:r>
            <w:r>
              <w:rPr>
                <w:rFonts w:hint="eastAsia"/>
              </w:rPr>
              <w:t>乙羧·草铵膦</w:t>
            </w:r>
          </w:p>
        </w:tc>
      </w:tr>
      <w:tr w14:paraId="433DA9AA">
        <w:tblPrEx>
          <w:tblCellMar>
            <w:top w:w="0" w:type="dxa"/>
            <w:left w:w="0" w:type="dxa"/>
            <w:bottom w:w="0" w:type="dxa"/>
            <w:right w:w="0" w:type="dxa"/>
          </w:tblCellMar>
        </w:tblPrEx>
        <w:trPr>
          <w:wBefore w:w="0" w:type="auto"/>
          <w:tblCellSpacing w:w="0" w:type="dxa"/>
        </w:trPr>
        <w:tc>
          <w:tcPr>
            <w:tcW w:w="0" w:type="auto"/>
            <w:noWrap w:val="0"/>
            <w:vAlign w:val="center"/>
          </w:tcPr>
          <w:p w14:paraId="0580C7E7">
            <w:r>
              <w:rPr>
                <w:rStyle w:val="10"/>
                <w:rFonts w:hint="eastAsia"/>
              </w:rPr>
              <w:t>剂型：</w:t>
            </w:r>
            <w:r>
              <w:rPr>
                <w:rFonts w:hint="eastAsia"/>
              </w:rPr>
              <w:t>微乳剂</w:t>
            </w:r>
          </w:p>
        </w:tc>
      </w:tr>
      <w:tr w14:paraId="4D403BA9">
        <w:tblPrEx>
          <w:tblCellMar>
            <w:top w:w="0" w:type="dxa"/>
            <w:left w:w="0" w:type="dxa"/>
            <w:bottom w:w="0" w:type="dxa"/>
            <w:right w:w="0" w:type="dxa"/>
          </w:tblCellMar>
        </w:tblPrEx>
        <w:trPr>
          <w:wBefore w:w="0" w:type="auto"/>
          <w:tblCellSpacing w:w="0" w:type="dxa"/>
        </w:trPr>
        <w:tc>
          <w:tcPr>
            <w:tcW w:w="0" w:type="auto"/>
            <w:noWrap w:val="0"/>
            <w:vAlign w:val="center"/>
          </w:tcPr>
          <w:p w14:paraId="11CE0D1A">
            <w:r>
              <w:rPr>
                <w:rStyle w:val="10"/>
                <w:rFonts w:hint="eastAsia"/>
              </w:rPr>
              <w:t>毒性及其标识：</w:t>
            </w:r>
            <w:r>
              <w:rPr>
                <w:rFonts w:hint="eastAsia"/>
              </w:rPr>
              <w:t xml:space="preserve"> </w:t>
            </w:r>
            <w:r>
              <w:rPr>
                <w:lang/>
              </w:rPr>
              <w:drawing>
                <wp:inline distT="0" distB="0" distL="114300" distR="114300">
                  <wp:extent cx="476250" cy="323850"/>
                  <wp:effectExtent l="0" t="0" r="0" b="0"/>
                  <wp:docPr id="30" name="图片 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D2D6A6">
        <w:tblPrEx>
          <w:tblCellMar>
            <w:top w:w="0" w:type="dxa"/>
            <w:left w:w="0" w:type="dxa"/>
            <w:bottom w:w="0" w:type="dxa"/>
            <w:right w:w="0" w:type="dxa"/>
          </w:tblCellMar>
        </w:tblPrEx>
        <w:trPr>
          <w:wBefore w:w="0" w:type="auto"/>
          <w:tblCellSpacing w:w="0" w:type="dxa"/>
        </w:trPr>
        <w:tc>
          <w:tcPr>
            <w:tcW w:w="0" w:type="auto"/>
            <w:noWrap w:val="0"/>
            <w:vAlign w:val="center"/>
          </w:tcPr>
          <w:p w14:paraId="130DDB2B">
            <w:r>
              <w:rPr>
                <w:rStyle w:val="10"/>
                <w:rFonts w:hint="eastAsia"/>
              </w:rPr>
              <w:t>总有效成分含量：</w:t>
            </w:r>
            <w:r>
              <w:rPr>
                <w:rFonts w:hint="eastAsia"/>
              </w:rPr>
              <w:t>21%</w:t>
            </w:r>
          </w:p>
        </w:tc>
      </w:tr>
      <w:tr w14:paraId="569E1323">
        <w:tblPrEx>
          <w:tblCellMar>
            <w:top w:w="0" w:type="dxa"/>
            <w:left w:w="0" w:type="dxa"/>
            <w:bottom w:w="0" w:type="dxa"/>
            <w:right w:w="0" w:type="dxa"/>
          </w:tblCellMar>
        </w:tblPrEx>
        <w:trPr>
          <w:wBefore w:w="0" w:type="auto"/>
          <w:tblCellSpacing w:w="0" w:type="dxa"/>
        </w:trPr>
        <w:tc>
          <w:tcPr>
            <w:tcW w:w="0" w:type="auto"/>
            <w:noWrap w:val="0"/>
            <w:vAlign w:val="center"/>
          </w:tcPr>
          <w:p w14:paraId="1AE165D5">
            <w:r>
              <w:rPr>
                <w:rFonts w:hint="eastAsia"/>
              </w:rPr>
              <w:t xml:space="preserve">有效成分及其含量： </w:t>
            </w:r>
          </w:p>
          <w:p w14:paraId="316518E7">
            <w:r>
              <w:rPr>
                <w:rFonts w:hint="eastAsia"/>
              </w:rPr>
              <w:t xml:space="preserve">    乙羧氟草醚1%    草铵膦20%    </w:t>
            </w:r>
          </w:p>
        </w:tc>
      </w:tr>
      <w:tr w14:paraId="4B21F75C">
        <w:tblPrEx>
          <w:tblCellMar>
            <w:top w:w="0" w:type="dxa"/>
            <w:left w:w="0" w:type="dxa"/>
            <w:bottom w:w="0" w:type="dxa"/>
            <w:right w:w="0" w:type="dxa"/>
          </w:tblCellMar>
        </w:tblPrEx>
        <w:trPr>
          <w:wBefore w:w="0" w:type="auto"/>
          <w:tblCellSpacing w:w="0" w:type="dxa"/>
        </w:trPr>
        <w:tc>
          <w:tcPr>
            <w:tcW w:w="0" w:type="auto"/>
            <w:noWrap w:val="0"/>
            <w:vAlign w:val="center"/>
          </w:tcPr>
          <w:p w14:paraId="2CA481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DE8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7F2B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EDBBF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173A1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A1AED0">
                  <w:r>
                    <w:rPr>
                      <w:rStyle w:val="11"/>
                      <w:rFonts w:hint="eastAsia"/>
                    </w:rPr>
                    <w:t>施用方式</w:t>
                  </w:r>
                </w:p>
              </w:tc>
            </w:tr>
            <w:tr w14:paraId="60A118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2A92F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5FE74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7CE9CA">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8CEFAB">
                  <w:r>
                    <w:rPr>
                      <w:rStyle w:val="11"/>
                      <w:rFonts w:hint="eastAsia"/>
                    </w:rPr>
                    <w:t>茎叶喷雾</w:t>
                  </w:r>
                </w:p>
              </w:tc>
            </w:tr>
          </w:tbl>
          <w:p w14:paraId="1390E37B">
            <w:pPr>
              <w:rPr>
                <w:rFonts w:ascii="Times New Roman" w:hAnsi="Times New Roman" w:cs="Times New Roman"/>
                <w:sz w:val="20"/>
                <w:szCs w:val="20"/>
              </w:rPr>
            </w:pPr>
          </w:p>
        </w:tc>
      </w:tr>
      <w:tr w14:paraId="256B0C8B">
        <w:tblPrEx>
          <w:tblCellMar>
            <w:top w:w="0" w:type="dxa"/>
            <w:left w:w="0" w:type="dxa"/>
            <w:bottom w:w="0" w:type="dxa"/>
            <w:right w:w="0" w:type="dxa"/>
          </w:tblCellMar>
        </w:tblPrEx>
        <w:trPr>
          <w:wBefore w:w="0" w:type="auto"/>
          <w:tblCellSpacing w:w="0" w:type="dxa"/>
        </w:trPr>
        <w:tc>
          <w:tcPr>
            <w:tcW w:w="0" w:type="auto"/>
            <w:noWrap w:val="0"/>
            <w:vAlign w:val="center"/>
          </w:tcPr>
          <w:p w14:paraId="6F4BC605">
            <w:r>
              <w:rPr>
                <w:rStyle w:val="10"/>
                <w:rFonts w:hint="eastAsia"/>
              </w:rPr>
              <w:t>使用技术要求:</w:t>
            </w:r>
            <w:r>
              <w:rPr>
                <w:rFonts w:hint="eastAsia"/>
              </w:rPr>
              <w:br w:type="textWrapping"/>
            </w:r>
            <w:r>
              <w:rPr>
                <w:rStyle w:val="11"/>
                <w:rFonts w:hint="eastAsia"/>
              </w:rPr>
              <w:t>1. 在非耕地杂草旺盛生长期，以推荐剂量兑水均匀茎叶喷雾施药一次，每亩兑水量30-40公斤，茎叶喷雾。2. 大风天或预计1小时内降雨，请勿施药。 3. 注意避免飘移药害。禁止在田间道路、田埂、果树行间、休耕地、林场林地等农林业区域使用。</w:t>
            </w:r>
          </w:p>
        </w:tc>
      </w:tr>
      <w:tr w14:paraId="4A78B5A4">
        <w:tblPrEx>
          <w:tblCellMar>
            <w:top w:w="0" w:type="dxa"/>
            <w:left w:w="0" w:type="dxa"/>
            <w:bottom w:w="0" w:type="dxa"/>
            <w:right w:w="0" w:type="dxa"/>
          </w:tblCellMar>
        </w:tblPrEx>
        <w:trPr>
          <w:wBefore w:w="0" w:type="auto"/>
          <w:tblCellSpacing w:w="0" w:type="dxa"/>
        </w:trPr>
        <w:tc>
          <w:tcPr>
            <w:tcW w:w="0" w:type="auto"/>
            <w:noWrap w:val="0"/>
            <w:vAlign w:val="center"/>
          </w:tcPr>
          <w:p w14:paraId="6EC746B0">
            <w:r>
              <w:rPr>
                <w:rStyle w:val="10"/>
                <w:rFonts w:hint="eastAsia"/>
              </w:rPr>
              <w:t>产品性能:</w:t>
            </w:r>
            <w:r>
              <w:rPr>
                <w:rFonts w:hint="eastAsia"/>
              </w:rPr>
              <w:br w:type="textWrapping"/>
            </w:r>
            <w:r>
              <w:rPr>
                <w:rStyle w:val="11"/>
                <w:rFonts w:hint="eastAsia"/>
              </w:rPr>
              <w:t>本品为乙羧氟草醚和草铵膦复配制剂，乙羧氟草醚为激素类选择性除草剂，可防除马唐、苋等阔叶杂草及萌芽期禾本科杂草，草铵膦属于有机磷类非传导性灭生除草剂。该产品对非耕地杂草有较好的防效。</w:t>
            </w:r>
          </w:p>
        </w:tc>
      </w:tr>
      <w:tr w14:paraId="1349FCDF">
        <w:tblPrEx>
          <w:tblCellMar>
            <w:top w:w="0" w:type="dxa"/>
            <w:left w:w="0" w:type="dxa"/>
            <w:bottom w:w="0" w:type="dxa"/>
            <w:right w:w="0" w:type="dxa"/>
          </w:tblCellMar>
        </w:tblPrEx>
        <w:trPr>
          <w:wBefore w:w="0" w:type="auto"/>
          <w:tblCellSpacing w:w="0" w:type="dxa"/>
        </w:trPr>
        <w:tc>
          <w:tcPr>
            <w:tcW w:w="0" w:type="auto"/>
            <w:noWrap w:val="0"/>
            <w:vAlign w:val="center"/>
          </w:tcPr>
          <w:p w14:paraId="71E9FA3C">
            <w:r>
              <w:rPr>
                <w:rStyle w:val="10"/>
                <w:rFonts w:hint="eastAsia"/>
              </w:rPr>
              <w:t>注意事项：</w:t>
            </w:r>
            <w:r>
              <w:rPr>
                <w:rFonts w:hint="eastAsia"/>
              </w:rPr>
              <w:br w:type="textWrapping"/>
            </w:r>
            <w:r>
              <w:rPr>
                <w:rStyle w:val="11"/>
                <w:rFonts w:hint="eastAsia"/>
              </w:rPr>
              <w:t>1. 喷雾时需定向均匀全面喷在杂草上，勿使药液漂移或接触到作物上，以免产生药害。2. 避免药液接触皮肤、眼睛和污染衣物，避免吸入雾滴。切勿在施药现场抽烟或饮食。3. 本品对眼睛有刺激性，使用时避免接触眼睛，穿戴长衣、长裤、帽子、口罩、手套等防护措施。，使用后应及时清洗皮肤及所穿衣物。4. 本品对蜜蜂、鱼类等水生生物、家蚕有毒，施药期间应避免对周围蜂群的影响，禁止在开花植物花期、蚕室和桑园附近使用。5. 远离水产养殖区、河塘等水域施药。禁止在河塘等水域清洗施药器具。6. 赤眼蜂、瓢虫等天敌放飞区域禁用。 7. 避免孕妇和哺乳期的妇女接触本品。8. 用过的容器应妥善处理，不可随意丢弃或作他用。9. 避免与氧化剂接触。</w:t>
            </w:r>
          </w:p>
        </w:tc>
      </w:tr>
      <w:tr w14:paraId="1C3F7E7B">
        <w:tblPrEx>
          <w:tblCellMar>
            <w:top w:w="0" w:type="dxa"/>
            <w:left w:w="0" w:type="dxa"/>
            <w:bottom w:w="0" w:type="dxa"/>
            <w:right w:w="0" w:type="dxa"/>
          </w:tblCellMar>
        </w:tblPrEx>
        <w:trPr>
          <w:wBefore w:w="0" w:type="auto"/>
          <w:tblCellSpacing w:w="0" w:type="dxa"/>
        </w:trPr>
        <w:tc>
          <w:tcPr>
            <w:tcW w:w="0" w:type="auto"/>
            <w:noWrap w:val="0"/>
            <w:vAlign w:val="center"/>
          </w:tcPr>
          <w:p w14:paraId="4274657C">
            <w:r>
              <w:rPr>
                <w:rStyle w:val="10"/>
                <w:rFonts w:hint="eastAsia"/>
              </w:rPr>
              <w:t>中毒急救措施：</w:t>
            </w:r>
            <w:r>
              <w:rPr>
                <w:rFonts w:hint="eastAsia"/>
              </w:rPr>
              <w:br w:type="textWrapping"/>
            </w:r>
            <w:r>
              <w:rPr>
                <w:rStyle w:val="11"/>
                <w:rFonts w:hint="eastAsia"/>
              </w:rPr>
              <w:t>1. 若溅到皮肤上，应立即用大量清水冲洗，如皮肤疼痛感持续，请医生诊治。 2. 不慎溅入眼中，要立即用清水冲洗15分钟以上，并请医生诊治。 3. 若误服，立即携此标签将病人送医院救治，可对症治疗，无特殊解毒药。</w:t>
            </w:r>
          </w:p>
        </w:tc>
      </w:tr>
      <w:tr w14:paraId="7BA339CE">
        <w:tblPrEx>
          <w:tblCellMar>
            <w:top w:w="0" w:type="dxa"/>
            <w:left w:w="0" w:type="dxa"/>
            <w:bottom w:w="0" w:type="dxa"/>
            <w:right w:w="0" w:type="dxa"/>
          </w:tblCellMar>
        </w:tblPrEx>
        <w:trPr>
          <w:wBefore w:w="0" w:type="auto"/>
          <w:tblCellSpacing w:w="0" w:type="dxa"/>
        </w:trPr>
        <w:tc>
          <w:tcPr>
            <w:tcW w:w="0" w:type="auto"/>
            <w:noWrap w:val="0"/>
            <w:vAlign w:val="center"/>
          </w:tcPr>
          <w:p w14:paraId="62ED852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0C9AFC70">
        <w:tblPrEx>
          <w:tblCellMar>
            <w:top w:w="0" w:type="dxa"/>
            <w:left w:w="0" w:type="dxa"/>
            <w:bottom w:w="0" w:type="dxa"/>
            <w:right w:w="0" w:type="dxa"/>
          </w:tblCellMar>
        </w:tblPrEx>
        <w:trPr>
          <w:wBefore w:w="0" w:type="auto"/>
          <w:tblCellSpacing w:w="0" w:type="dxa"/>
        </w:trPr>
        <w:tc>
          <w:tcPr>
            <w:tcW w:w="0" w:type="auto"/>
            <w:noWrap w:val="0"/>
            <w:vAlign w:val="center"/>
          </w:tcPr>
          <w:p w14:paraId="2DA8FA7D">
            <w:r>
              <w:rPr>
                <w:rStyle w:val="10"/>
                <w:rFonts w:hint="eastAsia"/>
              </w:rPr>
              <w:t>质量保证期：</w:t>
            </w:r>
            <w:r>
              <w:rPr>
                <w:rStyle w:val="11"/>
                <w:rFonts w:hint="eastAsia"/>
              </w:rPr>
              <w:t>2年</w:t>
            </w:r>
          </w:p>
        </w:tc>
      </w:tr>
      <w:tr w14:paraId="43DF2B7C">
        <w:tblPrEx>
          <w:tblCellMar>
            <w:top w:w="0" w:type="dxa"/>
            <w:left w:w="0" w:type="dxa"/>
            <w:bottom w:w="0" w:type="dxa"/>
            <w:right w:w="0" w:type="dxa"/>
          </w:tblCellMar>
        </w:tblPrEx>
        <w:trPr>
          <w:wBefore w:w="0" w:type="auto"/>
          <w:tblCellSpacing w:w="0" w:type="dxa"/>
        </w:trPr>
        <w:tc>
          <w:tcPr>
            <w:tcW w:w="0" w:type="auto"/>
            <w:noWrap w:val="0"/>
            <w:vAlign w:val="center"/>
          </w:tcPr>
          <w:p w14:paraId="2ED7B9CF">
            <w:r>
              <w:rPr>
                <w:rStyle w:val="10"/>
                <w:rFonts w:hint="eastAsia"/>
              </w:rPr>
              <w:t>备注：</w:t>
            </w:r>
          </w:p>
        </w:tc>
      </w:tr>
    </w:tbl>
    <w:p w14:paraId="65736F5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F9BE0D">
        <w:tblPrEx>
          <w:tblCellMar>
            <w:top w:w="0" w:type="dxa"/>
            <w:left w:w="0" w:type="dxa"/>
            <w:bottom w:w="0" w:type="dxa"/>
            <w:right w:w="0" w:type="dxa"/>
          </w:tblCellMar>
        </w:tblPrEx>
        <w:trPr>
          <w:wBefore w:w="0" w:type="auto"/>
          <w:tblCellSpacing w:w="0" w:type="dxa"/>
        </w:trPr>
        <w:tc>
          <w:tcPr>
            <w:tcW w:w="0" w:type="auto"/>
            <w:noWrap w:val="0"/>
            <w:vAlign w:val="center"/>
          </w:tcPr>
          <w:p w14:paraId="73BB1A86">
            <w:r>
              <w:rPr>
                <w:rStyle w:val="10"/>
                <w:rFonts w:hint="eastAsia"/>
              </w:rPr>
              <w:t>登记证号：</w:t>
            </w:r>
            <w:r>
              <w:rPr>
                <w:rFonts w:hint="eastAsia"/>
              </w:rPr>
              <w:t>PD20212585</w:t>
            </w:r>
          </w:p>
        </w:tc>
      </w:tr>
      <w:tr w14:paraId="03ADF661">
        <w:tblPrEx>
          <w:tblCellMar>
            <w:top w:w="0" w:type="dxa"/>
            <w:left w:w="0" w:type="dxa"/>
            <w:bottom w:w="0" w:type="dxa"/>
            <w:right w:w="0" w:type="dxa"/>
          </w:tblCellMar>
        </w:tblPrEx>
        <w:trPr>
          <w:wBefore w:w="0" w:type="auto"/>
          <w:tblCellSpacing w:w="0" w:type="dxa"/>
        </w:trPr>
        <w:tc>
          <w:tcPr>
            <w:tcW w:w="0" w:type="auto"/>
            <w:noWrap w:val="0"/>
            <w:vAlign w:val="center"/>
          </w:tcPr>
          <w:p w14:paraId="40254BD1">
            <w:r>
              <w:rPr>
                <w:rStyle w:val="10"/>
                <w:rFonts w:hint="eastAsia"/>
              </w:rPr>
              <w:t>登记证持有人：</w:t>
            </w:r>
            <w:r>
              <w:rPr>
                <w:rFonts w:hint="eastAsia"/>
              </w:rPr>
              <w:t>山东奥坤作物科学股份有限公司</w:t>
            </w:r>
          </w:p>
        </w:tc>
      </w:tr>
      <w:tr w14:paraId="5117F101">
        <w:tblPrEx>
          <w:tblCellMar>
            <w:top w:w="0" w:type="dxa"/>
            <w:left w:w="0" w:type="dxa"/>
            <w:bottom w:w="0" w:type="dxa"/>
            <w:right w:w="0" w:type="dxa"/>
          </w:tblCellMar>
        </w:tblPrEx>
        <w:trPr>
          <w:wBefore w:w="0" w:type="auto"/>
          <w:tblCellSpacing w:w="0" w:type="dxa"/>
        </w:trPr>
        <w:tc>
          <w:tcPr>
            <w:tcW w:w="0" w:type="auto"/>
            <w:noWrap w:val="0"/>
            <w:vAlign w:val="center"/>
          </w:tcPr>
          <w:p w14:paraId="15217E81">
            <w:r>
              <w:rPr>
                <w:rStyle w:val="10"/>
                <w:rFonts w:hint="eastAsia"/>
              </w:rPr>
              <w:t>农药名称：</w:t>
            </w:r>
            <w:r>
              <w:rPr>
                <w:rFonts w:hint="eastAsia"/>
              </w:rPr>
              <w:t>滴酸·草甘膦</w:t>
            </w:r>
          </w:p>
        </w:tc>
      </w:tr>
      <w:tr w14:paraId="271C6EB6">
        <w:tblPrEx>
          <w:tblCellMar>
            <w:top w:w="0" w:type="dxa"/>
            <w:left w:w="0" w:type="dxa"/>
            <w:bottom w:w="0" w:type="dxa"/>
            <w:right w:w="0" w:type="dxa"/>
          </w:tblCellMar>
        </w:tblPrEx>
        <w:trPr>
          <w:wBefore w:w="0" w:type="auto"/>
          <w:tblCellSpacing w:w="0" w:type="dxa"/>
        </w:trPr>
        <w:tc>
          <w:tcPr>
            <w:tcW w:w="0" w:type="auto"/>
            <w:noWrap w:val="0"/>
            <w:vAlign w:val="center"/>
          </w:tcPr>
          <w:p w14:paraId="63C9F208">
            <w:r>
              <w:rPr>
                <w:rStyle w:val="10"/>
                <w:rFonts w:hint="eastAsia"/>
              </w:rPr>
              <w:t>剂型：</w:t>
            </w:r>
            <w:r>
              <w:rPr>
                <w:rFonts w:hint="eastAsia"/>
              </w:rPr>
              <w:t>可溶液剂</w:t>
            </w:r>
          </w:p>
        </w:tc>
      </w:tr>
      <w:tr w14:paraId="381E2B0A">
        <w:tblPrEx>
          <w:tblCellMar>
            <w:top w:w="0" w:type="dxa"/>
            <w:left w:w="0" w:type="dxa"/>
            <w:bottom w:w="0" w:type="dxa"/>
            <w:right w:w="0" w:type="dxa"/>
          </w:tblCellMar>
        </w:tblPrEx>
        <w:trPr>
          <w:wBefore w:w="0" w:type="auto"/>
          <w:tblCellSpacing w:w="0" w:type="dxa"/>
        </w:trPr>
        <w:tc>
          <w:tcPr>
            <w:tcW w:w="0" w:type="auto"/>
            <w:noWrap w:val="0"/>
            <w:vAlign w:val="center"/>
          </w:tcPr>
          <w:p w14:paraId="2B6885FD">
            <w:r>
              <w:rPr>
                <w:rStyle w:val="10"/>
                <w:rFonts w:hint="eastAsia"/>
              </w:rPr>
              <w:t>毒性及其标识：</w:t>
            </w:r>
            <w:r>
              <w:rPr>
                <w:rFonts w:hint="eastAsia"/>
              </w:rPr>
              <w:t xml:space="preserve"> 微毒 </w:t>
            </w:r>
          </w:p>
        </w:tc>
      </w:tr>
      <w:tr w14:paraId="3A4C2753">
        <w:tblPrEx>
          <w:tblCellMar>
            <w:top w:w="0" w:type="dxa"/>
            <w:left w:w="0" w:type="dxa"/>
            <w:bottom w:w="0" w:type="dxa"/>
            <w:right w:w="0" w:type="dxa"/>
          </w:tblCellMar>
        </w:tblPrEx>
        <w:trPr>
          <w:wBefore w:w="0" w:type="auto"/>
          <w:tblCellSpacing w:w="0" w:type="dxa"/>
        </w:trPr>
        <w:tc>
          <w:tcPr>
            <w:tcW w:w="0" w:type="auto"/>
            <w:noWrap w:val="0"/>
            <w:vAlign w:val="center"/>
          </w:tcPr>
          <w:p w14:paraId="2ADB1CDC">
            <w:r>
              <w:rPr>
                <w:rStyle w:val="10"/>
                <w:rFonts w:hint="eastAsia"/>
              </w:rPr>
              <w:t>总有效成分含量：</w:t>
            </w:r>
            <w:r>
              <w:rPr>
                <w:rFonts w:hint="eastAsia"/>
              </w:rPr>
              <w:t>32%</w:t>
            </w:r>
          </w:p>
        </w:tc>
      </w:tr>
      <w:tr w14:paraId="5001D85F">
        <w:tblPrEx>
          <w:tblCellMar>
            <w:top w:w="0" w:type="dxa"/>
            <w:left w:w="0" w:type="dxa"/>
            <w:bottom w:w="0" w:type="dxa"/>
            <w:right w:w="0" w:type="dxa"/>
          </w:tblCellMar>
        </w:tblPrEx>
        <w:trPr>
          <w:wBefore w:w="0" w:type="auto"/>
          <w:tblCellSpacing w:w="0" w:type="dxa"/>
        </w:trPr>
        <w:tc>
          <w:tcPr>
            <w:tcW w:w="0" w:type="auto"/>
            <w:noWrap w:val="0"/>
            <w:vAlign w:val="center"/>
          </w:tcPr>
          <w:p w14:paraId="2DCAD322">
            <w:r>
              <w:rPr>
                <w:rFonts w:hint="eastAsia"/>
              </w:rPr>
              <w:t xml:space="preserve">有效成分及其含量： </w:t>
            </w:r>
          </w:p>
          <w:p w14:paraId="39EB0D81">
            <w:r>
              <w:rPr>
                <w:rFonts w:hint="eastAsia"/>
              </w:rPr>
              <w:t xml:space="preserve">    草甘膦30%    2,4-滴2%    </w:t>
            </w:r>
          </w:p>
        </w:tc>
      </w:tr>
      <w:tr w14:paraId="634C86D7">
        <w:tblPrEx>
          <w:tblCellMar>
            <w:top w:w="0" w:type="dxa"/>
            <w:left w:w="0" w:type="dxa"/>
            <w:bottom w:w="0" w:type="dxa"/>
            <w:right w:w="0" w:type="dxa"/>
          </w:tblCellMar>
        </w:tblPrEx>
        <w:trPr>
          <w:wBefore w:w="0" w:type="auto"/>
          <w:tblCellSpacing w:w="0" w:type="dxa"/>
        </w:trPr>
        <w:tc>
          <w:tcPr>
            <w:tcW w:w="0" w:type="auto"/>
            <w:noWrap w:val="0"/>
            <w:vAlign w:val="center"/>
          </w:tcPr>
          <w:p w14:paraId="13F069E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C9A2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92F7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A0D1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1539F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16E6A7">
                  <w:r>
                    <w:rPr>
                      <w:rStyle w:val="11"/>
                      <w:rFonts w:hint="eastAsia"/>
                    </w:rPr>
                    <w:t>施用方式</w:t>
                  </w:r>
                </w:p>
              </w:tc>
            </w:tr>
            <w:tr w14:paraId="5C4531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B1653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4B0B7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72A4F">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3CEFE6">
                  <w:r>
                    <w:rPr>
                      <w:rStyle w:val="11"/>
                      <w:rFonts w:hint="eastAsia"/>
                    </w:rPr>
                    <w:t>茎叶喷雾</w:t>
                  </w:r>
                </w:p>
              </w:tc>
            </w:tr>
          </w:tbl>
          <w:p w14:paraId="6C876980">
            <w:pPr>
              <w:rPr>
                <w:rFonts w:ascii="Times New Roman" w:hAnsi="Times New Roman" w:cs="Times New Roman"/>
                <w:sz w:val="20"/>
                <w:szCs w:val="20"/>
              </w:rPr>
            </w:pPr>
          </w:p>
        </w:tc>
      </w:tr>
      <w:tr w14:paraId="26A0E72A">
        <w:tblPrEx>
          <w:tblCellMar>
            <w:top w:w="0" w:type="dxa"/>
            <w:left w:w="0" w:type="dxa"/>
            <w:bottom w:w="0" w:type="dxa"/>
            <w:right w:w="0" w:type="dxa"/>
          </w:tblCellMar>
        </w:tblPrEx>
        <w:trPr>
          <w:wBefore w:w="0" w:type="auto"/>
          <w:tblCellSpacing w:w="0" w:type="dxa"/>
        </w:trPr>
        <w:tc>
          <w:tcPr>
            <w:tcW w:w="0" w:type="auto"/>
            <w:noWrap w:val="0"/>
            <w:vAlign w:val="center"/>
          </w:tcPr>
          <w:p w14:paraId="2EE277C9">
            <w:r>
              <w:rPr>
                <w:rStyle w:val="10"/>
                <w:rFonts w:hint="eastAsia"/>
              </w:rPr>
              <w:t>使用技术要求:</w:t>
            </w:r>
            <w:r>
              <w:rPr>
                <w:rFonts w:hint="eastAsia"/>
              </w:rPr>
              <w:br w:type="textWrapping"/>
            </w:r>
            <w:r>
              <w:rPr>
                <w:rStyle w:val="11"/>
                <w:rFonts w:hint="eastAsia"/>
              </w:rPr>
              <w:t>1.于非耕地杂草生长旺盛期，茎叶喷雾施药。2. 选择晴好天气，按防治作物、用药量、使用方法、根据杂草的株高，调节喷头高度，喷雾时勿接触作物绿色部分，以免产生药害。3. 如施药后4小时内下雨，会影响药效，应酌情补喷。4. 禁止在田间道路、田埂、果树行间、休耕地、林场林地等农林业区域使用。</w:t>
            </w:r>
          </w:p>
        </w:tc>
      </w:tr>
      <w:tr w14:paraId="0C58C438">
        <w:tblPrEx>
          <w:tblCellMar>
            <w:top w:w="0" w:type="dxa"/>
            <w:left w:w="0" w:type="dxa"/>
            <w:bottom w:w="0" w:type="dxa"/>
            <w:right w:w="0" w:type="dxa"/>
          </w:tblCellMar>
        </w:tblPrEx>
        <w:trPr>
          <w:wBefore w:w="0" w:type="auto"/>
          <w:tblCellSpacing w:w="0" w:type="dxa"/>
        </w:trPr>
        <w:tc>
          <w:tcPr>
            <w:tcW w:w="0" w:type="auto"/>
            <w:noWrap w:val="0"/>
            <w:vAlign w:val="center"/>
          </w:tcPr>
          <w:p w14:paraId="2A40179F">
            <w:r>
              <w:rPr>
                <w:rStyle w:val="10"/>
                <w:rFonts w:hint="eastAsia"/>
              </w:rPr>
              <w:t>产品性能:</w:t>
            </w:r>
            <w:r>
              <w:rPr>
                <w:rFonts w:hint="eastAsia"/>
              </w:rPr>
              <w:br w:type="textWrapping"/>
            </w:r>
            <w:r>
              <w:rPr>
                <w:rStyle w:val="11"/>
                <w:rFonts w:hint="eastAsia"/>
              </w:rPr>
              <w:t>本品为草甘膦与2,4-滴复配制剂。通过杂草绿色茎叶部位吸收传导到杂草地下部分，使杂草蛋白质合成受到干扰导致杂草死亡，能有效防除非耕地一年生或多年生杂草。</w:t>
            </w:r>
          </w:p>
        </w:tc>
      </w:tr>
      <w:tr w14:paraId="3E12B5CA">
        <w:tblPrEx>
          <w:tblCellMar>
            <w:top w:w="0" w:type="dxa"/>
            <w:left w:w="0" w:type="dxa"/>
            <w:bottom w:w="0" w:type="dxa"/>
            <w:right w:w="0" w:type="dxa"/>
          </w:tblCellMar>
        </w:tblPrEx>
        <w:trPr>
          <w:wBefore w:w="0" w:type="auto"/>
          <w:tblCellSpacing w:w="0" w:type="dxa"/>
        </w:trPr>
        <w:tc>
          <w:tcPr>
            <w:tcW w:w="0" w:type="auto"/>
            <w:noWrap w:val="0"/>
            <w:vAlign w:val="center"/>
          </w:tcPr>
          <w:p w14:paraId="17B27419">
            <w:r>
              <w:rPr>
                <w:rStyle w:val="10"/>
                <w:rFonts w:hint="eastAsia"/>
              </w:rPr>
              <w:t>注意事项：</w:t>
            </w:r>
            <w:r>
              <w:rPr>
                <w:rFonts w:hint="eastAsia"/>
              </w:rPr>
              <w:br w:type="textWrapping"/>
            </w:r>
            <w:r>
              <w:rPr>
                <w:rStyle w:val="11"/>
                <w:rFonts w:hint="eastAsia"/>
              </w:rPr>
              <w:t>1. 药液用清水稀释，不得使用污水、混浊水，以免降低药效。2. 在异常情况条件下或推广使用，需请当地植保人员予以指导。3. 施用本品后5天内勿割草、放牧和翻地。4. 使用本品大面积灭草时，药后杂草与灌木成片干枯，应注意火灾发生。5.本品对眼睛、皮肤有刺激性，使用时避免接触眼睛、皮肤，穿戴长衣、长裤、帽子、口罩、手套等防护措施，施药期间不可吃东西和饮水。施药后应及时洗手和洗脸。禁止在河塘等水体清洗施药器具，蚕室及桑园附近禁用，赤眼蜂等天敌放飞区禁用。6. 孕妇和哺乳期妇女应避免接触。7. 用过的容器应妥善处理，不可做他用，也不可随意丢弃。8. 避免与氧化剂、还原剂接触。</w:t>
            </w:r>
          </w:p>
        </w:tc>
      </w:tr>
      <w:tr w14:paraId="41447903">
        <w:tblPrEx>
          <w:tblCellMar>
            <w:top w:w="0" w:type="dxa"/>
            <w:left w:w="0" w:type="dxa"/>
            <w:bottom w:w="0" w:type="dxa"/>
            <w:right w:w="0" w:type="dxa"/>
          </w:tblCellMar>
        </w:tblPrEx>
        <w:trPr>
          <w:wBefore w:w="0" w:type="auto"/>
          <w:tblCellSpacing w:w="0" w:type="dxa"/>
        </w:trPr>
        <w:tc>
          <w:tcPr>
            <w:tcW w:w="0" w:type="auto"/>
            <w:noWrap w:val="0"/>
            <w:vAlign w:val="center"/>
          </w:tcPr>
          <w:p w14:paraId="784D4CE1">
            <w:r>
              <w:rPr>
                <w:rStyle w:val="10"/>
                <w:rFonts w:hint="eastAsia"/>
              </w:rPr>
              <w:t>中毒急救措施：</w:t>
            </w:r>
            <w:r>
              <w:rPr>
                <w:rFonts w:hint="eastAsia"/>
              </w:rPr>
              <w:br w:type="textWrapping"/>
            </w:r>
            <w:r>
              <w:rPr>
                <w:rStyle w:val="11"/>
                <w:rFonts w:hint="eastAsia"/>
              </w:rPr>
              <w:t>中毒症状表现为对皮肤、眼睛和上呼吸道有刺激作用。误吞本品，立即催吐；若摄入量大，可用吐根糖浆诱吐，还可在服用的活性炭泥中加入山梨醇，并携此标签送医院诊治，无特殊解毒剂，对症治疗。不慎吸入：应将病人移至空气流通处；不慎眼睛溅入或接触皮肤，应用大量清水冲洗至少15分钟。</w:t>
            </w:r>
          </w:p>
        </w:tc>
      </w:tr>
      <w:tr w14:paraId="612F7955">
        <w:tblPrEx>
          <w:tblCellMar>
            <w:top w:w="0" w:type="dxa"/>
            <w:left w:w="0" w:type="dxa"/>
            <w:bottom w:w="0" w:type="dxa"/>
            <w:right w:w="0" w:type="dxa"/>
          </w:tblCellMar>
        </w:tblPrEx>
        <w:trPr>
          <w:wBefore w:w="0" w:type="auto"/>
          <w:tblCellSpacing w:w="0" w:type="dxa"/>
        </w:trPr>
        <w:tc>
          <w:tcPr>
            <w:tcW w:w="0" w:type="auto"/>
            <w:noWrap w:val="0"/>
            <w:vAlign w:val="center"/>
          </w:tcPr>
          <w:p w14:paraId="46FB906C">
            <w:r>
              <w:rPr>
                <w:rStyle w:val="10"/>
                <w:rFonts w:hint="eastAsia"/>
              </w:rPr>
              <w:t>储存和运输方法：</w:t>
            </w:r>
            <w:r>
              <w:rPr>
                <w:rFonts w:hint="eastAsia"/>
              </w:rPr>
              <w:br w:type="textWrapping"/>
            </w:r>
            <w:r>
              <w:rPr>
                <w:rStyle w:val="11"/>
                <w:rFonts w:hint="eastAsia"/>
              </w:rPr>
              <w:t>1. 本品应密封贮存在干燥、阴凉、通风、防雨处，远离火源或热源。2. 存放于儿童、无关人员触及不到之处，并加锁。3. 勿与食品、饮料、粮食、饲料等其他商品同贮同运。</w:t>
            </w:r>
          </w:p>
        </w:tc>
      </w:tr>
      <w:tr w14:paraId="4F44F513">
        <w:tblPrEx>
          <w:tblCellMar>
            <w:top w:w="0" w:type="dxa"/>
            <w:left w:w="0" w:type="dxa"/>
            <w:bottom w:w="0" w:type="dxa"/>
            <w:right w:w="0" w:type="dxa"/>
          </w:tblCellMar>
        </w:tblPrEx>
        <w:trPr>
          <w:wBefore w:w="0" w:type="auto"/>
          <w:tblCellSpacing w:w="0" w:type="dxa"/>
        </w:trPr>
        <w:tc>
          <w:tcPr>
            <w:tcW w:w="0" w:type="auto"/>
            <w:noWrap w:val="0"/>
            <w:vAlign w:val="center"/>
          </w:tcPr>
          <w:p w14:paraId="63BDE0C7">
            <w:r>
              <w:rPr>
                <w:rStyle w:val="10"/>
                <w:rFonts w:hint="eastAsia"/>
              </w:rPr>
              <w:t>质量保证期：</w:t>
            </w:r>
            <w:r>
              <w:rPr>
                <w:rStyle w:val="11"/>
                <w:rFonts w:hint="eastAsia"/>
              </w:rPr>
              <w:t>2年</w:t>
            </w:r>
          </w:p>
        </w:tc>
      </w:tr>
      <w:tr w14:paraId="1057466E">
        <w:tblPrEx>
          <w:tblCellMar>
            <w:top w:w="0" w:type="dxa"/>
            <w:left w:w="0" w:type="dxa"/>
            <w:bottom w:w="0" w:type="dxa"/>
            <w:right w:w="0" w:type="dxa"/>
          </w:tblCellMar>
        </w:tblPrEx>
        <w:trPr>
          <w:wBefore w:w="0" w:type="auto"/>
          <w:tblCellSpacing w:w="0" w:type="dxa"/>
        </w:trPr>
        <w:tc>
          <w:tcPr>
            <w:tcW w:w="0" w:type="auto"/>
            <w:noWrap w:val="0"/>
            <w:vAlign w:val="center"/>
          </w:tcPr>
          <w:p w14:paraId="171BD174">
            <w:r>
              <w:rPr>
                <w:rStyle w:val="10"/>
                <w:rFonts w:hint="eastAsia"/>
              </w:rPr>
              <w:t>备注：</w:t>
            </w:r>
            <w:r>
              <w:rPr>
                <w:rFonts w:hint="eastAsia"/>
              </w:rPr>
              <w:br w:type="textWrapping"/>
            </w:r>
            <w:r>
              <w:rPr>
                <w:rStyle w:val="11"/>
                <w:rFonts w:hint="eastAsia"/>
              </w:rPr>
              <w:t>草甘膦异丙胺盐40.6%；2,4-滴二甲胺盐2.4%。</w:t>
            </w:r>
          </w:p>
        </w:tc>
      </w:tr>
    </w:tbl>
    <w:p w14:paraId="6E4851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2AA19E">
        <w:tblPrEx>
          <w:tblCellMar>
            <w:top w:w="0" w:type="dxa"/>
            <w:left w:w="0" w:type="dxa"/>
            <w:bottom w:w="0" w:type="dxa"/>
            <w:right w:w="0" w:type="dxa"/>
          </w:tblCellMar>
        </w:tblPrEx>
        <w:trPr>
          <w:wBefore w:w="0" w:type="auto"/>
          <w:tblCellSpacing w:w="0" w:type="dxa"/>
        </w:trPr>
        <w:tc>
          <w:tcPr>
            <w:tcW w:w="0" w:type="auto"/>
            <w:noWrap w:val="0"/>
            <w:vAlign w:val="center"/>
          </w:tcPr>
          <w:p w14:paraId="70F49251">
            <w:r>
              <w:rPr>
                <w:rStyle w:val="10"/>
                <w:rFonts w:hint="eastAsia"/>
              </w:rPr>
              <w:t>登记证号：</w:t>
            </w:r>
            <w:r>
              <w:rPr>
                <w:rFonts w:hint="eastAsia"/>
              </w:rPr>
              <w:t>PD20212759</w:t>
            </w:r>
          </w:p>
        </w:tc>
      </w:tr>
      <w:tr w14:paraId="5B52DBE7">
        <w:tblPrEx>
          <w:tblCellMar>
            <w:top w:w="0" w:type="dxa"/>
            <w:left w:w="0" w:type="dxa"/>
            <w:bottom w:w="0" w:type="dxa"/>
            <w:right w:w="0" w:type="dxa"/>
          </w:tblCellMar>
        </w:tblPrEx>
        <w:trPr>
          <w:wBefore w:w="0" w:type="auto"/>
          <w:tblCellSpacing w:w="0" w:type="dxa"/>
        </w:trPr>
        <w:tc>
          <w:tcPr>
            <w:tcW w:w="0" w:type="auto"/>
            <w:noWrap w:val="0"/>
            <w:vAlign w:val="center"/>
          </w:tcPr>
          <w:p w14:paraId="4940D9B5">
            <w:r>
              <w:rPr>
                <w:rStyle w:val="10"/>
                <w:rFonts w:hint="eastAsia"/>
              </w:rPr>
              <w:t>登记证持有人：</w:t>
            </w:r>
            <w:r>
              <w:rPr>
                <w:rFonts w:hint="eastAsia"/>
              </w:rPr>
              <w:t>江西新瑞丰生化股份有限公司</w:t>
            </w:r>
          </w:p>
        </w:tc>
      </w:tr>
      <w:tr w14:paraId="66C9F975">
        <w:tblPrEx>
          <w:tblCellMar>
            <w:top w:w="0" w:type="dxa"/>
            <w:left w:w="0" w:type="dxa"/>
            <w:bottom w:w="0" w:type="dxa"/>
            <w:right w:w="0" w:type="dxa"/>
          </w:tblCellMar>
        </w:tblPrEx>
        <w:trPr>
          <w:wBefore w:w="0" w:type="auto"/>
          <w:tblCellSpacing w:w="0" w:type="dxa"/>
        </w:trPr>
        <w:tc>
          <w:tcPr>
            <w:tcW w:w="0" w:type="auto"/>
            <w:noWrap w:val="0"/>
            <w:vAlign w:val="center"/>
          </w:tcPr>
          <w:p w14:paraId="0F359902">
            <w:r>
              <w:rPr>
                <w:rStyle w:val="10"/>
                <w:rFonts w:hint="eastAsia"/>
              </w:rPr>
              <w:t>农药名称：</w:t>
            </w:r>
            <w:r>
              <w:rPr>
                <w:rFonts w:hint="eastAsia"/>
              </w:rPr>
              <w:t>S-诱抗素</w:t>
            </w:r>
          </w:p>
        </w:tc>
      </w:tr>
      <w:tr w14:paraId="56F12723">
        <w:tblPrEx>
          <w:tblCellMar>
            <w:top w:w="0" w:type="dxa"/>
            <w:left w:w="0" w:type="dxa"/>
            <w:bottom w:w="0" w:type="dxa"/>
            <w:right w:w="0" w:type="dxa"/>
          </w:tblCellMar>
        </w:tblPrEx>
        <w:trPr>
          <w:wBefore w:w="0" w:type="auto"/>
          <w:tblCellSpacing w:w="0" w:type="dxa"/>
        </w:trPr>
        <w:tc>
          <w:tcPr>
            <w:tcW w:w="0" w:type="auto"/>
            <w:noWrap w:val="0"/>
            <w:vAlign w:val="center"/>
          </w:tcPr>
          <w:p w14:paraId="69352C31">
            <w:r>
              <w:rPr>
                <w:rStyle w:val="10"/>
                <w:rFonts w:hint="eastAsia"/>
              </w:rPr>
              <w:t>剂型：</w:t>
            </w:r>
            <w:r>
              <w:rPr>
                <w:rFonts w:hint="eastAsia"/>
              </w:rPr>
              <w:t>可溶液剂</w:t>
            </w:r>
          </w:p>
        </w:tc>
      </w:tr>
      <w:tr w14:paraId="68994F34">
        <w:tblPrEx>
          <w:tblCellMar>
            <w:top w:w="0" w:type="dxa"/>
            <w:left w:w="0" w:type="dxa"/>
            <w:bottom w:w="0" w:type="dxa"/>
            <w:right w:w="0" w:type="dxa"/>
          </w:tblCellMar>
        </w:tblPrEx>
        <w:trPr>
          <w:wBefore w:w="0" w:type="auto"/>
          <w:tblCellSpacing w:w="0" w:type="dxa"/>
        </w:trPr>
        <w:tc>
          <w:tcPr>
            <w:tcW w:w="0" w:type="auto"/>
            <w:noWrap w:val="0"/>
            <w:vAlign w:val="center"/>
          </w:tcPr>
          <w:p w14:paraId="248DBAAB">
            <w:r>
              <w:rPr>
                <w:rStyle w:val="10"/>
                <w:rFonts w:hint="eastAsia"/>
              </w:rPr>
              <w:t>毒性及其标识：</w:t>
            </w:r>
            <w:r>
              <w:rPr>
                <w:rFonts w:hint="eastAsia"/>
              </w:rPr>
              <w:t xml:space="preserve"> 微毒 </w:t>
            </w:r>
          </w:p>
        </w:tc>
      </w:tr>
      <w:tr w14:paraId="387BC0A6">
        <w:tblPrEx>
          <w:tblCellMar>
            <w:top w:w="0" w:type="dxa"/>
            <w:left w:w="0" w:type="dxa"/>
            <w:bottom w:w="0" w:type="dxa"/>
            <w:right w:w="0" w:type="dxa"/>
          </w:tblCellMar>
        </w:tblPrEx>
        <w:trPr>
          <w:wBefore w:w="0" w:type="auto"/>
          <w:tblCellSpacing w:w="0" w:type="dxa"/>
        </w:trPr>
        <w:tc>
          <w:tcPr>
            <w:tcW w:w="0" w:type="auto"/>
            <w:noWrap w:val="0"/>
            <w:vAlign w:val="center"/>
          </w:tcPr>
          <w:p w14:paraId="00CB8942">
            <w:r>
              <w:rPr>
                <w:rStyle w:val="10"/>
                <w:rFonts w:hint="eastAsia"/>
              </w:rPr>
              <w:t>总有效成分含量：</w:t>
            </w:r>
            <w:r>
              <w:rPr>
                <w:rFonts w:hint="eastAsia"/>
              </w:rPr>
              <w:t>0.1%</w:t>
            </w:r>
          </w:p>
        </w:tc>
      </w:tr>
      <w:tr w14:paraId="2BA0811F">
        <w:tblPrEx>
          <w:tblCellMar>
            <w:top w:w="0" w:type="dxa"/>
            <w:left w:w="0" w:type="dxa"/>
            <w:bottom w:w="0" w:type="dxa"/>
            <w:right w:w="0" w:type="dxa"/>
          </w:tblCellMar>
        </w:tblPrEx>
        <w:trPr>
          <w:wBefore w:w="0" w:type="auto"/>
          <w:tblCellSpacing w:w="0" w:type="dxa"/>
        </w:trPr>
        <w:tc>
          <w:tcPr>
            <w:tcW w:w="0" w:type="auto"/>
            <w:noWrap w:val="0"/>
            <w:vAlign w:val="center"/>
          </w:tcPr>
          <w:p w14:paraId="4662B407">
            <w:r>
              <w:rPr>
                <w:rFonts w:hint="eastAsia"/>
              </w:rPr>
              <w:t xml:space="preserve">有效成分及其含量： </w:t>
            </w:r>
          </w:p>
          <w:p w14:paraId="1C38C697">
            <w:r>
              <w:rPr>
                <w:rFonts w:hint="eastAsia"/>
              </w:rPr>
              <w:t xml:space="preserve">    S-诱抗素0.1%    </w:t>
            </w:r>
          </w:p>
        </w:tc>
      </w:tr>
      <w:tr w14:paraId="3324C688">
        <w:tblPrEx>
          <w:tblCellMar>
            <w:top w:w="0" w:type="dxa"/>
            <w:left w:w="0" w:type="dxa"/>
            <w:bottom w:w="0" w:type="dxa"/>
            <w:right w:w="0" w:type="dxa"/>
          </w:tblCellMar>
        </w:tblPrEx>
        <w:trPr>
          <w:wBefore w:w="0" w:type="auto"/>
          <w:tblCellSpacing w:w="0" w:type="dxa"/>
        </w:trPr>
        <w:tc>
          <w:tcPr>
            <w:tcW w:w="0" w:type="auto"/>
            <w:noWrap w:val="0"/>
            <w:vAlign w:val="center"/>
          </w:tcPr>
          <w:p w14:paraId="233F3B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AED6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9065E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FA7BB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288B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DBC30B">
                  <w:r>
                    <w:rPr>
                      <w:rStyle w:val="11"/>
                      <w:rFonts w:hint="eastAsia"/>
                    </w:rPr>
                    <w:t>施用方式</w:t>
                  </w:r>
                </w:p>
              </w:tc>
            </w:tr>
            <w:tr w14:paraId="1AD859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380352">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75742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F565F6">
                  <w:r>
                    <w:rPr>
                      <w:rStyle w:val="11"/>
                      <w:rFonts w:hint="eastAsia"/>
                    </w:rPr>
                    <w:t>200-400倍液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D9B22A">
                  <w:r>
                    <w:rPr>
                      <w:rStyle w:val="11"/>
                      <w:rFonts w:hint="eastAsia"/>
                    </w:rPr>
                    <w:t>喷雾</w:t>
                  </w:r>
                </w:p>
              </w:tc>
            </w:tr>
          </w:tbl>
          <w:p w14:paraId="211532E2">
            <w:pPr>
              <w:rPr>
                <w:rFonts w:ascii="Times New Roman" w:hAnsi="Times New Roman" w:cs="Times New Roman"/>
                <w:sz w:val="20"/>
                <w:szCs w:val="20"/>
              </w:rPr>
            </w:pPr>
          </w:p>
        </w:tc>
      </w:tr>
      <w:tr w14:paraId="1B451CDC">
        <w:tblPrEx>
          <w:tblCellMar>
            <w:top w:w="0" w:type="dxa"/>
            <w:left w:w="0" w:type="dxa"/>
            <w:bottom w:w="0" w:type="dxa"/>
            <w:right w:w="0" w:type="dxa"/>
          </w:tblCellMar>
        </w:tblPrEx>
        <w:trPr>
          <w:wBefore w:w="0" w:type="auto"/>
          <w:tblCellSpacing w:w="0" w:type="dxa"/>
        </w:trPr>
        <w:tc>
          <w:tcPr>
            <w:tcW w:w="0" w:type="auto"/>
            <w:noWrap w:val="0"/>
            <w:vAlign w:val="center"/>
          </w:tcPr>
          <w:p w14:paraId="383F517D">
            <w:r>
              <w:rPr>
                <w:rStyle w:val="10"/>
                <w:rFonts w:hint="eastAsia"/>
              </w:rPr>
              <w:t>使用技术要求:</w:t>
            </w:r>
            <w:r>
              <w:rPr>
                <w:rFonts w:hint="eastAsia"/>
              </w:rPr>
              <w:br w:type="textWrapping"/>
            </w:r>
            <w:r>
              <w:rPr>
                <w:rStyle w:val="11"/>
                <w:rFonts w:hint="eastAsia"/>
              </w:rPr>
              <w:t>1. 在番茄幼苗期和移栽后7-10天喷雾施药各一次叶面喷施，注意喷雾均匀。2. 大风天或预计1小时内降雨，请勿施药。3. 本品在番茄上使用，每季作物最多使用2次。</w:t>
            </w:r>
          </w:p>
        </w:tc>
      </w:tr>
      <w:tr w14:paraId="5FE6F946">
        <w:tblPrEx>
          <w:tblCellMar>
            <w:top w:w="0" w:type="dxa"/>
            <w:left w:w="0" w:type="dxa"/>
            <w:bottom w:w="0" w:type="dxa"/>
            <w:right w:w="0" w:type="dxa"/>
          </w:tblCellMar>
        </w:tblPrEx>
        <w:trPr>
          <w:wBefore w:w="0" w:type="auto"/>
          <w:tblCellSpacing w:w="0" w:type="dxa"/>
        </w:trPr>
        <w:tc>
          <w:tcPr>
            <w:tcW w:w="0" w:type="auto"/>
            <w:noWrap w:val="0"/>
            <w:vAlign w:val="center"/>
          </w:tcPr>
          <w:p w14:paraId="419FBC3D">
            <w:r>
              <w:rPr>
                <w:rStyle w:val="10"/>
                <w:rFonts w:hint="eastAsia"/>
              </w:rPr>
              <w:t>产品性能:</w:t>
            </w:r>
            <w:r>
              <w:rPr>
                <w:rFonts w:hint="eastAsia"/>
              </w:rPr>
              <w:br w:type="textWrapping"/>
            </w:r>
            <w:r>
              <w:rPr>
                <w:rStyle w:val="11"/>
                <w:rFonts w:hint="eastAsia"/>
              </w:rPr>
              <w:t>S-诱抗素是一种天然植物生长调节剂，能提高植物光合效率，促进植物协调生长，增加营养物质的吸收与积累，对改善品质，提高产量有显著效果。施用本品能促进幼苗根系发育，移栽后返青快、成活率高，且植物整个生长期的抗逆性得到增强。产品为无色透明液体，有特殊气味。避免与氧化物接触。</w:t>
            </w:r>
          </w:p>
        </w:tc>
      </w:tr>
      <w:tr w14:paraId="7D66CC82">
        <w:tblPrEx>
          <w:tblCellMar>
            <w:top w:w="0" w:type="dxa"/>
            <w:left w:w="0" w:type="dxa"/>
            <w:bottom w:w="0" w:type="dxa"/>
            <w:right w:w="0" w:type="dxa"/>
          </w:tblCellMar>
        </w:tblPrEx>
        <w:trPr>
          <w:wBefore w:w="0" w:type="auto"/>
          <w:tblCellSpacing w:w="0" w:type="dxa"/>
        </w:trPr>
        <w:tc>
          <w:tcPr>
            <w:tcW w:w="0" w:type="auto"/>
            <w:noWrap w:val="0"/>
            <w:vAlign w:val="center"/>
          </w:tcPr>
          <w:p w14:paraId="1EB14A6E">
            <w:r>
              <w:rPr>
                <w:rStyle w:val="10"/>
                <w:rFonts w:hint="eastAsia"/>
              </w:rPr>
              <w:t>注意事项：</w:t>
            </w:r>
            <w:r>
              <w:rPr>
                <w:rFonts w:hint="eastAsia"/>
              </w:rPr>
              <w:br w:type="textWrapping"/>
            </w:r>
            <w:r>
              <w:rPr>
                <w:rStyle w:val="11"/>
                <w:rFonts w:hint="eastAsia"/>
              </w:rPr>
              <w:t>1. 忌与碱性农药混用，忌用碱性水（PH＞7.0）稀释本产品，稀释液中加入少量的食醋，效果会更好。 2. 请在阴天或晴天傍晚喷施，喷药后6小时内下雨应补喷。 3. 植株弱小时兑水量应取上限。 4. 避光保存，避免与氧化物接触，开启包装后最好一次性用完。 5. 使用本品时应穿戴防护服、口罩和手套等防护用具，避免吸入药液；施药期间不可吃东西、喝水和吸烟等；施药后应及时洗手和洗脸等。 6. 禁止河塘等水域内清洗施药器具或将清洗施药器具的废水倒入河流、池塘等水源。 7. 孕妇及哺乳期妇女避免接触此药。 8. 用过的容器应妥善处理，不可做它用，也不可随意丢弃。9. 避免与氧化剂接触。</w:t>
            </w:r>
          </w:p>
        </w:tc>
      </w:tr>
      <w:tr w14:paraId="39157F3D">
        <w:tblPrEx>
          <w:tblCellMar>
            <w:top w:w="0" w:type="dxa"/>
            <w:left w:w="0" w:type="dxa"/>
            <w:bottom w:w="0" w:type="dxa"/>
            <w:right w:w="0" w:type="dxa"/>
          </w:tblCellMar>
        </w:tblPrEx>
        <w:trPr>
          <w:wBefore w:w="0" w:type="auto"/>
          <w:tblCellSpacing w:w="0" w:type="dxa"/>
        </w:trPr>
        <w:tc>
          <w:tcPr>
            <w:tcW w:w="0" w:type="auto"/>
            <w:noWrap w:val="0"/>
            <w:vAlign w:val="center"/>
          </w:tcPr>
          <w:p w14:paraId="7B492FED">
            <w:r>
              <w:rPr>
                <w:rStyle w:val="10"/>
                <w:rFonts w:hint="eastAsia"/>
              </w:rPr>
              <w:t>中毒急救措施：</w:t>
            </w:r>
            <w:r>
              <w:rPr>
                <w:rFonts w:hint="eastAsia"/>
              </w:rPr>
              <w:br w:type="textWrapping"/>
            </w:r>
            <w:r>
              <w:rPr>
                <w:rStyle w:val="11"/>
                <w:rFonts w:hint="eastAsia"/>
              </w:rPr>
              <w:t>不慎吸入，应立即至空气流通处。不慎接触皮肤或溅入眼睛，应及时用肥皂和清水彻底冲洗干净。误服则携此标签将病人送医院请医生，对症诊治。</w:t>
            </w:r>
          </w:p>
        </w:tc>
      </w:tr>
      <w:tr w14:paraId="0BF49BC6">
        <w:tblPrEx>
          <w:tblCellMar>
            <w:top w:w="0" w:type="dxa"/>
            <w:left w:w="0" w:type="dxa"/>
            <w:bottom w:w="0" w:type="dxa"/>
            <w:right w:w="0" w:type="dxa"/>
          </w:tblCellMar>
        </w:tblPrEx>
        <w:trPr>
          <w:wBefore w:w="0" w:type="auto"/>
          <w:tblCellSpacing w:w="0" w:type="dxa"/>
        </w:trPr>
        <w:tc>
          <w:tcPr>
            <w:tcW w:w="0" w:type="auto"/>
            <w:noWrap w:val="0"/>
            <w:vAlign w:val="center"/>
          </w:tcPr>
          <w:p w14:paraId="43FA0C5B">
            <w:r>
              <w:rPr>
                <w:rStyle w:val="10"/>
                <w:rFonts w:hint="eastAsia"/>
              </w:rPr>
              <w:t>储存和运输方法：</w:t>
            </w:r>
            <w:r>
              <w:rPr>
                <w:rFonts w:hint="eastAsia"/>
              </w:rPr>
              <w:br w:type="textWrapping"/>
            </w:r>
            <w:r>
              <w:rPr>
                <w:rStyle w:val="11"/>
                <w:rFonts w:hint="eastAsia"/>
              </w:rPr>
              <w:t>本品应贮存在干燥、阴凉、通风、防雨处，本品为可燃液体，远离火源或热源。置于儿童、无关人员触及不到之处，并加锁保存。勿与粮食、食品、饮料、饲料等其他商品同贮同运。</w:t>
            </w:r>
          </w:p>
        </w:tc>
      </w:tr>
      <w:tr w14:paraId="6357C22E">
        <w:tblPrEx>
          <w:tblCellMar>
            <w:top w:w="0" w:type="dxa"/>
            <w:left w:w="0" w:type="dxa"/>
            <w:bottom w:w="0" w:type="dxa"/>
            <w:right w:w="0" w:type="dxa"/>
          </w:tblCellMar>
        </w:tblPrEx>
        <w:trPr>
          <w:wBefore w:w="0" w:type="auto"/>
          <w:tblCellSpacing w:w="0" w:type="dxa"/>
        </w:trPr>
        <w:tc>
          <w:tcPr>
            <w:tcW w:w="0" w:type="auto"/>
            <w:noWrap w:val="0"/>
            <w:vAlign w:val="center"/>
          </w:tcPr>
          <w:p w14:paraId="45A1EC2A">
            <w:r>
              <w:rPr>
                <w:rStyle w:val="10"/>
                <w:rFonts w:hint="eastAsia"/>
              </w:rPr>
              <w:t>质量保证期：</w:t>
            </w:r>
            <w:r>
              <w:rPr>
                <w:rStyle w:val="11"/>
                <w:rFonts w:hint="eastAsia"/>
              </w:rPr>
              <w:t>2年</w:t>
            </w:r>
          </w:p>
        </w:tc>
      </w:tr>
      <w:tr w14:paraId="2D4F4A0B">
        <w:tblPrEx>
          <w:tblCellMar>
            <w:top w:w="0" w:type="dxa"/>
            <w:left w:w="0" w:type="dxa"/>
            <w:bottom w:w="0" w:type="dxa"/>
            <w:right w:w="0" w:type="dxa"/>
          </w:tblCellMar>
        </w:tblPrEx>
        <w:trPr>
          <w:wBefore w:w="0" w:type="auto"/>
          <w:tblCellSpacing w:w="0" w:type="dxa"/>
        </w:trPr>
        <w:tc>
          <w:tcPr>
            <w:tcW w:w="0" w:type="auto"/>
            <w:noWrap w:val="0"/>
            <w:vAlign w:val="center"/>
          </w:tcPr>
          <w:p w14:paraId="3D3038B3">
            <w:r>
              <w:rPr>
                <w:rStyle w:val="10"/>
                <w:rFonts w:hint="eastAsia"/>
              </w:rPr>
              <w:t>备注：</w:t>
            </w:r>
          </w:p>
        </w:tc>
      </w:tr>
    </w:tbl>
    <w:p w14:paraId="53CA5F7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13569B">
        <w:tblPrEx>
          <w:tblCellMar>
            <w:top w:w="0" w:type="dxa"/>
            <w:left w:w="0" w:type="dxa"/>
            <w:bottom w:w="0" w:type="dxa"/>
            <w:right w:w="0" w:type="dxa"/>
          </w:tblCellMar>
        </w:tblPrEx>
        <w:trPr>
          <w:wBefore w:w="0" w:type="auto"/>
          <w:tblCellSpacing w:w="0" w:type="dxa"/>
        </w:trPr>
        <w:tc>
          <w:tcPr>
            <w:tcW w:w="0" w:type="auto"/>
            <w:noWrap w:val="0"/>
            <w:vAlign w:val="center"/>
          </w:tcPr>
          <w:p w14:paraId="1DC6D222">
            <w:r>
              <w:rPr>
                <w:rStyle w:val="10"/>
                <w:rFonts w:hint="eastAsia"/>
              </w:rPr>
              <w:t>登记证号：</w:t>
            </w:r>
            <w:r>
              <w:rPr>
                <w:rFonts w:hint="eastAsia"/>
              </w:rPr>
              <w:t>PD20212710</w:t>
            </w:r>
          </w:p>
        </w:tc>
      </w:tr>
      <w:tr w14:paraId="38C55058">
        <w:tblPrEx>
          <w:tblCellMar>
            <w:top w:w="0" w:type="dxa"/>
            <w:left w:w="0" w:type="dxa"/>
            <w:bottom w:w="0" w:type="dxa"/>
            <w:right w:w="0" w:type="dxa"/>
          </w:tblCellMar>
        </w:tblPrEx>
        <w:trPr>
          <w:wBefore w:w="0" w:type="auto"/>
          <w:tblCellSpacing w:w="0" w:type="dxa"/>
        </w:trPr>
        <w:tc>
          <w:tcPr>
            <w:tcW w:w="0" w:type="auto"/>
            <w:noWrap w:val="0"/>
            <w:vAlign w:val="center"/>
          </w:tcPr>
          <w:p w14:paraId="15166366">
            <w:r>
              <w:rPr>
                <w:rStyle w:val="10"/>
                <w:rFonts w:hint="eastAsia"/>
              </w:rPr>
              <w:t>登记证持有人：</w:t>
            </w:r>
            <w:r>
              <w:rPr>
                <w:rFonts w:hint="eastAsia"/>
              </w:rPr>
              <w:t>深圳诺普信农化股份有限公司</w:t>
            </w:r>
          </w:p>
        </w:tc>
      </w:tr>
      <w:tr w14:paraId="23D9FAEF">
        <w:tblPrEx>
          <w:tblCellMar>
            <w:top w:w="0" w:type="dxa"/>
            <w:left w:w="0" w:type="dxa"/>
            <w:bottom w:w="0" w:type="dxa"/>
            <w:right w:w="0" w:type="dxa"/>
          </w:tblCellMar>
        </w:tblPrEx>
        <w:trPr>
          <w:wBefore w:w="0" w:type="auto"/>
          <w:tblCellSpacing w:w="0" w:type="dxa"/>
        </w:trPr>
        <w:tc>
          <w:tcPr>
            <w:tcW w:w="0" w:type="auto"/>
            <w:noWrap w:val="0"/>
            <w:vAlign w:val="center"/>
          </w:tcPr>
          <w:p w14:paraId="2241D282">
            <w:r>
              <w:rPr>
                <w:rStyle w:val="10"/>
                <w:rFonts w:hint="eastAsia"/>
              </w:rPr>
              <w:t>农药名称：</w:t>
            </w:r>
            <w:r>
              <w:rPr>
                <w:rFonts w:hint="eastAsia"/>
              </w:rPr>
              <w:t>唑醚·啶酰菌</w:t>
            </w:r>
          </w:p>
        </w:tc>
      </w:tr>
      <w:tr w14:paraId="7BA568AA">
        <w:tblPrEx>
          <w:tblCellMar>
            <w:top w:w="0" w:type="dxa"/>
            <w:left w:w="0" w:type="dxa"/>
            <w:bottom w:w="0" w:type="dxa"/>
            <w:right w:w="0" w:type="dxa"/>
          </w:tblCellMar>
        </w:tblPrEx>
        <w:trPr>
          <w:wBefore w:w="0" w:type="auto"/>
          <w:tblCellSpacing w:w="0" w:type="dxa"/>
        </w:trPr>
        <w:tc>
          <w:tcPr>
            <w:tcW w:w="0" w:type="auto"/>
            <w:noWrap w:val="0"/>
            <w:vAlign w:val="center"/>
          </w:tcPr>
          <w:p w14:paraId="70256838">
            <w:r>
              <w:rPr>
                <w:rStyle w:val="10"/>
                <w:rFonts w:hint="eastAsia"/>
              </w:rPr>
              <w:t>剂型：</w:t>
            </w:r>
            <w:r>
              <w:rPr>
                <w:rFonts w:hint="eastAsia"/>
              </w:rPr>
              <w:t>水分散粒剂</w:t>
            </w:r>
          </w:p>
        </w:tc>
      </w:tr>
      <w:tr w14:paraId="307BF3E0">
        <w:tblPrEx>
          <w:tblCellMar>
            <w:top w:w="0" w:type="dxa"/>
            <w:left w:w="0" w:type="dxa"/>
            <w:bottom w:w="0" w:type="dxa"/>
            <w:right w:w="0" w:type="dxa"/>
          </w:tblCellMar>
        </w:tblPrEx>
        <w:trPr>
          <w:wBefore w:w="0" w:type="auto"/>
          <w:tblCellSpacing w:w="0" w:type="dxa"/>
        </w:trPr>
        <w:tc>
          <w:tcPr>
            <w:tcW w:w="0" w:type="auto"/>
            <w:noWrap w:val="0"/>
            <w:vAlign w:val="center"/>
          </w:tcPr>
          <w:p w14:paraId="7032A262">
            <w:r>
              <w:rPr>
                <w:rStyle w:val="10"/>
                <w:rFonts w:hint="eastAsia"/>
              </w:rPr>
              <w:t>毒性及其标识：</w:t>
            </w:r>
            <w:r>
              <w:rPr>
                <w:rFonts w:hint="eastAsia"/>
              </w:rPr>
              <w:t xml:space="preserve"> </w:t>
            </w:r>
            <w:r>
              <w:rPr>
                <w:lang/>
              </w:rPr>
              <w:drawing>
                <wp:inline distT="0" distB="0" distL="114300" distR="114300">
                  <wp:extent cx="476250" cy="323850"/>
                  <wp:effectExtent l="0" t="0" r="0" b="0"/>
                  <wp:docPr id="31" name="图片 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B00173">
        <w:tblPrEx>
          <w:tblCellMar>
            <w:top w:w="0" w:type="dxa"/>
            <w:left w:w="0" w:type="dxa"/>
            <w:bottom w:w="0" w:type="dxa"/>
            <w:right w:w="0" w:type="dxa"/>
          </w:tblCellMar>
        </w:tblPrEx>
        <w:trPr>
          <w:wBefore w:w="0" w:type="auto"/>
          <w:tblCellSpacing w:w="0" w:type="dxa"/>
        </w:trPr>
        <w:tc>
          <w:tcPr>
            <w:tcW w:w="0" w:type="auto"/>
            <w:noWrap w:val="0"/>
            <w:vAlign w:val="center"/>
          </w:tcPr>
          <w:p w14:paraId="48360A94">
            <w:r>
              <w:rPr>
                <w:rStyle w:val="10"/>
                <w:rFonts w:hint="eastAsia"/>
              </w:rPr>
              <w:t>总有效成分含量：</w:t>
            </w:r>
            <w:r>
              <w:rPr>
                <w:rFonts w:hint="eastAsia"/>
              </w:rPr>
              <w:t>38%</w:t>
            </w:r>
          </w:p>
        </w:tc>
      </w:tr>
      <w:tr w14:paraId="5994C2D0">
        <w:tblPrEx>
          <w:tblCellMar>
            <w:top w:w="0" w:type="dxa"/>
            <w:left w:w="0" w:type="dxa"/>
            <w:bottom w:w="0" w:type="dxa"/>
            <w:right w:w="0" w:type="dxa"/>
          </w:tblCellMar>
        </w:tblPrEx>
        <w:trPr>
          <w:wBefore w:w="0" w:type="auto"/>
          <w:tblCellSpacing w:w="0" w:type="dxa"/>
        </w:trPr>
        <w:tc>
          <w:tcPr>
            <w:tcW w:w="0" w:type="auto"/>
            <w:noWrap w:val="0"/>
            <w:vAlign w:val="center"/>
          </w:tcPr>
          <w:p w14:paraId="4D1C6F22">
            <w:r>
              <w:rPr>
                <w:rFonts w:hint="eastAsia"/>
              </w:rPr>
              <w:t xml:space="preserve">有效成分及其含量： </w:t>
            </w:r>
          </w:p>
          <w:p w14:paraId="6F88702C">
            <w:r>
              <w:rPr>
                <w:rFonts w:hint="eastAsia"/>
              </w:rPr>
              <w:t xml:space="preserve">    吡唑醚菌酯12.8%    啶酰菌胺25.2%    </w:t>
            </w:r>
          </w:p>
        </w:tc>
      </w:tr>
      <w:tr w14:paraId="487C8A54">
        <w:tblPrEx>
          <w:tblCellMar>
            <w:top w:w="0" w:type="dxa"/>
            <w:left w:w="0" w:type="dxa"/>
            <w:bottom w:w="0" w:type="dxa"/>
            <w:right w:w="0" w:type="dxa"/>
          </w:tblCellMar>
        </w:tblPrEx>
        <w:trPr>
          <w:wBefore w:w="0" w:type="auto"/>
          <w:tblCellSpacing w:w="0" w:type="dxa"/>
        </w:trPr>
        <w:tc>
          <w:tcPr>
            <w:tcW w:w="0" w:type="auto"/>
            <w:noWrap w:val="0"/>
            <w:vAlign w:val="center"/>
          </w:tcPr>
          <w:p w14:paraId="6DF5910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0B7E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4F525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8055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E42F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988F78">
                  <w:r>
                    <w:rPr>
                      <w:rStyle w:val="11"/>
                      <w:rFonts w:hint="eastAsia"/>
                    </w:rPr>
                    <w:t>施用方式</w:t>
                  </w:r>
                </w:p>
              </w:tc>
            </w:tr>
            <w:tr w14:paraId="3C62EF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FBCEC2">
                  <w:r>
                    <w:rPr>
                      <w:rStyle w:val="11"/>
                      <w:rFonts w:hint="eastAsia"/>
                    </w:rPr>
                    <w:t>草莓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5F821F">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BDA018">
                  <w:r>
                    <w:rPr>
                      <w:rStyle w:val="11"/>
                      <w:rFonts w:hint="eastAsia"/>
                    </w:rPr>
                    <w:t>50-60克/亩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BA1B05">
                  <w:r>
                    <w:rPr>
                      <w:rStyle w:val="11"/>
                      <w:rFonts w:hint="eastAsia"/>
                    </w:rPr>
                    <w:t>喷雾</w:t>
                  </w:r>
                </w:p>
              </w:tc>
            </w:tr>
          </w:tbl>
          <w:p w14:paraId="0548AE5E">
            <w:pPr>
              <w:rPr>
                <w:rFonts w:ascii="Times New Roman" w:hAnsi="Times New Roman" w:cs="Times New Roman"/>
                <w:sz w:val="20"/>
                <w:szCs w:val="20"/>
              </w:rPr>
            </w:pPr>
          </w:p>
        </w:tc>
      </w:tr>
      <w:tr w14:paraId="4E347A50">
        <w:tblPrEx>
          <w:tblCellMar>
            <w:top w:w="0" w:type="dxa"/>
            <w:left w:w="0" w:type="dxa"/>
            <w:bottom w:w="0" w:type="dxa"/>
            <w:right w:w="0" w:type="dxa"/>
          </w:tblCellMar>
        </w:tblPrEx>
        <w:trPr>
          <w:wBefore w:w="0" w:type="auto"/>
          <w:tblCellSpacing w:w="0" w:type="dxa"/>
        </w:trPr>
        <w:tc>
          <w:tcPr>
            <w:tcW w:w="0" w:type="auto"/>
            <w:noWrap w:val="0"/>
            <w:vAlign w:val="center"/>
          </w:tcPr>
          <w:p w14:paraId="33F0982C">
            <w:r>
              <w:rPr>
                <w:rStyle w:val="10"/>
                <w:rFonts w:hint="eastAsia"/>
              </w:rPr>
              <w:t>使用技术要求:</w:t>
            </w:r>
            <w:r>
              <w:rPr>
                <w:rFonts w:hint="eastAsia"/>
              </w:rPr>
              <w:br w:type="textWrapping"/>
            </w:r>
            <w:r>
              <w:rPr>
                <w:rStyle w:val="11"/>
                <w:rFonts w:hint="eastAsia"/>
              </w:rPr>
              <w:t>1. 草莓灰霉病发生前或发生初期施药，对叶面均匀喷雾，视病害发展情况，连续施药2-3次，施药间隔7-10天。2.大风天或预计1小时内降雨，请勿施药。3.在草莓上每季最多使用3次，安全间隔期7天。</w:t>
            </w:r>
          </w:p>
        </w:tc>
      </w:tr>
      <w:tr w14:paraId="5DD476B3">
        <w:tblPrEx>
          <w:tblCellMar>
            <w:top w:w="0" w:type="dxa"/>
            <w:left w:w="0" w:type="dxa"/>
            <w:bottom w:w="0" w:type="dxa"/>
            <w:right w:w="0" w:type="dxa"/>
          </w:tblCellMar>
        </w:tblPrEx>
        <w:trPr>
          <w:wBefore w:w="0" w:type="auto"/>
          <w:tblCellSpacing w:w="0" w:type="dxa"/>
        </w:trPr>
        <w:tc>
          <w:tcPr>
            <w:tcW w:w="0" w:type="auto"/>
            <w:noWrap w:val="0"/>
            <w:vAlign w:val="center"/>
          </w:tcPr>
          <w:p w14:paraId="41FECBB8">
            <w:r>
              <w:rPr>
                <w:rStyle w:val="10"/>
                <w:rFonts w:hint="eastAsia"/>
              </w:rPr>
              <w:t>产品性能:</w:t>
            </w:r>
            <w:r>
              <w:rPr>
                <w:rFonts w:hint="eastAsia"/>
              </w:rPr>
              <w:br w:type="textWrapping"/>
            </w:r>
            <w:r>
              <w:rPr>
                <w:rStyle w:val="11"/>
                <w:rFonts w:hint="eastAsia"/>
              </w:rPr>
              <w:t>吡唑醚菌酯是甲氧基丙烯酸酯类成分，作用速度快，兼具治疗作用和预防作用，且持效期长；同时，吡唑醚菌酯还能改善和增强作物的抗逆性。啶酰菌胺是新型烟酰胺类杀菌剂，可以抑制病原菌的呼吸作用。二者混配后兼具保护和治疗作用，能有效防治草莓灰霉病。</w:t>
            </w:r>
          </w:p>
        </w:tc>
      </w:tr>
      <w:tr w14:paraId="60452214">
        <w:tblPrEx>
          <w:tblCellMar>
            <w:top w:w="0" w:type="dxa"/>
            <w:left w:w="0" w:type="dxa"/>
            <w:bottom w:w="0" w:type="dxa"/>
            <w:right w:w="0" w:type="dxa"/>
          </w:tblCellMar>
        </w:tblPrEx>
        <w:trPr>
          <w:wBefore w:w="0" w:type="auto"/>
          <w:tblCellSpacing w:w="0" w:type="dxa"/>
        </w:trPr>
        <w:tc>
          <w:tcPr>
            <w:tcW w:w="0" w:type="auto"/>
            <w:noWrap w:val="0"/>
            <w:vAlign w:val="center"/>
          </w:tcPr>
          <w:p w14:paraId="0E877A6D">
            <w:r>
              <w:rPr>
                <w:rStyle w:val="10"/>
                <w:rFonts w:hint="eastAsia"/>
              </w:rPr>
              <w:t>注意事项：</w:t>
            </w:r>
            <w:r>
              <w:rPr>
                <w:rFonts w:hint="eastAsia"/>
              </w:rPr>
              <w:br w:type="textWrapping"/>
            </w:r>
            <w:r>
              <w:rPr>
                <w:rStyle w:val="11"/>
                <w:rFonts w:hint="eastAsia"/>
              </w:rPr>
              <w:t>1.配药和施药时，穿戴长衣、长裤、帽子、口罩、手套等安全防护措施，以避免污染皮肤和眼睛，施药完毕后应及时换洗衣物，洗净手、脸和被污染的皮肤。2.施药前、后要彻底清洗喷药器械，禁止在河塘等水域中清洗施药器具，未用完的药剂应密封后妥善放置，药液及其废液不得污染各类水域、土壤等环境。3.开启封口应小心药粉喷出，用过的容器和废弃包装应妥善处理，不可随意丢弃或作他用。4.水产养殖区、河塘等水体附近禁用，桑园及蚕室附近禁用，瓢虫等天敌放飞区域禁用。5.孕妇及哺乳期妇女禁止接触本品。</w:t>
            </w:r>
          </w:p>
        </w:tc>
      </w:tr>
      <w:tr w14:paraId="1FEC3734">
        <w:tblPrEx>
          <w:tblCellMar>
            <w:top w:w="0" w:type="dxa"/>
            <w:left w:w="0" w:type="dxa"/>
            <w:bottom w:w="0" w:type="dxa"/>
            <w:right w:w="0" w:type="dxa"/>
          </w:tblCellMar>
        </w:tblPrEx>
        <w:trPr>
          <w:wBefore w:w="0" w:type="auto"/>
          <w:tblCellSpacing w:w="0" w:type="dxa"/>
        </w:trPr>
        <w:tc>
          <w:tcPr>
            <w:tcW w:w="0" w:type="auto"/>
            <w:noWrap w:val="0"/>
            <w:vAlign w:val="center"/>
          </w:tcPr>
          <w:p w14:paraId="42BE575B">
            <w:r>
              <w:rPr>
                <w:rStyle w:val="10"/>
                <w:rFonts w:hint="eastAsia"/>
              </w:rPr>
              <w:t>中毒急救措施：</w:t>
            </w:r>
            <w:r>
              <w:rPr>
                <w:rFonts w:hint="eastAsia"/>
              </w:rPr>
              <w:br w:type="textWrapping"/>
            </w:r>
            <w:r>
              <w:rPr>
                <w:rStyle w:val="11"/>
                <w:rFonts w:hint="eastAsia"/>
              </w:rPr>
              <w:t>中毒症状：无明显中毒症状。 眼睛溅入∶立刻用大量清水冲洗15-20分钟，如仍感觉不适，应当尽快携此标签去医院诊治。 皮肤沾附∶脱去污染的衣物，用软布去除皮肤上沾染农药，然后用肥皂水和清水冲洗；误吸：转移至空气清新处，如仍感不适需请医生治疗。 误食∶不要自行引吐，携标签送医诊治。无特殊解毒药，请对症治疗。</w:t>
            </w:r>
          </w:p>
        </w:tc>
      </w:tr>
      <w:tr w14:paraId="3C56E9E5">
        <w:tblPrEx>
          <w:tblCellMar>
            <w:top w:w="0" w:type="dxa"/>
            <w:left w:w="0" w:type="dxa"/>
            <w:bottom w:w="0" w:type="dxa"/>
            <w:right w:w="0" w:type="dxa"/>
          </w:tblCellMar>
        </w:tblPrEx>
        <w:trPr>
          <w:wBefore w:w="0" w:type="auto"/>
          <w:tblCellSpacing w:w="0" w:type="dxa"/>
        </w:trPr>
        <w:tc>
          <w:tcPr>
            <w:tcW w:w="0" w:type="auto"/>
            <w:noWrap w:val="0"/>
            <w:vAlign w:val="center"/>
          </w:tcPr>
          <w:p w14:paraId="39888D56">
            <w:r>
              <w:rPr>
                <w:rStyle w:val="10"/>
                <w:rFonts w:hint="eastAsia"/>
              </w:rPr>
              <w:t>储存和运输方法：</w:t>
            </w:r>
            <w:r>
              <w:rPr>
                <w:rFonts w:hint="eastAsia"/>
              </w:rPr>
              <w:br w:type="textWrapping"/>
            </w:r>
            <w:r>
              <w:rPr>
                <w:rStyle w:val="11"/>
                <w:rFonts w:hint="eastAsia"/>
              </w:rPr>
              <w:t>本品储存应注意阴凉、干燥、通风，远离热源火源，不能与食品、饮料、粮食、饲料等物品同储同运。远离儿童无关人员及家畜并加锁，以免误服。避免与皮肤、眼睛接触。装卸运输时注意检查包装是否密封完整，轻拿轻放，不可倒置。</w:t>
            </w:r>
          </w:p>
        </w:tc>
      </w:tr>
      <w:tr w14:paraId="1A08DB74">
        <w:tblPrEx>
          <w:tblCellMar>
            <w:top w:w="0" w:type="dxa"/>
            <w:left w:w="0" w:type="dxa"/>
            <w:bottom w:w="0" w:type="dxa"/>
            <w:right w:w="0" w:type="dxa"/>
          </w:tblCellMar>
        </w:tblPrEx>
        <w:trPr>
          <w:wBefore w:w="0" w:type="auto"/>
          <w:tblCellSpacing w:w="0" w:type="dxa"/>
        </w:trPr>
        <w:tc>
          <w:tcPr>
            <w:tcW w:w="0" w:type="auto"/>
            <w:noWrap w:val="0"/>
            <w:vAlign w:val="center"/>
          </w:tcPr>
          <w:p w14:paraId="103117E6">
            <w:r>
              <w:rPr>
                <w:rStyle w:val="10"/>
                <w:rFonts w:hint="eastAsia"/>
              </w:rPr>
              <w:t>质量保证期：</w:t>
            </w:r>
            <w:r>
              <w:rPr>
                <w:rStyle w:val="11"/>
                <w:rFonts w:hint="eastAsia"/>
              </w:rPr>
              <w:t>2年</w:t>
            </w:r>
          </w:p>
        </w:tc>
      </w:tr>
      <w:tr w14:paraId="0CE1DF27">
        <w:tblPrEx>
          <w:tblCellMar>
            <w:top w:w="0" w:type="dxa"/>
            <w:left w:w="0" w:type="dxa"/>
            <w:bottom w:w="0" w:type="dxa"/>
            <w:right w:w="0" w:type="dxa"/>
          </w:tblCellMar>
        </w:tblPrEx>
        <w:trPr>
          <w:wBefore w:w="0" w:type="auto"/>
          <w:tblCellSpacing w:w="0" w:type="dxa"/>
        </w:trPr>
        <w:tc>
          <w:tcPr>
            <w:tcW w:w="0" w:type="auto"/>
            <w:noWrap w:val="0"/>
            <w:vAlign w:val="center"/>
          </w:tcPr>
          <w:p w14:paraId="3F00489F">
            <w:r>
              <w:rPr>
                <w:rStyle w:val="10"/>
                <w:rFonts w:hint="eastAsia"/>
              </w:rPr>
              <w:t>备注：</w:t>
            </w:r>
          </w:p>
        </w:tc>
      </w:tr>
    </w:tbl>
    <w:p w14:paraId="5E2166F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A03FC6">
        <w:tblPrEx>
          <w:tblCellMar>
            <w:top w:w="0" w:type="dxa"/>
            <w:left w:w="0" w:type="dxa"/>
            <w:bottom w:w="0" w:type="dxa"/>
            <w:right w:w="0" w:type="dxa"/>
          </w:tblCellMar>
        </w:tblPrEx>
        <w:trPr>
          <w:wBefore w:w="0" w:type="auto"/>
          <w:tblCellSpacing w:w="0" w:type="dxa"/>
        </w:trPr>
        <w:tc>
          <w:tcPr>
            <w:tcW w:w="0" w:type="auto"/>
            <w:noWrap w:val="0"/>
            <w:vAlign w:val="center"/>
          </w:tcPr>
          <w:p w14:paraId="49697212">
            <w:r>
              <w:rPr>
                <w:rStyle w:val="10"/>
                <w:rFonts w:hint="eastAsia"/>
              </w:rPr>
              <w:t>登记证号：</w:t>
            </w:r>
            <w:r>
              <w:rPr>
                <w:rFonts w:hint="eastAsia"/>
              </w:rPr>
              <w:t>PD20212714</w:t>
            </w:r>
          </w:p>
        </w:tc>
      </w:tr>
      <w:tr w14:paraId="054EA831">
        <w:tblPrEx>
          <w:tblCellMar>
            <w:top w:w="0" w:type="dxa"/>
            <w:left w:w="0" w:type="dxa"/>
            <w:bottom w:w="0" w:type="dxa"/>
            <w:right w:w="0" w:type="dxa"/>
          </w:tblCellMar>
        </w:tblPrEx>
        <w:trPr>
          <w:wBefore w:w="0" w:type="auto"/>
          <w:tblCellSpacing w:w="0" w:type="dxa"/>
        </w:trPr>
        <w:tc>
          <w:tcPr>
            <w:tcW w:w="0" w:type="auto"/>
            <w:noWrap w:val="0"/>
            <w:vAlign w:val="center"/>
          </w:tcPr>
          <w:p w14:paraId="4F61D3C0">
            <w:r>
              <w:rPr>
                <w:rStyle w:val="10"/>
                <w:rFonts w:hint="eastAsia"/>
              </w:rPr>
              <w:t>登记证持有人：</w:t>
            </w:r>
            <w:r>
              <w:rPr>
                <w:rFonts w:hint="eastAsia"/>
              </w:rPr>
              <w:t>江西绿川生物科技实业有限公司</w:t>
            </w:r>
          </w:p>
        </w:tc>
      </w:tr>
      <w:tr w14:paraId="446765DD">
        <w:tblPrEx>
          <w:tblCellMar>
            <w:top w:w="0" w:type="dxa"/>
            <w:left w:w="0" w:type="dxa"/>
            <w:bottom w:w="0" w:type="dxa"/>
            <w:right w:w="0" w:type="dxa"/>
          </w:tblCellMar>
        </w:tblPrEx>
        <w:trPr>
          <w:wBefore w:w="0" w:type="auto"/>
          <w:tblCellSpacing w:w="0" w:type="dxa"/>
        </w:trPr>
        <w:tc>
          <w:tcPr>
            <w:tcW w:w="0" w:type="auto"/>
            <w:noWrap w:val="0"/>
            <w:vAlign w:val="center"/>
          </w:tcPr>
          <w:p w14:paraId="049C7E70">
            <w:r>
              <w:rPr>
                <w:rStyle w:val="10"/>
                <w:rFonts w:hint="eastAsia"/>
              </w:rPr>
              <w:t>农药名称：</w:t>
            </w:r>
            <w:r>
              <w:rPr>
                <w:rFonts w:hint="eastAsia"/>
              </w:rPr>
              <w:t>苯甲·吡唑酯</w:t>
            </w:r>
          </w:p>
        </w:tc>
      </w:tr>
      <w:tr w14:paraId="27095AF2">
        <w:tblPrEx>
          <w:tblCellMar>
            <w:top w:w="0" w:type="dxa"/>
            <w:left w:w="0" w:type="dxa"/>
            <w:bottom w:w="0" w:type="dxa"/>
            <w:right w:w="0" w:type="dxa"/>
          </w:tblCellMar>
        </w:tblPrEx>
        <w:trPr>
          <w:wBefore w:w="0" w:type="auto"/>
          <w:tblCellSpacing w:w="0" w:type="dxa"/>
        </w:trPr>
        <w:tc>
          <w:tcPr>
            <w:tcW w:w="0" w:type="auto"/>
            <w:noWrap w:val="0"/>
            <w:vAlign w:val="center"/>
          </w:tcPr>
          <w:p w14:paraId="470F6551">
            <w:r>
              <w:rPr>
                <w:rStyle w:val="10"/>
                <w:rFonts w:hint="eastAsia"/>
              </w:rPr>
              <w:t>剂型：</w:t>
            </w:r>
            <w:r>
              <w:rPr>
                <w:rFonts w:hint="eastAsia"/>
              </w:rPr>
              <w:t>悬浮剂</w:t>
            </w:r>
          </w:p>
        </w:tc>
      </w:tr>
      <w:tr w14:paraId="09077501">
        <w:tblPrEx>
          <w:tblCellMar>
            <w:top w:w="0" w:type="dxa"/>
            <w:left w:w="0" w:type="dxa"/>
            <w:bottom w:w="0" w:type="dxa"/>
            <w:right w:w="0" w:type="dxa"/>
          </w:tblCellMar>
        </w:tblPrEx>
        <w:trPr>
          <w:wBefore w:w="0" w:type="auto"/>
          <w:tblCellSpacing w:w="0" w:type="dxa"/>
        </w:trPr>
        <w:tc>
          <w:tcPr>
            <w:tcW w:w="0" w:type="auto"/>
            <w:noWrap w:val="0"/>
            <w:vAlign w:val="center"/>
          </w:tcPr>
          <w:p w14:paraId="0B6D365D">
            <w:r>
              <w:rPr>
                <w:rStyle w:val="10"/>
                <w:rFonts w:hint="eastAsia"/>
              </w:rPr>
              <w:t>毒性及其标识：</w:t>
            </w:r>
            <w:r>
              <w:rPr>
                <w:rFonts w:hint="eastAsia"/>
              </w:rPr>
              <w:t xml:space="preserve"> </w:t>
            </w:r>
            <w:r>
              <w:rPr>
                <w:lang/>
              </w:rPr>
              <w:drawing>
                <wp:inline distT="0" distB="0" distL="114300" distR="114300">
                  <wp:extent cx="476250" cy="323850"/>
                  <wp:effectExtent l="0" t="0" r="0" b="0"/>
                  <wp:docPr id="32" name="图片 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F12C34">
        <w:tblPrEx>
          <w:tblCellMar>
            <w:top w:w="0" w:type="dxa"/>
            <w:left w:w="0" w:type="dxa"/>
            <w:bottom w:w="0" w:type="dxa"/>
            <w:right w:w="0" w:type="dxa"/>
          </w:tblCellMar>
        </w:tblPrEx>
        <w:trPr>
          <w:wBefore w:w="0" w:type="auto"/>
          <w:tblCellSpacing w:w="0" w:type="dxa"/>
        </w:trPr>
        <w:tc>
          <w:tcPr>
            <w:tcW w:w="0" w:type="auto"/>
            <w:noWrap w:val="0"/>
            <w:vAlign w:val="center"/>
          </w:tcPr>
          <w:p w14:paraId="4315D142">
            <w:r>
              <w:rPr>
                <w:rStyle w:val="10"/>
                <w:rFonts w:hint="eastAsia"/>
              </w:rPr>
              <w:t>总有效成分含量：</w:t>
            </w:r>
            <w:r>
              <w:rPr>
                <w:rFonts w:hint="eastAsia"/>
              </w:rPr>
              <w:t>40%</w:t>
            </w:r>
          </w:p>
        </w:tc>
      </w:tr>
      <w:tr w14:paraId="08D89CD6">
        <w:tblPrEx>
          <w:tblCellMar>
            <w:top w:w="0" w:type="dxa"/>
            <w:left w:w="0" w:type="dxa"/>
            <w:bottom w:w="0" w:type="dxa"/>
            <w:right w:w="0" w:type="dxa"/>
          </w:tblCellMar>
        </w:tblPrEx>
        <w:trPr>
          <w:wBefore w:w="0" w:type="auto"/>
          <w:tblCellSpacing w:w="0" w:type="dxa"/>
        </w:trPr>
        <w:tc>
          <w:tcPr>
            <w:tcW w:w="0" w:type="auto"/>
            <w:noWrap w:val="0"/>
            <w:vAlign w:val="center"/>
          </w:tcPr>
          <w:p w14:paraId="126CF140">
            <w:r>
              <w:rPr>
                <w:rFonts w:hint="eastAsia"/>
              </w:rPr>
              <w:t xml:space="preserve">有效成分及其含量： </w:t>
            </w:r>
          </w:p>
          <w:p w14:paraId="4674EEDF">
            <w:r>
              <w:rPr>
                <w:rFonts w:hint="eastAsia"/>
              </w:rPr>
              <w:t xml:space="preserve">    苯醚甲环唑15%    吡唑醚菌酯25%    </w:t>
            </w:r>
          </w:p>
        </w:tc>
      </w:tr>
      <w:tr w14:paraId="430FED24">
        <w:tblPrEx>
          <w:tblCellMar>
            <w:top w:w="0" w:type="dxa"/>
            <w:left w:w="0" w:type="dxa"/>
            <w:bottom w:w="0" w:type="dxa"/>
            <w:right w:w="0" w:type="dxa"/>
          </w:tblCellMar>
        </w:tblPrEx>
        <w:trPr>
          <w:wBefore w:w="0" w:type="auto"/>
          <w:tblCellSpacing w:w="0" w:type="dxa"/>
        </w:trPr>
        <w:tc>
          <w:tcPr>
            <w:tcW w:w="0" w:type="auto"/>
            <w:noWrap w:val="0"/>
            <w:vAlign w:val="center"/>
          </w:tcPr>
          <w:p w14:paraId="14E25A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6AC7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6C082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554E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96ED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0EB613">
                  <w:r>
                    <w:rPr>
                      <w:rStyle w:val="11"/>
                      <w:rFonts w:hint="eastAsia"/>
                    </w:rPr>
                    <w:t>施用方式</w:t>
                  </w:r>
                </w:p>
              </w:tc>
            </w:tr>
            <w:tr w14:paraId="4A1709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A5687D">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26CB15">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B0FB76">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56F514">
                  <w:r>
                    <w:rPr>
                      <w:rStyle w:val="11"/>
                      <w:rFonts w:hint="eastAsia"/>
                    </w:rPr>
                    <w:t>喷雾</w:t>
                  </w:r>
                </w:p>
              </w:tc>
            </w:tr>
          </w:tbl>
          <w:p w14:paraId="61F39F24">
            <w:pPr>
              <w:rPr>
                <w:rFonts w:ascii="Times New Roman" w:hAnsi="Times New Roman" w:cs="Times New Roman"/>
                <w:sz w:val="20"/>
                <w:szCs w:val="20"/>
              </w:rPr>
            </w:pPr>
          </w:p>
        </w:tc>
      </w:tr>
      <w:tr w14:paraId="0829A5D3">
        <w:tblPrEx>
          <w:tblCellMar>
            <w:top w:w="0" w:type="dxa"/>
            <w:left w:w="0" w:type="dxa"/>
            <w:bottom w:w="0" w:type="dxa"/>
            <w:right w:w="0" w:type="dxa"/>
          </w:tblCellMar>
        </w:tblPrEx>
        <w:trPr>
          <w:wBefore w:w="0" w:type="auto"/>
          <w:tblCellSpacing w:w="0" w:type="dxa"/>
        </w:trPr>
        <w:tc>
          <w:tcPr>
            <w:tcW w:w="0" w:type="auto"/>
            <w:noWrap w:val="0"/>
            <w:vAlign w:val="center"/>
          </w:tcPr>
          <w:p w14:paraId="04E925B1">
            <w:r>
              <w:rPr>
                <w:rStyle w:val="10"/>
                <w:rFonts w:hint="eastAsia"/>
              </w:rPr>
              <w:t>使用技术要求:</w:t>
            </w:r>
            <w:r>
              <w:rPr>
                <w:rFonts w:hint="eastAsia"/>
              </w:rPr>
              <w:br w:type="textWrapping"/>
            </w:r>
            <w:r>
              <w:rPr>
                <w:rStyle w:val="11"/>
                <w:rFonts w:hint="eastAsia"/>
              </w:rPr>
              <w:t>1. 在葡萄白粉病发病前或发病初期施药，施药2-3次，间隔7-10天，注意施药均匀。2. 本品在葡萄上使用的安全间隔期为14天，每季葡萄最多施用2-3次。</w:t>
            </w:r>
          </w:p>
        </w:tc>
      </w:tr>
      <w:tr w14:paraId="15EDEB9E">
        <w:tblPrEx>
          <w:tblCellMar>
            <w:top w:w="0" w:type="dxa"/>
            <w:left w:w="0" w:type="dxa"/>
            <w:bottom w:w="0" w:type="dxa"/>
            <w:right w:w="0" w:type="dxa"/>
          </w:tblCellMar>
        </w:tblPrEx>
        <w:trPr>
          <w:wBefore w:w="0" w:type="auto"/>
          <w:tblCellSpacing w:w="0" w:type="dxa"/>
        </w:trPr>
        <w:tc>
          <w:tcPr>
            <w:tcW w:w="0" w:type="auto"/>
            <w:noWrap w:val="0"/>
            <w:vAlign w:val="center"/>
          </w:tcPr>
          <w:p w14:paraId="36D328DF">
            <w:r>
              <w:rPr>
                <w:rStyle w:val="10"/>
                <w:rFonts w:hint="eastAsia"/>
              </w:rPr>
              <w:t>产品性能:</w:t>
            </w:r>
            <w:r>
              <w:rPr>
                <w:rFonts w:hint="eastAsia"/>
              </w:rPr>
              <w:br w:type="textWrapping"/>
            </w:r>
            <w:r>
              <w:rPr>
                <w:rStyle w:val="11"/>
                <w:rFonts w:hint="eastAsia"/>
              </w:rPr>
              <w:t>本品是由苯醚甲环唑和吡唑醚菌酯复配而成的杀菌剂。早期使用可阻止病菌侵入，减少植物发病次数和用药次数。在推荐稀释倍数下使用时，对葡萄白粉病有较好的防治效果。</w:t>
            </w:r>
          </w:p>
        </w:tc>
      </w:tr>
      <w:tr w14:paraId="7628525E">
        <w:tblPrEx>
          <w:tblCellMar>
            <w:top w:w="0" w:type="dxa"/>
            <w:left w:w="0" w:type="dxa"/>
            <w:bottom w:w="0" w:type="dxa"/>
            <w:right w:w="0" w:type="dxa"/>
          </w:tblCellMar>
        </w:tblPrEx>
        <w:trPr>
          <w:wBefore w:w="0" w:type="auto"/>
          <w:tblCellSpacing w:w="0" w:type="dxa"/>
        </w:trPr>
        <w:tc>
          <w:tcPr>
            <w:tcW w:w="0" w:type="auto"/>
            <w:noWrap w:val="0"/>
            <w:vAlign w:val="center"/>
          </w:tcPr>
          <w:p w14:paraId="0E684CC9">
            <w:r>
              <w:rPr>
                <w:rStyle w:val="10"/>
                <w:rFonts w:hint="eastAsia"/>
              </w:rPr>
              <w:t>注意事项：</w:t>
            </w:r>
            <w:r>
              <w:rPr>
                <w:rFonts w:hint="eastAsia"/>
              </w:rPr>
              <w:br w:type="textWrapping"/>
            </w:r>
            <w:r>
              <w:rPr>
                <w:rStyle w:val="11"/>
                <w:rFonts w:hint="eastAsia"/>
              </w:rPr>
              <w:t>1. 严格按规定用药量和方法使用。2. 本品对水蚤类、鱼类、藻类、家蚕有毒，对天敌赤眼蜂高风险。施药时应远离河塘等水域，桑园和蚕室附近禁用，赤眼蜂等天敌放飞区禁用；水产养殖区、河塘等水体附近禁用，禁止在河塘等水域清洗施药器具。3. 本品对眼睛有刺激性，使用时避免接触眼睛，穿戴长衣、长裤、帽子、口罩、手套等防护措施。；使用中禁止饮食和吸烟；使用后及时用肥皂和清水彻底清洗皮肤暴露部位并更换衣物。4. 施药后的地块禁止放牧和畜禽进入；勿在安全间隔期内进行采收。5. 未用完的制剂应放在原包装内密封保存，切勿将本品置于饮食容器内。用过的容器或空包装应妥善处置，不可做他用，也不可随意丢弃。6. 孕妇及哺乳期妇女避免接触此药。</w:t>
            </w:r>
          </w:p>
        </w:tc>
      </w:tr>
      <w:tr w14:paraId="677CB847">
        <w:tblPrEx>
          <w:tblCellMar>
            <w:top w:w="0" w:type="dxa"/>
            <w:left w:w="0" w:type="dxa"/>
            <w:bottom w:w="0" w:type="dxa"/>
            <w:right w:w="0" w:type="dxa"/>
          </w:tblCellMar>
        </w:tblPrEx>
        <w:trPr>
          <w:wBefore w:w="0" w:type="auto"/>
          <w:tblCellSpacing w:w="0" w:type="dxa"/>
        </w:trPr>
        <w:tc>
          <w:tcPr>
            <w:tcW w:w="0" w:type="auto"/>
            <w:noWrap w:val="0"/>
            <w:vAlign w:val="center"/>
          </w:tcPr>
          <w:p w14:paraId="7EE608D9">
            <w:r>
              <w:rPr>
                <w:rStyle w:val="10"/>
                <w:rFonts w:hint="eastAsia"/>
              </w:rPr>
              <w:t>中毒急救措施：</w:t>
            </w:r>
            <w:r>
              <w:rPr>
                <w:rFonts w:hint="eastAsia"/>
              </w:rPr>
              <w:br w:type="textWrapping"/>
            </w:r>
            <w:r>
              <w:rPr>
                <w:rStyle w:val="11"/>
                <w:rFonts w:hint="eastAsia"/>
              </w:rPr>
              <w:t>1. 皮肤接触：立即脱去被污染的衣物，用肥皂和大量清水冲洗皮肤暴露部位。如皮肤刺激感持续，请医生诊治。2. 眼睛溅入：立即翻开眼睑，用清水冲洗至少15分钟，并请医生诊治。3. 吸入：立即将吸入者转移到空气清新处，若吸入者停止呼吸，需进行人工呼吸。注意保暖和休息，速请医生诊治。4. 误食：立即携带本产品标签送医就诊。无特殊解毒剂，对症治疗。紧急医疗措施：使用医用活性炭洗胃，洗胃时注意防止胃容物进入呼吸道。注意：对昏迷病人，切勿经口喂入任何东西或引吐。</w:t>
            </w:r>
          </w:p>
        </w:tc>
      </w:tr>
      <w:tr w14:paraId="2575C6BF">
        <w:tblPrEx>
          <w:tblCellMar>
            <w:top w:w="0" w:type="dxa"/>
            <w:left w:w="0" w:type="dxa"/>
            <w:bottom w:w="0" w:type="dxa"/>
            <w:right w:w="0" w:type="dxa"/>
          </w:tblCellMar>
        </w:tblPrEx>
        <w:trPr>
          <w:wBefore w:w="0" w:type="auto"/>
          <w:tblCellSpacing w:w="0" w:type="dxa"/>
        </w:trPr>
        <w:tc>
          <w:tcPr>
            <w:tcW w:w="0" w:type="auto"/>
            <w:noWrap w:val="0"/>
            <w:vAlign w:val="center"/>
          </w:tcPr>
          <w:p w14:paraId="59AA0DDA">
            <w:r>
              <w:rPr>
                <w:rStyle w:val="10"/>
                <w:rFonts w:hint="eastAsia"/>
              </w:rPr>
              <w:t>储存和运输方法：</w:t>
            </w:r>
            <w:r>
              <w:rPr>
                <w:rFonts w:hint="eastAsia"/>
              </w:rPr>
              <w:br w:type="textWrapping"/>
            </w:r>
            <w:r>
              <w:rPr>
                <w:rStyle w:val="11"/>
                <w:rFonts w:hint="eastAsia"/>
              </w:rPr>
              <w:t>1. 本品贮存于阴凉、干燥、通风、避光处，并远离火源或热源。2. 应置于儿童及无关人员触及不到之处，并加锁。3. 运输时，请注意防雨淋、高温、轻拿轻放，不得损坏包装。4. 请勿与食物、粮食、饮料、种子、饲料等其他商品同贮同运。</w:t>
            </w:r>
          </w:p>
        </w:tc>
      </w:tr>
      <w:tr w14:paraId="70D01880">
        <w:tblPrEx>
          <w:tblCellMar>
            <w:top w:w="0" w:type="dxa"/>
            <w:left w:w="0" w:type="dxa"/>
            <w:bottom w:w="0" w:type="dxa"/>
            <w:right w:w="0" w:type="dxa"/>
          </w:tblCellMar>
        </w:tblPrEx>
        <w:trPr>
          <w:wBefore w:w="0" w:type="auto"/>
          <w:tblCellSpacing w:w="0" w:type="dxa"/>
        </w:trPr>
        <w:tc>
          <w:tcPr>
            <w:tcW w:w="0" w:type="auto"/>
            <w:noWrap w:val="0"/>
            <w:vAlign w:val="center"/>
          </w:tcPr>
          <w:p w14:paraId="2BDFC8D4">
            <w:r>
              <w:rPr>
                <w:rStyle w:val="10"/>
                <w:rFonts w:hint="eastAsia"/>
              </w:rPr>
              <w:t>质量保证期：</w:t>
            </w:r>
            <w:r>
              <w:rPr>
                <w:rStyle w:val="11"/>
                <w:rFonts w:hint="eastAsia"/>
              </w:rPr>
              <w:t>2年</w:t>
            </w:r>
          </w:p>
        </w:tc>
      </w:tr>
      <w:tr w14:paraId="578ACF2A">
        <w:tblPrEx>
          <w:tblCellMar>
            <w:top w:w="0" w:type="dxa"/>
            <w:left w:w="0" w:type="dxa"/>
            <w:bottom w:w="0" w:type="dxa"/>
            <w:right w:w="0" w:type="dxa"/>
          </w:tblCellMar>
        </w:tblPrEx>
        <w:trPr>
          <w:wBefore w:w="0" w:type="auto"/>
          <w:tblCellSpacing w:w="0" w:type="dxa"/>
        </w:trPr>
        <w:tc>
          <w:tcPr>
            <w:tcW w:w="0" w:type="auto"/>
            <w:noWrap w:val="0"/>
            <w:vAlign w:val="center"/>
          </w:tcPr>
          <w:p w14:paraId="333E1189">
            <w:r>
              <w:rPr>
                <w:rStyle w:val="10"/>
                <w:rFonts w:hint="eastAsia"/>
              </w:rPr>
              <w:t>备注：</w:t>
            </w:r>
          </w:p>
        </w:tc>
      </w:tr>
    </w:tbl>
    <w:p w14:paraId="6EFE74F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FE56BE">
        <w:tblPrEx>
          <w:tblCellMar>
            <w:top w:w="0" w:type="dxa"/>
            <w:left w:w="0" w:type="dxa"/>
            <w:bottom w:w="0" w:type="dxa"/>
            <w:right w:w="0" w:type="dxa"/>
          </w:tblCellMar>
        </w:tblPrEx>
        <w:trPr>
          <w:wBefore w:w="0" w:type="auto"/>
          <w:tblCellSpacing w:w="0" w:type="dxa"/>
        </w:trPr>
        <w:tc>
          <w:tcPr>
            <w:tcW w:w="0" w:type="auto"/>
            <w:noWrap w:val="0"/>
            <w:vAlign w:val="center"/>
          </w:tcPr>
          <w:p w14:paraId="2157D1C2">
            <w:r>
              <w:rPr>
                <w:rStyle w:val="10"/>
                <w:rFonts w:hint="eastAsia"/>
              </w:rPr>
              <w:t>登记证号：</w:t>
            </w:r>
            <w:r>
              <w:rPr>
                <w:rFonts w:hint="eastAsia"/>
              </w:rPr>
              <w:t>PD20212745</w:t>
            </w:r>
          </w:p>
        </w:tc>
      </w:tr>
      <w:tr w14:paraId="434297F9">
        <w:tblPrEx>
          <w:tblCellMar>
            <w:top w:w="0" w:type="dxa"/>
            <w:left w:w="0" w:type="dxa"/>
            <w:bottom w:w="0" w:type="dxa"/>
            <w:right w:w="0" w:type="dxa"/>
          </w:tblCellMar>
        </w:tblPrEx>
        <w:trPr>
          <w:wBefore w:w="0" w:type="auto"/>
          <w:tblCellSpacing w:w="0" w:type="dxa"/>
        </w:trPr>
        <w:tc>
          <w:tcPr>
            <w:tcW w:w="0" w:type="auto"/>
            <w:noWrap w:val="0"/>
            <w:vAlign w:val="center"/>
          </w:tcPr>
          <w:p w14:paraId="7FA2089D">
            <w:r>
              <w:rPr>
                <w:rStyle w:val="10"/>
                <w:rFonts w:hint="eastAsia"/>
              </w:rPr>
              <w:t>登记证持有人：</w:t>
            </w:r>
            <w:r>
              <w:rPr>
                <w:rFonts w:hint="eastAsia"/>
              </w:rPr>
              <w:t>河南三浦百草生物工程有限公司</w:t>
            </w:r>
          </w:p>
        </w:tc>
      </w:tr>
      <w:tr w14:paraId="39E16876">
        <w:tblPrEx>
          <w:tblCellMar>
            <w:top w:w="0" w:type="dxa"/>
            <w:left w:w="0" w:type="dxa"/>
            <w:bottom w:w="0" w:type="dxa"/>
            <w:right w:w="0" w:type="dxa"/>
          </w:tblCellMar>
        </w:tblPrEx>
        <w:trPr>
          <w:wBefore w:w="0" w:type="auto"/>
          <w:tblCellSpacing w:w="0" w:type="dxa"/>
        </w:trPr>
        <w:tc>
          <w:tcPr>
            <w:tcW w:w="0" w:type="auto"/>
            <w:noWrap w:val="0"/>
            <w:vAlign w:val="center"/>
          </w:tcPr>
          <w:p w14:paraId="6CCF22EE">
            <w:r>
              <w:rPr>
                <w:rStyle w:val="10"/>
                <w:rFonts w:hint="eastAsia"/>
              </w:rPr>
              <w:t>农药名称：</w:t>
            </w:r>
            <w:r>
              <w:rPr>
                <w:rFonts w:hint="eastAsia"/>
              </w:rPr>
              <w:t>S-诱抗素</w:t>
            </w:r>
          </w:p>
        </w:tc>
      </w:tr>
      <w:tr w14:paraId="7018E1B5">
        <w:tblPrEx>
          <w:tblCellMar>
            <w:top w:w="0" w:type="dxa"/>
            <w:left w:w="0" w:type="dxa"/>
            <w:bottom w:w="0" w:type="dxa"/>
            <w:right w:w="0" w:type="dxa"/>
          </w:tblCellMar>
        </w:tblPrEx>
        <w:trPr>
          <w:wBefore w:w="0" w:type="auto"/>
          <w:tblCellSpacing w:w="0" w:type="dxa"/>
        </w:trPr>
        <w:tc>
          <w:tcPr>
            <w:tcW w:w="0" w:type="auto"/>
            <w:noWrap w:val="0"/>
            <w:vAlign w:val="center"/>
          </w:tcPr>
          <w:p w14:paraId="78797491">
            <w:r>
              <w:rPr>
                <w:rStyle w:val="10"/>
                <w:rFonts w:hint="eastAsia"/>
              </w:rPr>
              <w:t>剂型：</w:t>
            </w:r>
            <w:r>
              <w:rPr>
                <w:rFonts w:hint="eastAsia"/>
              </w:rPr>
              <w:t>可溶粒剂</w:t>
            </w:r>
          </w:p>
        </w:tc>
      </w:tr>
      <w:tr w14:paraId="690EBD13">
        <w:tblPrEx>
          <w:tblCellMar>
            <w:top w:w="0" w:type="dxa"/>
            <w:left w:w="0" w:type="dxa"/>
            <w:bottom w:w="0" w:type="dxa"/>
            <w:right w:w="0" w:type="dxa"/>
          </w:tblCellMar>
        </w:tblPrEx>
        <w:trPr>
          <w:wBefore w:w="0" w:type="auto"/>
          <w:tblCellSpacing w:w="0" w:type="dxa"/>
        </w:trPr>
        <w:tc>
          <w:tcPr>
            <w:tcW w:w="0" w:type="auto"/>
            <w:noWrap w:val="0"/>
            <w:vAlign w:val="center"/>
          </w:tcPr>
          <w:p w14:paraId="42CB4830">
            <w:r>
              <w:rPr>
                <w:rStyle w:val="10"/>
                <w:rFonts w:hint="eastAsia"/>
              </w:rPr>
              <w:t>毒性及其标识：</w:t>
            </w:r>
            <w:r>
              <w:rPr>
                <w:rFonts w:hint="eastAsia"/>
              </w:rPr>
              <w:t xml:space="preserve"> </w:t>
            </w:r>
            <w:r>
              <w:rPr>
                <w:lang/>
              </w:rPr>
              <w:drawing>
                <wp:inline distT="0" distB="0" distL="114300" distR="114300">
                  <wp:extent cx="476250" cy="323850"/>
                  <wp:effectExtent l="0" t="0" r="0" b="0"/>
                  <wp:docPr id="33" name="图片 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562DCE">
        <w:tblPrEx>
          <w:tblCellMar>
            <w:top w:w="0" w:type="dxa"/>
            <w:left w:w="0" w:type="dxa"/>
            <w:bottom w:w="0" w:type="dxa"/>
            <w:right w:w="0" w:type="dxa"/>
          </w:tblCellMar>
        </w:tblPrEx>
        <w:trPr>
          <w:wBefore w:w="0" w:type="auto"/>
          <w:tblCellSpacing w:w="0" w:type="dxa"/>
        </w:trPr>
        <w:tc>
          <w:tcPr>
            <w:tcW w:w="0" w:type="auto"/>
            <w:noWrap w:val="0"/>
            <w:vAlign w:val="center"/>
          </w:tcPr>
          <w:p w14:paraId="1809AB3B">
            <w:r>
              <w:rPr>
                <w:rStyle w:val="10"/>
                <w:rFonts w:hint="eastAsia"/>
              </w:rPr>
              <w:t>总有效成分含量：</w:t>
            </w:r>
            <w:r>
              <w:rPr>
                <w:rFonts w:hint="eastAsia"/>
              </w:rPr>
              <w:t>5%</w:t>
            </w:r>
          </w:p>
        </w:tc>
      </w:tr>
      <w:tr w14:paraId="04F49031">
        <w:tblPrEx>
          <w:tblCellMar>
            <w:top w:w="0" w:type="dxa"/>
            <w:left w:w="0" w:type="dxa"/>
            <w:bottom w:w="0" w:type="dxa"/>
            <w:right w:w="0" w:type="dxa"/>
          </w:tblCellMar>
        </w:tblPrEx>
        <w:trPr>
          <w:wBefore w:w="0" w:type="auto"/>
          <w:tblCellSpacing w:w="0" w:type="dxa"/>
        </w:trPr>
        <w:tc>
          <w:tcPr>
            <w:tcW w:w="0" w:type="auto"/>
            <w:noWrap w:val="0"/>
            <w:vAlign w:val="center"/>
          </w:tcPr>
          <w:p w14:paraId="677AB49A">
            <w:r>
              <w:rPr>
                <w:rFonts w:hint="eastAsia"/>
              </w:rPr>
              <w:t xml:space="preserve">有效成分及其含量： </w:t>
            </w:r>
          </w:p>
          <w:p w14:paraId="7B720CD6">
            <w:r>
              <w:rPr>
                <w:rFonts w:hint="eastAsia"/>
              </w:rPr>
              <w:t xml:space="preserve">    S-诱抗素5%    </w:t>
            </w:r>
          </w:p>
        </w:tc>
      </w:tr>
      <w:tr w14:paraId="069F258B">
        <w:tblPrEx>
          <w:tblCellMar>
            <w:top w:w="0" w:type="dxa"/>
            <w:left w:w="0" w:type="dxa"/>
            <w:bottom w:w="0" w:type="dxa"/>
            <w:right w:w="0" w:type="dxa"/>
          </w:tblCellMar>
        </w:tblPrEx>
        <w:trPr>
          <w:wBefore w:w="0" w:type="auto"/>
          <w:tblCellSpacing w:w="0" w:type="dxa"/>
        </w:trPr>
        <w:tc>
          <w:tcPr>
            <w:tcW w:w="0" w:type="auto"/>
            <w:noWrap w:val="0"/>
            <w:vAlign w:val="center"/>
          </w:tcPr>
          <w:p w14:paraId="0C6488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EA02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5F1D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EBD3B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4D06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3DF4D8">
                  <w:r>
                    <w:rPr>
                      <w:rStyle w:val="11"/>
                      <w:rFonts w:hint="eastAsia"/>
                    </w:rPr>
                    <w:t>施用方式</w:t>
                  </w:r>
                </w:p>
              </w:tc>
            </w:tr>
            <w:tr w14:paraId="721B1C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E5DD77">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4C6707">
                  <w:r>
                    <w:rPr>
                      <w:rStyle w:val="11"/>
                      <w:rFonts w:hint="eastAsia"/>
                    </w:rPr>
                    <w:t>促进着色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649537">
                  <w:r>
                    <w:rPr>
                      <w:rStyle w:val="11"/>
                      <w:rFonts w:hint="eastAsia"/>
                    </w:rPr>
                    <w:t>170-250倍液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1452F">
                  <w:r>
                    <w:rPr>
                      <w:rStyle w:val="11"/>
                      <w:rFonts w:hint="eastAsia"/>
                    </w:rPr>
                    <w:t>喷雾</w:t>
                  </w:r>
                </w:p>
              </w:tc>
            </w:tr>
          </w:tbl>
          <w:p w14:paraId="2C22479C">
            <w:pPr>
              <w:rPr>
                <w:rFonts w:ascii="Times New Roman" w:hAnsi="Times New Roman" w:cs="Times New Roman"/>
                <w:sz w:val="20"/>
                <w:szCs w:val="20"/>
              </w:rPr>
            </w:pPr>
          </w:p>
        </w:tc>
      </w:tr>
      <w:tr w14:paraId="218ECB5E">
        <w:tblPrEx>
          <w:tblCellMar>
            <w:top w:w="0" w:type="dxa"/>
            <w:left w:w="0" w:type="dxa"/>
            <w:bottom w:w="0" w:type="dxa"/>
            <w:right w:w="0" w:type="dxa"/>
          </w:tblCellMar>
        </w:tblPrEx>
        <w:trPr>
          <w:wBefore w:w="0" w:type="auto"/>
          <w:tblCellSpacing w:w="0" w:type="dxa"/>
        </w:trPr>
        <w:tc>
          <w:tcPr>
            <w:tcW w:w="0" w:type="auto"/>
            <w:noWrap w:val="0"/>
            <w:vAlign w:val="center"/>
          </w:tcPr>
          <w:p w14:paraId="01040C12">
            <w:r>
              <w:rPr>
                <w:rStyle w:val="10"/>
                <w:rFonts w:hint="eastAsia"/>
              </w:rPr>
              <w:t>使用技术要求:</w:t>
            </w:r>
            <w:r>
              <w:rPr>
                <w:rFonts w:hint="eastAsia"/>
              </w:rPr>
              <w:br w:type="textWrapping"/>
            </w:r>
            <w:r>
              <w:rPr>
                <w:rStyle w:val="11"/>
                <w:rFonts w:hint="eastAsia"/>
              </w:rPr>
              <w:t>1. 本品可直接溶于水，加水充分搅拌，在葡萄转色初期喷果穗1次，保证施药均匀避免药害。2. 大风天或预计2小时内降雨，请勿施药。</w:t>
            </w:r>
          </w:p>
        </w:tc>
      </w:tr>
      <w:tr w14:paraId="3F7EBF41">
        <w:tblPrEx>
          <w:tblCellMar>
            <w:top w:w="0" w:type="dxa"/>
            <w:left w:w="0" w:type="dxa"/>
            <w:bottom w:w="0" w:type="dxa"/>
            <w:right w:w="0" w:type="dxa"/>
          </w:tblCellMar>
        </w:tblPrEx>
        <w:trPr>
          <w:wBefore w:w="0" w:type="auto"/>
          <w:tblCellSpacing w:w="0" w:type="dxa"/>
        </w:trPr>
        <w:tc>
          <w:tcPr>
            <w:tcW w:w="0" w:type="auto"/>
            <w:noWrap w:val="0"/>
            <w:vAlign w:val="center"/>
          </w:tcPr>
          <w:p w14:paraId="733418A4">
            <w:r>
              <w:rPr>
                <w:rStyle w:val="10"/>
                <w:rFonts w:hint="eastAsia"/>
              </w:rPr>
              <w:t>产品性能:</w:t>
            </w:r>
            <w:r>
              <w:rPr>
                <w:rFonts w:hint="eastAsia"/>
              </w:rPr>
              <w:br w:type="textWrapping"/>
            </w:r>
            <w:r>
              <w:rPr>
                <w:rStyle w:val="11"/>
                <w:rFonts w:hint="eastAsia"/>
              </w:rPr>
              <w:t>S-诱抗素是一种植物生长调节剂，俗称“天然脱落酸”，能诱导并激活植物多种抗逆基因的表达，增强植物抵抗不良生长环境（逆境）的能力。本产品在葡萄转色初期使用，促进葡萄着色和成熟早收。</w:t>
            </w:r>
          </w:p>
        </w:tc>
      </w:tr>
      <w:tr w14:paraId="09C1BED6">
        <w:tblPrEx>
          <w:tblCellMar>
            <w:top w:w="0" w:type="dxa"/>
            <w:left w:w="0" w:type="dxa"/>
            <w:bottom w:w="0" w:type="dxa"/>
            <w:right w:w="0" w:type="dxa"/>
          </w:tblCellMar>
        </w:tblPrEx>
        <w:trPr>
          <w:wBefore w:w="0" w:type="auto"/>
          <w:tblCellSpacing w:w="0" w:type="dxa"/>
        </w:trPr>
        <w:tc>
          <w:tcPr>
            <w:tcW w:w="0" w:type="auto"/>
            <w:noWrap w:val="0"/>
            <w:vAlign w:val="center"/>
          </w:tcPr>
          <w:p w14:paraId="0AE203D4">
            <w:r>
              <w:rPr>
                <w:rStyle w:val="10"/>
                <w:rFonts w:hint="eastAsia"/>
              </w:rPr>
              <w:t>注意事项：</w:t>
            </w:r>
            <w:r>
              <w:rPr>
                <w:rFonts w:hint="eastAsia"/>
              </w:rPr>
              <w:br w:type="textWrapping"/>
            </w:r>
            <w:r>
              <w:rPr>
                <w:rStyle w:val="11"/>
                <w:rFonts w:hint="eastAsia"/>
              </w:rPr>
              <w:t>1. 本品不可与碱性物质混用。 2. 注意避光保存，开启包装后最好一次性用完，配制好的水溶液不易久存，现配现用，不可用热水，水温超过50℃会失去活性。 3. 本品对眼睛有刺激性，使用时避免接触眼睛，穿戴长衣、长裤、帽子、口罩、手套等防护措施，此时不可吃东西、喝水和吸烟；施药后应及时清洗干净手脸等。 4. 禁止河塘等水域内清洗施药器具或将清洗施药器具的废水倒入河流、池塘等水源。 5. 孕妇及哺乳期女禁止接触本品。 6. 正确开启包装袋，用过的容器应妥善处理，不可做他用，也不可随意丢弃。</w:t>
            </w:r>
          </w:p>
        </w:tc>
      </w:tr>
      <w:tr w14:paraId="7B8CFDD9">
        <w:tblPrEx>
          <w:tblCellMar>
            <w:top w:w="0" w:type="dxa"/>
            <w:left w:w="0" w:type="dxa"/>
            <w:bottom w:w="0" w:type="dxa"/>
            <w:right w:w="0" w:type="dxa"/>
          </w:tblCellMar>
        </w:tblPrEx>
        <w:trPr>
          <w:wBefore w:w="0" w:type="auto"/>
          <w:tblCellSpacing w:w="0" w:type="dxa"/>
        </w:trPr>
        <w:tc>
          <w:tcPr>
            <w:tcW w:w="0" w:type="auto"/>
            <w:noWrap w:val="0"/>
            <w:vAlign w:val="center"/>
          </w:tcPr>
          <w:p w14:paraId="79341074">
            <w:r>
              <w:rPr>
                <w:rStyle w:val="10"/>
                <w:rFonts w:hint="eastAsia"/>
              </w:rPr>
              <w:t>中毒急救措施：</w:t>
            </w:r>
            <w:r>
              <w:rPr>
                <w:rFonts w:hint="eastAsia"/>
              </w:rPr>
              <w:br w:type="textWrapping"/>
            </w:r>
            <w:r>
              <w:rPr>
                <w:rStyle w:val="11"/>
                <w:rFonts w:hint="eastAsia"/>
              </w:rPr>
              <w:t>避免接触到眼睛或皮肤，不慎接触皮肤或溅入眼睛，应用大量清水冲洗至少15分钟。吸入或误食时，如有不适症状，立即携此标签送医院对症治疗。</w:t>
            </w:r>
          </w:p>
        </w:tc>
      </w:tr>
      <w:tr w14:paraId="15E10832">
        <w:tblPrEx>
          <w:tblCellMar>
            <w:top w:w="0" w:type="dxa"/>
            <w:left w:w="0" w:type="dxa"/>
            <w:bottom w:w="0" w:type="dxa"/>
            <w:right w:w="0" w:type="dxa"/>
          </w:tblCellMar>
        </w:tblPrEx>
        <w:trPr>
          <w:wBefore w:w="0" w:type="auto"/>
          <w:tblCellSpacing w:w="0" w:type="dxa"/>
        </w:trPr>
        <w:tc>
          <w:tcPr>
            <w:tcW w:w="0" w:type="auto"/>
            <w:noWrap w:val="0"/>
            <w:vAlign w:val="center"/>
          </w:tcPr>
          <w:p w14:paraId="21DA5E30">
            <w:r>
              <w:rPr>
                <w:rStyle w:val="10"/>
                <w:rFonts w:hint="eastAsia"/>
              </w:rPr>
              <w:t>储存和运输方法：</w:t>
            </w:r>
            <w:r>
              <w:rPr>
                <w:rFonts w:hint="eastAsia"/>
              </w:rPr>
              <w:br w:type="textWrapping"/>
            </w:r>
            <w:r>
              <w:rPr>
                <w:rStyle w:val="11"/>
                <w:rFonts w:hint="eastAsia"/>
              </w:rPr>
              <w:t>本品应贮存在干燥、阴凉、避光、通风、防雨处，远离火源和热源。置于儿童、无关人员触及不到之处，并加锁。勿与食物、饮料、种子、饲料同贮同运。用过的包装应妥善处理，不可做他用，也不可随意丢弃。</w:t>
            </w:r>
          </w:p>
        </w:tc>
      </w:tr>
      <w:tr w14:paraId="20AB42E2">
        <w:tblPrEx>
          <w:tblCellMar>
            <w:top w:w="0" w:type="dxa"/>
            <w:left w:w="0" w:type="dxa"/>
            <w:bottom w:w="0" w:type="dxa"/>
            <w:right w:w="0" w:type="dxa"/>
          </w:tblCellMar>
        </w:tblPrEx>
        <w:trPr>
          <w:wBefore w:w="0" w:type="auto"/>
          <w:tblCellSpacing w:w="0" w:type="dxa"/>
        </w:trPr>
        <w:tc>
          <w:tcPr>
            <w:tcW w:w="0" w:type="auto"/>
            <w:noWrap w:val="0"/>
            <w:vAlign w:val="center"/>
          </w:tcPr>
          <w:p w14:paraId="50C66B0B">
            <w:r>
              <w:rPr>
                <w:rStyle w:val="10"/>
                <w:rFonts w:hint="eastAsia"/>
              </w:rPr>
              <w:t>质量保证期：</w:t>
            </w:r>
            <w:r>
              <w:rPr>
                <w:rStyle w:val="11"/>
                <w:rFonts w:hint="eastAsia"/>
              </w:rPr>
              <w:t>2年</w:t>
            </w:r>
          </w:p>
        </w:tc>
      </w:tr>
      <w:tr w14:paraId="447C7CBC">
        <w:tblPrEx>
          <w:tblCellMar>
            <w:top w:w="0" w:type="dxa"/>
            <w:left w:w="0" w:type="dxa"/>
            <w:bottom w:w="0" w:type="dxa"/>
            <w:right w:w="0" w:type="dxa"/>
          </w:tblCellMar>
        </w:tblPrEx>
        <w:trPr>
          <w:wBefore w:w="0" w:type="auto"/>
          <w:tblCellSpacing w:w="0" w:type="dxa"/>
        </w:trPr>
        <w:tc>
          <w:tcPr>
            <w:tcW w:w="0" w:type="auto"/>
            <w:noWrap w:val="0"/>
            <w:vAlign w:val="center"/>
          </w:tcPr>
          <w:p w14:paraId="7F6F3298">
            <w:r>
              <w:rPr>
                <w:rStyle w:val="10"/>
                <w:rFonts w:hint="eastAsia"/>
              </w:rPr>
              <w:t>备注：</w:t>
            </w:r>
          </w:p>
        </w:tc>
      </w:tr>
    </w:tbl>
    <w:p w14:paraId="202B80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582E4B">
        <w:tblPrEx>
          <w:tblCellMar>
            <w:top w:w="0" w:type="dxa"/>
            <w:left w:w="0" w:type="dxa"/>
            <w:bottom w:w="0" w:type="dxa"/>
            <w:right w:w="0" w:type="dxa"/>
          </w:tblCellMar>
        </w:tblPrEx>
        <w:trPr>
          <w:wBefore w:w="0" w:type="auto"/>
          <w:tblCellSpacing w:w="0" w:type="dxa"/>
        </w:trPr>
        <w:tc>
          <w:tcPr>
            <w:tcW w:w="0" w:type="auto"/>
            <w:noWrap w:val="0"/>
            <w:vAlign w:val="center"/>
          </w:tcPr>
          <w:p w14:paraId="53CCAFC5">
            <w:r>
              <w:rPr>
                <w:rStyle w:val="10"/>
                <w:rFonts w:hint="eastAsia"/>
              </w:rPr>
              <w:t>登记证号：</w:t>
            </w:r>
            <w:r>
              <w:rPr>
                <w:rFonts w:hint="eastAsia"/>
              </w:rPr>
              <w:t>PD20212371</w:t>
            </w:r>
          </w:p>
        </w:tc>
      </w:tr>
      <w:tr w14:paraId="4AB94376">
        <w:tblPrEx>
          <w:tblCellMar>
            <w:top w:w="0" w:type="dxa"/>
            <w:left w:w="0" w:type="dxa"/>
            <w:bottom w:w="0" w:type="dxa"/>
            <w:right w:w="0" w:type="dxa"/>
          </w:tblCellMar>
        </w:tblPrEx>
        <w:trPr>
          <w:wBefore w:w="0" w:type="auto"/>
          <w:tblCellSpacing w:w="0" w:type="dxa"/>
        </w:trPr>
        <w:tc>
          <w:tcPr>
            <w:tcW w:w="0" w:type="auto"/>
            <w:noWrap w:val="0"/>
            <w:vAlign w:val="center"/>
          </w:tcPr>
          <w:p w14:paraId="026D4009">
            <w:r>
              <w:rPr>
                <w:rStyle w:val="10"/>
                <w:rFonts w:hint="eastAsia"/>
              </w:rPr>
              <w:t>登记证持有人：</w:t>
            </w:r>
            <w:r>
              <w:rPr>
                <w:rFonts w:hint="eastAsia"/>
              </w:rPr>
              <w:t>安徽博海生物科技有限公司</w:t>
            </w:r>
          </w:p>
        </w:tc>
      </w:tr>
      <w:tr w14:paraId="7D7D6F8D">
        <w:tblPrEx>
          <w:tblCellMar>
            <w:top w:w="0" w:type="dxa"/>
            <w:left w:w="0" w:type="dxa"/>
            <w:bottom w:w="0" w:type="dxa"/>
            <w:right w:w="0" w:type="dxa"/>
          </w:tblCellMar>
        </w:tblPrEx>
        <w:trPr>
          <w:wBefore w:w="0" w:type="auto"/>
          <w:tblCellSpacing w:w="0" w:type="dxa"/>
        </w:trPr>
        <w:tc>
          <w:tcPr>
            <w:tcW w:w="0" w:type="auto"/>
            <w:noWrap w:val="0"/>
            <w:vAlign w:val="center"/>
          </w:tcPr>
          <w:p w14:paraId="66B21D37">
            <w:r>
              <w:rPr>
                <w:rStyle w:val="10"/>
                <w:rFonts w:hint="eastAsia"/>
              </w:rPr>
              <w:t>农药名称：</w:t>
            </w:r>
            <w:r>
              <w:rPr>
                <w:rFonts w:hint="eastAsia"/>
              </w:rPr>
              <w:t>氟啶·噻虫嗪</w:t>
            </w:r>
          </w:p>
        </w:tc>
      </w:tr>
      <w:tr w14:paraId="2C853237">
        <w:tblPrEx>
          <w:tblCellMar>
            <w:top w:w="0" w:type="dxa"/>
            <w:left w:w="0" w:type="dxa"/>
            <w:bottom w:w="0" w:type="dxa"/>
            <w:right w:w="0" w:type="dxa"/>
          </w:tblCellMar>
        </w:tblPrEx>
        <w:trPr>
          <w:wBefore w:w="0" w:type="auto"/>
          <w:tblCellSpacing w:w="0" w:type="dxa"/>
        </w:trPr>
        <w:tc>
          <w:tcPr>
            <w:tcW w:w="0" w:type="auto"/>
            <w:noWrap w:val="0"/>
            <w:vAlign w:val="center"/>
          </w:tcPr>
          <w:p w14:paraId="14BCC96A">
            <w:r>
              <w:rPr>
                <w:rStyle w:val="10"/>
                <w:rFonts w:hint="eastAsia"/>
              </w:rPr>
              <w:t>剂型：</w:t>
            </w:r>
            <w:r>
              <w:rPr>
                <w:rFonts w:hint="eastAsia"/>
              </w:rPr>
              <w:t>水分散粒剂</w:t>
            </w:r>
          </w:p>
        </w:tc>
      </w:tr>
      <w:tr w14:paraId="02C65A77">
        <w:tblPrEx>
          <w:tblCellMar>
            <w:top w:w="0" w:type="dxa"/>
            <w:left w:w="0" w:type="dxa"/>
            <w:bottom w:w="0" w:type="dxa"/>
            <w:right w:w="0" w:type="dxa"/>
          </w:tblCellMar>
        </w:tblPrEx>
        <w:trPr>
          <w:wBefore w:w="0" w:type="auto"/>
          <w:tblCellSpacing w:w="0" w:type="dxa"/>
        </w:trPr>
        <w:tc>
          <w:tcPr>
            <w:tcW w:w="0" w:type="auto"/>
            <w:noWrap w:val="0"/>
            <w:vAlign w:val="center"/>
          </w:tcPr>
          <w:p w14:paraId="0EE966E4">
            <w:r>
              <w:rPr>
                <w:rStyle w:val="10"/>
                <w:rFonts w:hint="eastAsia"/>
              </w:rPr>
              <w:t>毒性及其标识：</w:t>
            </w:r>
            <w:r>
              <w:rPr>
                <w:rFonts w:hint="eastAsia"/>
              </w:rPr>
              <w:t xml:space="preserve"> </w:t>
            </w:r>
            <w:r>
              <w:rPr>
                <w:lang/>
              </w:rPr>
              <w:drawing>
                <wp:inline distT="0" distB="0" distL="114300" distR="114300">
                  <wp:extent cx="476250" cy="323850"/>
                  <wp:effectExtent l="0" t="0" r="0" b="0"/>
                  <wp:docPr id="34" name="图片 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4D29D5">
        <w:tblPrEx>
          <w:tblCellMar>
            <w:top w:w="0" w:type="dxa"/>
            <w:left w:w="0" w:type="dxa"/>
            <w:bottom w:w="0" w:type="dxa"/>
            <w:right w:w="0" w:type="dxa"/>
          </w:tblCellMar>
        </w:tblPrEx>
        <w:trPr>
          <w:wBefore w:w="0" w:type="auto"/>
          <w:tblCellSpacing w:w="0" w:type="dxa"/>
        </w:trPr>
        <w:tc>
          <w:tcPr>
            <w:tcW w:w="0" w:type="auto"/>
            <w:noWrap w:val="0"/>
            <w:vAlign w:val="center"/>
          </w:tcPr>
          <w:p w14:paraId="206919C4">
            <w:r>
              <w:rPr>
                <w:rStyle w:val="10"/>
                <w:rFonts w:hint="eastAsia"/>
              </w:rPr>
              <w:t>总有效成分含量：</w:t>
            </w:r>
            <w:r>
              <w:rPr>
                <w:rFonts w:hint="eastAsia"/>
              </w:rPr>
              <w:t>60%</w:t>
            </w:r>
          </w:p>
        </w:tc>
      </w:tr>
      <w:tr w14:paraId="0E84C5BF">
        <w:tblPrEx>
          <w:tblCellMar>
            <w:top w:w="0" w:type="dxa"/>
            <w:left w:w="0" w:type="dxa"/>
            <w:bottom w:w="0" w:type="dxa"/>
            <w:right w:w="0" w:type="dxa"/>
          </w:tblCellMar>
        </w:tblPrEx>
        <w:trPr>
          <w:wBefore w:w="0" w:type="auto"/>
          <w:tblCellSpacing w:w="0" w:type="dxa"/>
        </w:trPr>
        <w:tc>
          <w:tcPr>
            <w:tcW w:w="0" w:type="auto"/>
            <w:noWrap w:val="0"/>
            <w:vAlign w:val="center"/>
          </w:tcPr>
          <w:p w14:paraId="0AB64D70">
            <w:r>
              <w:rPr>
                <w:rFonts w:hint="eastAsia"/>
              </w:rPr>
              <w:t xml:space="preserve">有效成分及其含量： </w:t>
            </w:r>
          </w:p>
          <w:p w14:paraId="15D618A0">
            <w:r>
              <w:rPr>
                <w:rFonts w:hint="eastAsia"/>
              </w:rPr>
              <w:t xml:space="preserve">    氟啶虫酰胺20%    噻虫嗪40%    </w:t>
            </w:r>
          </w:p>
        </w:tc>
      </w:tr>
      <w:tr w14:paraId="268DA7A8">
        <w:tblPrEx>
          <w:tblCellMar>
            <w:top w:w="0" w:type="dxa"/>
            <w:left w:w="0" w:type="dxa"/>
            <w:bottom w:w="0" w:type="dxa"/>
            <w:right w:w="0" w:type="dxa"/>
          </w:tblCellMar>
        </w:tblPrEx>
        <w:trPr>
          <w:wBefore w:w="0" w:type="auto"/>
          <w:tblCellSpacing w:w="0" w:type="dxa"/>
        </w:trPr>
        <w:tc>
          <w:tcPr>
            <w:tcW w:w="0" w:type="auto"/>
            <w:noWrap w:val="0"/>
            <w:vAlign w:val="center"/>
          </w:tcPr>
          <w:p w14:paraId="14D4A96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8240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2B15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F58B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DA606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97D881">
                  <w:r>
                    <w:rPr>
                      <w:rStyle w:val="11"/>
                      <w:rFonts w:hint="eastAsia"/>
                    </w:rPr>
                    <w:t>施用方式</w:t>
                  </w:r>
                </w:p>
              </w:tc>
            </w:tr>
            <w:tr w14:paraId="5A2E38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4B3DE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781C1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653406">
                  <w:r>
                    <w:rPr>
                      <w:rStyle w:val="11"/>
                      <w:rFonts w:hint="eastAsia"/>
                    </w:rPr>
                    <w:t>4-5克/亩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B17065">
                  <w:r>
                    <w:rPr>
                      <w:rStyle w:val="11"/>
                      <w:rFonts w:hint="eastAsia"/>
                    </w:rPr>
                    <w:t>喷雾</w:t>
                  </w:r>
                </w:p>
              </w:tc>
            </w:tr>
          </w:tbl>
          <w:p w14:paraId="1EF02978">
            <w:pPr>
              <w:rPr>
                <w:rFonts w:ascii="Times New Roman" w:hAnsi="Times New Roman" w:cs="Times New Roman"/>
                <w:sz w:val="20"/>
                <w:szCs w:val="20"/>
              </w:rPr>
            </w:pPr>
          </w:p>
        </w:tc>
      </w:tr>
      <w:tr w14:paraId="1BC86957">
        <w:tblPrEx>
          <w:tblCellMar>
            <w:top w:w="0" w:type="dxa"/>
            <w:left w:w="0" w:type="dxa"/>
            <w:bottom w:w="0" w:type="dxa"/>
            <w:right w:w="0" w:type="dxa"/>
          </w:tblCellMar>
        </w:tblPrEx>
        <w:trPr>
          <w:wBefore w:w="0" w:type="auto"/>
          <w:tblCellSpacing w:w="0" w:type="dxa"/>
        </w:trPr>
        <w:tc>
          <w:tcPr>
            <w:tcW w:w="0" w:type="auto"/>
            <w:noWrap w:val="0"/>
            <w:vAlign w:val="center"/>
          </w:tcPr>
          <w:p w14:paraId="3F63FF03">
            <w:r>
              <w:rPr>
                <w:rStyle w:val="10"/>
                <w:rFonts w:hint="eastAsia"/>
              </w:rPr>
              <w:t>使用技术要求:</w:t>
            </w:r>
            <w:r>
              <w:rPr>
                <w:rFonts w:hint="eastAsia"/>
              </w:rPr>
              <w:br w:type="textWrapping"/>
            </w:r>
            <w:r>
              <w:rPr>
                <w:rStyle w:val="11"/>
                <w:rFonts w:hint="eastAsia"/>
              </w:rPr>
              <w:t>1.在黄瓜蚜虫发生初期喷雾施药，施药时应均匀喷雾。2.大风天或预计1小时内降雨，请勿施药。3.在黄瓜上的安全间隔期为3天，每季作物最多使用1次。</w:t>
            </w:r>
          </w:p>
        </w:tc>
      </w:tr>
      <w:tr w14:paraId="31AAE863">
        <w:tblPrEx>
          <w:tblCellMar>
            <w:top w:w="0" w:type="dxa"/>
            <w:left w:w="0" w:type="dxa"/>
            <w:bottom w:w="0" w:type="dxa"/>
            <w:right w:w="0" w:type="dxa"/>
          </w:tblCellMar>
        </w:tblPrEx>
        <w:trPr>
          <w:wBefore w:w="0" w:type="auto"/>
          <w:tblCellSpacing w:w="0" w:type="dxa"/>
        </w:trPr>
        <w:tc>
          <w:tcPr>
            <w:tcW w:w="0" w:type="auto"/>
            <w:noWrap w:val="0"/>
            <w:vAlign w:val="center"/>
          </w:tcPr>
          <w:p w14:paraId="7F63FBE7">
            <w:r>
              <w:rPr>
                <w:rStyle w:val="10"/>
                <w:rFonts w:hint="eastAsia"/>
              </w:rPr>
              <w:t>产品性能:</w:t>
            </w:r>
            <w:r>
              <w:rPr>
                <w:rFonts w:hint="eastAsia"/>
              </w:rPr>
              <w:br w:type="textWrapping"/>
            </w:r>
            <w:r>
              <w:rPr>
                <w:rStyle w:val="11"/>
                <w:rFonts w:hint="eastAsia"/>
              </w:rPr>
              <w:t>本品为氟啶虫酰胺和噻虫嗪复配的杀虫剂，具有触杀、胃毒、内吸活性。施药后，可被作物根或叶片内吸，在植物体内渗透性较强，对黄瓜蚜虫防治效果较好。</w:t>
            </w:r>
          </w:p>
        </w:tc>
      </w:tr>
      <w:tr w14:paraId="2DADE793">
        <w:tblPrEx>
          <w:tblCellMar>
            <w:top w:w="0" w:type="dxa"/>
            <w:left w:w="0" w:type="dxa"/>
            <w:bottom w:w="0" w:type="dxa"/>
            <w:right w:w="0" w:type="dxa"/>
          </w:tblCellMar>
        </w:tblPrEx>
        <w:trPr>
          <w:wBefore w:w="0" w:type="auto"/>
          <w:tblCellSpacing w:w="0" w:type="dxa"/>
        </w:trPr>
        <w:tc>
          <w:tcPr>
            <w:tcW w:w="0" w:type="auto"/>
            <w:noWrap w:val="0"/>
            <w:vAlign w:val="center"/>
          </w:tcPr>
          <w:p w14:paraId="78098F49">
            <w:r>
              <w:rPr>
                <w:rStyle w:val="10"/>
                <w:rFonts w:hint="eastAsia"/>
              </w:rPr>
              <w:t>注意事项：</w:t>
            </w:r>
            <w:r>
              <w:rPr>
                <w:rFonts w:hint="eastAsia"/>
              </w:rPr>
              <w:br w:type="textWrapping"/>
            </w:r>
            <w:r>
              <w:rPr>
                <w:rStyle w:val="11"/>
                <w:rFonts w:hint="eastAsia"/>
              </w:rPr>
              <w:t>1.使用本品时应穿戴适当的防护用品，穿防护服，戴防护手套、口罩和护目镜等，避免药液触及眼睛、皮肤。使用中不可吸烟、饮水及吃东西，使用后及时清洗手、脸等暴露部位皮肤并更换衣物。2.远离水产养殖区、河塘等水体施药，禁止在河塘等水体中清洗施药器具。3.（周围）开花植物花期禁用，使用期间应密切关注对附近蜂群的影响；蚕室及桑园附近禁用；赤眼蜂等天敌放飞区域禁用。</w:t>
            </w:r>
            <w:r>
              <w:rPr>
                <w:rStyle w:val="11"/>
                <w:rFonts w:hint="eastAsia"/>
              </w:rPr>
              <w:t> </w:t>
            </w:r>
            <w:r>
              <w:rPr>
                <w:rStyle w:val="11"/>
                <w:rFonts w:hint="eastAsia"/>
              </w:rPr>
              <w:t>4.用过的容器及废弃物要妥善处理，不能随意丢弃，也不能做他用。5.建议与其它作用机制的杀虫剂轮换使用。6.孕妇及哺乳期妇女禁止接触。</w:t>
            </w:r>
          </w:p>
        </w:tc>
      </w:tr>
      <w:tr w14:paraId="48F41053">
        <w:tblPrEx>
          <w:tblCellMar>
            <w:top w:w="0" w:type="dxa"/>
            <w:left w:w="0" w:type="dxa"/>
            <w:bottom w:w="0" w:type="dxa"/>
            <w:right w:w="0" w:type="dxa"/>
          </w:tblCellMar>
        </w:tblPrEx>
        <w:trPr>
          <w:wBefore w:w="0" w:type="auto"/>
          <w:tblCellSpacing w:w="0" w:type="dxa"/>
        </w:trPr>
        <w:tc>
          <w:tcPr>
            <w:tcW w:w="0" w:type="auto"/>
            <w:noWrap w:val="0"/>
            <w:vAlign w:val="center"/>
          </w:tcPr>
          <w:p w14:paraId="63406D34">
            <w:r>
              <w:rPr>
                <w:rStyle w:val="10"/>
                <w:rFonts w:hint="eastAsia"/>
              </w:rPr>
              <w:t>中毒急救措施：</w:t>
            </w:r>
            <w:r>
              <w:rPr>
                <w:rFonts w:hint="eastAsia"/>
              </w:rPr>
              <w:br w:type="textWrapping"/>
            </w:r>
            <w:r>
              <w:rPr>
                <w:rStyle w:val="11"/>
                <w:rFonts w:hint="eastAsia"/>
              </w:rPr>
              <w:t>本品对眼睛有刺激性。1.皮肤接触：立即脱掉被污染的衣物，用大量清水和肥皂冲洗皮肤。2.眼睛溅入：立即用流动清水冲洗不少于15分钟。如症状持续，携此标签去医院诊治。3.不慎吸入：立即将吸入者移至空气流通处，请医生诊治。4.误食：勿引吐，立即携此标签送医就诊，对症治疗，无特效解毒药。</w:t>
            </w:r>
          </w:p>
        </w:tc>
      </w:tr>
      <w:tr w14:paraId="072069AE">
        <w:tblPrEx>
          <w:tblCellMar>
            <w:top w:w="0" w:type="dxa"/>
            <w:left w:w="0" w:type="dxa"/>
            <w:bottom w:w="0" w:type="dxa"/>
            <w:right w:w="0" w:type="dxa"/>
          </w:tblCellMar>
        </w:tblPrEx>
        <w:trPr>
          <w:wBefore w:w="0" w:type="auto"/>
          <w:tblCellSpacing w:w="0" w:type="dxa"/>
        </w:trPr>
        <w:tc>
          <w:tcPr>
            <w:tcW w:w="0" w:type="auto"/>
            <w:noWrap w:val="0"/>
            <w:vAlign w:val="center"/>
          </w:tcPr>
          <w:p w14:paraId="6A395778">
            <w:r>
              <w:rPr>
                <w:rStyle w:val="10"/>
                <w:rFonts w:hint="eastAsia"/>
              </w:rPr>
              <w:t>储存和运输方法：</w:t>
            </w:r>
            <w:r>
              <w:rPr>
                <w:rFonts w:hint="eastAsia"/>
              </w:rPr>
              <w:br w:type="textWrapping"/>
            </w:r>
            <w:r>
              <w:rPr>
                <w:rStyle w:val="11"/>
                <w:rFonts w:hint="eastAsia"/>
              </w:rPr>
              <w:t>1.本品应贮存在干燥、阴凉、通风处，远离火源或热源。2.置于儿童接触不到的地方，并加锁保存。3.不能与食品、饮料、粮食、饲料等同贮同运。</w:t>
            </w:r>
          </w:p>
        </w:tc>
      </w:tr>
      <w:tr w14:paraId="2E30EBB4">
        <w:tblPrEx>
          <w:tblCellMar>
            <w:top w:w="0" w:type="dxa"/>
            <w:left w:w="0" w:type="dxa"/>
            <w:bottom w:w="0" w:type="dxa"/>
            <w:right w:w="0" w:type="dxa"/>
          </w:tblCellMar>
        </w:tblPrEx>
        <w:trPr>
          <w:wBefore w:w="0" w:type="auto"/>
          <w:tblCellSpacing w:w="0" w:type="dxa"/>
        </w:trPr>
        <w:tc>
          <w:tcPr>
            <w:tcW w:w="0" w:type="auto"/>
            <w:noWrap w:val="0"/>
            <w:vAlign w:val="center"/>
          </w:tcPr>
          <w:p w14:paraId="2282ED04">
            <w:r>
              <w:rPr>
                <w:rStyle w:val="10"/>
                <w:rFonts w:hint="eastAsia"/>
              </w:rPr>
              <w:t>质量保证期：</w:t>
            </w:r>
            <w:r>
              <w:rPr>
                <w:rStyle w:val="11"/>
                <w:rFonts w:hint="eastAsia"/>
              </w:rPr>
              <w:t>2年</w:t>
            </w:r>
          </w:p>
        </w:tc>
      </w:tr>
      <w:tr w14:paraId="3FA6ECD9">
        <w:tblPrEx>
          <w:tblCellMar>
            <w:top w:w="0" w:type="dxa"/>
            <w:left w:w="0" w:type="dxa"/>
            <w:bottom w:w="0" w:type="dxa"/>
            <w:right w:w="0" w:type="dxa"/>
          </w:tblCellMar>
        </w:tblPrEx>
        <w:trPr>
          <w:wBefore w:w="0" w:type="auto"/>
          <w:tblCellSpacing w:w="0" w:type="dxa"/>
        </w:trPr>
        <w:tc>
          <w:tcPr>
            <w:tcW w:w="0" w:type="auto"/>
            <w:noWrap w:val="0"/>
            <w:vAlign w:val="center"/>
          </w:tcPr>
          <w:p w14:paraId="5BBB8251">
            <w:r>
              <w:rPr>
                <w:rStyle w:val="10"/>
                <w:rFonts w:hint="eastAsia"/>
              </w:rPr>
              <w:t>备注：</w:t>
            </w:r>
          </w:p>
        </w:tc>
      </w:tr>
    </w:tbl>
    <w:p w14:paraId="3F9631D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2DAF21">
        <w:tblPrEx>
          <w:tblCellMar>
            <w:top w:w="0" w:type="dxa"/>
            <w:left w:w="0" w:type="dxa"/>
            <w:bottom w:w="0" w:type="dxa"/>
            <w:right w:w="0" w:type="dxa"/>
          </w:tblCellMar>
        </w:tblPrEx>
        <w:trPr>
          <w:wBefore w:w="0" w:type="auto"/>
          <w:tblCellSpacing w:w="0" w:type="dxa"/>
        </w:trPr>
        <w:tc>
          <w:tcPr>
            <w:tcW w:w="0" w:type="auto"/>
            <w:noWrap w:val="0"/>
            <w:vAlign w:val="center"/>
          </w:tcPr>
          <w:p w14:paraId="7B6B37E0">
            <w:r>
              <w:rPr>
                <w:rStyle w:val="10"/>
                <w:rFonts w:hint="eastAsia"/>
              </w:rPr>
              <w:t>登记证号：</w:t>
            </w:r>
            <w:r>
              <w:rPr>
                <w:rFonts w:hint="eastAsia"/>
              </w:rPr>
              <w:t>PD20212356</w:t>
            </w:r>
          </w:p>
        </w:tc>
      </w:tr>
      <w:tr w14:paraId="0CBBA428">
        <w:tblPrEx>
          <w:tblCellMar>
            <w:top w:w="0" w:type="dxa"/>
            <w:left w:w="0" w:type="dxa"/>
            <w:bottom w:w="0" w:type="dxa"/>
            <w:right w:w="0" w:type="dxa"/>
          </w:tblCellMar>
        </w:tblPrEx>
        <w:trPr>
          <w:wBefore w:w="0" w:type="auto"/>
          <w:tblCellSpacing w:w="0" w:type="dxa"/>
        </w:trPr>
        <w:tc>
          <w:tcPr>
            <w:tcW w:w="0" w:type="auto"/>
            <w:noWrap w:val="0"/>
            <w:vAlign w:val="center"/>
          </w:tcPr>
          <w:p w14:paraId="68439C81">
            <w:r>
              <w:rPr>
                <w:rStyle w:val="10"/>
                <w:rFonts w:hint="eastAsia"/>
              </w:rPr>
              <w:t>登记证持有人：</w:t>
            </w:r>
            <w:r>
              <w:rPr>
                <w:rFonts w:hint="eastAsia"/>
              </w:rPr>
              <w:t>河南常见生物科技有限公司</w:t>
            </w:r>
          </w:p>
        </w:tc>
      </w:tr>
      <w:tr w14:paraId="2B73368F">
        <w:tblPrEx>
          <w:tblCellMar>
            <w:top w:w="0" w:type="dxa"/>
            <w:left w:w="0" w:type="dxa"/>
            <w:bottom w:w="0" w:type="dxa"/>
            <w:right w:w="0" w:type="dxa"/>
          </w:tblCellMar>
        </w:tblPrEx>
        <w:trPr>
          <w:wBefore w:w="0" w:type="auto"/>
          <w:tblCellSpacing w:w="0" w:type="dxa"/>
        </w:trPr>
        <w:tc>
          <w:tcPr>
            <w:tcW w:w="0" w:type="auto"/>
            <w:noWrap w:val="0"/>
            <w:vAlign w:val="center"/>
          </w:tcPr>
          <w:p w14:paraId="37FC5D7C">
            <w:r>
              <w:rPr>
                <w:rStyle w:val="10"/>
                <w:rFonts w:hint="eastAsia"/>
              </w:rPr>
              <w:t>农药名称：</w:t>
            </w:r>
            <w:r>
              <w:rPr>
                <w:rFonts w:hint="eastAsia"/>
              </w:rPr>
              <w:t>甲维·虱螨脲</w:t>
            </w:r>
          </w:p>
        </w:tc>
      </w:tr>
      <w:tr w14:paraId="319535A0">
        <w:tblPrEx>
          <w:tblCellMar>
            <w:top w:w="0" w:type="dxa"/>
            <w:left w:w="0" w:type="dxa"/>
            <w:bottom w:w="0" w:type="dxa"/>
            <w:right w:w="0" w:type="dxa"/>
          </w:tblCellMar>
        </w:tblPrEx>
        <w:trPr>
          <w:wBefore w:w="0" w:type="auto"/>
          <w:tblCellSpacing w:w="0" w:type="dxa"/>
        </w:trPr>
        <w:tc>
          <w:tcPr>
            <w:tcW w:w="0" w:type="auto"/>
            <w:noWrap w:val="0"/>
            <w:vAlign w:val="center"/>
          </w:tcPr>
          <w:p w14:paraId="5F63355A">
            <w:r>
              <w:rPr>
                <w:rStyle w:val="10"/>
                <w:rFonts w:hint="eastAsia"/>
              </w:rPr>
              <w:t>剂型：</w:t>
            </w:r>
            <w:r>
              <w:rPr>
                <w:rFonts w:hint="eastAsia"/>
              </w:rPr>
              <w:t>悬浮剂</w:t>
            </w:r>
          </w:p>
        </w:tc>
      </w:tr>
      <w:tr w14:paraId="7941CDC7">
        <w:tblPrEx>
          <w:tblCellMar>
            <w:top w:w="0" w:type="dxa"/>
            <w:left w:w="0" w:type="dxa"/>
            <w:bottom w:w="0" w:type="dxa"/>
            <w:right w:w="0" w:type="dxa"/>
          </w:tblCellMar>
        </w:tblPrEx>
        <w:trPr>
          <w:wBefore w:w="0" w:type="auto"/>
          <w:tblCellSpacing w:w="0" w:type="dxa"/>
        </w:trPr>
        <w:tc>
          <w:tcPr>
            <w:tcW w:w="0" w:type="auto"/>
            <w:noWrap w:val="0"/>
            <w:vAlign w:val="center"/>
          </w:tcPr>
          <w:p w14:paraId="1553F960">
            <w:r>
              <w:rPr>
                <w:rStyle w:val="10"/>
                <w:rFonts w:hint="eastAsia"/>
              </w:rPr>
              <w:t>毒性及其标识：</w:t>
            </w:r>
            <w:r>
              <w:rPr>
                <w:rFonts w:hint="eastAsia"/>
              </w:rPr>
              <w:t xml:space="preserve"> </w:t>
            </w:r>
            <w:r>
              <w:rPr>
                <w:lang/>
              </w:rPr>
              <w:drawing>
                <wp:inline distT="0" distB="0" distL="114300" distR="114300">
                  <wp:extent cx="476250" cy="323850"/>
                  <wp:effectExtent l="0" t="0" r="0" b="0"/>
                  <wp:docPr id="35" name="图片 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DBC1FB">
        <w:tblPrEx>
          <w:tblCellMar>
            <w:top w:w="0" w:type="dxa"/>
            <w:left w:w="0" w:type="dxa"/>
            <w:bottom w:w="0" w:type="dxa"/>
            <w:right w:w="0" w:type="dxa"/>
          </w:tblCellMar>
        </w:tblPrEx>
        <w:trPr>
          <w:wBefore w:w="0" w:type="auto"/>
          <w:tblCellSpacing w:w="0" w:type="dxa"/>
        </w:trPr>
        <w:tc>
          <w:tcPr>
            <w:tcW w:w="0" w:type="auto"/>
            <w:noWrap w:val="0"/>
            <w:vAlign w:val="center"/>
          </w:tcPr>
          <w:p w14:paraId="7AD8BE31">
            <w:r>
              <w:rPr>
                <w:rStyle w:val="10"/>
                <w:rFonts w:hint="eastAsia"/>
              </w:rPr>
              <w:t>总有效成分含量：</w:t>
            </w:r>
            <w:r>
              <w:rPr>
                <w:rFonts w:hint="eastAsia"/>
              </w:rPr>
              <w:t>7.6%</w:t>
            </w:r>
          </w:p>
        </w:tc>
      </w:tr>
      <w:tr w14:paraId="1C81DBF0">
        <w:tblPrEx>
          <w:tblCellMar>
            <w:top w:w="0" w:type="dxa"/>
            <w:left w:w="0" w:type="dxa"/>
            <w:bottom w:w="0" w:type="dxa"/>
            <w:right w:w="0" w:type="dxa"/>
          </w:tblCellMar>
        </w:tblPrEx>
        <w:trPr>
          <w:wBefore w:w="0" w:type="auto"/>
          <w:tblCellSpacing w:w="0" w:type="dxa"/>
        </w:trPr>
        <w:tc>
          <w:tcPr>
            <w:tcW w:w="0" w:type="auto"/>
            <w:noWrap w:val="0"/>
            <w:vAlign w:val="center"/>
          </w:tcPr>
          <w:p w14:paraId="796D2F99">
            <w:r>
              <w:rPr>
                <w:rFonts w:hint="eastAsia"/>
              </w:rPr>
              <w:t xml:space="preserve">有效成分及其含量： </w:t>
            </w:r>
          </w:p>
          <w:p w14:paraId="79E8FC46">
            <w:r>
              <w:rPr>
                <w:rFonts w:hint="eastAsia"/>
              </w:rPr>
              <w:t xml:space="preserve">    甲氨基阿维菌素2.6%    虱螨脲5%    </w:t>
            </w:r>
          </w:p>
        </w:tc>
      </w:tr>
      <w:tr w14:paraId="2998510C">
        <w:tblPrEx>
          <w:tblCellMar>
            <w:top w:w="0" w:type="dxa"/>
            <w:left w:w="0" w:type="dxa"/>
            <w:bottom w:w="0" w:type="dxa"/>
            <w:right w:w="0" w:type="dxa"/>
          </w:tblCellMar>
        </w:tblPrEx>
        <w:trPr>
          <w:wBefore w:w="0" w:type="auto"/>
          <w:tblCellSpacing w:w="0" w:type="dxa"/>
        </w:trPr>
        <w:tc>
          <w:tcPr>
            <w:tcW w:w="0" w:type="auto"/>
            <w:noWrap w:val="0"/>
            <w:vAlign w:val="center"/>
          </w:tcPr>
          <w:p w14:paraId="12A20ED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E8CB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DA00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9195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8DD5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030377">
                  <w:r>
                    <w:rPr>
                      <w:rStyle w:val="11"/>
                      <w:rFonts w:hint="eastAsia"/>
                    </w:rPr>
                    <w:t>施用方式</w:t>
                  </w:r>
                </w:p>
              </w:tc>
            </w:tr>
            <w:tr w14:paraId="76A4E3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7E07C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FEA51F">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924765">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D20AE8">
                  <w:r>
                    <w:rPr>
                      <w:rStyle w:val="11"/>
                      <w:rFonts w:hint="eastAsia"/>
                    </w:rPr>
                    <w:t>喷雾</w:t>
                  </w:r>
                </w:p>
              </w:tc>
            </w:tr>
          </w:tbl>
          <w:p w14:paraId="362F6A87">
            <w:pPr>
              <w:rPr>
                <w:rFonts w:ascii="Times New Roman" w:hAnsi="Times New Roman" w:cs="Times New Roman"/>
                <w:sz w:val="20"/>
                <w:szCs w:val="20"/>
              </w:rPr>
            </w:pPr>
          </w:p>
        </w:tc>
      </w:tr>
      <w:tr w14:paraId="2E2C723F">
        <w:tblPrEx>
          <w:tblCellMar>
            <w:top w:w="0" w:type="dxa"/>
            <w:left w:w="0" w:type="dxa"/>
            <w:bottom w:w="0" w:type="dxa"/>
            <w:right w:w="0" w:type="dxa"/>
          </w:tblCellMar>
        </w:tblPrEx>
        <w:trPr>
          <w:wBefore w:w="0" w:type="auto"/>
          <w:tblCellSpacing w:w="0" w:type="dxa"/>
        </w:trPr>
        <w:tc>
          <w:tcPr>
            <w:tcW w:w="0" w:type="auto"/>
            <w:noWrap w:val="0"/>
            <w:vAlign w:val="center"/>
          </w:tcPr>
          <w:p w14:paraId="62E70594">
            <w:r>
              <w:rPr>
                <w:rStyle w:val="10"/>
                <w:rFonts w:hint="eastAsia"/>
              </w:rPr>
              <w:t>使用技术要求:</w:t>
            </w:r>
            <w:r>
              <w:rPr>
                <w:rFonts w:hint="eastAsia"/>
              </w:rPr>
              <w:br w:type="textWrapping"/>
            </w:r>
            <w:r>
              <w:rPr>
                <w:rStyle w:val="11"/>
                <w:rFonts w:hint="eastAsia"/>
              </w:rPr>
              <w:t>1、在甘蓝甜菜夜蛾低龄幼虫盛发期施药，施药时雾滴要细，喷雾要均匀。 2、大风天或预计1小时内有降雨，请勿施药。 3、本品在甘蓝上使用的安全间隔期为7天，每季作物使用1次。</w:t>
            </w:r>
          </w:p>
        </w:tc>
      </w:tr>
      <w:tr w14:paraId="1FA77D6F">
        <w:tblPrEx>
          <w:tblCellMar>
            <w:top w:w="0" w:type="dxa"/>
            <w:left w:w="0" w:type="dxa"/>
            <w:bottom w:w="0" w:type="dxa"/>
            <w:right w:w="0" w:type="dxa"/>
          </w:tblCellMar>
        </w:tblPrEx>
        <w:trPr>
          <w:wBefore w:w="0" w:type="auto"/>
          <w:tblCellSpacing w:w="0" w:type="dxa"/>
        </w:trPr>
        <w:tc>
          <w:tcPr>
            <w:tcW w:w="0" w:type="auto"/>
            <w:noWrap w:val="0"/>
            <w:vAlign w:val="center"/>
          </w:tcPr>
          <w:p w14:paraId="263E6AEA">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w:t>
            </w:r>
          </w:p>
        </w:tc>
      </w:tr>
      <w:tr w14:paraId="779599EC">
        <w:tblPrEx>
          <w:tblCellMar>
            <w:top w:w="0" w:type="dxa"/>
            <w:left w:w="0" w:type="dxa"/>
            <w:bottom w:w="0" w:type="dxa"/>
            <w:right w:w="0" w:type="dxa"/>
          </w:tblCellMar>
        </w:tblPrEx>
        <w:trPr>
          <w:wBefore w:w="0" w:type="auto"/>
          <w:tblCellSpacing w:w="0" w:type="dxa"/>
        </w:trPr>
        <w:tc>
          <w:tcPr>
            <w:tcW w:w="0" w:type="auto"/>
            <w:noWrap w:val="0"/>
            <w:vAlign w:val="center"/>
          </w:tcPr>
          <w:p w14:paraId="7A39764C">
            <w:r>
              <w:rPr>
                <w:rStyle w:val="10"/>
                <w:rFonts w:hint="eastAsia"/>
              </w:rPr>
              <w:t>注意事项：</w:t>
            </w:r>
            <w:r>
              <w:rPr>
                <w:rFonts w:hint="eastAsia"/>
              </w:rPr>
              <w:br w:type="textWrapping"/>
            </w:r>
            <w:r>
              <w:rPr>
                <w:rStyle w:val="11"/>
                <w:rFonts w:hint="eastAsia"/>
              </w:rPr>
              <w:t>1、本品不可与强氧化剂或碱性类农药混合使用。 2、配药和喷药时穿防护服，戴手套面罩，穿胶靴鞋。严格按照农药安全使用规则操作，避免接触皮肤、眼睛和污染衣物，避免吸入药滴，勿在施药现场抽烟和饮食。 施药后应立即清洗，并更换工作服。 3、本品对蜜蜂、鱼类等水生生物、家蚕有毒，（周围）开花植物花期、蚕室和桑园附近禁用，施药期间应避免对周围蜂群的影响。赤眼蜂等天敌放飞区禁用。远离水产养殖区、河塘施药，禁止在河塘等水域中清洗施药器具。 4、用过的容器应妥善处理，不可做他用，也不可随意丢弃。 5、孕妇、哺乳期妇女及过敏者禁止接触本品。</w:t>
            </w:r>
          </w:p>
        </w:tc>
      </w:tr>
      <w:tr w14:paraId="0D423573">
        <w:tblPrEx>
          <w:tblCellMar>
            <w:top w:w="0" w:type="dxa"/>
            <w:left w:w="0" w:type="dxa"/>
            <w:bottom w:w="0" w:type="dxa"/>
            <w:right w:w="0" w:type="dxa"/>
          </w:tblCellMar>
        </w:tblPrEx>
        <w:trPr>
          <w:wBefore w:w="0" w:type="auto"/>
          <w:tblCellSpacing w:w="0" w:type="dxa"/>
        </w:trPr>
        <w:tc>
          <w:tcPr>
            <w:tcW w:w="0" w:type="auto"/>
            <w:noWrap w:val="0"/>
            <w:vAlign w:val="center"/>
          </w:tcPr>
          <w:p w14:paraId="127042C8">
            <w:r>
              <w:rPr>
                <w:rStyle w:val="10"/>
                <w:rFonts w:hint="eastAsia"/>
              </w:rPr>
              <w:t>中毒急救措施：</w:t>
            </w:r>
            <w:r>
              <w:rPr>
                <w:rFonts w:hint="eastAsia"/>
              </w:rPr>
              <w:br w:type="textWrapping"/>
            </w:r>
            <w:r>
              <w:rPr>
                <w:rStyle w:val="11"/>
                <w:rFonts w:hint="eastAsia"/>
              </w:rPr>
              <w:t>中毒急救: 中毒症状：早期症状为瞳孔放大，行动失调，肌肉颤抖，严重时导致呕吐。急救措施：1、吸入：将患者移至新鲜空气处，请医生诊治。 2、眼睛接触：分开眼睑，用大量清水冲洗眼至少15分钟，再请医生诊治。 3、皮肤接触：脱去污染的衣着，立即用清水冲洗污染的皮肤至少20分钟，再用肥皂冲洗干净，将药物对皮肤的影响降到最低。 4、口服：立即携带标签，送医就诊。 紧急措施：立即引吐并给患者服用吐根糖浆或黄麻素，但勿给昏迷患者催吐或灌任何东西。无特殊解毒剂，对症治疗。</w:t>
            </w:r>
          </w:p>
        </w:tc>
      </w:tr>
      <w:tr w14:paraId="12C43532">
        <w:tblPrEx>
          <w:tblCellMar>
            <w:top w:w="0" w:type="dxa"/>
            <w:left w:w="0" w:type="dxa"/>
            <w:bottom w:w="0" w:type="dxa"/>
            <w:right w:w="0" w:type="dxa"/>
          </w:tblCellMar>
        </w:tblPrEx>
        <w:trPr>
          <w:wBefore w:w="0" w:type="auto"/>
          <w:tblCellSpacing w:w="0" w:type="dxa"/>
        </w:trPr>
        <w:tc>
          <w:tcPr>
            <w:tcW w:w="0" w:type="auto"/>
            <w:noWrap w:val="0"/>
            <w:vAlign w:val="center"/>
          </w:tcPr>
          <w:p w14:paraId="5FCFAC8C">
            <w:r>
              <w:rPr>
                <w:rStyle w:val="10"/>
                <w:rFonts w:hint="eastAsia"/>
              </w:rPr>
              <w:t>储存和运输方法：</w:t>
            </w:r>
            <w:r>
              <w:rPr>
                <w:rFonts w:hint="eastAsia"/>
              </w:rPr>
              <w:br w:type="textWrapping"/>
            </w:r>
            <w:r>
              <w:rPr>
                <w:rStyle w:val="11"/>
                <w:rFonts w:hint="eastAsia"/>
              </w:rPr>
              <w:t>包装件应贮存在通风、干燥的库房中。贮运时，严防潮湿和日晒，置于儿童触及不到之处，并加锁，勿与食品、饮料、粮食、饲料等其他商品同贮同运，避免与皮肤、眼睛接触，防止口鼻吸入。</w:t>
            </w:r>
          </w:p>
        </w:tc>
      </w:tr>
      <w:tr w14:paraId="303B2EC0">
        <w:tblPrEx>
          <w:tblCellMar>
            <w:top w:w="0" w:type="dxa"/>
            <w:left w:w="0" w:type="dxa"/>
            <w:bottom w:w="0" w:type="dxa"/>
            <w:right w:w="0" w:type="dxa"/>
          </w:tblCellMar>
        </w:tblPrEx>
        <w:trPr>
          <w:wBefore w:w="0" w:type="auto"/>
          <w:tblCellSpacing w:w="0" w:type="dxa"/>
        </w:trPr>
        <w:tc>
          <w:tcPr>
            <w:tcW w:w="0" w:type="auto"/>
            <w:noWrap w:val="0"/>
            <w:vAlign w:val="center"/>
          </w:tcPr>
          <w:p w14:paraId="582E7B87">
            <w:r>
              <w:rPr>
                <w:rStyle w:val="10"/>
                <w:rFonts w:hint="eastAsia"/>
              </w:rPr>
              <w:t>质量保证期：</w:t>
            </w:r>
            <w:r>
              <w:rPr>
                <w:rStyle w:val="11"/>
                <w:rFonts w:hint="eastAsia"/>
              </w:rPr>
              <w:t>2年</w:t>
            </w:r>
          </w:p>
        </w:tc>
      </w:tr>
      <w:tr w14:paraId="70EA1E23">
        <w:tblPrEx>
          <w:tblCellMar>
            <w:top w:w="0" w:type="dxa"/>
            <w:left w:w="0" w:type="dxa"/>
            <w:bottom w:w="0" w:type="dxa"/>
            <w:right w:w="0" w:type="dxa"/>
          </w:tblCellMar>
        </w:tblPrEx>
        <w:trPr>
          <w:wBefore w:w="0" w:type="auto"/>
          <w:tblCellSpacing w:w="0" w:type="dxa"/>
        </w:trPr>
        <w:tc>
          <w:tcPr>
            <w:tcW w:w="0" w:type="auto"/>
            <w:noWrap w:val="0"/>
            <w:vAlign w:val="center"/>
          </w:tcPr>
          <w:p w14:paraId="4840E444">
            <w:r>
              <w:rPr>
                <w:rStyle w:val="10"/>
                <w:rFonts w:hint="eastAsia"/>
              </w:rPr>
              <w:t>备注：</w:t>
            </w:r>
            <w:r>
              <w:rPr>
                <w:rFonts w:hint="eastAsia"/>
              </w:rPr>
              <w:br w:type="textWrapping"/>
            </w:r>
            <w:r>
              <w:rPr>
                <w:rStyle w:val="11"/>
                <w:rFonts w:hint="eastAsia"/>
              </w:rPr>
              <w:t>甲氨基阿维菌素苯甲酸盐3%。</w:t>
            </w:r>
          </w:p>
        </w:tc>
      </w:tr>
    </w:tbl>
    <w:p w14:paraId="531E423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E9D970">
        <w:tblPrEx>
          <w:tblCellMar>
            <w:top w:w="0" w:type="dxa"/>
            <w:left w:w="0" w:type="dxa"/>
            <w:bottom w:w="0" w:type="dxa"/>
            <w:right w:w="0" w:type="dxa"/>
          </w:tblCellMar>
        </w:tblPrEx>
        <w:trPr>
          <w:wBefore w:w="0" w:type="auto"/>
          <w:tblCellSpacing w:w="0" w:type="dxa"/>
        </w:trPr>
        <w:tc>
          <w:tcPr>
            <w:tcW w:w="0" w:type="auto"/>
            <w:noWrap w:val="0"/>
            <w:vAlign w:val="center"/>
          </w:tcPr>
          <w:p w14:paraId="3F6453EF">
            <w:r>
              <w:rPr>
                <w:rStyle w:val="10"/>
                <w:rFonts w:hint="eastAsia"/>
              </w:rPr>
              <w:t>登记证号：</w:t>
            </w:r>
            <w:r>
              <w:rPr>
                <w:rFonts w:hint="eastAsia"/>
              </w:rPr>
              <w:t>PD20212384</w:t>
            </w:r>
          </w:p>
        </w:tc>
      </w:tr>
      <w:tr w14:paraId="1529BFB4">
        <w:tblPrEx>
          <w:tblCellMar>
            <w:top w:w="0" w:type="dxa"/>
            <w:left w:w="0" w:type="dxa"/>
            <w:bottom w:w="0" w:type="dxa"/>
            <w:right w:w="0" w:type="dxa"/>
          </w:tblCellMar>
        </w:tblPrEx>
        <w:trPr>
          <w:wBefore w:w="0" w:type="auto"/>
          <w:tblCellSpacing w:w="0" w:type="dxa"/>
        </w:trPr>
        <w:tc>
          <w:tcPr>
            <w:tcW w:w="0" w:type="auto"/>
            <w:noWrap w:val="0"/>
            <w:vAlign w:val="center"/>
          </w:tcPr>
          <w:p w14:paraId="6BFE2DEC">
            <w:r>
              <w:rPr>
                <w:rStyle w:val="10"/>
                <w:rFonts w:hint="eastAsia"/>
              </w:rPr>
              <w:t>登记证持有人：</w:t>
            </w:r>
            <w:r>
              <w:rPr>
                <w:rFonts w:hint="eastAsia"/>
              </w:rPr>
              <w:t>江西大山科技有限公司</w:t>
            </w:r>
          </w:p>
        </w:tc>
      </w:tr>
      <w:tr w14:paraId="4D8B2E48">
        <w:tblPrEx>
          <w:tblCellMar>
            <w:top w:w="0" w:type="dxa"/>
            <w:left w:w="0" w:type="dxa"/>
            <w:bottom w:w="0" w:type="dxa"/>
            <w:right w:w="0" w:type="dxa"/>
          </w:tblCellMar>
        </w:tblPrEx>
        <w:trPr>
          <w:wBefore w:w="0" w:type="auto"/>
          <w:tblCellSpacing w:w="0" w:type="dxa"/>
        </w:trPr>
        <w:tc>
          <w:tcPr>
            <w:tcW w:w="0" w:type="auto"/>
            <w:noWrap w:val="0"/>
            <w:vAlign w:val="center"/>
          </w:tcPr>
          <w:p w14:paraId="64C0EC60">
            <w:r>
              <w:rPr>
                <w:rStyle w:val="10"/>
                <w:rFonts w:hint="eastAsia"/>
              </w:rPr>
              <w:t>农药名称：</w:t>
            </w:r>
            <w:r>
              <w:rPr>
                <w:rFonts w:hint="eastAsia"/>
              </w:rPr>
              <w:t>烯啶·呋虫胺</w:t>
            </w:r>
          </w:p>
        </w:tc>
      </w:tr>
      <w:tr w14:paraId="1DE548F8">
        <w:tblPrEx>
          <w:tblCellMar>
            <w:top w:w="0" w:type="dxa"/>
            <w:left w:w="0" w:type="dxa"/>
            <w:bottom w:w="0" w:type="dxa"/>
            <w:right w:w="0" w:type="dxa"/>
          </w:tblCellMar>
        </w:tblPrEx>
        <w:trPr>
          <w:wBefore w:w="0" w:type="auto"/>
          <w:tblCellSpacing w:w="0" w:type="dxa"/>
        </w:trPr>
        <w:tc>
          <w:tcPr>
            <w:tcW w:w="0" w:type="auto"/>
            <w:noWrap w:val="0"/>
            <w:vAlign w:val="center"/>
          </w:tcPr>
          <w:p w14:paraId="25009E3F">
            <w:r>
              <w:rPr>
                <w:rStyle w:val="10"/>
                <w:rFonts w:hint="eastAsia"/>
              </w:rPr>
              <w:t>剂型：</w:t>
            </w:r>
            <w:r>
              <w:rPr>
                <w:rFonts w:hint="eastAsia"/>
              </w:rPr>
              <w:t>水分散粒剂</w:t>
            </w:r>
          </w:p>
        </w:tc>
      </w:tr>
      <w:tr w14:paraId="61FA20C1">
        <w:tblPrEx>
          <w:tblCellMar>
            <w:top w:w="0" w:type="dxa"/>
            <w:left w:w="0" w:type="dxa"/>
            <w:bottom w:w="0" w:type="dxa"/>
            <w:right w:w="0" w:type="dxa"/>
          </w:tblCellMar>
        </w:tblPrEx>
        <w:trPr>
          <w:wBefore w:w="0" w:type="auto"/>
          <w:tblCellSpacing w:w="0" w:type="dxa"/>
        </w:trPr>
        <w:tc>
          <w:tcPr>
            <w:tcW w:w="0" w:type="auto"/>
            <w:noWrap w:val="0"/>
            <w:vAlign w:val="center"/>
          </w:tcPr>
          <w:p w14:paraId="710CC301">
            <w:r>
              <w:rPr>
                <w:rStyle w:val="10"/>
                <w:rFonts w:hint="eastAsia"/>
              </w:rPr>
              <w:t>毒性及其标识：</w:t>
            </w:r>
            <w:r>
              <w:rPr>
                <w:rFonts w:hint="eastAsia"/>
              </w:rPr>
              <w:t xml:space="preserve"> 微毒 </w:t>
            </w:r>
          </w:p>
        </w:tc>
      </w:tr>
      <w:tr w14:paraId="559C44E9">
        <w:tblPrEx>
          <w:tblCellMar>
            <w:top w:w="0" w:type="dxa"/>
            <w:left w:w="0" w:type="dxa"/>
            <w:bottom w:w="0" w:type="dxa"/>
            <w:right w:w="0" w:type="dxa"/>
          </w:tblCellMar>
        </w:tblPrEx>
        <w:trPr>
          <w:wBefore w:w="0" w:type="auto"/>
          <w:tblCellSpacing w:w="0" w:type="dxa"/>
        </w:trPr>
        <w:tc>
          <w:tcPr>
            <w:tcW w:w="0" w:type="auto"/>
            <w:noWrap w:val="0"/>
            <w:vAlign w:val="center"/>
          </w:tcPr>
          <w:p w14:paraId="70EF5049">
            <w:r>
              <w:rPr>
                <w:rStyle w:val="10"/>
                <w:rFonts w:hint="eastAsia"/>
              </w:rPr>
              <w:t>总有效成分含量：</w:t>
            </w:r>
            <w:r>
              <w:rPr>
                <w:rFonts w:hint="eastAsia"/>
              </w:rPr>
              <w:t>60%</w:t>
            </w:r>
          </w:p>
        </w:tc>
      </w:tr>
      <w:tr w14:paraId="029CA947">
        <w:tblPrEx>
          <w:tblCellMar>
            <w:top w:w="0" w:type="dxa"/>
            <w:left w:w="0" w:type="dxa"/>
            <w:bottom w:w="0" w:type="dxa"/>
            <w:right w:w="0" w:type="dxa"/>
          </w:tblCellMar>
        </w:tblPrEx>
        <w:trPr>
          <w:wBefore w:w="0" w:type="auto"/>
          <w:tblCellSpacing w:w="0" w:type="dxa"/>
        </w:trPr>
        <w:tc>
          <w:tcPr>
            <w:tcW w:w="0" w:type="auto"/>
            <w:noWrap w:val="0"/>
            <w:vAlign w:val="center"/>
          </w:tcPr>
          <w:p w14:paraId="519E13DB">
            <w:r>
              <w:rPr>
                <w:rFonts w:hint="eastAsia"/>
              </w:rPr>
              <w:t xml:space="preserve">有效成分及其含量： </w:t>
            </w:r>
          </w:p>
          <w:p w14:paraId="1DCE5342">
            <w:r>
              <w:rPr>
                <w:rFonts w:hint="eastAsia"/>
              </w:rPr>
              <w:t xml:space="preserve">    呋虫胺40%    烯啶虫胺20%    </w:t>
            </w:r>
          </w:p>
        </w:tc>
      </w:tr>
      <w:tr w14:paraId="37BE879E">
        <w:tblPrEx>
          <w:tblCellMar>
            <w:top w:w="0" w:type="dxa"/>
            <w:left w:w="0" w:type="dxa"/>
            <w:bottom w:w="0" w:type="dxa"/>
            <w:right w:w="0" w:type="dxa"/>
          </w:tblCellMar>
        </w:tblPrEx>
        <w:trPr>
          <w:wBefore w:w="0" w:type="auto"/>
          <w:tblCellSpacing w:w="0" w:type="dxa"/>
        </w:trPr>
        <w:tc>
          <w:tcPr>
            <w:tcW w:w="0" w:type="auto"/>
            <w:noWrap w:val="0"/>
            <w:vAlign w:val="center"/>
          </w:tcPr>
          <w:p w14:paraId="020A8B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BD24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A471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EDAF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19DB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C0127C">
                  <w:r>
                    <w:rPr>
                      <w:rStyle w:val="11"/>
                      <w:rFonts w:hint="eastAsia"/>
                    </w:rPr>
                    <w:t>施用方式</w:t>
                  </w:r>
                </w:p>
              </w:tc>
            </w:tr>
            <w:tr w14:paraId="6DBC7E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B9798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091208">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D17599">
                  <w:r>
                    <w:rPr>
                      <w:rStyle w:val="11"/>
                      <w:rFonts w:hint="eastAsia"/>
                    </w:rPr>
                    <w:t>10-15克/亩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BF5F79">
                  <w:r>
                    <w:rPr>
                      <w:rStyle w:val="11"/>
                      <w:rFonts w:hint="eastAsia"/>
                    </w:rPr>
                    <w:t>喷雾</w:t>
                  </w:r>
                </w:p>
              </w:tc>
            </w:tr>
          </w:tbl>
          <w:p w14:paraId="1CB1B923">
            <w:pPr>
              <w:rPr>
                <w:rFonts w:ascii="Times New Roman" w:hAnsi="Times New Roman" w:cs="Times New Roman"/>
                <w:sz w:val="20"/>
                <w:szCs w:val="20"/>
              </w:rPr>
            </w:pPr>
          </w:p>
        </w:tc>
      </w:tr>
      <w:tr w14:paraId="33C39A72">
        <w:tblPrEx>
          <w:tblCellMar>
            <w:top w:w="0" w:type="dxa"/>
            <w:left w:w="0" w:type="dxa"/>
            <w:bottom w:w="0" w:type="dxa"/>
            <w:right w:w="0" w:type="dxa"/>
          </w:tblCellMar>
        </w:tblPrEx>
        <w:trPr>
          <w:wBefore w:w="0" w:type="auto"/>
          <w:tblCellSpacing w:w="0" w:type="dxa"/>
        </w:trPr>
        <w:tc>
          <w:tcPr>
            <w:tcW w:w="0" w:type="auto"/>
            <w:noWrap w:val="0"/>
            <w:vAlign w:val="center"/>
          </w:tcPr>
          <w:p w14:paraId="1E4F1050">
            <w:r>
              <w:rPr>
                <w:rStyle w:val="10"/>
                <w:rFonts w:hint="eastAsia"/>
              </w:rPr>
              <w:t>使用技术要求:</w:t>
            </w:r>
            <w:r>
              <w:rPr>
                <w:rFonts w:hint="eastAsia"/>
              </w:rPr>
              <w:br w:type="textWrapping"/>
            </w:r>
            <w:r>
              <w:rPr>
                <w:rStyle w:val="11"/>
                <w:rFonts w:hint="eastAsia"/>
              </w:rPr>
              <w:t>1.于水稻稻飞虱卵孵盛期至低龄若虫发生始盛期施药，喷雾均匀周到。 2.田间有一层浅水，效果更好。 3.大风天或预计1小时内下雨，请勿施药。 4.在水稻上的安全间隔期30天，每季最多使用1次。</w:t>
            </w:r>
          </w:p>
        </w:tc>
      </w:tr>
      <w:tr w14:paraId="44610E60">
        <w:tblPrEx>
          <w:tblCellMar>
            <w:top w:w="0" w:type="dxa"/>
            <w:left w:w="0" w:type="dxa"/>
            <w:bottom w:w="0" w:type="dxa"/>
            <w:right w:w="0" w:type="dxa"/>
          </w:tblCellMar>
        </w:tblPrEx>
        <w:trPr>
          <w:wBefore w:w="0" w:type="auto"/>
          <w:tblCellSpacing w:w="0" w:type="dxa"/>
        </w:trPr>
        <w:tc>
          <w:tcPr>
            <w:tcW w:w="0" w:type="auto"/>
            <w:noWrap w:val="0"/>
            <w:vAlign w:val="center"/>
          </w:tcPr>
          <w:p w14:paraId="77F6F36F">
            <w:r>
              <w:rPr>
                <w:rStyle w:val="10"/>
                <w:rFonts w:hint="eastAsia"/>
              </w:rPr>
              <w:t>产品性能:</w:t>
            </w:r>
            <w:r>
              <w:rPr>
                <w:rFonts w:hint="eastAsia"/>
              </w:rPr>
              <w:br w:type="textWrapping"/>
            </w:r>
            <w:r>
              <w:rPr>
                <w:rStyle w:val="11"/>
                <w:rFonts w:hint="eastAsia"/>
              </w:rPr>
              <w:t>本产品由呋虫胺和烯啶虫胺两种作用机理不同的杀虫剂复配而成，烯啶虫胺的作用机理为主要作用于昆虫神经，对昆虫的轴突触受体具有神经阻断作用。呋虫胺主要作用于昆虫神经传递系统，使害虫引起麻痹从而发挥杀虫作用。按登记剂量使用时，对水稻飞虱具有较好的防治效果。</w:t>
            </w:r>
          </w:p>
        </w:tc>
      </w:tr>
      <w:tr w14:paraId="41ED9A70">
        <w:tblPrEx>
          <w:tblCellMar>
            <w:top w:w="0" w:type="dxa"/>
            <w:left w:w="0" w:type="dxa"/>
            <w:bottom w:w="0" w:type="dxa"/>
            <w:right w:w="0" w:type="dxa"/>
          </w:tblCellMar>
        </w:tblPrEx>
        <w:trPr>
          <w:wBefore w:w="0" w:type="auto"/>
          <w:tblCellSpacing w:w="0" w:type="dxa"/>
        </w:trPr>
        <w:tc>
          <w:tcPr>
            <w:tcW w:w="0" w:type="auto"/>
            <w:noWrap w:val="0"/>
            <w:vAlign w:val="center"/>
          </w:tcPr>
          <w:p w14:paraId="01959624">
            <w:r>
              <w:rPr>
                <w:rStyle w:val="10"/>
                <w:rFonts w:hint="eastAsia"/>
              </w:rPr>
              <w:t>注意事项：</w:t>
            </w:r>
            <w:r>
              <w:rPr>
                <w:rFonts w:hint="eastAsia"/>
              </w:rPr>
              <w:br w:type="textWrapping"/>
            </w:r>
            <w:r>
              <w:rPr>
                <w:rStyle w:val="11"/>
                <w:rFonts w:hint="eastAsia"/>
              </w:rPr>
              <w:t>1.不能与碱性农药等物质混用；建议与其他作用机制不同的杀虫剂轮换使用。 2.禁止在池塘等水域清洗施药器具，施药后的田水不得直接排入水体，水产养殖区、河塘等水体附近禁用，（周围）开花植物花期禁用，使用时应密切关注对附近蜂群的影响。蚕室及桑园附近禁用，赤眼蜂等天敌放飞区域禁用。 3.使用时应穿长衣长裤、靴子，戴帽子、护目镜、口罩、手套等防护用具；施药期间不可吃东西、饮水、吸烟等；施药后应及时洗手、洗脸并洗涤施药时穿着的衣物。 4.用过的容器应妥善处理，不可做他用，也不可随意丢弃。 5.避免孕妇及哺乳期的妇女接触。</w:t>
            </w:r>
          </w:p>
        </w:tc>
      </w:tr>
      <w:tr w14:paraId="58D90142">
        <w:tblPrEx>
          <w:tblCellMar>
            <w:top w:w="0" w:type="dxa"/>
            <w:left w:w="0" w:type="dxa"/>
            <w:bottom w:w="0" w:type="dxa"/>
            <w:right w:w="0" w:type="dxa"/>
          </w:tblCellMar>
        </w:tblPrEx>
        <w:trPr>
          <w:wBefore w:w="0" w:type="auto"/>
          <w:tblCellSpacing w:w="0" w:type="dxa"/>
        </w:trPr>
        <w:tc>
          <w:tcPr>
            <w:tcW w:w="0" w:type="auto"/>
            <w:noWrap w:val="0"/>
            <w:vAlign w:val="center"/>
          </w:tcPr>
          <w:p w14:paraId="3098263F">
            <w:r>
              <w:rPr>
                <w:rStyle w:val="10"/>
                <w:rFonts w:hint="eastAsia"/>
              </w:rPr>
              <w:t>中毒急救措施：</w:t>
            </w:r>
            <w:r>
              <w:rPr>
                <w:rFonts w:hint="eastAsia"/>
              </w:rPr>
              <w:br w:type="textWrapping"/>
            </w:r>
            <w:r>
              <w:rPr>
                <w:rStyle w:val="11"/>
                <w:rFonts w:hint="eastAsia"/>
              </w:rPr>
              <w:t>中毒症状：本品对眼睛有刺激性。一旦发生中毒，请对症治疗。不慎吸入，应立即至空气流通处。不慎接触皮肤或溅入眼睛，用大量清水冲洗至少15分钟，仍有不适时，就医。误服，立即携此标签将病人送医院诊治。无特效解毒剂。</w:t>
            </w:r>
          </w:p>
        </w:tc>
      </w:tr>
      <w:tr w14:paraId="107C8356">
        <w:tblPrEx>
          <w:tblCellMar>
            <w:top w:w="0" w:type="dxa"/>
            <w:left w:w="0" w:type="dxa"/>
            <w:bottom w:w="0" w:type="dxa"/>
            <w:right w:w="0" w:type="dxa"/>
          </w:tblCellMar>
        </w:tblPrEx>
        <w:trPr>
          <w:wBefore w:w="0" w:type="auto"/>
          <w:tblCellSpacing w:w="0" w:type="dxa"/>
        </w:trPr>
        <w:tc>
          <w:tcPr>
            <w:tcW w:w="0" w:type="auto"/>
            <w:noWrap w:val="0"/>
            <w:vAlign w:val="center"/>
          </w:tcPr>
          <w:p w14:paraId="31A50BAD">
            <w:r>
              <w:rPr>
                <w:rStyle w:val="10"/>
                <w:rFonts w:hint="eastAsia"/>
              </w:rPr>
              <w:t>储存和运输方法：</w:t>
            </w:r>
            <w:r>
              <w:rPr>
                <w:rFonts w:hint="eastAsia"/>
              </w:rPr>
              <w:br w:type="textWrapping"/>
            </w:r>
            <w:r>
              <w:rPr>
                <w:rStyle w:val="11"/>
                <w:rFonts w:hint="eastAsia"/>
              </w:rPr>
              <w:t>1.本品应贮存在通风、阴凉、干燥处，远离火源、热源。 2.运输时严防曝晒和雨淋，不能与食品、饮料、粮食、饲料等同贮同运。 3.存放在远离儿童、孕妇、哺乳期妇女及其他无关人员触及不到的地方，并加锁保存。</w:t>
            </w:r>
          </w:p>
        </w:tc>
      </w:tr>
      <w:tr w14:paraId="1EA4E03E">
        <w:tblPrEx>
          <w:tblCellMar>
            <w:top w:w="0" w:type="dxa"/>
            <w:left w:w="0" w:type="dxa"/>
            <w:bottom w:w="0" w:type="dxa"/>
            <w:right w:w="0" w:type="dxa"/>
          </w:tblCellMar>
        </w:tblPrEx>
        <w:trPr>
          <w:wBefore w:w="0" w:type="auto"/>
          <w:tblCellSpacing w:w="0" w:type="dxa"/>
        </w:trPr>
        <w:tc>
          <w:tcPr>
            <w:tcW w:w="0" w:type="auto"/>
            <w:noWrap w:val="0"/>
            <w:vAlign w:val="center"/>
          </w:tcPr>
          <w:p w14:paraId="425638FE">
            <w:r>
              <w:rPr>
                <w:rStyle w:val="10"/>
                <w:rFonts w:hint="eastAsia"/>
              </w:rPr>
              <w:t>质量保证期：</w:t>
            </w:r>
            <w:r>
              <w:rPr>
                <w:rStyle w:val="11"/>
                <w:rFonts w:hint="eastAsia"/>
              </w:rPr>
              <w:t>2年</w:t>
            </w:r>
          </w:p>
        </w:tc>
      </w:tr>
      <w:tr w14:paraId="10EF15CE">
        <w:tblPrEx>
          <w:tblCellMar>
            <w:top w:w="0" w:type="dxa"/>
            <w:left w:w="0" w:type="dxa"/>
            <w:bottom w:w="0" w:type="dxa"/>
            <w:right w:w="0" w:type="dxa"/>
          </w:tblCellMar>
        </w:tblPrEx>
        <w:trPr>
          <w:wBefore w:w="0" w:type="auto"/>
          <w:tblCellSpacing w:w="0" w:type="dxa"/>
        </w:trPr>
        <w:tc>
          <w:tcPr>
            <w:tcW w:w="0" w:type="auto"/>
            <w:noWrap w:val="0"/>
            <w:vAlign w:val="center"/>
          </w:tcPr>
          <w:p w14:paraId="41A13131">
            <w:r>
              <w:rPr>
                <w:rStyle w:val="10"/>
                <w:rFonts w:hint="eastAsia"/>
              </w:rPr>
              <w:t>备注：</w:t>
            </w:r>
          </w:p>
        </w:tc>
      </w:tr>
    </w:tbl>
    <w:p w14:paraId="4DD44D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B07FF65">
        <w:tblPrEx>
          <w:tblCellMar>
            <w:top w:w="0" w:type="dxa"/>
            <w:left w:w="0" w:type="dxa"/>
            <w:bottom w:w="0" w:type="dxa"/>
            <w:right w:w="0" w:type="dxa"/>
          </w:tblCellMar>
        </w:tblPrEx>
        <w:trPr>
          <w:wBefore w:w="0" w:type="auto"/>
          <w:tblCellSpacing w:w="0" w:type="dxa"/>
        </w:trPr>
        <w:tc>
          <w:tcPr>
            <w:tcW w:w="0" w:type="auto"/>
            <w:noWrap w:val="0"/>
            <w:vAlign w:val="center"/>
          </w:tcPr>
          <w:p w14:paraId="3CF7BA64">
            <w:r>
              <w:rPr>
                <w:rStyle w:val="10"/>
                <w:rFonts w:hint="eastAsia"/>
              </w:rPr>
              <w:t>登记证号：</w:t>
            </w:r>
            <w:r>
              <w:rPr>
                <w:rFonts w:hint="eastAsia"/>
              </w:rPr>
              <w:t>WP20210423</w:t>
            </w:r>
          </w:p>
        </w:tc>
      </w:tr>
      <w:tr w14:paraId="040FE587">
        <w:tblPrEx>
          <w:tblCellMar>
            <w:top w:w="0" w:type="dxa"/>
            <w:left w:w="0" w:type="dxa"/>
            <w:bottom w:w="0" w:type="dxa"/>
            <w:right w:w="0" w:type="dxa"/>
          </w:tblCellMar>
        </w:tblPrEx>
        <w:trPr>
          <w:wBefore w:w="0" w:type="auto"/>
          <w:tblCellSpacing w:w="0" w:type="dxa"/>
        </w:trPr>
        <w:tc>
          <w:tcPr>
            <w:tcW w:w="0" w:type="auto"/>
            <w:noWrap w:val="0"/>
            <w:vAlign w:val="center"/>
          </w:tcPr>
          <w:p w14:paraId="71E23285">
            <w:r>
              <w:rPr>
                <w:rStyle w:val="10"/>
                <w:rFonts w:hint="eastAsia"/>
              </w:rPr>
              <w:t>登记证持有人：</w:t>
            </w:r>
            <w:r>
              <w:rPr>
                <w:rFonts w:hint="eastAsia"/>
              </w:rPr>
              <w:t>河北博嘉农业有限公司</w:t>
            </w:r>
          </w:p>
        </w:tc>
      </w:tr>
      <w:tr w14:paraId="146D47F9">
        <w:tblPrEx>
          <w:tblCellMar>
            <w:top w:w="0" w:type="dxa"/>
            <w:left w:w="0" w:type="dxa"/>
            <w:bottom w:w="0" w:type="dxa"/>
            <w:right w:w="0" w:type="dxa"/>
          </w:tblCellMar>
        </w:tblPrEx>
        <w:trPr>
          <w:wBefore w:w="0" w:type="auto"/>
          <w:tblCellSpacing w:w="0" w:type="dxa"/>
        </w:trPr>
        <w:tc>
          <w:tcPr>
            <w:tcW w:w="0" w:type="auto"/>
            <w:noWrap w:val="0"/>
            <w:vAlign w:val="center"/>
          </w:tcPr>
          <w:p w14:paraId="13296CCD">
            <w:r>
              <w:rPr>
                <w:rStyle w:val="10"/>
                <w:rFonts w:hint="eastAsia"/>
              </w:rPr>
              <w:t>农药名称：</w:t>
            </w:r>
            <w:r>
              <w:rPr>
                <w:rFonts w:hint="eastAsia"/>
              </w:rPr>
              <w:t>蚊香</w:t>
            </w:r>
          </w:p>
        </w:tc>
      </w:tr>
      <w:tr w14:paraId="3B4FE0AD">
        <w:tblPrEx>
          <w:tblCellMar>
            <w:top w:w="0" w:type="dxa"/>
            <w:left w:w="0" w:type="dxa"/>
            <w:bottom w:w="0" w:type="dxa"/>
            <w:right w:w="0" w:type="dxa"/>
          </w:tblCellMar>
        </w:tblPrEx>
        <w:trPr>
          <w:wBefore w:w="0" w:type="auto"/>
          <w:tblCellSpacing w:w="0" w:type="dxa"/>
        </w:trPr>
        <w:tc>
          <w:tcPr>
            <w:tcW w:w="0" w:type="auto"/>
            <w:noWrap w:val="0"/>
            <w:vAlign w:val="center"/>
          </w:tcPr>
          <w:p w14:paraId="002280FB">
            <w:r>
              <w:rPr>
                <w:rStyle w:val="10"/>
                <w:rFonts w:hint="eastAsia"/>
              </w:rPr>
              <w:t>剂型：</w:t>
            </w:r>
            <w:r>
              <w:rPr>
                <w:rFonts w:hint="eastAsia"/>
              </w:rPr>
              <w:t>蚊香</w:t>
            </w:r>
          </w:p>
        </w:tc>
      </w:tr>
      <w:tr w14:paraId="5F0A72F5">
        <w:tblPrEx>
          <w:tblCellMar>
            <w:top w:w="0" w:type="dxa"/>
            <w:left w:w="0" w:type="dxa"/>
            <w:bottom w:w="0" w:type="dxa"/>
            <w:right w:w="0" w:type="dxa"/>
          </w:tblCellMar>
        </w:tblPrEx>
        <w:trPr>
          <w:wBefore w:w="0" w:type="auto"/>
          <w:tblCellSpacing w:w="0" w:type="dxa"/>
        </w:trPr>
        <w:tc>
          <w:tcPr>
            <w:tcW w:w="0" w:type="auto"/>
            <w:noWrap w:val="0"/>
            <w:vAlign w:val="center"/>
          </w:tcPr>
          <w:p w14:paraId="4F1E7415">
            <w:r>
              <w:rPr>
                <w:rStyle w:val="10"/>
                <w:rFonts w:hint="eastAsia"/>
              </w:rPr>
              <w:t>毒性及其标识：</w:t>
            </w:r>
            <w:r>
              <w:rPr>
                <w:rFonts w:hint="eastAsia"/>
              </w:rPr>
              <w:t xml:space="preserve"> 微毒 </w:t>
            </w:r>
          </w:p>
        </w:tc>
      </w:tr>
      <w:tr w14:paraId="6BD857B3">
        <w:tblPrEx>
          <w:tblCellMar>
            <w:top w:w="0" w:type="dxa"/>
            <w:left w:w="0" w:type="dxa"/>
            <w:bottom w:w="0" w:type="dxa"/>
            <w:right w:w="0" w:type="dxa"/>
          </w:tblCellMar>
        </w:tblPrEx>
        <w:trPr>
          <w:wBefore w:w="0" w:type="auto"/>
          <w:tblCellSpacing w:w="0" w:type="dxa"/>
        </w:trPr>
        <w:tc>
          <w:tcPr>
            <w:tcW w:w="0" w:type="auto"/>
            <w:noWrap w:val="0"/>
            <w:vAlign w:val="center"/>
          </w:tcPr>
          <w:p w14:paraId="0682673B">
            <w:r>
              <w:rPr>
                <w:rStyle w:val="10"/>
                <w:rFonts w:hint="eastAsia"/>
              </w:rPr>
              <w:t>总有效成分含量：</w:t>
            </w:r>
            <w:r>
              <w:rPr>
                <w:rFonts w:hint="eastAsia"/>
              </w:rPr>
              <w:t>0.08%</w:t>
            </w:r>
          </w:p>
        </w:tc>
      </w:tr>
      <w:tr w14:paraId="49B74DC8">
        <w:tblPrEx>
          <w:tblCellMar>
            <w:top w:w="0" w:type="dxa"/>
            <w:left w:w="0" w:type="dxa"/>
            <w:bottom w:w="0" w:type="dxa"/>
            <w:right w:w="0" w:type="dxa"/>
          </w:tblCellMar>
        </w:tblPrEx>
        <w:trPr>
          <w:wBefore w:w="0" w:type="auto"/>
          <w:tblCellSpacing w:w="0" w:type="dxa"/>
        </w:trPr>
        <w:tc>
          <w:tcPr>
            <w:tcW w:w="0" w:type="auto"/>
            <w:noWrap w:val="0"/>
            <w:vAlign w:val="center"/>
          </w:tcPr>
          <w:p w14:paraId="7BA81513">
            <w:r>
              <w:rPr>
                <w:rFonts w:hint="eastAsia"/>
              </w:rPr>
              <w:t xml:space="preserve">有效成分及其含量： </w:t>
            </w:r>
          </w:p>
          <w:p w14:paraId="0B7429CD">
            <w:r>
              <w:rPr>
                <w:rFonts w:hint="eastAsia"/>
              </w:rPr>
              <w:t xml:space="preserve">    氯氟醚菊酯0.08%    </w:t>
            </w:r>
          </w:p>
        </w:tc>
      </w:tr>
      <w:tr w14:paraId="08052D1B">
        <w:tblPrEx>
          <w:tblCellMar>
            <w:top w:w="0" w:type="dxa"/>
            <w:left w:w="0" w:type="dxa"/>
            <w:bottom w:w="0" w:type="dxa"/>
            <w:right w:w="0" w:type="dxa"/>
          </w:tblCellMar>
        </w:tblPrEx>
        <w:trPr>
          <w:wBefore w:w="0" w:type="auto"/>
          <w:tblCellSpacing w:w="0" w:type="dxa"/>
        </w:trPr>
        <w:tc>
          <w:tcPr>
            <w:tcW w:w="0" w:type="auto"/>
            <w:noWrap w:val="0"/>
            <w:vAlign w:val="center"/>
          </w:tcPr>
          <w:p w14:paraId="1DB484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3EBE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D946B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5CC1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175F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2DBDCF">
                  <w:r>
                    <w:rPr>
                      <w:rStyle w:val="11"/>
                      <w:rFonts w:hint="eastAsia"/>
                    </w:rPr>
                    <w:t>施用方式</w:t>
                  </w:r>
                </w:p>
              </w:tc>
            </w:tr>
            <w:tr w14:paraId="734840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764E1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F4110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FCEC3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91A9ED">
                  <w:r>
                    <w:rPr>
                      <w:rStyle w:val="11"/>
                      <w:rFonts w:hint="eastAsia"/>
                    </w:rPr>
                    <w:t>点燃</w:t>
                  </w:r>
                </w:p>
              </w:tc>
            </w:tr>
          </w:tbl>
          <w:p w14:paraId="7A0E8B5B">
            <w:pPr>
              <w:rPr>
                <w:rFonts w:ascii="Times New Roman" w:hAnsi="Times New Roman" w:cs="Times New Roman"/>
                <w:sz w:val="20"/>
                <w:szCs w:val="20"/>
              </w:rPr>
            </w:pPr>
          </w:p>
        </w:tc>
      </w:tr>
      <w:tr w14:paraId="27A2472E">
        <w:tblPrEx>
          <w:tblCellMar>
            <w:top w:w="0" w:type="dxa"/>
            <w:left w:w="0" w:type="dxa"/>
            <w:bottom w:w="0" w:type="dxa"/>
            <w:right w:w="0" w:type="dxa"/>
          </w:tblCellMar>
        </w:tblPrEx>
        <w:trPr>
          <w:wBefore w:w="0" w:type="auto"/>
          <w:tblCellSpacing w:w="0" w:type="dxa"/>
        </w:trPr>
        <w:tc>
          <w:tcPr>
            <w:tcW w:w="0" w:type="auto"/>
            <w:noWrap w:val="0"/>
            <w:vAlign w:val="center"/>
          </w:tcPr>
          <w:p w14:paraId="4FF9D809">
            <w:r>
              <w:rPr>
                <w:rStyle w:val="10"/>
                <w:rFonts w:hint="eastAsia"/>
              </w:rPr>
              <w:t>使用技术要求:</w:t>
            </w:r>
            <w:r>
              <w:rPr>
                <w:rFonts w:hint="eastAsia"/>
              </w:rPr>
              <w:br w:type="textWrapping"/>
            </w:r>
            <w:r>
              <w:rPr>
                <w:rStyle w:val="11"/>
                <w:rFonts w:hint="eastAsia"/>
              </w:rPr>
              <w:t>1、将两个香圈小心分开。 2、点燃香圈尾端。 3、将点燃的香圈插放在香架上。 4、如折断，可夹在香架上点燃使用。</w:t>
            </w:r>
          </w:p>
        </w:tc>
      </w:tr>
      <w:tr w14:paraId="5839ABDB">
        <w:tblPrEx>
          <w:tblCellMar>
            <w:top w:w="0" w:type="dxa"/>
            <w:left w:w="0" w:type="dxa"/>
            <w:bottom w:w="0" w:type="dxa"/>
            <w:right w:w="0" w:type="dxa"/>
          </w:tblCellMar>
        </w:tblPrEx>
        <w:trPr>
          <w:wBefore w:w="0" w:type="auto"/>
          <w:tblCellSpacing w:w="0" w:type="dxa"/>
        </w:trPr>
        <w:tc>
          <w:tcPr>
            <w:tcW w:w="0" w:type="auto"/>
            <w:noWrap w:val="0"/>
            <w:vAlign w:val="center"/>
          </w:tcPr>
          <w:p w14:paraId="429A4DBE">
            <w:r>
              <w:rPr>
                <w:rStyle w:val="10"/>
                <w:rFonts w:hint="eastAsia"/>
              </w:rPr>
              <w:t>产品性能:</w:t>
            </w:r>
            <w:r>
              <w:rPr>
                <w:rFonts w:hint="eastAsia"/>
              </w:rPr>
              <w:br w:type="textWrapping"/>
            </w:r>
            <w:r>
              <w:rPr>
                <w:rStyle w:val="11"/>
                <w:rFonts w:hint="eastAsia"/>
              </w:rPr>
              <w:t xml:space="preserve">本品以炭粉及拟除虫菊酯为原料，结合喷涂工艺加工配制而成，本品 抗折力强，易拆分，不易吸潮、霉变。无烟的蚊香，可有效驱杀蚊子，适 合家庭、宾馆、办公室等室内场所使用，是夏季驱杀蚊子的理想选择之一。 </w:t>
            </w:r>
          </w:p>
        </w:tc>
      </w:tr>
      <w:tr w14:paraId="76FC5C2E">
        <w:tblPrEx>
          <w:tblCellMar>
            <w:top w:w="0" w:type="dxa"/>
            <w:left w:w="0" w:type="dxa"/>
            <w:bottom w:w="0" w:type="dxa"/>
            <w:right w:w="0" w:type="dxa"/>
          </w:tblCellMar>
        </w:tblPrEx>
        <w:trPr>
          <w:wBefore w:w="0" w:type="auto"/>
          <w:tblCellSpacing w:w="0" w:type="dxa"/>
        </w:trPr>
        <w:tc>
          <w:tcPr>
            <w:tcW w:w="0" w:type="auto"/>
            <w:noWrap w:val="0"/>
            <w:vAlign w:val="center"/>
          </w:tcPr>
          <w:p w14:paraId="3C3AE9A9">
            <w:r>
              <w:rPr>
                <w:rStyle w:val="10"/>
                <w:rFonts w:hint="eastAsia"/>
              </w:rPr>
              <w:t>注意事项：</w:t>
            </w:r>
            <w:r>
              <w:rPr>
                <w:rFonts w:hint="eastAsia"/>
              </w:rPr>
              <w:br w:type="textWrapping"/>
            </w:r>
            <w:r>
              <w:rPr>
                <w:rStyle w:val="11"/>
                <w:rFonts w:hint="eastAsia"/>
              </w:rPr>
              <w:t>1、使用时请注意防火安全，勿使燃着的香头或灰烬与可燃物靠近，勿用易燃品做接灰盘。 2、使用时，请注意通风。 3、勿在电风扇直吹或风大处使用，以免影响使用效果。 4、开封后未用完的蚊香要注意封好保存,一旦潮湿,请放在通风处吹干,效果不变。 5、过敏者禁用，使用中有任何不良反应请及时就医。 6、用后请洗手。 7、对鱼、家蚕有害，蚕室及其附近禁用。 8、如果使用托盘点燃，应注意蚊香外围勿触及托盘边缘，使蚊香正面向下放置，并经常清理托盘，以免熄火。</w:t>
            </w:r>
          </w:p>
        </w:tc>
      </w:tr>
      <w:tr w14:paraId="01A48E3C">
        <w:tblPrEx>
          <w:tblCellMar>
            <w:top w:w="0" w:type="dxa"/>
            <w:left w:w="0" w:type="dxa"/>
            <w:bottom w:w="0" w:type="dxa"/>
            <w:right w:w="0" w:type="dxa"/>
          </w:tblCellMar>
        </w:tblPrEx>
        <w:trPr>
          <w:wBefore w:w="0" w:type="auto"/>
          <w:tblCellSpacing w:w="0" w:type="dxa"/>
        </w:trPr>
        <w:tc>
          <w:tcPr>
            <w:tcW w:w="0" w:type="auto"/>
            <w:noWrap w:val="0"/>
            <w:vAlign w:val="center"/>
          </w:tcPr>
          <w:p w14:paraId="712F6C86">
            <w:r>
              <w:rPr>
                <w:rStyle w:val="10"/>
                <w:rFonts w:hint="eastAsia"/>
              </w:rPr>
              <w:t>中毒急救措施：</w:t>
            </w:r>
            <w:r>
              <w:rPr>
                <w:rFonts w:hint="eastAsia"/>
              </w:rPr>
              <w:br w:type="textWrapping"/>
            </w:r>
            <w:r>
              <w:rPr>
                <w:rStyle w:val="11"/>
                <w:rFonts w:hint="eastAsia"/>
              </w:rPr>
              <w:t>1. 如不慎沾在皮肤上，请用肥皂水清洗。 2. 如不慎误服，请立即携此标签将病人送医院诊治。</w:t>
            </w:r>
          </w:p>
        </w:tc>
      </w:tr>
      <w:tr w14:paraId="347A1A7F">
        <w:tblPrEx>
          <w:tblCellMar>
            <w:top w:w="0" w:type="dxa"/>
            <w:left w:w="0" w:type="dxa"/>
            <w:bottom w:w="0" w:type="dxa"/>
            <w:right w:w="0" w:type="dxa"/>
          </w:tblCellMar>
        </w:tblPrEx>
        <w:trPr>
          <w:wBefore w:w="0" w:type="auto"/>
          <w:tblCellSpacing w:w="0" w:type="dxa"/>
        </w:trPr>
        <w:tc>
          <w:tcPr>
            <w:tcW w:w="0" w:type="auto"/>
            <w:noWrap w:val="0"/>
            <w:vAlign w:val="center"/>
          </w:tcPr>
          <w:p w14:paraId="522E721E">
            <w:r>
              <w:rPr>
                <w:rStyle w:val="10"/>
                <w:rFonts w:hint="eastAsia"/>
              </w:rPr>
              <w:t>储存和运输方法：</w:t>
            </w:r>
            <w:r>
              <w:rPr>
                <w:rFonts w:hint="eastAsia"/>
              </w:rPr>
              <w:br w:type="textWrapping"/>
            </w:r>
            <w:r>
              <w:rPr>
                <w:rStyle w:val="11"/>
                <w:rFonts w:hint="eastAsia"/>
              </w:rPr>
              <w:t>1. 本品应贮存在阴凉、干燥、通风、防雨处，远离火源或热源。 2. 请放在儿童接触不到的地方。 3. 勿与食品、饮料、种子、粮食、饲料及易燃易爆物品混放。 4. 产品搬运时要轻取轻放，严禁猛烈碰撞、日晒、重压。</w:t>
            </w:r>
          </w:p>
        </w:tc>
      </w:tr>
      <w:tr w14:paraId="7455506C">
        <w:tblPrEx>
          <w:tblCellMar>
            <w:top w:w="0" w:type="dxa"/>
            <w:left w:w="0" w:type="dxa"/>
            <w:bottom w:w="0" w:type="dxa"/>
            <w:right w:w="0" w:type="dxa"/>
          </w:tblCellMar>
        </w:tblPrEx>
        <w:trPr>
          <w:wBefore w:w="0" w:type="auto"/>
          <w:tblCellSpacing w:w="0" w:type="dxa"/>
        </w:trPr>
        <w:tc>
          <w:tcPr>
            <w:tcW w:w="0" w:type="auto"/>
            <w:noWrap w:val="0"/>
            <w:vAlign w:val="center"/>
          </w:tcPr>
          <w:p w14:paraId="45D8AE3F">
            <w:r>
              <w:rPr>
                <w:rStyle w:val="10"/>
                <w:rFonts w:hint="eastAsia"/>
              </w:rPr>
              <w:t>质量保证期：</w:t>
            </w:r>
            <w:r>
              <w:rPr>
                <w:rStyle w:val="11"/>
                <w:rFonts w:hint="eastAsia"/>
              </w:rPr>
              <w:t>3年</w:t>
            </w:r>
          </w:p>
        </w:tc>
      </w:tr>
      <w:tr w14:paraId="5F0ED3AA">
        <w:tblPrEx>
          <w:tblCellMar>
            <w:top w:w="0" w:type="dxa"/>
            <w:left w:w="0" w:type="dxa"/>
            <w:bottom w:w="0" w:type="dxa"/>
            <w:right w:w="0" w:type="dxa"/>
          </w:tblCellMar>
        </w:tblPrEx>
        <w:trPr>
          <w:wBefore w:w="0" w:type="auto"/>
          <w:tblCellSpacing w:w="0" w:type="dxa"/>
        </w:trPr>
        <w:tc>
          <w:tcPr>
            <w:tcW w:w="0" w:type="auto"/>
            <w:noWrap w:val="0"/>
            <w:vAlign w:val="center"/>
          </w:tcPr>
          <w:p w14:paraId="430B1952">
            <w:r>
              <w:rPr>
                <w:rStyle w:val="10"/>
                <w:rFonts w:hint="eastAsia"/>
              </w:rPr>
              <w:t>备注：</w:t>
            </w:r>
          </w:p>
        </w:tc>
      </w:tr>
    </w:tbl>
    <w:p w14:paraId="030B84A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4AA83B">
        <w:tblPrEx>
          <w:tblCellMar>
            <w:top w:w="0" w:type="dxa"/>
            <w:left w:w="0" w:type="dxa"/>
            <w:bottom w:w="0" w:type="dxa"/>
            <w:right w:w="0" w:type="dxa"/>
          </w:tblCellMar>
        </w:tblPrEx>
        <w:trPr>
          <w:wBefore w:w="0" w:type="auto"/>
          <w:tblCellSpacing w:w="0" w:type="dxa"/>
        </w:trPr>
        <w:tc>
          <w:tcPr>
            <w:tcW w:w="0" w:type="auto"/>
            <w:noWrap w:val="0"/>
            <w:vAlign w:val="center"/>
          </w:tcPr>
          <w:p w14:paraId="2792B0AE">
            <w:r>
              <w:rPr>
                <w:rStyle w:val="10"/>
                <w:rFonts w:hint="eastAsia"/>
              </w:rPr>
              <w:t>登记证号：</w:t>
            </w:r>
            <w:r>
              <w:rPr>
                <w:rFonts w:hint="eastAsia"/>
              </w:rPr>
              <w:t>PD20212691</w:t>
            </w:r>
          </w:p>
        </w:tc>
      </w:tr>
      <w:tr w14:paraId="55D21CB3">
        <w:tblPrEx>
          <w:tblCellMar>
            <w:top w:w="0" w:type="dxa"/>
            <w:left w:w="0" w:type="dxa"/>
            <w:bottom w:w="0" w:type="dxa"/>
            <w:right w:w="0" w:type="dxa"/>
          </w:tblCellMar>
        </w:tblPrEx>
        <w:trPr>
          <w:wBefore w:w="0" w:type="auto"/>
          <w:tblCellSpacing w:w="0" w:type="dxa"/>
        </w:trPr>
        <w:tc>
          <w:tcPr>
            <w:tcW w:w="0" w:type="auto"/>
            <w:noWrap w:val="0"/>
            <w:vAlign w:val="center"/>
          </w:tcPr>
          <w:p w14:paraId="3398E44E">
            <w:r>
              <w:rPr>
                <w:rStyle w:val="10"/>
                <w:rFonts w:hint="eastAsia"/>
              </w:rPr>
              <w:t>登记证持有人：</w:t>
            </w:r>
            <w:r>
              <w:rPr>
                <w:rFonts w:hint="eastAsia"/>
              </w:rPr>
              <w:t>广西田园生化股份有限公司</w:t>
            </w:r>
          </w:p>
        </w:tc>
      </w:tr>
      <w:tr w14:paraId="1BD1FCCA">
        <w:tblPrEx>
          <w:tblCellMar>
            <w:top w:w="0" w:type="dxa"/>
            <w:left w:w="0" w:type="dxa"/>
            <w:bottom w:w="0" w:type="dxa"/>
            <w:right w:w="0" w:type="dxa"/>
          </w:tblCellMar>
        </w:tblPrEx>
        <w:trPr>
          <w:wBefore w:w="0" w:type="auto"/>
          <w:tblCellSpacing w:w="0" w:type="dxa"/>
        </w:trPr>
        <w:tc>
          <w:tcPr>
            <w:tcW w:w="0" w:type="auto"/>
            <w:noWrap w:val="0"/>
            <w:vAlign w:val="center"/>
          </w:tcPr>
          <w:p w14:paraId="65258053">
            <w:r>
              <w:rPr>
                <w:rStyle w:val="10"/>
                <w:rFonts w:hint="eastAsia"/>
              </w:rPr>
              <w:t>农药名称：</w:t>
            </w:r>
            <w:r>
              <w:rPr>
                <w:rFonts w:hint="eastAsia"/>
              </w:rPr>
              <w:t>噻呋酰胺</w:t>
            </w:r>
          </w:p>
        </w:tc>
      </w:tr>
      <w:tr w14:paraId="0F10FC34">
        <w:tblPrEx>
          <w:tblCellMar>
            <w:top w:w="0" w:type="dxa"/>
            <w:left w:w="0" w:type="dxa"/>
            <w:bottom w:w="0" w:type="dxa"/>
            <w:right w:w="0" w:type="dxa"/>
          </w:tblCellMar>
        </w:tblPrEx>
        <w:trPr>
          <w:wBefore w:w="0" w:type="auto"/>
          <w:tblCellSpacing w:w="0" w:type="dxa"/>
        </w:trPr>
        <w:tc>
          <w:tcPr>
            <w:tcW w:w="0" w:type="auto"/>
            <w:noWrap w:val="0"/>
            <w:vAlign w:val="center"/>
          </w:tcPr>
          <w:p w14:paraId="164F1055">
            <w:r>
              <w:rPr>
                <w:rStyle w:val="10"/>
                <w:rFonts w:hint="eastAsia"/>
              </w:rPr>
              <w:t>剂型：</w:t>
            </w:r>
            <w:r>
              <w:rPr>
                <w:rFonts w:hint="eastAsia"/>
              </w:rPr>
              <w:t>颗粒剂</w:t>
            </w:r>
          </w:p>
        </w:tc>
      </w:tr>
      <w:tr w14:paraId="6AA42AE6">
        <w:tblPrEx>
          <w:tblCellMar>
            <w:top w:w="0" w:type="dxa"/>
            <w:left w:w="0" w:type="dxa"/>
            <w:bottom w:w="0" w:type="dxa"/>
            <w:right w:w="0" w:type="dxa"/>
          </w:tblCellMar>
        </w:tblPrEx>
        <w:trPr>
          <w:wBefore w:w="0" w:type="auto"/>
          <w:tblCellSpacing w:w="0" w:type="dxa"/>
        </w:trPr>
        <w:tc>
          <w:tcPr>
            <w:tcW w:w="0" w:type="auto"/>
            <w:noWrap w:val="0"/>
            <w:vAlign w:val="center"/>
          </w:tcPr>
          <w:p w14:paraId="1A758F6B">
            <w:r>
              <w:rPr>
                <w:rStyle w:val="10"/>
                <w:rFonts w:hint="eastAsia"/>
              </w:rPr>
              <w:t>毒性及其标识：</w:t>
            </w:r>
            <w:r>
              <w:rPr>
                <w:rFonts w:hint="eastAsia"/>
              </w:rPr>
              <w:t xml:space="preserve"> </w:t>
            </w:r>
            <w:r>
              <w:rPr>
                <w:lang/>
              </w:rPr>
              <w:drawing>
                <wp:inline distT="0" distB="0" distL="114300" distR="114300">
                  <wp:extent cx="476250" cy="323850"/>
                  <wp:effectExtent l="0" t="0" r="0" b="0"/>
                  <wp:docPr id="36" name="图片 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07B955">
        <w:tblPrEx>
          <w:tblCellMar>
            <w:top w:w="0" w:type="dxa"/>
            <w:left w:w="0" w:type="dxa"/>
            <w:bottom w:w="0" w:type="dxa"/>
            <w:right w:w="0" w:type="dxa"/>
          </w:tblCellMar>
        </w:tblPrEx>
        <w:trPr>
          <w:wBefore w:w="0" w:type="auto"/>
          <w:tblCellSpacing w:w="0" w:type="dxa"/>
        </w:trPr>
        <w:tc>
          <w:tcPr>
            <w:tcW w:w="0" w:type="auto"/>
            <w:noWrap w:val="0"/>
            <w:vAlign w:val="center"/>
          </w:tcPr>
          <w:p w14:paraId="56A9F2E4">
            <w:r>
              <w:rPr>
                <w:rStyle w:val="10"/>
                <w:rFonts w:hint="eastAsia"/>
              </w:rPr>
              <w:t>总有效成分含量：</w:t>
            </w:r>
            <w:r>
              <w:rPr>
                <w:rFonts w:hint="eastAsia"/>
              </w:rPr>
              <w:t>0.15%</w:t>
            </w:r>
          </w:p>
        </w:tc>
      </w:tr>
      <w:tr w14:paraId="7CA60EED">
        <w:tblPrEx>
          <w:tblCellMar>
            <w:top w:w="0" w:type="dxa"/>
            <w:left w:w="0" w:type="dxa"/>
            <w:bottom w:w="0" w:type="dxa"/>
            <w:right w:w="0" w:type="dxa"/>
          </w:tblCellMar>
        </w:tblPrEx>
        <w:trPr>
          <w:wBefore w:w="0" w:type="auto"/>
          <w:tblCellSpacing w:w="0" w:type="dxa"/>
        </w:trPr>
        <w:tc>
          <w:tcPr>
            <w:tcW w:w="0" w:type="auto"/>
            <w:noWrap w:val="0"/>
            <w:vAlign w:val="center"/>
          </w:tcPr>
          <w:p w14:paraId="4900F2A4">
            <w:r>
              <w:rPr>
                <w:rFonts w:hint="eastAsia"/>
              </w:rPr>
              <w:t xml:space="preserve">有效成分及其含量： </w:t>
            </w:r>
          </w:p>
          <w:p w14:paraId="34536F15">
            <w:r>
              <w:rPr>
                <w:rFonts w:hint="eastAsia"/>
              </w:rPr>
              <w:t xml:space="preserve">    噻呋酰胺0.15%    </w:t>
            </w:r>
          </w:p>
        </w:tc>
      </w:tr>
      <w:tr w14:paraId="0CF3217E">
        <w:tblPrEx>
          <w:tblCellMar>
            <w:top w:w="0" w:type="dxa"/>
            <w:left w:w="0" w:type="dxa"/>
            <w:bottom w:w="0" w:type="dxa"/>
            <w:right w:w="0" w:type="dxa"/>
          </w:tblCellMar>
        </w:tblPrEx>
        <w:trPr>
          <w:wBefore w:w="0" w:type="auto"/>
          <w:tblCellSpacing w:w="0" w:type="dxa"/>
        </w:trPr>
        <w:tc>
          <w:tcPr>
            <w:tcW w:w="0" w:type="auto"/>
            <w:noWrap w:val="0"/>
            <w:vAlign w:val="center"/>
          </w:tcPr>
          <w:p w14:paraId="025D2B5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48E4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AEFDE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AC52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3E58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2DA0DC">
                  <w:r>
                    <w:rPr>
                      <w:rStyle w:val="11"/>
                      <w:rFonts w:hint="eastAsia"/>
                    </w:rPr>
                    <w:t>施用方式</w:t>
                  </w:r>
                </w:p>
              </w:tc>
            </w:tr>
            <w:tr w14:paraId="78423E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8F2F0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F2891D">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274387">
                  <w:r>
                    <w:rPr>
                      <w:rStyle w:val="11"/>
                      <w:rFonts w:hint="eastAsia"/>
                    </w:rPr>
                    <w:t>15-20千克/亩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F4C277">
                  <w:r>
                    <w:rPr>
                      <w:rStyle w:val="11"/>
                      <w:rFonts w:hint="eastAsia"/>
                    </w:rPr>
                    <w:t>撒施</w:t>
                  </w:r>
                </w:p>
              </w:tc>
            </w:tr>
          </w:tbl>
          <w:p w14:paraId="5556D96A">
            <w:pPr>
              <w:rPr>
                <w:rFonts w:ascii="Times New Roman" w:hAnsi="Times New Roman" w:cs="Times New Roman"/>
                <w:sz w:val="20"/>
                <w:szCs w:val="20"/>
              </w:rPr>
            </w:pPr>
          </w:p>
        </w:tc>
      </w:tr>
      <w:tr w14:paraId="5F4EA2A8">
        <w:tblPrEx>
          <w:tblCellMar>
            <w:top w:w="0" w:type="dxa"/>
            <w:left w:w="0" w:type="dxa"/>
            <w:bottom w:w="0" w:type="dxa"/>
            <w:right w:w="0" w:type="dxa"/>
          </w:tblCellMar>
        </w:tblPrEx>
        <w:trPr>
          <w:wBefore w:w="0" w:type="auto"/>
          <w:tblCellSpacing w:w="0" w:type="dxa"/>
        </w:trPr>
        <w:tc>
          <w:tcPr>
            <w:tcW w:w="0" w:type="auto"/>
            <w:noWrap w:val="0"/>
            <w:vAlign w:val="center"/>
          </w:tcPr>
          <w:p w14:paraId="58B237FA">
            <w:r>
              <w:rPr>
                <w:rStyle w:val="10"/>
                <w:rFonts w:hint="eastAsia"/>
              </w:rPr>
              <w:t>使用技术要求:</w:t>
            </w:r>
            <w:r>
              <w:rPr>
                <w:rFonts w:hint="eastAsia"/>
              </w:rPr>
              <w:br w:type="textWrapping"/>
            </w:r>
            <w:r>
              <w:rPr>
                <w:rStyle w:val="11"/>
                <w:rFonts w:hint="eastAsia"/>
              </w:rPr>
              <w:t>1. 本品在水稻直播田3叶1心后15~20天、水稻移栽田移栽后7~10天全田均匀撒施使用。2. 使用本品时田间需保水；水稻叶片上有露水或雨水时不建议使用；大风天或预计1小时内有降雨，请勿用药。3. 本品在水稻上每季使用1次。</w:t>
            </w:r>
          </w:p>
        </w:tc>
      </w:tr>
      <w:tr w14:paraId="7F4CF635">
        <w:tblPrEx>
          <w:tblCellMar>
            <w:top w:w="0" w:type="dxa"/>
            <w:left w:w="0" w:type="dxa"/>
            <w:bottom w:w="0" w:type="dxa"/>
            <w:right w:w="0" w:type="dxa"/>
          </w:tblCellMar>
        </w:tblPrEx>
        <w:trPr>
          <w:wBefore w:w="0" w:type="auto"/>
          <w:tblCellSpacing w:w="0" w:type="dxa"/>
        </w:trPr>
        <w:tc>
          <w:tcPr>
            <w:tcW w:w="0" w:type="auto"/>
            <w:noWrap w:val="0"/>
            <w:vAlign w:val="center"/>
          </w:tcPr>
          <w:p w14:paraId="5771F0C9">
            <w:r>
              <w:rPr>
                <w:rStyle w:val="10"/>
                <w:rFonts w:hint="eastAsia"/>
              </w:rPr>
              <w:t>产品性能:</w:t>
            </w:r>
            <w:r>
              <w:rPr>
                <w:rFonts w:hint="eastAsia"/>
              </w:rPr>
              <w:br w:type="textWrapping"/>
            </w:r>
            <w:r>
              <w:rPr>
                <w:rStyle w:val="11"/>
                <w:rFonts w:hint="eastAsia"/>
              </w:rPr>
              <w:t>本品属于噻唑酰胺类杀菌剂，具有强内吸传导性和长持效性。其主要作用机理是抑制病菌三羧酸循环中琥珀酸脱氢酶，导致菌体死亡。按推荐剂量使用时，对水稻纹枯病有较好的防治效果。</w:t>
            </w:r>
          </w:p>
        </w:tc>
      </w:tr>
      <w:tr w14:paraId="112A25C7">
        <w:tblPrEx>
          <w:tblCellMar>
            <w:top w:w="0" w:type="dxa"/>
            <w:left w:w="0" w:type="dxa"/>
            <w:bottom w:w="0" w:type="dxa"/>
            <w:right w:w="0" w:type="dxa"/>
          </w:tblCellMar>
        </w:tblPrEx>
        <w:trPr>
          <w:wBefore w:w="0" w:type="auto"/>
          <w:tblCellSpacing w:w="0" w:type="dxa"/>
        </w:trPr>
        <w:tc>
          <w:tcPr>
            <w:tcW w:w="0" w:type="auto"/>
            <w:noWrap w:val="0"/>
            <w:vAlign w:val="center"/>
          </w:tcPr>
          <w:p w14:paraId="5AEC430D">
            <w:r>
              <w:rPr>
                <w:rStyle w:val="10"/>
                <w:rFonts w:hint="eastAsia"/>
              </w:rPr>
              <w:t>注意事项：</w:t>
            </w:r>
            <w:r>
              <w:rPr>
                <w:rFonts w:hint="eastAsia"/>
              </w:rPr>
              <w:br w:type="textWrapping"/>
            </w:r>
            <w:r>
              <w:rPr>
                <w:rStyle w:val="11"/>
                <w:rFonts w:hint="eastAsia"/>
              </w:rPr>
              <w:t>1. 沙质土壤水田、漏水田不建议使用。2. 施药后应及时清洗药械。不可将废液、清洗液倒入河塘等水源。3. 本品不可与碱性农药等物质混用。4. 鱼或虾蟹套养稻田禁用，施药后的田水不得排入水体。远离水产养殖区、河塘等水体附近施药，禁止在河塘等水体中清洗施药器具。5. 本品毒眼睛有刺激性，使用时避免接触眼睛，穿戴长衣、长裤、帽子、口罩、手套等防护措施，避免皮肤接触及口鼻吸入。使用中不可吸烟、饮水及吃东西，使用后应及时清洗手、脸等暴露部位皮肤并更换衣物。6. 建议与其他作用机制的杀菌剂轮换使用，以延缓抗性产生。7. 用过的容器应妥善处理，不能作为他用，也不可随意丢弃。8. 避免孕妇及哺乳期妇女接触。</w:t>
            </w:r>
          </w:p>
        </w:tc>
      </w:tr>
      <w:tr w14:paraId="08C2F479">
        <w:tblPrEx>
          <w:tblCellMar>
            <w:top w:w="0" w:type="dxa"/>
            <w:left w:w="0" w:type="dxa"/>
            <w:bottom w:w="0" w:type="dxa"/>
            <w:right w:w="0" w:type="dxa"/>
          </w:tblCellMar>
        </w:tblPrEx>
        <w:trPr>
          <w:wBefore w:w="0" w:type="auto"/>
          <w:tblCellSpacing w:w="0" w:type="dxa"/>
        </w:trPr>
        <w:tc>
          <w:tcPr>
            <w:tcW w:w="0" w:type="auto"/>
            <w:noWrap w:val="0"/>
            <w:vAlign w:val="center"/>
          </w:tcPr>
          <w:p w14:paraId="2C68F66E">
            <w:r>
              <w:rPr>
                <w:rStyle w:val="10"/>
                <w:rFonts w:hint="eastAsia"/>
              </w:rPr>
              <w:t>中毒急救措施：</w:t>
            </w:r>
            <w:r>
              <w:rPr>
                <w:rFonts w:hint="eastAsia"/>
              </w:rPr>
              <w:br w:type="textWrapping"/>
            </w:r>
            <w:r>
              <w:rPr>
                <w:rStyle w:val="11"/>
                <w:rFonts w:hint="eastAsia"/>
              </w:rPr>
              <w:t>中毒症状：本品对皮肤和眼睛有刺激作用。1. 皮肤接触：立即脱掉被污染的衣物，用肥皂和大量清水彻底清洗受污染的皮肤。2. 眼睛溅入：立即将眼睑翻开，用清水冲洗至少15分钟,再请医生诊治。3. 发生吸入：立即将吸入者转移到空气新鲜处，请医生诊治。4. 误服：立即携带标签，送医就诊，对症治疗。5. 紧急医疗措施：使用医用活性炭洗胃，洗胃时注意防止胃容物进入呼吸道。注意：对昏迷病人，切勿经口喂入任何东西或引吐。</w:t>
            </w:r>
          </w:p>
        </w:tc>
      </w:tr>
      <w:tr w14:paraId="391C3CF2">
        <w:tblPrEx>
          <w:tblCellMar>
            <w:top w:w="0" w:type="dxa"/>
            <w:left w:w="0" w:type="dxa"/>
            <w:bottom w:w="0" w:type="dxa"/>
            <w:right w:w="0" w:type="dxa"/>
          </w:tblCellMar>
        </w:tblPrEx>
        <w:trPr>
          <w:wBefore w:w="0" w:type="auto"/>
          <w:tblCellSpacing w:w="0" w:type="dxa"/>
        </w:trPr>
        <w:tc>
          <w:tcPr>
            <w:tcW w:w="0" w:type="auto"/>
            <w:noWrap w:val="0"/>
            <w:vAlign w:val="center"/>
          </w:tcPr>
          <w:p w14:paraId="2E485E6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本品应贮存在干燥、阴凉、通风、防雨处，远离火源或热源。置于儿童触及不到之处，并加锁。勿与食品、饮料、粮食、种子、饲料等同贮同运。</w:t>
            </w:r>
          </w:p>
        </w:tc>
      </w:tr>
      <w:tr w14:paraId="4FDD42C1">
        <w:tblPrEx>
          <w:tblCellMar>
            <w:top w:w="0" w:type="dxa"/>
            <w:left w:w="0" w:type="dxa"/>
            <w:bottom w:w="0" w:type="dxa"/>
            <w:right w:w="0" w:type="dxa"/>
          </w:tblCellMar>
        </w:tblPrEx>
        <w:trPr>
          <w:wBefore w:w="0" w:type="auto"/>
          <w:tblCellSpacing w:w="0" w:type="dxa"/>
        </w:trPr>
        <w:tc>
          <w:tcPr>
            <w:tcW w:w="0" w:type="auto"/>
            <w:noWrap w:val="0"/>
            <w:vAlign w:val="center"/>
          </w:tcPr>
          <w:p w14:paraId="0E810A58">
            <w:r>
              <w:rPr>
                <w:rStyle w:val="10"/>
                <w:rFonts w:hint="eastAsia"/>
              </w:rPr>
              <w:t>质量保证期：</w:t>
            </w:r>
            <w:r>
              <w:rPr>
                <w:rStyle w:val="11"/>
                <w:rFonts w:hint="eastAsia"/>
              </w:rPr>
              <w:t>2年</w:t>
            </w:r>
          </w:p>
        </w:tc>
      </w:tr>
      <w:tr w14:paraId="33E82C6B">
        <w:tblPrEx>
          <w:tblCellMar>
            <w:top w:w="0" w:type="dxa"/>
            <w:left w:w="0" w:type="dxa"/>
            <w:bottom w:w="0" w:type="dxa"/>
            <w:right w:w="0" w:type="dxa"/>
          </w:tblCellMar>
        </w:tblPrEx>
        <w:trPr>
          <w:wBefore w:w="0" w:type="auto"/>
          <w:tblCellSpacing w:w="0" w:type="dxa"/>
        </w:trPr>
        <w:tc>
          <w:tcPr>
            <w:tcW w:w="0" w:type="auto"/>
            <w:noWrap w:val="0"/>
            <w:vAlign w:val="center"/>
          </w:tcPr>
          <w:p w14:paraId="00D5416F">
            <w:r>
              <w:rPr>
                <w:rStyle w:val="10"/>
                <w:rFonts w:hint="eastAsia"/>
              </w:rPr>
              <w:t>备注：</w:t>
            </w:r>
          </w:p>
        </w:tc>
      </w:tr>
    </w:tbl>
    <w:p w14:paraId="05C05F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950211">
        <w:tblPrEx>
          <w:tblCellMar>
            <w:top w:w="0" w:type="dxa"/>
            <w:left w:w="0" w:type="dxa"/>
            <w:bottom w:w="0" w:type="dxa"/>
            <w:right w:w="0" w:type="dxa"/>
          </w:tblCellMar>
        </w:tblPrEx>
        <w:trPr>
          <w:wBefore w:w="0" w:type="auto"/>
          <w:tblCellSpacing w:w="0" w:type="dxa"/>
        </w:trPr>
        <w:tc>
          <w:tcPr>
            <w:tcW w:w="0" w:type="auto"/>
            <w:noWrap w:val="0"/>
            <w:vAlign w:val="center"/>
          </w:tcPr>
          <w:p w14:paraId="05122EC4">
            <w:r>
              <w:rPr>
                <w:rStyle w:val="10"/>
                <w:rFonts w:hint="eastAsia"/>
              </w:rPr>
              <w:t>登记证号：</w:t>
            </w:r>
            <w:r>
              <w:rPr>
                <w:rFonts w:hint="eastAsia"/>
              </w:rPr>
              <w:t>PD20212560</w:t>
            </w:r>
          </w:p>
        </w:tc>
      </w:tr>
      <w:tr w14:paraId="786D22DC">
        <w:tblPrEx>
          <w:tblCellMar>
            <w:top w:w="0" w:type="dxa"/>
            <w:left w:w="0" w:type="dxa"/>
            <w:bottom w:w="0" w:type="dxa"/>
            <w:right w:w="0" w:type="dxa"/>
          </w:tblCellMar>
        </w:tblPrEx>
        <w:trPr>
          <w:wBefore w:w="0" w:type="auto"/>
          <w:tblCellSpacing w:w="0" w:type="dxa"/>
        </w:trPr>
        <w:tc>
          <w:tcPr>
            <w:tcW w:w="0" w:type="auto"/>
            <w:noWrap w:val="0"/>
            <w:vAlign w:val="center"/>
          </w:tcPr>
          <w:p w14:paraId="1FEFA327">
            <w:r>
              <w:rPr>
                <w:rStyle w:val="10"/>
                <w:rFonts w:hint="eastAsia"/>
              </w:rPr>
              <w:t>登记证持有人：</w:t>
            </w:r>
            <w:r>
              <w:rPr>
                <w:rFonts w:hint="eastAsia"/>
              </w:rPr>
              <w:t>山东科赛基农生物科技有限公司</w:t>
            </w:r>
          </w:p>
        </w:tc>
      </w:tr>
      <w:tr w14:paraId="24A778B5">
        <w:tblPrEx>
          <w:tblCellMar>
            <w:top w:w="0" w:type="dxa"/>
            <w:left w:w="0" w:type="dxa"/>
            <w:bottom w:w="0" w:type="dxa"/>
            <w:right w:w="0" w:type="dxa"/>
          </w:tblCellMar>
        </w:tblPrEx>
        <w:trPr>
          <w:wBefore w:w="0" w:type="auto"/>
          <w:tblCellSpacing w:w="0" w:type="dxa"/>
        </w:trPr>
        <w:tc>
          <w:tcPr>
            <w:tcW w:w="0" w:type="auto"/>
            <w:noWrap w:val="0"/>
            <w:vAlign w:val="center"/>
          </w:tcPr>
          <w:p w14:paraId="7A56AC15">
            <w:r>
              <w:rPr>
                <w:rStyle w:val="10"/>
                <w:rFonts w:hint="eastAsia"/>
              </w:rPr>
              <w:t>农药名称：</w:t>
            </w:r>
            <w:r>
              <w:rPr>
                <w:rFonts w:hint="eastAsia"/>
              </w:rPr>
              <w:t>氟·松·烯草酮</w:t>
            </w:r>
          </w:p>
        </w:tc>
      </w:tr>
      <w:tr w14:paraId="1CDD3251">
        <w:tblPrEx>
          <w:tblCellMar>
            <w:top w:w="0" w:type="dxa"/>
            <w:left w:w="0" w:type="dxa"/>
            <w:bottom w:w="0" w:type="dxa"/>
            <w:right w:w="0" w:type="dxa"/>
          </w:tblCellMar>
        </w:tblPrEx>
        <w:trPr>
          <w:wBefore w:w="0" w:type="auto"/>
          <w:tblCellSpacing w:w="0" w:type="dxa"/>
        </w:trPr>
        <w:tc>
          <w:tcPr>
            <w:tcW w:w="0" w:type="auto"/>
            <w:noWrap w:val="0"/>
            <w:vAlign w:val="center"/>
          </w:tcPr>
          <w:p w14:paraId="6402F615">
            <w:r>
              <w:rPr>
                <w:rStyle w:val="10"/>
                <w:rFonts w:hint="eastAsia"/>
              </w:rPr>
              <w:t>剂型：</w:t>
            </w:r>
            <w:r>
              <w:rPr>
                <w:rFonts w:hint="eastAsia"/>
              </w:rPr>
              <w:t>乳油</w:t>
            </w:r>
          </w:p>
        </w:tc>
      </w:tr>
      <w:tr w14:paraId="5DD5A092">
        <w:tblPrEx>
          <w:tblCellMar>
            <w:top w:w="0" w:type="dxa"/>
            <w:left w:w="0" w:type="dxa"/>
            <w:bottom w:w="0" w:type="dxa"/>
            <w:right w:w="0" w:type="dxa"/>
          </w:tblCellMar>
        </w:tblPrEx>
        <w:trPr>
          <w:wBefore w:w="0" w:type="auto"/>
          <w:tblCellSpacing w:w="0" w:type="dxa"/>
        </w:trPr>
        <w:tc>
          <w:tcPr>
            <w:tcW w:w="0" w:type="auto"/>
            <w:noWrap w:val="0"/>
            <w:vAlign w:val="center"/>
          </w:tcPr>
          <w:p w14:paraId="427A4789">
            <w:r>
              <w:rPr>
                <w:rStyle w:val="10"/>
                <w:rFonts w:hint="eastAsia"/>
              </w:rPr>
              <w:t>毒性及其标识：</w:t>
            </w:r>
            <w:r>
              <w:rPr>
                <w:rFonts w:hint="eastAsia"/>
              </w:rPr>
              <w:t xml:space="preserve"> </w:t>
            </w:r>
            <w:r>
              <w:rPr>
                <w:lang/>
              </w:rPr>
              <w:drawing>
                <wp:inline distT="0" distB="0" distL="114300" distR="114300">
                  <wp:extent cx="476250" cy="323850"/>
                  <wp:effectExtent l="0" t="0" r="0" b="0"/>
                  <wp:docPr id="37" name="图片 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D155C7">
        <w:tblPrEx>
          <w:tblCellMar>
            <w:top w:w="0" w:type="dxa"/>
            <w:left w:w="0" w:type="dxa"/>
            <w:bottom w:w="0" w:type="dxa"/>
            <w:right w:w="0" w:type="dxa"/>
          </w:tblCellMar>
        </w:tblPrEx>
        <w:trPr>
          <w:wBefore w:w="0" w:type="auto"/>
          <w:tblCellSpacing w:w="0" w:type="dxa"/>
        </w:trPr>
        <w:tc>
          <w:tcPr>
            <w:tcW w:w="0" w:type="auto"/>
            <w:noWrap w:val="0"/>
            <w:vAlign w:val="center"/>
          </w:tcPr>
          <w:p w14:paraId="2178CCAE">
            <w:r>
              <w:rPr>
                <w:rStyle w:val="10"/>
                <w:rFonts w:hint="eastAsia"/>
              </w:rPr>
              <w:t>总有效成分含量：</w:t>
            </w:r>
            <w:r>
              <w:rPr>
                <w:rFonts w:hint="eastAsia"/>
              </w:rPr>
              <w:t>32%</w:t>
            </w:r>
          </w:p>
        </w:tc>
      </w:tr>
      <w:tr w14:paraId="3DD81D21">
        <w:tblPrEx>
          <w:tblCellMar>
            <w:top w:w="0" w:type="dxa"/>
            <w:left w:w="0" w:type="dxa"/>
            <w:bottom w:w="0" w:type="dxa"/>
            <w:right w:w="0" w:type="dxa"/>
          </w:tblCellMar>
        </w:tblPrEx>
        <w:trPr>
          <w:wBefore w:w="0" w:type="auto"/>
          <w:tblCellSpacing w:w="0" w:type="dxa"/>
        </w:trPr>
        <w:tc>
          <w:tcPr>
            <w:tcW w:w="0" w:type="auto"/>
            <w:noWrap w:val="0"/>
            <w:vAlign w:val="center"/>
          </w:tcPr>
          <w:p w14:paraId="6F78052B">
            <w:r>
              <w:rPr>
                <w:rFonts w:hint="eastAsia"/>
              </w:rPr>
              <w:t xml:space="preserve">有效成分及其含量： </w:t>
            </w:r>
          </w:p>
          <w:p w14:paraId="0A4DE54C">
            <w:r>
              <w:rPr>
                <w:rFonts w:hint="eastAsia"/>
              </w:rPr>
              <w:t xml:space="preserve">    异噁草松18%    烯草酮4%    氟磺胺草醚10%    </w:t>
            </w:r>
          </w:p>
        </w:tc>
      </w:tr>
      <w:tr w14:paraId="6A6EA5AC">
        <w:tblPrEx>
          <w:tblCellMar>
            <w:top w:w="0" w:type="dxa"/>
            <w:left w:w="0" w:type="dxa"/>
            <w:bottom w:w="0" w:type="dxa"/>
            <w:right w:w="0" w:type="dxa"/>
          </w:tblCellMar>
        </w:tblPrEx>
        <w:trPr>
          <w:wBefore w:w="0" w:type="auto"/>
          <w:tblCellSpacing w:w="0" w:type="dxa"/>
        </w:trPr>
        <w:tc>
          <w:tcPr>
            <w:tcW w:w="0" w:type="auto"/>
            <w:noWrap w:val="0"/>
            <w:vAlign w:val="center"/>
          </w:tcPr>
          <w:p w14:paraId="3E2734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99FC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AD61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636D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98D35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77B592">
                  <w:r>
                    <w:rPr>
                      <w:rStyle w:val="11"/>
                      <w:rFonts w:hint="eastAsia"/>
                    </w:rPr>
                    <w:t>施用方式</w:t>
                  </w:r>
                </w:p>
              </w:tc>
            </w:tr>
            <w:tr w14:paraId="26640E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F8133F">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EAF5A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321F6C">
                  <w:r>
                    <w:rPr>
                      <w:rStyle w:val="11"/>
                      <w:rFonts w:hint="eastAsia"/>
                    </w:rPr>
                    <w:t>110-130毫升/亩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918D00">
                  <w:r>
                    <w:rPr>
                      <w:rStyle w:val="11"/>
                      <w:rFonts w:hint="eastAsia"/>
                    </w:rPr>
                    <w:t>茎叶喷雾</w:t>
                  </w:r>
                </w:p>
              </w:tc>
            </w:tr>
          </w:tbl>
          <w:p w14:paraId="2FCBF330">
            <w:pPr>
              <w:rPr>
                <w:rFonts w:ascii="Times New Roman" w:hAnsi="Times New Roman" w:cs="Times New Roman"/>
                <w:sz w:val="20"/>
                <w:szCs w:val="20"/>
              </w:rPr>
            </w:pPr>
          </w:p>
        </w:tc>
      </w:tr>
      <w:tr w14:paraId="38734B01">
        <w:tblPrEx>
          <w:tblCellMar>
            <w:top w:w="0" w:type="dxa"/>
            <w:left w:w="0" w:type="dxa"/>
            <w:bottom w:w="0" w:type="dxa"/>
            <w:right w:w="0" w:type="dxa"/>
          </w:tblCellMar>
        </w:tblPrEx>
        <w:trPr>
          <w:wBefore w:w="0" w:type="auto"/>
          <w:tblCellSpacing w:w="0" w:type="dxa"/>
        </w:trPr>
        <w:tc>
          <w:tcPr>
            <w:tcW w:w="0" w:type="auto"/>
            <w:noWrap w:val="0"/>
            <w:vAlign w:val="center"/>
          </w:tcPr>
          <w:p w14:paraId="42736398">
            <w:r>
              <w:rPr>
                <w:rStyle w:val="10"/>
                <w:rFonts w:hint="eastAsia"/>
              </w:rPr>
              <w:t>使用技术要求:</w:t>
            </w:r>
            <w:r>
              <w:rPr>
                <w:rFonts w:hint="eastAsia"/>
              </w:rPr>
              <w:br w:type="textWrapping"/>
            </w:r>
            <w:r>
              <w:rPr>
                <w:rStyle w:val="11"/>
                <w:rFonts w:hint="eastAsia"/>
              </w:rPr>
              <w:t>1. 在春大豆田杂草2-5叶期茎叶喷雾施药一次。氟磺胺草醚、异噁草松土壤残效期较长，勿超剂量使用，注意合理安排后茬作物，保证安全间隔期。2. 柳树、杨树等对该药敏感，施药时应防止药液飘移到邻近的柳树及其他作物田。3. 喷药前后空气湿度大于65%有利于药效发挥。4. 施药时注意风向，风速＞4米/秒时停止施药。5. 施药注意不要飘移到小麦、水稻、玉米等禾本科作物田，以免造成药害。6. 在干旱、低温或低洼易涝地，当大豆生长不良时，勿用本品。7. 每季作物最多使用1次。</w:t>
            </w:r>
          </w:p>
        </w:tc>
      </w:tr>
      <w:tr w14:paraId="3D6111CD">
        <w:tblPrEx>
          <w:tblCellMar>
            <w:top w:w="0" w:type="dxa"/>
            <w:left w:w="0" w:type="dxa"/>
            <w:bottom w:w="0" w:type="dxa"/>
            <w:right w:w="0" w:type="dxa"/>
          </w:tblCellMar>
        </w:tblPrEx>
        <w:trPr>
          <w:wBefore w:w="0" w:type="auto"/>
          <w:tblCellSpacing w:w="0" w:type="dxa"/>
        </w:trPr>
        <w:tc>
          <w:tcPr>
            <w:tcW w:w="0" w:type="auto"/>
            <w:noWrap w:val="0"/>
            <w:vAlign w:val="center"/>
          </w:tcPr>
          <w:p w14:paraId="22D5D121">
            <w:r>
              <w:rPr>
                <w:rStyle w:val="10"/>
                <w:rFonts w:hint="eastAsia"/>
              </w:rPr>
              <w:t>产品性能:</w:t>
            </w:r>
            <w:r>
              <w:rPr>
                <w:rFonts w:hint="eastAsia"/>
              </w:rPr>
              <w:br w:type="textWrapping"/>
            </w:r>
            <w:r>
              <w:rPr>
                <w:rStyle w:val="11"/>
                <w:rFonts w:hint="eastAsia"/>
              </w:rPr>
              <w:t>本品为苗后除草剂。主要用于春大豆田防除一年生杂草。可有效防除稗草、狗尾草、藜、苍耳、苘麻、蓼、本氏蓼、反枝苋、马唐、苋等多种一年生杂草。</w:t>
            </w:r>
          </w:p>
        </w:tc>
      </w:tr>
      <w:tr w14:paraId="536E2495">
        <w:tblPrEx>
          <w:tblCellMar>
            <w:top w:w="0" w:type="dxa"/>
            <w:left w:w="0" w:type="dxa"/>
            <w:bottom w:w="0" w:type="dxa"/>
            <w:right w:w="0" w:type="dxa"/>
          </w:tblCellMar>
        </w:tblPrEx>
        <w:trPr>
          <w:wBefore w:w="0" w:type="auto"/>
          <w:tblCellSpacing w:w="0" w:type="dxa"/>
        </w:trPr>
        <w:tc>
          <w:tcPr>
            <w:tcW w:w="0" w:type="auto"/>
            <w:noWrap w:val="0"/>
            <w:vAlign w:val="center"/>
          </w:tcPr>
          <w:p w14:paraId="53A8890B">
            <w:r>
              <w:rPr>
                <w:rStyle w:val="10"/>
                <w:rFonts w:hint="eastAsia"/>
              </w:rPr>
              <w:t>注意事项：</w:t>
            </w:r>
            <w:r>
              <w:rPr>
                <w:rFonts w:hint="eastAsia"/>
              </w:rPr>
              <w:br w:type="textWrapping"/>
            </w:r>
            <w:r>
              <w:rPr>
                <w:rStyle w:val="11"/>
                <w:rFonts w:hint="eastAsia"/>
              </w:rPr>
              <w:t>1. 与其它作物间作或套种的春大豆田，不能使用本品。玉米、油菜、亚麻、豌豆、菜豆、马铃薯、瓜类和蔬菜、高粱、谷子、向日葵和苜蓿、甜菜、花生、烟草等对本品敏感，施药时避免药液飘移到上述作物田。苗后施药偶见大豆接触性药害，叶片出现斑点，随剂量升高而加重，但后期可恢复。 2. 本品不可与其他呈碱性的农药等物质混合使用。 3. 孕妇和哺乳期的妇女禁止接触药物。 4. 本品对眼睛有刺激性，使用时避免接触眼睛，穿戴长衣、长裤、帽子、口罩、手套等防护措施，此间不能饮水、抽烟等；施药后用肥皂水洗脸、洗手等，并很好地清洗施药器械。 5. 本品对藻类等水生生物有毒，远离水产养殖区、河塘等水体施药，禁止在河塘等水体中清洗施药器具，地下水饮用水水源地禁用。对赤眼蜂有风险，赤眼蜂（或其他代表性天敌）等天敌放飞区域禁用。对家蚕，对最外围一行桑树作为隔离带，不饲喂家蚕，次外围桑树可用于家蚕饲养。 6. 用过的容器应妥善处理，不可做他用，也不可随意丢弃。 7. 本品在土壤中残效长，用药量不宜过大，否则会对后茬白菜、谷子、高粱、甜菜、向日葵、玉米、油菜、小麦均有不同程度影响。</w:t>
            </w:r>
          </w:p>
        </w:tc>
      </w:tr>
      <w:tr w14:paraId="1832C943">
        <w:tblPrEx>
          <w:tblCellMar>
            <w:top w:w="0" w:type="dxa"/>
            <w:left w:w="0" w:type="dxa"/>
            <w:bottom w:w="0" w:type="dxa"/>
            <w:right w:w="0" w:type="dxa"/>
          </w:tblCellMar>
        </w:tblPrEx>
        <w:trPr>
          <w:wBefore w:w="0" w:type="auto"/>
          <w:tblCellSpacing w:w="0" w:type="dxa"/>
        </w:trPr>
        <w:tc>
          <w:tcPr>
            <w:tcW w:w="0" w:type="auto"/>
            <w:noWrap w:val="0"/>
            <w:vAlign w:val="center"/>
          </w:tcPr>
          <w:p w14:paraId="159727F4">
            <w:r>
              <w:rPr>
                <w:rStyle w:val="10"/>
                <w:rFonts w:hint="eastAsia"/>
              </w:rPr>
              <w:t>中毒急救措施：</w:t>
            </w:r>
            <w:r>
              <w:rPr>
                <w:rFonts w:hint="eastAsia"/>
              </w:rPr>
              <w:br w:type="textWrapping"/>
            </w:r>
            <w:r>
              <w:rPr>
                <w:rStyle w:val="11"/>
                <w:rFonts w:hint="eastAsia"/>
              </w:rPr>
              <w:t>中毒症状：本品对眼睛有刺激作用。使用中或使用后如果感觉不适，应立即停止工作，采取急救措施，并携带标签送医院就诊。溅入眼睛：立即用流动清水冲洗眼睛至少15分钟，仍有不适时，就医。接触皮肤：脱去污染的衣物，用软布去除沾染农药，立即用大量清水和肥皂冲洗。吸入：立即离开施药现场，转移到空气清新处。误食：立即停止服用，用清水充分漱口后，立即携带农药标签到医院就诊。</w:t>
            </w:r>
          </w:p>
        </w:tc>
      </w:tr>
      <w:tr w14:paraId="0ECF2803">
        <w:tblPrEx>
          <w:tblCellMar>
            <w:top w:w="0" w:type="dxa"/>
            <w:left w:w="0" w:type="dxa"/>
            <w:bottom w:w="0" w:type="dxa"/>
            <w:right w:w="0" w:type="dxa"/>
          </w:tblCellMar>
        </w:tblPrEx>
        <w:trPr>
          <w:wBefore w:w="0" w:type="auto"/>
          <w:tblCellSpacing w:w="0" w:type="dxa"/>
        </w:trPr>
        <w:tc>
          <w:tcPr>
            <w:tcW w:w="0" w:type="auto"/>
            <w:noWrap w:val="0"/>
            <w:vAlign w:val="center"/>
          </w:tcPr>
          <w:p w14:paraId="321118B8">
            <w:r>
              <w:rPr>
                <w:rStyle w:val="10"/>
                <w:rFonts w:hint="eastAsia"/>
              </w:rPr>
              <w:t>储存和运输方法：</w:t>
            </w:r>
            <w:r>
              <w:rPr>
                <w:rFonts w:hint="eastAsia"/>
              </w:rPr>
              <w:br w:type="textWrapping"/>
            </w:r>
            <w:r>
              <w:rPr>
                <w:rStyle w:val="11"/>
                <w:rFonts w:hint="eastAsia"/>
              </w:rPr>
              <w:t>本品应储存在干燥、阴凉、通风、防雨处，应远离火源和热源。置于儿童、无关人员触及不到之处，并加锁。勿与食品、饮料、粮食、饲料、种子等其它商品同储同运。</w:t>
            </w:r>
          </w:p>
        </w:tc>
      </w:tr>
      <w:tr w14:paraId="392031C7">
        <w:tblPrEx>
          <w:tblCellMar>
            <w:top w:w="0" w:type="dxa"/>
            <w:left w:w="0" w:type="dxa"/>
            <w:bottom w:w="0" w:type="dxa"/>
            <w:right w:w="0" w:type="dxa"/>
          </w:tblCellMar>
        </w:tblPrEx>
        <w:trPr>
          <w:wBefore w:w="0" w:type="auto"/>
          <w:tblCellSpacing w:w="0" w:type="dxa"/>
        </w:trPr>
        <w:tc>
          <w:tcPr>
            <w:tcW w:w="0" w:type="auto"/>
            <w:noWrap w:val="0"/>
            <w:vAlign w:val="center"/>
          </w:tcPr>
          <w:p w14:paraId="60AE729A">
            <w:r>
              <w:rPr>
                <w:rStyle w:val="10"/>
                <w:rFonts w:hint="eastAsia"/>
              </w:rPr>
              <w:t>质量保证期：</w:t>
            </w:r>
            <w:r>
              <w:rPr>
                <w:rStyle w:val="11"/>
                <w:rFonts w:hint="eastAsia"/>
              </w:rPr>
              <w:t>2年</w:t>
            </w:r>
          </w:p>
        </w:tc>
      </w:tr>
      <w:tr w14:paraId="2C4AE329">
        <w:tblPrEx>
          <w:tblCellMar>
            <w:top w:w="0" w:type="dxa"/>
            <w:left w:w="0" w:type="dxa"/>
            <w:bottom w:w="0" w:type="dxa"/>
            <w:right w:w="0" w:type="dxa"/>
          </w:tblCellMar>
        </w:tblPrEx>
        <w:trPr>
          <w:wBefore w:w="0" w:type="auto"/>
          <w:tblCellSpacing w:w="0" w:type="dxa"/>
        </w:trPr>
        <w:tc>
          <w:tcPr>
            <w:tcW w:w="0" w:type="auto"/>
            <w:noWrap w:val="0"/>
            <w:vAlign w:val="center"/>
          </w:tcPr>
          <w:p w14:paraId="28FD7B29">
            <w:r>
              <w:rPr>
                <w:rStyle w:val="10"/>
                <w:rFonts w:hint="eastAsia"/>
              </w:rPr>
              <w:t>备注：</w:t>
            </w:r>
          </w:p>
        </w:tc>
      </w:tr>
    </w:tbl>
    <w:p w14:paraId="1006EA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2261CE">
        <w:tblPrEx>
          <w:tblCellMar>
            <w:top w:w="0" w:type="dxa"/>
            <w:left w:w="0" w:type="dxa"/>
            <w:bottom w:w="0" w:type="dxa"/>
            <w:right w:w="0" w:type="dxa"/>
          </w:tblCellMar>
        </w:tblPrEx>
        <w:trPr>
          <w:wBefore w:w="0" w:type="auto"/>
          <w:tblCellSpacing w:w="0" w:type="dxa"/>
        </w:trPr>
        <w:tc>
          <w:tcPr>
            <w:tcW w:w="0" w:type="auto"/>
            <w:noWrap w:val="0"/>
            <w:vAlign w:val="center"/>
          </w:tcPr>
          <w:p w14:paraId="30455761">
            <w:r>
              <w:rPr>
                <w:rStyle w:val="10"/>
                <w:rFonts w:hint="eastAsia"/>
              </w:rPr>
              <w:t>登记证号：</w:t>
            </w:r>
            <w:r>
              <w:rPr>
                <w:rFonts w:hint="eastAsia"/>
              </w:rPr>
              <w:t>PD20212773</w:t>
            </w:r>
          </w:p>
        </w:tc>
      </w:tr>
      <w:tr w14:paraId="3B89D662">
        <w:tblPrEx>
          <w:tblCellMar>
            <w:top w:w="0" w:type="dxa"/>
            <w:left w:w="0" w:type="dxa"/>
            <w:bottom w:w="0" w:type="dxa"/>
            <w:right w:w="0" w:type="dxa"/>
          </w:tblCellMar>
        </w:tblPrEx>
        <w:trPr>
          <w:wBefore w:w="0" w:type="auto"/>
          <w:tblCellSpacing w:w="0" w:type="dxa"/>
        </w:trPr>
        <w:tc>
          <w:tcPr>
            <w:tcW w:w="0" w:type="auto"/>
            <w:noWrap w:val="0"/>
            <w:vAlign w:val="center"/>
          </w:tcPr>
          <w:p w14:paraId="025ABF49">
            <w:r>
              <w:rPr>
                <w:rStyle w:val="10"/>
                <w:rFonts w:hint="eastAsia"/>
              </w:rPr>
              <w:t>登记证持有人：</w:t>
            </w:r>
            <w:r>
              <w:rPr>
                <w:rFonts w:hint="eastAsia"/>
              </w:rPr>
              <w:t>河南福瑞得生物科技有限公司</w:t>
            </w:r>
          </w:p>
        </w:tc>
      </w:tr>
      <w:tr w14:paraId="52B66E4A">
        <w:tblPrEx>
          <w:tblCellMar>
            <w:top w:w="0" w:type="dxa"/>
            <w:left w:w="0" w:type="dxa"/>
            <w:bottom w:w="0" w:type="dxa"/>
            <w:right w:w="0" w:type="dxa"/>
          </w:tblCellMar>
        </w:tblPrEx>
        <w:trPr>
          <w:wBefore w:w="0" w:type="auto"/>
          <w:tblCellSpacing w:w="0" w:type="dxa"/>
        </w:trPr>
        <w:tc>
          <w:tcPr>
            <w:tcW w:w="0" w:type="auto"/>
            <w:noWrap w:val="0"/>
            <w:vAlign w:val="center"/>
          </w:tcPr>
          <w:p w14:paraId="5A5E5BA3">
            <w:r>
              <w:rPr>
                <w:rStyle w:val="10"/>
                <w:rFonts w:hint="eastAsia"/>
              </w:rPr>
              <w:t>农药名称：</w:t>
            </w:r>
            <w:r>
              <w:rPr>
                <w:rFonts w:hint="eastAsia"/>
              </w:rPr>
              <w:t>24-表芸苔素内酯·S-诱抗素</w:t>
            </w:r>
          </w:p>
        </w:tc>
      </w:tr>
      <w:tr w14:paraId="57F8C701">
        <w:tblPrEx>
          <w:tblCellMar>
            <w:top w:w="0" w:type="dxa"/>
            <w:left w:w="0" w:type="dxa"/>
            <w:bottom w:w="0" w:type="dxa"/>
            <w:right w:w="0" w:type="dxa"/>
          </w:tblCellMar>
        </w:tblPrEx>
        <w:trPr>
          <w:wBefore w:w="0" w:type="auto"/>
          <w:tblCellSpacing w:w="0" w:type="dxa"/>
        </w:trPr>
        <w:tc>
          <w:tcPr>
            <w:tcW w:w="0" w:type="auto"/>
            <w:noWrap w:val="0"/>
            <w:vAlign w:val="center"/>
          </w:tcPr>
          <w:p w14:paraId="24FE777A">
            <w:r>
              <w:rPr>
                <w:rStyle w:val="10"/>
                <w:rFonts w:hint="eastAsia"/>
              </w:rPr>
              <w:t>剂型：</w:t>
            </w:r>
            <w:r>
              <w:rPr>
                <w:rFonts w:hint="eastAsia"/>
              </w:rPr>
              <w:t>可溶液剂</w:t>
            </w:r>
          </w:p>
        </w:tc>
      </w:tr>
      <w:tr w14:paraId="6701C9F4">
        <w:tblPrEx>
          <w:tblCellMar>
            <w:top w:w="0" w:type="dxa"/>
            <w:left w:w="0" w:type="dxa"/>
            <w:bottom w:w="0" w:type="dxa"/>
            <w:right w:w="0" w:type="dxa"/>
          </w:tblCellMar>
        </w:tblPrEx>
        <w:trPr>
          <w:wBefore w:w="0" w:type="auto"/>
          <w:tblCellSpacing w:w="0" w:type="dxa"/>
        </w:trPr>
        <w:tc>
          <w:tcPr>
            <w:tcW w:w="0" w:type="auto"/>
            <w:noWrap w:val="0"/>
            <w:vAlign w:val="center"/>
          </w:tcPr>
          <w:p w14:paraId="5EA1F095">
            <w:r>
              <w:rPr>
                <w:rStyle w:val="10"/>
                <w:rFonts w:hint="eastAsia"/>
              </w:rPr>
              <w:t>毒性及其标识：</w:t>
            </w:r>
            <w:r>
              <w:rPr>
                <w:rFonts w:hint="eastAsia"/>
              </w:rPr>
              <w:t xml:space="preserve"> </w:t>
            </w:r>
            <w:r>
              <w:rPr>
                <w:lang/>
              </w:rPr>
              <w:drawing>
                <wp:inline distT="0" distB="0" distL="114300" distR="114300">
                  <wp:extent cx="476250" cy="323850"/>
                  <wp:effectExtent l="0" t="0" r="0" b="0"/>
                  <wp:docPr id="38" name="图片 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F360DA">
        <w:tblPrEx>
          <w:tblCellMar>
            <w:top w:w="0" w:type="dxa"/>
            <w:left w:w="0" w:type="dxa"/>
            <w:bottom w:w="0" w:type="dxa"/>
            <w:right w:w="0" w:type="dxa"/>
          </w:tblCellMar>
        </w:tblPrEx>
        <w:trPr>
          <w:wBefore w:w="0" w:type="auto"/>
          <w:tblCellSpacing w:w="0" w:type="dxa"/>
        </w:trPr>
        <w:tc>
          <w:tcPr>
            <w:tcW w:w="0" w:type="auto"/>
            <w:noWrap w:val="0"/>
            <w:vAlign w:val="center"/>
          </w:tcPr>
          <w:p w14:paraId="017352E4">
            <w:r>
              <w:rPr>
                <w:rStyle w:val="10"/>
                <w:rFonts w:hint="eastAsia"/>
              </w:rPr>
              <w:t>总有效成分含量：</w:t>
            </w:r>
            <w:r>
              <w:rPr>
                <w:rFonts w:hint="eastAsia"/>
              </w:rPr>
              <w:t>0.25%</w:t>
            </w:r>
          </w:p>
        </w:tc>
      </w:tr>
      <w:tr w14:paraId="29D248C1">
        <w:tblPrEx>
          <w:tblCellMar>
            <w:top w:w="0" w:type="dxa"/>
            <w:left w:w="0" w:type="dxa"/>
            <w:bottom w:w="0" w:type="dxa"/>
            <w:right w:w="0" w:type="dxa"/>
          </w:tblCellMar>
        </w:tblPrEx>
        <w:trPr>
          <w:wBefore w:w="0" w:type="auto"/>
          <w:tblCellSpacing w:w="0" w:type="dxa"/>
        </w:trPr>
        <w:tc>
          <w:tcPr>
            <w:tcW w:w="0" w:type="auto"/>
            <w:noWrap w:val="0"/>
            <w:vAlign w:val="center"/>
          </w:tcPr>
          <w:p w14:paraId="5CB30DC9">
            <w:r>
              <w:rPr>
                <w:rFonts w:hint="eastAsia"/>
              </w:rPr>
              <w:t xml:space="preserve">有效成分及其含量： </w:t>
            </w:r>
          </w:p>
          <w:p w14:paraId="019958AF">
            <w:r>
              <w:rPr>
                <w:rFonts w:hint="eastAsia"/>
              </w:rPr>
              <w:t xml:space="preserve">    24-表芸苔素内酯0.001%    S-诱抗素0.249%    </w:t>
            </w:r>
          </w:p>
        </w:tc>
      </w:tr>
      <w:tr w14:paraId="00B1B527">
        <w:tblPrEx>
          <w:tblCellMar>
            <w:top w:w="0" w:type="dxa"/>
            <w:left w:w="0" w:type="dxa"/>
            <w:bottom w:w="0" w:type="dxa"/>
            <w:right w:w="0" w:type="dxa"/>
          </w:tblCellMar>
        </w:tblPrEx>
        <w:trPr>
          <w:wBefore w:w="0" w:type="auto"/>
          <w:tblCellSpacing w:w="0" w:type="dxa"/>
        </w:trPr>
        <w:tc>
          <w:tcPr>
            <w:tcW w:w="0" w:type="auto"/>
            <w:noWrap w:val="0"/>
            <w:vAlign w:val="center"/>
          </w:tcPr>
          <w:p w14:paraId="3BB47B9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124D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CD67C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D90C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C0DD3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84CDD5">
                  <w:r>
                    <w:rPr>
                      <w:rStyle w:val="11"/>
                      <w:rFonts w:hint="eastAsia"/>
                    </w:rPr>
                    <w:t>施用方式</w:t>
                  </w:r>
                </w:p>
              </w:tc>
            </w:tr>
            <w:tr w14:paraId="7AD20B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17342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839CD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B14527">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2F8B23">
                  <w:r>
                    <w:rPr>
                      <w:rStyle w:val="11"/>
                      <w:rFonts w:hint="eastAsia"/>
                    </w:rPr>
                    <w:t>喷雾</w:t>
                  </w:r>
                </w:p>
              </w:tc>
            </w:tr>
          </w:tbl>
          <w:p w14:paraId="75018409">
            <w:pPr>
              <w:rPr>
                <w:rFonts w:ascii="Times New Roman" w:hAnsi="Times New Roman" w:cs="Times New Roman"/>
                <w:sz w:val="20"/>
                <w:szCs w:val="20"/>
              </w:rPr>
            </w:pPr>
          </w:p>
        </w:tc>
      </w:tr>
      <w:tr w14:paraId="5D39E572">
        <w:tblPrEx>
          <w:tblCellMar>
            <w:top w:w="0" w:type="dxa"/>
            <w:left w:w="0" w:type="dxa"/>
            <w:bottom w:w="0" w:type="dxa"/>
            <w:right w:w="0" w:type="dxa"/>
          </w:tblCellMar>
        </w:tblPrEx>
        <w:trPr>
          <w:wBefore w:w="0" w:type="auto"/>
          <w:tblCellSpacing w:w="0" w:type="dxa"/>
        </w:trPr>
        <w:tc>
          <w:tcPr>
            <w:tcW w:w="0" w:type="auto"/>
            <w:noWrap w:val="0"/>
            <w:vAlign w:val="center"/>
          </w:tcPr>
          <w:p w14:paraId="38D26925">
            <w:r>
              <w:rPr>
                <w:rStyle w:val="10"/>
                <w:rFonts w:hint="eastAsia"/>
              </w:rPr>
              <w:t>使用技术要求:</w:t>
            </w:r>
            <w:r>
              <w:rPr>
                <w:rFonts w:hint="eastAsia"/>
              </w:rPr>
              <w:br w:type="textWrapping"/>
            </w:r>
            <w:r>
              <w:rPr>
                <w:rStyle w:val="11"/>
                <w:rFonts w:hint="eastAsia"/>
              </w:rPr>
              <w:t>1、在水稻分蘖期、破口期各施药1次。施药时应均匀、周到，勿重喷或漏喷。2、使用时间选择在早、晚较凉爽时为宜，喷药4小时内遇雨需重喷。 3、大风天或预计2小时内下雨请勿施药。</w:t>
            </w:r>
          </w:p>
        </w:tc>
      </w:tr>
      <w:tr w14:paraId="171571CA">
        <w:tblPrEx>
          <w:tblCellMar>
            <w:top w:w="0" w:type="dxa"/>
            <w:left w:w="0" w:type="dxa"/>
            <w:bottom w:w="0" w:type="dxa"/>
            <w:right w:w="0" w:type="dxa"/>
          </w:tblCellMar>
        </w:tblPrEx>
        <w:trPr>
          <w:wBefore w:w="0" w:type="auto"/>
          <w:tblCellSpacing w:w="0" w:type="dxa"/>
        </w:trPr>
        <w:tc>
          <w:tcPr>
            <w:tcW w:w="0" w:type="auto"/>
            <w:noWrap w:val="0"/>
            <w:vAlign w:val="center"/>
          </w:tcPr>
          <w:p w14:paraId="0B476BF8">
            <w:r>
              <w:rPr>
                <w:rStyle w:val="10"/>
                <w:rFonts w:hint="eastAsia"/>
              </w:rPr>
              <w:t>产品性能:</w:t>
            </w:r>
            <w:r>
              <w:rPr>
                <w:rFonts w:hint="eastAsia"/>
              </w:rPr>
              <w:br w:type="textWrapping"/>
            </w:r>
            <w:r>
              <w:rPr>
                <w:rStyle w:val="11"/>
                <w:rFonts w:hint="eastAsia"/>
              </w:rPr>
              <w:t>本品是由24-表芸苔素内酯和S-诱抗素复配而成的植物生长调节剂。</w:t>
            </w:r>
          </w:p>
        </w:tc>
      </w:tr>
      <w:tr w14:paraId="07BF7CDC">
        <w:tblPrEx>
          <w:tblCellMar>
            <w:top w:w="0" w:type="dxa"/>
            <w:left w:w="0" w:type="dxa"/>
            <w:bottom w:w="0" w:type="dxa"/>
            <w:right w:w="0" w:type="dxa"/>
          </w:tblCellMar>
        </w:tblPrEx>
        <w:trPr>
          <w:wBefore w:w="0" w:type="auto"/>
          <w:tblCellSpacing w:w="0" w:type="dxa"/>
        </w:trPr>
        <w:tc>
          <w:tcPr>
            <w:tcW w:w="0" w:type="auto"/>
            <w:noWrap w:val="0"/>
            <w:vAlign w:val="center"/>
          </w:tcPr>
          <w:p w14:paraId="7BDB753B">
            <w:r>
              <w:rPr>
                <w:rStyle w:val="10"/>
                <w:rFonts w:hint="eastAsia"/>
              </w:rPr>
              <w:t>注意事项：</w:t>
            </w:r>
            <w:r>
              <w:rPr>
                <w:rFonts w:hint="eastAsia"/>
              </w:rPr>
              <w:br w:type="textWrapping"/>
            </w:r>
            <w:r>
              <w:rPr>
                <w:rStyle w:val="11"/>
                <w:rFonts w:hint="eastAsia"/>
              </w:rPr>
              <w:t>1）远离水产养殖区施药，禁止在河塘等水体中清洗施药器具，清洗施药器具的水也不能排入河塘等水体，（周围）开花植物花期禁用。2）使用本品应采取相应的安全防护措施，配药和施药时应穿戴防护用品，避免皮肤接触及口鼻吸入。使用中不可吸烟、饮水及吃东西，使用后及时清洗手、脸等暴露部位皮肤并更换衣物。3）本品不可与呈强酸、强碱性的农药等物质混合使用。4）用过的容器应妥善处理，不可做它用，也不可随意丢弃。5）注意避光保存，开启包装后最好一次性用完，配制好的水溶液不易久存，现配现用。6）禁止儿童、孕妇和哺乳期妇女接触。过敏者禁用，使用中有任何不良反应请就医。</w:t>
            </w:r>
          </w:p>
        </w:tc>
      </w:tr>
      <w:tr w14:paraId="383FAE25">
        <w:tblPrEx>
          <w:tblCellMar>
            <w:top w:w="0" w:type="dxa"/>
            <w:left w:w="0" w:type="dxa"/>
            <w:bottom w:w="0" w:type="dxa"/>
            <w:right w:w="0" w:type="dxa"/>
          </w:tblCellMar>
        </w:tblPrEx>
        <w:trPr>
          <w:wBefore w:w="0" w:type="auto"/>
          <w:tblCellSpacing w:w="0" w:type="dxa"/>
        </w:trPr>
        <w:tc>
          <w:tcPr>
            <w:tcW w:w="0" w:type="auto"/>
            <w:noWrap w:val="0"/>
            <w:vAlign w:val="center"/>
          </w:tcPr>
          <w:p w14:paraId="6ECC2D65">
            <w:r>
              <w:rPr>
                <w:rStyle w:val="10"/>
                <w:rFonts w:hint="eastAsia"/>
              </w:rPr>
              <w:t>中毒急救措施：</w:t>
            </w:r>
            <w:r>
              <w:rPr>
                <w:rFonts w:hint="eastAsia"/>
              </w:rPr>
              <w:br w:type="textWrapping"/>
            </w:r>
            <w:r>
              <w:rPr>
                <w:rStyle w:val="11"/>
                <w:rFonts w:hint="eastAsia"/>
              </w:rPr>
              <w:t xml:space="preserve">该产品对眼睛有刺激性，使用时避免接触眼睛。中毒症状：未见中毒报道。使用中或使用后如果感觉不适，应立即停止工作，采取急救措施，并携带标签送医院就诊。 1）皮肤接触：立即脱掉被污染的衣物，用软布去除沾染农药，并用大量清水和肥皂冲洗。2）眼睛接触：立即翻开眼睑，用大量清水冲洗至少15分钟，如仍有不适，及时就医。3）不慎吸入：立即离开施药现场，转移至空气流通处。4）如误服：立即停止服用，用清水充分漱口后，立即携带农药标签到医院就诊。无专用解毒剂，对症治疗。 </w:t>
            </w:r>
          </w:p>
        </w:tc>
      </w:tr>
      <w:tr w14:paraId="34E54F74">
        <w:tblPrEx>
          <w:tblCellMar>
            <w:top w:w="0" w:type="dxa"/>
            <w:left w:w="0" w:type="dxa"/>
            <w:bottom w:w="0" w:type="dxa"/>
            <w:right w:w="0" w:type="dxa"/>
          </w:tblCellMar>
        </w:tblPrEx>
        <w:trPr>
          <w:wBefore w:w="0" w:type="auto"/>
          <w:tblCellSpacing w:w="0" w:type="dxa"/>
        </w:trPr>
        <w:tc>
          <w:tcPr>
            <w:tcW w:w="0" w:type="auto"/>
            <w:noWrap w:val="0"/>
            <w:vAlign w:val="center"/>
          </w:tcPr>
          <w:p w14:paraId="01ED2CE8">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本品应贮存在阴凉、干燥、通风、防雨处。远离火源或热源。置于儿童、无关人员及动物接触不到的地方，并加锁保存。不能与食品、饮料、粮食、饲料等物品同贮同运。</w:t>
            </w:r>
          </w:p>
        </w:tc>
      </w:tr>
      <w:tr w14:paraId="07782007">
        <w:tblPrEx>
          <w:tblCellMar>
            <w:top w:w="0" w:type="dxa"/>
            <w:left w:w="0" w:type="dxa"/>
            <w:bottom w:w="0" w:type="dxa"/>
            <w:right w:w="0" w:type="dxa"/>
          </w:tblCellMar>
        </w:tblPrEx>
        <w:trPr>
          <w:wBefore w:w="0" w:type="auto"/>
          <w:tblCellSpacing w:w="0" w:type="dxa"/>
        </w:trPr>
        <w:tc>
          <w:tcPr>
            <w:tcW w:w="0" w:type="auto"/>
            <w:noWrap w:val="0"/>
            <w:vAlign w:val="center"/>
          </w:tcPr>
          <w:p w14:paraId="7C0C907A">
            <w:r>
              <w:rPr>
                <w:rStyle w:val="10"/>
                <w:rFonts w:hint="eastAsia"/>
              </w:rPr>
              <w:t>质量保证期：</w:t>
            </w:r>
            <w:r>
              <w:rPr>
                <w:rStyle w:val="11"/>
                <w:rFonts w:hint="eastAsia"/>
              </w:rPr>
              <w:t>2年</w:t>
            </w:r>
          </w:p>
        </w:tc>
      </w:tr>
      <w:tr w14:paraId="54D4E940">
        <w:tblPrEx>
          <w:tblCellMar>
            <w:top w:w="0" w:type="dxa"/>
            <w:left w:w="0" w:type="dxa"/>
            <w:bottom w:w="0" w:type="dxa"/>
            <w:right w:w="0" w:type="dxa"/>
          </w:tblCellMar>
        </w:tblPrEx>
        <w:trPr>
          <w:wBefore w:w="0" w:type="auto"/>
          <w:tblCellSpacing w:w="0" w:type="dxa"/>
        </w:trPr>
        <w:tc>
          <w:tcPr>
            <w:tcW w:w="0" w:type="auto"/>
            <w:noWrap w:val="0"/>
            <w:vAlign w:val="center"/>
          </w:tcPr>
          <w:p w14:paraId="7B0772F6">
            <w:r>
              <w:rPr>
                <w:rStyle w:val="10"/>
                <w:rFonts w:hint="eastAsia"/>
              </w:rPr>
              <w:t>备注：</w:t>
            </w:r>
          </w:p>
        </w:tc>
      </w:tr>
    </w:tbl>
    <w:p w14:paraId="4278C8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88B2AC">
        <w:tblPrEx>
          <w:tblCellMar>
            <w:top w:w="0" w:type="dxa"/>
            <w:left w:w="0" w:type="dxa"/>
            <w:bottom w:w="0" w:type="dxa"/>
            <w:right w:w="0" w:type="dxa"/>
          </w:tblCellMar>
        </w:tblPrEx>
        <w:trPr>
          <w:wBefore w:w="0" w:type="auto"/>
          <w:tblCellSpacing w:w="0" w:type="dxa"/>
        </w:trPr>
        <w:tc>
          <w:tcPr>
            <w:tcW w:w="0" w:type="auto"/>
            <w:noWrap w:val="0"/>
            <w:vAlign w:val="center"/>
          </w:tcPr>
          <w:p w14:paraId="09239C9F">
            <w:r>
              <w:rPr>
                <w:rStyle w:val="10"/>
                <w:rFonts w:hint="eastAsia"/>
              </w:rPr>
              <w:t>登记证号：</w:t>
            </w:r>
            <w:r>
              <w:rPr>
                <w:rFonts w:hint="eastAsia"/>
              </w:rPr>
              <w:t>WP20210380</w:t>
            </w:r>
          </w:p>
        </w:tc>
      </w:tr>
      <w:tr w14:paraId="4FC9FE5A">
        <w:tblPrEx>
          <w:tblCellMar>
            <w:top w:w="0" w:type="dxa"/>
            <w:left w:w="0" w:type="dxa"/>
            <w:bottom w:w="0" w:type="dxa"/>
            <w:right w:w="0" w:type="dxa"/>
          </w:tblCellMar>
        </w:tblPrEx>
        <w:trPr>
          <w:wBefore w:w="0" w:type="auto"/>
          <w:tblCellSpacing w:w="0" w:type="dxa"/>
        </w:trPr>
        <w:tc>
          <w:tcPr>
            <w:tcW w:w="0" w:type="auto"/>
            <w:noWrap w:val="0"/>
            <w:vAlign w:val="center"/>
          </w:tcPr>
          <w:p w14:paraId="714E1860">
            <w:r>
              <w:rPr>
                <w:rStyle w:val="10"/>
                <w:rFonts w:hint="eastAsia"/>
              </w:rPr>
              <w:t>登记证持有人：</w:t>
            </w:r>
            <w:r>
              <w:rPr>
                <w:rFonts w:hint="eastAsia"/>
              </w:rPr>
              <w:t>浙江迪乐化学品有限公司</w:t>
            </w:r>
          </w:p>
        </w:tc>
      </w:tr>
      <w:tr w14:paraId="1D5CFD26">
        <w:tblPrEx>
          <w:tblCellMar>
            <w:top w:w="0" w:type="dxa"/>
            <w:left w:w="0" w:type="dxa"/>
            <w:bottom w:w="0" w:type="dxa"/>
            <w:right w:w="0" w:type="dxa"/>
          </w:tblCellMar>
        </w:tblPrEx>
        <w:trPr>
          <w:wBefore w:w="0" w:type="auto"/>
          <w:tblCellSpacing w:w="0" w:type="dxa"/>
        </w:trPr>
        <w:tc>
          <w:tcPr>
            <w:tcW w:w="0" w:type="auto"/>
            <w:noWrap w:val="0"/>
            <w:vAlign w:val="center"/>
          </w:tcPr>
          <w:p w14:paraId="1A4F3D8A">
            <w:r>
              <w:rPr>
                <w:rStyle w:val="10"/>
                <w:rFonts w:hint="eastAsia"/>
              </w:rPr>
              <w:t>农药名称：</w:t>
            </w:r>
            <w:r>
              <w:rPr>
                <w:rFonts w:hint="eastAsia"/>
              </w:rPr>
              <w:t>呋虫胺</w:t>
            </w:r>
          </w:p>
        </w:tc>
      </w:tr>
      <w:tr w14:paraId="5B4FE154">
        <w:tblPrEx>
          <w:tblCellMar>
            <w:top w:w="0" w:type="dxa"/>
            <w:left w:w="0" w:type="dxa"/>
            <w:bottom w:w="0" w:type="dxa"/>
            <w:right w:w="0" w:type="dxa"/>
          </w:tblCellMar>
        </w:tblPrEx>
        <w:trPr>
          <w:wBefore w:w="0" w:type="auto"/>
          <w:tblCellSpacing w:w="0" w:type="dxa"/>
        </w:trPr>
        <w:tc>
          <w:tcPr>
            <w:tcW w:w="0" w:type="auto"/>
            <w:noWrap w:val="0"/>
            <w:vAlign w:val="center"/>
          </w:tcPr>
          <w:p w14:paraId="324A0BFF">
            <w:r>
              <w:rPr>
                <w:rStyle w:val="10"/>
                <w:rFonts w:hint="eastAsia"/>
              </w:rPr>
              <w:t>剂型：</w:t>
            </w:r>
            <w:r>
              <w:rPr>
                <w:rFonts w:hint="eastAsia"/>
              </w:rPr>
              <w:t>可溶液剂</w:t>
            </w:r>
          </w:p>
        </w:tc>
      </w:tr>
      <w:tr w14:paraId="2D1B463C">
        <w:tblPrEx>
          <w:tblCellMar>
            <w:top w:w="0" w:type="dxa"/>
            <w:left w:w="0" w:type="dxa"/>
            <w:bottom w:w="0" w:type="dxa"/>
            <w:right w:w="0" w:type="dxa"/>
          </w:tblCellMar>
        </w:tblPrEx>
        <w:trPr>
          <w:wBefore w:w="0" w:type="auto"/>
          <w:tblCellSpacing w:w="0" w:type="dxa"/>
        </w:trPr>
        <w:tc>
          <w:tcPr>
            <w:tcW w:w="0" w:type="auto"/>
            <w:noWrap w:val="0"/>
            <w:vAlign w:val="center"/>
          </w:tcPr>
          <w:p w14:paraId="080C0F93">
            <w:r>
              <w:rPr>
                <w:rStyle w:val="10"/>
                <w:rFonts w:hint="eastAsia"/>
              </w:rPr>
              <w:t>毒性及其标识：</w:t>
            </w:r>
            <w:r>
              <w:rPr>
                <w:rFonts w:hint="eastAsia"/>
              </w:rPr>
              <w:t xml:space="preserve"> </w:t>
            </w:r>
            <w:r>
              <w:rPr>
                <w:lang/>
              </w:rPr>
              <w:drawing>
                <wp:inline distT="0" distB="0" distL="114300" distR="114300">
                  <wp:extent cx="476250" cy="323850"/>
                  <wp:effectExtent l="0" t="0" r="0" b="0"/>
                  <wp:docPr id="39" name="图片 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9DBA16">
        <w:tblPrEx>
          <w:tblCellMar>
            <w:top w:w="0" w:type="dxa"/>
            <w:left w:w="0" w:type="dxa"/>
            <w:bottom w:w="0" w:type="dxa"/>
            <w:right w:w="0" w:type="dxa"/>
          </w:tblCellMar>
        </w:tblPrEx>
        <w:trPr>
          <w:wBefore w:w="0" w:type="auto"/>
          <w:tblCellSpacing w:w="0" w:type="dxa"/>
        </w:trPr>
        <w:tc>
          <w:tcPr>
            <w:tcW w:w="0" w:type="auto"/>
            <w:noWrap w:val="0"/>
            <w:vAlign w:val="center"/>
          </w:tcPr>
          <w:p w14:paraId="2F7A93E8">
            <w:r>
              <w:rPr>
                <w:rStyle w:val="10"/>
                <w:rFonts w:hint="eastAsia"/>
              </w:rPr>
              <w:t>总有效成分含量：</w:t>
            </w:r>
            <w:r>
              <w:rPr>
                <w:rFonts w:hint="eastAsia"/>
              </w:rPr>
              <w:t>0.5%</w:t>
            </w:r>
          </w:p>
        </w:tc>
      </w:tr>
      <w:tr w14:paraId="7CD3E47D">
        <w:tblPrEx>
          <w:tblCellMar>
            <w:top w:w="0" w:type="dxa"/>
            <w:left w:w="0" w:type="dxa"/>
            <w:bottom w:w="0" w:type="dxa"/>
            <w:right w:w="0" w:type="dxa"/>
          </w:tblCellMar>
        </w:tblPrEx>
        <w:trPr>
          <w:wBefore w:w="0" w:type="auto"/>
          <w:tblCellSpacing w:w="0" w:type="dxa"/>
        </w:trPr>
        <w:tc>
          <w:tcPr>
            <w:tcW w:w="0" w:type="auto"/>
            <w:noWrap w:val="0"/>
            <w:vAlign w:val="center"/>
          </w:tcPr>
          <w:p w14:paraId="17E98D88">
            <w:r>
              <w:rPr>
                <w:rFonts w:hint="eastAsia"/>
              </w:rPr>
              <w:t xml:space="preserve">有效成分及其含量： </w:t>
            </w:r>
          </w:p>
          <w:p w14:paraId="01EB8F5E">
            <w:r>
              <w:rPr>
                <w:rFonts w:hint="eastAsia"/>
              </w:rPr>
              <w:t xml:space="preserve">    呋虫胺0.5%    </w:t>
            </w:r>
          </w:p>
        </w:tc>
      </w:tr>
      <w:tr w14:paraId="0E367CF8">
        <w:tblPrEx>
          <w:tblCellMar>
            <w:top w:w="0" w:type="dxa"/>
            <w:left w:w="0" w:type="dxa"/>
            <w:bottom w:w="0" w:type="dxa"/>
            <w:right w:w="0" w:type="dxa"/>
          </w:tblCellMar>
        </w:tblPrEx>
        <w:trPr>
          <w:wBefore w:w="0" w:type="auto"/>
          <w:tblCellSpacing w:w="0" w:type="dxa"/>
        </w:trPr>
        <w:tc>
          <w:tcPr>
            <w:tcW w:w="0" w:type="auto"/>
            <w:noWrap w:val="0"/>
            <w:vAlign w:val="center"/>
          </w:tcPr>
          <w:p w14:paraId="1A278D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FDED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4BF6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32D2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203D9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D11073">
                  <w:r>
                    <w:rPr>
                      <w:rStyle w:val="11"/>
                      <w:rFonts w:hint="eastAsia"/>
                    </w:rPr>
                    <w:t>施用方式</w:t>
                  </w:r>
                </w:p>
              </w:tc>
            </w:tr>
            <w:tr w14:paraId="3C46FE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02EC1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66DBE6">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269F95">
                  <w:r>
                    <w:rPr>
                      <w:rStyle w:val="11"/>
                      <w:rFonts w:hint="eastAsia"/>
                    </w:rPr>
                    <w:t>15毫升/平方米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E1ECA0">
                  <w:r>
                    <w:rPr>
                      <w:rStyle w:val="11"/>
                      <w:rFonts w:hint="eastAsia"/>
                    </w:rPr>
                    <w:t>喷雾</w:t>
                  </w:r>
                </w:p>
              </w:tc>
            </w:tr>
          </w:tbl>
          <w:p w14:paraId="3C801EC5">
            <w:pPr>
              <w:rPr>
                <w:rFonts w:ascii="Times New Roman" w:hAnsi="Times New Roman" w:cs="Times New Roman"/>
                <w:sz w:val="20"/>
                <w:szCs w:val="20"/>
              </w:rPr>
            </w:pPr>
          </w:p>
        </w:tc>
      </w:tr>
      <w:tr w14:paraId="1BC327DB">
        <w:tblPrEx>
          <w:tblCellMar>
            <w:top w:w="0" w:type="dxa"/>
            <w:left w:w="0" w:type="dxa"/>
            <w:bottom w:w="0" w:type="dxa"/>
            <w:right w:w="0" w:type="dxa"/>
          </w:tblCellMar>
        </w:tblPrEx>
        <w:trPr>
          <w:wBefore w:w="0" w:type="auto"/>
          <w:tblCellSpacing w:w="0" w:type="dxa"/>
        </w:trPr>
        <w:tc>
          <w:tcPr>
            <w:tcW w:w="0" w:type="auto"/>
            <w:noWrap w:val="0"/>
            <w:vAlign w:val="center"/>
          </w:tcPr>
          <w:p w14:paraId="613A1850">
            <w:r>
              <w:rPr>
                <w:rStyle w:val="10"/>
                <w:rFonts w:hint="eastAsia"/>
              </w:rPr>
              <w:t>使用技术要求:</w:t>
            </w:r>
            <w:r>
              <w:rPr>
                <w:rFonts w:hint="eastAsia"/>
              </w:rPr>
              <w:br w:type="textWrapping"/>
            </w:r>
            <w:r>
              <w:rPr>
                <w:rStyle w:val="11"/>
                <w:rFonts w:hint="eastAsia"/>
              </w:rPr>
              <w:t>使用后30分钟后打开门窗，经充分通风后再进入房间。</w:t>
            </w:r>
          </w:p>
        </w:tc>
      </w:tr>
      <w:tr w14:paraId="7E63683E">
        <w:tblPrEx>
          <w:tblCellMar>
            <w:top w:w="0" w:type="dxa"/>
            <w:left w:w="0" w:type="dxa"/>
            <w:bottom w:w="0" w:type="dxa"/>
            <w:right w:w="0" w:type="dxa"/>
          </w:tblCellMar>
        </w:tblPrEx>
        <w:trPr>
          <w:wBefore w:w="0" w:type="auto"/>
          <w:tblCellSpacing w:w="0" w:type="dxa"/>
        </w:trPr>
        <w:tc>
          <w:tcPr>
            <w:tcW w:w="0" w:type="auto"/>
            <w:noWrap w:val="0"/>
            <w:vAlign w:val="center"/>
          </w:tcPr>
          <w:p w14:paraId="07BBB58F">
            <w:r>
              <w:rPr>
                <w:rStyle w:val="10"/>
                <w:rFonts w:hint="eastAsia"/>
              </w:rPr>
              <w:t>产品性能:</w:t>
            </w:r>
            <w:r>
              <w:rPr>
                <w:rFonts w:hint="eastAsia"/>
              </w:rPr>
              <w:br w:type="textWrapping"/>
            </w:r>
            <w:r>
              <w:rPr>
                <w:rStyle w:val="11"/>
                <w:rFonts w:hint="eastAsia"/>
              </w:rPr>
              <w:t>本品以呋虫胺为有效成分，属于新烟碱类杀虫剂，对蜚蠊（俗称：蟑螂）具有很好的效果。适用于酒店、写字楼、医院、学校、食品厂、养殖厂、餐馆等室内场所使用。</w:t>
            </w:r>
          </w:p>
        </w:tc>
      </w:tr>
      <w:tr w14:paraId="4588C3D4">
        <w:tblPrEx>
          <w:tblCellMar>
            <w:top w:w="0" w:type="dxa"/>
            <w:left w:w="0" w:type="dxa"/>
            <w:bottom w:w="0" w:type="dxa"/>
            <w:right w:w="0" w:type="dxa"/>
          </w:tblCellMar>
        </w:tblPrEx>
        <w:trPr>
          <w:wBefore w:w="0" w:type="auto"/>
          <w:tblCellSpacing w:w="0" w:type="dxa"/>
        </w:trPr>
        <w:tc>
          <w:tcPr>
            <w:tcW w:w="0" w:type="auto"/>
            <w:noWrap w:val="0"/>
            <w:vAlign w:val="center"/>
          </w:tcPr>
          <w:p w14:paraId="797C1E97">
            <w:r>
              <w:rPr>
                <w:rStyle w:val="10"/>
                <w:rFonts w:hint="eastAsia"/>
              </w:rPr>
              <w:t>注意事项：</w:t>
            </w:r>
            <w:r>
              <w:rPr>
                <w:rFonts w:hint="eastAsia"/>
              </w:rPr>
              <w:br w:type="textWrapping"/>
            </w:r>
            <w:r>
              <w:rPr>
                <w:rStyle w:val="11"/>
                <w:rFonts w:hint="eastAsia"/>
              </w:rPr>
              <w:t>1.使用本品后应立即用肥皂清洗手。2.仅用于室内，养蚕室及其附近禁用。3.切勿在火源附近使用，切勿倒置喷射。4.切勿对人体、食物、餐具喷射。5.用过的包装物应妥善处理，不可做它用，也不可随意丢弃。6.避免孕妇、婴儿及哺乳期妇女接触本品。7.过敏者禁用。使用中有任何不良反应，请及时就医。</w:t>
            </w:r>
          </w:p>
        </w:tc>
      </w:tr>
      <w:tr w14:paraId="163ADDC7">
        <w:tblPrEx>
          <w:tblCellMar>
            <w:top w:w="0" w:type="dxa"/>
            <w:left w:w="0" w:type="dxa"/>
            <w:bottom w:w="0" w:type="dxa"/>
            <w:right w:w="0" w:type="dxa"/>
          </w:tblCellMar>
        </w:tblPrEx>
        <w:trPr>
          <w:wBefore w:w="0" w:type="auto"/>
          <w:tblCellSpacing w:w="0" w:type="dxa"/>
        </w:trPr>
        <w:tc>
          <w:tcPr>
            <w:tcW w:w="0" w:type="auto"/>
            <w:noWrap w:val="0"/>
            <w:vAlign w:val="center"/>
          </w:tcPr>
          <w:p w14:paraId="63583B0F">
            <w:r>
              <w:rPr>
                <w:rStyle w:val="10"/>
                <w:rFonts w:hint="eastAsia"/>
              </w:rPr>
              <w:t>中毒急救措施：</w:t>
            </w:r>
            <w:r>
              <w:rPr>
                <w:rFonts w:hint="eastAsia"/>
              </w:rPr>
              <w:br w:type="textWrapping"/>
            </w:r>
            <w:r>
              <w:rPr>
                <w:rStyle w:val="11"/>
                <w:rFonts w:hint="eastAsia"/>
              </w:rPr>
              <w:t>如药液接触皮肤，立即用肥皂和大量的清水冲洗；如接触眼睛，请即用大量清水冲洗至少15分钟；若不慎吸入，请立即转移至空气清新处。如误服、中毒或使用中有任何不良反应，立即携标签送医院，对症治疗。</w:t>
            </w:r>
          </w:p>
        </w:tc>
      </w:tr>
      <w:tr w14:paraId="578FA585">
        <w:tblPrEx>
          <w:tblCellMar>
            <w:top w:w="0" w:type="dxa"/>
            <w:left w:w="0" w:type="dxa"/>
            <w:bottom w:w="0" w:type="dxa"/>
            <w:right w:w="0" w:type="dxa"/>
          </w:tblCellMar>
        </w:tblPrEx>
        <w:trPr>
          <w:wBefore w:w="0" w:type="auto"/>
          <w:tblCellSpacing w:w="0" w:type="dxa"/>
        </w:trPr>
        <w:tc>
          <w:tcPr>
            <w:tcW w:w="0" w:type="auto"/>
            <w:noWrap w:val="0"/>
            <w:vAlign w:val="center"/>
          </w:tcPr>
          <w:p w14:paraId="0DE51910">
            <w:r>
              <w:rPr>
                <w:rStyle w:val="10"/>
                <w:rFonts w:hint="eastAsia"/>
              </w:rPr>
              <w:t>储存和运输方法：</w:t>
            </w:r>
            <w:r>
              <w:rPr>
                <w:rFonts w:hint="eastAsia"/>
              </w:rPr>
              <w:br w:type="textWrapping"/>
            </w:r>
            <w:r>
              <w:rPr>
                <w:rStyle w:val="11"/>
                <w:rFonts w:hint="eastAsia"/>
              </w:rPr>
              <w:t>本品应贮存于阴凉、干燥、通风、避光处，远离火源或热源存放。置于儿童接触不到的地方，并加锁。运输和装卸时注意轻拿轻放，运输时防雨淋、防高温。不能与食品、饮料、粮食、饲料等混合储运。</w:t>
            </w:r>
          </w:p>
        </w:tc>
      </w:tr>
      <w:tr w14:paraId="594035B4">
        <w:tblPrEx>
          <w:tblCellMar>
            <w:top w:w="0" w:type="dxa"/>
            <w:left w:w="0" w:type="dxa"/>
            <w:bottom w:w="0" w:type="dxa"/>
            <w:right w:w="0" w:type="dxa"/>
          </w:tblCellMar>
        </w:tblPrEx>
        <w:trPr>
          <w:wBefore w:w="0" w:type="auto"/>
          <w:tblCellSpacing w:w="0" w:type="dxa"/>
        </w:trPr>
        <w:tc>
          <w:tcPr>
            <w:tcW w:w="0" w:type="auto"/>
            <w:noWrap w:val="0"/>
            <w:vAlign w:val="center"/>
          </w:tcPr>
          <w:p w14:paraId="2D7F6DB8">
            <w:r>
              <w:rPr>
                <w:rStyle w:val="10"/>
                <w:rFonts w:hint="eastAsia"/>
              </w:rPr>
              <w:t>质量保证期：</w:t>
            </w:r>
            <w:r>
              <w:rPr>
                <w:rStyle w:val="11"/>
                <w:rFonts w:hint="eastAsia"/>
              </w:rPr>
              <w:t>2年</w:t>
            </w:r>
          </w:p>
        </w:tc>
      </w:tr>
      <w:tr w14:paraId="53BA555A">
        <w:tblPrEx>
          <w:tblCellMar>
            <w:top w:w="0" w:type="dxa"/>
            <w:left w:w="0" w:type="dxa"/>
            <w:bottom w:w="0" w:type="dxa"/>
            <w:right w:w="0" w:type="dxa"/>
          </w:tblCellMar>
        </w:tblPrEx>
        <w:trPr>
          <w:wBefore w:w="0" w:type="auto"/>
          <w:tblCellSpacing w:w="0" w:type="dxa"/>
        </w:trPr>
        <w:tc>
          <w:tcPr>
            <w:tcW w:w="0" w:type="auto"/>
            <w:noWrap w:val="0"/>
            <w:vAlign w:val="center"/>
          </w:tcPr>
          <w:p w14:paraId="25FA3D66">
            <w:r>
              <w:rPr>
                <w:rStyle w:val="10"/>
                <w:rFonts w:hint="eastAsia"/>
              </w:rPr>
              <w:t>备注：</w:t>
            </w:r>
          </w:p>
        </w:tc>
      </w:tr>
    </w:tbl>
    <w:p w14:paraId="086532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4A4484">
        <w:tblPrEx>
          <w:tblCellMar>
            <w:top w:w="0" w:type="dxa"/>
            <w:left w:w="0" w:type="dxa"/>
            <w:bottom w:w="0" w:type="dxa"/>
            <w:right w:w="0" w:type="dxa"/>
          </w:tblCellMar>
        </w:tblPrEx>
        <w:trPr>
          <w:wBefore w:w="0" w:type="auto"/>
          <w:tblCellSpacing w:w="0" w:type="dxa"/>
        </w:trPr>
        <w:tc>
          <w:tcPr>
            <w:tcW w:w="0" w:type="auto"/>
            <w:noWrap w:val="0"/>
            <w:vAlign w:val="center"/>
          </w:tcPr>
          <w:p w14:paraId="77C77A8C">
            <w:r>
              <w:rPr>
                <w:rStyle w:val="10"/>
                <w:rFonts w:hint="eastAsia"/>
              </w:rPr>
              <w:t>登记证号：</w:t>
            </w:r>
            <w:r>
              <w:rPr>
                <w:rFonts w:hint="eastAsia"/>
              </w:rPr>
              <w:t>PD20212418</w:t>
            </w:r>
          </w:p>
        </w:tc>
      </w:tr>
      <w:tr w14:paraId="1F26DE4D">
        <w:tblPrEx>
          <w:tblCellMar>
            <w:top w:w="0" w:type="dxa"/>
            <w:left w:w="0" w:type="dxa"/>
            <w:bottom w:w="0" w:type="dxa"/>
            <w:right w:w="0" w:type="dxa"/>
          </w:tblCellMar>
        </w:tblPrEx>
        <w:trPr>
          <w:wBefore w:w="0" w:type="auto"/>
          <w:tblCellSpacing w:w="0" w:type="dxa"/>
        </w:trPr>
        <w:tc>
          <w:tcPr>
            <w:tcW w:w="0" w:type="auto"/>
            <w:noWrap w:val="0"/>
            <w:vAlign w:val="center"/>
          </w:tcPr>
          <w:p w14:paraId="0A931EBD">
            <w:r>
              <w:rPr>
                <w:rStyle w:val="10"/>
                <w:rFonts w:hint="eastAsia"/>
              </w:rPr>
              <w:t>登记证持有人：</w:t>
            </w:r>
            <w:r>
              <w:rPr>
                <w:rFonts w:hint="eastAsia"/>
              </w:rPr>
              <w:t>河南常见生物科技有限公司</w:t>
            </w:r>
          </w:p>
        </w:tc>
      </w:tr>
      <w:tr w14:paraId="25861CA3">
        <w:tblPrEx>
          <w:tblCellMar>
            <w:top w:w="0" w:type="dxa"/>
            <w:left w:w="0" w:type="dxa"/>
            <w:bottom w:w="0" w:type="dxa"/>
            <w:right w:w="0" w:type="dxa"/>
          </w:tblCellMar>
        </w:tblPrEx>
        <w:trPr>
          <w:wBefore w:w="0" w:type="auto"/>
          <w:tblCellSpacing w:w="0" w:type="dxa"/>
        </w:trPr>
        <w:tc>
          <w:tcPr>
            <w:tcW w:w="0" w:type="auto"/>
            <w:noWrap w:val="0"/>
            <w:vAlign w:val="center"/>
          </w:tcPr>
          <w:p w14:paraId="2E4129AA">
            <w:r>
              <w:rPr>
                <w:rStyle w:val="10"/>
                <w:rFonts w:hint="eastAsia"/>
              </w:rPr>
              <w:t>农药名称：</w:t>
            </w:r>
            <w:r>
              <w:rPr>
                <w:rFonts w:hint="eastAsia"/>
              </w:rPr>
              <w:t>氟啶虫酰胺·联苯菊酯</w:t>
            </w:r>
          </w:p>
        </w:tc>
      </w:tr>
      <w:tr w14:paraId="7D7FC868">
        <w:tblPrEx>
          <w:tblCellMar>
            <w:top w:w="0" w:type="dxa"/>
            <w:left w:w="0" w:type="dxa"/>
            <w:bottom w:w="0" w:type="dxa"/>
            <w:right w:w="0" w:type="dxa"/>
          </w:tblCellMar>
        </w:tblPrEx>
        <w:trPr>
          <w:wBefore w:w="0" w:type="auto"/>
          <w:tblCellSpacing w:w="0" w:type="dxa"/>
        </w:trPr>
        <w:tc>
          <w:tcPr>
            <w:tcW w:w="0" w:type="auto"/>
            <w:noWrap w:val="0"/>
            <w:vAlign w:val="center"/>
          </w:tcPr>
          <w:p w14:paraId="1C0420F2">
            <w:r>
              <w:rPr>
                <w:rStyle w:val="10"/>
                <w:rFonts w:hint="eastAsia"/>
              </w:rPr>
              <w:t>剂型：</w:t>
            </w:r>
            <w:r>
              <w:rPr>
                <w:rFonts w:hint="eastAsia"/>
              </w:rPr>
              <w:t>悬浮剂</w:t>
            </w:r>
          </w:p>
        </w:tc>
      </w:tr>
      <w:tr w14:paraId="7FB05483">
        <w:tblPrEx>
          <w:tblCellMar>
            <w:top w:w="0" w:type="dxa"/>
            <w:left w:w="0" w:type="dxa"/>
            <w:bottom w:w="0" w:type="dxa"/>
            <w:right w:w="0" w:type="dxa"/>
          </w:tblCellMar>
        </w:tblPrEx>
        <w:trPr>
          <w:wBefore w:w="0" w:type="auto"/>
          <w:tblCellSpacing w:w="0" w:type="dxa"/>
        </w:trPr>
        <w:tc>
          <w:tcPr>
            <w:tcW w:w="0" w:type="auto"/>
            <w:noWrap w:val="0"/>
            <w:vAlign w:val="center"/>
          </w:tcPr>
          <w:p w14:paraId="49A3185F">
            <w:r>
              <w:rPr>
                <w:rStyle w:val="10"/>
                <w:rFonts w:hint="eastAsia"/>
              </w:rPr>
              <w:t>毒性及其标识：</w:t>
            </w:r>
            <w:r>
              <w:rPr>
                <w:rFonts w:hint="eastAsia"/>
              </w:rPr>
              <w:t xml:space="preserve"> </w:t>
            </w:r>
            <w:r>
              <w:rPr>
                <w:lang/>
              </w:rPr>
              <w:drawing>
                <wp:inline distT="0" distB="0" distL="114300" distR="114300">
                  <wp:extent cx="476250" cy="323850"/>
                  <wp:effectExtent l="0" t="0" r="0" b="0"/>
                  <wp:docPr id="40" name="图片 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2A5050">
        <w:tblPrEx>
          <w:tblCellMar>
            <w:top w:w="0" w:type="dxa"/>
            <w:left w:w="0" w:type="dxa"/>
            <w:bottom w:w="0" w:type="dxa"/>
            <w:right w:w="0" w:type="dxa"/>
          </w:tblCellMar>
        </w:tblPrEx>
        <w:trPr>
          <w:wBefore w:w="0" w:type="auto"/>
          <w:tblCellSpacing w:w="0" w:type="dxa"/>
        </w:trPr>
        <w:tc>
          <w:tcPr>
            <w:tcW w:w="0" w:type="auto"/>
            <w:noWrap w:val="0"/>
            <w:vAlign w:val="center"/>
          </w:tcPr>
          <w:p w14:paraId="12CD5CED">
            <w:r>
              <w:rPr>
                <w:rStyle w:val="10"/>
                <w:rFonts w:hint="eastAsia"/>
              </w:rPr>
              <w:t>总有效成分含量：</w:t>
            </w:r>
            <w:r>
              <w:rPr>
                <w:rFonts w:hint="eastAsia"/>
              </w:rPr>
              <w:t>15%</w:t>
            </w:r>
          </w:p>
        </w:tc>
      </w:tr>
      <w:tr w14:paraId="6BED81D1">
        <w:tblPrEx>
          <w:tblCellMar>
            <w:top w:w="0" w:type="dxa"/>
            <w:left w:w="0" w:type="dxa"/>
            <w:bottom w:w="0" w:type="dxa"/>
            <w:right w:w="0" w:type="dxa"/>
          </w:tblCellMar>
        </w:tblPrEx>
        <w:trPr>
          <w:wBefore w:w="0" w:type="auto"/>
          <w:tblCellSpacing w:w="0" w:type="dxa"/>
        </w:trPr>
        <w:tc>
          <w:tcPr>
            <w:tcW w:w="0" w:type="auto"/>
            <w:noWrap w:val="0"/>
            <w:vAlign w:val="center"/>
          </w:tcPr>
          <w:p w14:paraId="62A99E83">
            <w:r>
              <w:rPr>
                <w:rFonts w:hint="eastAsia"/>
              </w:rPr>
              <w:t xml:space="preserve">有效成分及其含量： </w:t>
            </w:r>
          </w:p>
          <w:p w14:paraId="16C85CE3">
            <w:r>
              <w:rPr>
                <w:rFonts w:hint="eastAsia"/>
              </w:rPr>
              <w:t xml:space="preserve">    氟啶虫酰胺10%    联苯菊酯5%    </w:t>
            </w:r>
          </w:p>
        </w:tc>
      </w:tr>
      <w:tr w14:paraId="2978A7E8">
        <w:tblPrEx>
          <w:tblCellMar>
            <w:top w:w="0" w:type="dxa"/>
            <w:left w:w="0" w:type="dxa"/>
            <w:bottom w:w="0" w:type="dxa"/>
            <w:right w:w="0" w:type="dxa"/>
          </w:tblCellMar>
        </w:tblPrEx>
        <w:trPr>
          <w:wBefore w:w="0" w:type="auto"/>
          <w:tblCellSpacing w:w="0" w:type="dxa"/>
        </w:trPr>
        <w:tc>
          <w:tcPr>
            <w:tcW w:w="0" w:type="auto"/>
            <w:noWrap w:val="0"/>
            <w:vAlign w:val="center"/>
          </w:tcPr>
          <w:p w14:paraId="31A378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0BC4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87AE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9E49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2DDE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2F6EF1">
                  <w:r>
                    <w:rPr>
                      <w:rStyle w:val="11"/>
                      <w:rFonts w:hint="eastAsia"/>
                    </w:rPr>
                    <w:t>施用方式</w:t>
                  </w:r>
                </w:p>
              </w:tc>
            </w:tr>
            <w:tr w14:paraId="532F4D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5F52C8">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CCD215">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40FC24">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57C131">
                  <w:r>
                    <w:rPr>
                      <w:rStyle w:val="11"/>
                      <w:rFonts w:hint="eastAsia"/>
                    </w:rPr>
                    <w:t>喷雾</w:t>
                  </w:r>
                </w:p>
              </w:tc>
            </w:tr>
          </w:tbl>
          <w:p w14:paraId="59FF615C">
            <w:pPr>
              <w:rPr>
                <w:rFonts w:ascii="Times New Roman" w:hAnsi="Times New Roman" w:cs="Times New Roman"/>
                <w:sz w:val="20"/>
                <w:szCs w:val="20"/>
              </w:rPr>
            </w:pPr>
          </w:p>
        </w:tc>
      </w:tr>
      <w:tr w14:paraId="18CE0DB2">
        <w:tblPrEx>
          <w:tblCellMar>
            <w:top w:w="0" w:type="dxa"/>
            <w:left w:w="0" w:type="dxa"/>
            <w:bottom w:w="0" w:type="dxa"/>
            <w:right w:w="0" w:type="dxa"/>
          </w:tblCellMar>
        </w:tblPrEx>
        <w:trPr>
          <w:wBefore w:w="0" w:type="auto"/>
          <w:tblCellSpacing w:w="0" w:type="dxa"/>
        </w:trPr>
        <w:tc>
          <w:tcPr>
            <w:tcW w:w="0" w:type="auto"/>
            <w:noWrap w:val="0"/>
            <w:vAlign w:val="center"/>
          </w:tcPr>
          <w:p w14:paraId="660355A3">
            <w:r>
              <w:rPr>
                <w:rStyle w:val="10"/>
                <w:rFonts w:hint="eastAsia"/>
              </w:rPr>
              <w:t>使用技术要求:</w:t>
            </w:r>
            <w:r>
              <w:rPr>
                <w:rFonts w:hint="eastAsia"/>
              </w:rPr>
              <w:br w:type="textWrapping"/>
            </w:r>
            <w:r>
              <w:rPr>
                <w:rStyle w:val="11"/>
                <w:rFonts w:hint="eastAsia"/>
              </w:rPr>
              <w:t>1.本品应于桃树桃蚜发生前或始盛期施药，使用时应注意均匀喷雾。 2.大风天或预计1小时内有雨，请勿施药。 3.本品在桃树上使用的安全间隔期为14天，每季作物最多使用次数为1次。</w:t>
            </w:r>
          </w:p>
        </w:tc>
      </w:tr>
      <w:tr w14:paraId="3D1195C9">
        <w:tblPrEx>
          <w:tblCellMar>
            <w:top w:w="0" w:type="dxa"/>
            <w:left w:w="0" w:type="dxa"/>
            <w:bottom w:w="0" w:type="dxa"/>
            <w:right w:w="0" w:type="dxa"/>
          </w:tblCellMar>
        </w:tblPrEx>
        <w:trPr>
          <w:wBefore w:w="0" w:type="auto"/>
          <w:tblCellSpacing w:w="0" w:type="dxa"/>
        </w:trPr>
        <w:tc>
          <w:tcPr>
            <w:tcW w:w="0" w:type="auto"/>
            <w:noWrap w:val="0"/>
            <w:vAlign w:val="center"/>
          </w:tcPr>
          <w:p w14:paraId="10B50EC1">
            <w:r>
              <w:rPr>
                <w:rStyle w:val="10"/>
                <w:rFonts w:hint="eastAsia"/>
              </w:rPr>
              <w:t>产品性能:</w:t>
            </w:r>
            <w:r>
              <w:rPr>
                <w:rFonts w:hint="eastAsia"/>
              </w:rPr>
              <w:br w:type="textWrapping"/>
            </w:r>
            <w:r>
              <w:rPr>
                <w:rStyle w:val="11"/>
                <w:rFonts w:hint="eastAsia"/>
              </w:rPr>
              <w:t>本产品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3A67E3A8">
        <w:tblPrEx>
          <w:tblCellMar>
            <w:top w:w="0" w:type="dxa"/>
            <w:left w:w="0" w:type="dxa"/>
            <w:bottom w:w="0" w:type="dxa"/>
            <w:right w:w="0" w:type="dxa"/>
          </w:tblCellMar>
        </w:tblPrEx>
        <w:trPr>
          <w:wBefore w:w="0" w:type="auto"/>
          <w:tblCellSpacing w:w="0" w:type="dxa"/>
        </w:trPr>
        <w:tc>
          <w:tcPr>
            <w:tcW w:w="0" w:type="auto"/>
            <w:noWrap w:val="0"/>
            <w:vAlign w:val="center"/>
          </w:tcPr>
          <w:p w14:paraId="1410CF2C">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等，避免皮肤接触及口鼻吸入药液。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w:t>
            </w:r>
          </w:p>
        </w:tc>
      </w:tr>
      <w:tr w14:paraId="6556CD46">
        <w:tblPrEx>
          <w:tblCellMar>
            <w:top w:w="0" w:type="dxa"/>
            <w:left w:w="0" w:type="dxa"/>
            <w:bottom w:w="0" w:type="dxa"/>
            <w:right w:w="0" w:type="dxa"/>
          </w:tblCellMar>
        </w:tblPrEx>
        <w:trPr>
          <w:wBefore w:w="0" w:type="auto"/>
          <w:tblCellSpacing w:w="0" w:type="dxa"/>
        </w:trPr>
        <w:tc>
          <w:tcPr>
            <w:tcW w:w="0" w:type="auto"/>
            <w:noWrap w:val="0"/>
            <w:vAlign w:val="center"/>
          </w:tcPr>
          <w:p w14:paraId="12003A62">
            <w:r>
              <w:rPr>
                <w:rStyle w:val="10"/>
                <w:rFonts w:hint="eastAsia"/>
              </w:rPr>
              <w:t>中毒急救措施：</w:t>
            </w:r>
            <w:r>
              <w:rPr>
                <w:rFonts w:hint="eastAsia"/>
              </w:rPr>
              <w:br w:type="textWrapping"/>
            </w:r>
            <w:r>
              <w:rPr>
                <w:rStyle w:val="11"/>
                <w:rFonts w:hint="eastAsia"/>
              </w:rPr>
              <w:t>中毒症状：头晕、恶心、呕吐，一旦发生中毒，请对症治疗。 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7A650003">
        <w:tblPrEx>
          <w:tblCellMar>
            <w:top w:w="0" w:type="dxa"/>
            <w:left w:w="0" w:type="dxa"/>
            <w:bottom w:w="0" w:type="dxa"/>
            <w:right w:w="0" w:type="dxa"/>
          </w:tblCellMar>
        </w:tblPrEx>
        <w:trPr>
          <w:wBefore w:w="0" w:type="auto"/>
          <w:tblCellSpacing w:w="0" w:type="dxa"/>
        </w:trPr>
        <w:tc>
          <w:tcPr>
            <w:tcW w:w="0" w:type="auto"/>
            <w:noWrap w:val="0"/>
            <w:vAlign w:val="center"/>
          </w:tcPr>
          <w:p w14:paraId="111F0B8C">
            <w:r>
              <w:rPr>
                <w:rStyle w:val="10"/>
                <w:rFonts w:hint="eastAsia"/>
              </w:rPr>
              <w:t>储存和运输方法：</w:t>
            </w:r>
            <w:r>
              <w:rPr>
                <w:rFonts w:hint="eastAsia"/>
              </w:rPr>
              <w:br w:type="textWrapping"/>
            </w:r>
            <w:r>
              <w:rPr>
                <w:rStyle w:val="11"/>
                <w:rFonts w:hint="eastAsia"/>
              </w:rPr>
              <w:t>1、本品应贮存于通风、阴凉、干燥处。远离火源或热源。置于儿童触及不到之处，并加锁。2、运输时，严防雨淋、日晒，不能与食品、饮料、粮食、饲料等物品同贮同运，避免与皮肤接触，防止由口鼻吸入。</w:t>
            </w:r>
          </w:p>
        </w:tc>
      </w:tr>
      <w:tr w14:paraId="70B4D72E">
        <w:tblPrEx>
          <w:tblCellMar>
            <w:top w:w="0" w:type="dxa"/>
            <w:left w:w="0" w:type="dxa"/>
            <w:bottom w:w="0" w:type="dxa"/>
            <w:right w:w="0" w:type="dxa"/>
          </w:tblCellMar>
        </w:tblPrEx>
        <w:trPr>
          <w:wBefore w:w="0" w:type="auto"/>
          <w:tblCellSpacing w:w="0" w:type="dxa"/>
        </w:trPr>
        <w:tc>
          <w:tcPr>
            <w:tcW w:w="0" w:type="auto"/>
            <w:noWrap w:val="0"/>
            <w:vAlign w:val="center"/>
          </w:tcPr>
          <w:p w14:paraId="3FC78E99">
            <w:r>
              <w:rPr>
                <w:rStyle w:val="10"/>
                <w:rFonts w:hint="eastAsia"/>
              </w:rPr>
              <w:t>质量保证期：</w:t>
            </w:r>
            <w:r>
              <w:rPr>
                <w:rStyle w:val="11"/>
                <w:rFonts w:hint="eastAsia"/>
              </w:rPr>
              <w:t>2年</w:t>
            </w:r>
          </w:p>
        </w:tc>
      </w:tr>
      <w:tr w14:paraId="53C03BDA">
        <w:tblPrEx>
          <w:tblCellMar>
            <w:top w:w="0" w:type="dxa"/>
            <w:left w:w="0" w:type="dxa"/>
            <w:bottom w:w="0" w:type="dxa"/>
            <w:right w:w="0" w:type="dxa"/>
          </w:tblCellMar>
        </w:tblPrEx>
        <w:trPr>
          <w:wBefore w:w="0" w:type="auto"/>
          <w:tblCellSpacing w:w="0" w:type="dxa"/>
        </w:trPr>
        <w:tc>
          <w:tcPr>
            <w:tcW w:w="0" w:type="auto"/>
            <w:noWrap w:val="0"/>
            <w:vAlign w:val="center"/>
          </w:tcPr>
          <w:p w14:paraId="05F24F71">
            <w:r>
              <w:rPr>
                <w:rStyle w:val="10"/>
                <w:rFonts w:hint="eastAsia"/>
              </w:rPr>
              <w:t>备注：</w:t>
            </w:r>
          </w:p>
        </w:tc>
      </w:tr>
    </w:tbl>
    <w:p w14:paraId="18A965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33C229">
        <w:tblPrEx>
          <w:tblCellMar>
            <w:top w:w="0" w:type="dxa"/>
            <w:left w:w="0" w:type="dxa"/>
            <w:bottom w:w="0" w:type="dxa"/>
            <w:right w:w="0" w:type="dxa"/>
          </w:tblCellMar>
        </w:tblPrEx>
        <w:trPr>
          <w:wBefore w:w="0" w:type="auto"/>
          <w:tblCellSpacing w:w="0" w:type="dxa"/>
        </w:trPr>
        <w:tc>
          <w:tcPr>
            <w:tcW w:w="0" w:type="auto"/>
            <w:noWrap w:val="0"/>
            <w:vAlign w:val="center"/>
          </w:tcPr>
          <w:p w14:paraId="4A079B33">
            <w:r>
              <w:rPr>
                <w:rStyle w:val="10"/>
                <w:rFonts w:hint="eastAsia"/>
              </w:rPr>
              <w:t>登记证号：</w:t>
            </w:r>
            <w:r>
              <w:rPr>
                <w:rFonts w:hint="eastAsia"/>
              </w:rPr>
              <w:t>PD20212715</w:t>
            </w:r>
          </w:p>
        </w:tc>
      </w:tr>
      <w:tr w14:paraId="519E921C">
        <w:tblPrEx>
          <w:tblCellMar>
            <w:top w:w="0" w:type="dxa"/>
            <w:left w:w="0" w:type="dxa"/>
            <w:bottom w:w="0" w:type="dxa"/>
            <w:right w:w="0" w:type="dxa"/>
          </w:tblCellMar>
        </w:tblPrEx>
        <w:trPr>
          <w:wBefore w:w="0" w:type="auto"/>
          <w:tblCellSpacing w:w="0" w:type="dxa"/>
        </w:trPr>
        <w:tc>
          <w:tcPr>
            <w:tcW w:w="0" w:type="auto"/>
            <w:noWrap w:val="0"/>
            <w:vAlign w:val="center"/>
          </w:tcPr>
          <w:p w14:paraId="7DDD4606">
            <w:r>
              <w:rPr>
                <w:rStyle w:val="10"/>
                <w:rFonts w:hint="eastAsia"/>
              </w:rPr>
              <w:t>登记证持有人：</w:t>
            </w:r>
            <w:r>
              <w:rPr>
                <w:rFonts w:hint="eastAsia"/>
              </w:rPr>
              <w:t>开封市汴梁种衣剂有限公司</w:t>
            </w:r>
          </w:p>
        </w:tc>
      </w:tr>
      <w:tr w14:paraId="74A42210">
        <w:tblPrEx>
          <w:tblCellMar>
            <w:top w:w="0" w:type="dxa"/>
            <w:left w:w="0" w:type="dxa"/>
            <w:bottom w:w="0" w:type="dxa"/>
            <w:right w:w="0" w:type="dxa"/>
          </w:tblCellMar>
        </w:tblPrEx>
        <w:trPr>
          <w:wBefore w:w="0" w:type="auto"/>
          <w:tblCellSpacing w:w="0" w:type="dxa"/>
        </w:trPr>
        <w:tc>
          <w:tcPr>
            <w:tcW w:w="0" w:type="auto"/>
            <w:noWrap w:val="0"/>
            <w:vAlign w:val="center"/>
          </w:tcPr>
          <w:p w14:paraId="3A14AE45">
            <w:r>
              <w:rPr>
                <w:rStyle w:val="10"/>
                <w:rFonts w:hint="eastAsia"/>
              </w:rPr>
              <w:t>农药名称：</w:t>
            </w:r>
            <w:r>
              <w:rPr>
                <w:rFonts w:hint="eastAsia"/>
              </w:rPr>
              <w:t>精甲·咯·嘧菌</w:t>
            </w:r>
          </w:p>
        </w:tc>
      </w:tr>
      <w:tr w14:paraId="3165CDB2">
        <w:tblPrEx>
          <w:tblCellMar>
            <w:top w:w="0" w:type="dxa"/>
            <w:left w:w="0" w:type="dxa"/>
            <w:bottom w:w="0" w:type="dxa"/>
            <w:right w:w="0" w:type="dxa"/>
          </w:tblCellMar>
        </w:tblPrEx>
        <w:trPr>
          <w:wBefore w:w="0" w:type="auto"/>
          <w:tblCellSpacing w:w="0" w:type="dxa"/>
        </w:trPr>
        <w:tc>
          <w:tcPr>
            <w:tcW w:w="0" w:type="auto"/>
            <w:noWrap w:val="0"/>
            <w:vAlign w:val="center"/>
          </w:tcPr>
          <w:p w14:paraId="3871423A">
            <w:r>
              <w:rPr>
                <w:rStyle w:val="10"/>
                <w:rFonts w:hint="eastAsia"/>
              </w:rPr>
              <w:t>剂型：</w:t>
            </w:r>
            <w:r>
              <w:rPr>
                <w:rFonts w:hint="eastAsia"/>
              </w:rPr>
              <w:t>种子处理悬浮剂</w:t>
            </w:r>
          </w:p>
        </w:tc>
      </w:tr>
      <w:tr w14:paraId="6D2CA23F">
        <w:tblPrEx>
          <w:tblCellMar>
            <w:top w:w="0" w:type="dxa"/>
            <w:left w:w="0" w:type="dxa"/>
            <w:bottom w:w="0" w:type="dxa"/>
            <w:right w:w="0" w:type="dxa"/>
          </w:tblCellMar>
        </w:tblPrEx>
        <w:trPr>
          <w:wBefore w:w="0" w:type="auto"/>
          <w:tblCellSpacing w:w="0" w:type="dxa"/>
        </w:trPr>
        <w:tc>
          <w:tcPr>
            <w:tcW w:w="0" w:type="auto"/>
            <w:noWrap w:val="0"/>
            <w:vAlign w:val="center"/>
          </w:tcPr>
          <w:p w14:paraId="0AB04549">
            <w:r>
              <w:rPr>
                <w:rStyle w:val="10"/>
                <w:rFonts w:hint="eastAsia"/>
              </w:rPr>
              <w:t>毒性及其标识：</w:t>
            </w:r>
            <w:r>
              <w:rPr>
                <w:rFonts w:hint="eastAsia"/>
              </w:rPr>
              <w:t xml:space="preserve"> </w:t>
            </w:r>
            <w:r>
              <w:rPr>
                <w:lang/>
              </w:rPr>
              <w:drawing>
                <wp:inline distT="0" distB="0" distL="114300" distR="114300">
                  <wp:extent cx="476250" cy="323850"/>
                  <wp:effectExtent l="0" t="0" r="0" b="0"/>
                  <wp:docPr id="41" name="图片 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3CF29D">
        <w:tblPrEx>
          <w:tblCellMar>
            <w:top w:w="0" w:type="dxa"/>
            <w:left w:w="0" w:type="dxa"/>
            <w:bottom w:w="0" w:type="dxa"/>
            <w:right w:w="0" w:type="dxa"/>
          </w:tblCellMar>
        </w:tblPrEx>
        <w:trPr>
          <w:wBefore w:w="0" w:type="auto"/>
          <w:tblCellSpacing w:w="0" w:type="dxa"/>
        </w:trPr>
        <w:tc>
          <w:tcPr>
            <w:tcW w:w="0" w:type="auto"/>
            <w:noWrap w:val="0"/>
            <w:vAlign w:val="center"/>
          </w:tcPr>
          <w:p w14:paraId="29E94A24">
            <w:r>
              <w:rPr>
                <w:rStyle w:val="10"/>
                <w:rFonts w:hint="eastAsia"/>
              </w:rPr>
              <w:t>总有效成分含量：</w:t>
            </w:r>
            <w:r>
              <w:rPr>
                <w:rFonts w:hint="eastAsia"/>
              </w:rPr>
              <w:t>11%</w:t>
            </w:r>
          </w:p>
        </w:tc>
      </w:tr>
      <w:tr w14:paraId="4281C733">
        <w:tblPrEx>
          <w:tblCellMar>
            <w:top w:w="0" w:type="dxa"/>
            <w:left w:w="0" w:type="dxa"/>
            <w:bottom w:w="0" w:type="dxa"/>
            <w:right w:w="0" w:type="dxa"/>
          </w:tblCellMar>
        </w:tblPrEx>
        <w:trPr>
          <w:wBefore w:w="0" w:type="auto"/>
          <w:tblCellSpacing w:w="0" w:type="dxa"/>
        </w:trPr>
        <w:tc>
          <w:tcPr>
            <w:tcW w:w="0" w:type="auto"/>
            <w:noWrap w:val="0"/>
            <w:vAlign w:val="center"/>
          </w:tcPr>
          <w:p w14:paraId="5A40E54C">
            <w:r>
              <w:rPr>
                <w:rFonts w:hint="eastAsia"/>
              </w:rPr>
              <w:t xml:space="preserve">有效成分及其含量： </w:t>
            </w:r>
          </w:p>
          <w:p w14:paraId="306C4A87">
            <w:r>
              <w:rPr>
                <w:rFonts w:hint="eastAsia"/>
              </w:rPr>
              <w:t xml:space="preserve">    咯菌腈1.1%    精甲霜灵3.3%    嘧菌酯6.6%    </w:t>
            </w:r>
          </w:p>
        </w:tc>
      </w:tr>
      <w:tr w14:paraId="6130A14B">
        <w:tblPrEx>
          <w:tblCellMar>
            <w:top w:w="0" w:type="dxa"/>
            <w:left w:w="0" w:type="dxa"/>
            <w:bottom w:w="0" w:type="dxa"/>
            <w:right w:w="0" w:type="dxa"/>
          </w:tblCellMar>
        </w:tblPrEx>
        <w:trPr>
          <w:wBefore w:w="0" w:type="auto"/>
          <w:tblCellSpacing w:w="0" w:type="dxa"/>
        </w:trPr>
        <w:tc>
          <w:tcPr>
            <w:tcW w:w="0" w:type="auto"/>
            <w:noWrap w:val="0"/>
            <w:vAlign w:val="center"/>
          </w:tcPr>
          <w:p w14:paraId="6274C5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F3C7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64036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EC2AE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3B215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BEECC3">
                  <w:r>
                    <w:rPr>
                      <w:rStyle w:val="11"/>
                      <w:rFonts w:hint="eastAsia"/>
                    </w:rPr>
                    <w:t>施用方式</w:t>
                  </w:r>
                </w:p>
              </w:tc>
            </w:tr>
            <w:tr w14:paraId="5162FD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486974">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FCB7DE">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42264C">
                  <w:r>
                    <w:rPr>
                      <w:rStyle w:val="11"/>
                      <w:rFonts w:hint="eastAsia"/>
                    </w:rPr>
                    <w:t>200-300毫升/100千克种子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51BB84">
                  <w:r>
                    <w:rPr>
                      <w:rStyle w:val="11"/>
                      <w:rFonts w:hint="eastAsia"/>
                    </w:rPr>
                    <w:t>种子包衣</w:t>
                  </w:r>
                </w:p>
              </w:tc>
            </w:tr>
          </w:tbl>
          <w:p w14:paraId="2270F594">
            <w:pPr>
              <w:rPr>
                <w:rFonts w:ascii="Times New Roman" w:hAnsi="Times New Roman" w:cs="Times New Roman"/>
                <w:sz w:val="20"/>
                <w:szCs w:val="20"/>
              </w:rPr>
            </w:pPr>
          </w:p>
        </w:tc>
      </w:tr>
      <w:tr w14:paraId="259D3607">
        <w:tblPrEx>
          <w:tblCellMar>
            <w:top w:w="0" w:type="dxa"/>
            <w:left w:w="0" w:type="dxa"/>
            <w:bottom w:w="0" w:type="dxa"/>
            <w:right w:w="0" w:type="dxa"/>
          </w:tblCellMar>
        </w:tblPrEx>
        <w:trPr>
          <w:wBefore w:w="0" w:type="auto"/>
          <w:tblCellSpacing w:w="0" w:type="dxa"/>
        </w:trPr>
        <w:tc>
          <w:tcPr>
            <w:tcW w:w="0" w:type="auto"/>
            <w:noWrap w:val="0"/>
            <w:vAlign w:val="center"/>
          </w:tcPr>
          <w:p w14:paraId="333E29D0">
            <w:r>
              <w:rPr>
                <w:rStyle w:val="10"/>
                <w:rFonts w:hint="eastAsia"/>
              </w:rPr>
              <w:t>使用技术要求:</w:t>
            </w:r>
            <w:r>
              <w:rPr>
                <w:rFonts w:hint="eastAsia"/>
              </w:rPr>
              <w:br w:type="textWrapping"/>
            </w:r>
            <w:r>
              <w:rPr>
                <w:rStyle w:val="11"/>
                <w:rFonts w:hint="eastAsia"/>
              </w:rPr>
              <w:t xml:space="preserve">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播种时需考虑低温、大雨等不良环境影响，适时播种。 </w:t>
            </w:r>
          </w:p>
        </w:tc>
      </w:tr>
      <w:tr w14:paraId="6556C432">
        <w:tblPrEx>
          <w:tblCellMar>
            <w:top w:w="0" w:type="dxa"/>
            <w:left w:w="0" w:type="dxa"/>
            <w:bottom w:w="0" w:type="dxa"/>
            <w:right w:w="0" w:type="dxa"/>
          </w:tblCellMar>
        </w:tblPrEx>
        <w:trPr>
          <w:wBefore w:w="0" w:type="auto"/>
          <w:tblCellSpacing w:w="0" w:type="dxa"/>
        </w:trPr>
        <w:tc>
          <w:tcPr>
            <w:tcW w:w="0" w:type="auto"/>
            <w:noWrap w:val="0"/>
            <w:vAlign w:val="center"/>
          </w:tcPr>
          <w:p w14:paraId="0B024AEC">
            <w:r>
              <w:rPr>
                <w:rStyle w:val="10"/>
                <w:rFonts w:hint="eastAsia"/>
              </w:rPr>
              <w:t>产品性能:</w:t>
            </w:r>
            <w:r>
              <w:rPr>
                <w:rFonts w:hint="eastAsia"/>
              </w:rPr>
              <w:br w:type="textWrapping"/>
            </w:r>
            <w:r>
              <w:rPr>
                <w:rStyle w:val="11"/>
                <w:rFonts w:hint="eastAsia"/>
              </w:rPr>
              <w:t xml:space="preserve">本品由精甲霜灵、咯菌腈、嘧菌酯复配而成，用于种子包衣处理，可有效防治玉米茎基腐病。 </w:t>
            </w:r>
          </w:p>
        </w:tc>
      </w:tr>
      <w:tr w14:paraId="2E457BD2">
        <w:tblPrEx>
          <w:tblCellMar>
            <w:top w:w="0" w:type="dxa"/>
            <w:left w:w="0" w:type="dxa"/>
            <w:bottom w:w="0" w:type="dxa"/>
            <w:right w:w="0" w:type="dxa"/>
          </w:tblCellMar>
        </w:tblPrEx>
        <w:trPr>
          <w:wBefore w:w="0" w:type="auto"/>
          <w:tblCellSpacing w:w="0" w:type="dxa"/>
        </w:trPr>
        <w:tc>
          <w:tcPr>
            <w:tcW w:w="0" w:type="auto"/>
            <w:noWrap w:val="0"/>
            <w:vAlign w:val="center"/>
          </w:tcPr>
          <w:p w14:paraId="25B9B817">
            <w:r>
              <w:rPr>
                <w:rStyle w:val="10"/>
                <w:rFonts w:hint="eastAsia"/>
              </w:rPr>
              <w:t>注意事项：</w:t>
            </w:r>
            <w:r>
              <w:rPr>
                <w:rFonts w:hint="eastAsia"/>
              </w:rPr>
              <w:br w:type="textWrapping"/>
            </w:r>
            <w:r>
              <w:rPr>
                <w:rStyle w:val="11"/>
                <w:rFonts w:hint="eastAsia"/>
              </w:rPr>
              <w:t>1.使用本品时应采取安全防护措施，穿防护服，戴口罩、手套，避免刺激眼睛、皮肤接触及口鼻吸入，切勿吸烟或饮食。使用后及时洗手。 2.本品对蜜蜂、鸟类有毒，使用时应密切关注对附近蜂群的影响，施药期间鸟类保护区附近禁用，禁止在河塘等水体中清洗施药器具。 3. 处理后的种子禁止供人畜食用，也不要与未处理种子混合或一起存放。4.本品勿与碱性农药等物质混合使用。5.用过的容器应妥善处理，不可做他用，也不可随意丢弃。6.孕妇及哺乳期妇女禁止接触本品。</w:t>
            </w:r>
          </w:p>
        </w:tc>
      </w:tr>
      <w:tr w14:paraId="234EAB6F">
        <w:tblPrEx>
          <w:tblCellMar>
            <w:top w:w="0" w:type="dxa"/>
            <w:left w:w="0" w:type="dxa"/>
            <w:bottom w:w="0" w:type="dxa"/>
            <w:right w:w="0" w:type="dxa"/>
          </w:tblCellMar>
        </w:tblPrEx>
        <w:trPr>
          <w:wBefore w:w="0" w:type="auto"/>
          <w:tblCellSpacing w:w="0" w:type="dxa"/>
        </w:trPr>
        <w:tc>
          <w:tcPr>
            <w:tcW w:w="0" w:type="auto"/>
            <w:noWrap w:val="0"/>
            <w:vAlign w:val="center"/>
          </w:tcPr>
          <w:p w14:paraId="6E6795BC">
            <w:r>
              <w:rPr>
                <w:rStyle w:val="10"/>
                <w:rFonts w:hint="eastAsia"/>
              </w:rPr>
              <w:t>中毒急救措施：</w:t>
            </w:r>
            <w:r>
              <w:rPr>
                <w:rFonts w:hint="eastAsia"/>
              </w:rPr>
              <w:br w:type="textWrapping"/>
            </w:r>
            <w:r>
              <w:rPr>
                <w:rStyle w:val="11"/>
                <w:rFonts w:hint="eastAsia"/>
              </w:rPr>
              <w:t xml:space="preserve">中毒症状：皮肤有刺激性。 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4.误服：请用清水充分漱口后，立即携带标签，送医就诊。无专用解毒剂，对症治疗。 </w:t>
            </w:r>
          </w:p>
        </w:tc>
      </w:tr>
      <w:tr w14:paraId="02DC8735">
        <w:tblPrEx>
          <w:tblCellMar>
            <w:top w:w="0" w:type="dxa"/>
            <w:left w:w="0" w:type="dxa"/>
            <w:bottom w:w="0" w:type="dxa"/>
            <w:right w:w="0" w:type="dxa"/>
          </w:tblCellMar>
        </w:tblPrEx>
        <w:trPr>
          <w:wBefore w:w="0" w:type="auto"/>
          <w:tblCellSpacing w:w="0" w:type="dxa"/>
        </w:trPr>
        <w:tc>
          <w:tcPr>
            <w:tcW w:w="0" w:type="auto"/>
            <w:noWrap w:val="0"/>
            <w:vAlign w:val="center"/>
          </w:tcPr>
          <w:p w14:paraId="269E20FA">
            <w:r>
              <w:rPr>
                <w:rStyle w:val="10"/>
                <w:rFonts w:hint="eastAsia"/>
              </w:rPr>
              <w:t>储存和运输方法：</w:t>
            </w:r>
            <w:r>
              <w:rPr>
                <w:rFonts w:hint="eastAsia"/>
              </w:rPr>
              <w:br w:type="textWrapping"/>
            </w:r>
            <w:r>
              <w:rPr>
                <w:rStyle w:val="11"/>
                <w:rFonts w:hint="eastAsia"/>
              </w:rPr>
              <w:t xml:space="preserve">本品贮存应注意阴凉、干燥、通风，远离火源、热源及儿童存放，并加锁；不能与食品、饮料、粮食、饲料等同贮同运。避免与皮肤、眼睛接触。装卸运输时注意检查包装是否密封完整，轻拿轻放，不可倒置。 </w:t>
            </w:r>
          </w:p>
        </w:tc>
      </w:tr>
      <w:tr w14:paraId="37CC70DE">
        <w:tblPrEx>
          <w:tblCellMar>
            <w:top w:w="0" w:type="dxa"/>
            <w:left w:w="0" w:type="dxa"/>
            <w:bottom w:w="0" w:type="dxa"/>
            <w:right w:w="0" w:type="dxa"/>
          </w:tblCellMar>
        </w:tblPrEx>
        <w:trPr>
          <w:wBefore w:w="0" w:type="auto"/>
          <w:tblCellSpacing w:w="0" w:type="dxa"/>
        </w:trPr>
        <w:tc>
          <w:tcPr>
            <w:tcW w:w="0" w:type="auto"/>
            <w:noWrap w:val="0"/>
            <w:vAlign w:val="center"/>
          </w:tcPr>
          <w:p w14:paraId="5E53653E">
            <w:r>
              <w:rPr>
                <w:rStyle w:val="10"/>
                <w:rFonts w:hint="eastAsia"/>
              </w:rPr>
              <w:t>质量保证期：</w:t>
            </w:r>
            <w:r>
              <w:rPr>
                <w:rStyle w:val="11"/>
                <w:rFonts w:hint="eastAsia"/>
              </w:rPr>
              <w:t>2年</w:t>
            </w:r>
          </w:p>
        </w:tc>
      </w:tr>
      <w:tr w14:paraId="4108DA2A">
        <w:tblPrEx>
          <w:tblCellMar>
            <w:top w:w="0" w:type="dxa"/>
            <w:left w:w="0" w:type="dxa"/>
            <w:bottom w:w="0" w:type="dxa"/>
            <w:right w:w="0" w:type="dxa"/>
          </w:tblCellMar>
        </w:tblPrEx>
        <w:trPr>
          <w:wBefore w:w="0" w:type="auto"/>
          <w:tblCellSpacing w:w="0" w:type="dxa"/>
        </w:trPr>
        <w:tc>
          <w:tcPr>
            <w:tcW w:w="0" w:type="auto"/>
            <w:noWrap w:val="0"/>
            <w:vAlign w:val="center"/>
          </w:tcPr>
          <w:p w14:paraId="556E6C35">
            <w:r>
              <w:rPr>
                <w:rStyle w:val="10"/>
                <w:rFonts w:hint="eastAsia"/>
              </w:rPr>
              <w:t>备注：</w:t>
            </w:r>
          </w:p>
        </w:tc>
      </w:tr>
    </w:tbl>
    <w:p w14:paraId="7E8EA26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F5A225">
        <w:tblPrEx>
          <w:tblCellMar>
            <w:top w:w="0" w:type="dxa"/>
            <w:left w:w="0" w:type="dxa"/>
            <w:bottom w:w="0" w:type="dxa"/>
            <w:right w:w="0" w:type="dxa"/>
          </w:tblCellMar>
        </w:tblPrEx>
        <w:trPr>
          <w:wBefore w:w="0" w:type="auto"/>
          <w:tblCellSpacing w:w="0" w:type="dxa"/>
        </w:trPr>
        <w:tc>
          <w:tcPr>
            <w:tcW w:w="0" w:type="auto"/>
            <w:noWrap w:val="0"/>
            <w:vAlign w:val="center"/>
          </w:tcPr>
          <w:p w14:paraId="52A95E31">
            <w:r>
              <w:rPr>
                <w:rStyle w:val="10"/>
                <w:rFonts w:hint="eastAsia"/>
              </w:rPr>
              <w:t>登记证号：</w:t>
            </w:r>
            <w:r>
              <w:rPr>
                <w:rFonts w:hint="eastAsia"/>
              </w:rPr>
              <w:t>PD20212659</w:t>
            </w:r>
          </w:p>
        </w:tc>
      </w:tr>
      <w:tr w14:paraId="4270E78A">
        <w:tblPrEx>
          <w:tblCellMar>
            <w:top w:w="0" w:type="dxa"/>
            <w:left w:w="0" w:type="dxa"/>
            <w:bottom w:w="0" w:type="dxa"/>
            <w:right w:w="0" w:type="dxa"/>
          </w:tblCellMar>
        </w:tblPrEx>
        <w:trPr>
          <w:wBefore w:w="0" w:type="auto"/>
          <w:tblCellSpacing w:w="0" w:type="dxa"/>
        </w:trPr>
        <w:tc>
          <w:tcPr>
            <w:tcW w:w="0" w:type="auto"/>
            <w:noWrap w:val="0"/>
            <w:vAlign w:val="center"/>
          </w:tcPr>
          <w:p w14:paraId="2EFE06FD">
            <w:r>
              <w:rPr>
                <w:rStyle w:val="10"/>
                <w:rFonts w:hint="eastAsia"/>
              </w:rPr>
              <w:t>登记证持有人：</w:t>
            </w:r>
            <w:r>
              <w:rPr>
                <w:rFonts w:hint="eastAsia"/>
              </w:rPr>
              <w:t>恒诚制药集团淮南有限公司</w:t>
            </w:r>
          </w:p>
        </w:tc>
      </w:tr>
      <w:tr w14:paraId="6CD77FB1">
        <w:tblPrEx>
          <w:tblCellMar>
            <w:top w:w="0" w:type="dxa"/>
            <w:left w:w="0" w:type="dxa"/>
            <w:bottom w:w="0" w:type="dxa"/>
            <w:right w:w="0" w:type="dxa"/>
          </w:tblCellMar>
        </w:tblPrEx>
        <w:trPr>
          <w:wBefore w:w="0" w:type="auto"/>
          <w:tblCellSpacing w:w="0" w:type="dxa"/>
        </w:trPr>
        <w:tc>
          <w:tcPr>
            <w:tcW w:w="0" w:type="auto"/>
            <w:noWrap w:val="0"/>
            <w:vAlign w:val="center"/>
          </w:tcPr>
          <w:p w14:paraId="20349696">
            <w:r>
              <w:rPr>
                <w:rStyle w:val="10"/>
                <w:rFonts w:hint="eastAsia"/>
              </w:rPr>
              <w:t>农药名称：</w:t>
            </w:r>
            <w:r>
              <w:rPr>
                <w:rFonts w:hint="eastAsia"/>
              </w:rPr>
              <w:t>杀螺胺乙醇胺盐</w:t>
            </w:r>
          </w:p>
        </w:tc>
      </w:tr>
      <w:tr w14:paraId="10CF9DEC">
        <w:tblPrEx>
          <w:tblCellMar>
            <w:top w:w="0" w:type="dxa"/>
            <w:left w:w="0" w:type="dxa"/>
            <w:bottom w:w="0" w:type="dxa"/>
            <w:right w:w="0" w:type="dxa"/>
          </w:tblCellMar>
        </w:tblPrEx>
        <w:trPr>
          <w:wBefore w:w="0" w:type="auto"/>
          <w:tblCellSpacing w:w="0" w:type="dxa"/>
        </w:trPr>
        <w:tc>
          <w:tcPr>
            <w:tcW w:w="0" w:type="auto"/>
            <w:noWrap w:val="0"/>
            <w:vAlign w:val="center"/>
          </w:tcPr>
          <w:p w14:paraId="26A8834F">
            <w:r>
              <w:rPr>
                <w:rStyle w:val="10"/>
                <w:rFonts w:hint="eastAsia"/>
              </w:rPr>
              <w:t>剂型：</w:t>
            </w:r>
            <w:r>
              <w:rPr>
                <w:rFonts w:hint="eastAsia"/>
              </w:rPr>
              <w:t>颗粒剂</w:t>
            </w:r>
          </w:p>
        </w:tc>
      </w:tr>
      <w:tr w14:paraId="28F1873E">
        <w:tblPrEx>
          <w:tblCellMar>
            <w:top w:w="0" w:type="dxa"/>
            <w:left w:w="0" w:type="dxa"/>
            <w:bottom w:w="0" w:type="dxa"/>
            <w:right w:w="0" w:type="dxa"/>
          </w:tblCellMar>
        </w:tblPrEx>
        <w:trPr>
          <w:wBefore w:w="0" w:type="auto"/>
          <w:tblCellSpacing w:w="0" w:type="dxa"/>
        </w:trPr>
        <w:tc>
          <w:tcPr>
            <w:tcW w:w="0" w:type="auto"/>
            <w:noWrap w:val="0"/>
            <w:vAlign w:val="center"/>
          </w:tcPr>
          <w:p w14:paraId="21021170">
            <w:r>
              <w:rPr>
                <w:rStyle w:val="10"/>
                <w:rFonts w:hint="eastAsia"/>
              </w:rPr>
              <w:t>毒性及其标识：</w:t>
            </w:r>
            <w:r>
              <w:rPr>
                <w:rFonts w:hint="eastAsia"/>
              </w:rPr>
              <w:t xml:space="preserve"> 微毒 </w:t>
            </w:r>
          </w:p>
        </w:tc>
      </w:tr>
      <w:tr w14:paraId="23AE90A1">
        <w:tblPrEx>
          <w:tblCellMar>
            <w:top w:w="0" w:type="dxa"/>
            <w:left w:w="0" w:type="dxa"/>
            <w:bottom w:w="0" w:type="dxa"/>
            <w:right w:w="0" w:type="dxa"/>
          </w:tblCellMar>
        </w:tblPrEx>
        <w:trPr>
          <w:wBefore w:w="0" w:type="auto"/>
          <w:tblCellSpacing w:w="0" w:type="dxa"/>
        </w:trPr>
        <w:tc>
          <w:tcPr>
            <w:tcW w:w="0" w:type="auto"/>
            <w:noWrap w:val="0"/>
            <w:vAlign w:val="center"/>
          </w:tcPr>
          <w:p w14:paraId="5FDAC8AF">
            <w:r>
              <w:rPr>
                <w:rStyle w:val="10"/>
                <w:rFonts w:hint="eastAsia"/>
              </w:rPr>
              <w:t>总有效成分含量：</w:t>
            </w:r>
            <w:r>
              <w:rPr>
                <w:rFonts w:hint="eastAsia"/>
              </w:rPr>
              <w:t>4.2%</w:t>
            </w:r>
          </w:p>
        </w:tc>
      </w:tr>
      <w:tr w14:paraId="1B3B3FD1">
        <w:tblPrEx>
          <w:tblCellMar>
            <w:top w:w="0" w:type="dxa"/>
            <w:left w:w="0" w:type="dxa"/>
            <w:bottom w:w="0" w:type="dxa"/>
            <w:right w:w="0" w:type="dxa"/>
          </w:tblCellMar>
        </w:tblPrEx>
        <w:trPr>
          <w:wBefore w:w="0" w:type="auto"/>
          <w:tblCellSpacing w:w="0" w:type="dxa"/>
        </w:trPr>
        <w:tc>
          <w:tcPr>
            <w:tcW w:w="0" w:type="auto"/>
            <w:noWrap w:val="0"/>
            <w:vAlign w:val="center"/>
          </w:tcPr>
          <w:p w14:paraId="551B014E">
            <w:r>
              <w:rPr>
                <w:rFonts w:hint="eastAsia"/>
              </w:rPr>
              <w:t xml:space="preserve">有效成分及其含量： </w:t>
            </w:r>
          </w:p>
          <w:p w14:paraId="2671051B">
            <w:r>
              <w:rPr>
                <w:rFonts w:hint="eastAsia"/>
              </w:rPr>
              <w:t xml:space="preserve">    杀螺胺4.2%    </w:t>
            </w:r>
          </w:p>
        </w:tc>
      </w:tr>
      <w:tr w14:paraId="29F47266">
        <w:tblPrEx>
          <w:tblCellMar>
            <w:top w:w="0" w:type="dxa"/>
            <w:left w:w="0" w:type="dxa"/>
            <w:bottom w:w="0" w:type="dxa"/>
            <w:right w:w="0" w:type="dxa"/>
          </w:tblCellMar>
        </w:tblPrEx>
        <w:trPr>
          <w:wBefore w:w="0" w:type="auto"/>
          <w:tblCellSpacing w:w="0" w:type="dxa"/>
        </w:trPr>
        <w:tc>
          <w:tcPr>
            <w:tcW w:w="0" w:type="auto"/>
            <w:noWrap w:val="0"/>
            <w:vAlign w:val="center"/>
          </w:tcPr>
          <w:p w14:paraId="3D669D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8CD9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FFFE1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D294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64C73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D4E09B">
                  <w:r>
                    <w:rPr>
                      <w:rStyle w:val="11"/>
                      <w:rFonts w:hint="eastAsia"/>
                    </w:rPr>
                    <w:t>施用方式</w:t>
                  </w:r>
                </w:p>
              </w:tc>
            </w:tr>
            <w:tr w14:paraId="0CD394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057421">
                  <w:r>
                    <w:rPr>
                      <w:rStyle w:val="11"/>
                      <w:rFonts w:hint="eastAsia"/>
                    </w:rPr>
                    <w:t>滩涂</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F8466B">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4C0B12">
                  <w:r>
                    <w:rPr>
                      <w:rStyle w:val="11"/>
                      <w:rFonts w:hint="eastAsia"/>
                    </w:rPr>
                    <w:t>20-40克/平方米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5683D1">
                  <w:r>
                    <w:rPr>
                      <w:rStyle w:val="11"/>
                      <w:rFonts w:hint="eastAsia"/>
                    </w:rPr>
                    <w:t>撒施</w:t>
                  </w:r>
                </w:p>
              </w:tc>
            </w:tr>
          </w:tbl>
          <w:p w14:paraId="21FDC186">
            <w:pPr>
              <w:rPr>
                <w:rFonts w:ascii="Times New Roman" w:hAnsi="Times New Roman" w:cs="Times New Roman"/>
                <w:sz w:val="20"/>
                <w:szCs w:val="20"/>
              </w:rPr>
            </w:pPr>
          </w:p>
        </w:tc>
      </w:tr>
      <w:tr w14:paraId="794CD304">
        <w:tblPrEx>
          <w:tblCellMar>
            <w:top w:w="0" w:type="dxa"/>
            <w:left w:w="0" w:type="dxa"/>
            <w:bottom w:w="0" w:type="dxa"/>
            <w:right w:w="0" w:type="dxa"/>
          </w:tblCellMar>
        </w:tblPrEx>
        <w:trPr>
          <w:wBefore w:w="0" w:type="auto"/>
          <w:tblCellSpacing w:w="0" w:type="dxa"/>
        </w:trPr>
        <w:tc>
          <w:tcPr>
            <w:tcW w:w="0" w:type="auto"/>
            <w:noWrap w:val="0"/>
            <w:vAlign w:val="center"/>
          </w:tcPr>
          <w:p w14:paraId="37F6A489">
            <w:r>
              <w:rPr>
                <w:rStyle w:val="10"/>
                <w:rFonts w:hint="eastAsia"/>
              </w:rPr>
              <w:t>使用技术要求:</w:t>
            </w:r>
            <w:r>
              <w:rPr>
                <w:rFonts w:hint="eastAsia"/>
              </w:rPr>
              <w:br w:type="textWrapping"/>
            </w:r>
            <w:r>
              <w:rPr>
                <w:rStyle w:val="11"/>
                <w:rFonts w:hint="eastAsia"/>
              </w:rPr>
              <w:t>1. 本品用于消灭滩涂钉螺。 2. 本品对人、畜毒性低，不损害作物，但对鱼类毒性大，不得在鱼塘使用。 3. 灭螺时气温最好在20℃以上，在大雨或暴雨前不宜施药，以免药液流失。</w:t>
            </w:r>
          </w:p>
        </w:tc>
      </w:tr>
      <w:tr w14:paraId="170C0653">
        <w:tblPrEx>
          <w:tblCellMar>
            <w:top w:w="0" w:type="dxa"/>
            <w:left w:w="0" w:type="dxa"/>
            <w:bottom w:w="0" w:type="dxa"/>
            <w:right w:w="0" w:type="dxa"/>
          </w:tblCellMar>
        </w:tblPrEx>
        <w:trPr>
          <w:wBefore w:w="0" w:type="auto"/>
          <w:tblCellSpacing w:w="0" w:type="dxa"/>
        </w:trPr>
        <w:tc>
          <w:tcPr>
            <w:tcW w:w="0" w:type="auto"/>
            <w:noWrap w:val="0"/>
            <w:vAlign w:val="center"/>
          </w:tcPr>
          <w:p w14:paraId="31916430">
            <w:r>
              <w:rPr>
                <w:rStyle w:val="10"/>
                <w:rFonts w:hint="eastAsia"/>
              </w:rPr>
              <w:t>产品性能:</w:t>
            </w:r>
            <w:r>
              <w:rPr>
                <w:rFonts w:hint="eastAsia"/>
              </w:rPr>
              <w:br w:type="textWrapping"/>
            </w:r>
            <w:r>
              <w:rPr>
                <w:rStyle w:val="11"/>
                <w:rFonts w:hint="eastAsia"/>
              </w:rPr>
              <w:t>杀螺胺乙醇胺盐为酚类有机杀软体动物剂，对螺卵、钉螺等有较强的杀灭作用，使用方便，可直接室外人工撒施使用。能有效防除钉螺。</w:t>
            </w:r>
          </w:p>
        </w:tc>
      </w:tr>
      <w:tr w14:paraId="094FDE03">
        <w:tblPrEx>
          <w:tblCellMar>
            <w:top w:w="0" w:type="dxa"/>
            <w:left w:w="0" w:type="dxa"/>
            <w:bottom w:w="0" w:type="dxa"/>
            <w:right w:w="0" w:type="dxa"/>
          </w:tblCellMar>
        </w:tblPrEx>
        <w:trPr>
          <w:wBefore w:w="0" w:type="auto"/>
          <w:tblCellSpacing w:w="0" w:type="dxa"/>
        </w:trPr>
        <w:tc>
          <w:tcPr>
            <w:tcW w:w="0" w:type="auto"/>
            <w:noWrap w:val="0"/>
            <w:vAlign w:val="center"/>
          </w:tcPr>
          <w:p w14:paraId="2C37F2B0">
            <w:r>
              <w:rPr>
                <w:rStyle w:val="10"/>
                <w:rFonts w:hint="eastAsia"/>
              </w:rPr>
              <w:t>注意事项：</w:t>
            </w:r>
            <w:r>
              <w:rPr>
                <w:rFonts w:hint="eastAsia"/>
              </w:rPr>
              <w:br w:type="textWrapping"/>
            </w:r>
            <w:r>
              <w:rPr>
                <w:rStyle w:val="11"/>
                <w:rFonts w:hint="eastAsia"/>
              </w:rPr>
              <w:t>1.本品对鱼类等水生生物有毒，使用时应注意，水产养殖区、河塘等水体附近禁用，禁止在河塘等水域清洗施药器具。  2.对蜜蜂家蚕有毒，开花植物花期，蚕室和桑园附近禁用，施药时避免对周围蜂群产生影响。 3.若施药恰遇大雨，则应视具体情况适当补充药剂。 4.本品对眼睛有刺激性，使用时避免接触眼睛，穿戴长衣、长裤、帽子、口罩、手套等防护措施。施药后应用大量清水和肥皂将手、脸及其它裸露的部位清洗干净。 5.避免孕妇及哺乳期妇女接触。 6.用过的容器应妥善处理，不可做他用，也不可随意丢弃。</w:t>
            </w:r>
          </w:p>
        </w:tc>
      </w:tr>
      <w:tr w14:paraId="1B08999A">
        <w:tblPrEx>
          <w:tblCellMar>
            <w:top w:w="0" w:type="dxa"/>
            <w:left w:w="0" w:type="dxa"/>
            <w:bottom w:w="0" w:type="dxa"/>
            <w:right w:w="0" w:type="dxa"/>
          </w:tblCellMar>
        </w:tblPrEx>
        <w:trPr>
          <w:wBefore w:w="0" w:type="auto"/>
          <w:tblCellSpacing w:w="0" w:type="dxa"/>
        </w:trPr>
        <w:tc>
          <w:tcPr>
            <w:tcW w:w="0" w:type="auto"/>
            <w:noWrap w:val="0"/>
            <w:vAlign w:val="center"/>
          </w:tcPr>
          <w:p w14:paraId="3FCE6657">
            <w:r>
              <w:rPr>
                <w:rStyle w:val="10"/>
                <w:rFonts w:hint="eastAsia"/>
              </w:rPr>
              <w:t>中毒急救措施：</w:t>
            </w:r>
            <w:r>
              <w:rPr>
                <w:rFonts w:hint="eastAsia"/>
              </w:rPr>
              <w:br w:type="textWrapping"/>
            </w:r>
            <w:r>
              <w:rPr>
                <w:rStyle w:val="11"/>
                <w:rFonts w:hint="eastAsia"/>
              </w:rPr>
              <w:t>1.药剂对人眼睛和鼻粘膜有刺激作用，易引起流泪、眼刺痛、鼻塞、流涕、咽干痛及声音嘶哑等症状。 2.如药剂沾染皮肤，立即用肥皂水彻底清洗至少15分钟。 3.如溅入眼睛，立即用大量清水冲洗至少15分钟。 4.误服立即携此标签将病人送医院治疗，中毒后立即灌洗清胃和导泻，用抗痉挛作用的镇静药。输葡萄糖液保护肝脏、帮助解毒和促进代谢。如伴随发生肾衰竭，则应仔细监测液体平衡状态和电解质以免发生液体超负荷。无专用解毒剂。</w:t>
            </w:r>
          </w:p>
        </w:tc>
      </w:tr>
      <w:tr w14:paraId="3BC272CE">
        <w:tblPrEx>
          <w:tblCellMar>
            <w:top w:w="0" w:type="dxa"/>
            <w:left w:w="0" w:type="dxa"/>
            <w:bottom w:w="0" w:type="dxa"/>
            <w:right w:w="0" w:type="dxa"/>
          </w:tblCellMar>
        </w:tblPrEx>
        <w:trPr>
          <w:wBefore w:w="0" w:type="auto"/>
          <w:tblCellSpacing w:w="0" w:type="dxa"/>
        </w:trPr>
        <w:tc>
          <w:tcPr>
            <w:tcW w:w="0" w:type="auto"/>
            <w:noWrap w:val="0"/>
            <w:vAlign w:val="center"/>
          </w:tcPr>
          <w:p w14:paraId="75C80B79">
            <w:r>
              <w:rPr>
                <w:rStyle w:val="10"/>
                <w:rFonts w:hint="eastAsia"/>
              </w:rPr>
              <w:t>储存和运输方法：</w:t>
            </w:r>
            <w:r>
              <w:rPr>
                <w:rFonts w:hint="eastAsia"/>
              </w:rPr>
              <w:br w:type="textWrapping"/>
            </w:r>
            <w:r>
              <w:rPr>
                <w:rStyle w:val="11"/>
                <w:rFonts w:hint="eastAsia"/>
              </w:rPr>
              <w:t>本品应贮存在干燥、阴凉、通风处，远离火源。置于儿童、无关人员触及不到之处，并加锁。勿与食品、饮料、饲料、粮食等同贮同运。运输时确保不泄漏，不损坏，途中应防高温、雨淋，要用专用车辆运输，按规定路线行驶。远离火源或热源。</w:t>
            </w:r>
          </w:p>
        </w:tc>
      </w:tr>
      <w:tr w14:paraId="32EBD60E">
        <w:tblPrEx>
          <w:tblCellMar>
            <w:top w:w="0" w:type="dxa"/>
            <w:left w:w="0" w:type="dxa"/>
            <w:bottom w:w="0" w:type="dxa"/>
            <w:right w:w="0" w:type="dxa"/>
          </w:tblCellMar>
        </w:tblPrEx>
        <w:trPr>
          <w:wBefore w:w="0" w:type="auto"/>
          <w:tblCellSpacing w:w="0" w:type="dxa"/>
        </w:trPr>
        <w:tc>
          <w:tcPr>
            <w:tcW w:w="0" w:type="auto"/>
            <w:noWrap w:val="0"/>
            <w:vAlign w:val="center"/>
          </w:tcPr>
          <w:p w14:paraId="1008D672">
            <w:r>
              <w:rPr>
                <w:rStyle w:val="10"/>
                <w:rFonts w:hint="eastAsia"/>
              </w:rPr>
              <w:t>质量保证期：</w:t>
            </w:r>
            <w:r>
              <w:rPr>
                <w:rStyle w:val="11"/>
                <w:rFonts w:hint="eastAsia"/>
              </w:rPr>
              <w:t>2年</w:t>
            </w:r>
          </w:p>
        </w:tc>
      </w:tr>
      <w:tr w14:paraId="115A155D">
        <w:tblPrEx>
          <w:tblCellMar>
            <w:top w:w="0" w:type="dxa"/>
            <w:left w:w="0" w:type="dxa"/>
            <w:bottom w:w="0" w:type="dxa"/>
            <w:right w:w="0" w:type="dxa"/>
          </w:tblCellMar>
        </w:tblPrEx>
        <w:trPr>
          <w:wBefore w:w="0" w:type="auto"/>
          <w:tblCellSpacing w:w="0" w:type="dxa"/>
        </w:trPr>
        <w:tc>
          <w:tcPr>
            <w:tcW w:w="0" w:type="auto"/>
            <w:noWrap w:val="0"/>
            <w:vAlign w:val="center"/>
          </w:tcPr>
          <w:p w14:paraId="34E8875D">
            <w:r>
              <w:rPr>
                <w:rStyle w:val="10"/>
                <w:rFonts w:hint="eastAsia"/>
              </w:rPr>
              <w:t>备注：</w:t>
            </w:r>
          </w:p>
        </w:tc>
      </w:tr>
    </w:tbl>
    <w:p w14:paraId="36D867B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2E51C5">
        <w:tblPrEx>
          <w:tblCellMar>
            <w:top w:w="0" w:type="dxa"/>
            <w:left w:w="0" w:type="dxa"/>
            <w:bottom w:w="0" w:type="dxa"/>
            <w:right w:w="0" w:type="dxa"/>
          </w:tblCellMar>
        </w:tblPrEx>
        <w:trPr>
          <w:wBefore w:w="0" w:type="auto"/>
          <w:tblCellSpacing w:w="0" w:type="dxa"/>
        </w:trPr>
        <w:tc>
          <w:tcPr>
            <w:tcW w:w="0" w:type="auto"/>
            <w:noWrap w:val="0"/>
            <w:vAlign w:val="center"/>
          </w:tcPr>
          <w:p w14:paraId="3C186DFA">
            <w:r>
              <w:rPr>
                <w:rStyle w:val="10"/>
                <w:rFonts w:hint="eastAsia"/>
              </w:rPr>
              <w:t>登记证号：</w:t>
            </w:r>
            <w:r>
              <w:rPr>
                <w:rFonts w:hint="eastAsia"/>
              </w:rPr>
              <w:t>PD20212602</w:t>
            </w:r>
          </w:p>
        </w:tc>
      </w:tr>
      <w:tr w14:paraId="24A464E1">
        <w:tblPrEx>
          <w:tblCellMar>
            <w:top w:w="0" w:type="dxa"/>
            <w:left w:w="0" w:type="dxa"/>
            <w:bottom w:w="0" w:type="dxa"/>
            <w:right w:w="0" w:type="dxa"/>
          </w:tblCellMar>
        </w:tblPrEx>
        <w:trPr>
          <w:wBefore w:w="0" w:type="auto"/>
          <w:tblCellSpacing w:w="0" w:type="dxa"/>
        </w:trPr>
        <w:tc>
          <w:tcPr>
            <w:tcW w:w="0" w:type="auto"/>
            <w:noWrap w:val="0"/>
            <w:vAlign w:val="center"/>
          </w:tcPr>
          <w:p w14:paraId="394EA584">
            <w:r>
              <w:rPr>
                <w:rStyle w:val="10"/>
                <w:rFonts w:hint="eastAsia"/>
              </w:rPr>
              <w:t>登记证持有人：</w:t>
            </w:r>
            <w:r>
              <w:rPr>
                <w:rFonts w:hint="eastAsia"/>
              </w:rPr>
              <w:t>广西瑞施特生物科技有限公司</w:t>
            </w:r>
          </w:p>
        </w:tc>
      </w:tr>
      <w:tr w14:paraId="2DAF8B60">
        <w:tblPrEx>
          <w:tblCellMar>
            <w:top w:w="0" w:type="dxa"/>
            <w:left w:w="0" w:type="dxa"/>
            <w:bottom w:w="0" w:type="dxa"/>
            <w:right w:w="0" w:type="dxa"/>
          </w:tblCellMar>
        </w:tblPrEx>
        <w:trPr>
          <w:wBefore w:w="0" w:type="auto"/>
          <w:tblCellSpacing w:w="0" w:type="dxa"/>
        </w:trPr>
        <w:tc>
          <w:tcPr>
            <w:tcW w:w="0" w:type="auto"/>
            <w:noWrap w:val="0"/>
            <w:vAlign w:val="center"/>
          </w:tcPr>
          <w:p w14:paraId="0BE1C927">
            <w:r>
              <w:rPr>
                <w:rStyle w:val="10"/>
                <w:rFonts w:hint="eastAsia"/>
              </w:rPr>
              <w:t>农药名称：</w:t>
            </w:r>
            <w:r>
              <w:rPr>
                <w:rFonts w:hint="eastAsia"/>
              </w:rPr>
              <w:t>敌草快</w:t>
            </w:r>
          </w:p>
        </w:tc>
      </w:tr>
      <w:tr w14:paraId="5A9286F9">
        <w:tblPrEx>
          <w:tblCellMar>
            <w:top w:w="0" w:type="dxa"/>
            <w:left w:w="0" w:type="dxa"/>
            <w:bottom w:w="0" w:type="dxa"/>
            <w:right w:w="0" w:type="dxa"/>
          </w:tblCellMar>
        </w:tblPrEx>
        <w:trPr>
          <w:wBefore w:w="0" w:type="auto"/>
          <w:tblCellSpacing w:w="0" w:type="dxa"/>
        </w:trPr>
        <w:tc>
          <w:tcPr>
            <w:tcW w:w="0" w:type="auto"/>
            <w:noWrap w:val="0"/>
            <w:vAlign w:val="center"/>
          </w:tcPr>
          <w:p w14:paraId="04E3AD0E">
            <w:r>
              <w:rPr>
                <w:rStyle w:val="10"/>
                <w:rFonts w:hint="eastAsia"/>
              </w:rPr>
              <w:t>剂型：</w:t>
            </w:r>
            <w:r>
              <w:rPr>
                <w:rFonts w:hint="eastAsia"/>
              </w:rPr>
              <w:t>可溶液剂</w:t>
            </w:r>
          </w:p>
        </w:tc>
      </w:tr>
      <w:tr w14:paraId="5B9A0368">
        <w:tblPrEx>
          <w:tblCellMar>
            <w:top w:w="0" w:type="dxa"/>
            <w:left w:w="0" w:type="dxa"/>
            <w:bottom w:w="0" w:type="dxa"/>
            <w:right w:w="0" w:type="dxa"/>
          </w:tblCellMar>
        </w:tblPrEx>
        <w:trPr>
          <w:wBefore w:w="0" w:type="auto"/>
          <w:tblCellSpacing w:w="0" w:type="dxa"/>
        </w:trPr>
        <w:tc>
          <w:tcPr>
            <w:tcW w:w="0" w:type="auto"/>
            <w:noWrap w:val="0"/>
            <w:vAlign w:val="center"/>
          </w:tcPr>
          <w:p w14:paraId="4BB9FC0E">
            <w:r>
              <w:rPr>
                <w:rStyle w:val="10"/>
                <w:rFonts w:hint="eastAsia"/>
              </w:rPr>
              <w:t>毒性及其标识：</w:t>
            </w:r>
            <w:r>
              <w:rPr>
                <w:rFonts w:hint="eastAsia"/>
              </w:rPr>
              <w:t xml:space="preserve"> </w:t>
            </w:r>
            <w:r>
              <w:rPr>
                <w:lang/>
              </w:rPr>
              <w:drawing>
                <wp:inline distT="0" distB="0" distL="114300" distR="114300">
                  <wp:extent cx="476250" cy="323850"/>
                  <wp:effectExtent l="0" t="0" r="0" b="0"/>
                  <wp:docPr id="42" name="图片 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7D7E21">
        <w:tblPrEx>
          <w:tblCellMar>
            <w:top w:w="0" w:type="dxa"/>
            <w:left w:w="0" w:type="dxa"/>
            <w:bottom w:w="0" w:type="dxa"/>
            <w:right w:w="0" w:type="dxa"/>
          </w:tblCellMar>
        </w:tblPrEx>
        <w:trPr>
          <w:wBefore w:w="0" w:type="auto"/>
          <w:tblCellSpacing w:w="0" w:type="dxa"/>
        </w:trPr>
        <w:tc>
          <w:tcPr>
            <w:tcW w:w="0" w:type="auto"/>
            <w:noWrap w:val="0"/>
            <w:vAlign w:val="center"/>
          </w:tcPr>
          <w:p w14:paraId="357B775F">
            <w:r>
              <w:rPr>
                <w:rStyle w:val="10"/>
                <w:rFonts w:hint="eastAsia"/>
              </w:rPr>
              <w:t>总有效成分含量：</w:t>
            </w:r>
            <w:r>
              <w:rPr>
                <w:rFonts w:hint="eastAsia"/>
              </w:rPr>
              <w:t>200克/升</w:t>
            </w:r>
          </w:p>
        </w:tc>
      </w:tr>
      <w:tr w14:paraId="760922B0">
        <w:tblPrEx>
          <w:tblCellMar>
            <w:top w:w="0" w:type="dxa"/>
            <w:left w:w="0" w:type="dxa"/>
            <w:bottom w:w="0" w:type="dxa"/>
            <w:right w:w="0" w:type="dxa"/>
          </w:tblCellMar>
        </w:tblPrEx>
        <w:trPr>
          <w:wBefore w:w="0" w:type="auto"/>
          <w:tblCellSpacing w:w="0" w:type="dxa"/>
        </w:trPr>
        <w:tc>
          <w:tcPr>
            <w:tcW w:w="0" w:type="auto"/>
            <w:noWrap w:val="0"/>
            <w:vAlign w:val="center"/>
          </w:tcPr>
          <w:p w14:paraId="743CAEC0">
            <w:r>
              <w:rPr>
                <w:rFonts w:hint="eastAsia"/>
              </w:rPr>
              <w:t xml:space="preserve">有效成分及其含量： </w:t>
            </w:r>
          </w:p>
          <w:p w14:paraId="3B7F4FD0">
            <w:r>
              <w:rPr>
                <w:rFonts w:hint="eastAsia"/>
              </w:rPr>
              <w:t xml:space="preserve">    敌草快200克/升    </w:t>
            </w:r>
          </w:p>
        </w:tc>
      </w:tr>
      <w:tr w14:paraId="14F72BA6">
        <w:tblPrEx>
          <w:tblCellMar>
            <w:top w:w="0" w:type="dxa"/>
            <w:left w:w="0" w:type="dxa"/>
            <w:bottom w:w="0" w:type="dxa"/>
            <w:right w:w="0" w:type="dxa"/>
          </w:tblCellMar>
        </w:tblPrEx>
        <w:trPr>
          <w:wBefore w:w="0" w:type="auto"/>
          <w:tblCellSpacing w:w="0" w:type="dxa"/>
        </w:trPr>
        <w:tc>
          <w:tcPr>
            <w:tcW w:w="0" w:type="auto"/>
            <w:noWrap w:val="0"/>
            <w:vAlign w:val="center"/>
          </w:tcPr>
          <w:p w14:paraId="6CB9BD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6EB4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2FF4A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CF387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5DC8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9419C8">
                  <w:r>
                    <w:rPr>
                      <w:rStyle w:val="11"/>
                      <w:rFonts w:hint="eastAsia"/>
                    </w:rPr>
                    <w:t>施用方式</w:t>
                  </w:r>
                </w:p>
              </w:tc>
            </w:tr>
            <w:tr w14:paraId="2263B3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3B0B1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03C94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A11549">
                  <w:r>
                    <w:rPr>
                      <w:rStyle w:val="11"/>
                      <w:rFonts w:hint="eastAsia"/>
                    </w:rPr>
                    <w:t>250-350毫升/亩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7C7EB2">
                  <w:r>
                    <w:rPr>
                      <w:rStyle w:val="11"/>
                      <w:rFonts w:hint="eastAsia"/>
                    </w:rPr>
                    <w:t>茎叶喷雾</w:t>
                  </w:r>
                </w:p>
              </w:tc>
            </w:tr>
          </w:tbl>
          <w:p w14:paraId="67C56DC3">
            <w:pPr>
              <w:rPr>
                <w:rFonts w:ascii="Times New Roman" w:hAnsi="Times New Roman" w:cs="Times New Roman"/>
                <w:sz w:val="20"/>
                <w:szCs w:val="20"/>
              </w:rPr>
            </w:pPr>
          </w:p>
        </w:tc>
      </w:tr>
      <w:tr w14:paraId="0255726C">
        <w:tblPrEx>
          <w:tblCellMar>
            <w:top w:w="0" w:type="dxa"/>
            <w:left w:w="0" w:type="dxa"/>
            <w:bottom w:w="0" w:type="dxa"/>
            <w:right w:w="0" w:type="dxa"/>
          </w:tblCellMar>
        </w:tblPrEx>
        <w:trPr>
          <w:wBefore w:w="0" w:type="auto"/>
          <w:tblCellSpacing w:w="0" w:type="dxa"/>
        </w:trPr>
        <w:tc>
          <w:tcPr>
            <w:tcW w:w="0" w:type="auto"/>
            <w:noWrap w:val="0"/>
            <w:vAlign w:val="center"/>
          </w:tcPr>
          <w:p w14:paraId="4E77FA81">
            <w:r>
              <w:rPr>
                <w:rStyle w:val="10"/>
                <w:rFonts w:hint="eastAsia"/>
              </w:rPr>
              <w:t>使用技术要求:</w:t>
            </w:r>
            <w:r>
              <w:rPr>
                <w:rFonts w:hint="eastAsia"/>
              </w:rPr>
              <w:br w:type="textWrapping"/>
            </w:r>
            <w:r>
              <w:rPr>
                <w:rStyle w:val="11"/>
                <w:rFonts w:hint="eastAsia"/>
              </w:rPr>
              <w:t>1本品应于杂草生长旺盛期（杂草2叶-7叶期）茎叶喷雾2. 大风天或预计1小时内降雨，请勿施药。3、本品仅用于防除非耕地杂草，整个杂草生育期最多使用1次。</w:t>
            </w:r>
          </w:p>
        </w:tc>
      </w:tr>
      <w:tr w14:paraId="7D0535D1">
        <w:tblPrEx>
          <w:tblCellMar>
            <w:top w:w="0" w:type="dxa"/>
            <w:left w:w="0" w:type="dxa"/>
            <w:bottom w:w="0" w:type="dxa"/>
            <w:right w:w="0" w:type="dxa"/>
          </w:tblCellMar>
        </w:tblPrEx>
        <w:trPr>
          <w:wBefore w:w="0" w:type="auto"/>
          <w:tblCellSpacing w:w="0" w:type="dxa"/>
        </w:trPr>
        <w:tc>
          <w:tcPr>
            <w:tcW w:w="0" w:type="auto"/>
            <w:noWrap w:val="0"/>
            <w:vAlign w:val="center"/>
          </w:tcPr>
          <w:p w14:paraId="59576524">
            <w:r>
              <w:rPr>
                <w:rStyle w:val="10"/>
                <w:rFonts w:hint="eastAsia"/>
              </w:rPr>
              <w:t>产品性能:</w:t>
            </w:r>
            <w:r>
              <w:rPr>
                <w:rFonts w:hint="eastAsia"/>
              </w:rPr>
              <w:br w:type="textWrapping"/>
            </w:r>
            <w:r>
              <w:rPr>
                <w:rStyle w:val="11"/>
                <w:rFonts w:hint="eastAsia"/>
              </w:rPr>
              <w:t>本品为联吡啶阳离子非选择性触杀型除草剂，可被植物绿色组织迅速吸收，喷药后几小时即可使杂草受害。药剂入土钝化。正常使用技术情况下，不影响土壤中的种子萌发和出苗，对植物地下根茎基本无破坏作用。防除非耕地杂草。</w:t>
            </w:r>
          </w:p>
        </w:tc>
      </w:tr>
      <w:tr w14:paraId="2DE816D9">
        <w:tblPrEx>
          <w:tblCellMar>
            <w:top w:w="0" w:type="dxa"/>
            <w:left w:w="0" w:type="dxa"/>
            <w:bottom w:w="0" w:type="dxa"/>
            <w:right w:w="0" w:type="dxa"/>
          </w:tblCellMar>
        </w:tblPrEx>
        <w:trPr>
          <w:wBefore w:w="0" w:type="auto"/>
          <w:tblCellSpacing w:w="0" w:type="dxa"/>
        </w:trPr>
        <w:tc>
          <w:tcPr>
            <w:tcW w:w="0" w:type="auto"/>
            <w:noWrap w:val="0"/>
            <w:vAlign w:val="center"/>
          </w:tcPr>
          <w:p w14:paraId="374BB27C">
            <w:r>
              <w:rPr>
                <w:rStyle w:val="10"/>
                <w:rFonts w:hint="eastAsia"/>
              </w:rPr>
              <w:t>注意事项：</w:t>
            </w:r>
            <w:r>
              <w:rPr>
                <w:rFonts w:hint="eastAsia"/>
              </w:rPr>
              <w:br w:type="textWrapping"/>
            </w:r>
            <w:r>
              <w:rPr>
                <w:rStyle w:val="11"/>
                <w:rFonts w:hint="eastAsia"/>
              </w:rPr>
              <w:t>1.使用本品时应穿戴防护用品，避免吸入药液。施药期间不可吃东西和饮水。施药后应及时洗手和洗脸。2.喷雾前检查喷雾器，确保喷雾器械无渗漏现象。3.本品对蜜蜂、鱼类等水生生物、家蚕有毒，施药期间应避免对周围蜂群的影响，禁止在开花植物花期、蚕室和桑园附近使用。4.赤眼蜂等天敌放飞区域禁用。5.远离水产养殖区施药，禁止在河塘等水域清洗施药器具，禁止将清洗施药器具的废水排入河塘等水体。6.用过的容器应妥善处理，不可做他用，也不可随意丢弃。7.孕妇及哺乳期妇女避免接触此药。</w:t>
            </w:r>
          </w:p>
        </w:tc>
      </w:tr>
      <w:tr w14:paraId="753DAC9B">
        <w:tblPrEx>
          <w:tblCellMar>
            <w:top w:w="0" w:type="dxa"/>
            <w:left w:w="0" w:type="dxa"/>
            <w:bottom w:w="0" w:type="dxa"/>
            <w:right w:w="0" w:type="dxa"/>
          </w:tblCellMar>
        </w:tblPrEx>
        <w:trPr>
          <w:wBefore w:w="0" w:type="auto"/>
          <w:tblCellSpacing w:w="0" w:type="dxa"/>
        </w:trPr>
        <w:tc>
          <w:tcPr>
            <w:tcW w:w="0" w:type="auto"/>
            <w:noWrap w:val="0"/>
            <w:vAlign w:val="center"/>
          </w:tcPr>
          <w:p w14:paraId="4D7BCB11">
            <w:r>
              <w:rPr>
                <w:rStyle w:val="10"/>
                <w:rFonts w:hint="eastAsia"/>
              </w:rPr>
              <w:t>中毒急救措施：</w:t>
            </w:r>
            <w:r>
              <w:rPr>
                <w:rFonts w:hint="eastAsia"/>
              </w:rPr>
              <w:br w:type="textWrapping"/>
            </w:r>
            <w:r>
              <w:rPr>
                <w:rStyle w:val="11"/>
                <w:rFonts w:hint="eastAsia"/>
              </w:rPr>
              <w:t>中毒症状：对皮肤有刺激作用。恶心、呕吐、腹痛、腹泻以及口和咽喉部疼痛。 急救措施：使用中或使用后如果感觉不适，应立即停止工作，采取急救措施，并携带标签送医院就诊。皮肤接触：脱去污染的衣物，用软布去除污染农药，立即用大量清水和肥皂冲洗。眼睛接触：立即用流动清水冲洗至少15分钟。吸入：立即离开施药现场，转移到空气清新处。误服：立即停止服用，用清水充分漱口后立即携带农药标签到医院就诊。本品无特效解毒剂，对症治疗。</w:t>
            </w:r>
          </w:p>
        </w:tc>
      </w:tr>
      <w:tr w14:paraId="0DC966AE">
        <w:tblPrEx>
          <w:tblCellMar>
            <w:top w:w="0" w:type="dxa"/>
            <w:left w:w="0" w:type="dxa"/>
            <w:bottom w:w="0" w:type="dxa"/>
            <w:right w:w="0" w:type="dxa"/>
          </w:tblCellMar>
        </w:tblPrEx>
        <w:trPr>
          <w:wBefore w:w="0" w:type="auto"/>
          <w:tblCellSpacing w:w="0" w:type="dxa"/>
        </w:trPr>
        <w:tc>
          <w:tcPr>
            <w:tcW w:w="0" w:type="auto"/>
            <w:noWrap w:val="0"/>
            <w:vAlign w:val="center"/>
          </w:tcPr>
          <w:p w14:paraId="3E84398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695036B3">
        <w:tblPrEx>
          <w:tblCellMar>
            <w:top w:w="0" w:type="dxa"/>
            <w:left w:w="0" w:type="dxa"/>
            <w:bottom w:w="0" w:type="dxa"/>
            <w:right w:w="0" w:type="dxa"/>
          </w:tblCellMar>
        </w:tblPrEx>
        <w:trPr>
          <w:wBefore w:w="0" w:type="auto"/>
          <w:tblCellSpacing w:w="0" w:type="dxa"/>
        </w:trPr>
        <w:tc>
          <w:tcPr>
            <w:tcW w:w="0" w:type="auto"/>
            <w:noWrap w:val="0"/>
            <w:vAlign w:val="center"/>
          </w:tcPr>
          <w:p w14:paraId="1710879C">
            <w:r>
              <w:rPr>
                <w:rStyle w:val="10"/>
                <w:rFonts w:hint="eastAsia"/>
              </w:rPr>
              <w:t>质量保证期：</w:t>
            </w:r>
            <w:r>
              <w:rPr>
                <w:rStyle w:val="11"/>
                <w:rFonts w:hint="eastAsia"/>
              </w:rPr>
              <w:t>2年</w:t>
            </w:r>
          </w:p>
        </w:tc>
      </w:tr>
      <w:tr w14:paraId="3B0CCAE7">
        <w:tblPrEx>
          <w:tblCellMar>
            <w:top w:w="0" w:type="dxa"/>
            <w:left w:w="0" w:type="dxa"/>
            <w:bottom w:w="0" w:type="dxa"/>
            <w:right w:w="0" w:type="dxa"/>
          </w:tblCellMar>
        </w:tblPrEx>
        <w:trPr>
          <w:wBefore w:w="0" w:type="auto"/>
          <w:tblCellSpacing w:w="0" w:type="dxa"/>
        </w:trPr>
        <w:tc>
          <w:tcPr>
            <w:tcW w:w="0" w:type="auto"/>
            <w:noWrap w:val="0"/>
            <w:vAlign w:val="center"/>
          </w:tcPr>
          <w:p w14:paraId="601920E0">
            <w:r>
              <w:rPr>
                <w:rStyle w:val="10"/>
                <w:rFonts w:hint="eastAsia"/>
              </w:rPr>
              <w:t>备注：</w:t>
            </w:r>
          </w:p>
        </w:tc>
      </w:tr>
    </w:tbl>
    <w:p w14:paraId="7706D17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9BCFAD">
        <w:tblPrEx>
          <w:tblCellMar>
            <w:top w:w="0" w:type="dxa"/>
            <w:left w:w="0" w:type="dxa"/>
            <w:bottom w:w="0" w:type="dxa"/>
            <w:right w:w="0" w:type="dxa"/>
          </w:tblCellMar>
        </w:tblPrEx>
        <w:trPr>
          <w:wBefore w:w="0" w:type="auto"/>
          <w:tblCellSpacing w:w="0" w:type="dxa"/>
        </w:trPr>
        <w:tc>
          <w:tcPr>
            <w:tcW w:w="0" w:type="auto"/>
            <w:noWrap w:val="0"/>
            <w:vAlign w:val="center"/>
          </w:tcPr>
          <w:p w14:paraId="27751B96">
            <w:r>
              <w:rPr>
                <w:rStyle w:val="10"/>
                <w:rFonts w:hint="eastAsia"/>
              </w:rPr>
              <w:t>登记证号：</w:t>
            </w:r>
            <w:r>
              <w:rPr>
                <w:rFonts w:hint="eastAsia"/>
              </w:rPr>
              <w:t>PD20212605</w:t>
            </w:r>
          </w:p>
        </w:tc>
      </w:tr>
      <w:tr w14:paraId="494A024C">
        <w:tblPrEx>
          <w:tblCellMar>
            <w:top w:w="0" w:type="dxa"/>
            <w:left w:w="0" w:type="dxa"/>
            <w:bottom w:w="0" w:type="dxa"/>
            <w:right w:w="0" w:type="dxa"/>
          </w:tblCellMar>
        </w:tblPrEx>
        <w:trPr>
          <w:wBefore w:w="0" w:type="auto"/>
          <w:tblCellSpacing w:w="0" w:type="dxa"/>
        </w:trPr>
        <w:tc>
          <w:tcPr>
            <w:tcW w:w="0" w:type="auto"/>
            <w:noWrap w:val="0"/>
            <w:vAlign w:val="center"/>
          </w:tcPr>
          <w:p w14:paraId="7DBDFBB8">
            <w:r>
              <w:rPr>
                <w:rStyle w:val="10"/>
                <w:rFonts w:hint="eastAsia"/>
              </w:rPr>
              <w:t>登记证持有人：</w:t>
            </w:r>
            <w:r>
              <w:rPr>
                <w:rFonts w:hint="eastAsia"/>
              </w:rPr>
              <w:t>安徽沙隆达生物科技有限公司</w:t>
            </w:r>
          </w:p>
        </w:tc>
      </w:tr>
      <w:tr w14:paraId="0A27724C">
        <w:tblPrEx>
          <w:tblCellMar>
            <w:top w:w="0" w:type="dxa"/>
            <w:left w:w="0" w:type="dxa"/>
            <w:bottom w:w="0" w:type="dxa"/>
            <w:right w:w="0" w:type="dxa"/>
          </w:tblCellMar>
        </w:tblPrEx>
        <w:trPr>
          <w:wBefore w:w="0" w:type="auto"/>
          <w:tblCellSpacing w:w="0" w:type="dxa"/>
        </w:trPr>
        <w:tc>
          <w:tcPr>
            <w:tcW w:w="0" w:type="auto"/>
            <w:noWrap w:val="0"/>
            <w:vAlign w:val="center"/>
          </w:tcPr>
          <w:p w14:paraId="60569008">
            <w:r>
              <w:rPr>
                <w:rStyle w:val="10"/>
                <w:rFonts w:hint="eastAsia"/>
              </w:rPr>
              <w:t>农药名称：</w:t>
            </w:r>
            <w:r>
              <w:rPr>
                <w:rFonts w:hint="eastAsia"/>
              </w:rPr>
              <w:t>丙草·丙噁·松</w:t>
            </w:r>
          </w:p>
        </w:tc>
      </w:tr>
      <w:tr w14:paraId="08AA51AD">
        <w:tblPrEx>
          <w:tblCellMar>
            <w:top w:w="0" w:type="dxa"/>
            <w:left w:w="0" w:type="dxa"/>
            <w:bottom w:w="0" w:type="dxa"/>
            <w:right w:w="0" w:type="dxa"/>
          </w:tblCellMar>
        </w:tblPrEx>
        <w:trPr>
          <w:wBefore w:w="0" w:type="auto"/>
          <w:tblCellSpacing w:w="0" w:type="dxa"/>
        </w:trPr>
        <w:tc>
          <w:tcPr>
            <w:tcW w:w="0" w:type="auto"/>
            <w:noWrap w:val="0"/>
            <w:vAlign w:val="center"/>
          </w:tcPr>
          <w:p w14:paraId="68DA3BBD">
            <w:r>
              <w:rPr>
                <w:rStyle w:val="10"/>
                <w:rFonts w:hint="eastAsia"/>
              </w:rPr>
              <w:t>剂型：</w:t>
            </w:r>
            <w:r>
              <w:rPr>
                <w:rFonts w:hint="eastAsia"/>
              </w:rPr>
              <w:t>乳油</w:t>
            </w:r>
          </w:p>
        </w:tc>
      </w:tr>
      <w:tr w14:paraId="59E10F08">
        <w:tblPrEx>
          <w:tblCellMar>
            <w:top w:w="0" w:type="dxa"/>
            <w:left w:w="0" w:type="dxa"/>
            <w:bottom w:w="0" w:type="dxa"/>
            <w:right w:w="0" w:type="dxa"/>
          </w:tblCellMar>
        </w:tblPrEx>
        <w:trPr>
          <w:wBefore w:w="0" w:type="auto"/>
          <w:tblCellSpacing w:w="0" w:type="dxa"/>
        </w:trPr>
        <w:tc>
          <w:tcPr>
            <w:tcW w:w="0" w:type="auto"/>
            <w:noWrap w:val="0"/>
            <w:vAlign w:val="center"/>
          </w:tcPr>
          <w:p w14:paraId="697A7E94">
            <w:r>
              <w:rPr>
                <w:rStyle w:val="10"/>
                <w:rFonts w:hint="eastAsia"/>
              </w:rPr>
              <w:t>毒性及其标识：</w:t>
            </w:r>
            <w:r>
              <w:rPr>
                <w:rFonts w:hint="eastAsia"/>
              </w:rPr>
              <w:t xml:space="preserve"> </w:t>
            </w:r>
            <w:r>
              <w:rPr>
                <w:lang/>
              </w:rPr>
              <w:drawing>
                <wp:inline distT="0" distB="0" distL="114300" distR="114300">
                  <wp:extent cx="476250" cy="323850"/>
                  <wp:effectExtent l="0" t="0" r="0" b="0"/>
                  <wp:docPr id="43" name="图片 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862143">
        <w:tblPrEx>
          <w:tblCellMar>
            <w:top w:w="0" w:type="dxa"/>
            <w:left w:w="0" w:type="dxa"/>
            <w:bottom w:w="0" w:type="dxa"/>
            <w:right w:w="0" w:type="dxa"/>
          </w:tblCellMar>
        </w:tblPrEx>
        <w:trPr>
          <w:wBefore w:w="0" w:type="auto"/>
          <w:tblCellSpacing w:w="0" w:type="dxa"/>
        </w:trPr>
        <w:tc>
          <w:tcPr>
            <w:tcW w:w="0" w:type="auto"/>
            <w:noWrap w:val="0"/>
            <w:vAlign w:val="center"/>
          </w:tcPr>
          <w:p w14:paraId="0B389DA4">
            <w:r>
              <w:rPr>
                <w:rStyle w:val="10"/>
                <w:rFonts w:hint="eastAsia"/>
              </w:rPr>
              <w:t>总有效成分含量：</w:t>
            </w:r>
            <w:r>
              <w:rPr>
                <w:rFonts w:hint="eastAsia"/>
              </w:rPr>
              <w:t>48%</w:t>
            </w:r>
          </w:p>
        </w:tc>
      </w:tr>
      <w:tr w14:paraId="6B57DE01">
        <w:tblPrEx>
          <w:tblCellMar>
            <w:top w:w="0" w:type="dxa"/>
            <w:left w:w="0" w:type="dxa"/>
            <w:bottom w:w="0" w:type="dxa"/>
            <w:right w:w="0" w:type="dxa"/>
          </w:tblCellMar>
        </w:tblPrEx>
        <w:trPr>
          <w:wBefore w:w="0" w:type="auto"/>
          <w:tblCellSpacing w:w="0" w:type="dxa"/>
        </w:trPr>
        <w:tc>
          <w:tcPr>
            <w:tcW w:w="0" w:type="auto"/>
            <w:noWrap w:val="0"/>
            <w:vAlign w:val="center"/>
          </w:tcPr>
          <w:p w14:paraId="1CFFC0E6">
            <w:r>
              <w:rPr>
                <w:rFonts w:hint="eastAsia"/>
              </w:rPr>
              <w:t xml:space="preserve">有效成分及其含量： </w:t>
            </w:r>
          </w:p>
          <w:p w14:paraId="60641F58">
            <w:r>
              <w:rPr>
                <w:rFonts w:hint="eastAsia"/>
              </w:rPr>
              <w:t xml:space="preserve">    丙炔噁草酮6%    异噁草松12%    丙草胺30%    </w:t>
            </w:r>
          </w:p>
        </w:tc>
      </w:tr>
      <w:tr w14:paraId="48A04797">
        <w:tblPrEx>
          <w:tblCellMar>
            <w:top w:w="0" w:type="dxa"/>
            <w:left w:w="0" w:type="dxa"/>
            <w:bottom w:w="0" w:type="dxa"/>
            <w:right w:w="0" w:type="dxa"/>
          </w:tblCellMar>
        </w:tblPrEx>
        <w:trPr>
          <w:wBefore w:w="0" w:type="auto"/>
          <w:tblCellSpacing w:w="0" w:type="dxa"/>
        </w:trPr>
        <w:tc>
          <w:tcPr>
            <w:tcW w:w="0" w:type="auto"/>
            <w:noWrap w:val="0"/>
            <w:vAlign w:val="center"/>
          </w:tcPr>
          <w:p w14:paraId="33DE5DE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6CD7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427F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E635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802FA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9CE72FA">
                  <w:r>
                    <w:rPr>
                      <w:rStyle w:val="11"/>
                      <w:rFonts w:hint="eastAsia"/>
                    </w:rPr>
                    <w:t>施用方式</w:t>
                  </w:r>
                </w:p>
              </w:tc>
            </w:tr>
            <w:tr w14:paraId="2CB243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99EE6E">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9F171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3CB9DD">
                  <w:r>
                    <w:rPr>
                      <w:rStyle w:val="11"/>
                      <w:rFonts w:hint="eastAsia"/>
                    </w:rPr>
                    <w:t>55-65毫升/亩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0B56B8">
                  <w:r>
                    <w:rPr>
                      <w:rStyle w:val="11"/>
                      <w:rFonts w:hint="eastAsia"/>
                    </w:rPr>
                    <w:t>土壤喷雾</w:t>
                  </w:r>
                </w:p>
              </w:tc>
            </w:tr>
          </w:tbl>
          <w:p w14:paraId="2E2FC492">
            <w:pPr>
              <w:rPr>
                <w:rFonts w:ascii="Times New Roman" w:hAnsi="Times New Roman" w:cs="Times New Roman"/>
                <w:sz w:val="20"/>
                <w:szCs w:val="20"/>
              </w:rPr>
            </w:pPr>
          </w:p>
        </w:tc>
      </w:tr>
      <w:tr w14:paraId="7ED64081">
        <w:tblPrEx>
          <w:tblCellMar>
            <w:top w:w="0" w:type="dxa"/>
            <w:left w:w="0" w:type="dxa"/>
            <w:bottom w:w="0" w:type="dxa"/>
            <w:right w:w="0" w:type="dxa"/>
          </w:tblCellMar>
        </w:tblPrEx>
        <w:trPr>
          <w:wBefore w:w="0" w:type="auto"/>
          <w:tblCellSpacing w:w="0" w:type="dxa"/>
        </w:trPr>
        <w:tc>
          <w:tcPr>
            <w:tcW w:w="0" w:type="auto"/>
            <w:noWrap w:val="0"/>
            <w:vAlign w:val="center"/>
          </w:tcPr>
          <w:p w14:paraId="07C43888">
            <w:r>
              <w:rPr>
                <w:rStyle w:val="10"/>
                <w:rFonts w:hint="eastAsia"/>
              </w:rPr>
              <w:t>使用技术要求:</w:t>
            </w:r>
            <w:r>
              <w:rPr>
                <w:rFonts w:hint="eastAsia"/>
              </w:rPr>
              <w:br w:type="textWrapping"/>
            </w:r>
            <w:r>
              <w:rPr>
                <w:rStyle w:val="11"/>
                <w:rFonts w:hint="eastAsia"/>
              </w:rPr>
              <w:t>1. 水稻移栽前5-7天，兑水30-40公斤/亩，均匀喷雾处理。施药后保持3~5厘米水层5~7天。2. 用前充分摇匀，先制母液，再兑水二次稀释后，均匀喷雾。3. 大风天请勿施药，应防止药液漂移到周围敏感作物，以免产生药害。插秧后水层勿淹没水稻心叶，避免药害。合理安排后茬作物，保证安全间隔期。 4. 每季最多使用1次。</w:t>
            </w:r>
          </w:p>
        </w:tc>
      </w:tr>
      <w:tr w14:paraId="54C50F72">
        <w:tblPrEx>
          <w:tblCellMar>
            <w:top w:w="0" w:type="dxa"/>
            <w:left w:w="0" w:type="dxa"/>
            <w:bottom w:w="0" w:type="dxa"/>
            <w:right w:w="0" w:type="dxa"/>
          </w:tblCellMar>
        </w:tblPrEx>
        <w:trPr>
          <w:wBefore w:w="0" w:type="auto"/>
          <w:tblCellSpacing w:w="0" w:type="dxa"/>
        </w:trPr>
        <w:tc>
          <w:tcPr>
            <w:tcW w:w="0" w:type="auto"/>
            <w:noWrap w:val="0"/>
            <w:vAlign w:val="center"/>
          </w:tcPr>
          <w:p w14:paraId="3968D36F">
            <w:r>
              <w:rPr>
                <w:rStyle w:val="10"/>
                <w:rFonts w:hint="eastAsia"/>
              </w:rPr>
              <w:t>产品性能:</w:t>
            </w:r>
            <w:r>
              <w:rPr>
                <w:rFonts w:hint="eastAsia"/>
              </w:rPr>
              <w:br w:type="textWrapping"/>
            </w:r>
            <w:r>
              <w:rPr>
                <w:rStyle w:val="11"/>
                <w:rFonts w:hint="eastAsia"/>
              </w:rPr>
              <w:t>本品是三元复配的除草剂，各有效成分具有不同的杀草机制，三者混用能够有效防除水稻移栽田一年生杂草。</w:t>
            </w:r>
          </w:p>
        </w:tc>
      </w:tr>
      <w:tr w14:paraId="32979095">
        <w:tblPrEx>
          <w:tblCellMar>
            <w:top w:w="0" w:type="dxa"/>
            <w:left w:w="0" w:type="dxa"/>
            <w:bottom w:w="0" w:type="dxa"/>
            <w:right w:w="0" w:type="dxa"/>
          </w:tblCellMar>
        </w:tblPrEx>
        <w:trPr>
          <w:wBefore w:w="0" w:type="auto"/>
          <w:tblCellSpacing w:w="0" w:type="dxa"/>
        </w:trPr>
        <w:tc>
          <w:tcPr>
            <w:tcW w:w="0" w:type="auto"/>
            <w:noWrap w:val="0"/>
            <w:vAlign w:val="center"/>
          </w:tcPr>
          <w:p w14:paraId="5AA18A59">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本品对眼睛有刺激性，使用时避免接触眼睛，穿戴长衣、长裤、帽子、口罩、手套等防护措施，避免吸入药液；施药期间不可吃东西、饮水等。施药后应及时洗手、洗脸等。2. 清洗施药器具的废水不能排入河流、池塘等水源。废弃物、用过的容器应妥善处理，不可做他用，也不可随意丢弃。3. 远离水产养殖区、河塘等水体施药，禁止在河塘等水体中清洗施药器具； 鱼或虾蟹套养稻田禁用、施药后的田水不得直接排入水体。4. 避免采摘毗邻施药地块的桑叶用于喂蚕，降低对家蚕的危害。5. 孕妇及哺乳期妇女应避免接触本品。</w:t>
            </w:r>
          </w:p>
        </w:tc>
      </w:tr>
      <w:tr w14:paraId="540314C7">
        <w:tblPrEx>
          <w:tblCellMar>
            <w:top w:w="0" w:type="dxa"/>
            <w:left w:w="0" w:type="dxa"/>
            <w:bottom w:w="0" w:type="dxa"/>
            <w:right w:w="0" w:type="dxa"/>
          </w:tblCellMar>
        </w:tblPrEx>
        <w:trPr>
          <w:wBefore w:w="0" w:type="auto"/>
          <w:tblCellSpacing w:w="0" w:type="dxa"/>
        </w:trPr>
        <w:tc>
          <w:tcPr>
            <w:tcW w:w="0" w:type="auto"/>
            <w:noWrap w:val="0"/>
            <w:vAlign w:val="center"/>
          </w:tcPr>
          <w:p w14:paraId="5200FEC2">
            <w:r>
              <w:rPr>
                <w:rStyle w:val="10"/>
                <w:rFonts w:hint="eastAsia"/>
              </w:rPr>
              <w:t>中毒急救措施：</w:t>
            </w:r>
            <w:r>
              <w:rPr>
                <w:rFonts w:hint="eastAsia"/>
              </w:rPr>
              <w:br w:type="textWrapping"/>
            </w:r>
            <w:r>
              <w:rPr>
                <w:rStyle w:val="11"/>
                <w:rFonts w:hint="eastAsia"/>
              </w:rPr>
              <w:t>1. 皮肤接触：立即脱掉污染的衣物，用肥皂和大量清水彻底清洗污染的皮肤。 2. 眼睛接触：立即分开眼睑，用清水冲洗眼至少15分钟，再请医生诊治。 3. 吸入：立即将患者转移到空气新鲜处，再请医生诊治。 4. 误服：立即携带标签，送医院就诊，对症治疗。 5. 、本品无特效解毒剂，应对症治疗。</w:t>
            </w:r>
          </w:p>
        </w:tc>
      </w:tr>
      <w:tr w14:paraId="508E5DD7">
        <w:tblPrEx>
          <w:tblCellMar>
            <w:top w:w="0" w:type="dxa"/>
            <w:left w:w="0" w:type="dxa"/>
            <w:bottom w:w="0" w:type="dxa"/>
            <w:right w:w="0" w:type="dxa"/>
          </w:tblCellMar>
        </w:tblPrEx>
        <w:trPr>
          <w:wBefore w:w="0" w:type="auto"/>
          <w:tblCellSpacing w:w="0" w:type="dxa"/>
        </w:trPr>
        <w:tc>
          <w:tcPr>
            <w:tcW w:w="0" w:type="auto"/>
            <w:noWrap w:val="0"/>
            <w:vAlign w:val="center"/>
          </w:tcPr>
          <w:p w14:paraId="21466C47">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w:t>
            </w:r>
          </w:p>
        </w:tc>
      </w:tr>
      <w:tr w14:paraId="0A9C8CDD">
        <w:tblPrEx>
          <w:tblCellMar>
            <w:top w:w="0" w:type="dxa"/>
            <w:left w:w="0" w:type="dxa"/>
            <w:bottom w:w="0" w:type="dxa"/>
            <w:right w:w="0" w:type="dxa"/>
          </w:tblCellMar>
        </w:tblPrEx>
        <w:trPr>
          <w:wBefore w:w="0" w:type="auto"/>
          <w:tblCellSpacing w:w="0" w:type="dxa"/>
        </w:trPr>
        <w:tc>
          <w:tcPr>
            <w:tcW w:w="0" w:type="auto"/>
            <w:noWrap w:val="0"/>
            <w:vAlign w:val="center"/>
          </w:tcPr>
          <w:p w14:paraId="71B323CD">
            <w:r>
              <w:rPr>
                <w:rStyle w:val="10"/>
                <w:rFonts w:hint="eastAsia"/>
              </w:rPr>
              <w:t>质量保证期：</w:t>
            </w:r>
            <w:r>
              <w:rPr>
                <w:rStyle w:val="11"/>
                <w:rFonts w:hint="eastAsia"/>
              </w:rPr>
              <w:t>2年</w:t>
            </w:r>
          </w:p>
        </w:tc>
      </w:tr>
      <w:tr w14:paraId="46C6D6DD">
        <w:tblPrEx>
          <w:tblCellMar>
            <w:top w:w="0" w:type="dxa"/>
            <w:left w:w="0" w:type="dxa"/>
            <w:bottom w:w="0" w:type="dxa"/>
            <w:right w:w="0" w:type="dxa"/>
          </w:tblCellMar>
        </w:tblPrEx>
        <w:trPr>
          <w:wBefore w:w="0" w:type="auto"/>
          <w:tblCellSpacing w:w="0" w:type="dxa"/>
        </w:trPr>
        <w:tc>
          <w:tcPr>
            <w:tcW w:w="0" w:type="auto"/>
            <w:noWrap w:val="0"/>
            <w:vAlign w:val="center"/>
          </w:tcPr>
          <w:p w14:paraId="2FE676A3">
            <w:r>
              <w:rPr>
                <w:rStyle w:val="10"/>
                <w:rFonts w:hint="eastAsia"/>
              </w:rPr>
              <w:t>备注：</w:t>
            </w:r>
          </w:p>
        </w:tc>
      </w:tr>
    </w:tbl>
    <w:p w14:paraId="445D6D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CCC0AE">
        <w:tblPrEx>
          <w:tblCellMar>
            <w:top w:w="0" w:type="dxa"/>
            <w:left w:w="0" w:type="dxa"/>
            <w:bottom w:w="0" w:type="dxa"/>
            <w:right w:w="0" w:type="dxa"/>
          </w:tblCellMar>
        </w:tblPrEx>
        <w:trPr>
          <w:wBefore w:w="0" w:type="auto"/>
          <w:tblCellSpacing w:w="0" w:type="dxa"/>
        </w:trPr>
        <w:tc>
          <w:tcPr>
            <w:tcW w:w="0" w:type="auto"/>
            <w:noWrap w:val="0"/>
            <w:vAlign w:val="center"/>
          </w:tcPr>
          <w:p w14:paraId="45599825">
            <w:r>
              <w:rPr>
                <w:rStyle w:val="10"/>
                <w:rFonts w:hint="eastAsia"/>
              </w:rPr>
              <w:t>登记证号：</w:t>
            </w:r>
            <w:r>
              <w:rPr>
                <w:rFonts w:hint="eastAsia"/>
              </w:rPr>
              <w:t>PD20212609</w:t>
            </w:r>
          </w:p>
        </w:tc>
      </w:tr>
      <w:tr w14:paraId="4FA964D7">
        <w:tblPrEx>
          <w:tblCellMar>
            <w:top w:w="0" w:type="dxa"/>
            <w:left w:w="0" w:type="dxa"/>
            <w:bottom w:w="0" w:type="dxa"/>
            <w:right w:w="0" w:type="dxa"/>
          </w:tblCellMar>
        </w:tblPrEx>
        <w:trPr>
          <w:wBefore w:w="0" w:type="auto"/>
          <w:tblCellSpacing w:w="0" w:type="dxa"/>
        </w:trPr>
        <w:tc>
          <w:tcPr>
            <w:tcW w:w="0" w:type="auto"/>
            <w:noWrap w:val="0"/>
            <w:vAlign w:val="center"/>
          </w:tcPr>
          <w:p w14:paraId="15E24F1A">
            <w:r>
              <w:rPr>
                <w:rStyle w:val="10"/>
                <w:rFonts w:hint="eastAsia"/>
              </w:rPr>
              <w:t>登记证持有人：</w:t>
            </w:r>
            <w:r>
              <w:rPr>
                <w:rFonts w:hint="eastAsia"/>
              </w:rPr>
              <w:t>安徽华旗农化有限公司</w:t>
            </w:r>
          </w:p>
        </w:tc>
      </w:tr>
      <w:tr w14:paraId="603A3EFE">
        <w:tblPrEx>
          <w:tblCellMar>
            <w:top w:w="0" w:type="dxa"/>
            <w:left w:w="0" w:type="dxa"/>
            <w:bottom w:w="0" w:type="dxa"/>
            <w:right w:w="0" w:type="dxa"/>
          </w:tblCellMar>
        </w:tblPrEx>
        <w:trPr>
          <w:wBefore w:w="0" w:type="auto"/>
          <w:tblCellSpacing w:w="0" w:type="dxa"/>
        </w:trPr>
        <w:tc>
          <w:tcPr>
            <w:tcW w:w="0" w:type="auto"/>
            <w:noWrap w:val="0"/>
            <w:vAlign w:val="center"/>
          </w:tcPr>
          <w:p w14:paraId="7310647C">
            <w:r>
              <w:rPr>
                <w:rStyle w:val="10"/>
                <w:rFonts w:hint="eastAsia"/>
              </w:rPr>
              <w:t>农药名称：</w:t>
            </w:r>
            <w:r>
              <w:rPr>
                <w:rFonts w:hint="eastAsia"/>
              </w:rPr>
              <w:t>2甲·氯氟吡</w:t>
            </w:r>
          </w:p>
        </w:tc>
      </w:tr>
      <w:tr w14:paraId="4E9D650D">
        <w:tblPrEx>
          <w:tblCellMar>
            <w:top w:w="0" w:type="dxa"/>
            <w:left w:w="0" w:type="dxa"/>
            <w:bottom w:w="0" w:type="dxa"/>
            <w:right w:w="0" w:type="dxa"/>
          </w:tblCellMar>
        </w:tblPrEx>
        <w:trPr>
          <w:wBefore w:w="0" w:type="auto"/>
          <w:tblCellSpacing w:w="0" w:type="dxa"/>
        </w:trPr>
        <w:tc>
          <w:tcPr>
            <w:tcW w:w="0" w:type="auto"/>
            <w:noWrap w:val="0"/>
            <w:vAlign w:val="center"/>
          </w:tcPr>
          <w:p w14:paraId="6A6F2AA4">
            <w:r>
              <w:rPr>
                <w:rStyle w:val="10"/>
                <w:rFonts w:hint="eastAsia"/>
              </w:rPr>
              <w:t>剂型：</w:t>
            </w:r>
            <w:r>
              <w:rPr>
                <w:rFonts w:hint="eastAsia"/>
              </w:rPr>
              <w:t>可分散油悬浮剂</w:t>
            </w:r>
          </w:p>
        </w:tc>
      </w:tr>
      <w:tr w14:paraId="2BFD2F2E">
        <w:tblPrEx>
          <w:tblCellMar>
            <w:top w:w="0" w:type="dxa"/>
            <w:left w:w="0" w:type="dxa"/>
            <w:bottom w:w="0" w:type="dxa"/>
            <w:right w:w="0" w:type="dxa"/>
          </w:tblCellMar>
        </w:tblPrEx>
        <w:trPr>
          <w:wBefore w:w="0" w:type="auto"/>
          <w:tblCellSpacing w:w="0" w:type="dxa"/>
        </w:trPr>
        <w:tc>
          <w:tcPr>
            <w:tcW w:w="0" w:type="auto"/>
            <w:noWrap w:val="0"/>
            <w:vAlign w:val="center"/>
          </w:tcPr>
          <w:p w14:paraId="64D33237">
            <w:r>
              <w:rPr>
                <w:rStyle w:val="10"/>
                <w:rFonts w:hint="eastAsia"/>
              </w:rPr>
              <w:t>毒性及其标识：</w:t>
            </w:r>
            <w:r>
              <w:rPr>
                <w:rFonts w:hint="eastAsia"/>
              </w:rPr>
              <w:t xml:space="preserve"> </w:t>
            </w:r>
            <w:r>
              <w:rPr>
                <w:lang/>
              </w:rPr>
              <w:drawing>
                <wp:inline distT="0" distB="0" distL="114300" distR="114300">
                  <wp:extent cx="476250" cy="323850"/>
                  <wp:effectExtent l="0" t="0" r="0" b="0"/>
                  <wp:docPr id="44" name="图片 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64E6CE">
        <w:tblPrEx>
          <w:tblCellMar>
            <w:top w:w="0" w:type="dxa"/>
            <w:left w:w="0" w:type="dxa"/>
            <w:bottom w:w="0" w:type="dxa"/>
            <w:right w:w="0" w:type="dxa"/>
          </w:tblCellMar>
        </w:tblPrEx>
        <w:trPr>
          <w:wBefore w:w="0" w:type="auto"/>
          <w:tblCellSpacing w:w="0" w:type="dxa"/>
        </w:trPr>
        <w:tc>
          <w:tcPr>
            <w:tcW w:w="0" w:type="auto"/>
            <w:noWrap w:val="0"/>
            <w:vAlign w:val="center"/>
          </w:tcPr>
          <w:p w14:paraId="6BE25536">
            <w:r>
              <w:rPr>
                <w:rStyle w:val="10"/>
                <w:rFonts w:hint="eastAsia"/>
              </w:rPr>
              <w:t>总有效成分含量：</w:t>
            </w:r>
            <w:r>
              <w:rPr>
                <w:rFonts w:hint="eastAsia"/>
              </w:rPr>
              <w:t>43%</w:t>
            </w:r>
          </w:p>
        </w:tc>
      </w:tr>
      <w:tr w14:paraId="38B848C9">
        <w:tblPrEx>
          <w:tblCellMar>
            <w:top w:w="0" w:type="dxa"/>
            <w:left w:w="0" w:type="dxa"/>
            <w:bottom w:w="0" w:type="dxa"/>
            <w:right w:w="0" w:type="dxa"/>
          </w:tblCellMar>
        </w:tblPrEx>
        <w:trPr>
          <w:wBefore w:w="0" w:type="auto"/>
          <w:tblCellSpacing w:w="0" w:type="dxa"/>
        </w:trPr>
        <w:tc>
          <w:tcPr>
            <w:tcW w:w="0" w:type="auto"/>
            <w:noWrap w:val="0"/>
            <w:vAlign w:val="center"/>
          </w:tcPr>
          <w:p w14:paraId="38B43CE8">
            <w:r>
              <w:rPr>
                <w:rFonts w:hint="eastAsia"/>
              </w:rPr>
              <w:t xml:space="preserve">有效成分及其含量： </w:t>
            </w:r>
          </w:p>
          <w:p w14:paraId="79610F89">
            <w:r>
              <w:rPr>
                <w:rFonts w:hint="eastAsia"/>
              </w:rPr>
              <w:t xml:space="preserve">    2甲4氯异辛酯36.5%    氯氟吡氧乙酸异辛酯6.5%    </w:t>
            </w:r>
          </w:p>
        </w:tc>
      </w:tr>
      <w:tr w14:paraId="7C21C7FD">
        <w:tblPrEx>
          <w:tblCellMar>
            <w:top w:w="0" w:type="dxa"/>
            <w:left w:w="0" w:type="dxa"/>
            <w:bottom w:w="0" w:type="dxa"/>
            <w:right w:w="0" w:type="dxa"/>
          </w:tblCellMar>
        </w:tblPrEx>
        <w:trPr>
          <w:wBefore w:w="0" w:type="auto"/>
          <w:tblCellSpacing w:w="0" w:type="dxa"/>
        </w:trPr>
        <w:tc>
          <w:tcPr>
            <w:tcW w:w="0" w:type="auto"/>
            <w:noWrap w:val="0"/>
            <w:vAlign w:val="center"/>
          </w:tcPr>
          <w:p w14:paraId="2727FF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F54C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32C19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56257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85F46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5AE16C">
                  <w:r>
                    <w:rPr>
                      <w:rStyle w:val="11"/>
                      <w:rFonts w:hint="eastAsia"/>
                    </w:rPr>
                    <w:t>施用方式</w:t>
                  </w:r>
                </w:p>
              </w:tc>
            </w:tr>
            <w:tr w14:paraId="79E174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F37094">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9A7C59">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F07ED9">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4A9CCC">
                  <w:r>
                    <w:rPr>
                      <w:rStyle w:val="11"/>
                      <w:rFonts w:hint="eastAsia"/>
                    </w:rPr>
                    <w:t>茎叶喷雾</w:t>
                  </w:r>
                </w:p>
              </w:tc>
            </w:tr>
          </w:tbl>
          <w:p w14:paraId="2386BDBF">
            <w:pPr>
              <w:rPr>
                <w:rFonts w:ascii="Times New Roman" w:hAnsi="Times New Roman" w:cs="Times New Roman"/>
                <w:sz w:val="20"/>
                <w:szCs w:val="20"/>
              </w:rPr>
            </w:pPr>
          </w:p>
        </w:tc>
      </w:tr>
      <w:tr w14:paraId="30ED4E86">
        <w:tblPrEx>
          <w:tblCellMar>
            <w:top w:w="0" w:type="dxa"/>
            <w:left w:w="0" w:type="dxa"/>
            <w:bottom w:w="0" w:type="dxa"/>
            <w:right w:w="0" w:type="dxa"/>
          </w:tblCellMar>
        </w:tblPrEx>
        <w:trPr>
          <w:wBefore w:w="0" w:type="auto"/>
          <w:tblCellSpacing w:w="0" w:type="dxa"/>
        </w:trPr>
        <w:tc>
          <w:tcPr>
            <w:tcW w:w="0" w:type="auto"/>
            <w:noWrap w:val="0"/>
            <w:vAlign w:val="center"/>
          </w:tcPr>
          <w:p w14:paraId="533FAACF">
            <w:r>
              <w:rPr>
                <w:rStyle w:val="10"/>
                <w:rFonts w:hint="eastAsia"/>
              </w:rPr>
              <w:t>使用技术要求:</w:t>
            </w:r>
            <w:r>
              <w:rPr>
                <w:rFonts w:hint="eastAsia"/>
              </w:rPr>
              <w:br w:type="textWrapping"/>
            </w:r>
            <w:r>
              <w:rPr>
                <w:rStyle w:val="11"/>
                <w:rFonts w:hint="eastAsia"/>
              </w:rPr>
              <w:t>1. 在水稻移栽缓苗后，杂草3-5叶期，以推荐剂量按每亩用药量兑水30-40公斤，茎叶均匀喷雾1次。勿淹没水稻心叶，避免药害。施药时防止药液飘移到邻近作物，以免产生药害。2. 大风天或预计1小时内降雨,请勿施药。3. 每季作物最多施药1次。</w:t>
            </w:r>
          </w:p>
        </w:tc>
      </w:tr>
      <w:tr w14:paraId="6DDEB935">
        <w:tblPrEx>
          <w:tblCellMar>
            <w:top w:w="0" w:type="dxa"/>
            <w:left w:w="0" w:type="dxa"/>
            <w:bottom w:w="0" w:type="dxa"/>
            <w:right w:w="0" w:type="dxa"/>
          </w:tblCellMar>
        </w:tblPrEx>
        <w:trPr>
          <w:wBefore w:w="0" w:type="auto"/>
          <w:tblCellSpacing w:w="0" w:type="dxa"/>
        </w:trPr>
        <w:tc>
          <w:tcPr>
            <w:tcW w:w="0" w:type="auto"/>
            <w:noWrap w:val="0"/>
            <w:vAlign w:val="center"/>
          </w:tcPr>
          <w:p w14:paraId="09E6B500">
            <w:r>
              <w:rPr>
                <w:rStyle w:val="10"/>
                <w:rFonts w:hint="eastAsia"/>
              </w:rPr>
              <w:t>产品性能:</w:t>
            </w:r>
            <w:r>
              <w:rPr>
                <w:rFonts w:hint="eastAsia"/>
              </w:rPr>
              <w:br w:type="textWrapping"/>
            </w:r>
            <w:r>
              <w:rPr>
                <w:rStyle w:val="11"/>
                <w:rFonts w:hint="eastAsia"/>
              </w:rPr>
              <w:t>本品是一种内吸传导型苗后除草剂，能迅速被杂草的茎、叶和根吸收，使敏感植物出现典型激素类除草剂的反应，植物畸形、扭曲。可有效地杀灭地上茎叶和地下根系，一般在温度低时药效发挥较慢，可使植物中毒后停止生长，气温高后植物很快死亡。 在土壤中半衰期较短，不会对下茬阔叶作物产生影响。</w:t>
            </w:r>
          </w:p>
        </w:tc>
      </w:tr>
      <w:tr w14:paraId="6532ED14">
        <w:tblPrEx>
          <w:tblCellMar>
            <w:top w:w="0" w:type="dxa"/>
            <w:left w:w="0" w:type="dxa"/>
            <w:bottom w:w="0" w:type="dxa"/>
            <w:right w:w="0" w:type="dxa"/>
          </w:tblCellMar>
        </w:tblPrEx>
        <w:trPr>
          <w:wBefore w:w="0" w:type="auto"/>
          <w:tblCellSpacing w:w="0" w:type="dxa"/>
        </w:trPr>
        <w:tc>
          <w:tcPr>
            <w:tcW w:w="0" w:type="auto"/>
            <w:noWrap w:val="0"/>
            <w:vAlign w:val="center"/>
          </w:tcPr>
          <w:p w14:paraId="60456E9E">
            <w:r>
              <w:rPr>
                <w:rStyle w:val="10"/>
                <w:rFonts w:hint="eastAsia"/>
              </w:rPr>
              <w:t>注意事项：</w:t>
            </w:r>
            <w:r>
              <w:rPr>
                <w:rFonts w:hint="eastAsia"/>
              </w:rPr>
              <w:br w:type="textWrapping"/>
            </w:r>
            <w:r>
              <w:rPr>
                <w:rStyle w:val="11"/>
                <w:rFonts w:hint="eastAsia"/>
              </w:rPr>
              <w:t>1. 该药飘移物对双子叶作物威胁极大，施药时应避免药液飘移到大豆、花生、甘薯、甘蓝等阔叶作物上,以防产生药害。应在无风天气避免双子叶地块施药。2. 温度对其除草的结果影响较小，但影响其药效发挥的速度。一般在温度低时药效发挥较慢，可使植物中毒后停止生长，但不立即死亡；气温升高后植物很快死亡。3. 鱼或虾蟹套养稻田禁用，施药后的田水不得直接排入水体。水产养殖区、河塘等水体附近禁用，禁止在河塘等水域清洗施药器具。4. 蚕室及桑园附近禁用。赤眼蜂等天敌放飞区域禁用。5. 使用过的喷雾器，应清洗干净方可用于阔叶作物喷施其它的农药。本品对眼睛有刺激性，使用时避免接触眼睛，穿戴长衣、长裤、帽子、口罩、手套等防护措施,避免吸入药液；施药期间不可吃东西和饮水等；施药后应及时冲洗手、脸及裸露部位。6. 用过的容器应妥善处理，不可做他用，也不可随意丢弃。7. 孕妇及哺乳期妇女禁止接触本品。。</w:t>
            </w:r>
          </w:p>
        </w:tc>
      </w:tr>
      <w:tr w14:paraId="73BD7048">
        <w:tblPrEx>
          <w:tblCellMar>
            <w:top w:w="0" w:type="dxa"/>
            <w:left w:w="0" w:type="dxa"/>
            <w:bottom w:w="0" w:type="dxa"/>
            <w:right w:w="0" w:type="dxa"/>
          </w:tblCellMar>
        </w:tblPrEx>
        <w:trPr>
          <w:wBefore w:w="0" w:type="auto"/>
          <w:tblCellSpacing w:w="0" w:type="dxa"/>
        </w:trPr>
        <w:tc>
          <w:tcPr>
            <w:tcW w:w="0" w:type="auto"/>
            <w:noWrap w:val="0"/>
            <w:vAlign w:val="center"/>
          </w:tcPr>
          <w:p w14:paraId="006B84D6">
            <w:r>
              <w:rPr>
                <w:rStyle w:val="10"/>
                <w:rFonts w:hint="eastAsia"/>
              </w:rPr>
              <w:t>中毒急救措施：</w:t>
            </w:r>
            <w:r>
              <w:rPr>
                <w:rFonts w:hint="eastAsia"/>
              </w:rPr>
              <w:br w:type="textWrapping"/>
            </w:r>
            <w:r>
              <w:rPr>
                <w:rStyle w:val="11"/>
                <w:rFonts w:hint="eastAsia"/>
              </w:rPr>
              <w:t>本品如误入眼睛，立即用清水至少冲洗15分钟，仍有不适应立即就医；不慎吸入，应将病人移到通风处。如接触皮肤，立即用清水冲洗并换洗衣物；如误服立即送医院对症治疗，不能催吐，无特殊解毒剂，对症治疗。</w:t>
            </w:r>
          </w:p>
        </w:tc>
      </w:tr>
      <w:tr w14:paraId="257EAE2F">
        <w:tblPrEx>
          <w:tblCellMar>
            <w:top w:w="0" w:type="dxa"/>
            <w:left w:w="0" w:type="dxa"/>
            <w:bottom w:w="0" w:type="dxa"/>
            <w:right w:w="0" w:type="dxa"/>
          </w:tblCellMar>
        </w:tblPrEx>
        <w:trPr>
          <w:wBefore w:w="0" w:type="auto"/>
          <w:tblCellSpacing w:w="0" w:type="dxa"/>
        </w:trPr>
        <w:tc>
          <w:tcPr>
            <w:tcW w:w="0" w:type="auto"/>
            <w:noWrap w:val="0"/>
            <w:vAlign w:val="center"/>
          </w:tcPr>
          <w:p w14:paraId="7B58158E">
            <w:r>
              <w:rPr>
                <w:rStyle w:val="10"/>
                <w:rFonts w:hint="eastAsia"/>
              </w:rPr>
              <w:t>储存和运输方法：</w:t>
            </w:r>
            <w:r>
              <w:rPr>
                <w:rFonts w:hint="eastAsia"/>
              </w:rPr>
              <w:br w:type="textWrapping"/>
            </w:r>
            <w:r>
              <w:rPr>
                <w:rStyle w:val="11"/>
                <w:rFonts w:hint="eastAsia"/>
              </w:rPr>
              <w:t>１. 产品密封后存放在阴凉、干燥、通风处，不要直接置于阳光下、过热或低于0℃的地方。2.远离家禽,不能与食品、饮料、粮食、饲料和种子混合贮存运输。3.远离儿童，贮存于儿童、无关人员触及不到的地方，并加锁。在运输过程中注意防潮、防晒，装卸时应轻拿轻放，注意防止泄漏。</w:t>
            </w:r>
          </w:p>
        </w:tc>
      </w:tr>
      <w:tr w14:paraId="04E0489D">
        <w:tblPrEx>
          <w:tblCellMar>
            <w:top w:w="0" w:type="dxa"/>
            <w:left w:w="0" w:type="dxa"/>
            <w:bottom w:w="0" w:type="dxa"/>
            <w:right w:w="0" w:type="dxa"/>
          </w:tblCellMar>
        </w:tblPrEx>
        <w:trPr>
          <w:wBefore w:w="0" w:type="auto"/>
          <w:tblCellSpacing w:w="0" w:type="dxa"/>
        </w:trPr>
        <w:tc>
          <w:tcPr>
            <w:tcW w:w="0" w:type="auto"/>
            <w:noWrap w:val="0"/>
            <w:vAlign w:val="center"/>
          </w:tcPr>
          <w:p w14:paraId="055DE0ED">
            <w:r>
              <w:rPr>
                <w:rStyle w:val="10"/>
                <w:rFonts w:hint="eastAsia"/>
              </w:rPr>
              <w:t>质量保证期：</w:t>
            </w:r>
            <w:r>
              <w:rPr>
                <w:rStyle w:val="11"/>
                <w:rFonts w:hint="eastAsia"/>
              </w:rPr>
              <w:t>2年</w:t>
            </w:r>
          </w:p>
        </w:tc>
      </w:tr>
      <w:tr w14:paraId="5B4C874B">
        <w:tblPrEx>
          <w:tblCellMar>
            <w:top w:w="0" w:type="dxa"/>
            <w:left w:w="0" w:type="dxa"/>
            <w:bottom w:w="0" w:type="dxa"/>
            <w:right w:w="0" w:type="dxa"/>
          </w:tblCellMar>
        </w:tblPrEx>
        <w:trPr>
          <w:wBefore w:w="0" w:type="auto"/>
          <w:tblCellSpacing w:w="0" w:type="dxa"/>
        </w:trPr>
        <w:tc>
          <w:tcPr>
            <w:tcW w:w="0" w:type="auto"/>
            <w:noWrap w:val="0"/>
            <w:vAlign w:val="center"/>
          </w:tcPr>
          <w:p w14:paraId="43707631">
            <w:r>
              <w:rPr>
                <w:rStyle w:val="10"/>
                <w:rFonts w:hint="eastAsia"/>
              </w:rPr>
              <w:t>备注：</w:t>
            </w:r>
          </w:p>
        </w:tc>
      </w:tr>
    </w:tbl>
    <w:p w14:paraId="12B659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AFC433">
        <w:tblPrEx>
          <w:tblCellMar>
            <w:top w:w="0" w:type="dxa"/>
            <w:left w:w="0" w:type="dxa"/>
            <w:bottom w:w="0" w:type="dxa"/>
            <w:right w:w="0" w:type="dxa"/>
          </w:tblCellMar>
        </w:tblPrEx>
        <w:trPr>
          <w:wBefore w:w="0" w:type="auto"/>
          <w:tblCellSpacing w:w="0" w:type="dxa"/>
        </w:trPr>
        <w:tc>
          <w:tcPr>
            <w:tcW w:w="0" w:type="auto"/>
            <w:noWrap w:val="0"/>
            <w:vAlign w:val="center"/>
          </w:tcPr>
          <w:p w14:paraId="4AA57A8C">
            <w:r>
              <w:rPr>
                <w:rStyle w:val="10"/>
                <w:rFonts w:hint="eastAsia"/>
              </w:rPr>
              <w:t>登记证号：</w:t>
            </w:r>
            <w:r>
              <w:rPr>
                <w:rFonts w:hint="eastAsia"/>
              </w:rPr>
              <w:t>PD20212613</w:t>
            </w:r>
          </w:p>
        </w:tc>
      </w:tr>
      <w:tr w14:paraId="781D0945">
        <w:tblPrEx>
          <w:tblCellMar>
            <w:top w:w="0" w:type="dxa"/>
            <w:left w:w="0" w:type="dxa"/>
            <w:bottom w:w="0" w:type="dxa"/>
            <w:right w:w="0" w:type="dxa"/>
          </w:tblCellMar>
        </w:tblPrEx>
        <w:trPr>
          <w:wBefore w:w="0" w:type="auto"/>
          <w:tblCellSpacing w:w="0" w:type="dxa"/>
        </w:trPr>
        <w:tc>
          <w:tcPr>
            <w:tcW w:w="0" w:type="auto"/>
            <w:noWrap w:val="0"/>
            <w:vAlign w:val="center"/>
          </w:tcPr>
          <w:p w14:paraId="59C61182">
            <w:r>
              <w:rPr>
                <w:rStyle w:val="10"/>
                <w:rFonts w:hint="eastAsia"/>
              </w:rPr>
              <w:t>登记证持有人：</w:t>
            </w:r>
            <w:r>
              <w:rPr>
                <w:rFonts w:hint="eastAsia"/>
              </w:rPr>
              <w:t>江苏诺恩作物科学股份有限公司</w:t>
            </w:r>
          </w:p>
        </w:tc>
      </w:tr>
      <w:tr w14:paraId="224AF095">
        <w:tblPrEx>
          <w:tblCellMar>
            <w:top w:w="0" w:type="dxa"/>
            <w:left w:w="0" w:type="dxa"/>
            <w:bottom w:w="0" w:type="dxa"/>
            <w:right w:w="0" w:type="dxa"/>
          </w:tblCellMar>
        </w:tblPrEx>
        <w:trPr>
          <w:wBefore w:w="0" w:type="auto"/>
          <w:tblCellSpacing w:w="0" w:type="dxa"/>
        </w:trPr>
        <w:tc>
          <w:tcPr>
            <w:tcW w:w="0" w:type="auto"/>
            <w:noWrap w:val="0"/>
            <w:vAlign w:val="center"/>
          </w:tcPr>
          <w:p w14:paraId="60745101">
            <w:r>
              <w:rPr>
                <w:rStyle w:val="10"/>
                <w:rFonts w:hint="eastAsia"/>
              </w:rPr>
              <w:t>农药名称：</w:t>
            </w:r>
            <w:r>
              <w:rPr>
                <w:rFonts w:hint="eastAsia"/>
              </w:rPr>
              <w:t>草铵膦</w:t>
            </w:r>
          </w:p>
        </w:tc>
      </w:tr>
      <w:tr w14:paraId="2623DD02">
        <w:tblPrEx>
          <w:tblCellMar>
            <w:top w:w="0" w:type="dxa"/>
            <w:left w:w="0" w:type="dxa"/>
            <w:bottom w:w="0" w:type="dxa"/>
            <w:right w:w="0" w:type="dxa"/>
          </w:tblCellMar>
        </w:tblPrEx>
        <w:trPr>
          <w:wBefore w:w="0" w:type="auto"/>
          <w:tblCellSpacing w:w="0" w:type="dxa"/>
        </w:trPr>
        <w:tc>
          <w:tcPr>
            <w:tcW w:w="0" w:type="auto"/>
            <w:noWrap w:val="0"/>
            <w:vAlign w:val="center"/>
          </w:tcPr>
          <w:p w14:paraId="6CC768BE">
            <w:r>
              <w:rPr>
                <w:rStyle w:val="10"/>
                <w:rFonts w:hint="eastAsia"/>
              </w:rPr>
              <w:t>剂型：</w:t>
            </w:r>
            <w:r>
              <w:rPr>
                <w:rFonts w:hint="eastAsia"/>
              </w:rPr>
              <w:t>可溶液剂</w:t>
            </w:r>
          </w:p>
        </w:tc>
      </w:tr>
      <w:tr w14:paraId="26B64086">
        <w:tblPrEx>
          <w:tblCellMar>
            <w:top w:w="0" w:type="dxa"/>
            <w:left w:w="0" w:type="dxa"/>
            <w:bottom w:w="0" w:type="dxa"/>
            <w:right w:w="0" w:type="dxa"/>
          </w:tblCellMar>
        </w:tblPrEx>
        <w:trPr>
          <w:wBefore w:w="0" w:type="auto"/>
          <w:tblCellSpacing w:w="0" w:type="dxa"/>
        </w:trPr>
        <w:tc>
          <w:tcPr>
            <w:tcW w:w="0" w:type="auto"/>
            <w:noWrap w:val="0"/>
            <w:vAlign w:val="center"/>
          </w:tcPr>
          <w:p w14:paraId="6C91CC92">
            <w:r>
              <w:rPr>
                <w:rStyle w:val="10"/>
                <w:rFonts w:hint="eastAsia"/>
              </w:rPr>
              <w:t>毒性及其标识：</w:t>
            </w:r>
            <w:r>
              <w:rPr>
                <w:rFonts w:hint="eastAsia"/>
              </w:rPr>
              <w:t xml:space="preserve"> </w:t>
            </w:r>
            <w:r>
              <w:rPr>
                <w:lang/>
              </w:rPr>
              <w:drawing>
                <wp:inline distT="0" distB="0" distL="114300" distR="114300">
                  <wp:extent cx="476250" cy="323850"/>
                  <wp:effectExtent l="0" t="0" r="0" b="0"/>
                  <wp:docPr id="45" name="图片 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56F0DA">
        <w:tblPrEx>
          <w:tblCellMar>
            <w:top w:w="0" w:type="dxa"/>
            <w:left w:w="0" w:type="dxa"/>
            <w:bottom w:w="0" w:type="dxa"/>
            <w:right w:w="0" w:type="dxa"/>
          </w:tblCellMar>
        </w:tblPrEx>
        <w:trPr>
          <w:wBefore w:w="0" w:type="auto"/>
          <w:tblCellSpacing w:w="0" w:type="dxa"/>
        </w:trPr>
        <w:tc>
          <w:tcPr>
            <w:tcW w:w="0" w:type="auto"/>
            <w:noWrap w:val="0"/>
            <w:vAlign w:val="center"/>
          </w:tcPr>
          <w:p w14:paraId="54184412">
            <w:r>
              <w:rPr>
                <w:rStyle w:val="10"/>
                <w:rFonts w:hint="eastAsia"/>
              </w:rPr>
              <w:t>总有效成分含量：</w:t>
            </w:r>
            <w:r>
              <w:rPr>
                <w:rFonts w:hint="eastAsia"/>
              </w:rPr>
              <w:t>200克/升</w:t>
            </w:r>
          </w:p>
        </w:tc>
      </w:tr>
      <w:tr w14:paraId="0B9C3CBF">
        <w:tblPrEx>
          <w:tblCellMar>
            <w:top w:w="0" w:type="dxa"/>
            <w:left w:w="0" w:type="dxa"/>
            <w:bottom w:w="0" w:type="dxa"/>
            <w:right w:w="0" w:type="dxa"/>
          </w:tblCellMar>
        </w:tblPrEx>
        <w:trPr>
          <w:wBefore w:w="0" w:type="auto"/>
          <w:tblCellSpacing w:w="0" w:type="dxa"/>
        </w:trPr>
        <w:tc>
          <w:tcPr>
            <w:tcW w:w="0" w:type="auto"/>
            <w:noWrap w:val="0"/>
            <w:vAlign w:val="center"/>
          </w:tcPr>
          <w:p w14:paraId="4329C8B7">
            <w:r>
              <w:rPr>
                <w:rFonts w:hint="eastAsia"/>
              </w:rPr>
              <w:t xml:space="preserve">有效成分及其含量： </w:t>
            </w:r>
          </w:p>
          <w:p w14:paraId="4DFF665D">
            <w:r>
              <w:rPr>
                <w:rFonts w:hint="eastAsia"/>
              </w:rPr>
              <w:t xml:space="preserve">    草铵膦200克/升    </w:t>
            </w:r>
          </w:p>
        </w:tc>
      </w:tr>
      <w:tr w14:paraId="592709DC">
        <w:tblPrEx>
          <w:tblCellMar>
            <w:top w:w="0" w:type="dxa"/>
            <w:left w:w="0" w:type="dxa"/>
            <w:bottom w:w="0" w:type="dxa"/>
            <w:right w:w="0" w:type="dxa"/>
          </w:tblCellMar>
        </w:tblPrEx>
        <w:trPr>
          <w:wBefore w:w="0" w:type="auto"/>
          <w:tblCellSpacing w:w="0" w:type="dxa"/>
        </w:trPr>
        <w:tc>
          <w:tcPr>
            <w:tcW w:w="0" w:type="auto"/>
            <w:noWrap w:val="0"/>
            <w:vAlign w:val="center"/>
          </w:tcPr>
          <w:p w14:paraId="7234B37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047E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C97C8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9E873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E2BA3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532CA0">
                  <w:r>
                    <w:rPr>
                      <w:rStyle w:val="11"/>
                      <w:rFonts w:hint="eastAsia"/>
                    </w:rPr>
                    <w:t>施用方式</w:t>
                  </w:r>
                </w:p>
              </w:tc>
            </w:tr>
            <w:tr w14:paraId="522FF0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CAB0C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1BC3F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7E1AF8">
                  <w:r>
                    <w:rPr>
                      <w:rStyle w:val="11"/>
                      <w:rFonts w:hint="eastAsia"/>
                    </w:rPr>
                    <w:t>350-500毫升/亩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DAC895">
                  <w:r>
                    <w:rPr>
                      <w:rStyle w:val="11"/>
                      <w:rFonts w:hint="eastAsia"/>
                    </w:rPr>
                    <w:t>茎叶喷雾</w:t>
                  </w:r>
                </w:p>
              </w:tc>
            </w:tr>
          </w:tbl>
          <w:p w14:paraId="3C4B08D2">
            <w:pPr>
              <w:rPr>
                <w:rFonts w:ascii="Times New Roman" w:hAnsi="Times New Roman" w:cs="Times New Roman"/>
                <w:sz w:val="20"/>
                <w:szCs w:val="20"/>
              </w:rPr>
            </w:pPr>
          </w:p>
        </w:tc>
      </w:tr>
      <w:tr w14:paraId="6FF61F13">
        <w:tblPrEx>
          <w:tblCellMar>
            <w:top w:w="0" w:type="dxa"/>
            <w:left w:w="0" w:type="dxa"/>
            <w:bottom w:w="0" w:type="dxa"/>
            <w:right w:w="0" w:type="dxa"/>
          </w:tblCellMar>
        </w:tblPrEx>
        <w:trPr>
          <w:wBefore w:w="0" w:type="auto"/>
          <w:tblCellSpacing w:w="0" w:type="dxa"/>
        </w:trPr>
        <w:tc>
          <w:tcPr>
            <w:tcW w:w="0" w:type="auto"/>
            <w:noWrap w:val="0"/>
            <w:vAlign w:val="center"/>
          </w:tcPr>
          <w:p w14:paraId="7F8EA089">
            <w:r>
              <w:rPr>
                <w:rStyle w:val="10"/>
                <w:rFonts w:hint="eastAsia"/>
              </w:rPr>
              <w:t>使用技术要求:</w:t>
            </w:r>
            <w:r>
              <w:rPr>
                <w:rFonts w:hint="eastAsia"/>
              </w:rPr>
              <w:br w:type="textWrapping"/>
            </w:r>
            <w:r>
              <w:rPr>
                <w:rStyle w:val="11"/>
                <w:rFonts w:hint="eastAsia"/>
              </w:rPr>
              <w:t>1.杂草生长期施药，每亩兑水量30-40公斤，茎叶喷雾。 2.大风天或预计1小时内降雨，请勿施药。3.注意避免飘移药害。</w:t>
            </w:r>
          </w:p>
        </w:tc>
      </w:tr>
      <w:tr w14:paraId="329623EE">
        <w:tblPrEx>
          <w:tblCellMar>
            <w:top w:w="0" w:type="dxa"/>
            <w:left w:w="0" w:type="dxa"/>
            <w:bottom w:w="0" w:type="dxa"/>
            <w:right w:w="0" w:type="dxa"/>
          </w:tblCellMar>
        </w:tblPrEx>
        <w:trPr>
          <w:wBefore w:w="0" w:type="auto"/>
          <w:tblCellSpacing w:w="0" w:type="dxa"/>
        </w:trPr>
        <w:tc>
          <w:tcPr>
            <w:tcW w:w="0" w:type="auto"/>
            <w:noWrap w:val="0"/>
            <w:vAlign w:val="center"/>
          </w:tcPr>
          <w:p w14:paraId="34535D69">
            <w:r>
              <w:rPr>
                <w:rStyle w:val="10"/>
                <w:rFonts w:hint="eastAsia"/>
              </w:rPr>
              <w:t>产品性能:</w:t>
            </w:r>
            <w:r>
              <w:rPr>
                <w:rFonts w:hint="eastAsia"/>
              </w:rPr>
              <w:br w:type="textWrapping"/>
            </w:r>
            <w:r>
              <w:rPr>
                <w:rStyle w:val="11"/>
                <w:rFonts w:hint="eastAsia"/>
              </w:rPr>
              <w:t>本品属瞵酸类除草剂，是谷氨酰胺合成抑制剂，具有部分内吸作用的非选择性触杀除草剂。施药后短时间内，植物体内铵代谢陷于紊乱，细胞毒剂铵离子在植物体内累积，与此同时，光合作用被严重抑制，达到除草目的。对非耕地杂草有较好的防治效果。</w:t>
            </w:r>
          </w:p>
        </w:tc>
      </w:tr>
      <w:tr w14:paraId="25CB50D8">
        <w:tblPrEx>
          <w:tblCellMar>
            <w:top w:w="0" w:type="dxa"/>
            <w:left w:w="0" w:type="dxa"/>
            <w:bottom w:w="0" w:type="dxa"/>
            <w:right w:w="0" w:type="dxa"/>
          </w:tblCellMar>
        </w:tblPrEx>
        <w:trPr>
          <w:wBefore w:w="0" w:type="auto"/>
          <w:tblCellSpacing w:w="0" w:type="dxa"/>
        </w:trPr>
        <w:tc>
          <w:tcPr>
            <w:tcW w:w="0" w:type="auto"/>
            <w:noWrap w:val="0"/>
            <w:vAlign w:val="center"/>
          </w:tcPr>
          <w:p w14:paraId="081FF11B">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喷雾时需定向均匀全面喷在杂草上，勿使药液漂移或接触到作物上，以免产生药害。3.</w:t>
            </w:r>
            <w:r>
              <w:rPr>
                <w:rStyle w:val="11"/>
                <w:rFonts w:hint="eastAsia"/>
              </w:rPr>
              <w:t> </w:t>
            </w:r>
            <w:r>
              <w:rPr>
                <w:rStyle w:val="11"/>
                <w:rFonts w:hint="eastAsia"/>
              </w:rPr>
              <w:t>远离水产养殖区、河塘等水体施药，禁止在河塘等水体中清洗施药器具；</w:t>
            </w:r>
            <w:r>
              <w:rPr>
                <w:rStyle w:val="11"/>
                <w:rFonts w:hint="eastAsia"/>
              </w:rPr>
              <w:t> </w:t>
            </w:r>
            <w:r>
              <w:rPr>
                <w:rStyle w:val="11"/>
                <w:rFonts w:hint="eastAsia"/>
              </w:rPr>
              <w:t>蚕室及桑园附近禁用。4.避免孕妇和哺乳期的妇女接触本品。5.用过的容器应妥善处理，不可随意丢弃或作他用。6.避免与氧化剂接触或混合。7.禁止在田间道路、田埂、果树行间、休耕地、林场地等农林区域使用。</w:t>
            </w:r>
          </w:p>
        </w:tc>
      </w:tr>
      <w:tr w14:paraId="4F830003">
        <w:tblPrEx>
          <w:tblCellMar>
            <w:top w:w="0" w:type="dxa"/>
            <w:left w:w="0" w:type="dxa"/>
            <w:bottom w:w="0" w:type="dxa"/>
            <w:right w:w="0" w:type="dxa"/>
          </w:tblCellMar>
        </w:tblPrEx>
        <w:trPr>
          <w:wBefore w:w="0" w:type="auto"/>
          <w:tblCellSpacing w:w="0" w:type="dxa"/>
        </w:trPr>
        <w:tc>
          <w:tcPr>
            <w:tcW w:w="0" w:type="auto"/>
            <w:noWrap w:val="0"/>
            <w:vAlign w:val="center"/>
          </w:tcPr>
          <w:p w14:paraId="3D0D57C8">
            <w:r>
              <w:rPr>
                <w:rStyle w:val="10"/>
                <w:rFonts w:hint="eastAsia"/>
              </w:rPr>
              <w:t>中毒急救措施：</w:t>
            </w:r>
            <w:r>
              <w:rPr>
                <w:rFonts w:hint="eastAsia"/>
              </w:rPr>
              <w:br w:type="textWrapping"/>
            </w:r>
            <w:r>
              <w:rPr>
                <w:rStyle w:val="11"/>
                <w:rFonts w:hint="eastAsia"/>
              </w:rPr>
              <w:t>本品对眼睛有刺激性。1.用药时如果感觉不适，立即停止工作，采取急救措施，并携此标签送医就诊。 2.若溅到皮肤上，应立即用大量清水冲洗，如皮肤疼痛感持续，请医生诊治。 3.不慎溅入眼中，要立即用清水冲洗15分钟以上，并请医生诊治。 4.若误服，立即携此标签将病人送医院救治，可对症治疗。</w:t>
            </w:r>
          </w:p>
        </w:tc>
      </w:tr>
      <w:tr w14:paraId="23F57E6B">
        <w:tblPrEx>
          <w:tblCellMar>
            <w:top w:w="0" w:type="dxa"/>
            <w:left w:w="0" w:type="dxa"/>
            <w:bottom w:w="0" w:type="dxa"/>
            <w:right w:w="0" w:type="dxa"/>
          </w:tblCellMar>
        </w:tblPrEx>
        <w:trPr>
          <w:wBefore w:w="0" w:type="auto"/>
          <w:tblCellSpacing w:w="0" w:type="dxa"/>
        </w:trPr>
        <w:tc>
          <w:tcPr>
            <w:tcW w:w="0" w:type="auto"/>
            <w:noWrap w:val="0"/>
            <w:vAlign w:val="center"/>
          </w:tcPr>
          <w:p w14:paraId="1907BC6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本品应贮存在干燥、阴凉、通风、防雨处，远离火源或热源。置于儿童、无关人员触及不到之处，并加锁保存。勿与食品、饮料、粮食、饲料等同贮同运</w:t>
            </w:r>
          </w:p>
        </w:tc>
      </w:tr>
      <w:tr w14:paraId="0A48863F">
        <w:tblPrEx>
          <w:tblCellMar>
            <w:top w:w="0" w:type="dxa"/>
            <w:left w:w="0" w:type="dxa"/>
            <w:bottom w:w="0" w:type="dxa"/>
            <w:right w:w="0" w:type="dxa"/>
          </w:tblCellMar>
        </w:tblPrEx>
        <w:trPr>
          <w:wBefore w:w="0" w:type="auto"/>
          <w:tblCellSpacing w:w="0" w:type="dxa"/>
        </w:trPr>
        <w:tc>
          <w:tcPr>
            <w:tcW w:w="0" w:type="auto"/>
            <w:noWrap w:val="0"/>
            <w:vAlign w:val="center"/>
          </w:tcPr>
          <w:p w14:paraId="6C6671DC">
            <w:r>
              <w:rPr>
                <w:rStyle w:val="10"/>
                <w:rFonts w:hint="eastAsia"/>
              </w:rPr>
              <w:t>质量保证期：</w:t>
            </w:r>
            <w:r>
              <w:rPr>
                <w:rStyle w:val="11"/>
                <w:rFonts w:hint="eastAsia"/>
              </w:rPr>
              <w:t>2年</w:t>
            </w:r>
          </w:p>
        </w:tc>
      </w:tr>
      <w:tr w14:paraId="6287E7F5">
        <w:tblPrEx>
          <w:tblCellMar>
            <w:top w:w="0" w:type="dxa"/>
            <w:left w:w="0" w:type="dxa"/>
            <w:bottom w:w="0" w:type="dxa"/>
            <w:right w:w="0" w:type="dxa"/>
          </w:tblCellMar>
        </w:tblPrEx>
        <w:trPr>
          <w:wBefore w:w="0" w:type="auto"/>
          <w:tblCellSpacing w:w="0" w:type="dxa"/>
        </w:trPr>
        <w:tc>
          <w:tcPr>
            <w:tcW w:w="0" w:type="auto"/>
            <w:noWrap w:val="0"/>
            <w:vAlign w:val="center"/>
          </w:tcPr>
          <w:p w14:paraId="2C5DEFA9">
            <w:r>
              <w:rPr>
                <w:rStyle w:val="10"/>
                <w:rFonts w:hint="eastAsia"/>
              </w:rPr>
              <w:t>备注：</w:t>
            </w:r>
            <w:r>
              <w:rPr>
                <w:rFonts w:hint="eastAsia"/>
              </w:rPr>
              <w:br w:type="textWrapping"/>
            </w:r>
            <w:r>
              <w:rPr>
                <w:rStyle w:val="11"/>
                <w:rFonts w:hint="eastAsia"/>
              </w:rPr>
              <w:t>质量分数18%。</w:t>
            </w:r>
          </w:p>
        </w:tc>
      </w:tr>
    </w:tbl>
    <w:p w14:paraId="05565F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702A09">
        <w:tblPrEx>
          <w:tblCellMar>
            <w:top w:w="0" w:type="dxa"/>
            <w:left w:w="0" w:type="dxa"/>
            <w:bottom w:w="0" w:type="dxa"/>
            <w:right w:w="0" w:type="dxa"/>
          </w:tblCellMar>
        </w:tblPrEx>
        <w:trPr>
          <w:wBefore w:w="0" w:type="auto"/>
          <w:tblCellSpacing w:w="0" w:type="dxa"/>
        </w:trPr>
        <w:tc>
          <w:tcPr>
            <w:tcW w:w="0" w:type="auto"/>
            <w:noWrap w:val="0"/>
            <w:vAlign w:val="center"/>
          </w:tcPr>
          <w:p w14:paraId="42FD1A26">
            <w:r>
              <w:rPr>
                <w:rStyle w:val="10"/>
                <w:rFonts w:hint="eastAsia"/>
              </w:rPr>
              <w:t>登记证号：</w:t>
            </w:r>
            <w:r>
              <w:rPr>
                <w:rFonts w:hint="eastAsia"/>
              </w:rPr>
              <w:t>PD20212721</w:t>
            </w:r>
          </w:p>
        </w:tc>
      </w:tr>
      <w:tr w14:paraId="3C8E25C8">
        <w:tblPrEx>
          <w:tblCellMar>
            <w:top w:w="0" w:type="dxa"/>
            <w:left w:w="0" w:type="dxa"/>
            <w:bottom w:w="0" w:type="dxa"/>
            <w:right w:w="0" w:type="dxa"/>
          </w:tblCellMar>
        </w:tblPrEx>
        <w:trPr>
          <w:wBefore w:w="0" w:type="auto"/>
          <w:tblCellSpacing w:w="0" w:type="dxa"/>
        </w:trPr>
        <w:tc>
          <w:tcPr>
            <w:tcW w:w="0" w:type="auto"/>
            <w:noWrap w:val="0"/>
            <w:vAlign w:val="center"/>
          </w:tcPr>
          <w:p w14:paraId="18AF4D99">
            <w:r>
              <w:rPr>
                <w:rStyle w:val="10"/>
                <w:rFonts w:hint="eastAsia"/>
              </w:rPr>
              <w:t>登记证持有人：</w:t>
            </w:r>
            <w:r>
              <w:rPr>
                <w:rFonts w:hint="eastAsia"/>
              </w:rPr>
              <w:t>河南比赛尔农业科技有限公司</w:t>
            </w:r>
          </w:p>
        </w:tc>
      </w:tr>
      <w:tr w14:paraId="7FC90C1F">
        <w:tblPrEx>
          <w:tblCellMar>
            <w:top w:w="0" w:type="dxa"/>
            <w:left w:w="0" w:type="dxa"/>
            <w:bottom w:w="0" w:type="dxa"/>
            <w:right w:w="0" w:type="dxa"/>
          </w:tblCellMar>
        </w:tblPrEx>
        <w:trPr>
          <w:wBefore w:w="0" w:type="auto"/>
          <w:tblCellSpacing w:w="0" w:type="dxa"/>
        </w:trPr>
        <w:tc>
          <w:tcPr>
            <w:tcW w:w="0" w:type="auto"/>
            <w:noWrap w:val="0"/>
            <w:vAlign w:val="center"/>
          </w:tcPr>
          <w:p w14:paraId="37DF8BA5">
            <w:r>
              <w:rPr>
                <w:rStyle w:val="10"/>
                <w:rFonts w:hint="eastAsia"/>
              </w:rPr>
              <w:t>农药名称：</w:t>
            </w:r>
            <w:r>
              <w:rPr>
                <w:rFonts w:hint="eastAsia"/>
              </w:rPr>
              <w:t>唑醚·戊唑醇</w:t>
            </w:r>
          </w:p>
        </w:tc>
      </w:tr>
      <w:tr w14:paraId="56ABE8ED">
        <w:tblPrEx>
          <w:tblCellMar>
            <w:top w:w="0" w:type="dxa"/>
            <w:left w:w="0" w:type="dxa"/>
            <w:bottom w:w="0" w:type="dxa"/>
            <w:right w:w="0" w:type="dxa"/>
          </w:tblCellMar>
        </w:tblPrEx>
        <w:trPr>
          <w:wBefore w:w="0" w:type="auto"/>
          <w:tblCellSpacing w:w="0" w:type="dxa"/>
        </w:trPr>
        <w:tc>
          <w:tcPr>
            <w:tcW w:w="0" w:type="auto"/>
            <w:noWrap w:val="0"/>
            <w:vAlign w:val="center"/>
          </w:tcPr>
          <w:p w14:paraId="13AFB209">
            <w:r>
              <w:rPr>
                <w:rStyle w:val="10"/>
                <w:rFonts w:hint="eastAsia"/>
              </w:rPr>
              <w:t>剂型：</w:t>
            </w:r>
            <w:r>
              <w:rPr>
                <w:rFonts w:hint="eastAsia"/>
              </w:rPr>
              <w:t>悬浮剂</w:t>
            </w:r>
          </w:p>
        </w:tc>
      </w:tr>
      <w:tr w14:paraId="6BCCE5E4">
        <w:tblPrEx>
          <w:tblCellMar>
            <w:top w:w="0" w:type="dxa"/>
            <w:left w:w="0" w:type="dxa"/>
            <w:bottom w:w="0" w:type="dxa"/>
            <w:right w:w="0" w:type="dxa"/>
          </w:tblCellMar>
        </w:tblPrEx>
        <w:trPr>
          <w:wBefore w:w="0" w:type="auto"/>
          <w:tblCellSpacing w:w="0" w:type="dxa"/>
        </w:trPr>
        <w:tc>
          <w:tcPr>
            <w:tcW w:w="0" w:type="auto"/>
            <w:noWrap w:val="0"/>
            <w:vAlign w:val="center"/>
          </w:tcPr>
          <w:p w14:paraId="32398C90">
            <w:r>
              <w:rPr>
                <w:rStyle w:val="10"/>
                <w:rFonts w:hint="eastAsia"/>
              </w:rPr>
              <w:t>毒性及其标识：</w:t>
            </w:r>
            <w:r>
              <w:rPr>
                <w:rFonts w:hint="eastAsia"/>
              </w:rPr>
              <w:t xml:space="preserve"> </w:t>
            </w:r>
            <w:r>
              <w:rPr>
                <w:lang/>
              </w:rPr>
              <w:drawing>
                <wp:inline distT="0" distB="0" distL="114300" distR="114300">
                  <wp:extent cx="476250" cy="323850"/>
                  <wp:effectExtent l="0" t="0" r="0" b="0"/>
                  <wp:docPr id="46" name="图片 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A80ABC">
        <w:tblPrEx>
          <w:tblCellMar>
            <w:top w:w="0" w:type="dxa"/>
            <w:left w:w="0" w:type="dxa"/>
            <w:bottom w:w="0" w:type="dxa"/>
            <w:right w:w="0" w:type="dxa"/>
          </w:tblCellMar>
        </w:tblPrEx>
        <w:trPr>
          <w:wBefore w:w="0" w:type="auto"/>
          <w:tblCellSpacing w:w="0" w:type="dxa"/>
        </w:trPr>
        <w:tc>
          <w:tcPr>
            <w:tcW w:w="0" w:type="auto"/>
            <w:noWrap w:val="0"/>
            <w:vAlign w:val="center"/>
          </w:tcPr>
          <w:p w14:paraId="15F2E251">
            <w:r>
              <w:rPr>
                <w:rStyle w:val="10"/>
                <w:rFonts w:hint="eastAsia"/>
              </w:rPr>
              <w:t>总有效成分含量：</w:t>
            </w:r>
            <w:r>
              <w:rPr>
                <w:rFonts w:hint="eastAsia"/>
              </w:rPr>
              <w:t>30%</w:t>
            </w:r>
          </w:p>
        </w:tc>
      </w:tr>
      <w:tr w14:paraId="2C146CBD">
        <w:tblPrEx>
          <w:tblCellMar>
            <w:top w:w="0" w:type="dxa"/>
            <w:left w:w="0" w:type="dxa"/>
            <w:bottom w:w="0" w:type="dxa"/>
            <w:right w:w="0" w:type="dxa"/>
          </w:tblCellMar>
        </w:tblPrEx>
        <w:trPr>
          <w:wBefore w:w="0" w:type="auto"/>
          <w:tblCellSpacing w:w="0" w:type="dxa"/>
        </w:trPr>
        <w:tc>
          <w:tcPr>
            <w:tcW w:w="0" w:type="auto"/>
            <w:noWrap w:val="0"/>
            <w:vAlign w:val="center"/>
          </w:tcPr>
          <w:p w14:paraId="4B2E3E72">
            <w:r>
              <w:rPr>
                <w:rFonts w:hint="eastAsia"/>
              </w:rPr>
              <w:t xml:space="preserve">有效成分及其含量： </w:t>
            </w:r>
          </w:p>
          <w:p w14:paraId="5C71D7BE">
            <w:r>
              <w:rPr>
                <w:rFonts w:hint="eastAsia"/>
              </w:rPr>
              <w:t xml:space="preserve">    戊唑醇20%    吡唑醚菌酯10%    </w:t>
            </w:r>
          </w:p>
        </w:tc>
      </w:tr>
      <w:tr w14:paraId="25D055B0">
        <w:tblPrEx>
          <w:tblCellMar>
            <w:top w:w="0" w:type="dxa"/>
            <w:left w:w="0" w:type="dxa"/>
            <w:bottom w:w="0" w:type="dxa"/>
            <w:right w:w="0" w:type="dxa"/>
          </w:tblCellMar>
        </w:tblPrEx>
        <w:trPr>
          <w:wBefore w:w="0" w:type="auto"/>
          <w:tblCellSpacing w:w="0" w:type="dxa"/>
        </w:trPr>
        <w:tc>
          <w:tcPr>
            <w:tcW w:w="0" w:type="auto"/>
            <w:noWrap w:val="0"/>
            <w:vAlign w:val="center"/>
          </w:tcPr>
          <w:p w14:paraId="4B674FB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D4B1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14C2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DD5C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4A13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1470B6">
                  <w:r>
                    <w:rPr>
                      <w:rStyle w:val="11"/>
                      <w:rFonts w:hint="eastAsia"/>
                    </w:rPr>
                    <w:t>施用方式</w:t>
                  </w:r>
                </w:p>
              </w:tc>
            </w:tr>
            <w:tr w14:paraId="76F5AF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850D7F">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0FC836">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FE1AF1">
                  <w:r>
                    <w:rPr>
                      <w:rStyle w:val="11"/>
                      <w:rFonts w:hint="eastAsia"/>
                    </w:rPr>
                    <w:t>60-70毫升/亩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951264">
                  <w:r>
                    <w:rPr>
                      <w:rStyle w:val="11"/>
                      <w:rFonts w:hint="eastAsia"/>
                    </w:rPr>
                    <w:t>喷雾</w:t>
                  </w:r>
                </w:p>
              </w:tc>
            </w:tr>
          </w:tbl>
          <w:p w14:paraId="0E503201">
            <w:pPr>
              <w:rPr>
                <w:rFonts w:ascii="Times New Roman" w:hAnsi="Times New Roman" w:cs="Times New Roman"/>
                <w:sz w:val="20"/>
                <w:szCs w:val="20"/>
              </w:rPr>
            </w:pPr>
          </w:p>
        </w:tc>
      </w:tr>
      <w:tr w14:paraId="548F9396">
        <w:tblPrEx>
          <w:tblCellMar>
            <w:top w:w="0" w:type="dxa"/>
            <w:left w:w="0" w:type="dxa"/>
            <w:bottom w:w="0" w:type="dxa"/>
            <w:right w:w="0" w:type="dxa"/>
          </w:tblCellMar>
        </w:tblPrEx>
        <w:trPr>
          <w:wBefore w:w="0" w:type="auto"/>
          <w:tblCellSpacing w:w="0" w:type="dxa"/>
        </w:trPr>
        <w:tc>
          <w:tcPr>
            <w:tcW w:w="0" w:type="auto"/>
            <w:noWrap w:val="0"/>
            <w:vAlign w:val="center"/>
          </w:tcPr>
          <w:p w14:paraId="299B65CA">
            <w:r>
              <w:rPr>
                <w:rStyle w:val="10"/>
                <w:rFonts w:hint="eastAsia"/>
              </w:rPr>
              <w:t>使用技术要求:</w:t>
            </w:r>
            <w:r>
              <w:rPr>
                <w:rFonts w:hint="eastAsia"/>
              </w:rPr>
              <w:br w:type="textWrapping"/>
            </w:r>
            <w:r>
              <w:rPr>
                <w:rStyle w:val="11"/>
                <w:rFonts w:hint="eastAsia"/>
              </w:rPr>
              <w:t>1．建议在辣椒炭疽病发病前或发病初期施药，施药3次，间隔7-10天。 施药时注意喷雾均匀、周到，以确保防效。 2.大风天或预计1小时内降雨，请勿施药。 3.在辣椒上使用的安全间隔期为5天，每季最多使用3次。</w:t>
            </w:r>
          </w:p>
        </w:tc>
      </w:tr>
      <w:tr w14:paraId="2E2F317E">
        <w:tblPrEx>
          <w:tblCellMar>
            <w:top w:w="0" w:type="dxa"/>
            <w:left w:w="0" w:type="dxa"/>
            <w:bottom w:w="0" w:type="dxa"/>
            <w:right w:w="0" w:type="dxa"/>
          </w:tblCellMar>
        </w:tblPrEx>
        <w:trPr>
          <w:wBefore w:w="0" w:type="auto"/>
          <w:tblCellSpacing w:w="0" w:type="dxa"/>
        </w:trPr>
        <w:tc>
          <w:tcPr>
            <w:tcW w:w="0" w:type="auto"/>
            <w:noWrap w:val="0"/>
            <w:vAlign w:val="center"/>
          </w:tcPr>
          <w:p w14:paraId="1065B5D9">
            <w:r>
              <w:rPr>
                <w:rStyle w:val="10"/>
                <w:rFonts w:hint="eastAsia"/>
              </w:rPr>
              <w:t>产品性能:</w:t>
            </w:r>
            <w:r>
              <w:rPr>
                <w:rFonts w:hint="eastAsia"/>
              </w:rPr>
              <w:br w:type="textWrapping"/>
            </w:r>
            <w:r>
              <w:rPr>
                <w:rStyle w:val="11"/>
                <w:rFonts w:hint="eastAsia"/>
              </w:rPr>
              <w:t>本品为三唑类和甲氧基丙烯酸酯类的混配制剂，具有保护、治疗作用，对辣椒炭疽病有较好的防效。</w:t>
            </w:r>
          </w:p>
        </w:tc>
      </w:tr>
      <w:tr w14:paraId="76ACDEC2">
        <w:tblPrEx>
          <w:tblCellMar>
            <w:top w:w="0" w:type="dxa"/>
            <w:left w:w="0" w:type="dxa"/>
            <w:bottom w:w="0" w:type="dxa"/>
            <w:right w:w="0" w:type="dxa"/>
          </w:tblCellMar>
        </w:tblPrEx>
        <w:trPr>
          <w:wBefore w:w="0" w:type="auto"/>
          <w:tblCellSpacing w:w="0" w:type="dxa"/>
        </w:trPr>
        <w:tc>
          <w:tcPr>
            <w:tcW w:w="0" w:type="auto"/>
            <w:noWrap w:val="0"/>
            <w:vAlign w:val="center"/>
          </w:tcPr>
          <w:p w14:paraId="28686A86">
            <w:r>
              <w:rPr>
                <w:rStyle w:val="10"/>
                <w:rFonts w:hint="eastAsia"/>
              </w:rPr>
              <w:t>注意事项：</w:t>
            </w:r>
            <w:r>
              <w:rPr>
                <w:rFonts w:hint="eastAsia"/>
              </w:rPr>
              <w:br w:type="textWrapping"/>
            </w:r>
            <w:r>
              <w:rPr>
                <w:rStyle w:val="11"/>
                <w:rFonts w:hint="eastAsia"/>
              </w:rPr>
              <w:t>1.使用本品应采取相应的安全防护措施，穿防护服，戴防护手套、口罩等，避免皮肤接触及口鼻吸入。使用中不可吸烟、饮水及吃东西，使用后及时清洗手、脸等暴露部位皮肤并更换衣物。2.远离水产养殖区、河塘等水体施药，禁止在河塘等水体中清洗施药器具； 蚕室及桑园附近禁用；瓢虫等天敌放飞区域禁用； 鸟类保护区附近禁用。3.建议与其他作用机制不同的杀虫剂轮换使用，以延缓抗药性。4.用过的容器应妥善处理，不可做他用，也不可随意丢弃。5.避免孕妇及哺乳期妇女接触本品。</w:t>
            </w:r>
          </w:p>
        </w:tc>
      </w:tr>
      <w:tr w14:paraId="0EE90746">
        <w:tblPrEx>
          <w:tblCellMar>
            <w:top w:w="0" w:type="dxa"/>
            <w:left w:w="0" w:type="dxa"/>
            <w:bottom w:w="0" w:type="dxa"/>
            <w:right w:w="0" w:type="dxa"/>
          </w:tblCellMar>
        </w:tblPrEx>
        <w:trPr>
          <w:wBefore w:w="0" w:type="auto"/>
          <w:tblCellSpacing w:w="0" w:type="dxa"/>
        </w:trPr>
        <w:tc>
          <w:tcPr>
            <w:tcW w:w="0" w:type="auto"/>
            <w:noWrap w:val="0"/>
            <w:vAlign w:val="center"/>
          </w:tcPr>
          <w:p w14:paraId="601CC1CC">
            <w:r>
              <w:rPr>
                <w:rStyle w:val="10"/>
                <w:rFonts w:hint="eastAsia"/>
              </w:rPr>
              <w:t>中毒急救措施：</w:t>
            </w:r>
            <w:r>
              <w:rPr>
                <w:rFonts w:hint="eastAsia"/>
              </w:rPr>
              <w:br w:type="textWrapping"/>
            </w:r>
            <w:r>
              <w:rPr>
                <w:rStyle w:val="11"/>
                <w:rFonts w:hint="eastAsia"/>
              </w:rPr>
              <w:t>中毒症状：本品对眼睛有刺激作用。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到医院就诊。本品无特效解毒剂，可对症治疗。</w:t>
            </w:r>
          </w:p>
        </w:tc>
      </w:tr>
      <w:tr w14:paraId="0607D99F">
        <w:tblPrEx>
          <w:tblCellMar>
            <w:top w:w="0" w:type="dxa"/>
            <w:left w:w="0" w:type="dxa"/>
            <w:bottom w:w="0" w:type="dxa"/>
            <w:right w:w="0" w:type="dxa"/>
          </w:tblCellMar>
        </w:tblPrEx>
        <w:trPr>
          <w:wBefore w:w="0" w:type="auto"/>
          <w:tblCellSpacing w:w="0" w:type="dxa"/>
        </w:trPr>
        <w:tc>
          <w:tcPr>
            <w:tcW w:w="0" w:type="auto"/>
            <w:noWrap w:val="0"/>
            <w:vAlign w:val="center"/>
          </w:tcPr>
          <w:p w14:paraId="70AA5CED">
            <w:r>
              <w:rPr>
                <w:rStyle w:val="10"/>
                <w:rFonts w:hint="eastAsia"/>
              </w:rPr>
              <w:t>储存和运输方法：</w:t>
            </w:r>
            <w:r>
              <w:rPr>
                <w:rFonts w:hint="eastAsia"/>
              </w:rPr>
              <w:br w:type="textWrapping"/>
            </w:r>
            <w:r>
              <w:rPr>
                <w:rStyle w:val="11"/>
                <w:rFonts w:hint="eastAsia"/>
              </w:rPr>
              <w:t xml:space="preserve">本品应贮存在阴凉、干燥、通风、防雨处，远离火源或热源，置于儿童触及不到之处，并加锁；不能与食品、饮料、粮食、饲料等同贮同运。装卸运输时注意检查包装是否密封完整，轻拿轻放。 </w:t>
            </w:r>
          </w:p>
        </w:tc>
      </w:tr>
      <w:tr w14:paraId="0A0456BD">
        <w:tblPrEx>
          <w:tblCellMar>
            <w:top w:w="0" w:type="dxa"/>
            <w:left w:w="0" w:type="dxa"/>
            <w:bottom w:w="0" w:type="dxa"/>
            <w:right w:w="0" w:type="dxa"/>
          </w:tblCellMar>
        </w:tblPrEx>
        <w:trPr>
          <w:wBefore w:w="0" w:type="auto"/>
          <w:tblCellSpacing w:w="0" w:type="dxa"/>
        </w:trPr>
        <w:tc>
          <w:tcPr>
            <w:tcW w:w="0" w:type="auto"/>
            <w:noWrap w:val="0"/>
            <w:vAlign w:val="center"/>
          </w:tcPr>
          <w:p w14:paraId="681FB2A2">
            <w:r>
              <w:rPr>
                <w:rStyle w:val="10"/>
                <w:rFonts w:hint="eastAsia"/>
              </w:rPr>
              <w:t>质量保证期：</w:t>
            </w:r>
            <w:r>
              <w:rPr>
                <w:rStyle w:val="11"/>
                <w:rFonts w:hint="eastAsia"/>
              </w:rPr>
              <w:t>2年</w:t>
            </w:r>
          </w:p>
        </w:tc>
      </w:tr>
      <w:tr w14:paraId="5F5CC2C7">
        <w:tblPrEx>
          <w:tblCellMar>
            <w:top w:w="0" w:type="dxa"/>
            <w:left w:w="0" w:type="dxa"/>
            <w:bottom w:w="0" w:type="dxa"/>
            <w:right w:w="0" w:type="dxa"/>
          </w:tblCellMar>
        </w:tblPrEx>
        <w:trPr>
          <w:wBefore w:w="0" w:type="auto"/>
          <w:tblCellSpacing w:w="0" w:type="dxa"/>
        </w:trPr>
        <w:tc>
          <w:tcPr>
            <w:tcW w:w="0" w:type="auto"/>
            <w:noWrap w:val="0"/>
            <w:vAlign w:val="center"/>
          </w:tcPr>
          <w:p w14:paraId="2E19882B">
            <w:r>
              <w:rPr>
                <w:rStyle w:val="10"/>
                <w:rFonts w:hint="eastAsia"/>
              </w:rPr>
              <w:t>备注：</w:t>
            </w:r>
          </w:p>
        </w:tc>
      </w:tr>
    </w:tbl>
    <w:p w14:paraId="163FAF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227629">
        <w:tblPrEx>
          <w:tblCellMar>
            <w:top w:w="0" w:type="dxa"/>
            <w:left w:w="0" w:type="dxa"/>
            <w:bottom w:w="0" w:type="dxa"/>
            <w:right w:w="0" w:type="dxa"/>
          </w:tblCellMar>
        </w:tblPrEx>
        <w:trPr>
          <w:wBefore w:w="0" w:type="auto"/>
          <w:tblCellSpacing w:w="0" w:type="dxa"/>
        </w:trPr>
        <w:tc>
          <w:tcPr>
            <w:tcW w:w="0" w:type="auto"/>
            <w:noWrap w:val="0"/>
            <w:vAlign w:val="center"/>
          </w:tcPr>
          <w:p w14:paraId="55563667">
            <w:r>
              <w:rPr>
                <w:rStyle w:val="10"/>
                <w:rFonts w:hint="eastAsia"/>
              </w:rPr>
              <w:t>登记证号：</w:t>
            </w:r>
            <w:r>
              <w:rPr>
                <w:rFonts w:hint="eastAsia"/>
              </w:rPr>
              <w:t>PD20212434</w:t>
            </w:r>
          </w:p>
        </w:tc>
      </w:tr>
      <w:tr w14:paraId="7FD5A00C">
        <w:tblPrEx>
          <w:tblCellMar>
            <w:top w:w="0" w:type="dxa"/>
            <w:left w:w="0" w:type="dxa"/>
            <w:bottom w:w="0" w:type="dxa"/>
            <w:right w:w="0" w:type="dxa"/>
          </w:tblCellMar>
        </w:tblPrEx>
        <w:trPr>
          <w:wBefore w:w="0" w:type="auto"/>
          <w:tblCellSpacing w:w="0" w:type="dxa"/>
        </w:trPr>
        <w:tc>
          <w:tcPr>
            <w:tcW w:w="0" w:type="auto"/>
            <w:noWrap w:val="0"/>
            <w:vAlign w:val="center"/>
          </w:tcPr>
          <w:p w14:paraId="467DE4E8">
            <w:r>
              <w:rPr>
                <w:rStyle w:val="10"/>
                <w:rFonts w:hint="eastAsia"/>
              </w:rPr>
              <w:t>登记证持有人：</w:t>
            </w:r>
            <w:r>
              <w:rPr>
                <w:rFonts w:hint="eastAsia"/>
              </w:rPr>
              <w:t>江苏好收成韦恩农化股份有限公司</w:t>
            </w:r>
          </w:p>
        </w:tc>
      </w:tr>
      <w:tr w14:paraId="4BB92F28">
        <w:tblPrEx>
          <w:tblCellMar>
            <w:top w:w="0" w:type="dxa"/>
            <w:left w:w="0" w:type="dxa"/>
            <w:bottom w:w="0" w:type="dxa"/>
            <w:right w:w="0" w:type="dxa"/>
          </w:tblCellMar>
        </w:tblPrEx>
        <w:trPr>
          <w:wBefore w:w="0" w:type="auto"/>
          <w:tblCellSpacing w:w="0" w:type="dxa"/>
        </w:trPr>
        <w:tc>
          <w:tcPr>
            <w:tcW w:w="0" w:type="auto"/>
            <w:noWrap w:val="0"/>
            <w:vAlign w:val="center"/>
          </w:tcPr>
          <w:p w14:paraId="7F060354">
            <w:r>
              <w:rPr>
                <w:rStyle w:val="10"/>
                <w:rFonts w:hint="eastAsia"/>
              </w:rPr>
              <w:t>农药名称：</w:t>
            </w:r>
            <w:r>
              <w:rPr>
                <w:rFonts w:hint="eastAsia"/>
              </w:rPr>
              <w:t>呋虫胺</w:t>
            </w:r>
          </w:p>
        </w:tc>
      </w:tr>
      <w:tr w14:paraId="41A30E00">
        <w:tblPrEx>
          <w:tblCellMar>
            <w:top w:w="0" w:type="dxa"/>
            <w:left w:w="0" w:type="dxa"/>
            <w:bottom w:w="0" w:type="dxa"/>
            <w:right w:w="0" w:type="dxa"/>
          </w:tblCellMar>
        </w:tblPrEx>
        <w:trPr>
          <w:wBefore w:w="0" w:type="auto"/>
          <w:tblCellSpacing w:w="0" w:type="dxa"/>
        </w:trPr>
        <w:tc>
          <w:tcPr>
            <w:tcW w:w="0" w:type="auto"/>
            <w:noWrap w:val="0"/>
            <w:vAlign w:val="center"/>
          </w:tcPr>
          <w:p w14:paraId="4A748536">
            <w:r>
              <w:rPr>
                <w:rStyle w:val="10"/>
                <w:rFonts w:hint="eastAsia"/>
              </w:rPr>
              <w:t>剂型：</w:t>
            </w:r>
            <w:r>
              <w:rPr>
                <w:rFonts w:hint="eastAsia"/>
              </w:rPr>
              <w:t>水分散粒剂</w:t>
            </w:r>
          </w:p>
        </w:tc>
      </w:tr>
      <w:tr w14:paraId="6EE78488">
        <w:tblPrEx>
          <w:tblCellMar>
            <w:top w:w="0" w:type="dxa"/>
            <w:left w:w="0" w:type="dxa"/>
            <w:bottom w:w="0" w:type="dxa"/>
            <w:right w:w="0" w:type="dxa"/>
          </w:tblCellMar>
        </w:tblPrEx>
        <w:trPr>
          <w:wBefore w:w="0" w:type="auto"/>
          <w:tblCellSpacing w:w="0" w:type="dxa"/>
        </w:trPr>
        <w:tc>
          <w:tcPr>
            <w:tcW w:w="0" w:type="auto"/>
            <w:noWrap w:val="0"/>
            <w:vAlign w:val="center"/>
          </w:tcPr>
          <w:p w14:paraId="47A5CE5A">
            <w:r>
              <w:rPr>
                <w:rStyle w:val="10"/>
                <w:rFonts w:hint="eastAsia"/>
              </w:rPr>
              <w:t>毒性及其标识：</w:t>
            </w:r>
            <w:r>
              <w:rPr>
                <w:rFonts w:hint="eastAsia"/>
              </w:rPr>
              <w:t xml:space="preserve"> </w:t>
            </w:r>
            <w:r>
              <w:rPr>
                <w:lang/>
              </w:rPr>
              <w:drawing>
                <wp:inline distT="0" distB="0" distL="114300" distR="114300">
                  <wp:extent cx="476250" cy="323850"/>
                  <wp:effectExtent l="0" t="0" r="0" b="0"/>
                  <wp:docPr id="47" name="图片 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E22850">
        <w:tblPrEx>
          <w:tblCellMar>
            <w:top w:w="0" w:type="dxa"/>
            <w:left w:w="0" w:type="dxa"/>
            <w:bottom w:w="0" w:type="dxa"/>
            <w:right w:w="0" w:type="dxa"/>
          </w:tblCellMar>
        </w:tblPrEx>
        <w:trPr>
          <w:wBefore w:w="0" w:type="auto"/>
          <w:tblCellSpacing w:w="0" w:type="dxa"/>
        </w:trPr>
        <w:tc>
          <w:tcPr>
            <w:tcW w:w="0" w:type="auto"/>
            <w:noWrap w:val="0"/>
            <w:vAlign w:val="center"/>
          </w:tcPr>
          <w:p w14:paraId="10189988">
            <w:r>
              <w:rPr>
                <w:rStyle w:val="10"/>
                <w:rFonts w:hint="eastAsia"/>
              </w:rPr>
              <w:t>总有效成分含量：</w:t>
            </w:r>
            <w:r>
              <w:rPr>
                <w:rFonts w:hint="eastAsia"/>
              </w:rPr>
              <w:t>20%</w:t>
            </w:r>
          </w:p>
        </w:tc>
      </w:tr>
      <w:tr w14:paraId="62EF4A38">
        <w:tblPrEx>
          <w:tblCellMar>
            <w:top w:w="0" w:type="dxa"/>
            <w:left w:w="0" w:type="dxa"/>
            <w:bottom w:w="0" w:type="dxa"/>
            <w:right w:w="0" w:type="dxa"/>
          </w:tblCellMar>
        </w:tblPrEx>
        <w:trPr>
          <w:wBefore w:w="0" w:type="auto"/>
          <w:tblCellSpacing w:w="0" w:type="dxa"/>
        </w:trPr>
        <w:tc>
          <w:tcPr>
            <w:tcW w:w="0" w:type="auto"/>
            <w:noWrap w:val="0"/>
            <w:vAlign w:val="center"/>
          </w:tcPr>
          <w:p w14:paraId="0556BCA0">
            <w:r>
              <w:rPr>
                <w:rFonts w:hint="eastAsia"/>
              </w:rPr>
              <w:t xml:space="preserve">有效成分及其含量： </w:t>
            </w:r>
          </w:p>
          <w:p w14:paraId="00930A6F">
            <w:r>
              <w:rPr>
                <w:rFonts w:hint="eastAsia"/>
              </w:rPr>
              <w:t xml:space="preserve">    呋虫胺20%    </w:t>
            </w:r>
          </w:p>
        </w:tc>
      </w:tr>
      <w:tr w14:paraId="6644FC44">
        <w:tblPrEx>
          <w:tblCellMar>
            <w:top w:w="0" w:type="dxa"/>
            <w:left w:w="0" w:type="dxa"/>
            <w:bottom w:w="0" w:type="dxa"/>
            <w:right w:w="0" w:type="dxa"/>
          </w:tblCellMar>
        </w:tblPrEx>
        <w:trPr>
          <w:wBefore w:w="0" w:type="auto"/>
          <w:tblCellSpacing w:w="0" w:type="dxa"/>
        </w:trPr>
        <w:tc>
          <w:tcPr>
            <w:tcW w:w="0" w:type="auto"/>
            <w:noWrap w:val="0"/>
            <w:vAlign w:val="center"/>
          </w:tcPr>
          <w:p w14:paraId="652DDB2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2CD5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A4DA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212E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C57B8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743995">
                  <w:r>
                    <w:rPr>
                      <w:rStyle w:val="11"/>
                      <w:rFonts w:hint="eastAsia"/>
                    </w:rPr>
                    <w:t>施用方式</w:t>
                  </w:r>
                </w:p>
              </w:tc>
            </w:tr>
            <w:tr w14:paraId="3F2C5B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2583F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9CC052">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109EA0">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47738F">
                  <w:r>
                    <w:rPr>
                      <w:rStyle w:val="11"/>
                      <w:rFonts w:hint="eastAsia"/>
                    </w:rPr>
                    <w:t>喷雾</w:t>
                  </w:r>
                </w:p>
              </w:tc>
            </w:tr>
          </w:tbl>
          <w:p w14:paraId="7B7B7A9E">
            <w:pPr>
              <w:rPr>
                <w:rFonts w:ascii="Times New Roman" w:hAnsi="Times New Roman" w:cs="Times New Roman"/>
                <w:sz w:val="20"/>
                <w:szCs w:val="20"/>
              </w:rPr>
            </w:pPr>
          </w:p>
        </w:tc>
      </w:tr>
      <w:tr w14:paraId="6041DD8B">
        <w:tblPrEx>
          <w:tblCellMar>
            <w:top w:w="0" w:type="dxa"/>
            <w:left w:w="0" w:type="dxa"/>
            <w:bottom w:w="0" w:type="dxa"/>
            <w:right w:w="0" w:type="dxa"/>
          </w:tblCellMar>
        </w:tblPrEx>
        <w:trPr>
          <w:wBefore w:w="0" w:type="auto"/>
          <w:tblCellSpacing w:w="0" w:type="dxa"/>
        </w:trPr>
        <w:tc>
          <w:tcPr>
            <w:tcW w:w="0" w:type="auto"/>
            <w:noWrap w:val="0"/>
            <w:vAlign w:val="center"/>
          </w:tcPr>
          <w:p w14:paraId="28FA6F71">
            <w:r>
              <w:rPr>
                <w:rStyle w:val="10"/>
                <w:rFonts w:hint="eastAsia"/>
              </w:rPr>
              <w:t>使用技术要求:</w:t>
            </w:r>
            <w:r>
              <w:rPr>
                <w:rFonts w:hint="eastAsia"/>
              </w:rPr>
              <w:br w:type="textWrapping"/>
            </w:r>
            <w:r>
              <w:rPr>
                <w:rStyle w:val="11"/>
                <w:rFonts w:hint="eastAsia"/>
              </w:rPr>
              <w:t>1. 于水稻稻飞虱卵孵高峰期至低龄若虫发生始盛期施药。 2.大风天或预计1小时内有降雨，请勿使用。3.在水稻上每季施药1次，安全间隔期21天。</w:t>
            </w:r>
          </w:p>
        </w:tc>
      </w:tr>
      <w:tr w14:paraId="63AC313C">
        <w:tblPrEx>
          <w:tblCellMar>
            <w:top w:w="0" w:type="dxa"/>
            <w:left w:w="0" w:type="dxa"/>
            <w:bottom w:w="0" w:type="dxa"/>
            <w:right w:w="0" w:type="dxa"/>
          </w:tblCellMar>
        </w:tblPrEx>
        <w:trPr>
          <w:wBefore w:w="0" w:type="auto"/>
          <w:tblCellSpacing w:w="0" w:type="dxa"/>
        </w:trPr>
        <w:tc>
          <w:tcPr>
            <w:tcW w:w="0" w:type="auto"/>
            <w:noWrap w:val="0"/>
            <w:vAlign w:val="center"/>
          </w:tcPr>
          <w:p w14:paraId="236BBCBC">
            <w:r>
              <w:rPr>
                <w:rStyle w:val="10"/>
                <w:rFonts w:hint="eastAsia"/>
              </w:rPr>
              <w:t>产品性能:</w:t>
            </w:r>
            <w:r>
              <w:rPr>
                <w:rFonts w:hint="eastAsia"/>
              </w:rPr>
              <w:br w:type="textWrapping"/>
            </w:r>
            <w:r>
              <w:rPr>
                <w:rStyle w:val="11"/>
                <w:rFonts w:hint="eastAsia"/>
              </w:rPr>
              <w:t>呋虫胺是通过作用于昆虫神经传递系统，具有触杀、胃毒作用的烟碱类杀虫剂，可以快速被植物吸收并广泛分布于植物体内。可用于防治水稻飞虱。</w:t>
            </w:r>
          </w:p>
        </w:tc>
      </w:tr>
      <w:tr w14:paraId="20907B1B">
        <w:tblPrEx>
          <w:tblCellMar>
            <w:top w:w="0" w:type="dxa"/>
            <w:left w:w="0" w:type="dxa"/>
            <w:bottom w:w="0" w:type="dxa"/>
            <w:right w:w="0" w:type="dxa"/>
          </w:tblCellMar>
        </w:tblPrEx>
        <w:trPr>
          <w:wBefore w:w="0" w:type="auto"/>
          <w:tblCellSpacing w:w="0" w:type="dxa"/>
        </w:trPr>
        <w:tc>
          <w:tcPr>
            <w:tcW w:w="0" w:type="auto"/>
            <w:noWrap w:val="0"/>
            <w:vAlign w:val="center"/>
          </w:tcPr>
          <w:p w14:paraId="498FC536">
            <w:r>
              <w:rPr>
                <w:rStyle w:val="10"/>
                <w:rFonts w:hint="eastAsia"/>
              </w:rPr>
              <w:t>注意事项：</w:t>
            </w:r>
            <w:r>
              <w:rPr>
                <w:rFonts w:hint="eastAsia"/>
              </w:rPr>
              <w:br w:type="textWrapping"/>
            </w:r>
            <w:r>
              <w:rPr>
                <w:rStyle w:val="11"/>
                <w:rFonts w:hint="eastAsia"/>
              </w:rPr>
              <w:t>1.使用本品应采取相应的安全防护措施，穿戴口罩、护目镜、长衣、长裤、手套、鞋，避免皮肤、眼睛接触及口鼻吸入。使用中不可吸烟、饮水及吃东西，使用后及时用大量清水和肥皂清洗手、脸等暴露部位皮肤并更换衣物。 2.水产养殖区、河塘等水体附近禁用，禁止在河塘等水域清洗施药器具；</w:t>
            </w:r>
            <w:r>
              <w:rPr>
                <w:rStyle w:val="11"/>
                <w:rFonts w:hint="eastAsia"/>
              </w:rPr>
              <w:t> </w:t>
            </w:r>
            <w:r>
              <w:rPr>
                <w:rStyle w:val="11"/>
                <w:rFonts w:hint="eastAsia"/>
              </w:rPr>
              <w:t>鱼或虾蟹套养稻田禁用，施药后的田水不得直接排入水体。</w:t>
            </w:r>
            <w:r>
              <w:rPr>
                <w:rStyle w:val="11"/>
                <w:rFonts w:hint="eastAsia"/>
              </w:rPr>
              <w:t> </w:t>
            </w:r>
            <w:r>
              <w:rPr>
                <w:rStyle w:val="11"/>
                <w:rFonts w:hint="eastAsia"/>
              </w:rPr>
              <w:t>3.（周围）开花植物花期禁用，施药期间应密切关注对附近蜂群的影响；桑园及蚕室附近禁用；.赤眼蜂等天敌放飞区域禁用。4.用过的容器应妥善处理，不可做他用，也不可随意丢弃。5.禁止孕妇和哺乳期妇女接触本品。过敏者禁用，使用中有任何不良反应请及时就医。</w:t>
            </w:r>
          </w:p>
        </w:tc>
      </w:tr>
      <w:tr w14:paraId="74C9B1FA">
        <w:tblPrEx>
          <w:tblCellMar>
            <w:top w:w="0" w:type="dxa"/>
            <w:left w:w="0" w:type="dxa"/>
            <w:bottom w:w="0" w:type="dxa"/>
            <w:right w:w="0" w:type="dxa"/>
          </w:tblCellMar>
        </w:tblPrEx>
        <w:trPr>
          <w:wBefore w:w="0" w:type="auto"/>
          <w:tblCellSpacing w:w="0" w:type="dxa"/>
        </w:trPr>
        <w:tc>
          <w:tcPr>
            <w:tcW w:w="0" w:type="auto"/>
            <w:noWrap w:val="0"/>
            <w:vAlign w:val="center"/>
          </w:tcPr>
          <w:p w14:paraId="133A880D">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皮肤接触：立即脱去被污染的衣物，用肥皂和大量清水冲洗皮肤暴露部位，如皮肤刺激感持续，请医生诊治。 眼睛溅入：立即翻开眼睑，用清水冲洗至少15分钟，再请医生诊治。 吸入：立即离开施药现场，将吸入者转移到空气清新处。 误食：立即停止服用，用清水充分漱口后，立即携带农药标签到医院就诊。 </w:t>
            </w:r>
          </w:p>
        </w:tc>
      </w:tr>
      <w:tr w14:paraId="66D2FE4B">
        <w:tblPrEx>
          <w:tblCellMar>
            <w:top w:w="0" w:type="dxa"/>
            <w:left w:w="0" w:type="dxa"/>
            <w:bottom w:w="0" w:type="dxa"/>
            <w:right w:w="0" w:type="dxa"/>
          </w:tblCellMar>
        </w:tblPrEx>
        <w:trPr>
          <w:wBefore w:w="0" w:type="auto"/>
          <w:tblCellSpacing w:w="0" w:type="dxa"/>
        </w:trPr>
        <w:tc>
          <w:tcPr>
            <w:tcW w:w="0" w:type="auto"/>
            <w:noWrap w:val="0"/>
            <w:vAlign w:val="center"/>
          </w:tcPr>
          <w:p w14:paraId="601F6BF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本品应贮存在干燥、阴凉、通风、防雨处，远离火源或热源。置于儿童、无关人员及动物接触不到的地方，并加锁。勿与食品、种子、粮食、饲料等同贮同运。</w:t>
            </w:r>
          </w:p>
        </w:tc>
      </w:tr>
      <w:tr w14:paraId="46C49C7B">
        <w:tblPrEx>
          <w:tblCellMar>
            <w:top w:w="0" w:type="dxa"/>
            <w:left w:w="0" w:type="dxa"/>
            <w:bottom w:w="0" w:type="dxa"/>
            <w:right w:w="0" w:type="dxa"/>
          </w:tblCellMar>
        </w:tblPrEx>
        <w:trPr>
          <w:wBefore w:w="0" w:type="auto"/>
          <w:tblCellSpacing w:w="0" w:type="dxa"/>
        </w:trPr>
        <w:tc>
          <w:tcPr>
            <w:tcW w:w="0" w:type="auto"/>
            <w:noWrap w:val="0"/>
            <w:vAlign w:val="center"/>
          </w:tcPr>
          <w:p w14:paraId="65114B1A">
            <w:r>
              <w:rPr>
                <w:rStyle w:val="10"/>
                <w:rFonts w:hint="eastAsia"/>
              </w:rPr>
              <w:t>质量保证期：</w:t>
            </w:r>
            <w:r>
              <w:rPr>
                <w:rStyle w:val="11"/>
                <w:rFonts w:hint="eastAsia"/>
              </w:rPr>
              <w:t>2年</w:t>
            </w:r>
          </w:p>
        </w:tc>
      </w:tr>
      <w:tr w14:paraId="607B72C4">
        <w:tblPrEx>
          <w:tblCellMar>
            <w:top w:w="0" w:type="dxa"/>
            <w:left w:w="0" w:type="dxa"/>
            <w:bottom w:w="0" w:type="dxa"/>
            <w:right w:w="0" w:type="dxa"/>
          </w:tblCellMar>
        </w:tblPrEx>
        <w:trPr>
          <w:wBefore w:w="0" w:type="auto"/>
          <w:tblCellSpacing w:w="0" w:type="dxa"/>
        </w:trPr>
        <w:tc>
          <w:tcPr>
            <w:tcW w:w="0" w:type="auto"/>
            <w:noWrap w:val="0"/>
            <w:vAlign w:val="center"/>
          </w:tcPr>
          <w:p w14:paraId="058A4EC7">
            <w:r>
              <w:rPr>
                <w:rStyle w:val="10"/>
                <w:rFonts w:hint="eastAsia"/>
              </w:rPr>
              <w:t>备注：</w:t>
            </w:r>
          </w:p>
        </w:tc>
      </w:tr>
    </w:tbl>
    <w:p w14:paraId="2029E6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10088A">
        <w:tblPrEx>
          <w:tblCellMar>
            <w:top w:w="0" w:type="dxa"/>
            <w:left w:w="0" w:type="dxa"/>
            <w:bottom w:w="0" w:type="dxa"/>
            <w:right w:w="0" w:type="dxa"/>
          </w:tblCellMar>
        </w:tblPrEx>
        <w:trPr>
          <w:wBefore w:w="0" w:type="auto"/>
          <w:tblCellSpacing w:w="0" w:type="dxa"/>
        </w:trPr>
        <w:tc>
          <w:tcPr>
            <w:tcW w:w="0" w:type="auto"/>
            <w:noWrap w:val="0"/>
            <w:vAlign w:val="center"/>
          </w:tcPr>
          <w:p w14:paraId="39592929">
            <w:r>
              <w:rPr>
                <w:rStyle w:val="10"/>
                <w:rFonts w:hint="eastAsia"/>
              </w:rPr>
              <w:t>登记证号：</w:t>
            </w:r>
            <w:r>
              <w:rPr>
                <w:rFonts w:hint="eastAsia"/>
              </w:rPr>
              <w:t>PD20212461</w:t>
            </w:r>
          </w:p>
        </w:tc>
      </w:tr>
      <w:tr w14:paraId="707A5BD6">
        <w:tblPrEx>
          <w:tblCellMar>
            <w:top w:w="0" w:type="dxa"/>
            <w:left w:w="0" w:type="dxa"/>
            <w:bottom w:w="0" w:type="dxa"/>
            <w:right w:w="0" w:type="dxa"/>
          </w:tblCellMar>
        </w:tblPrEx>
        <w:trPr>
          <w:wBefore w:w="0" w:type="auto"/>
          <w:tblCellSpacing w:w="0" w:type="dxa"/>
        </w:trPr>
        <w:tc>
          <w:tcPr>
            <w:tcW w:w="0" w:type="auto"/>
            <w:noWrap w:val="0"/>
            <w:vAlign w:val="center"/>
          </w:tcPr>
          <w:p w14:paraId="08416C33">
            <w:r>
              <w:rPr>
                <w:rStyle w:val="10"/>
                <w:rFonts w:hint="eastAsia"/>
              </w:rPr>
              <w:t>登记证持有人：</w:t>
            </w:r>
            <w:r>
              <w:rPr>
                <w:rFonts w:hint="eastAsia"/>
              </w:rPr>
              <w:t>青岛润农化工有限公司</w:t>
            </w:r>
          </w:p>
        </w:tc>
      </w:tr>
      <w:tr w14:paraId="2F1D4BA7">
        <w:tblPrEx>
          <w:tblCellMar>
            <w:top w:w="0" w:type="dxa"/>
            <w:left w:w="0" w:type="dxa"/>
            <w:bottom w:w="0" w:type="dxa"/>
            <w:right w:w="0" w:type="dxa"/>
          </w:tblCellMar>
        </w:tblPrEx>
        <w:trPr>
          <w:wBefore w:w="0" w:type="auto"/>
          <w:tblCellSpacing w:w="0" w:type="dxa"/>
        </w:trPr>
        <w:tc>
          <w:tcPr>
            <w:tcW w:w="0" w:type="auto"/>
            <w:noWrap w:val="0"/>
            <w:vAlign w:val="center"/>
          </w:tcPr>
          <w:p w14:paraId="19E405DE">
            <w:r>
              <w:rPr>
                <w:rStyle w:val="10"/>
                <w:rFonts w:hint="eastAsia"/>
              </w:rPr>
              <w:t>农药名称：</w:t>
            </w:r>
            <w:r>
              <w:rPr>
                <w:rFonts w:hint="eastAsia"/>
              </w:rPr>
              <w:t>苯醚·咯·噻虫</w:t>
            </w:r>
          </w:p>
        </w:tc>
      </w:tr>
      <w:tr w14:paraId="17A22310">
        <w:tblPrEx>
          <w:tblCellMar>
            <w:top w:w="0" w:type="dxa"/>
            <w:left w:w="0" w:type="dxa"/>
            <w:bottom w:w="0" w:type="dxa"/>
            <w:right w:w="0" w:type="dxa"/>
          </w:tblCellMar>
        </w:tblPrEx>
        <w:trPr>
          <w:wBefore w:w="0" w:type="auto"/>
          <w:tblCellSpacing w:w="0" w:type="dxa"/>
        </w:trPr>
        <w:tc>
          <w:tcPr>
            <w:tcW w:w="0" w:type="auto"/>
            <w:noWrap w:val="0"/>
            <w:vAlign w:val="center"/>
          </w:tcPr>
          <w:p w14:paraId="186DD648">
            <w:r>
              <w:rPr>
                <w:rStyle w:val="10"/>
                <w:rFonts w:hint="eastAsia"/>
              </w:rPr>
              <w:t>剂型：</w:t>
            </w:r>
            <w:r>
              <w:rPr>
                <w:rFonts w:hint="eastAsia"/>
              </w:rPr>
              <w:t>种子处理悬浮剂</w:t>
            </w:r>
          </w:p>
        </w:tc>
      </w:tr>
      <w:tr w14:paraId="58717CC8">
        <w:tblPrEx>
          <w:tblCellMar>
            <w:top w:w="0" w:type="dxa"/>
            <w:left w:w="0" w:type="dxa"/>
            <w:bottom w:w="0" w:type="dxa"/>
            <w:right w:w="0" w:type="dxa"/>
          </w:tblCellMar>
        </w:tblPrEx>
        <w:trPr>
          <w:wBefore w:w="0" w:type="auto"/>
          <w:tblCellSpacing w:w="0" w:type="dxa"/>
        </w:trPr>
        <w:tc>
          <w:tcPr>
            <w:tcW w:w="0" w:type="auto"/>
            <w:noWrap w:val="0"/>
            <w:vAlign w:val="center"/>
          </w:tcPr>
          <w:p w14:paraId="6EA7AA5C">
            <w:r>
              <w:rPr>
                <w:rStyle w:val="10"/>
                <w:rFonts w:hint="eastAsia"/>
              </w:rPr>
              <w:t>毒性及其标识：</w:t>
            </w:r>
            <w:r>
              <w:rPr>
                <w:rFonts w:hint="eastAsia"/>
              </w:rPr>
              <w:t xml:space="preserve"> 微毒 </w:t>
            </w:r>
          </w:p>
        </w:tc>
      </w:tr>
      <w:tr w14:paraId="42465298">
        <w:tblPrEx>
          <w:tblCellMar>
            <w:top w:w="0" w:type="dxa"/>
            <w:left w:w="0" w:type="dxa"/>
            <w:bottom w:w="0" w:type="dxa"/>
            <w:right w:w="0" w:type="dxa"/>
          </w:tblCellMar>
        </w:tblPrEx>
        <w:trPr>
          <w:wBefore w:w="0" w:type="auto"/>
          <w:tblCellSpacing w:w="0" w:type="dxa"/>
        </w:trPr>
        <w:tc>
          <w:tcPr>
            <w:tcW w:w="0" w:type="auto"/>
            <w:noWrap w:val="0"/>
            <w:vAlign w:val="center"/>
          </w:tcPr>
          <w:p w14:paraId="13F83FB2">
            <w:r>
              <w:rPr>
                <w:rStyle w:val="10"/>
                <w:rFonts w:hint="eastAsia"/>
              </w:rPr>
              <w:t>总有效成分含量：</w:t>
            </w:r>
            <w:r>
              <w:rPr>
                <w:rFonts w:hint="eastAsia"/>
              </w:rPr>
              <w:t>27%</w:t>
            </w:r>
          </w:p>
        </w:tc>
      </w:tr>
      <w:tr w14:paraId="4436CEE4">
        <w:tblPrEx>
          <w:tblCellMar>
            <w:top w:w="0" w:type="dxa"/>
            <w:left w:w="0" w:type="dxa"/>
            <w:bottom w:w="0" w:type="dxa"/>
            <w:right w:w="0" w:type="dxa"/>
          </w:tblCellMar>
        </w:tblPrEx>
        <w:trPr>
          <w:wBefore w:w="0" w:type="auto"/>
          <w:tblCellSpacing w:w="0" w:type="dxa"/>
        </w:trPr>
        <w:tc>
          <w:tcPr>
            <w:tcW w:w="0" w:type="auto"/>
            <w:noWrap w:val="0"/>
            <w:vAlign w:val="center"/>
          </w:tcPr>
          <w:p w14:paraId="692375B9">
            <w:r>
              <w:rPr>
                <w:rFonts w:hint="eastAsia"/>
              </w:rPr>
              <w:t xml:space="preserve">有效成分及其含量： </w:t>
            </w:r>
          </w:p>
          <w:p w14:paraId="4C5DFC3D">
            <w:r>
              <w:rPr>
                <w:rFonts w:hint="eastAsia"/>
              </w:rPr>
              <w:t xml:space="preserve">    噻虫嗪22.6%    咯菌腈2.2%    苯醚甲环唑2.2%    </w:t>
            </w:r>
          </w:p>
        </w:tc>
      </w:tr>
      <w:tr w14:paraId="30755B10">
        <w:tblPrEx>
          <w:tblCellMar>
            <w:top w:w="0" w:type="dxa"/>
            <w:left w:w="0" w:type="dxa"/>
            <w:bottom w:w="0" w:type="dxa"/>
            <w:right w:w="0" w:type="dxa"/>
          </w:tblCellMar>
        </w:tblPrEx>
        <w:trPr>
          <w:wBefore w:w="0" w:type="auto"/>
          <w:tblCellSpacing w:w="0" w:type="dxa"/>
        </w:trPr>
        <w:tc>
          <w:tcPr>
            <w:tcW w:w="0" w:type="auto"/>
            <w:noWrap w:val="0"/>
            <w:vAlign w:val="center"/>
          </w:tcPr>
          <w:p w14:paraId="2780D0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3B5F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3178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6E4F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25DBE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17D00D">
                  <w:r>
                    <w:rPr>
                      <w:rStyle w:val="11"/>
                      <w:rFonts w:hint="eastAsia"/>
                    </w:rPr>
                    <w:t>施用方式</w:t>
                  </w:r>
                </w:p>
              </w:tc>
            </w:tr>
            <w:tr w14:paraId="396705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75F4E3">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25F8BD">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306B9B">
                  <w:r>
                    <w:rPr>
                      <w:rStyle w:val="11"/>
                      <w:rFonts w:hint="eastAsia"/>
                    </w:rPr>
                    <w:t>70-100毫升/100千克种薯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D24698">
                  <w:r>
                    <w:rPr>
                      <w:rStyle w:val="11"/>
                      <w:rFonts w:hint="eastAsia"/>
                    </w:rPr>
                    <w:t>种薯包衣</w:t>
                  </w:r>
                </w:p>
              </w:tc>
            </w:tr>
            <w:tr w14:paraId="2A6F0B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815433">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77A788">
                  <w:r>
                    <w:rPr>
                      <w:rStyle w:val="11"/>
                      <w:rFonts w:hint="eastAsia"/>
                    </w:rPr>
                    <w:t>黑痣病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901AEB">
                  <w:r>
                    <w:rPr>
                      <w:rStyle w:val="11"/>
                      <w:rFonts w:hint="eastAsia"/>
                    </w:rPr>
                    <w:t>70-100毫升/100千克种薯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9DE3A4">
                  <w:r>
                    <w:rPr>
                      <w:rStyle w:val="11"/>
                      <w:rFonts w:hint="eastAsia"/>
                    </w:rPr>
                    <w:t>种薯包衣</w:t>
                  </w:r>
                </w:p>
              </w:tc>
            </w:tr>
          </w:tbl>
          <w:p w14:paraId="08FFF22C">
            <w:pPr>
              <w:rPr>
                <w:rFonts w:ascii="Times New Roman" w:hAnsi="Times New Roman" w:cs="Times New Roman"/>
                <w:sz w:val="20"/>
                <w:szCs w:val="20"/>
              </w:rPr>
            </w:pPr>
          </w:p>
        </w:tc>
      </w:tr>
      <w:tr w14:paraId="61AD09D7">
        <w:tblPrEx>
          <w:tblCellMar>
            <w:top w:w="0" w:type="dxa"/>
            <w:left w:w="0" w:type="dxa"/>
            <w:bottom w:w="0" w:type="dxa"/>
            <w:right w:w="0" w:type="dxa"/>
          </w:tblCellMar>
        </w:tblPrEx>
        <w:trPr>
          <w:wBefore w:w="0" w:type="auto"/>
          <w:tblCellSpacing w:w="0" w:type="dxa"/>
        </w:trPr>
        <w:tc>
          <w:tcPr>
            <w:tcW w:w="0" w:type="auto"/>
            <w:noWrap w:val="0"/>
            <w:vAlign w:val="center"/>
          </w:tcPr>
          <w:p w14:paraId="5A262268">
            <w:r>
              <w:rPr>
                <w:rStyle w:val="10"/>
                <w:rFonts w:hint="eastAsia"/>
              </w:rPr>
              <w:t>使用技术要求:</w:t>
            </w:r>
            <w:r>
              <w:rPr>
                <w:rFonts w:hint="eastAsia"/>
              </w:rPr>
              <w:br w:type="textWrapping"/>
            </w:r>
            <w:r>
              <w:rPr>
                <w:rStyle w:val="11"/>
                <w:rFonts w:hint="eastAsia"/>
              </w:rPr>
              <w:t xml:space="preserve">用于马铃薯防治蚜虫和黑痣病，制剂用药量为70-100毫升/100千克种薯，使用方法为种薯包衣。种薯包衣时按推荐制剂用药量加清水混匀，倒入种子（种薯）上充分翻拌，待种子（种薯）均匀着药后，倒出摊开置于通风处阴干。 </w:t>
            </w:r>
          </w:p>
        </w:tc>
      </w:tr>
      <w:tr w14:paraId="2EEEC6A6">
        <w:tblPrEx>
          <w:tblCellMar>
            <w:top w:w="0" w:type="dxa"/>
            <w:left w:w="0" w:type="dxa"/>
            <w:bottom w:w="0" w:type="dxa"/>
            <w:right w:w="0" w:type="dxa"/>
          </w:tblCellMar>
        </w:tblPrEx>
        <w:trPr>
          <w:wBefore w:w="0" w:type="auto"/>
          <w:tblCellSpacing w:w="0" w:type="dxa"/>
        </w:trPr>
        <w:tc>
          <w:tcPr>
            <w:tcW w:w="0" w:type="auto"/>
            <w:noWrap w:val="0"/>
            <w:vAlign w:val="center"/>
          </w:tcPr>
          <w:p w14:paraId="44E6569D">
            <w:r>
              <w:rPr>
                <w:rStyle w:val="10"/>
                <w:rFonts w:hint="eastAsia"/>
              </w:rPr>
              <w:t>产品性能:</w:t>
            </w:r>
            <w:r>
              <w:rPr>
                <w:rFonts w:hint="eastAsia"/>
              </w:rPr>
              <w:br w:type="textWrapping"/>
            </w:r>
            <w:r>
              <w:rPr>
                <w:rStyle w:val="11"/>
                <w:rFonts w:hint="eastAsia"/>
              </w:rPr>
              <w:t>本品为三元复配杀虫杀菌种衣剂。其中的噻虫嗪是一种结构全新的烟碱类杀虫剂。用于种子处理，可被作物根迅速内吸，并传导到植株各部位。咯菌腈为非内吸苯吡咯类化合物，对子囊菌、担子菌、半知菌等许多病原菌引起的种传和土传病害有非常好的防效。苯醚甲环唑是三唑类中最安全的种子处理剂之一，内吸传导，兼具预防和治疗活性，通过抑制真菌的麦角甾醇生物合成，使细胞膜形成受阻，从而导致真菌细胞死亡，有极广的杀菌谱，对马铃薯黑痣病、蚜虫有较好防效。</w:t>
            </w:r>
          </w:p>
        </w:tc>
      </w:tr>
      <w:tr w14:paraId="24D5DBEE">
        <w:tblPrEx>
          <w:tblCellMar>
            <w:top w:w="0" w:type="dxa"/>
            <w:left w:w="0" w:type="dxa"/>
            <w:bottom w:w="0" w:type="dxa"/>
            <w:right w:w="0" w:type="dxa"/>
          </w:tblCellMar>
        </w:tblPrEx>
        <w:trPr>
          <w:wBefore w:w="0" w:type="auto"/>
          <w:tblCellSpacing w:w="0" w:type="dxa"/>
        </w:trPr>
        <w:tc>
          <w:tcPr>
            <w:tcW w:w="0" w:type="auto"/>
            <w:noWrap w:val="0"/>
            <w:vAlign w:val="center"/>
          </w:tcPr>
          <w:p w14:paraId="67C8C83B">
            <w:r>
              <w:rPr>
                <w:rStyle w:val="10"/>
                <w:rFonts w:hint="eastAsia"/>
              </w:rPr>
              <w:t>注意事项：</w:t>
            </w:r>
            <w:r>
              <w:rPr>
                <w:rFonts w:hint="eastAsia"/>
              </w:rPr>
              <w:br w:type="textWrapping"/>
            </w:r>
            <w:r>
              <w:rPr>
                <w:rStyle w:val="11"/>
                <w:rFonts w:hint="eastAsia"/>
              </w:rPr>
              <w:t>1.本品对眼睛、皮肤有刺激性，使用时穿避免药液接触皮肤、眼睛和污染衣物，避免吸入药液。 2. 配药和种子处理应在通风处进行，操作人员应穿戴长衣、长裤、帽子、口罩、手套等防护措施。 此时不可饮食、吸烟等。种子处理结束后，彻底清洗防护用具，洗澡，并更换和清洗工作服。 3. 处理过的种子必须放置在有明显标签的容器内。勿与食物、饲料放在一起，不得饲喂禽畜，更不得用来加工饲料或食品。 4. 播种后必须覆土，严禁畜禽进入。 5. 鸟类保护区附近禁用；播种后立即覆土。本品对蜜蜂高毒，开花植物花期禁用，使用时应密切关注对附近蜂群的影响。勿将本品及其废液弃于池塘、河溪、湖泊等，以免污染水源。 禁止在河塘等水域清洗施药器具。 6. 未用完的制剂应放在原包装内密封保存，切勿将本品置于饮、食容器内。用过的容器应妥善处理，不可做他用，也不可随意丢弃。 7. 孕妇及哺乳期的妇女避免接触本品。 8. 避免与氧化剂接触。</w:t>
            </w:r>
          </w:p>
        </w:tc>
      </w:tr>
      <w:tr w14:paraId="7185DECA">
        <w:tblPrEx>
          <w:tblCellMar>
            <w:top w:w="0" w:type="dxa"/>
            <w:left w:w="0" w:type="dxa"/>
            <w:bottom w:w="0" w:type="dxa"/>
            <w:right w:w="0" w:type="dxa"/>
          </w:tblCellMar>
        </w:tblPrEx>
        <w:trPr>
          <w:wBefore w:w="0" w:type="auto"/>
          <w:tblCellSpacing w:w="0" w:type="dxa"/>
        </w:trPr>
        <w:tc>
          <w:tcPr>
            <w:tcW w:w="0" w:type="auto"/>
            <w:noWrap w:val="0"/>
            <w:vAlign w:val="center"/>
          </w:tcPr>
          <w:p w14:paraId="13F04AA5">
            <w:r>
              <w:rPr>
                <w:rStyle w:val="10"/>
                <w:rFonts w:hint="eastAsia"/>
              </w:rPr>
              <w:t>中毒急救措施：</w:t>
            </w:r>
            <w:r>
              <w:rPr>
                <w:rFonts w:hint="eastAsia"/>
              </w:rPr>
              <w:br w:type="textWrapping"/>
            </w:r>
            <w:r>
              <w:rPr>
                <w:rStyle w:val="11"/>
                <w:rFonts w:hint="eastAsia"/>
              </w:rPr>
              <w:t>1. 皮肤接触：立即脱掉被污染的衣物，用肥皂和大量清水彻底清洗受污染的皮肤。必要时请医生诊治。 2. 眼睛溅药：立即将眼睑翻开，用清水冲洗至少15分钟，再请医生诊治。 3 .发生吸入：立即将吸入者转移到空气新鲜处，注意保暖和休息，请医生诊治。 4.误服：请勿引吐。立即携带标签，送医就诊。紧急医疗措施：使用医用活性炭洗胃，洗胃时注意防止胃容物进入呼吸道。注意：对昏迷病人，切勿经口喂入任何东西或引吐。 解毒剂：无专用解毒剂，对症治疗。</w:t>
            </w:r>
          </w:p>
        </w:tc>
      </w:tr>
      <w:tr w14:paraId="738A0E48">
        <w:tblPrEx>
          <w:tblCellMar>
            <w:top w:w="0" w:type="dxa"/>
            <w:left w:w="0" w:type="dxa"/>
            <w:bottom w:w="0" w:type="dxa"/>
            <w:right w:w="0" w:type="dxa"/>
          </w:tblCellMar>
        </w:tblPrEx>
        <w:trPr>
          <w:wBefore w:w="0" w:type="auto"/>
          <w:tblCellSpacing w:w="0" w:type="dxa"/>
        </w:trPr>
        <w:tc>
          <w:tcPr>
            <w:tcW w:w="0" w:type="auto"/>
            <w:noWrap w:val="0"/>
            <w:vAlign w:val="center"/>
          </w:tcPr>
          <w:p w14:paraId="066951BD">
            <w:r>
              <w:rPr>
                <w:rStyle w:val="10"/>
                <w:rFonts w:hint="eastAsia"/>
              </w:rPr>
              <w:t>储存和运输方法：</w:t>
            </w:r>
            <w:r>
              <w:rPr>
                <w:rFonts w:hint="eastAsia"/>
              </w:rPr>
              <w:br w:type="textWrapping"/>
            </w:r>
            <w:r>
              <w:rPr>
                <w:rStyle w:val="11"/>
                <w:rFonts w:hint="eastAsia"/>
              </w:rPr>
              <w:t>1.本品应贮藏在避光、干燥、通风处。勿与食物、饮料、动物饲料等放在一起贮存和运输。 2.贮藏温度应避免低于-10℃或高于35℃。远离火源或热源。 3.运输时应注意避光、防高温、雨淋。</w:t>
            </w:r>
          </w:p>
        </w:tc>
      </w:tr>
      <w:tr w14:paraId="0498C42D">
        <w:tblPrEx>
          <w:tblCellMar>
            <w:top w:w="0" w:type="dxa"/>
            <w:left w:w="0" w:type="dxa"/>
            <w:bottom w:w="0" w:type="dxa"/>
            <w:right w:w="0" w:type="dxa"/>
          </w:tblCellMar>
        </w:tblPrEx>
        <w:trPr>
          <w:wBefore w:w="0" w:type="auto"/>
          <w:tblCellSpacing w:w="0" w:type="dxa"/>
        </w:trPr>
        <w:tc>
          <w:tcPr>
            <w:tcW w:w="0" w:type="auto"/>
            <w:noWrap w:val="0"/>
            <w:vAlign w:val="center"/>
          </w:tcPr>
          <w:p w14:paraId="57A8ACC3">
            <w:r>
              <w:rPr>
                <w:rStyle w:val="10"/>
                <w:rFonts w:hint="eastAsia"/>
              </w:rPr>
              <w:t>质量保证期：</w:t>
            </w:r>
            <w:r>
              <w:rPr>
                <w:rStyle w:val="11"/>
                <w:rFonts w:hint="eastAsia"/>
              </w:rPr>
              <w:t>2年</w:t>
            </w:r>
          </w:p>
        </w:tc>
      </w:tr>
      <w:tr w14:paraId="0BCB530D">
        <w:tblPrEx>
          <w:tblCellMar>
            <w:top w:w="0" w:type="dxa"/>
            <w:left w:w="0" w:type="dxa"/>
            <w:bottom w:w="0" w:type="dxa"/>
            <w:right w:w="0" w:type="dxa"/>
          </w:tblCellMar>
        </w:tblPrEx>
        <w:trPr>
          <w:wBefore w:w="0" w:type="auto"/>
          <w:tblCellSpacing w:w="0" w:type="dxa"/>
        </w:trPr>
        <w:tc>
          <w:tcPr>
            <w:tcW w:w="0" w:type="auto"/>
            <w:noWrap w:val="0"/>
            <w:vAlign w:val="center"/>
          </w:tcPr>
          <w:p w14:paraId="34550132">
            <w:r>
              <w:rPr>
                <w:rStyle w:val="10"/>
                <w:rFonts w:hint="eastAsia"/>
              </w:rPr>
              <w:t>备注：</w:t>
            </w:r>
            <w:r>
              <w:rPr>
                <w:rFonts w:hint="eastAsia"/>
              </w:rPr>
              <w:br w:type="textWrapping"/>
            </w:r>
            <w:r>
              <w:rPr>
                <w:rStyle w:val="11"/>
                <w:rFonts w:hint="eastAsia"/>
              </w:rPr>
              <w:t>质量浓度噻虫嗪262.5克/升；苯醚甲环唑25克/升；咯菌腈25克/升。</w:t>
            </w:r>
          </w:p>
        </w:tc>
      </w:tr>
    </w:tbl>
    <w:p w14:paraId="6804EE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5A8E46">
        <w:tblPrEx>
          <w:tblCellMar>
            <w:top w:w="0" w:type="dxa"/>
            <w:left w:w="0" w:type="dxa"/>
            <w:bottom w:w="0" w:type="dxa"/>
            <w:right w:w="0" w:type="dxa"/>
          </w:tblCellMar>
        </w:tblPrEx>
        <w:trPr>
          <w:wBefore w:w="0" w:type="auto"/>
          <w:tblCellSpacing w:w="0" w:type="dxa"/>
        </w:trPr>
        <w:tc>
          <w:tcPr>
            <w:tcW w:w="0" w:type="auto"/>
            <w:noWrap w:val="0"/>
            <w:vAlign w:val="center"/>
          </w:tcPr>
          <w:p w14:paraId="3225DEC3">
            <w:r>
              <w:rPr>
                <w:rStyle w:val="10"/>
                <w:rFonts w:hint="eastAsia"/>
              </w:rPr>
              <w:t>登记证号：</w:t>
            </w:r>
            <w:r>
              <w:rPr>
                <w:rFonts w:hint="eastAsia"/>
              </w:rPr>
              <w:t>PD20212725</w:t>
            </w:r>
          </w:p>
        </w:tc>
      </w:tr>
      <w:tr w14:paraId="1F2864E4">
        <w:tblPrEx>
          <w:tblCellMar>
            <w:top w:w="0" w:type="dxa"/>
            <w:left w:w="0" w:type="dxa"/>
            <w:bottom w:w="0" w:type="dxa"/>
            <w:right w:w="0" w:type="dxa"/>
          </w:tblCellMar>
        </w:tblPrEx>
        <w:trPr>
          <w:wBefore w:w="0" w:type="auto"/>
          <w:tblCellSpacing w:w="0" w:type="dxa"/>
        </w:trPr>
        <w:tc>
          <w:tcPr>
            <w:tcW w:w="0" w:type="auto"/>
            <w:noWrap w:val="0"/>
            <w:vAlign w:val="center"/>
          </w:tcPr>
          <w:p w14:paraId="4C7AE7F6">
            <w:r>
              <w:rPr>
                <w:rStyle w:val="10"/>
                <w:rFonts w:hint="eastAsia"/>
              </w:rPr>
              <w:t>登记证持有人：</w:t>
            </w:r>
            <w:r>
              <w:rPr>
                <w:rFonts w:hint="eastAsia"/>
              </w:rPr>
              <w:t>江苏优嘉植物保护有限公司</w:t>
            </w:r>
          </w:p>
        </w:tc>
      </w:tr>
      <w:tr w14:paraId="4162FB91">
        <w:tblPrEx>
          <w:tblCellMar>
            <w:top w:w="0" w:type="dxa"/>
            <w:left w:w="0" w:type="dxa"/>
            <w:bottom w:w="0" w:type="dxa"/>
            <w:right w:w="0" w:type="dxa"/>
          </w:tblCellMar>
        </w:tblPrEx>
        <w:trPr>
          <w:wBefore w:w="0" w:type="auto"/>
          <w:tblCellSpacing w:w="0" w:type="dxa"/>
        </w:trPr>
        <w:tc>
          <w:tcPr>
            <w:tcW w:w="0" w:type="auto"/>
            <w:noWrap w:val="0"/>
            <w:vAlign w:val="center"/>
          </w:tcPr>
          <w:p w14:paraId="5F9E8041">
            <w:r>
              <w:rPr>
                <w:rStyle w:val="10"/>
                <w:rFonts w:hint="eastAsia"/>
              </w:rPr>
              <w:t>农药名称：</w:t>
            </w:r>
            <w:r>
              <w:rPr>
                <w:rFonts w:hint="eastAsia"/>
              </w:rPr>
              <w:t>唑醚·啶酰菌</w:t>
            </w:r>
          </w:p>
        </w:tc>
      </w:tr>
      <w:tr w14:paraId="2A7D1AAA">
        <w:tblPrEx>
          <w:tblCellMar>
            <w:top w:w="0" w:type="dxa"/>
            <w:left w:w="0" w:type="dxa"/>
            <w:bottom w:w="0" w:type="dxa"/>
            <w:right w:w="0" w:type="dxa"/>
          </w:tblCellMar>
        </w:tblPrEx>
        <w:trPr>
          <w:wBefore w:w="0" w:type="auto"/>
          <w:tblCellSpacing w:w="0" w:type="dxa"/>
        </w:trPr>
        <w:tc>
          <w:tcPr>
            <w:tcW w:w="0" w:type="auto"/>
            <w:noWrap w:val="0"/>
            <w:vAlign w:val="center"/>
          </w:tcPr>
          <w:p w14:paraId="7A5DBE4C">
            <w:r>
              <w:rPr>
                <w:rStyle w:val="10"/>
                <w:rFonts w:hint="eastAsia"/>
              </w:rPr>
              <w:t>剂型：</w:t>
            </w:r>
            <w:r>
              <w:rPr>
                <w:rFonts w:hint="eastAsia"/>
              </w:rPr>
              <w:t>水分散粒剂</w:t>
            </w:r>
          </w:p>
        </w:tc>
      </w:tr>
      <w:tr w14:paraId="17EBA44F">
        <w:tblPrEx>
          <w:tblCellMar>
            <w:top w:w="0" w:type="dxa"/>
            <w:left w:w="0" w:type="dxa"/>
            <w:bottom w:w="0" w:type="dxa"/>
            <w:right w:w="0" w:type="dxa"/>
          </w:tblCellMar>
        </w:tblPrEx>
        <w:trPr>
          <w:wBefore w:w="0" w:type="auto"/>
          <w:tblCellSpacing w:w="0" w:type="dxa"/>
        </w:trPr>
        <w:tc>
          <w:tcPr>
            <w:tcW w:w="0" w:type="auto"/>
            <w:noWrap w:val="0"/>
            <w:vAlign w:val="center"/>
          </w:tcPr>
          <w:p w14:paraId="344FAB91">
            <w:r>
              <w:rPr>
                <w:rStyle w:val="10"/>
                <w:rFonts w:hint="eastAsia"/>
              </w:rPr>
              <w:t>毒性及其标识：</w:t>
            </w:r>
            <w:r>
              <w:rPr>
                <w:rFonts w:hint="eastAsia"/>
              </w:rPr>
              <w:t xml:space="preserve"> </w:t>
            </w:r>
            <w:r>
              <w:rPr>
                <w:lang/>
              </w:rPr>
              <w:drawing>
                <wp:inline distT="0" distB="0" distL="114300" distR="114300">
                  <wp:extent cx="476250" cy="323850"/>
                  <wp:effectExtent l="0" t="0" r="0" b="0"/>
                  <wp:docPr id="48" name="图片 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17A6A2">
        <w:tblPrEx>
          <w:tblCellMar>
            <w:top w:w="0" w:type="dxa"/>
            <w:left w:w="0" w:type="dxa"/>
            <w:bottom w:w="0" w:type="dxa"/>
            <w:right w:w="0" w:type="dxa"/>
          </w:tblCellMar>
        </w:tblPrEx>
        <w:trPr>
          <w:wBefore w:w="0" w:type="auto"/>
          <w:tblCellSpacing w:w="0" w:type="dxa"/>
        </w:trPr>
        <w:tc>
          <w:tcPr>
            <w:tcW w:w="0" w:type="auto"/>
            <w:noWrap w:val="0"/>
            <w:vAlign w:val="center"/>
          </w:tcPr>
          <w:p w14:paraId="71D59E7E">
            <w:r>
              <w:rPr>
                <w:rStyle w:val="10"/>
                <w:rFonts w:hint="eastAsia"/>
              </w:rPr>
              <w:t>总有效成分含量：</w:t>
            </w:r>
            <w:r>
              <w:rPr>
                <w:rFonts w:hint="eastAsia"/>
              </w:rPr>
              <w:t>38%</w:t>
            </w:r>
          </w:p>
        </w:tc>
      </w:tr>
      <w:tr w14:paraId="1B1595AF">
        <w:tblPrEx>
          <w:tblCellMar>
            <w:top w:w="0" w:type="dxa"/>
            <w:left w:w="0" w:type="dxa"/>
            <w:bottom w:w="0" w:type="dxa"/>
            <w:right w:w="0" w:type="dxa"/>
          </w:tblCellMar>
        </w:tblPrEx>
        <w:trPr>
          <w:wBefore w:w="0" w:type="auto"/>
          <w:tblCellSpacing w:w="0" w:type="dxa"/>
        </w:trPr>
        <w:tc>
          <w:tcPr>
            <w:tcW w:w="0" w:type="auto"/>
            <w:noWrap w:val="0"/>
            <w:vAlign w:val="center"/>
          </w:tcPr>
          <w:p w14:paraId="0FAEC066">
            <w:r>
              <w:rPr>
                <w:rFonts w:hint="eastAsia"/>
              </w:rPr>
              <w:t xml:space="preserve">有效成分及其含量： </w:t>
            </w:r>
          </w:p>
          <w:p w14:paraId="07CF7F57">
            <w:r>
              <w:rPr>
                <w:rFonts w:hint="eastAsia"/>
              </w:rPr>
              <w:t xml:space="preserve">    啶酰菌胺25.2%%    吡唑醚菌酯12.8%%    </w:t>
            </w:r>
          </w:p>
        </w:tc>
      </w:tr>
      <w:tr w14:paraId="73C52D71">
        <w:tblPrEx>
          <w:tblCellMar>
            <w:top w:w="0" w:type="dxa"/>
            <w:left w:w="0" w:type="dxa"/>
            <w:bottom w:w="0" w:type="dxa"/>
            <w:right w:w="0" w:type="dxa"/>
          </w:tblCellMar>
        </w:tblPrEx>
        <w:trPr>
          <w:wBefore w:w="0" w:type="auto"/>
          <w:tblCellSpacing w:w="0" w:type="dxa"/>
        </w:trPr>
        <w:tc>
          <w:tcPr>
            <w:tcW w:w="0" w:type="auto"/>
            <w:noWrap w:val="0"/>
            <w:vAlign w:val="center"/>
          </w:tcPr>
          <w:p w14:paraId="4937EC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7754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1891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80C26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7BA6B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15E7B9">
                  <w:r>
                    <w:rPr>
                      <w:rStyle w:val="11"/>
                      <w:rFonts w:hint="eastAsia"/>
                    </w:rPr>
                    <w:t>施用方式</w:t>
                  </w:r>
                </w:p>
              </w:tc>
            </w:tr>
            <w:tr w14:paraId="68EB28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08C049">
                  <w:r>
                    <w:rPr>
                      <w:rStyle w:val="11"/>
                      <w:rFonts w:hint="eastAsia"/>
                    </w:rPr>
                    <w:t>草莓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D96585">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072577">
                  <w:r>
                    <w:rPr>
                      <w:rStyle w:val="11"/>
                      <w:rFonts w:hint="eastAsia"/>
                    </w:rPr>
                    <w:t>40-50克/亩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9E79E5">
                  <w:r>
                    <w:rPr>
                      <w:rStyle w:val="11"/>
                      <w:rFonts w:hint="eastAsia"/>
                    </w:rPr>
                    <w:t>喷雾</w:t>
                  </w:r>
                </w:p>
              </w:tc>
            </w:tr>
          </w:tbl>
          <w:p w14:paraId="0F96EBC7">
            <w:pPr>
              <w:rPr>
                <w:rFonts w:ascii="Times New Roman" w:hAnsi="Times New Roman" w:cs="Times New Roman"/>
                <w:sz w:val="20"/>
                <w:szCs w:val="20"/>
              </w:rPr>
            </w:pPr>
          </w:p>
        </w:tc>
      </w:tr>
      <w:tr w14:paraId="66F8EB9D">
        <w:tblPrEx>
          <w:tblCellMar>
            <w:top w:w="0" w:type="dxa"/>
            <w:left w:w="0" w:type="dxa"/>
            <w:bottom w:w="0" w:type="dxa"/>
            <w:right w:w="0" w:type="dxa"/>
          </w:tblCellMar>
        </w:tblPrEx>
        <w:trPr>
          <w:wBefore w:w="0" w:type="auto"/>
          <w:tblCellSpacing w:w="0" w:type="dxa"/>
        </w:trPr>
        <w:tc>
          <w:tcPr>
            <w:tcW w:w="0" w:type="auto"/>
            <w:noWrap w:val="0"/>
            <w:vAlign w:val="center"/>
          </w:tcPr>
          <w:p w14:paraId="3458FE53">
            <w:r>
              <w:rPr>
                <w:rStyle w:val="10"/>
                <w:rFonts w:hint="eastAsia"/>
              </w:rPr>
              <w:t>使用技术要求:</w:t>
            </w:r>
            <w:r>
              <w:rPr>
                <w:rFonts w:hint="eastAsia"/>
              </w:rPr>
              <w:br w:type="textWrapping"/>
            </w:r>
            <w:r>
              <w:rPr>
                <w:rStyle w:val="11"/>
                <w:rFonts w:hint="eastAsia"/>
              </w:rPr>
              <w:t>建议于病害发生前或发病初期喷雾施药，连续施药2次，间隔7-10天。药液要均匀喷施到花蕾、果实等处。最多施药2次，安全间隔期7天。大风天或预计1小时内降雨，请勿施药。</w:t>
            </w:r>
          </w:p>
        </w:tc>
      </w:tr>
      <w:tr w14:paraId="006C3D2E">
        <w:tblPrEx>
          <w:tblCellMar>
            <w:top w:w="0" w:type="dxa"/>
            <w:left w:w="0" w:type="dxa"/>
            <w:bottom w:w="0" w:type="dxa"/>
            <w:right w:w="0" w:type="dxa"/>
          </w:tblCellMar>
        </w:tblPrEx>
        <w:trPr>
          <w:wBefore w:w="0" w:type="auto"/>
          <w:tblCellSpacing w:w="0" w:type="dxa"/>
        </w:trPr>
        <w:tc>
          <w:tcPr>
            <w:tcW w:w="0" w:type="auto"/>
            <w:noWrap w:val="0"/>
            <w:vAlign w:val="center"/>
          </w:tcPr>
          <w:p w14:paraId="3C9BC3CA">
            <w:r>
              <w:rPr>
                <w:rStyle w:val="10"/>
                <w:rFonts w:hint="eastAsia"/>
              </w:rPr>
              <w:t>产品性能:</w:t>
            </w:r>
            <w:r>
              <w:rPr>
                <w:rFonts w:hint="eastAsia"/>
              </w:rPr>
              <w:br w:type="textWrapping"/>
            </w:r>
            <w:r>
              <w:rPr>
                <w:rStyle w:val="11"/>
                <w:rFonts w:hint="eastAsia"/>
              </w:rPr>
              <w:t>本品为吡唑醚菌酯与啶酰菌胺的混配制剂，具有内吸性。吡唑醚菌酯是甲氧基丙烯酸酯类活性成分，其作用速度快，能有效控制叶片中的病原孢子，兼具预防作用。啶酰菌胺是新型烟酰胺类杀菌剂，杀菌谱较广，作用机理是抑制病原菌体的呼吸作用。本品可用于防治草莓灰霉病。</w:t>
            </w:r>
          </w:p>
        </w:tc>
      </w:tr>
      <w:tr w14:paraId="5F70F56E">
        <w:tblPrEx>
          <w:tblCellMar>
            <w:top w:w="0" w:type="dxa"/>
            <w:left w:w="0" w:type="dxa"/>
            <w:bottom w:w="0" w:type="dxa"/>
            <w:right w:w="0" w:type="dxa"/>
          </w:tblCellMar>
        </w:tblPrEx>
        <w:trPr>
          <w:wBefore w:w="0" w:type="auto"/>
          <w:tblCellSpacing w:w="0" w:type="dxa"/>
        </w:trPr>
        <w:tc>
          <w:tcPr>
            <w:tcW w:w="0" w:type="auto"/>
            <w:noWrap w:val="0"/>
            <w:vAlign w:val="center"/>
          </w:tcPr>
          <w:p w14:paraId="7375797B">
            <w:r>
              <w:rPr>
                <w:rStyle w:val="10"/>
                <w:rFonts w:hint="eastAsia"/>
              </w:rPr>
              <w:t>注意事项：</w:t>
            </w:r>
            <w:r>
              <w:rPr>
                <w:rFonts w:hint="eastAsia"/>
              </w:rPr>
              <w:br w:type="textWrapping"/>
            </w:r>
            <w:r>
              <w:rPr>
                <w:rStyle w:val="11"/>
                <w:rFonts w:hint="eastAsia"/>
              </w:rPr>
              <w:t>（1）本品应现配现用，配置好的药液要及时使用。（2）使用时穿戴长衣长裤、鞋等安全防护措施。避免皮肤接触和口鼻吸入。使用中不可吸烟、饮水及吃东西；使用后及时清洗手、脸等暴露部位皮肤并更换衣物。（3）本品对家蚕、鱼类等水生生物有毒，桑园附近禁用此产品，天敌放飞区禁用，远离水产养殖区使用，禁止在河塘等水体中清洗施药器具。药液及其废液不得污染各类水域。（4）建议与其他作用机制不同的杀菌剂轮换使用，以延缓抗性产生。（5）使用后的包装应妥善处理不可作他用，也不可随意丢弃。（6）孕妇及哺乳期妇女避免接触。</w:t>
            </w:r>
          </w:p>
        </w:tc>
      </w:tr>
      <w:tr w14:paraId="18521B13">
        <w:tblPrEx>
          <w:tblCellMar>
            <w:top w:w="0" w:type="dxa"/>
            <w:left w:w="0" w:type="dxa"/>
            <w:bottom w:w="0" w:type="dxa"/>
            <w:right w:w="0" w:type="dxa"/>
          </w:tblCellMar>
        </w:tblPrEx>
        <w:trPr>
          <w:wBefore w:w="0" w:type="auto"/>
          <w:tblCellSpacing w:w="0" w:type="dxa"/>
        </w:trPr>
        <w:tc>
          <w:tcPr>
            <w:tcW w:w="0" w:type="auto"/>
            <w:noWrap w:val="0"/>
            <w:vAlign w:val="center"/>
          </w:tcPr>
          <w:p w14:paraId="17E1DE63">
            <w:r>
              <w:rPr>
                <w:rStyle w:val="10"/>
                <w:rFonts w:hint="eastAsia"/>
              </w:rPr>
              <w:t>中毒急救措施：</w:t>
            </w:r>
            <w:r>
              <w:rPr>
                <w:rFonts w:hint="eastAsia"/>
              </w:rPr>
              <w:br w:type="textWrapping"/>
            </w:r>
            <w:r>
              <w:rPr>
                <w:rStyle w:val="11"/>
                <w:rFonts w:hint="eastAsia"/>
              </w:rPr>
              <w:t>对眼睛有刺激性，使用时避免药液接触眼睛。 眼睛溅入∶立刻用大量清水冲洗15-20分钟，如仍感觉不适，应当尽快携此标签去医院诊治。 皮肤接触∶用软布去除沾染农药，然后用肥皂水和清水冲洗；脱去污染的衣物；如仍感觉不适，应当尽快携带标签到医院就医。 误吸：转移至空气清新处，如仍感不适需请医生治疗。 误 食∶不要自行引吐，携标签送医诊治。 给医护人员的提示：无特殊解毒药，请医生根据症状治疗。</w:t>
            </w:r>
          </w:p>
        </w:tc>
      </w:tr>
      <w:tr w14:paraId="04686F33">
        <w:tblPrEx>
          <w:tblCellMar>
            <w:top w:w="0" w:type="dxa"/>
            <w:left w:w="0" w:type="dxa"/>
            <w:bottom w:w="0" w:type="dxa"/>
            <w:right w:w="0" w:type="dxa"/>
          </w:tblCellMar>
        </w:tblPrEx>
        <w:trPr>
          <w:wBefore w:w="0" w:type="auto"/>
          <w:tblCellSpacing w:w="0" w:type="dxa"/>
        </w:trPr>
        <w:tc>
          <w:tcPr>
            <w:tcW w:w="0" w:type="auto"/>
            <w:noWrap w:val="0"/>
            <w:vAlign w:val="center"/>
          </w:tcPr>
          <w:p w14:paraId="6A7E4470">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本品应贮存于干燥、阴凉、通风、防雨处，远离火源或热源。置于儿童触及不到之处，应加锁保存。不能与食品、饮料、种子、粮食、饲料等同贮同运。装卸时，注意轻拿轻放，运输时要防潮防晒。</w:t>
            </w:r>
          </w:p>
        </w:tc>
      </w:tr>
      <w:tr w14:paraId="1E9EC91E">
        <w:tblPrEx>
          <w:tblCellMar>
            <w:top w:w="0" w:type="dxa"/>
            <w:left w:w="0" w:type="dxa"/>
            <w:bottom w:w="0" w:type="dxa"/>
            <w:right w:w="0" w:type="dxa"/>
          </w:tblCellMar>
        </w:tblPrEx>
        <w:trPr>
          <w:wBefore w:w="0" w:type="auto"/>
          <w:tblCellSpacing w:w="0" w:type="dxa"/>
        </w:trPr>
        <w:tc>
          <w:tcPr>
            <w:tcW w:w="0" w:type="auto"/>
            <w:noWrap w:val="0"/>
            <w:vAlign w:val="center"/>
          </w:tcPr>
          <w:p w14:paraId="57529914">
            <w:r>
              <w:rPr>
                <w:rStyle w:val="10"/>
                <w:rFonts w:hint="eastAsia"/>
              </w:rPr>
              <w:t>质量保证期：</w:t>
            </w:r>
            <w:r>
              <w:rPr>
                <w:rStyle w:val="11"/>
                <w:rFonts w:hint="eastAsia"/>
              </w:rPr>
              <w:t>2年</w:t>
            </w:r>
          </w:p>
        </w:tc>
      </w:tr>
      <w:tr w14:paraId="562DABD1">
        <w:tblPrEx>
          <w:tblCellMar>
            <w:top w:w="0" w:type="dxa"/>
            <w:left w:w="0" w:type="dxa"/>
            <w:bottom w:w="0" w:type="dxa"/>
            <w:right w:w="0" w:type="dxa"/>
          </w:tblCellMar>
        </w:tblPrEx>
        <w:trPr>
          <w:wBefore w:w="0" w:type="auto"/>
          <w:tblCellSpacing w:w="0" w:type="dxa"/>
        </w:trPr>
        <w:tc>
          <w:tcPr>
            <w:tcW w:w="0" w:type="auto"/>
            <w:noWrap w:val="0"/>
            <w:vAlign w:val="center"/>
          </w:tcPr>
          <w:p w14:paraId="4C3C021B">
            <w:r>
              <w:rPr>
                <w:rStyle w:val="10"/>
                <w:rFonts w:hint="eastAsia"/>
              </w:rPr>
              <w:t>备注：</w:t>
            </w:r>
          </w:p>
        </w:tc>
      </w:tr>
    </w:tbl>
    <w:p w14:paraId="4911005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D66CF0">
        <w:tblPrEx>
          <w:tblCellMar>
            <w:top w:w="0" w:type="dxa"/>
            <w:left w:w="0" w:type="dxa"/>
            <w:bottom w:w="0" w:type="dxa"/>
            <w:right w:w="0" w:type="dxa"/>
          </w:tblCellMar>
        </w:tblPrEx>
        <w:trPr>
          <w:wBefore w:w="0" w:type="auto"/>
          <w:tblCellSpacing w:w="0" w:type="dxa"/>
        </w:trPr>
        <w:tc>
          <w:tcPr>
            <w:tcW w:w="0" w:type="auto"/>
            <w:noWrap w:val="0"/>
            <w:vAlign w:val="center"/>
          </w:tcPr>
          <w:p w14:paraId="007BE55D">
            <w:r>
              <w:rPr>
                <w:rStyle w:val="10"/>
                <w:rFonts w:hint="eastAsia"/>
              </w:rPr>
              <w:t>登记证号：</w:t>
            </w:r>
            <w:r>
              <w:rPr>
                <w:rFonts w:hint="eastAsia"/>
              </w:rPr>
              <w:t>PD20212623</w:t>
            </w:r>
          </w:p>
        </w:tc>
      </w:tr>
      <w:tr w14:paraId="4F679791">
        <w:tblPrEx>
          <w:tblCellMar>
            <w:top w:w="0" w:type="dxa"/>
            <w:left w:w="0" w:type="dxa"/>
            <w:bottom w:w="0" w:type="dxa"/>
            <w:right w:w="0" w:type="dxa"/>
          </w:tblCellMar>
        </w:tblPrEx>
        <w:trPr>
          <w:wBefore w:w="0" w:type="auto"/>
          <w:tblCellSpacing w:w="0" w:type="dxa"/>
        </w:trPr>
        <w:tc>
          <w:tcPr>
            <w:tcW w:w="0" w:type="auto"/>
            <w:noWrap w:val="0"/>
            <w:vAlign w:val="center"/>
          </w:tcPr>
          <w:p w14:paraId="229C3244">
            <w:r>
              <w:rPr>
                <w:rStyle w:val="10"/>
                <w:rFonts w:hint="eastAsia"/>
              </w:rPr>
              <w:t>登记证持有人：</w:t>
            </w:r>
            <w:r>
              <w:rPr>
                <w:rFonts w:hint="eastAsia"/>
              </w:rPr>
              <w:t>湖北泰盛化工有限公司</w:t>
            </w:r>
          </w:p>
        </w:tc>
      </w:tr>
      <w:tr w14:paraId="0EAD1B71">
        <w:tblPrEx>
          <w:tblCellMar>
            <w:top w:w="0" w:type="dxa"/>
            <w:left w:w="0" w:type="dxa"/>
            <w:bottom w:w="0" w:type="dxa"/>
            <w:right w:w="0" w:type="dxa"/>
          </w:tblCellMar>
        </w:tblPrEx>
        <w:trPr>
          <w:wBefore w:w="0" w:type="auto"/>
          <w:tblCellSpacing w:w="0" w:type="dxa"/>
        </w:trPr>
        <w:tc>
          <w:tcPr>
            <w:tcW w:w="0" w:type="auto"/>
            <w:noWrap w:val="0"/>
            <w:vAlign w:val="center"/>
          </w:tcPr>
          <w:p w14:paraId="145250BF">
            <w:r>
              <w:rPr>
                <w:rStyle w:val="10"/>
                <w:rFonts w:hint="eastAsia"/>
              </w:rPr>
              <w:t>农药名称：</w:t>
            </w:r>
            <w:r>
              <w:rPr>
                <w:rFonts w:hint="eastAsia"/>
              </w:rPr>
              <w:t>草甘·甲·乙羧</w:t>
            </w:r>
          </w:p>
        </w:tc>
      </w:tr>
      <w:tr w14:paraId="71F72164">
        <w:tblPrEx>
          <w:tblCellMar>
            <w:top w:w="0" w:type="dxa"/>
            <w:left w:w="0" w:type="dxa"/>
            <w:bottom w:w="0" w:type="dxa"/>
            <w:right w:w="0" w:type="dxa"/>
          </w:tblCellMar>
        </w:tblPrEx>
        <w:trPr>
          <w:wBefore w:w="0" w:type="auto"/>
          <w:tblCellSpacing w:w="0" w:type="dxa"/>
        </w:trPr>
        <w:tc>
          <w:tcPr>
            <w:tcW w:w="0" w:type="auto"/>
            <w:noWrap w:val="0"/>
            <w:vAlign w:val="center"/>
          </w:tcPr>
          <w:p w14:paraId="49DBE119">
            <w:r>
              <w:rPr>
                <w:rStyle w:val="10"/>
                <w:rFonts w:hint="eastAsia"/>
              </w:rPr>
              <w:t>剂型：</w:t>
            </w:r>
            <w:r>
              <w:rPr>
                <w:rFonts w:hint="eastAsia"/>
              </w:rPr>
              <w:t>可溶粒剂</w:t>
            </w:r>
          </w:p>
        </w:tc>
      </w:tr>
      <w:tr w14:paraId="53BFBF21">
        <w:tblPrEx>
          <w:tblCellMar>
            <w:top w:w="0" w:type="dxa"/>
            <w:left w:w="0" w:type="dxa"/>
            <w:bottom w:w="0" w:type="dxa"/>
            <w:right w:w="0" w:type="dxa"/>
          </w:tblCellMar>
        </w:tblPrEx>
        <w:trPr>
          <w:wBefore w:w="0" w:type="auto"/>
          <w:tblCellSpacing w:w="0" w:type="dxa"/>
        </w:trPr>
        <w:tc>
          <w:tcPr>
            <w:tcW w:w="0" w:type="auto"/>
            <w:noWrap w:val="0"/>
            <w:vAlign w:val="center"/>
          </w:tcPr>
          <w:p w14:paraId="2E600BA7">
            <w:r>
              <w:rPr>
                <w:rStyle w:val="10"/>
                <w:rFonts w:hint="eastAsia"/>
              </w:rPr>
              <w:t>毒性及其标识：</w:t>
            </w:r>
            <w:r>
              <w:rPr>
                <w:rFonts w:hint="eastAsia"/>
              </w:rPr>
              <w:t xml:space="preserve"> 微毒 </w:t>
            </w:r>
          </w:p>
        </w:tc>
      </w:tr>
      <w:tr w14:paraId="716AC621">
        <w:tblPrEx>
          <w:tblCellMar>
            <w:top w:w="0" w:type="dxa"/>
            <w:left w:w="0" w:type="dxa"/>
            <w:bottom w:w="0" w:type="dxa"/>
            <w:right w:w="0" w:type="dxa"/>
          </w:tblCellMar>
        </w:tblPrEx>
        <w:trPr>
          <w:wBefore w:w="0" w:type="auto"/>
          <w:tblCellSpacing w:w="0" w:type="dxa"/>
        </w:trPr>
        <w:tc>
          <w:tcPr>
            <w:tcW w:w="0" w:type="auto"/>
            <w:noWrap w:val="0"/>
            <w:vAlign w:val="center"/>
          </w:tcPr>
          <w:p w14:paraId="48C59D3E">
            <w:r>
              <w:rPr>
                <w:rStyle w:val="10"/>
                <w:rFonts w:hint="eastAsia"/>
              </w:rPr>
              <w:t>总有效成分含量：</w:t>
            </w:r>
            <w:r>
              <w:rPr>
                <w:rFonts w:hint="eastAsia"/>
              </w:rPr>
              <w:t>81%</w:t>
            </w:r>
          </w:p>
        </w:tc>
      </w:tr>
      <w:tr w14:paraId="2D4B61B0">
        <w:tblPrEx>
          <w:tblCellMar>
            <w:top w:w="0" w:type="dxa"/>
            <w:left w:w="0" w:type="dxa"/>
            <w:bottom w:w="0" w:type="dxa"/>
            <w:right w:w="0" w:type="dxa"/>
          </w:tblCellMar>
        </w:tblPrEx>
        <w:trPr>
          <w:wBefore w:w="0" w:type="auto"/>
          <w:tblCellSpacing w:w="0" w:type="dxa"/>
        </w:trPr>
        <w:tc>
          <w:tcPr>
            <w:tcW w:w="0" w:type="auto"/>
            <w:noWrap w:val="0"/>
            <w:vAlign w:val="center"/>
          </w:tcPr>
          <w:p w14:paraId="7FE8E7A6">
            <w:r>
              <w:rPr>
                <w:rFonts w:hint="eastAsia"/>
              </w:rPr>
              <w:t xml:space="preserve">有效成分及其含量： </w:t>
            </w:r>
          </w:p>
          <w:p w14:paraId="4D9FE1CB">
            <w:r>
              <w:rPr>
                <w:rFonts w:hint="eastAsia"/>
              </w:rPr>
              <w:t xml:space="preserve">    草甘膦73%    2甲4氯5%    乙羧氟草醚3%    </w:t>
            </w:r>
          </w:p>
        </w:tc>
      </w:tr>
      <w:tr w14:paraId="343FC450">
        <w:tblPrEx>
          <w:tblCellMar>
            <w:top w:w="0" w:type="dxa"/>
            <w:left w:w="0" w:type="dxa"/>
            <w:bottom w:w="0" w:type="dxa"/>
            <w:right w:w="0" w:type="dxa"/>
          </w:tblCellMar>
        </w:tblPrEx>
        <w:trPr>
          <w:wBefore w:w="0" w:type="auto"/>
          <w:tblCellSpacing w:w="0" w:type="dxa"/>
        </w:trPr>
        <w:tc>
          <w:tcPr>
            <w:tcW w:w="0" w:type="auto"/>
            <w:noWrap w:val="0"/>
            <w:vAlign w:val="center"/>
          </w:tcPr>
          <w:p w14:paraId="265B91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7AF5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B16D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A917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233C0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879242">
                  <w:r>
                    <w:rPr>
                      <w:rStyle w:val="11"/>
                      <w:rFonts w:hint="eastAsia"/>
                    </w:rPr>
                    <w:t>施用方式</w:t>
                  </w:r>
                </w:p>
              </w:tc>
            </w:tr>
            <w:tr w14:paraId="00F060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106D24">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E2EF8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51574D">
                  <w:r>
                    <w:rPr>
                      <w:rStyle w:val="11"/>
                      <w:rFonts w:hint="eastAsia"/>
                    </w:rPr>
                    <w:t>100-140克/亩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52E005">
                  <w:r>
                    <w:rPr>
                      <w:rStyle w:val="11"/>
                      <w:rFonts w:hint="eastAsia"/>
                    </w:rPr>
                    <w:t>茎叶喷雾</w:t>
                  </w:r>
                </w:p>
              </w:tc>
            </w:tr>
          </w:tbl>
          <w:p w14:paraId="1FBF0997">
            <w:pPr>
              <w:rPr>
                <w:rFonts w:ascii="Times New Roman" w:hAnsi="Times New Roman" w:cs="Times New Roman"/>
                <w:sz w:val="20"/>
                <w:szCs w:val="20"/>
              </w:rPr>
            </w:pPr>
          </w:p>
        </w:tc>
      </w:tr>
      <w:tr w14:paraId="38DB5EF2">
        <w:tblPrEx>
          <w:tblCellMar>
            <w:top w:w="0" w:type="dxa"/>
            <w:left w:w="0" w:type="dxa"/>
            <w:bottom w:w="0" w:type="dxa"/>
            <w:right w:w="0" w:type="dxa"/>
          </w:tblCellMar>
        </w:tblPrEx>
        <w:trPr>
          <w:wBefore w:w="0" w:type="auto"/>
          <w:tblCellSpacing w:w="0" w:type="dxa"/>
        </w:trPr>
        <w:tc>
          <w:tcPr>
            <w:tcW w:w="0" w:type="auto"/>
            <w:noWrap w:val="0"/>
            <w:vAlign w:val="center"/>
          </w:tcPr>
          <w:p w14:paraId="16B5D59E">
            <w:r>
              <w:rPr>
                <w:rStyle w:val="10"/>
                <w:rFonts w:hint="eastAsia"/>
              </w:rPr>
              <w:t>使用技术要求:</w:t>
            </w:r>
            <w:r>
              <w:rPr>
                <w:rFonts w:hint="eastAsia"/>
              </w:rPr>
              <w:br w:type="textWrapping"/>
            </w:r>
            <w:r>
              <w:rPr>
                <w:rStyle w:val="11"/>
                <w:rFonts w:hint="eastAsia"/>
              </w:rPr>
              <w:t>1. 在非耕地杂草旺盛生长期，以推荐剂量兑水均匀茎叶喷雾施药一次，选择温度较高的晴天，光照较强时，每亩兑水20-30千克，均匀喷雾。 2. 在杂草生生后期和在气温较低时，应增加施药量。 3. 如施药后4小时内下雨，会影响药效，应酌情补喷。注意避免飘移药害。4. 禁止在田间道路、田埂、果树行间、休耕地、林场林地等农林业区域使用。</w:t>
            </w:r>
          </w:p>
        </w:tc>
      </w:tr>
      <w:tr w14:paraId="260CD9E1">
        <w:tblPrEx>
          <w:tblCellMar>
            <w:top w:w="0" w:type="dxa"/>
            <w:left w:w="0" w:type="dxa"/>
            <w:bottom w:w="0" w:type="dxa"/>
            <w:right w:w="0" w:type="dxa"/>
          </w:tblCellMar>
        </w:tblPrEx>
        <w:trPr>
          <w:wBefore w:w="0" w:type="auto"/>
          <w:tblCellSpacing w:w="0" w:type="dxa"/>
        </w:trPr>
        <w:tc>
          <w:tcPr>
            <w:tcW w:w="0" w:type="auto"/>
            <w:noWrap w:val="0"/>
            <w:vAlign w:val="center"/>
          </w:tcPr>
          <w:p w14:paraId="15E4FD06">
            <w:r>
              <w:rPr>
                <w:rStyle w:val="10"/>
                <w:rFonts w:hint="eastAsia"/>
              </w:rPr>
              <w:t>产品性能:</w:t>
            </w:r>
            <w:r>
              <w:rPr>
                <w:rFonts w:hint="eastAsia"/>
              </w:rPr>
              <w:br w:type="textWrapping"/>
            </w:r>
            <w:r>
              <w:rPr>
                <w:rStyle w:val="11"/>
                <w:rFonts w:hint="eastAsia"/>
              </w:rPr>
              <w:t>本品为内吸传导型的灭生性除草剂草甘膦、苯氧羧酸类除草剂2甲4氯与选择性的芽前除草剂乙羧氟草醚的复配剂，用于非耕地杂草生长旺盛期喷雾，一般杂草受药后7-15天枯黄而死，防除非耕地杂草有良好效果。</w:t>
            </w:r>
          </w:p>
        </w:tc>
      </w:tr>
      <w:tr w14:paraId="0ACDDFD1">
        <w:tblPrEx>
          <w:tblCellMar>
            <w:top w:w="0" w:type="dxa"/>
            <w:left w:w="0" w:type="dxa"/>
            <w:bottom w:w="0" w:type="dxa"/>
            <w:right w:w="0" w:type="dxa"/>
          </w:tblCellMar>
        </w:tblPrEx>
        <w:trPr>
          <w:wBefore w:w="0" w:type="auto"/>
          <w:tblCellSpacing w:w="0" w:type="dxa"/>
        </w:trPr>
        <w:tc>
          <w:tcPr>
            <w:tcW w:w="0" w:type="auto"/>
            <w:noWrap w:val="0"/>
            <w:vAlign w:val="center"/>
          </w:tcPr>
          <w:p w14:paraId="478147CF">
            <w:r>
              <w:rPr>
                <w:rStyle w:val="10"/>
                <w:rFonts w:hint="eastAsia"/>
              </w:rPr>
              <w:t>注意事项：</w:t>
            </w:r>
            <w:r>
              <w:rPr>
                <w:rFonts w:hint="eastAsia"/>
              </w:rPr>
              <w:br w:type="textWrapping"/>
            </w:r>
            <w:r>
              <w:rPr>
                <w:rStyle w:val="11"/>
                <w:rFonts w:hint="eastAsia"/>
              </w:rPr>
              <w:t>1. 草甘膦与土壤接触失去活性，配置药液勿用浊水以免降低药效，选择晴天喷药。 2. 施药时应防止药液飘移到苹果树幼嫩茎叶上及邻近作物田。 3. 施药时穿长衣长裤、戴口罩、眼镜等；此时不能饮水、吸烟等；施药后洗干净手脸等。 4. 本品对眼睛有刺激性，使用时避免接触眼睛，穿戴长衣、长裤、帽子、口罩、手套等防护措施。 5. 本品为灭生性除草剂，使用时勿使药液飘移到邻近作物上，防止发生药害。 6. 本品对蜜蜂、鱼类等水生生物、家蚕有毒，施药期间应避免对周围蜂群的影响、开花植物花期、蚕室和桑园附近禁用，可将最外围桑树作为隔离带，不可使用最外围桑树上的叶片饲喂家蚕。勿将药液倒入河塘、鱼塘中，以免鱼类中毒。赤眼蜂等天敌放飞区域禁用此产品。水产养殖区、河塘等水体附近禁用；禁止在河塘等水体中清洗施药器具。 7.用过的容器、废弃物要妥善处理，不能随意丢弃，也不能做他用。 8. 避免孕妇及哺乳期妇女接触本品。</w:t>
            </w:r>
          </w:p>
        </w:tc>
      </w:tr>
      <w:tr w14:paraId="055D2B39">
        <w:tblPrEx>
          <w:tblCellMar>
            <w:top w:w="0" w:type="dxa"/>
            <w:left w:w="0" w:type="dxa"/>
            <w:bottom w:w="0" w:type="dxa"/>
            <w:right w:w="0" w:type="dxa"/>
          </w:tblCellMar>
        </w:tblPrEx>
        <w:trPr>
          <w:wBefore w:w="0" w:type="auto"/>
          <w:tblCellSpacing w:w="0" w:type="dxa"/>
        </w:trPr>
        <w:tc>
          <w:tcPr>
            <w:tcW w:w="0" w:type="auto"/>
            <w:noWrap w:val="0"/>
            <w:vAlign w:val="center"/>
          </w:tcPr>
          <w:p w14:paraId="6B5C06E1">
            <w:r>
              <w:rPr>
                <w:rStyle w:val="10"/>
                <w:rFonts w:hint="eastAsia"/>
              </w:rPr>
              <w:t>中毒急救措施：</w:t>
            </w:r>
            <w:r>
              <w:rPr>
                <w:rFonts w:hint="eastAsia"/>
              </w:rPr>
              <w:br w:type="textWrapping"/>
            </w:r>
            <w:r>
              <w:rPr>
                <w:rStyle w:val="11"/>
                <w:rFonts w:hint="eastAsia"/>
              </w:rPr>
              <w:t>中毒症状：对眼睛有较强刺激性。 急救措施：使用中或使用后如果感觉不适，应立即停止工作，采取急救措施，并携带标签送医院就诊。眼睛接触：提起眼睑，用流动清水冲洗至少15分钟，如仍不适，请就医治疗。皮肤接触：脱掉污染衣物，用软布去除污染农药，用大量清水和肥皂冲洗。吸入：立即离开施药现场，转移到空气新鲜处。误服：立即停止服用，用清水充分漱口后，立即携带标签到医院就诊。</w:t>
            </w:r>
          </w:p>
        </w:tc>
      </w:tr>
      <w:tr w14:paraId="63AFA8EB">
        <w:tblPrEx>
          <w:tblCellMar>
            <w:top w:w="0" w:type="dxa"/>
            <w:left w:w="0" w:type="dxa"/>
            <w:bottom w:w="0" w:type="dxa"/>
            <w:right w:w="0" w:type="dxa"/>
          </w:tblCellMar>
        </w:tblPrEx>
        <w:trPr>
          <w:wBefore w:w="0" w:type="auto"/>
          <w:tblCellSpacing w:w="0" w:type="dxa"/>
        </w:trPr>
        <w:tc>
          <w:tcPr>
            <w:tcW w:w="0" w:type="auto"/>
            <w:noWrap w:val="0"/>
            <w:vAlign w:val="center"/>
          </w:tcPr>
          <w:p w14:paraId="5607B77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本品应贮存在干燥、阴凉、通风、防雨处，远离火源或热源。置于儿童、无关人员及动物接触不到的地方，并加锁保存。勿与食品、种子、饲料、粮食等同贮同运。</w:t>
            </w:r>
          </w:p>
        </w:tc>
      </w:tr>
      <w:tr w14:paraId="242FB117">
        <w:tblPrEx>
          <w:tblCellMar>
            <w:top w:w="0" w:type="dxa"/>
            <w:left w:w="0" w:type="dxa"/>
            <w:bottom w:w="0" w:type="dxa"/>
            <w:right w:w="0" w:type="dxa"/>
          </w:tblCellMar>
        </w:tblPrEx>
        <w:trPr>
          <w:wBefore w:w="0" w:type="auto"/>
          <w:tblCellSpacing w:w="0" w:type="dxa"/>
        </w:trPr>
        <w:tc>
          <w:tcPr>
            <w:tcW w:w="0" w:type="auto"/>
            <w:noWrap w:val="0"/>
            <w:vAlign w:val="center"/>
          </w:tcPr>
          <w:p w14:paraId="23E08DF4">
            <w:r>
              <w:rPr>
                <w:rStyle w:val="10"/>
                <w:rFonts w:hint="eastAsia"/>
              </w:rPr>
              <w:t>质量保证期：</w:t>
            </w:r>
            <w:r>
              <w:rPr>
                <w:rStyle w:val="11"/>
                <w:rFonts w:hint="eastAsia"/>
              </w:rPr>
              <w:t>2年</w:t>
            </w:r>
          </w:p>
        </w:tc>
      </w:tr>
      <w:tr w14:paraId="319AC032">
        <w:tblPrEx>
          <w:tblCellMar>
            <w:top w:w="0" w:type="dxa"/>
            <w:left w:w="0" w:type="dxa"/>
            <w:bottom w:w="0" w:type="dxa"/>
            <w:right w:w="0" w:type="dxa"/>
          </w:tblCellMar>
        </w:tblPrEx>
        <w:trPr>
          <w:wBefore w:w="0" w:type="auto"/>
          <w:tblCellSpacing w:w="0" w:type="dxa"/>
        </w:trPr>
        <w:tc>
          <w:tcPr>
            <w:tcW w:w="0" w:type="auto"/>
            <w:noWrap w:val="0"/>
            <w:vAlign w:val="center"/>
          </w:tcPr>
          <w:p w14:paraId="5E3E37D4">
            <w:r>
              <w:rPr>
                <w:rStyle w:val="10"/>
                <w:rFonts w:hint="eastAsia"/>
              </w:rPr>
              <w:t>备注：</w:t>
            </w:r>
            <w:r>
              <w:rPr>
                <w:rFonts w:hint="eastAsia"/>
              </w:rPr>
              <w:br w:type="textWrapping"/>
            </w:r>
            <w:r>
              <w:rPr>
                <w:rStyle w:val="11"/>
                <w:rFonts w:hint="eastAsia"/>
              </w:rPr>
              <w:t>草甘膦铵盐80%；2甲4氯钠5.5%。</w:t>
            </w:r>
          </w:p>
        </w:tc>
      </w:tr>
    </w:tbl>
    <w:p w14:paraId="3AE980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172B47">
        <w:tblPrEx>
          <w:tblCellMar>
            <w:top w:w="0" w:type="dxa"/>
            <w:left w:w="0" w:type="dxa"/>
            <w:bottom w:w="0" w:type="dxa"/>
            <w:right w:w="0" w:type="dxa"/>
          </w:tblCellMar>
        </w:tblPrEx>
        <w:trPr>
          <w:wBefore w:w="0" w:type="auto"/>
          <w:tblCellSpacing w:w="0" w:type="dxa"/>
        </w:trPr>
        <w:tc>
          <w:tcPr>
            <w:tcW w:w="0" w:type="auto"/>
            <w:noWrap w:val="0"/>
            <w:vAlign w:val="center"/>
          </w:tcPr>
          <w:p w14:paraId="1F0407B7">
            <w:r>
              <w:rPr>
                <w:rStyle w:val="10"/>
                <w:rFonts w:hint="eastAsia"/>
              </w:rPr>
              <w:t>登记证号：</w:t>
            </w:r>
            <w:r>
              <w:rPr>
                <w:rFonts w:hint="eastAsia"/>
              </w:rPr>
              <w:t>PD20212627</w:t>
            </w:r>
          </w:p>
        </w:tc>
      </w:tr>
      <w:tr w14:paraId="6E36EA72">
        <w:tblPrEx>
          <w:tblCellMar>
            <w:top w:w="0" w:type="dxa"/>
            <w:left w:w="0" w:type="dxa"/>
            <w:bottom w:w="0" w:type="dxa"/>
            <w:right w:w="0" w:type="dxa"/>
          </w:tblCellMar>
        </w:tblPrEx>
        <w:trPr>
          <w:wBefore w:w="0" w:type="auto"/>
          <w:tblCellSpacing w:w="0" w:type="dxa"/>
        </w:trPr>
        <w:tc>
          <w:tcPr>
            <w:tcW w:w="0" w:type="auto"/>
            <w:noWrap w:val="0"/>
            <w:vAlign w:val="center"/>
          </w:tcPr>
          <w:p w14:paraId="7D4D8584">
            <w:r>
              <w:rPr>
                <w:rStyle w:val="10"/>
                <w:rFonts w:hint="eastAsia"/>
              </w:rPr>
              <w:t>登记证持有人：</w:t>
            </w:r>
            <w:r>
              <w:rPr>
                <w:rFonts w:hint="eastAsia"/>
              </w:rPr>
              <w:t>侨昌现代农业有限公司</w:t>
            </w:r>
          </w:p>
        </w:tc>
      </w:tr>
      <w:tr w14:paraId="6AF2322A">
        <w:tblPrEx>
          <w:tblCellMar>
            <w:top w:w="0" w:type="dxa"/>
            <w:left w:w="0" w:type="dxa"/>
            <w:bottom w:w="0" w:type="dxa"/>
            <w:right w:w="0" w:type="dxa"/>
          </w:tblCellMar>
        </w:tblPrEx>
        <w:trPr>
          <w:wBefore w:w="0" w:type="auto"/>
          <w:tblCellSpacing w:w="0" w:type="dxa"/>
        </w:trPr>
        <w:tc>
          <w:tcPr>
            <w:tcW w:w="0" w:type="auto"/>
            <w:noWrap w:val="0"/>
            <w:vAlign w:val="center"/>
          </w:tcPr>
          <w:p w14:paraId="5AB767C7">
            <w:r>
              <w:rPr>
                <w:rStyle w:val="10"/>
                <w:rFonts w:hint="eastAsia"/>
              </w:rPr>
              <w:t>农药名称：</w:t>
            </w:r>
            <w:r>
              <w:rPr>
                <w:rFonts w:hint="eastAsia"/>
              </w:rPr>
              <w:t>丙炔氟草胺·二甲戊灵</w:t>
            </w:r>
          </w:p>
        </w:tc>
      </w:tr>
      <w:tr w14:paraId="639FECB8">
        <w:tblPrEx>
          <w:tblCellMar>
            <w:top w:w="0" w:type="dxa"/>
            <w:left w:w="0" w:type="dxa"/>
            <w:bottom w:w="0" w:type="dxa"/>
            <w:right w:w="0" w:type="dxa"/>
          </w:tblCellMar>
        </w:tblPrEx>
        <w:trPr>
          <w:wBefore w:w="0" w:type="auto"/>
          <w:tblCellSpacing w:w="0" w:type="dxa"/>
        </w:trPr>
        <w:tc>
          <w:tcPr>
            <w:tcW w:w="0" w:type="auto"/>
            <w:noWrap w:val="0"/>
            <w:vAlign w:val="center"/>
          </w:tcPr>
          <w:p w14:paraId="7078B71E">
            <w:r>
              <w:rPr>
                <w:rStyle w:val="10"/>
                <w:rFonts w:hint="eastAsia"/>
              </w:rPr>
              <w:t>剂型：</w:t>
            </w:r>
            <w:r>
              <w:rPr>
                <w:rFonts w:hint="eastAsia"/>
              </w:rPr>
              <w:t>乳油</w:t>
            </w:r>
          </w:p>
        </w:tc>
      </w:tr>
      <w:tr w14:paraId="4B8AEF45">
        <w:tblPrEx>
          <w:tblCellMar>
            <w:top w:w="0" w:type="dxa"/>
            <w:left w:w="0" w:type="dxa"/>
            <w:bottom w:w="0" w:type="dxa"/>
            <w:right w:w="0" w:type="dxa"/>
          </w:tblCellMar>
        </w:tblPrEx>
        <w:trPr>
          <w:wBefore w:w="0" w:type="auto"/>
          <w:tblCellSpacing w:w="0" w:type="dxa"/>
        </w:trPr>
        <w:tc>
          <w:tcPr>
            <w:tcW w:w="0" w:type="auto"/>
            <w:noWrap w:val="0"/>
            <w:vAlign w:val="center"/>
          </w:tcPr>
          <w:p w14:paraId="27EB9A70">
            <w:r>
              <w:rPr>
                <w:rStyle w:val="10"/>
                <w:rFonts w:hint="eastAsia"/>
              </w:rPr>
              <w:t>毒性及其标识：</w:t>
            </w:r>
            <w:r>
              <w:rPr>
                <w:rFonts w:hint="eastAsia"/>
              </w:rPr>
              <w:t xml:space="preserve"> </w:t>
            </w:r>
            <w:r>
              <w:rPr>
                <w:lang/>
              </w:rPr>
              <w:drawing>
                <wp:inline distT="0" distB="0" distL="114300" distR="114300">
                  <wp:extent cx="476250" cy="323850"/>
                  <wp:effectExtent l="0" t="0" r="0" b="0"/>
                  <wp:docPr id="49" name="图片 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A2E967">
        <w:tblPrEx>
          <w:tblCellMar>
            <w:top w:w="0" w:type="dxa"/>
            <w:left w:w="0" w:type="dxa"/>
            <w:bottom w:w="0" w:type="dxa"/>
            <w:right w:w="0" w:type="dxa"/>
          </w:tblCellMar>
        </w:tblPrEx>
        <w:trPr>
          <w:wBefore w:w="0" w:type="auto"/>
          <w:tblCellSpacing w:w="0" w:type="dxa"/>
        </w:trPr>
        <w:tc>
          <w:tcPr>
            <w:tcW w:w="0" w:type="auto"/>
            <w:noWrap w:val="0"/>
            <w:vAlign w:val="center"/>
          </w:tcPr>
          <w:p w14:paraId="022AF5B8">
            <w:r>
              <w:rPr>
                <w:rStyle w:val="10"/>
                <w:rFonts w:hint="eastAsia"/>
              </w:rPr>
              <w:t>总有效成分含量：</w:t>
            </w:r>
            <w:r>
              <w:rPr>
                <w:rFonts w:hint="eastAsia"/>
              </w:rPr>
              <w:t>34%</w:t>
            </w:r>
          </w:p>
        </w:tc>
      </w:tr>
      <w:tr w14:paraId="074DC084">
        <w:tblPrEx>
          <w:tblCellMar>
            <w:top w:w="0" w:type="dxa"/>
            <w:left w:w="0" w:type="dxa"/>
            <w:bottom w:w="0" w:type="dxa"/>
            <w:right w:w="0" w:type="dxa"/>
          </w:tblCellMar>
        </w:tblPrEx>
        <w:trPr>
          <w:wBefore w:w="0" w:type="auto"/>
          <w:tblCellSpacing w:w="0" w:type="dxa"/>
        </w:trPr>
        <w:tc>
          <w:tcPr>
            <w:tcW w:w="0" w:type="auto"/>
            <w:noWrap w:val="0"/>
            <w:vAlign w:val="center"/>
          </w:tcPr>
          <w:p w14:paraId="70A31A2D">
            <w:r>
              <w:rPr>
                <w:rFonts w:hint="eastAsia"/>
              </w:rPr>
              <w:t xml:space="preserve">有效成分及其含量： </w:t>
            </w:r>
          </w:p>
          <w:p w14:paraId="087598C9">
            <w:r>
              <w:rPr>
                <w:rFonts w:hint="eastAsia"/>
              </w:rPr>
              <w:t xml:space="preserve">    二甲戊灵31%    丙炔氟草胺3%    </w:t>
            </w:r>
          </w:p>
        </w:tc>
      </w:tr>
      <w:tr w14:paraId="70FFA3C0">
        <w:tblPrEx>
          <w:tblCellMar>
            <w:top w:w="0" w:type="dxa"/>
            <w:left w:w="0" w:type="dxa"/>
            <w:bottom w:w="0" w:type="dxa"/>
            <w:right w:w="0" w:type="dxa"/>
          </w:tblCellMar>
        </w:tblPrEx>
        <w:trPr>
          <w:wBefore w:w="0" w:type="auto"/>
          <w:tblCellSpacing w:w="0" w:type="dxa"/>
        </w:trPr>
        <w:tc>
          <w:tcPr>
            <w:tcW w:w="0" w:type="auto"/>
            <w:noWrap w:val="0"/>
            <w:vAlign w:val="center"/>
          </w:tcPr>
          <w:p w14:paraId="4BF9F7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6823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7A89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2C59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CF69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E7B5DA">
                  <w:r>
                    <w:rPr>
                      <w:rStyle w:val="11"/>
                      <w:rFonts w:hint="eastAsia"/>
                    </w:rPr>
                    <w:t>施用方式</w:t>
                  </w:r>
                </w:p>
              </w:tc>
            </w:tr>
            <w:tr w14:paraId="7B6E8D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52E17A">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5634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3BA242">
                  <w:r>
                    <w:rPr>
                      <w:rStyle w:val="11"/>
                      <w:rFonts w:hint="eastAsia"/>
                    </w:rPr>
                    <w:t>135-170毫升/亩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D8A8B2">
                  <w:r>
                    <w:rPr>
                      <w:rStyle w:val="11"/>
                      <w:rFonts w:hint="eastAsia"/>
                    </w:rPr>
                    <w:t>土壤喷雾</w:t>
                  </w:r>
                </w:p>
              </w:tc>
            </w:tr>
          </w:tbl>
          <w:p w14:paraId="1E73379E">
            <w:pPr>
              <w:rPr>
                <w:rFonts w:ascii="Times New Roman" w:hAnsi="Times New Roman" w:cs="Times New Roman"/>
                <w:sz w:val="20"/>
                <w:szCs w:val="20"/>
              </w:rPr>
            </w:pPr>
          </w:p>
        </w:tc>
      </w:tr>
      <w:tr w14:paraId="55232820">
        <w:trPr>
          <w:wBefore w:w="0" w:type="auto"/>
          <w:tblCellSpacing w:w="0" w:type="dxa"/>
        </w:trPr>
        <w:tc>
          <w:tcPr>
            <w:tcW w:w="0" w:type="auto"/>
            <w:noWrap w:val="0"/>
            <w:vAlign w:val="center"/>
          </w:tcPr>
          <w:p w14:paraId="7592DED0">
            <w:r>
              <w:rPr>
                <w:rStyle w:val="10"/>
                <w:rFonts w:hint="eastAsia"/>
              </w:rPr>
              <w:t>使用技术要求:</w:t>
            </w:r>
            <w:r>
              <w:rPr>
                <w:rFonts w:hint="eastAsia"/>
              </w:rPr>
              <w:br w:type="textWrapping"/>
            </w:r>
            <w:r>
              <w:rPr>
                <w:rStyle w:val="11"/>
                <w:rFonts w:hint="eastAsia"/>
              </w:rPr>
              <w:t>1、棉花播前1-3天，每亩兑水40-60升，均匀喷雾于土表，药后浅混土（3-5cm）。 2、施药时应周到、均匀，勿重喷或漏喷。3、土壤处理前，请整平地面，避免有大土块及植物残渣。在低温、干旱或施药后降大雨会影响药效，应避免使用。4、每季最多使用1次。5、勿超剂量使用避免药害。6、尽量选择无风的天气施药，避免飘移药害。</w:t>
            </w:r>
          </w:p>
        </w:tc>
      </w:tr>
      <w:tr w14:paraId="776A479B">
        <w:tblPrEx>
          <w:tblCellMar>
            <w:top w:w="0" w:type="dxa"/>
            <w:left w:w="0" w:type="dxa"/>
            <w:bottom w:w="0" w:type="dxa"/>
            <w:right w:w="0" w:type="dxa"/>
          </w:tblCellMar>
        </w:tblPrEx>
        <w:trPr>
          <w:wBefore w:w="0" w:type="auto"/>
          <w:tblCellSpacing w:w="0" w:type="dxa"/>
        </w:trPr>
        <w:tc>
          <w:tcPr>
            <w:tcW w:w="0" w:type="auto"/>
            <w:noWrap w:val="0"/>
            <w:vAlign w:val="center"/>
          </w:tcPr>
          <w:p w14:paraId="13698F8B">
            <w:r>
              <w:rPr>
                <w:rStyle w:val="10"/>
                <w:rFonts w:hint="eastAsia"/>
              </w:rPr>
              <w:t>产品性能:</w:t>
            </w:r>
            <w:r>
              <w:rPr>
                <w:rFonts w:hint="eastAsia"/>
              </w:rPr>
              <w:br w:type="textWrapping"/>
            </w:r>
            <w:r>
              <w:rPr>
                <w:rStyle w:val="11"/>
                <w:rFonts w:hint="eastAsia"/>
              </w:rPr>
              <w:t>本品稳定的均相液体，无可见悬浮物和沉淀，可有效防除棉花田一年生杂草。</w:t>
            </w:r>
          </w:p>
        </w:tc>
      </w:tr>
      <w:tr w14:paraId="113100E6">
        <w:tblPrEx>
          <w:tblCellMar>
            <w:top w:w="0" w:type="dxa"/>
            <w:left w:w="0" w:type="dxa"/>
            <w:bottom w:w="0" w:type="dxa"/>
            <w:right w:w="0" w:type="dxa"/>
          </w:tblCellMar>
        </w:tblPrEx>
        <w:trPr>
          <w:wBefore w:w="0" w:type="auto"/>
          <w:tblCellSpacing w:w="0" w:type="dxa"/>
        </w:trPr>
        <w:tc>
          <w:tcPr>
            <w:tcW w:w="0" w:type="auto"/>
            <w:noWrap w:val="0"/>
            <w:vAlign w:val="center"/>
          </w:tcPr>
          <w:p w14:paraId="6C0D7705">
            <w:r>
              <w:rPr>
                <w:rStyle w:val="10"/>
                <w:rFonts w:hint="eastAsia"/>
              </w:rPr>
              <w:t>注意事项：</w:t>
            </w:r>
            <w:r>
              <w:rPr>
                <w:rFonts w:hint="eastAsia"/>
              </w:rPr>
              <w:br w:type="textWrapping"/>
            </w:r>
            <w:r>
              <w:rPr>
                <w:rStyle w:val="11"/>
                <w:rFonts w:hint="eastAsia"/>
              </w:rPr>
              <w:t>1、施药前保证土壤湿度，施药混土后不动表土层能提高药效，土壤干燥或施药表土层被破坏均会降低除草效果，2、本品对蜜蜂、鱼类等水生生物、家蚕有毒，施药期间应避免对周围蜂群的影响，禁止在开花植物花期、蚕室和桑园附近使用。赤眼蜂等天敌放飞区域禁用。地下水、饮用水水源地禁用。3、远离水产养殖区、河塘等水域施药。4、使用本品时应穿防护服、戴口罩、手套等防护用具，避免吸入药液；施药期间不可吃东西、喝水、吸烟等。施药后应及时洗手、洗脸等。5、禁止在河塘等水域内清洗施药器具或将清洗施药器具的废水倒入河流、池塘等水源。6、废弃物应妥善处理，不可做他用，也不可随意丢弃。7、孕妇及哺乳期妇女避免接触本品。</w:t>
            </w:r>
          </w:p>
        </w:tc>
      </w:tr>
      <w:tr w14:paraId="4A053279">
        <w:tblPrEx>
          <w:tblCellMar>
            <w:top w:w="0" w:type="dxa"/>
            <w:left w:w="0" w:type="dxa"/>
            <w:bottom w:w="0" w:type="dxa"/>
            <w:right w:w="0" w:type="dxa"/>
          </w:tblCellMar>
        </w:tblPrEx>
        <w:trPr>
          <w:wBefore w:w="0" w:type="auto"/>
          <w:tblCellSpacing w:w="0" w:type="dxa"/>
        </w:trPr>
        <w:tc>
          <w:tcPr>
            <w:tcW w:w="0" w:type="auto"/>
            <w:noWrap w:val="0"/>
            <w:vAlign w:val="center"/>
          </w:tcPr>
          <w:p w14:paraId="5E6D58BC">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无特效解毒剂。</w:t>
            </w:r>
          </w:p>
        </w:tc>
      </w:tr>
      <w:tr w14:paraId="65E40170">
        <w:tblPrEx>
          <w:tblCellMar>
            <w:top w:w="0" w:type="dxa"/>
            <w:left w:w="0" w:type="dxa"/>
            <w:bottom w:w="0" w:type="dxa"/>
            <w:right w:w="0" w:type="dxa"/>
          </w:tblCellMar>
        </w:tblPrEx>
        <w:trPr>
          <w:wBefore w:w="0" w:type="auto"/>
          <w:tblCellSpacing w:w="0" w:type="dxa"/>
        </w:trPr>
        <w:tc>
          <w:tcPr>
            <w:tcW w:w="0" w:type="auto"/>
            <w:noWrap w:val="0"/>
            <w:vAlign w:val="center"/>
          </w:tcPr>
          <w:p w14:paraId="0C249962">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1B4515A5">
        <w:tblPrEx>
          <w:tblCellMar>
            <w:top w:w="0" w:type="dxa"/>
            <w:left w:w="0" w:type="dxa"/>
            <w:bottom w:w="0" w:type="dxa"/>
            <w:right w:w="0" w:type="dxa"/>
          </w:tblCellMar>
        </w:tblPrEx>
        <w:trPr>
          <w:wBefore w:w="0" w:type="auto"/>
          <w:tblCellSpacing w:w="0" w:type="dxa"/>
        </w:trPr>
        <w:tc>
          <w:tcPr>
            <w:tcW w:w="0" w:type="auto"/>
            <w:noWrap w:val="0"/>
            <w:vAlign w:val="center"/>
          </w:tcPr>
          <w:p w14:paraId="04303E98">
            <w:r>
              <w:rPr>
                <w:rStyle w:val="10"/>
                <w:rFonts w:hint="eastAsia"/>
              </w:rPr>
              <w:t>质量保证期：</w:t>
            </w:r>
            <w:r>
              <w:rPr>
                <w:rStyle w:val="11"/>
                <w:rFonts w:hint="eastAsia"/>
              </w:rPr>
              <w:t>2年</w:t>
            </w:r>
          </w:p>
        </w:tc>
      </w:tr>
      <w:tr w14:paraId="2AC7D9A2">
        <w:tblPrEx>
          <w:tblCellMar>
            <w:top w:w="0" w:type="dxa"/>
            <w:left w:w="0" w:type="dxa"/>
            <w:bottom w:w="0" w:type="dxa"/>
            <w:right w:w="0" w:type="dxa"/>
          </w:tblCellMar>
        </w:tblPrEx>
        <w:trPr>
          <w:wBefore w:w="0" w:type="auto"/>
          <w:tblCellSpacing w:w="0" w:type="dxa"/>
        </w:trPr>
        <w:tc>
          <w:tcPr>
            <w:tcW w:w="0" w:type="auto"/>
            <w:noWrap w:val="0"/>
            <w:vAlign w:val="center"/>
          </w:tcPr>
          <w:p w14:paraId="543994D1">
            <w:r>
              <w:rPr>
                <w:rStyle w:val="10"/>
                <w:rFonts w:hint="eastAsia"/>
              </w:rPr>
              <w:t>备注：</w:t>
            </w:r>
          </w:p>
        </w:tc>
      </w:tr>
    </w:tbl>
    <w:p w14:paraId="0E4BB9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C54FFB">
        <w:tblPrEx>
          <w:tblCellMar>
            <w:top w:w="0" w:type="dxa"/>
            <w:left w:w="0" w:type="dxa"/>
            <w:bottom w:w="0" w:type="dxa"/>
            <w:right w:w="0" w:type="dxa"/>
          </w:tblCellMar>
        </w:tblPrEx>
        <w:trPr>
          <w:wBefore w:w="0" w:type="auto"/>
          <w:tblCellSpacing w:w="0" w:type="dxa"/>
        </w:trPr>
        <w:tc>
          <w:tcPr>
            <w:tcW w:w="0" w:type="auto"/>
            <w:noWrap w:val="0"/>
            <w:vAlign w:val="center"/>
          </w:tcPr>
          <w:p w14:paraId="00A41868">
            <w:r>
              <w:rPr>
                <w:rStyle w:val="10"/>
                <w:rFonts w:hint="eastAsia"/>
              </w:rPr>
              <w:t>登记证号：</w:t>
            </w:r>
            <w:r>
              <w:rPr>
                <w:rFonts w:hint="eastAsia"/>
              </w:rPr>
              <w:t>PD20212435</w:t>
            </w:r>
          </w:p>
        </w:tc>
      </w:tr>
      <w:tr w14:paraId="6640CAD0">
        <w:tblPrEx>
          <w:tblCellMar>
            <w:top w:w="0" w:type="dxa"/>
            <w:left w:w="0" w:type="dxa"/>
            <w:bottom w:w="0" w:type="dxa"/>
            <w:right w:w="0" w:type="dxa"/>
          </w:tblCellMar>
        </w:tblPrEx>
        <w:trPr>
          <w:wBefore w:w="0" w:type="auto"/>
          <w:tblCellSpacing w:w="0" w:type="dxa"/>
        </w:trPr>
        <w:tc>
          <w:tcPr>
            <w:tcW w:w="0" w:type="auto"/>
            <w:noWrap w:val="0"/>
            <w:vAlign w:val="center"/>
          </w:tcPr>
          <w:p w14:paraId="6F8D3517">
            <w:r>
              <w:rPr>
                <w:rStyle w:val="10"/>
                <w:rFonts w:hint="eastAsia"/>
              </w:rPr>
              <w:t>登记证持有人：</w:t>
            </w:r>
            <w:r>
              <w:rPr>
                <w:rFonts w:hint="eastAsia"/>
              </w:rPr>
              <w:t>广西兄弟农药厂</w:t>
            </w:r>
          </w:p>
        </w:tc>
      </w:tr>
      <w:tr w14:paraId="552338AF">
        <w:tblPrEx>
          <w:tblCellMar>
            <w:top w:w="0" w:type="dxa"/>
            <w:left w:w="0" w:type="dxa"/>
            <w:bottom w:w="0" w:type="dxa"/>
            <w:right w:w="0" w:type="dxa"/>
          </w:tblCellMar>
        </w:tblPrEx>
        <w:trPr>
          <w:wBefore w:w="0" w:type="auto"/>
          <w:tblCellSpacing w:w="0" w:type="dxa"/>
        </w:trPr>
        <w:tc>
          <w:tcPr>
            <w:tcW w:w="0" w:type="auto"/>
            <w:noWrap w:val="0"/>
            <w:vAlign w:val="center"/>
          </w:tcPr>
          <w:p w14:paraId="672936A6">
            <w:r>
              <w:rPr>
                <w:rStyle w:val="10"/>
                <w:rFonts w:hint="eastAsia"/>
              </w:rPr>
              <w:t>农药名称：</w:t>
            </w:r>
            <w:r>
              <w:rPr>
                <w:rFonts w:hint="eastAsia"/>
              </w:rPr>
              <w:t>联苯菊酯</w:t>
            </w:r>
          </w:p>
        </w:tc>
      </w:tr>
      <w:tr w14:paraId="636BF301">
        <w:tblPrEx>
          <w:tblCellMar>
            <w:top w:w="0" w:type="dxa"/>
            <w:left w:w="0" w:type="dxa"/>
            <w:bottom w:w="0" w:type="dxa"/>
            <w:right w:w="0" w:type="dxa"/>
          </w:tblCellMar>
        </w:tblPrEx>
        <w:trPr>
          <w:wBefore w:w="0" w:type="auto"/>
          <w:tblCellSpacing w:w="0" w:type="dxa"/>
        </w:trPr>
        <w:tc>
          <w:tcPr>
            <w:tcW w:w="0" w:type="auto"/>
            <w:noWrap w:val="0"/>
            <w:vAlign w:val="center"/>
          </w:tcPr>
          <w:p w14:paraId="4DDAC133">
            <w:r>
              <w:rPr>
                <w:rStyle w:val="10"/>
                <w:rFonts w:hint="eastAsia"/>
              </w:rPr>
              <w:t>剂型：</w:t>
            </w:r>
            <w:r>
              <w:rPr>
                <w:rFonts w:hint="eastAsia"/>
              </w:rPr>
              <w:t>微乳剂</w:t>
            </w:r>
          </w:p>
        </w:tc>
      </w:tr>
      <w:tr w14:paraId="5E43CED0">
        <w:tblPrEx>
          <w:tblCellMar>
            <w:top w:w="0" w:type="dxa"/>
            <w:left w:w="0" w:type="dxa"/>
            <w:bottom w:w="0" w:type="dxa"/>
            <w:right w:w="0" w:type="dxa"/>
          </w:tblCellMar>
        </w:tblPrEx>
        <w:trPr>
          <w:wBefore w:w="0" w:type="auto"/>
          <w:tblCellSpacing w:w="0" w:type="dxa"/>
        </w:trPr>
        <w:tc>
          <w:tcPr>
            <w:tcW w:w="0" w:type="auto"/>
            <w:noWrap w:val="0"/>
            <w:vAlign w:val="center"/>
          </w:tcPr>
          <w:p w14:paraId="55DE639F">
            <w:r>
              <w:rPr>
                <w:rStyle w:val="10"/>
                <w:rFonts w:hint="eastAsia"/>
              </w:rPr>
              <w:t>毒性及其标识：</w:t>
            </w:r>
            <w:r>
              <w:rPr>
                <w:rFonts w:hint="eastAsia"/>
              </w:rPr>
              <w:t xml:space="preserve"> </w:t>
            </w:r>
            <w:r>
              <w:rPr>
                <w:lang/>
              </w:rPr>
              <w:drawing>
                <wp:inline distT="0" distB="0" distL="114300" distR="114300">
                  <wp:extent cx="476250" cy="323850"/>
                  <wp:effectExtent l="0" t="0" r="0" b="0"/>
                  <wp:docPr id="50" name="图片 50"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751E2BB">
        <w:tblPrEx>
          <w:tblCellMar>
            <w:top w:w="0" w:type="dxa"/>
            <w:left w:w="0" w:type="dxa"/>
            <w:bottom w:w="0" w:type="dxa"/>
            <w:right w:w="0" w:type="dxa"/>
          </w:tblCellMar>
        </w:tblPrEx>
        <w:trPr>
          <w:wBefore w:w="0" w:type="auto"/>
          <w:tblCellSpacing w:w="0" w:type="dxa"/>
        </w:trPr>
        <w:tc>
          <w:tcPr>
            <w:tcW w:w="0" w:type="auto"/>
            <w:noWrap w:val="0"/>
            <w:vAlign w:val="center"/>
          </w:tcPr>
          <w:p w14:paraId="5AB650A4">
            <w:r>
              <w:rPr>
                <w:rStyle w:val="10"/>
                <w:rFonts w:hint="eastAsia"/>
              </w:rPr>
              <w:t>总有效成分含量：</w:t>
            </w:r>
            <w:r>
              <w:rPr>
                <w:rFonts w:hint="eastAsia"/>
              </w:rPr>
              <w:t>10%</w:t>
            </w:r>
          </w:p>
        </w:tc>
      </w:tr>
      <w:tr w14:paraId="1C5BE10B">
        <w:tblPrEx>
          <w:tblCellMar>
            <w:top w:w="0" w:type="dxa"/>
            <w:left w:w="0" w:type="dxa"/>
            <w:bottom w:w="0" w:type="dxa"/>
            <w:right w:w="0" w:type="dxa"/>
          </w:tblCellMar>
        </w:tblPrEx>
        <w:trPr>
          <w:wBefore w:w="0" w:type="auto"/>
          <w:tblCellSpacing w:w="0" w:type="dxa"/>
        </w:trPr>
        <w:tc>
          <w:tcPr>
            <w:tcW w:w="0" w:type="auto"/>
            <w:noWrap w:val="0"/>
            <w:vAlign w:val="center"/>
          </w:tcPr>
          <w:p w14:paraId="2D7F55E2">
            <w:r>
              <w:rPr>
                <w:rFonts w:hint="eastAsia"/>
              </w:rPr>
              <w:t xml:space="preserve">有效成分及其含量： </w:t>
            </w:r>
          </w:p>
          <w:p w14:paraId="21C7BED0">
            <w:r>
              <w:rPr>
                <w:rFonts w:hint="eastAsia"/>
              </w:rPr>
              <w:t xml:space="preserve">    联苯菊酯10%    </w:t>
            </w:r>
          </w:p>
        </w:tc>
      </w:tr>
      <w:tr w14:paraId="3B17C6C7">
        <w:tblPrEx>
          <w:tblCellMar>
            <w:top w:w="0" w:type="dxa"/>
            <w:left w:w="0" w:type="dxa"/>
            <w:bottom w:w="0" w:type="dxa"/>
            <w:right w:w="0" w:type="dxa"/>
          </w:tblCellMar>
        </w:tblPrEx>
        <w:trPr>
          <w:wBefore w:w="0" w:type="auto"/>
          <w:tblCellSpacing w:w="0" w:type="dxa"/>
        </w:trPr>
        <w:tc>
          <w:tcPr>
            <w:tcW w:w="0" w:type="auto"/>
            <w:noWrap w:val="0"/>
            <w:vAlign w:val="center"/>
          </w:tcPr>
          <w:p w14:paraId="5BDE25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3C38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A33C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0136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F98A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E8C711">
                  <w:r>
                    <w:rPr>
                      <w:rStyle w:val="11"/>
                      <w:rFonts w:hint="eastAsia"/>
                    </w:rPr>
                    <w:t>施用方式</w:t>
                  </w:r>
                </w:p>
              </w:tc>
            </w:tr>
            <w:tr w14:paraId="047046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229908">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506796">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2ED6E4">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39DDF4">
                  <w:r>
                    <w:rPr>
                      <w:rStyle w:val="11"/>
                      <w:rFonts w:hint="eastAsia"/>
                    </w:rPr>
                    <w:t>喷雾</w:t>
                  </w:r>
                </w:p>
              </w:tc>
            </w:tr>
          </w:tbl>
          <w:p w14:paraId="22C53341">
            <w:pPr>
              <w:rPr>
                <w:rFonts w:ascii="Times New Roman" w:hAnsi="Times New Roman" w:cs="Times New Roman"/>
                <w:sz w:val="20"/>
                <w:szCs w:val="20"/>
              </w:rPr>
            </w:pPr>
          </w:p>
        </w:tc>
      </w:tr>
      <w:tr w14:paraId="64242F0A">
        <w:tblPrEx>
          <w:tblCellMar>
            <w:top w:w="0" w:type="dxa"/>
            <w:left w:w="0" w:type="dxa"/>
            <w:bottom w:w="0" w:type="dxa"/>
            <w:right w:w="0" w:type="dxa"/>
          </w:tblCellMar>
        </w:tblPrEx>
        <w:trPr>
          <w:wBefore w:w="0" w:type="auto"/>
          <w:tblCellSpacing w:w="0" w:type="dxa"/>
        </w:trPr>
        <w:tc>
          <w:tcPr>
            <w:tcW w:w="0" w:type="auto"/>
            <w:noWrap w:val="0"/>
            <w:vAlign w:val="center"/>
          </w:tcPr>
          <w:p w14:paraId="7988B635">
            <w:r>
              <w:rPr>
                <w:rStyle w:val="10"/>
                <w:rFonts w:hint="eastAsia"/>
              </w:rPr>
              <w:t>使用技术要求:</w:t>
            </w:r>
            <w:r>
              <w:rPr>
                <w:rFonts w:hint="eastAsia"/>
              </w:rPr>
              <w:br w:type="textWrapping"/>
            </w:r>
            <w:r>
              <w:rPr>
                <w:rStyle w:val="11"/>
                <w:rFonts w:hint="eastAsia"/>
              </w:rPr>
              <w:t>1、于茶小绿叶蝉若虫发生始盛期施药1次。2、大风天或预计1小时内降雨，请勿施药。 3、安全间隔期7天，每季最多施用1次。</w:t>
            </w:r>
          </w:p>
        </w:tc>
      </w:tr>
      <w:tr w14:paraId="0970D06A">
        <w:tblPrEx>
          <w:tblCellMar>
            <w:top w:w="0" w:type="dxa"/>
            <w:left w:w="0" w:type="dxa"/>
            <w:bottom w:w="0" w:type="dxa"/>
            <w:right w:w="0" w:type="dxa"/>
          </w:tblCellMar>
        </w:tblPrEx>
        <w:trPr>
          <w:wBefore w:w="0" w:type="auto"/>
          <w:tblCellSpacing w:w="0" w:type="dxa"/>
        </w:trPr>
        <w:tc>
          <w:tcPr>
            <w:tcW w:w="0" w:type="auto"/>
            <w:noWrap w:val="0"/>
            <w:vAlign w:val="center"/>
          </w:tcPr>
          <w:p w14:paraId="62C242A7">
            <w:r>
              <w:rPr>
                <w:rStyle w:val="10"/>
                <w:rFonts w:hint="eastAsia"/>
              </w:rPr>
              <w:t>产品性能:</w:t>
            </w:r>
            <w:r>
              <w:rPr>
                <w:rFonts w:hint="eastAsia"/>
              </w:rPr>
              <w:br w:type="textWrapping"/>
            </w:r>
            <w:r>
              <w:rPr>
                <w:rStyle w:val="11"/>
                <w:rFonts w:hint="eastAsia"/>
              </w:rPr>
              <w:t>本品是拟除虫菊酯类杀虫剂，氟氯原子能通过害虫口器与自然孔口，进入中枢神经系统抑制信息传递，导致害虫死亡。具有触杀和胃毒作用。对茶树茶小绿叶蝉具有较好的防治效果。</w:t>
            </w:r>
          </w:p>
        </w:tc>
      </w:tr>
      <w:tr w14:paraId="497CD9B2">
        <w:tblPrEx>
          <w:tblCellMar>
            <w:top w:w="0" w:type="dxa"/>
            <w:left w:w="0" w:type="dxa"/>
            <w:bottom w:w="0" w:type="dxa"/>
            <w:right w:w="0" w:type="dxa"/>
          </w:tblCellMar>
        </w:tblPrEx>
        <w:trPr>
          <w:wBefore w:w="0" w:type="auto"/>
          <w:tblCellSpacing w:w="0" w:type="dxa"/>
        </w:trPr>
        <w:tc>
          <w:tcPr>
            <w:tcW w:w="0" w:type="auto"/>
            <w:noWrap w:val="0"/>
            <w:vAlign w:val="center"/>
          </w:tcPr>
          <w:p w14:paraId="16BCDA64">
            <w:r>
              <w:rPr>
                <w:rStyle w:val="10"/>
                <w:rFonts w:hint="eastAsia"/>
              </w:rPr>
              <w:t>注意事项：</w:t>
            </w:r>
            <w:r>
              <w:rPr>
                <w:rFonts w:hint="eastAsia"/>
              </w:rPr>
              <w:br w:type="textWrapping"/>
            </w:r>
            <w:r>
              <w:rPr>
                <w:rStyle w:val="11"/>
                <w:rFonts w:hint="eastAsia"/>
              </w:rPr>
              <w:t>1、本品不要与碱性物质混用，以免分解失效。2、施用时注意安全防护，穿（戴）长衣、长裤、帽子、口罩、手套、鞋子等。避免吸入药雾；此时不能饮食、吸烟等；施药后洗干净手脸等。3、水产养殖区、河塘等水体附近禁用，禁止在河塘等水域清洗施药器具。4鸟类保护区附近禁用；（周围）开花植物花期禁用。 4.蚕室及桑园附近禁用； 5.赤眼蜂、瓢虫等天敌放飞区域禁用。 6.废弃物应妥善处理，不能做它用，也不可随意丢弃。7、孕妇及哺乳期妇女禁止接触本品。8、建议与其他作用机制不同的杀虫剂轮换使用。</w:t>
            </w:r>
          </w:p>
        </w:tc>
      </w:tr>
      <w:tr w14:paraId="0E99789F">
        <w:tblPrEx>
          <w:tblCellMar>
            <w:top w:w="0" w:type="dxa"/>
            <w:left w:w="0" w:type="dxa"/>
            <w:bottom w:w="0" w:type="dxa"/>
            <w:right w:w="0" w:type="dxa"/>
          </w:tblCellMar>
        </w:tblPrEx>
        <w:trPr>
          <w:wBefore w:w="0" w:type="auto"/>
          <w:tblCellSpacing w:w="0" w:type="dxa"/>
        </w:trPr>
        <w:tc>
          <w:tcPr>
            <w:tcW w:w="0" w:type="auto"/>
            <w:noWrap w:val="0"/>
            <w:vAlign w:val="center"/>
          </w:tcPr>
          <w:p w14:paraId="6858479A">
            <w:r>
              <w:rPr>
                <w:rStyle w:val="10"/>
                <w:rFonts w:hint="eastAsia"/>
              </w:rPr>
              <w:t>中毒急救措施：</w:t>
            </w:r>
            <w:r>
              <w:rPr>
                <w:rFonts w:hint="eastAsia"/>
              </w:rPr>
              <w:br w:type="textWrapping"/>
            </w:r>
            <w:r>
              <w:rPr>
                <w:rStyle w:val="11"/>
                <w:rFonts w:hint="eastAsia"/>
              </w:rPr>
              <w:t>对眼睛、皮肤有刺激性，使用时避免接触眼睛、皮肤。1、中毒症状:属神经毒剂，接触部位皮肤感到刺痛，但无红斑，尤其在口、鼻周围。接触量大时也会引起头痛，头昏，恶心呕吐，双手颤抖，重者抽搐或惊厥、昏迷、休克。 2、急救措施:不慎吸入，应将病人移至空气流通处。不慎接触皮肤或溅入眼睛，应用大量清水冲洗至少15分钟。误服则应立即携此标签将病人送医院诊治， 无特殊解毒剂。对症治疗。</w:t>
            </w:r>
          </w:p>
        </w:tc>
      </w:tr>
      <w:tr w14:paraId="771BE227">
        <w:tblPrEx>
          <w:tblCellMar>
            <w:top w:w="0" w:type="dxa"/>
            <w:left w:w="0" w:type="dxa"/>
            <w:bottom w:w="0" w:type="dxa"/>
            <w:right w:w="0" w:type="dxa"/>
          </w:tblCellMar>
        </w:tblPrEx>
        <w:trPr>
          <w:wBefore w:w="0" w:type="auto"/>
          <w:tblCellSpacing w:w="0" w:type="dxa"/>
        </w:trPr>
        <w:tc>
          <w:tcPr>
            <w:tcW w:w="0" w:type="auto"/>
            <w:noWrap w:val="0"/>
            <w:vAlign w:val="center"/>
          </w:tcPr>
          <w:p w14:paraId="39791D9C">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2.存放于儿童及无关人员触及不到之处，并加锁。 3..严防潮湿和日晒，不得与食物、种子、饮料、粮食、饲料等物品同贮同运。</w:t>
            </w:r>
          </w:p>
        </w:tc>
      </w:tr>
      <w:tr w14:paraId="415DB10C">
        <w:tblPrEx>
          <w:tblCellMar>
            <w:top w:w="0" w:type="dxa"/>
            <w:left w:w="0" w:type="dxa"/>
            <w:bottom w:w="0" w:type="dxa"/>
            <w:right w:w="0" w:type="dxa"/>
          </w:tblCellMar>
        </w:tblPrEx>
        <w:trPr>
          <w:wBefore w:w="0" w:type="auto"/>
          <w:tblCellSpacing w:w="0" w:type="dxa"/>
        </w:trPr>
        <w:tc>
          <w:tcPr>
            <w:tcW w:w="0" w:type="auto"/>
            <w:noWrap w:val="0"/>
            <w:vAlign w:val="center"/>
          </w:tcPr>
          <w:p w14:paraId="746A4D87">
            <w:r>
              <w:rPr>
                <w:rStyle w:val="10"/>
                <w:rFonts w:hint="eastAsia"/>
              </w:rPr>
              <w:t>质量保证期：</w:t>
            </w:r>
            <w:r>
              <w:rPr>
                <w:rStyle w:val="11"/>
                <w:rFonts w:hint="eastAsia"/>
              </w:rPr>
              <w:t>2年</w:t>
            </w:r>
          </w:p>
        </w:tc>
      </w:tr>
      <w:tr w14:paraId="4ED59430">
        <w:tblPrEx>
          <w:tblCellMar>
            <w:top w:w="0" w:type="dxa"/>
            <w:left w:w="0" w:type="dxa"/>
            <w:bottom w:w="0" w:type="dxa"/>
            <w:right w:w="0" w:type="dxa"/>
          </w:tblCellMar>
        </w:tblPrEx>
        <w:trPr>
          <w:wBefore w:w="0" w:type="auto"/>
          <w:tblCellSpacing w:w="0" w:type="dxa"/>
        </w:trPr>
        <w:tc>
          <w:tcPr>
            <w:tcW w:w="0" w:type="auto"/>
            <w:noWrap w:val="0"/>
            <w:vAlign w:val="center"/>
          </w:tcPr>
          <w:p w14:paraId="6AD1CCF7">
            <w:r>
              <w:rPr>
                <w:rStyle w:val="10"/>
                <w:rFonts w:hint="eastAsia"/>
              </w:rPr>
              <w:t>备注：</w:t>
            </w:r>
          </w:p>
        </w:tc>
      </w:tr>
    </w:tbl>
    <w:p w14:paraId="0FC40E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1D0510">
        <w:tblPrEx>
          <w:tblCellMar>
            <w:top w:w="0" w:type="dxa"/>
            <w:left w:w="0" w:type="dxa"/>
            <w:bottom w:w="0" w:type="dxa"/>
            <w:right w:w="0" w:type="dxa"/>
          </w:tblCellMar>
        </w:tblPrEx>
        <w:trPr>
          <w:wBefore w:w="0" w:type="auto"/>
          <w:tblCellSpacing w:w="0" w:type="dxa"/>
        </w:trPr>
        <w:tc>
          <w:tcPr>
            <w:tcW w:w="0" w:type="auto"/>
            <w:noWrap w:val="0"/>
            <w:vAlign w:val="center"/>
          </w:tcPr>
          <w:p w14:paraId="18C375FF">
            <w:r>
              <w:rPr>
                <w:rStyle w:val="10"/>
                <w:rFonts w:hint="eastAsia"/>
              </w:rPr>
              <w:t>登记证号：</w:t>
            </w:r>
            <w:r>
              <w:rPr>
                <w:rFonts w:hint="eastAsia"/>
              </w:rPr>
              <w:t>PD20212684</w:t>
            </w:r>
          </w:p>
        </w:tc>
      </w:tr>
      <w:tr w14:paraId="79124C7F">
        <w:tblPrEx>
          <w:tblCellMar>
            <w:top w:w="0" w:type="dxa"/>
            <w:left w:w="0" w:type="dxa"/>
            <w:bottom w:w="0" w:type="dxa"/>
            <w:right w:w="0" w:type="dxa"/>
          </w:tblCellMar>
        </w:tblPrEx>
        <w:trPr>
          <w:wBefore w:w="0" w:type="auto"/>
          <w:tblCellSpacing w:w="0" w:type="dxa"/>
        </w:trPr>
        <w:tc>
          <w:tcPr>
            <w:tcW w:w="0" w:type="auto"/>
            <w:noWrap w:val="0"/>
            <w:vAlign w:val="center"/>
          </w:tcPr>
          <w:p w14:paraId="63B7B15B">
            <w:r>
              <w:rPr>
                <w:rStyle w:val="10"/>
                <w:rFonts w:hint="eastAsia"/>
              </w:rPr>
              <w:t>登记证持有人：</w:t>
            </w:r>
            <w:r>
              <w:rPr>
                <w:rFonts w:hint="eastAsia"/>
              </w:rPr>
              <w:t>东莞市瑞德丰生物科技有限公司</w:t>
            </w:r>
          </w:p>
        </w:tc>
      </w:tr>
      <w:tr w14:paraId="6231C2A3">
        <w:tblPrEx>
          <w:tblCellMar>
            <w:top w:w="0" w:type="dxa"/>
            <w:left w:w="0" w:type="dxa"/>
            <w:bottom w:w="0" w:type="dxa"/>
            <w:right w:w="0" w:type="dxa"/>
          </w:tblCellMar>
        </w:tblPrEx>
        <w:trPr>
          <w:wBefore w:w="0" w:type="auto"/>
          <w:tblCellSpacing w:w="0" w:type="dxa"/>
        </w:trPr>
        <w:tc>
          <w:tcPr>
            <w:tcW w:w="0" w:type="auto"/>
            <w:noWrap w:val="0"/>
            <w:vAlign w:val="center"/>
          </w:tcPr>
          <w:p w14:paraId="2AF0DFD6">
            <w:r>
              <w:rPr>
                <w:rStyle w:val="10"/>
                <w:rFonts w:hint="eastAsia"/>
              </w:rPr>
              <w:t>农药名称：</w:t>
            </w:r>
            <w:r>
              <w:rPr>
                <w:rFonts w:hint="eastAsia"/>
              </w:rPr>
              <w:t>丙森锌·氟唑菌酰胺</w:t>
            </w:r>
          </w:p>
        </w:tc>
      </w:tr>
      <w:tr w14:paraId="069CE1EE">
        <w:tblPrEx>
          <w:tblCellMar>
            <w:top w:w="0" w:type="dxa"/>
            <w:left w:w="0" w:type="dxa"/>
            <w:bottom w:w="0" w:type="dxa"/>
            <w:right w:w="0" w:type="dxa"/>
          </w:tblCellMar>
        </w:tblPrEx>
        <w:trPr>
          <w:wBefore w:w="0" w:type="auto"/>
          <w:tblCellSpacing w:w="0" w:type="dxa"/>
        </w:trPr>
        <w:tc>
          <w:tcPr>
            <w:tcW w:w="0" w:type="auto"/>
            <w:noWrap w:val="0"/>
            <w:vAlign w:val="center"/>
          </w:tcPr>
          <w:p w14:paraId="57AC5A92">
            <w:r>
              <w:rPr>
                <w:rStyle w:val="10"/>
                <w:rFonts w:hint="eastAsia"/>
              </w:rPr>
              <w:t>剂型：</w:t>
            </w:r>
            <w:r>
              <w:rPr>
                <w:rFonts w:hint="eastAsia"/>
              </w:rPr>
              <w:t>水分散粒剂</w:t>
            </w:r>
          </w:p>
        </w:tc>
      </w:tr>
      <w:tr w14:paraId="5CC6FABD">
        <w:tblPrEx>
          <w:tblCellMar>
            <w:top w:w="0" w:type="dxa"/>
            <w:left w:w="0" w:type="dxa"/>
            <w:bottom w:w="0" w:type="dxa"/>
            <w:right w:w="0" w:type="dxa"/>
          </w:tblCellMar>
        </w:tblPrEx>
        <w:trPr>
          <w:wBefore w:w="0" w:type="auto"/>
          <w:tblCellSpacing w:w="0" w:type="dxa"/>
        </w:trPr>
        <w:tc>
          <w:tcPr>
            <w:tcW w:w="0" w:type="auto"/>
            <w:noWrap w:val="0"/>
            <w:vAlign w:val="center"/>
          </w:tcPr>
          <w:p w14:paraId="2819E476">
            <w:r>
              <w:rPr>
                <w:rStyle w:val="10"/>
                <w:rFonts w:hint="eastAsia"/>
              </w:rPr>
              <w:t>毒性及其标识：</w:t>
            </w:r>
            <w:r>
              <w:rPr>
                <w:rFonts w:hint="eastAsia"/>
              </w:rPr>
              <w:t xml:space="preserve"> </w:t>
            </w:r>
            <w:r>
              <w:rPr>
                <w:lang/>
              </w:rPr>
              <w:drawing>
                <wp:inline distT="0" distB="0" distL="114300" distR="114300">
                  <wp:extent cx="476250" cy="323850"/>
                  <wp:effectExtent l="0" t="0" r="0" b="0"/>
                  <wp:docPr id="51" name="图片 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AD16A5">
        <w:tblPrEx>
          <w:tblCellMar>
            <w:top w:w="0" w:type="dxa"/>
            <w:left w:w="0" w:type="dxa"/>
            <w:bottom w:w="0" w:type="dxa"/>
            <w:right w:w="0" w:type="dxa"/>
          </w:tblCellMar>
        </w:tblPrEx>
        <w:trPr>
          <w:wBefore w:w="0" w:type="auto"/>
          <w:tblCellSpacing w:w="0" w:type="dxa"/>
        </w:trPr>
        <w:tc>
          <w:tcPr>
            <w:tcW w:w="0" w:type="auto"/>
            <w:noWrap w:val="0"/>
            <w:vAlign w:val="center"/>
          </w:tcPr>
          <w:p w14:paraId="50250CD3">
            <w:r>
              <w:rPr>
                <w:rStyle w:val="10"/>
                <w:rFonts w:hint="eastAsia"/>
              </w:rPr>
              <w:t>总有效成分含量：</w:t>
            </w:r>
            <w:r>
              <w:rPr>
                <w:rFonts w:hint="eastAsia"/>
              </w:rPr>
              <w:t>60%</w:t>
            </w:r>
          </w:p>
        </w:tc>
      </w:tr>
      <w:tr w14:paraId="30BCC6DF">
        <w:tblPrEx>
          <w:tblCellMar>
            <w:top w:w="0" w:type="dxa"/>
            <w:left w:w="0" w:type="dxa"/>
            <w:bottom w:w="0" w:type="dxa"/>
            <w:right w:w="0" w:type="dxa"/>
          </w:tblCellMar>
        </w:tblPrEx>
        <w:trPr>
          <w:wBefore w:w="0" w:type="auto"/>
          <w:tblCellSpacing w:w="0" w:type="dxa"/>
        </w:trPr>
        <w:tc>
          <w:tcPr>
            <w:tcW w:w="0" w:type="auto"/>
            <w:noWrap w:val="0"/>
            <w:vAlign w:val="center"/>
          </w:tcPr>
          <w:p w14:paraId="0A763F60">
            <w:r>
              <w:rPr>
                <w:rFonts w:hint="eastAsia"/>
              </w:rPr>
              <w:t xml:space="preserve">有效成分及其含量： </w:t>
            </w:r>
          </w:p>
          <w:p w14:paraId="51465240">
            <w:r>
              <w:rPr>
                <w:rFonts w:hint="eastAsia"/>
              </w:rPr>
              <w:t xml:space="preserve">    丙森锌55%    氟唑菌酰胺5%    </w:t>
            </w:r>
          </w:p>
        </w:tc>
      </w:tr>
      <w:tr w14:paraId="662953E7">
        <w:tblPrEx>
          <w:tblCellMar>
            <w:top w:w="0" w:type="dxa"/>
            <w:left w:w="0" w:type="dxa"/>
            <w:bottom w:w="0" w:type="dxa"/>
            <w:right w:w="0" w:type="dxa"/>
          </w:tblCellMar>
        </w:tblPrEx>
        <w:trPr>
          <w:wBefore w:w="0" w:type="auto"/>
          <w:tblCellSpacing w:w="0" w:type="dxa"/>
        </w:trPr>
        <w:tc>
          <w:tcPr>
            <w:tcW w:w="0" w:type="auto"/>
            <w:noWrap w:val="0"/>
            <w:vAlign w:val="center"/>
          </w:tcPr>
          <w:p w14:paraId="2A513AD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5D16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1F16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AD6D1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614D9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9CFADA">
                  <w:r>
                    <w:rPr>
                      <w:rStyle w:val="11"/>
                      <w:rFonts w:hint="eastAsia"/>
                    </w:rPr>
                    <w:t>施用方式</w:t>
                  </w:r>
                </w:p>
              </w:tc>
            </w:tr>
            <w:tr w14:paraId="1A3FB8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E9B927">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0F5A6">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6667A6">
                  <w:r>
                    <w:rPr>
                      <w:rStyle w:val="11"/>
                      <w:rFonts w:hint="eastAsia"/>
                    </w:rPr>
                    <w:t>100-120克/亩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267A9D">
                  <w:r>
                    <w:rPr>
                      <w:rStyle w:val="11"/>
                      <w:rFonts w:hint="eastAsia"/>
                    </w:rPr>
                    <w:t>喷雾</w:t>
                  </w:r>
                </w:p>
              </w:tc>
            </w:tr>
          </w:tbl>
          <w:p w14:paraId="5811A5D6">
            <w:pPr>
              <w:rPr>
                <w:rFonts w:ascii="Times New Roman" w:hAnsi="Times New Roman" w:cs="Times New Roman"/>
                <w:sz w:val="20"/>
                <w:szCs w:val="20"/>
              </w:rPr>
            </w:pPr>
          </w:p>
        </w:tc>
      </w:tr>
      <w:tr w14:paraId="42EAA02E">
        <w:tblPrEx>
          <w:tblCellMar>
            <w:top w:w="0" w:type="dxa"/>
            <w:left w:w="0" w:type="dxa"/>
            <w:bottom w:w="0" w:type="dxa"/>
            <w:right w:w="0" w:type="dxa"/>
          </w:tblCellMar>
        </w:tblPrEx>
        <w:trPr>
          <w:wBefore w:w="0" w:type="auto"/>
          <w:tblCellSpacing w:w="0" w:type="dxa"/>
        </w:trPr>
        <w:tc>
          <w:tcPr>
            <w:tcW w:w="0" w:type="auto"/>
            <w:noWrap w:val="0"/>
            <w:vAlign w:val="center"/>
          </w:tcPr>
          <w:p w14:paraId="25C30B3F">
            <w:r>
              <w:rPr>
                <w:rStyle w:val="10"/>
                <w:rFonts w:hint="eastAsia"/>
              </w:rPr>
              <w:t>使用技术要求:</w:t>
            </w:r>
            <w:r>
              <w:rPr>
                <w:rFonts w:hint="eastAsia"/>
              </w:rPr>
              <w:br w:type="textWrapping"/>
            </w:r>
            <w:r>
              <w:rPr>
                <w:rStyle w:val="11"/>
                <w:rFonts w:hint="eastAsia"/>
              </w:rPr>
              <w:t>1.建议黄瓜白粉病发病前或发病初期用药，可施药3次，间隔7天左右。2.施药应选择在晴朗无风或微风天气下进行，以免因药液漂移对周边作物造成影响。3.在黄瓜上每季最多使用3次，安全间隔期3天。</w:t>
            </w:r>
          </w:p>
        </w:tc>
      </w:tr>
      <w:tr w14:paraId="30A92C03">
        <w:tblPrEx>
          <w:tblCellMar>
            <w:top w:w="0" w:type="dxa"/>
            <w:left w:w="0" w:type="dxa"/>
            <w:bottom w:w="0" w:type="dxa"/>
            <w:right w:w="0" w:type="dxa"/>
          </w:tblCellMar>
        </w:tblPrEx>
        <w:trPr>
          <w:wBefore w:w="0" w:type="auto"/>
          <w:tblCellSpacing w:w="0" w:type="dxa"/>
        </w:trPr>
        <w:tc>
          <w:tcPr>
            <w:tcW w:w="0" w:type="auto"/>
            <w:noWrap w:val="0"/>
            <w:vAlign w:val="center"/>
          </w:tcPr>
          <w:p w14:paraId="44D31528">
            <w:r>
              <w:rPr>
                <w:rStyle w:val="10"/>
                <w:rFonts w:hint="eastAsia"/>
              </w:rPr>
              <w:t>产品性能:</w:t>
            </w:r>
            <w:r>
              <w:rPr>
                <w:rFonts w:hint="eastAsia"/>
              </w:rPr>
              <w:br w:type="textWrapping"/>
            </w:r>
            <w:r>
              <w:rPr>
                <w:rStyle w:val="11"/>
                <w:rFonts w:hint="eastAsia"/>
              </w:rPr>
              <w:t>本品由氨基甲酸酯类有机硫农药和琥珀酸脱氢酶抑制剂类农药混配而成，通过抑制病原菌体内丙酮酸的氧化和抑制病原菌琥珀酸脱氢酶而使病菌死亡。本品具有预防、保护和治疗作用，对黄瓜白粉病具有较好的防治效果。</w:t>
            </w:r>
          </w:p>
        </w:tc>
      </w:tr>
      <w:tr w14:paraId="5F1C64D8">
        <w:tblPrEx>
          <w:tblCellMar>
            <w:top w:w="0" w:type="dxa"/>
            <w:left w:w="0" w:type="dxa"/>
            <w:bottom w:w="0" w:type="dxa"/>
            <w:right w:w="0" w:type="dxa"/>
          </w:tblCellMar>
        </w:tblPrEx>
        <w:trPr>
          <w:wBefore w:w="0" w:type="auto"/>
          <w:tblCellSpacing w:w="0" w:type="dxa"/>
        </w:trPr>
        <w:tc>
          <w:tcPr>
            <w:tcW w:w="0" w:type="auto"/>
            <w:noWrap w:val="0"/>
            <w:vAlign w:val="center"/>
          </w:tcPr>
          <w:p w14:paraId="78D566C1">
            <w:r>
              <w:rPr>
                <w:rStyle w:val="10"/>
                <w:rFonts w:hint="eastAsia"/>
              </w:rPr>
              <w:t>注意事项：</w:t>
            </w:r>
            <w:r>
              <w:rPr>
                <w:rFonts w:hint="eastAsia"/>
              </w:rPr>
              <w:br w:type="textWrapping"/>
            </w:r>
            <w:r>
              <w:rPr>
                <w:rStyle w:val="11"/>
                <w:rFonts w:hint="eastAsia"/>
              </w:rPr>
              <w:t>1.配药和施药时，应穿防护服，戴口罩或防毒面具以及胶皮手套，以避免污染皮肤和眼睛，施药完毕后应及时换洗衣物，洗净手、脸和被污染的皮肤。2.施药前、后要彻底清洗喷药器械，洗涤后的废水不应污染河流等水源，未用完的药液应密封后妥善放置。3.建议与不同作用机制的杀菌剂轮换使用以延缓产生抗性。4.开启封口应小心药粉洒出。废弃包装袋子应冲洗后交给农药生产企业或农药经营者回收处理。5.孕妇及哺乳期妇女禁止接触本品。6.本品对鱼类等水生生物有毒，远离水产养殖区施药，禁止在河塘等水域中清洗施药器具，蚕室及桑园附近禁用。</w:t>
            </w:r>
          </w:p>
        </w:tc>
      </w:tr>
      <w:tr w14:paraId="118FF31F">
        <w:tblPrEx>
          <w:tblCellMar>
            <w:top w:w="0" w:type="dxa"/>
            <w:left w:w="0" w:type="dxa"/>
            <w:bottom w:w="0" w:type="dxa"/>
            <w:right w:w="0" w:type="dxa"/>
          </w:tblCellMar>
        </w:tblPrEx>
        <w:trPr>
          <w:wBefore w:w="0" w:type="auto"/>
          <w:tblCellSpacing w:w="0" w:type="dxa"/>
        </w:trPr>
        <w:tc>
          <w:tcPr>
            <w:tcW w:w="0" w:type="auto"/>
            <w:noWrap w:val="0"/>
            <w:vAlign w:val="center"/>
          </w:tcPr>
          <w:p w14:paraId="5382BA30">
            <w:r>
              <w:rPr>
                <w:rStyle w:val="10"/>
                <w:rFonts w:hint="eastAsia"/>
              </w:rPr>
              <w:t>中毒急救措施：</w:t>
            </w:r>
            <w:r>
              <w:rPr>
                <w:rFonts w:hint="eastAsia"/>
              </w:rPr>
              <w:br w:type="textWrapping"/>
            </w:r>
            <w:r>
              <w:rPr>
                <w:rStyle w:val="11"/>
                <w:rFonts w:hint="eastAsia"/>
              </w:rPr>
              <w:t>不慎吸入，应将病人移至空气流通处，保持呼吸道畅通；不慎接触皮肤或溅入眼睛，应用大量清水冲洗至少15分钟；误服，立即携带标签送医院就诊。无特效解毒药，对症治疗。</w:t>
            </w:r>
          </w:p>
        </w:tc>
      </w:tr>
      <w:tr w14:paraId="66C76A8A">
        <w:tblPrEx>
          <w:tblCellMar>
            <w:top w:w="0" w:type="dxa"/>
            <w:left w:w="0" w:type="dxa"/>
            <w:bottom w:w="0" w:type="dxa"/>
            <w:right w:w="0" w:type="dxa"/>
          </w:tblCellMar>
        </w:tblPrEx>
        <w:trPr>
          <w:wBefore w:w="0" w:type="auto"/>
          <w:tblCellSpacing w:w="0" w:type="dxa"/>
        </w:trPr>
        <w:tc>
          <w:tcPr>
            <w:tcW w:w="0" w:type="auto"/>
            <w:noWrap w:val="0"/>
            <w:vAlign w:val="center"/>
          </w:tcPr>
          <w:p w14:paraId="59AB2A6B">
            <w:r>
              <w:rPr>
                <w:rStyle w:val="10"/>
                <w:rFonts w:hint="eastAsia"/>
              </w:rPr>
              <w:t>储存和运输方法：</w:t>
            </w:r>
            <w:r>
              <w:rPr>
                <w:rFonts w:hint="eastAsia"/>
              </w:rPr>
              <w:br w:type="textWrapping"/>
            </w:r>
            <w:r>
              <w:rPr>
                <w:rStyle w:val="11"/>
                <w:rFonts w:hint="eastAsia"/>
              </w:rPr>
              <w:t>1.本品应贮存于阴凉、干燥、通风、防雨处，远离火源或热源；2.置于儿童、无关人员触及不到之处，并加锁，勿与食品、饮料、粮食、饲料等其他物品同贮同运；3.搬运及运输过程中，轻拿轻放，防止倒置，注意防雨防潮。</w:t>
            </w:r>
          </w:p>
        </w:tc>
      </w:tr>
      <w:tr w14:paraId="140A675F">
        <w:tblPrEx>
          <w:tblCellMar>
            <w:top w:w="0" w:type="dxa"/>
            <w:left w:w="0" w:type="dxa"/>
            <w:bottom w:w="0" w:type="dxa"/>
            <w:right w:w="0" w:type="dxa"/>
          </w:tblCellMar>
        </w:tblPrEx>
        <w:trPr>
          <w:wBefore w:w="0" w:type="auto"/>
          <w:tblCellSpacing w:w="0" w:type="dxa"/>
        </w:trPr>
        <w:tc>
          <w:tcPr>
            <w:tcW w:w="0" w:type="auto"/>
            <w:noWrap w:val="0"/>
            <w:vAlign w:val="center"/>
          </w:tcPr>
          <w:p w14:paraId="0B9CAB86">
            <w:r>
              <w:rPr>
                <w:rStyle w:val="10"/>
                <w:rFonts w:hint="eastAsia"/>
              </w:rPr>
              <w:t>质量保证期：</w:t>
            </w:r>
            <w:r>
              <w:rPr>
                <w:rStyle w:val="11"/>
                <w:rFonts w:hint="eastAsia"/>
              </w:rPr>
              <w:t>2年</w:t>
            </w:r>
          </w:p>
        </w:tc>
      </w:tr>
      <w:tr w14:paraId="56321E01">
        <w:tblPrEx>
          <w:tblCellMar>
            <w:top w:w="0" w:type="dxa"/>
            <w:left w:w="0" w:type="dxa"/>
            <w:bottom w:w="0" w:type="dxa"/>
            <w:right w:w="0" w:type="dxa"/>
          </w:tblCellMar>
        </w:tblPrEx>
        <w:trPr>
          <w:wBefore w:w="0" w:type="auto"/>
          <w:tblCellSpacing w:w="0" w:type="dxa"/>
        </w:trPr>
        <w:tc>
          <w:tcPr>
            <w:tcW w:w="0" w:type="auto"/>
            <w:noWrap w:val="0"/>
            <w:vAlign w:val="center"/>
          </w:tcPr>
          <w:p w14:paraId="2C80F062">
            <w:r>
              <w:rPr>
                <w:rStyle w:val="10"/>
                <w:rFonts w:hint="eastAsia"/>
              </w:rPr>
              <w:t>备注：</w:t>
            </w:r>
          </w:p>
        </w:tc>
      </w:tr>
    </w:tbl>
    <w:p w14:paraId="3FF5B2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3E93F8">
        <w:tblPrEx>
          <w:tblCellMar>
            <w:top w:w="0" w:type="dxa"/>
            <w:left w:w="0" w:type="dxa"/>
            <w:bottom w:w="0" w:type="dxa"/>
            <w:right w:w="0" w:type="dxa"/>
          </w:tblCellMar>
        </w:tblPrEx>
        <w:trPr>
          <w:wBefore w:w="0" w:type="auto"/>
          <w:tblCellSpacing w:w="0" w:type="dxa"/>
        </w:trPr>
        <w:tc>
          <w:tcPr>
            <w:tcW w:w="0" w:type="auto"/>
            <w:noWrap w:val="0"/>
            <w:vAlign w:val="center"/>
          </w:tcPr>
          <w:p w14:paraId="1F9010F4">
            <w:r>
              <w:rPr>
                <w:rStyle w:val="10"/>
                <w:rFonts w:hint="eastAsia"/>
              </w:rPr>
              <w:t>登记证号：</w:t>
            </w:r>
            <w:r>
              <w:rPr>
                <w:rFonts w:hint="eastAsia"/>
              </w:rPr>
              <w:t>PD20212698</w:t>
            </w:r>
          </w:p>
        </w:tc>
      </w:tr>
      <w:tr w14:paraId="306680CD">
        <w:tblPrEx>
          <w:tblCellMar>
            <w:top w:w="0" w:type="dxa"/>
            <w:left w:w="0" w:type="dxa"/>
            <w:bottom w:w="0" w:type="dxa"/>
            <w:right w:w="0" w:type="dxa"/>
          </w:tblCellMar>
        </w:tblPrEx>
        <w:trPr>
          <w:wBefore w:w="0" w:type="auto"/>
          <w:tblCellSpacing w:w="0" w:type="dxa"/>
        </w:trPr>
        <w:tc>
          <w:tcPr>
            <w:tcW w:w="0" w:type="auto"/>
            <w:noWrap w:val="0"/>
            <w:vAlign w:val="center"/>
          </w:tcPr>
          <w:p w14:paraId="59654EB8">
            <w:r>
              <w:rPr>
                <w:rStyle w:val="10"/>
                <w:rFonts w:hint="eastAsia"/>
              </w:rPr>
              <w:t>登记证持有人：</w:t>
            </w:r>
            <w:r>
              <w:rPr>
                <w:rFonts w:hint="eastAsia"/>
              </w:rPr>
              <w:t>孟州云大高科生物科技有限公司</w:t>
            </w:r>
          </w:p>
        </w:tc>
      </w:tr>
      <w:tr w14:paraId="09CE72A5">
        <w:tblPrEx>
          <w:tblCellMar>
            <w:top w:w="0" w:type="dxa"/>
            <w:left w:w="0" w:type="dxa"/>
            <w:bottom w:w="0" w:type="dxa"/>
            <w:right w:w="0" w:type="dxa"/>
          </w:tblCellMar>
        </w:tblPrEx>
        <w:trPr>
          <w:wBefore w:w="0" w:type="auto"/>
          <w:tblCellSpacing w:w="0" w:type="dxa"/>
        </w:trPr>
        <w:tc>
          <w:tcPr>
            <w:tcW w:w="0" w:type="auto"/>
            <w:noWrap w:val="0"/>
            <w:vAlign w:val="center"/>
          </w:tcPr>
          <w:p w14:paraId="5FCE858C">
            <w:r>
              <w:rPr>
                <w:rStyle w:val="10"/>
                <w:rFonts w:hint="eastAsia"/>
              </w:rPr>
              <w:t>农药名称：</w:t>
            </w:r>
            <w:r>
              <w:rPr>
                <w:rFonts w:hint="eastAsia"/>
              </w:rPr>
              <w:t>氨基寡糖素</w:t>
            </w:r>
          </w:p>
        </w:tc>
      </w:tr>
      <w:tr w14:paraId="35C63BCE">
        <w:tblPrEx>
          <w:tblCellMar>
            <w:top w:w="0" w:type="dxa"/>
            <w:left w:w="0" w:type="dxa"/>
            <w:bottom w:w="0" w:type="dxa"/>
            <w:right w:w="0" w:type="dxa"/>
          </w:tblCellMar>
        </w:tblPrEx>
        <w:trPr>
          <w:wBefore w:w="0" w:type="auto"/>
          <w:tblCellSpacing w:w="0" w:type="dxa"/>
        </w:trPr>
        <w:tc>
          <w:tcPr>
            <w:tcW w:w="0" w:type="auto"/>
            <w:noWrap w:val="0"/>
            <w:vAlign w:val="center"/>
          </w:tcPr>
          <w:p w14:paraId="28FF853A">
            <w:r>
              <w:rPr>
                <w:rStyle w:val="10"/>
                <w:rFonts w:hint="eastAsia"/>
              </w:rPr>
              <w:t>剂型：</w:t>
            </w:r>
            <w:r>
              <w:rPr>
                <w:rFonts w:hint="eastAsia"/>
              </w:rPr>
              <w:t>颗粒剂</w:t>
            </w:r>
          </w:p>
        </w:tc>
      </w:tr>
      <w:tr w14:paraId="02740EC2">
        <w:tblPrEx>
          <w:tblCellMar>
            <w:top w:w="0" w:type="dxa"/>
            <w:left w:w="0" w:type="dxa"/>
            <w:bottom w:w="0" w:type="dxa"/>
            <w:right w:w="0" w:type="dxa"/>
          </w:tblCellMar>
        </w:tblPrEx>
        <w:trPr>
          <w:wBefore w:w="0" w:type="auto"/>
          <w:tblCellSpacing w:w="0" w:type="dxa"/>
        </w:trPr>
        <w:tc>
          <w:tcPr>
            <w:tcW w:w="0" w:type="auto"/>
            <w:noWrap w:val="0"/>
            <w:vAlign w:val="center"/>
          </w:tcPr>
          <w:p w14:paraId="7D85CB79">
            <w:r>
              <w:rPr>
                <w:rStyle w:val="10"/>
                <w:rFonts w:hint="eastAsia"/>
              </w:rPr>
              <w:t>毒性及其标识：</w:t>
            </w:r>
            <w:r>
              <w:rPr>
                <w:rFonts w:hint="eastAsia"/>
              </w:rPr>
              <w:t xml:space="preserve"> 微毒 </w:t>
            </w:r>
          </w:p>
        </w:tc>
      </w:tr>
      <w:tr w14:paraId="189E26D4">
        <w:tblPrEx>
          <w:tblCellMar>
            <w:top w:w="0" w:type="dxa"/>
            <w:left w:w="0" w:type="dxa"/>
            <w:bottom w:w="0" w:type="dxa"/>
            <w:right w:w="0" w:type="dxa"/>
          </w:tblCellMar>
        </w:tblPrEx>
        <w:trPr>
          <w:wBefore w:w="0" w:type="auto"/>
          <w:tblCellSpacing w:w="0" w:type="dxa"/>
        </w:trPr>
        <w:tc>
          <w:tcPr>
            <w:tcW w:w="0" w:type="auto"/>
            <w:noWrap w:val="0"/>
            <w:vAlign w:val="center"/>
          </w:tcPr>
          <w:p w14:paraId="29C69272">
            <w:r>
              <w:rPr>
                <w:rStyle w:val="10"/>
                <w:rFonts w:hint="eastAsia"/>
              </w:rPr>
              <w:t>总有效成分含量：</w:t>
            </w:r>
            <w:r>
              <w:rPr>
                <w:rFonts w:hint="eastAsia"/>
              </w:rPr>
              <w:t>0.15%</w:t>
            </w:r>
          </w:p>
        </w:tc>
      </w:tr>
      <w:tr w14:paraId="2E79DE4A">
        <w:tblPrEx>
          <w:tblCellMar>
            <w:top w:w="0" w:type="dxa"/>
            <w:left w:w="0" w:type="dxa"/>
            <w:bottom w:w="0" w:type="dxa"/>
            <w:right w:w="0" w:type="dxa"/>
          </w:tblCellMar>
        </w:tblPrEx>
        <w:trPr>
          <w:wBefore w:w="0" w:type="auto"/>
          <w:tblCellSpacing w:w="0" w:type="dxa"/>
        </w:trPr>
        <w:tc>
          <w:tcPr>
            <w:tcW w:w="0" w:type="auto"/>
            <w:noWrap w:val="0"/>
            <w:vAlign w:val="center"/>
          </w:tcPr>
          <w:p w14:paraId="50B5C5C0">
            <w:r>
              <w:rPr>
                <w:rFonts w:hint="eastAsia"/>
              </w:rPr>
              <w:t xml:space="preserve">有效成分及其含量： </w:t>
            </w:r>
          </w:p>
          <w:p w14:paraId="51BB2DFC">
            <w:r>
              <w:rPr>
                <w:rFonts w:hint="eastAsia"/>
              </w:rPr>
              <w:t xml:space="preserve">    氨基寡糖素0.15%    </w:t>
            </w:r>
          </w:p>
        </w:tc>
      </w:tr>
      <w:tr w14:paraId="3CD65ABC">
        <w:tblPrEx>
          <w:tblCellMar>
            <w:top w:w="0" w:type="dxa"/>
            <w:left w:w="0" w:type="dxa"/>
            <w:bottom w:w="0" w:type="dxa"/>
            <w:right w:w="0" w:type="dxa"/>
          </w:tblCellMar>
        </w:tblPrEx>
        <w:trPr>
          <w:wBefore w:w="0" w:type="auto"/>
          <w:tblCellSpacing w:w="0" w:type="dxa"/>
        </w:trPr>
        <w:tc>
          <w:tcPr>
            <w:tcW w:w="0" w:type="auto"/>
            <w:noWrap w:val="0"/>
            <w:vAlign w:val="center"/>
          </w:tcPr>
          <w:p w14:paraId="527B683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A485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E1BD3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670E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8726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68A86E">
                  <w:r>
                    <w:rPr>
                      <w:rStyle w:val="11"/>
                      <w:rFonts w:hint="eastAsia"/>
                    </w:rPr>
                    <w:t>施用方式</w:t>
                  </w:r>
                </w:p>
              </w:tc>
            </w:tr>
            <w:tr w14:paraId="11D46B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C31CA2">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F9A176">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A273BB">
                  <w:r>
                    <w:rPr>
                      <w:rStyle w:val="11"/>
                      <w:rFonts w:hint="eastAsia"/>
                    </w:rPr>
                    <w:t>20-33千克/亩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858089">
                  <w:r>
                    <w:rPr>
                      <w:rStyle w:val="11"/>
                      <w:rFonts w:hint="eastAsia"/>
                    </w:rPr>
                    <w:t>穴施</w:t>
                  </w:r>
                </w:p>
              </w:tc>
            </w:tr>
          </w:tbl>
          <w:p w14:paraId="2B53B35B">
            <w:pPr>
              <w:rPr>
                <w:rFonts w:ascii="Times New Roman" w:hAnsi="Times New Roman" w:cs="Times New Roman"/>
                <w:sz w:val="20"/>
                <w:szCs w:val="20"/>
              </w:rPr>
            </w:pPr>
          </w:p>
        </w:tc>
      </w:tr>
      <w:tr w14:paraId="36D3B26C">
        <w:tblPrEx>
          <w:tblCellMar>
            <w:top w:w="0" w:type="dxa"/>
            <w:left w:w="0" w:type="dxa"/>
            <w:bottom w:w="0" w:type="dxa"/>
            <w:right w:w="0" w:type="dxa"/>
          </w:tblCellMar>
        </w:tblPrEx>
        <w:trPr>
          <w:wBefore w:w="0" w:type="auto"/>
          <w:tblCellSpacing w:w="0" w:type="dxa"/>
        </w:trPr>
        <w:tc>
          <w:tcPr>
            <w:tcW w:w="0" w:type="auto"/>
            <w:noWrap w:val="0"/>
            <w:vAlign w:val="center"/>
          </w:tcPr>
          <w:p w14:paraId="1EB8953D">
            <w:r>
              <w:rPr>
                <w:rStyle w:val="10"/>
                <w:rFonts w:hint="eastAsia"/>
              </w:rPr>
              <w:t>使用技术要求:</w:t>
            </w:r>
            <w:r>
              <w:rPr>
                <w:rFonts w:hint="eastAsia"/>
              </w:rPr>
              <w:br w:type="textWrapping"/>
            </w:r>
            <w:r>
              <w:rPr>
                <w:rStyle w:val="11"/>
                <w:rFonts w:hint="eastAsia"/>
              </w:rPr>
              <w:t xml:space="preserve">在番茄移栽前或移栽后均匀穴施在幼苗根系附近，施药深度为15厘米左右，施药一次。 </w:t>
            </w:r>
          </w:p>
        </w:tc>
      </w:tr>
      <w:tr w14:paraId="35122E06">
        <w:tblPrEx>
          <w:tblCellMar>
            <w:top w:w="0" w:type="dxa"/>
            <w:left w:w="0" w:type="dxa"/>
            <w:bottom w:w="0" w:type="dxa"/>
            <w:right w:w="0" w:type="dxa"/>
          </w:tblCellMar>
        </w:tblPrEx>
        <w:trPr>
          <w:wBefore w:w="0" w:type="auto"/>
          <w:tblCellSpacing w:w="0" w:type="dxa"/>
        </w:trPr>
        <w:tc>
          <w:tcPr>
            <w:tcW w:w="0" w:type="auto"/>
            <w:noWrap w:val="0"/>
            <w:vAlign w:val="center"/>
          </w:tcPr>
          <w:p w14:paraId="2C5C9AC8">
            <w:r>
              <w:rPr>
                <w:rStyle w:val="10"/>
                <w:rFonts w:hint="eastAsia"/>
              </w:rPr>
              <w:t>产品性能:</w:t>
            </w:r>
            <w:r>
              <w:rPr>
                <w:rFonts w:hint="eastAsia"/>
              </w:rPr>
              <w:br w:type="textWrapping"/>
            </w:r>
            <w:r>
              <w:rPr>
                <w:rStyle w:val="11"/>
                <w:rFonts w:hint="eastAsia"/>
              </w:rPr>
              <w:t xml:space="preserve">该产品为植物诱抗剂，施用后能提高作物自身的免疫力和防卫反应。对番茄病毒病有较好的预防效果。 </w:t>
            </w:r>
          </w:p>
        </w:tc>
      </w:tr>
      <w:tr w14:paraId="227CB60B">
        <w:tblPrEx>
          <w:tblCellMar>
            <w:top w:w="0" w:type="dxa"/>
            <w:left w:w="0" w:type="dxa"/>
            <w:bottom w:w="0" w:type="dxa"/>
            <w:right w:w="0" w:type="dxa"/>
          </w:tblCellMar>
        </w:tblPrEx>
        <w:trPr>
          <w:wBefore w:w="0" w:type="auto"/>
          <w:tblCellSpacing w:w="0" w:type="dxa"/>
        </w:trPr>
        <w:tc>
          <w:tcPr>
            <w:tcW w:w="0" w:type="auto"/>
            <w:noWrap w:val="0"/>
            <w:vAlign w:val="center"/>
          </w:tcPr>
          <w:p w14:paraId="36D8B584">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本品对眼睛有刺激性，使用时避免接触眼睛，穿戴长衣、长裤、帽子、口罩、手套等防护措施。避免口鼻吸入和皮肤接触，使用后及时清洗暴露部位皮肤。 2. 打开包装袋或包装的产品不易长时间暴露空气条件下，开瓶的，用后应将瓶盖盖好保存。 3. 废弃包装物不得作他用，需按照当地的有关规定处置所有的废弃物。 4. 禁止在河塘等水域清洗施药器具。使用后废液或清洗后的废水切勿污染水源。 5. 用过的容器应妥善处理，不可做他用，也不可随意丢弃。 6. 孕妇及哺乳期妇女禁止接触。</w:t>
            </w:r>
          </w:p>
        </w:tc>
      </w:tr>
      <w:tr w14:paraId="6AECBEA1">
        <w:tblPrEx>
          <w:tblCellMar>
            <w:top w:w="0" w:type="dxa"/>
            <w:left w:w="0" w:type="dxa"/>
            <w:bottom w:w="0" w:type="dxa"/>
            <w:right w:w="0" w:type="dxa"/>
          </w:tblCellMar>
        </w:tblPrEx>
        <w:trPr>
          <w:wBefore w:w="0" w:type="auto"/>
          <w:tblCellSpacing w:w="0" w:type="dxa"/>
        </w:trPr>
        <w:tc>
          <w:tcPr>
            <w:tcW w:w="0" w:type="auto"/>
            <w:noWrap w:val="0"/>
            <w:vAlign w:val="center"/>
          </w:tcPr>
          <w:p w14:paraId="5EF6C9E7">
            <w:r>
              <w:rPr>
                <w:rStyle w:val="10"/>
                <w:rFonts w:hint="eastAsia"/>
              </w:rPr>
              <w:t>中毒急救措施：</w:t>
            </w:r>
            <w:r>
              <w:rPr>
                <w:rFonts w:hint="eastAsia"/>
              </w:rPr>
              <w:br w:type="textWrapping"/>
            </w:r>
            <w:r>
              <w:rPr>
                <w:rStyle w:val="11"/>
                <w:rFonts w:hint="eastAsia"/>
              </w:rPr>
              <w:t xml:space="preserve">中毒症状：对眼睛有轻微刺激作用。 使用中或使用后如果感觉不适，立即停止工作，采取急救措施；不慎接触皮肤或溅入眼睛，应用大量清水冲洗干净，如仍有不适应就医；不慎吸入，应将病人移至空气流通处，保持呼吸道畅通；误服：携标签送医院对症治疗。 </w:t>
            </w:r>
          </w:p>
        </w:tc>
      </w:tr>
      <w:tr w14:paraId="44ECB621">
        <w:tblPrEx>
          <w:tblCellMar>
            <w:top w:w="0" w:type="dxa"/>
            <w:left w:w="0" w:type="dxa"/>
            <w:bottom w:w="0" w:type="dxa"/>
            <w:right w:w="0" w:type="dxa"/>
          </w:tblCellMar>
        </w:tblPrEx>
        <w:trPr>
          <w:wBefore w:w="0" w:type="auto"/>
          <w:tblCellSpacing w:w="0" w:type="dxa"/>
        </w:trPr>
        <w:tc>
          <w:tcPr>
            <w:tcW w:w="0" w:type="auto"/>
            <w:noWrap w:val="0"/>
            <w:vAlign w:val="center"/>
          </w:tcPr>
          <w:p w14:paraId="061F361C">
            <w:r>
              <w:rPr>
                <w:rStyle w:val="10"/>
                <w:rFonts w:hint="eastAsia"/>
              </w:rPr>
              <w:t>储存和运输方法：</w:t>
            </w:r>
            <w:r>
              <w:rPr>
                <w:rFonts w:hint="eastAsia"/>
              </w:rPr>
              <w:br w:type="textWrapping"/>
            </w:r>
            <w:r>
              <w:rPr>
                <w:rStyle w:val="11"/>
                <w:rFonts w:hint="eastAsia"/>
              </w:rPr>
              <w:t>1. 本品应贮存于阴凉、干燥、通风、防雨处，远离火源或热源；2. 置于儿童、无关人员触及不到之处并加锁，勿与食品、饮料、粮食、饲料等其他物品同贮同运；3. 搬运及运输过程中，轻拿轻放，防止倒置，注意防雨防潮。</w:t>
            </w:r>
          </w:p>
        </w:tc>
      </w:tr>
      <w:tr w14:paraId="3A423841">
        <w:tblPrEx>
          <w:tblCellMar>
            <w:top w:w="0" w:type="dxa"/>
            <w:left w:w="0" w:type="dxa"/>
            <w:bottom w:w="0" w:type="dxa"/>
            <w:right w:w="0" w:type="dxa"/>
          </w:tblCellMar>
        </w:tblPrEx>
        <w:trPr>
          <w:wBefore w:w="0" w:type="auto"/>
          <w:tblCellSpacing w:w="0" w:type="dxa"/>
        </w:trPr>
        <w:tc>
          <w:tcPr>
            <w:tcW w:w="0" w:type="auto"/>
            <w:noWrap w:val="0"/>
            <w:vAlign w:val="center"/>
          </w:tcPr>
          <w:p w14:paraId="27021C84">
            <w:r>
              <w:rPr>
                <w:rStyle w:val="10"/>
                <w:rFonts w:hint="eastAsia"/>
              </w:rPr>
              <w:t>质量保证期：</w:t>
            </w:r>
            <w:r>
              <w:rPr>
                <w:rStyle w:val="11"/>
                <w:rFonts w:hint="eastAsia"/>
              </w:rPr>
              <w:t>2年</w:t>
            </w:r>
          </w:p>
        </w:tc>
      </w:tr>
      <w:tr w14:paraId="27FAEB0D">
        <w:tblPrEx>
          <w:tblCellMar>
            <w:top w:w="0" w:type="dxa"/>
            <w:left w:w="0" w:type="dxa"/>
            <w:bottom w:w="0" w:type="dxa"/>
            <w:right w:w="0" w:type="dxa"/>
          </w:tblCellMar>
        </w:tblPrEx>
        <w:trPr>
          <w:wBefore w:w="0" w:type="auto"/>
          <w:tblCellSpacing w:w="0" w:type="dxa"/>
        </w:trPr>
        <w:tc>
          <w:tcPr>
            <w:tcW w:w="0" w:type="auto"/>
            <w:noWrap w:val="0"/>
            <w:vAlign w:val="center"/>
          </w:tcPr>
          <w:p w14:paraId="484303EF">
            <w:r>
              <w:rPr>
                <w:rStyle w:val="10"/>
                <w:rFonts w:hint="eastAsia"/>
              </w:rPr>
              <w:t>备注：</w:t>
            </w:r>
          </w:p>
        </w:tc>
      </w:tr>
    </w:tbl>
    <w:p w14:paraId="12B365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957957">
        <w:tblPrEx>
          <w:tblCellMar>
            <w:top w:w="0" w:type="dxa"/>
            <w:left w:w="0" w:type="dxa"/>
            <w:bottom w:w="0" w:type="dxa"/>
            <w:right w:w="0" w:type="dxa"/>
          </w:tblCellMar>
        </w:tblPrEx>
        <w:trPr>
          <w:wBefore w:w="0" w:type="auto"/>
          <w:tblCellSpacing w:w="0" w:type="dxa"/>
        </w:trPr>
        <w:tc>
          <w:tcPr>
            <w:tcW w:w="0" w:type="auto"/>
            <w:noWrap w:val="0"/>
            <w:vAlign w:val="center"/>
          </w:tcPr>
          <w:p w14:paraId="0C369471">
            <w:r>
              <w:rPr>
                <w:rStyle w:val="10"/>
                <w:rFonts w:hint="eastAsia"/>
              </w:rPr>
              <w:t>登记证号：</w:t>
            </w:r>
            <w:r>
              <w:rPr>
                <w:rFonts w:hint="eastAsia"/>
              </w:rPr>
              <w:t>PD20212497</w:t>
            </w:r>
          </w:p>
        </w:tc>
      </w:tr>
      <w:tr w14:paraId="41944873">
        <w:tblPrEx>
          <w:tblCellMar>
            <w:top w:w="0" w:type="dxa"/>
            <w:left w:w="0" w:type="dxa"/>
            <w:bottom w:w="0" w:type="dxa"/>
            <w:right w:w="0" w:type="dxa"/>
          </w:tblCellMar>
        </w:tblPrEx>
        <w:trPr>
          <w:wBefore w:w="0" w:type="auto"/>
          <w:tblCellSpacing w:w="0" w:type="dxa"/>
        </w:trPr>
        <w:tc>
          <w:tcPr>
            <w:tcW w:w="0" w:type="auto"/>
            <w:noWrap w:val="0"/>
            <w:vAlign w:val="center"/>
          </w:tcPr>
          <w:p w14:paraId="7D4F422A">
            <w:r>
              <w:rPr>
                <w:rStyle w:val="10"/>
                <w:rFonts w:hint="eastAsia"/>
              </w:rPr>
              <w:t>登记证持有人：</w:t>
            </w:r>
            <w:r>
              <w:rPr>
                <w:rFonts w:hint="eastAsia"/>
              </w:rPr>
              <w:t>侨昌现代农业有限公司</w:t>
            </w:r>
          </w:p>
        </w:tc>
      </w:tr>
      <w:tr w14:paraId="12B6593B">
        <w:tblPrEx>
          <w:tblCellMar>
            <w:top w:w="0" w:type="dxa"/>
            <w:left w:w="0" w:type="dxa"/>
            <w:bottom w:w="0" w:type="dxa"/>
            <w:right w:w="0" w:type="dxa"/>
          </w:tblCellMar>
        </w:tblPrEx>
        <w:trPr>
          <w:wBefore w:w="0" w:type="auto"/>
          <w:tblCellSpacing w:w="0" w:type="dxa"/>
        </w:trPr>
        <w:tc>
          <w:tcPr>
            <w:tcW w:w="0" w:type="auto"/>
            <w:noWrap w:val="0"/>
            <w:vAlign w:val="center"/>
          </w:tcPr>
          <w:p w14:paraId="297CAC8E">
            <w:r>
              <w:rPr>
                <w:rStyle w:val="10"/>
                <w:rFonts w:hint="eastAsia"/>
              </w:rPr>
              <w:t>农药名称：</w:t>
            </w:r>
            <w:r>
              <w:rPr>
                <w:rFonts w:hint="eastAsia"/>
              </w:rPr>
              <w:t>氧氟·草铵膦</w:t>
            </w:r>
          </w:p>
        </w:tc>
      </w:tr>
      <w:tr w14:paraId="12EDF143">
        <w:tblPrEx>
          <w:tblCellMar>
            <w:top w:w="0" w:type="dxa"/>
            <w:left w:w="0" w:type="dxa"/>
            <w:bottom w:w="0" w:type="dxa"/>
            <w:right w:w="0" w:type="dxa"/>
          </w:tblCellMar>
        </w:tblPrEx>
        <w:trPr>
          <w:wBefore w:w="0" w:type="auto"/>
          <w:tblCellSpacing w:w="0" w:type="dxa"/>
        </w:trPr>
        <w:tc>
          <w:tcPr>
            <w:tcW w:w="0" w:type="auto"/>
            <w:noWrap w:val="0"/>
            <w:vAlign w:val="center"/>
          </w:tcPr>
          <w:p w14:paraId="4309EED5">
            <w:r>
              <w:rPr>
                <w:rStyle w:val="10"/>
                <w:rFonts w:hint="eastAsia"/>
              </w:rPr>
              <w:t>剂型：</w:t>
            </w:r>
            <w:r>
              <w:rPr>
                <w:rFonts w:hint="eastAsia"/>
              </w:rPr>
              <w:t>微乳剂</w:t>
            </w:r>
          </w:p>
        </w:tc>
      </w:tr>
      <w:tr w14:paraId="45229AB1">
        <w:tblPrEx>
          <w:tblCellMar>
            <w:top w:w="0" w:type="dxa"/>
            <w:left w:w="0" w:type="dxa"/>
            <w:bottom w:w="0" w:type="dxa"/>
            <w:right w:w="0" w:type="dxa"/>
          </w:tblCellMar>
        </w:tblPrEx>
        <w:trPr>
          <w:wBefore w:w="0" w:type="auto"/>
          <w:tblCellSpacing w:w="0" w:type="dxa"/>
        </w:trPr>
        <w:tc>
          <w:tcPr>
            <w:tcW w:w="0" w:type="auto"/>
            <w:noWrap w:val="0"/>
            <w:vAlign w:val="center"/>
          </w:tcPr>
          <w:p w14:paraId="70A6D4F0">
            <w:r>
              <w:rPr>
                <w:rStyle w:val="10"/>
                <w:rFonts w:hint="eastAsia"/>
              </w:rPr>
              <w:t>毒性及其标识：</w:t>
            </w:r>
            <w:r>
              <w:rPr>
                <w:rFonts w:hint="eastAsia"/>
              </w:rPr>
              <w:t xml:space="preserve"> </w:t>
            </w:r>
            <w:r>
              <w:rPr>
                <w:lang/>
              </w:rPr>
              <w:drawing>
                <wp:inline distT="0" distB="0" distL="114300" distR="114300">
                  <wp:extent cx="476250" cy="323850"/>
                  <wp:effectExtent l="0" t="0" r="0" b="0"/>
                  <wp:docPr id="52" name="图片 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6CE1C2">
        <w:tblPrEx>
          <w:tblCellMar>
            <w:top w:w="0" w:type="dxa"/>
            <w:left w:w="0" w:type="dxa"/>
            <w:bottom w:w="0" w:type="dxa"/>
            <w:right w:w="0" w:type="dxa"/>
          </w:tblCellMar>
        </w:tblPrEx>
        <w:trPr>
          <w:wBefore w:w="0" w:type="auto"/>
          <w:tblCellSpacing w:w="0" w:type="dxa"/>
        </w:trPr>
        <w:tc>
          <w:tcPr>
            <w:tcW w:w="0" w:type="auto"/>
            <w:noWrap w:val="0"/>
            <w:vAlign w:val="center"/>
          </w:tcPr>
          <w:p w14:paraId="7BC80068">
            <w:r>
              <w:rPr>
                <w:rStyle w:val="10"/>
                <w:rFonts w:hint="eastAsia"/>
              </w:rPr>
              <w:t>总有效成分含量：</w:t>
            </w:r>
            <w:r>
              <w:rPr>
                <w:rFonts w:hint="eastAsia"/>
              </w:rPr>
              <w:t>17%</w:t>
            </w:r>
          </w:p>
        </w:tc>
      </w:tr>
      <w:tr w14:paraId="4359A71A">
        <w:tblPrEx>
          <w:tblCellMar>
            <w:top w:w="0" w:type="dxa"/>
            <w:left w:w="0" w:type="dxa"/>
            <w:bottom w:w="0" w:type="dxa"/>
            <w:right w:w="0" w:type="dxa"/>
          </w:tblCellMar>
        </w:tblPrEx>
        <w:trPr>
          <w:wBefore w:w="0" w:type="auto"/>
          <w:tblCellSpacing w:w="0" w:type="dxa"/>
        </w:trPr>
        <w:tc>
          <w:tcPr>
            <w:tcW w:w="0" w:type="auto"/>
            <w:noWrap w:val="0"/>
            <w:vAlign w:val="center"/>
          </w:tcPr>
          <w:p w14:paraId="4C812347">
            <w:r>
              <w:rPr>
                <w:rFonts w:hint="eastAsia"/>
              </w:rPr>
              <w:t xml:space="preserve">有效成分及其含量： </w:t>
            </w:r>
          </w:p>
          <w:p w14:paraId="5CB991B1">
            <w:r>
              <w:rPr>
                <w:rFonts w:hint="eastAsia"/>
              </w:rPr>
              <w:t xml:space="preserve">    草铵膦14.2%    乙氧氟草醚2.8%    </w:t>
            </w:r>
          </w:p>
        </w:tc>
      </w:tr>
      <w:tr w14:paraId="7293EC3B">
        <w:tblPrEx>
          <w:tblCellMar>
            <w:top w:w="0" w:type="dxa"/>
            <w:left w:w="0" w:type="dxa"/>
            <w:bottom w:w="0" w:type="dxa"/>
            <w:right w:w="0" w:type="dxa"/>
          </w:tblCellMar>
        </w:tblPrEx>
        <w:trPr>
          <w:wBefore w:w="0" w:type="auto"/>
          <w:tblCellSpacing w:w="0" w:type="dxa"/>
        </w:trPr>
        <w:tc>
          <w:tcPr>
            <w:tcW w:w="0" w:type="auto"/>
            <w:noWrap w:val="0"/>
            <w:vAlign w:val="center"/>
          </w:tcPr>
          <w:p w14:paraId="1BA2D2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B171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FEF83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3E5A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BC33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70F921">
                  <w:r>
                    <w:rPr>
                      <w:rStyle w:val="11"/>
                      <w:rFonts w:hint="eastAsia"/>
                    </w:rPr>
                    <w:t>施用方式</w:t>
                  </w:r>
                </w:p>
              </w:tc>
            </w:tr>
            <w:tr w14:paraId="762A72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F043A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43890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004158">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2B43FF">
                  <w:r>
                    <w:rPr>
                      <w:rStyle w:val="11"/>
                      <w:rFonts w:hint="eastAsia"/>
                    </w:rPr>
                    <w:t>茎叶喷雾</w:t>
                  </w:r>
                </w:p>
              </w:tc>
            </w:tr>
          </w:tbl>
          <w:p w14:paraId="181A142F">
            <w:pPr>
              <w:rPr>
                <w:rFonts w:ascii="Times New Roman" w:hAnsi="Times New Roman" w:cs="Times New Roman"/>
                <w:sz w:val="20"/>
                <w:szCs w:val="20"/>
              </w:rPr>
            </w:pPr>
          </w:p>
        </w:tc>
      </w:tr>
      <w:tr w14:paraId="4B8D1346">
        <w:tblPrEx>
          <w:tblCellMar>
            <w:top w:w="0" w:type="dxa"/>
            <w:left w:w="0" w:type="dxa"/>
            <w:bottom w:w="0" w:type="dxa"/>
            <w:right w:w="0" w:type="dxa"/>
          </w:tblCellMar>
        </w:tblPrEx>
        <w:trPr>
          <w:wBefore w:w="0" w:type="auto"/>
          <w:tblCellSpacing w:w="0" w:type="dxa"/>
        </w:trPr>
        <w:tc>
          <w:tcPr>
            <w:tcW w:w="0" w:type="auto"/>
            <w:noWrap w:val="0"/>
            <w:vAlign w:val="center"/>
          </w:tcPr>
          <w:p w14:paraId="4D9EE1EC">
            <w:r>
              <w:rPr>
                <w:rStyle w:val="10"/>
                <w:rFonts w:hint="eastAsia"/>
              </w:rPr>
              <w:t>使用技术要求:</w:t>
            </w:r>
            <w:r>
              <w:rPr>
                <w:rFonts w:hint="eastAsia"/>
              </w:rPr>
              <w:br w:type="textWrapping"/>
            </w:r>
            <w:r>
              <w:rPr>
                <w:rStyle w:val="11"/>
                <w:rFonts w:hint="eastAsia"/>
              </w:rPr>
              <w:t>1、在非耕地杂草旺盛生长期茎叶喷雾施药一次，每亩兑水20-30公斤，均匀茎叶喷雾。2、大风天或预计1小时内降雨，请勿施药。3、施药时注意避免药液飘移到邻近作物。 4、禁止在田间道路、田埂、果树行间、休耕地、林场林地等农林业区域使用。</w:t>
            </w:r>
          </w:p>
        </w:tc>
      </w:tr>
      <w:tr w14:paraId="0D9A17F6">
        <w:tblPrEx>
          <w:tblCellMar>
            <w:top w:w="0" w:type="dxa"/>
            <w:left w:w="0" w:type="dxa"/>
            <w:bottom w:w="0" w:type="dxa"/>
            <w:right w:w="0" w:type="dxa"/>
          </w:tblCellMar>
        </w:tblPrEx>
        <w:trPr>
          <w:wBefore w:w="0" w:type="auto"/>
          <w:tblCellSpacing w:w="0" w:type="dxa"/>
        </w:trPr>
        <w:tc>
          <w:tcPr>
            <w:tcW w:w="0" w:type="auto"/>
            <w:noWrap w:val="0"/>
            <w:vAlign w:val="center"/>
          </w:tcPr>
          <w:p w14:paraId="6E5A8D41">
            <w:r>
              <w:rPr>
                <w:rStyle w:val="10"/>
                <w:rFonts w:hint="eastAsia"/>
              </w:rPr>
              <w:t>产品性能:</w:t>
            </w:r>
            <w:r>
              <w:rPr>
                <w:rFonts w:hint="eastAsia"/>
              </w:rPr>
              <w:br w:type="textWrapping"/>
            </w:r>
            <w:r>
              <w:rPr>
                <w:rStyle w:val="11"/>
                <w:rFonts w:hint="eastAsia"/>
              </w:rPr>
              <w:t>本品为稳定的均相液体，可有效防除非耕地杂草。</w:t>
            </w:r>
          </w:p>
        </w:tc>
      </w:tr>
      <w:tr w14:paraId="0611E17E">
        <w:tblPrEx>
          <w:tblCellMar>
            <w:top w:w="0" w:type="dxa"/>
            <w:left w:w="0" w:type="dxa"/>
            <w:bottom w:w="0" w:type="dxa"/>
            <w:right w:w="0" w:type="dxa"/>
          </w:tblCellMar>
        </w:tblPrEx>
        <w:trPr>
          <w:wBefore w:w="0" w:type="auto"/>
          <w:tblCellSpacing w:w="0" w:type="dxa"/>
        </w:trPr>
        <w:tc>
          <w:tcPr>
            <w:tcW w:w="0" w:type="auto"/>
            <w:noWrap w:val="0"/>
            <w:vAlign w:val="center"/>
          </w:tcPr>
          <w:p w14:paraId="5E16EB35">
            <w:r>
              <w:rPr>
                <w:rStyle w:val="10"/>
                <w:rFonts w:hint="eastAsia"/>
              </w:rPr>
              <w:t>注意事项：</w:t>
            </w:r>
            <w:r>
              <w:rPr>
                <w:rFonts w:hint="eastAsia"/>
              </w:rPr>
              <w:br w:type="textWrapping"/>
            </w:r>
            <w:r>
              <w:rPr>
                <w:rStyle w:val="11"/>
                <w:rFonts w:hint="eastAsia"/>
              </w:rPr>
              <w:t>1、本品对蜜蜂、鱼类等水生生物、家蚕有毒，施药期间应避免对周围蜂群的影响，禁止在开花植物花期、蚕室和桑园附近使用。赤眼蜂等天敌放飞区域禁用。鸟类保护区附近禁用。 田间捕食性天敌种群数量高发期禁用。地下水、饮用水水源地禁用。2、远离水产养殖区、河塘等水域施药，禁止在河塘等水域清洗施药器具。3、使用本品时应穿戴长衣、长裤、帽子、口罩、手套等安全防护措施。避免吸入药液；施药期间不可吃东西、喝水、吸烟等。施药后应及时洗手、洗脸等。4、禁止在河塘等水域内清洗施药器具或将清洗施药器具的废水倒入河流、池塘等水源。5、废弃物应妥善处理，不可做他用，也不可随意丢弃。6、本药剂大面积灭草时，药后杂草成片干枯，应注意防治火灾发生。7、孕妇及哺乳期妇女避免接触本品。</w:t>
            </w:r>
          </w:p>
        </w:tc>
      </w:tr>
      <w:tr w14:paraId="30833066">
        <w:tblPrEx>
          <w:tblCellMar>
            <w:top w:w="0" w:type="dxa"/>
            <w:left w:w="0" w:type="dxa"/>
            <w:bottom w:w="0" w:type="dxa"/>
            <w:right w:w="0" w:type="dxa"/>
          </w:tblCellMar>
        </w:tblPrEx>
        <w:trPr>
          <w:wBefore w:w="0" w:type="auto"/>
          <w:tblCellSpacing w:w="0" w:type="dxa"/>
        </w:trPr>
        <w:tc>
          <w:tcPr>
            <w:tcW w:w="0" w:type="auto"/>
            <w:noWrap w:val="0"/>
            <w:vAlign w:val="center"/>
          </w:tcPr>
          <w:p w14:paraId="07CA1AE6">
            <w:r>
              <w:rPr>
                <w:rStyle w:val="10"/>
                <w:rFonts w:hint="eastAsia"/>
              </w:rPr>
              <w:t>中毒急救措施：</w:t>
            </w:r>
            <w:r>
              <w:rPr>
                <w:rFonts w:hint="eastAsia"/>
              </w:rPr>
              <w:br w:type="textWrapping"/>
            </w:r>
            <w:r>
              <w:rPr>
                <w:rStyle w:val="11"/>
                <w:rFonts w:hint="eastAsia"/>
              </w:rPr>
              <w:t>对眼睛有刺激性，使用时避免接触眼睛 。如不慎吸入，将病人移至空气流通处；不慎接触皮肤，用大量清水和肥皂冲洗干净；若溅入眼睛，用大量清水冲洗至少15分钟，仍有不适，就医；如误服，立即带标签送医院，对症治疗。应先洗胃，无特效解毒剂。</w:t>
            </w:r>
          </w:p>
        </w:tc>
      </w:tr>
      <w:tr w14:paraId="5D87E742">
        <w:tblPrEx>
          <w:tblCellMar>
            <w:top w:w="0" w:type="dxa"/>
            <w:left w:w="0" w:type="dxa"/>
            <w:bottom w:w="0" w:type="dxa"/>
            <w:right w:w="0" w:type="dxa"/>
          </w:tblCellMar>
        </w:tblPrEx>
        <w:trPr>
          <w:wBefore w:w="0" w:type="auto"/>
          <w:tblCellSpacing w:w="0" w:type="dxa"/>
        </w:trPr>
        <w:tc>
          <w:tcPr>
            <w:tcW w:w="0" w:type="auto"/>
            <w:noWrap w:val="0"/>
            <w:vAlign w:val="center"/>
          </w:tcPr>
          <w:p w14:paraId="4EEA4EFD">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536B116B">
        <w:tblPrEx>
          <w:tblCellMar>
            <w:top w:w="0" w:type="dxa"/>
            <w:left w:w="0" w:type="dxa"/>
            <w:bottom w:w="0" w:type="dxa"/>
            <w:right w:w="0" w:type="dxa"/>
          </w:tblCellMar>
        </w:tblPrEx>
        <w:trPr>
          <w:wBefore w:w="0" w:type="auto"/>
          <w:tblCellSpacing w:w="0" w:type="dxa"/>
        </w:trPr>
        <w:tc>
          <w:tcPr>
            <w:tcW w:w="0" w:type="auto"/>
            <w:noWrap w:val="0"/>
            <w:vAlign w:val="center"/>
          </w:tcPr>
          <w:p w14:paraId="66A882D8">
            <w:r>
              <w:rPr>
                <w:rStyle w:val="10"/>
                <w:rFonts w:hint="eastAsia"/>
              </w:rPr>
              <w:t>质量保证期：</w:t>
            </w:r>
            <w:r>
              <w:rPr>
                <w:rStyle w:val="11"/>
                <w:rFonts w:hint="eastAsia"/>
              </w:rPr>
              <w:t>2年</w:t>
            </w:r>
          </w:p>
        </w:tc>
      </w:tr>
      <w:tr w14:paraId="4EA865C7">
        <w:tblPrEx>
          <w:tblCellMar>
            <w:top w:w="0" w:type="dxa"/>
            <w:left w:w="0" w:type="dxa"/>
            <w:bottom w:w="0" w:type="dxa"/>
            <w:right w:w="0" w:type="dxa"/>
          </w:tblCellMar>
        </w:tblPrEx>
        <w:trPr>
          <w:wBefore w:w="0" w:type="auto"/>
          <w:tblCellSpacing w:w="0" w:type="dxa"/>
        </w:trPr>
        <w:tc>
          <w:tcPr>
            <w:tcW w:w="0" w:type="auto"/>
            <w:noWrap w:val="0"/>
            <w:vAlign w:val="center"/>
          </w:tcPr>
          <w:p w14:paraId="10563BB3">
            <w:r>
              <w:rPr>
                <w:rStyle w:val="10"/>
                <w:rFonts w:hint="eastAsia"/>
              </w:rPr>
              <w:t>备注：</w:t>
            </w:r>
          </w:p>
        </w:tc>
      </w:tr>
    </w:tbl>
    <w:p w14:paraId="6C226E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73D9B2">
        <w:tblPrEx>
          <w:tblCellMar>
            <w:top w:w="0" w:type="dxa"/>
            <w:left w:w="0" w:type="dxa"/>
            <w:bottom w:w="0" w:type="dxa"/>
            <w:right w:w="0" w:type="dxa"/>
          </w:tblCellMar>
        </w:tblPrEx>
        <w:trPr>
          <w:wBefore w:w="0" w:type="auto"/>
          <w:tblCellSpacing w:w="0" w:type="dxa"/>
        </w:trPr>
        <w:tc>
          <w:tcPr>
            <w:tcW w:w="0" w:type="auto"/>
            <w:noWrap w:val="0"/>
            <w:vAlign w:val="center"/>
          </w:tcPr>
          <w:p w14:paraId="5E68BFB7">
            <w:r>
              <w:rPr>
                <w:rStyle w:val="10"/>
                <w:rFonts w:hint="eastAsia"/>
              </w:rPr>
              <w:t>登记证号：</w:t>
            </w:r>
            <w:r>
              <w:rPr>
                <w:rFonts w:hint="eastAsia"/>
              </w:rPr>
              <w:t>PD20212680</w:t>
            </w:r>
          </w:p>
        </w:tc>
      </w:tr>
      <w:tr w14:paraId="03CABD68">
        <w:tblPrEx>
          <w:tblCellMar>
            <w:top w:w="0" w:type="dxa"/>
            <w:left w:w="0" w:type="dxa"/>
            <w:bottom w:w="0" w:type="dxa"/>
            <w:right w:w="0" w:type="dxa"/>
          </w:tblCellMar>
        </w:tblPrEx>
        <w:trPr>
          <w:wBefore w:w="0" w:type="auto"/>
          <w:tblCellSpacing w:w="0" w:type="dxa"/>
        </w:trPr>
        <w:tc>
          <w:tcPr>
            <w:tcW w:w="0" w:type="auto"/>
            <w:noWrap w:val="0"/>
            <w:vAlign w:val="center"/>
          </w:tcPr>
          <w:p w14:paraId="34D8D4E3">
            <w:r>
              <w:rPr>
                <w:rStyle w:val="10"/>
                <w:rFonts w:hint="eastAsia"/>
              </w:rPr>
              <w:t>登记证持有人：</w:t>
            </w:r>
            <w:r>
              <w:rPr>
                <w:rFonts w:hint="eastAsia"/>
              </w:rPr>
              <w:t>江苏优嘉植物保护有限公司</w:t>
            </w:r>
          </w:p>
        </w:tc>
      </w:tr>
      <w:tr w14:paraId="6F37D743">
        <w:tblPrEx>
          <w:tblCellMar>
            <w:top w:w="0" w:type="dxa"/>
            <w:left w:w="0" w:type="dxa"/>
            <w:bottom w:w="0" w:type="dxa"/>
            <w:right w:w="0" w:type="dxa"/>
          </w:tblCellMar>
        </w:tblPrEx>
        <w:trPr>
          <w:wBefore w:w="0" w:type="auto"/>
          <w:tblCellSpacing w:w="0" w:type="dxa"/>
        </w:trPr>
        <w:tc>
          <w:tcPr>
            <w:tcW w:w="0" w:type="auto"/>
            <w:noWrap w:val="0"/>
            <w:vAlign w:val="center"/>
          </w:tcPr>
          <w:p w14:paraId="77DCD41C">
            <w:r>
              <w:rPr>
                <w:rStyle w:val="10"/>
                <w:rFonts w:hint="eastAsia"/>
              </w:rPr>
              <w:t>农药名称：</w:t>
            </w:r>
            <w:r>
              <w:rPr>
                <w:rFonts w:hint="eastAsia"/>
              </w:rPr>
              <w:t>丙环唑·噻呋酰胺</w:t>
            </w:r>
          </w:p>
        </w:tc>
      </w:tr>
      <w:tr w14:paraId="343F342C">
        <w:tblPrEx>
          <w:tblCellMar>
            <w:top w:w="0" w:type="dxa"/>
            <w:left w:w="0" w:type="dxa"/>
            <w:bottom w:w="0" w:type="dxa"/>
            <w:right w:w="0" w:type="dxa"/>
          </w:tblCellMar>
        </w:tblPrEx>
        <w:trPr>
          <w:wBefore w:w="0" w:type="auto"/>
          <w:tblCellSpacing w:w="0" w:type="dxa"/>
        </w:trPr>
        <w:tc>
          <w:tcPr>
            <w:tcW w:w="0" w:type="auto"/>
            <w:noWrap w:val="0"/>
            <w:vAlign w:val="center"/>
          </w:tcPr>
          <w:p w14:paraId="5316B62E">
            <w:r>
              <w:rPr>
                <w:rStyle w:val="10"/>
                <w:rFonts w:hint="eastAsia"/>
              </w:rPr>
              <w:t>剂型：</w:t>
            </w:r>
            <w:r>
              <w:rPr>
                <w:rFonts w:hint="eastAsia"/>
              </w:rPr>
              <w:t>悬乳剂</w:t>
            </w:r>
          </w:p>
        </w:tc>
      </w:tr>
      <w:tr w14:paraId="6B283B43">
        <w:tblPrEx>
          <w:tblCellMar>
            <w:top w:w="0" w:type="dxa"/>
            <w:left w:w="0" w:type="dxa"/>
            <w:bottom w:w="0" w:type="dxa"/>
            <w:right w:w="0" w:type="dxa"/>
          </w:tblCellMar>
        </w:tblPrEx>
        <w:trPr>
          <w:wBefore w:w="0" w:type="auto"/>
          <w:tblCellSpacing w:w="0" w:type="dxa"/>
        </w:trPr>
        <w:tc>
          <w:tcPr>
            <w:tcW w:w="0" w:type="auto"/>
            <w:noWrap w:val="0"/>
            <w:vAlign w:val="center"/>
          </w:tcPr>
          <w:p w14:paraId="1C4B1640">
            <w:r>
              <w:rPr>
                <w:rStyle w:val="10"/>
                <w:rFonts w:hint="eastAsia"/>
              </w:rPr>
              <w:t>毒性及其标识：</w:t>
            </w:r>
            <w:r>
              <w:rPr>
                <w:rFonts w:hint="eastAsia"/>
              </w:rPr>
              <w:t xml:space="preserve"> </w:t>
            </w:r>
            <w:r>
              <w:rPr>
                <w:lang/>
              </w:rPr>
              <w:drawing>
                <wp:inline distT="0" distB="0" distL="114300" distR="114300">
                  <wp:extent cx="476250" cy="323850"/>
                  <wp:effectExtent l="0" t="0" r="0" b="0"/>
                  <wp:docPr id="53" name="图片 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BCFDC7">
        <w:tblPrEx>
          <w:tblCellMar>
            <w:top w:w="0" w:type="dxa"/>
            <w:left w:w="0" w:type="dxa"/>
            <w:bottom w:w="0" w:type="dxa"/>
            <w:right w:w="0" w:type="dxa"/>
          </w:tblCellMar>
        </w:tblPrEx>
        <w:trPr>
          <w:wBefore w:w="0" w:type="auto"/>
          <w:tblCellSpacing w:w="0" w:type="dxa"/>
        </w:trPr>
        <w:tc>
          <w:tcPr>
            <w:tcW w:w="0" w:type="auto"/>
            <w:noWrap w:val="0"/>
            <w:vAlign w:val="center"/>
          </w:tcPr>
          <w:p w14:paraId="274100AA">
            <w:r>
              <w:rPr>
                <w:rStyle w:val="10"/>
                <w:rFonts w:hint="eastAsia"/>
              </w:rPr>
              <w:t>总有效成分含量：</w:t>
            </w:r>
            <w:r>
              <w:rPr>
                <w:rFonts w:hint="eastAsia"/>
              </w:rPr>
              <w:t>24%</w:t>
            </w:r>
          </w:p>
        </w:tc>
      </w:tr>
      <w:tr w14:paraId="664329AA">
        <w:tblPrEx>
          <w:tblCellMar>
            <w:top w:w="0" w:type="dxa"/>
            <w:left w:w="0" w:type="dxa"/>
            <w:bottom w:w="0" w:type="dxa"/>
            <w:right w:w="0" w:type="dxa"/>
          </w:tblCellMar>
        </w:tblPrEx>
        <w:trPr>
          <w:wBefore w:w="0" w:type="auto"/>
          <w:tblCellSpacing w:w="0" w:type="dxa"/>
        </w:trPr>
        <w:tc>
          <w:tcPr>
            <w:tcW w:w="0" w:type="auto"/>
            <w:noWrap w:val="0"/>
            <w:vAlign w:val="center"/>
          </w:tcPr>
          <w:p w14:paraId="03884F15">
            <w:r>
              <w:rPr>
                <w:rFonts w:hint="eastAsia"/>
              </w:rPr>
              <w:t xml:space="preserve">有效成分及其含量： </w:t>
            </w:r>
          </w:p>
          <w:p w14:paraId="3C3D268D">
            <w:r>
              <w:rPr>
                <w:rFonts w:hint="eastAsia"/>
              </w:rPr>
              <w:t xml:space="preserve">    噻呋酰胺8%    丙环唑16%    </w:t>
            </w:r>
          </w:p>
        </w:tc>
      </w:tr>
      <w:tr w14:paraId="38BA43A4">
        <w:tblPrEx>
          <w:tblCellMar>
            <w:top w:w="0" w:type="dxa"/>
            <w:left w:w="0" w:type="dxa"/>
            <w:bottom w:w="0" w:type="dxa"/>
            <w:right w:w="0" w:type="dxa"/>
          </w:tblCellMar>
        </w:tblPrEx>
        <w:trPr>
          <w:wBefore w:w="0" w:type="auto"/>
          <w:tblCellSpacing w:w="0" w:type="dxa"/>
        </w:trPr>
        <w:tc>
          <w:tcPr>
            <w:tcW w:w="0" w:type="auto"/>
            <w:noWrap w:val="0"/>
            <w:vAlign w:val="center"/>
          </w:tcPr>
          <w:p w14:paraId="2DB231A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CA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D11E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EDB35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3D9F3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B1FE6E">
                  <w:r>
                    <w:rPr>
                      <w:rStyle w:val="11"/>
                      <w:rFonts w:hint="eastAsia"/>
                    </w:rPr>
                    <w:t>施用方式</w:t>
                  </w:r>
                </w:p>
              </w:tc>
            </w:tr>
            <w:tr w14:paraId="1B73C6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B5B95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6380C3">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B69A17">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EEFD49">
                  <w:r>
                    <w:rPr>
                      <w:rStyle w:val="11"/>
                      <w:rFonts w:hint="eastAsia"/>
                    </w:rPr>
                    <w:t>喷雾</w:t>
                  </w:r>
                </w:p>
              </w:tc>
            </w:tr>
          </w:tbl>
          <w:p w14:paraId="7FCE8BFB">
            <w:pPr>
              <w:rPr>
                <w:rFonts w:ascii="Times New Roman" w:hAnsi="Times New Roman" w:cs="Times New Roman"/>
                <w:sz w:val="20"/>
                <w:szCs w:val="20"/>
              </w:rPr>
            </w:pPr>
          </w:p>
        </w:tc>
      </w:tr>
      <w:tr w14:paraId="29EE8F80">
        <w:tblPrEx>
          <w:tblCellMar>
            <w:top w:w="0" w:type="dxa"/>
            <w:left w:w="0" w:type="dxa"/>
            <w:bottom w:w="0" w:type="dxa"/>
            <w:right w:w="0" w:type="dxa"/>
          </w:tblCellMar>
        </w:tblPrEx>
        <w:trPr>
          <w:wBefore w:w="0" w:type="auto"/>
          <w:tblCellSpacing w:w="0" w:type="dxa"/>
        </w:trPr>
        <w:tc>
          <w:tcPr>
            <w:tcW w:w="0" w:type="auto"/>
            <w:noWrap w:val="0"/>
            <w:vAlign w:val="center"/>
          </w:tcPr>
          <w:p w14:paraId="52702415">
            <w:r>
              <w:rPr>
                <w:rStyle w:val="10"/>
                <w:rFonts w:hint="eastAsia"/>
              </w:rPr>
              <w:t>使用技术要求:</w:t>
            </w:r>
            <w:r>
              <w:rPr>
                <w:rFonts w:hint="eastAsia"/>
              </w:rPr>
              <w:br w:type="textWrapping"/>
            </w:r>
            <w:r>
              <w:rPr>
                <w:rStyle w:val="11"/>
                <w:rFonts w:hint="eastAsia"/>
              </w:rPr>
              <w:t>1.于水稻纹枯病发病初期施药1次， 注意喷雾均匀。2.大风天、预计1小时内降雨或中午高温期间，请勿施药。3.每季最多施药1次，安全间隔期14天。</w:t>
            </w:r>
          </w:p>
        </w:tc>
      </w:tr>
      <w:tr w14:paraId="1922945F">
        <w:tblPrEx>
          <w:tblCellMar>
            <w:top w:w="0" w:type="dxa"/>
            <w:left w:w="0" w:type="dxa"/>
            <w:bottom w:w="0" w:type="dxa"/>
            <w:right w:w="0" w:type="dxa"/>
          </w:tblCellMar>
        </w:tblPrEx>
        <w:trPr>
          <w:wBefore w:w="0" w:type="auto"/>
          <w:tblCellSpacing w:w="0" w:type="dxa"/>
        </w:trPr>
        <w:tc>
          <w:tcPr>
            <w:tcW w:w="0" w:type="auto"/>
            <w:noWrap w:val="0"/>
            <w:vAlign w:val="center"/>
          </w:tcPr>
          <w:p w14:paraId="18264E27">
            <w:r>
              <w:rPr>
                <w:rStyle w:val="10"/>
                <w:rFonts w:hint="eastAsia"/>
              </w:rPr>
              <w:t>产品性能:</w:t>
            </w:r>
            <w:r>
              <w:rPr>
                <w:rFonts w:hint="eastAsia"/>
              </w:rPr>
              <w:br w:type="textWrapping"/>
            </w:r>
            <w:r>
              <w:rPr>
                <w:rStyle w:val="11"/>
                <w:rFonts w:hint="eastAsia"/>
              </w:rPr>
              <w:t>噻呋酰胺属噻唑酰胺类强内吸传导性杀菌剂，特别是担子菌丝核菌属真菌引起的病害有很好的防治效果。其主要作用机理是抑制病菌三羧酸循环中琥珀酸去氢酶，导致菌体死亡。丙环唑是一种具有治疗作用的三唑类内吸性广谱杀菌剂，能被植物的茎、叶吸收，并向上传导。该产品对水稻纹枯病有较好的防治效果。</w:t>
            </w:r>
          </w:p>
        </w:tc>
      </w:tr>
      <w:tr w14:paraId="4383F5AE">
        <w:tblPrEx>
          <w:tblCellMar>
            <w:top w:w="0" w:type="dxa"/>
            <w:left w:w="0" w:type="dxa"/>
            <w:bottom w:w="0" w:type="dxa"/>
            <w:right w:w="0" w:type="dxa"/>
          </w:tblCellMar>
        </w:tblPrEx>
        <w:trPr>
          <w:wBefore w:w="0" w:type="auto"/>
          <w:tblCellSpacing w:w="0" w:type="dxa"/>
        </w:trPr>
        <w:tc>
          <w:tcPr>
            <w:tcW w:w="0" w:type="auto"/>
            <w:noWrap w:val="0"/>
            <w:vAlign w:val="center"/>
          </w:tcPr>
          <w:p w14:paraId="5C9AE4E4">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鱼或虾蟹套养稻田禁用，施药后的田水不得直接排入水体。3.避免与中等氧化剂接触。4.建议与其他不同作用机制的杀菌剂轮换使用，以延缓其抗性。5.孕妇及哺乳期妇女避免接触本品。6.用过的容器应妥善处理，不可做它用，也不可随意丢弃。</w:t>
            </w:r>
          </w:p>
        </w:tc>
      </w:tr>
      <w:tr w14:paraId="26A45F2A">
        <w:tblPrEx>
          <w:tblCellMar>
            <w:top w:w="0" w:type="dxa"/>
            <w:left w:w="0" w:type="dxa"/>
            <w:bottom w:w="0" w:type="dxa"/>
            <w:right w:w="0" w:type="dxa"/>
          </w:tblCellMar>
        </w:tblPrEx>
        <w:trPr>
          <w:wBefore w:w="0" w:type="auto"/>
          <w:tblCellSpacing w:w="0" w:type="dxa"/>
        </w:trPr>
        <w:tc>
          <w:tcPr>
            <w:tcW w:w="0" w:type="auto"/>
            <w:noWrap w:val="0"/>
            <w:vAlign w:val="center"/>
          </w:tcPr>
          <w:p w14:paraId="0275CA2B">
            <w:r>
              <w:rPr>
                <w:rStyle w:val="10"/>
                <w:rFonts w:hint="eastAsia"/>
              </w:rPr>
              <w:t>中毒急救措施：</w:t>
            </w:r>
            <w:r>
              <w:rPr>
                <w:rFonts w:hint="eastAsia"/>
              </w:rPr>
              <w:br w:type="textWrapping"/>
            </w:r>
            <w:r>
              <w:rPr>
                <w:rStyle w:val="11"/>
                <w:rFonts w:hint="eastAsia"/>
              </w:rPr>
              <w:t>中毒症状：本品对眼睛有轻度刺激。 眼睛溅入∶立刻用大量清水冲洗15-20分钟，如仍感觉不适，应当尽快携此标签去医院诊治。 皮肤接触∶用软布去除沾染农药，然后用肥皂水和清水冲洗；脱去污染的衣物；如仍感觉不适，应当尽快携带标签到医院就医。 误吸：转移至空气清新处，如仍感不适需请医生治疗。 误 食∶不要自行引吐，携标签送医诊治。 给医护人员的提示：无特殊解毒药，请医生根据症状治疗。</w:t>
            </w:r>
          </w:p>
        </w:tc>
      </w:tr>
      <w:tr w14:paraId="49DC32FF">
        <w:tblPrEx>
          <w:tblCellMar>
            <w:top w:w="0" w:type="dxa"/>
            <w:left w:w="0" w:type="dxa"/>
            <w:bottom w:w="0" w:type="dxa"/>
            <w:right w:w="0" w:type="dxa"/>
          </w:tblCellMar>
        </w:tblPrEx>
        <w:trPr>
          <w:wBefore w:w="0" w:type="auto"/>
          <w:tblCellSpacing w:w="0" w:type="dxa"/>
        </w:trPr>
        <w:tc>
          <w:tcPr>
            <w:tcW w:w="0" w:type="auto"/>
            <w:noWrap w:val="0"/>
            <w:vAlign w:val="center"/>
          </w:tcPr>
          <w:p w14:paraId="10E7A736">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本品应贮存于干燥、阴凉、通风、防雨处，远离火源或热源。置于儿童触及不到之处，应加锁保存。不能与食品、饮料、种子、粮食、饲料等同贮同运。装卸时，注意轻拿轻放，运输时要防潮防晒。</w:t>
            </w:r>
          </w:p>
        </w:tc>
      </w:tr>
      <w:tr w14:paraId="0FCA53E0">
        <w:tblPrEx>
          <w:tblCellMar>
            <w:top w:w="0" w:type="dxa"/>
            <w:left w:w="0" w:type="dxa"/>
            <w:bottom w:w="0" w:type="dxa"/>
            <w:right w:w="0" w:type="dxa"/>
          </w:tblCellMar>
        </w:tblPrEx>
        <w:trPr>
          <w:wBefore w:w="0" w:type="auto"/>
          <w:tblCellSpacing w:w="0" w:type="dxa"/>
        </w:trPr>
        <w:tc>
          <w:tcPr>
            <w:tcW w:w="0" w:type="auto"/>
            <w:noWrap w:val="0"/>
            <w:vAlign w:val="center"/>
          </w:tcPr>
          <w:p w14:paraId="4067680C">
            <w:r>
              <w:rPr>
                <w:rStyle w:val="10"/>
                <w:rFonts w:hint="eastAsia"/>
              </w:rPr>
              <w:t>质量保证期：</w:t>
            </w:r>
            <w:r>
              <w:rPr>
                <w:rStyle w:val="11"/>
                <w:rFonts w:hint="eastAsia"/>
              </w:rPr>
              <w:t>2年</w:t>
            </w:r>
          </w:p>
        </w:tc>
      </w:tr>
      <w:tr w14:paraId="53A048EC">
        <w:tblPrEx>
          <w:tblCellMar>
            <w:top w:w="0" w:type="dxa"/>
            <w:left w:w="0" w:type="dxa"/>
            <w:bottom w:w="0" w:type="dxa"/>
            <w:right w:w="0" w:type="dxa"/>
          </w:tblCellMar>
        </w:tblPrEx>
        <w:trPr>
          <w:wBefore w:w="0" w:type="auto"/>
          <w:tblCellSpacing w:w="0" w:type="dxa"/>
        </w:trPr>
        <w:tc>
          <w:tcPr>
            <w:tcW w:w="0" w:type="auto"/>
            <w:noWrap w:val="0"/>
            <w:vAlign w:val="center"/>
          </w:tcPr>
          <w:p w14:paraId="353019E3">
            <w:r>
              <w:rPr>
                <w:rStyle w:val="10"/>
                <w:rFonts w:hint="eastAsia"/>
              </w:rPr>
              <w:t>备注：</w:t>
            </w:r>
          </w:p>
        </w:tc>
      </w:tr>
    </w:tbl>
    <w:p w14:paraId="1B59115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426A37">
        <w:tblPrEx>
          <w:tblCellMar>
            <w:top w:w="0" w:type="dxa"/>
            <w:left w:w="0" w:type="dxa"/>
            <w:bottom w:w="0" w:type="dxa"/>
            <w:right w:w="0" w:type="dxa"/>
          </w:tblCellMar>
        </w:tblPrEx>
        <w:trPr>
          <w:wBefore w:w="0" w:type="auto"/>
          <w:tblCellSpacing w:w="0" w:type="dxa"/>
        </w:trPr>
        <w:tc>
          <w:tcPr>
            <w:tcW w:w="0" w:type="auto"/>
            <w:noWrap w:val="0"/>
            <w:vAlign w:val="center"/>
          </w:tcPr>
          <w:p w14:paraId="181BE81C">
            <w:r>
              <w:rPr>
                <w:rStyle w:val="10"/>
                <w:rFonts w:hint="eastAsia"/>
              </w:rPr>
              <w:t>登记证号：</w:t>
            </w:r>
            <w:r>
              <w:rPr>
                <w:rFonts w:hint="eastAsia"/>
              </w:rPr>
              <w:t>PD20212577</w:t>
            </w:r>
          </w:p>
        </w:tc>
      </w:tr>
      <w:tr w14:paraId="584256A8">
        <w:tblPrEx>
          <w:tblCellMar>
            <w:top w:w="0" w:type="dxa"/>
            <w:left w:w="0" w:type="dxa"/>
            <w:bottom w:w="0" w:type="dxa"/>
            <w:right w:w="0" w:type="dxa"/>
          </w:tblCellMar>
        </w:tblPrEx>
        <w:trPr>
          <w:wBefore w:w="0" w:type="auto"/>
          <w:tblCellSpacing w:w="0" w:type="dxa"/>
        </w:trPr>
        <w:tc>
          <w:tcPr>
            <w:tcW w:w="0" w:type="auto"/>
            <w:noWrap w:val="0"/>
            <w:vAlign w:val="center"/>
          </w:tcPr>
          <w:p w14:paraId="0627F816">
            <w:r>
              <w:rPr>
                <w:rStyle w:val="10"/>
                <w:rFonts w:hint="eastAsia"/>
              </w:rPr>
              <w:t>登记证持有人：</w:t>
            </w:r>
            <w:r>
              <w:rPr>
                <w:rFonts w:hint="eastAsia"/>
              </w:rPr>
              <w:t>安徽黑包公有害生物防控有限公司</w:t>
            </w:r>
          </w:p>
        </w:tc>
      </w:tr>
      <w:tr w14:paraId="30798611">
        <w:tblPrEx>
          <w:tblCellMar>
            <w:top w:w="0" w:type="dxa"/>
            <w:left w:w="0" w:type="dxa"/>
            <w:bottom w:w="0" w:type="dxa"/>
            <w:right w:w="0" w:type="dxa"/>
          </w:tblCellMar>
        </w:tblPrEx>
        <w:trPr>
          <w:wBefore w:w="0" w:type="auto"/>
          <w:tblCellSpacing w:w="0" w:type="dxa"/>
        </w:trPr>
        <w:tc>
          <w:tcPr>
            <w:tcW w:w="0" w:type="auto"/>
            <w:noWrap w:val="0"/>
            <w:vAlign w:val="center"/>
          </w:tcPr>
          <w:p w14:paraId="0816ED6F">
            <w:r>
              <w:rPr>
                <w:rStyle w:val="10"/>
                <w:rFonts w:hint="eastAsia"/>
              </w:rPr>
              <w:t>农药名称：</w:t>
            </w:r>
            <w:r>
              <w:rPr>
                <w:rFonts w:hint="eastAsia"/>
              </w:rPr>
              <w:t>环嗪酮</w:t>
            </w:r>
          </w:p>
        </w:tc>
      </w:tr>
      <w:tr w14:paraId="0CCDBE25">
        <w:tblPrEx>
          <w:tblCellMar>
            <w:top w:w="0" w:type="dxa"/>
            <w:left w:w="0" w:type="dxa"/>
            <w:bottom w:w="0" w:type="dxa"/>
            <w:right w:w="0" w:type="dxa"/>
          </w:tblCellMar>
        </w:tblPrEx>
        <w:trPr>
          <w:wBefore w:w="0" w:type="auto"/>
          <w:tblCellSpacing w:w="0" w:type="dxa"/>
        </w:trPr>
        <w:tc>
          <w:tcPr>
            <w:tcW w:w="0" w:type="auto"/>
            <w:noWrap w:val="0"/>
            <w:vAlign w:val="center"/>
          </w:tcPr>
          <w:p w14:paraId="67829395">
            <w:r>
              <w:rPr>
                <w:rStyle w:val="10"/>
                <w:rFonts w:hint="eastAsia"/>
              </w:rPr>
              <w:t>剂型：</w:t>
            </w:r>
            <w:r>
              <w:rPr>
                <w:rFonts w:hint="eastAsia"/>
              </w:rPr>
              <w:t>可溶液剂</w:t>
            </w:r>
          </w:p>
        </w:tc>
      </w:tr>
      <w:tr w14:paraId="1E203D26">
        <w:tblPrEx>
          <w:tblCellMar>
            <w:top w:w="0" w:type="dxa"/>
            <w:left w:w="0" w:type="dxa"/>
            <w:bottom w:w="0" w:type="dxa"/>
            <w:right w:w="0" w:type="dxa"/>
          </w:tblCellMar>
        </w:tblPrEx>
        <w:trPr>
          <w:wBefore w:w="0" w:type="auto"/>
          <w:tblCellSpacing w:w="0" w:type="dxa"/>
        </w:trPr>
        <w:tc>
          <w:tcPr>
            <w:tcW w:w="0" w:type="auto"/>
            <w:noWrap w:val="0"/>
            <w:vAlign w:val="center"/>
          </w:tcPr>
          <w:p w14:paraId="40BF46B5">
            <w:r>
              <w:rPr>
                <w:rStyle w:val="10"/>
                <w:rFonts w:hint="eastAsia"/>
              </w:rPr>
              <w:t>毒性及其标识：</w:t>
            </w:r>
            <w:r>
              <w:rPr>
                <w:rFonts w:hint="eastAsia"/>
              </w:rPr>
              <w:t xml:space="preserve"> </w:t>
            </w:r>
            <w:r>
              <w:rPr>
                <w:lang/>
              </w:rPr>
              <w:drawing>
                <wp:inline distT="0" distB="0" distL="114300" distR="114300">
                  <wp:extent cx="476250" cy="323850"/>
                  <wp:effectExtent l="0" t="0" r="0" b="0"/>
                  <wp:docPr id="54" name="图片 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036753">
        <w:tblPrEx>
          <w:tblCellMar>
            <w:top w:w="0" w:type="dxa"/>
            <w:left w:w="0" w:type="dxa"/>
            <w:bottom w:w="0" w:type="dxa"/>
            <w:right w:w="0" w:type="dxa"/>
          </w:tblCellMar>
        </w:tblPrEx>
        <w:trPr>
          <w:wBefore w:w="0" w:type="auto"/>
          <w:tblCellSpacing w:w="0" w:type="dxa"/>
        </w:trPr>
        <w:tc>
          <w:tcPr>
            <w:tcW w:w="0" w:type="auto"/>
            <w:noWrap w:val="0"/>
            <w:vAlign w:val="center"/>
          </w:tcPr>
          <w:p w14:paraId="29BD7BCD">
            <w:r>
              <w:rPr>
                <w:rStyle w:val="10"/>
                <w:rFonts w:hint="eastAsia"/>
              </w:rPr>
              <w:t>总有效成分含量：</w:t>
            </w:r>
            <w:r>
              <w:rPr>
                <w:rFonts w:hint="eastAsia"/>
              </w:rPr>
              <w:t>25%</w:t>
            </w:r>
          </w:p>
        </w:tc>
      </w:tr>
      <w:tr w14:paraId="67082C1C">
        <w:tblPrEx>
          <w:tblCellMar>
            <w:top w:w="0" w:type="dxa"/>
            <w:left w:w="0" w:type="dxa"/>
            <w:bottom w:w="0" w:type="dxa"/>
            <w:right w:w="0" w:type="dxa"/>
          </w:tblCellMar>
        </w:tblPrEx>
        <w:trPr>
          <w:wBefore w:w="0" w:type="auto"/>
          <w:tblCellSpacing w:w="0" w:type="dxa"/>
        </w:trPr>
        <w:tc>
          <w:tcPr>
            <w:tcW w:w="0" w:type="auto"/>
            <w:noWrap w:val="0"/>
            <w:vAlign w:val="center"/>
          </w:tcPr>
          <w:p w14:paraId="57671676">
            <w:r>
              <w:rPr>
                <w:rFonts w:hint="eastAsia"/>
              </w:rPr>
              <w:t xml:space="preserve">有效成分及其含量： </w:t>
            </w:r>
          </w:p>
          <w:p w14:paraId="21E9B9B3">
            <w:r>
              <w:rPr>
                <w:rFonts w:hint="eastAsia"/>
              </w:rPr>
              <w:t xml:space="preserve">    环嗪酮25.0%    </w:t>
            </w:r>
          </w:p>
        </w:tc>
      </w:tr>
      <w:tr w14:paraId="7889F954">
        <w:tblPrEx>
          <w:tblCellMar>
            <w:top w:w="0" w:type="dxa"/>
            <w:left w:w="0" w:type="dxa"/>
            <w:bottom w:w="0" w:type="dxa"/>
            <w:right w:w="0" w:type="dxa"/>
          </w:tblCellMar>
        </w:tblPrEx>
        <w:trPr>
          <w:wBefore w:w="0" w:type="auto"/>
          <w:tblCellSpacing w:w="0" w:type="dxa"/>
        </w:trPr>
        <w:tc>
          <w:tcPr>
            <w:tcW w:w="0" w:type="auto"/>
            <w:noWrap w:val="0"/>
            <w:vAlign w:val="center"/>
          </w:tcPr>
          <w:p w14:paraId="09694C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75174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E418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97EBB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3EE8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1DF112">
                  <w:r>
                    <w:rPr>
                      <w:rStyle w:val="11"/>
                      <w:rFonts w:hint="eastAsia"/>
                    </w:rPr>
                    <w:t>施用方式</w:t>
                  </w:r>
                </w:p>
              </w:tc>
            </w:tr>
            <w:tr w14:paraId="572A97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9FE362">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F518B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CA3035">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CFE7F3">
                  <w:r>
                    <w:rPr>
                      <w:rStyle w:val="11"/>
                      <w:rFonts w:hint="eastAsia"/>
                    </w:rPr>
                    <w:t>茎叶喷雾</w:t>
                  </w:r>
                </w:p>
              </w:tc>
            </w:tr>
          </w:tbl>
          <w:p w14:paraId="7128E493">
            <w:pPr>
              <w:rPr>
                <w:rFonts w:ascii="Times New Roman" w:hAnsi="Times New Roman" w:cs="Times New Roman"/>
                <w:sz w:val="20"/>
                <w:szCs w:val="20"/>
              </w:rPr>
            </w:pPr>
          </w:p>
        </w:tc>
      </w:tr>
      <w:tr w14:paraId="1A9477CF">
        <w:tblPrEx>
          <w:tblCellMar>
            <w:top w:w="0" w:type="dxa"/>
            <w:left w:w="0" w:type="dxa"/>
            <w:bottom w:w="0" w:type="dxa"/>
            <w:right w:w="0" w:type="dxa"/>
          </w:tblCellMar>
        </w:tblPrEx>
        <w:trPr>
          <w:wBefore w:w="0" w:type="auto"/>
          <w:tblCellSpacing w:w="0" w:type="dxa"/>
        </w:trPr>
        <w:tc>
          <w:tcPr>
            <w:tcW w:w="0" w:type="auto"/>
            <w:noWrap w:val="0"/>
            <w:vAlign w:val="center"/>
          </w:tcPr>
          <w:p w14:paraId="784B318B">
            <w:r>
              <w:rPr>
                <w:rStyle w:val="10"/>
                <w:rFonts w:hint="eastAsia"/>
              </w:rPr>
              <w:t>使用技术要求:</w:t>
            </w:r>
            <w:r>
              <w:rPr>
                <w:rFonts w:hint="eastAsia"/>
              </w:rPr>
              <w:br w:type="textWrapping"/>
            </w:r>
            <w:r>
              <w:rPr>
                <w:rStyle w:val="11"/>
                <w:rFonts w:hint="eastAsia"/>
              </w:rPr>
              <w:t>1. 本品用于森林防火道防除杂草，于森林防火道杂草生长期茎叶喷雾施药一次。 2. 茎叶喷雾，施药时尽可能均匀周到；大风天或暴雨前，切勿施药。</w:t>
            </w:r>
          </w:p>
        </w:tc>
      </w:tr>
      <w:tr w14:paraId="2C1C0F03">
        <w:tblPrEx>
          <w:tblCellMar>
            <w:top w:w="0" w:type="dxa"/>
            <w:left w:w="0" w:type="dxa"/>
            <w:bottom w:w="0" w:type="dxa"/>
            <w:right w:w="0" w:type="dxa"/>
          </w:tblCellMar>
        </w:tblPrEx>
        <w:trPr>
          <w:wBefore w:w="0" w:type="auto"/>
          <w:tblCellSpacing w:w="0" w:type="dxa"/>
        </w:trPr>
        <w:tc>
          <w:tcPr>
            <w:tcW w:w="0" w:type="auto"/>
            <w:noWrap w:val="0"/>
            <w:vAlign w:val="center"/>
          </w:tcPr>
          <w:p w14:paraId="6601B720">
            <w:r>
              <w:rPr>
                <w:rStyle w:val="10"/>
                <w:rFonts w:hint="eastAsia"/>
              </w:rPr>
              <w:t>产品性能:</w:t>
            </w:r>
            <w:r>
              <w:rPr>
                <w:rFonts w:hint="eastAsia"/>
              </w:rPr>
              <w:br w:type="textWrapping"/>
            </w:r>
            <w:r>
              <w:rPr>
                <w:rStyle w:val="11"/>
                <w:rFonts w:hint="eastAsia"/>
              </w:rPr>
              <w:t>环嗪酮为三嗪酮类除草剂，其作用机理主要是抑制植物光合作用的希尔反应，使代谢紊乱导致植物死亡。环嗪酮能被植物的根系和叶面吸收，主要通过木质部运输，进入土壤后能被土壤微生物分解，对树木的根部无伤害。</w:t>
            </w:r>
          </w:p>
        </w:tc>
      </w:tr>
      <w:tr w14:paraId="6C59DACD">
        <w:tblPrEx>
          <w:tblCellMar>
            <w:top w:w="0" w:type="dxa"/>
            <w:left w:w="0" w:type="dxa"/>
            <w:bottom w:w="0" w:type="dxa"/>
            <w:right w:w="0" w:type="dxa"/>
          </w:tblCellMar>
        </w:tblPrEx>
        <w:trPr>
          <w:wBefore w:w="0" w:type="auto"/>
          <w:tblCellSpacing w:w="0" w:type="dxa"/>
        </w:trPr>
        <w:tc>
          <w:tcPr>
            <w:tcW w:w="0" w:type="auto"/>
            <w:noWrap w:val="0"/>
            <w:vAlign w:val="center"/>
          </w:tcPr>
          <w:p w14:paraId="695A4D59">
            <w:r>
              <w:rPr>
                <w:rStyle w:val="10"/>
                <w:rFonts w:hint="eastAsia"/>
              </w:rPr>
              <w:t>注意事项：</w:t>
            </w:r>
            <w:r>
              <w:rPr>
                <w:rFonts w:hint="eastAsia"/>
              </w:rPr>
              <w:br w:type="textWrapping"/>
            </w:r>
            <w:r>
              <w:rPr>
                <w:rStyle w:val="11"/>
                <w:rFonts w:hint="eastAsia"/>
              </w:rPr>
              <w:t>1. 该产品对眼睛有刺激性，使用时避免接触眼睛，穿戴长衣、长裤、帽子、口罩、手套等防护措施。施药时不得吸烟或饮食，施药后应及时用肥皂清洗手、脸和裸露皮肤。2. 产品药效的发挥与土壤湿度密切相关，最好在雨季前用药；如果施药后15天无降雨，应设法在施药处浇水，否则药效较差。3. 为避免药液被雨水冲走而接触邻近的其它非常绿针叶植物，保证安全，禁止在暴雨前使用本品。4. 远离水产养殖区、河塘等水体施药，禁止在河塘等水体中清洗施药器具； （周围）开花植物花期禁用，使用期间应密切关注对附近蜂群的影响； 鸟类保护区附近禁用。 5. 产品包装等废弃物须妥善收回，用过的容器妥善处理，不得随意丢弃，也不可做他用。6. 避免孕妇及哺乳期的妇女接触本品。7. 避免与氧化剂接触。</w:t>
            </w:r>
          </w:p>
        </w:tc>
      </w:tr>
      <w:tr w14:paraId="6085DE98">
        <w:tblPrEx>
          <w:tblCellMar>
            <w:top w:w="0" w:type="dxa"/>
            <w:left w:w="0" w:type="dxa"/>
            <w:bottom w:w="0" w:type="dxa"/>
            <w:right w:w="0" w:type="dxa"/>
          </w:tblCellMar>
        </w:tblPrEx>
        <w:trPr>
          <w:wBefore w:w="0" w:type="auto"/>
          <w:tblCellSpacing w:w="0" w:type="dxa"/>
        </w:trPr>
        <w:tc>
          <w:tcPr>
            <w:tcW w:w="0" w:type="auto"/>
            <w:noWrap w:val="0"/>
            <w:vAlign w:val="center"/>
          </w:tcPr>
          <w:p w14:paraId="505271BE">
            <w:r>
              <w:rPr>
                <w:rStyle w:val="10"/>
                <w:rFonts w:hint="eastAsia"/>
              </w:rPr>
              <w:t>中毒急救措施：</w:t>
            </w:r>
            <w:r>
              <w:rPr>
                <w:rFonts w:hint="eastAsia"/>
              </w:rPr>
              <w:br w:type="textWrapping"/>
            </w:r>
            <w:r>
              <w:rPr>
                <w:rStyle w:val="11"/>
                <w:rFonts w:hint="eastAsia"/>
              </w:rPr>
              <w:t>1.不慎吸入：立即将吸入者转移到空气新鲜处，保持呼吸畅通，如有症状求教医生。2.不慎接触皮肤：立即脱去被污染的衣着，用肥皂和清水彻底清洗，如有持续的症状求教医生。3.不慎溅入眼睛：立即翻转眼睑，用流动清水清洗15分钟以上，如有持续的症状求教医生。4.误食：携此标签，立即将病人送医对症治疗，不能催吐。本品无专用解毒剂。</w:t>
            </w:r>
          </w:p>
        </w:tc>
      </w:tr>
      <w:tr w14:paraId="53E4CD2E">
        <w:tblPrEx>
          <w:tblCellMar>
            <w:top w:w="0" w:type="dxa"/>
            <w:left w:w="0" w:type="dxa"/>
            <w:bottom w:w="0" w:type="dxa"/>
            <w:right w:w="0" w:type="dxa"/>
          </w:tblCellMar>
        </w:tblPrEx>
        <w:trPr>
          <w:wBefore w:w="0" w:type="auto"/>
          <w:tblCellSpacing w:w="0" w:type="dxa"/>
        </w:trPr>
        <w:tc>
          <w:tcPr>
            <w:tcW w:w="0" w:type="auto"/>
            <w:noWrap w:val="0"/>
            <w:vAlign w:val="center"/>
          </w:tcPr>
          <w:p w14:paraId="151F5625">
            <w:r>
              <w:rPr>
                <w:rStyle w:val="10"/>
                <w:rFonts w:hint="eastAsia"/>
              </w:rPr>
              <w:t>储存和运输方法：</w:t>
            </w:r>
            <w:r>
              <w:rPr>
                <w:rFonts w:hint="eastAsia"/>
              </w:rPr>
              <w:br w:type="textWrapping"/>
            </w:r>
            <w:r>
              <w:rPr>
                <w:rStyle w:val="11"/>
                <w:rFonts w:hint="eastAsia"/>
              </w:rPr>
              <w:t>1. 本品应贮存于干燥、阴凉通风处，远离火源和热源。置于儿童、无关人员接触不到的地方，并上锁。不能与食品、饮料、粮食、饲料等混合储存。2. 运输过程应确保包装不泄露、不倒塌、不损坏，防高温曝晒和雨淋。</w:t>
            </w:r>
          </w:p>
        </w:tc>
      </w:tr>
      <w:tr w14:paraId="2E3439DF">
        <w:tblPrEx>
          <w:tblCellMar>
            <w:top w:w="0" w:type="dxa"/>
            <w:left w:w="0" w:type="dxa"/>
            <w:bottom w:w="0" w:type="dxa"/>
            <w:right w:w="0" w:type="dxa"/>
          </w:tblCellMar>
        </w:tblPrEx>
        <w:trPr>
          <w:wBefore w:w="0" w:type="auto"/>
          <w:tblCellSpacing w:w="0" w:type="dxa"/>
        </w:trPr>
        <w:tc>
          <w:tcPr>
            <w:tcW w:w="0" w:type="auto"/>
            <w:noWrap w:val="0"/>
            <w:vAlign w:val="center"/>
          </w:tcPr>
          <w:p w14:paraId="5CAB5A8F">
            <w:r>
              <w:rPr>
                <w:rStyle w:val="10"/>
                <w:rFonts w:hint="eastAsia"/>
              </w:rPr>
              <w:t>质量保证期：</w:t>
            </w:r>
            <w:r>
              <w:rPr>
                <w:rStyle w:val="11"/>
                <w:rFonts w:hint="eastAsia"/>
              </w:rPr>
              <w:t>2年</w:t>
            </w:r>
          </w:p>
        </w:tc>
      </w:tr>
      <w:tr w14:paraId="237DC71D">
        <w:tblPrEx>
          <w:tblCellMar>
            <w:top w:w="0" w:type="dxa"/>
            <w:left w:w="0" w:type="dxa"/>
            <w:bottom w:w="0" w:type="dxa"/>
            <w:right w:w="0" w:type="dxa"/>
          </w:tblCellMar>
        </w:tblPrEx>
        <w:trPr>
          <w:wBefore w:w="0" w:type="auto"/>
          <w:tblCellSpacing w:w="0" w:type="dxa"/>
        </w:trPr>
        <w:tc>
          <w:tcPr>
            <w:tcW w:w="0" w:type="auto"/>
            <w:noWrap w:val="0"/>
            <w:vAlign w:val="center"/>
          </w:tcPr>
          <w:p w14:paraId="3652FAC6">
            <w:r>
              <w:rPr>
                <w:rStyle w:val="10"/>
                <w:rFonts w:hint="eastAsia"/>
              </w:rPr>
              <w:t>备注：</w:t>
            </w:r>
          </w:p>
        </w:tc>
      </w:tr>
    </w:tbl>
    <w:p w14:paraId="38E0AFF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051E26">
        <w:tblPrEx>
          <w:tblCellMar>
            <w:top w:w="0" w:type="dxa"/>
            <w:left w:w="0" w:type="dxa"/>
            <w:bottom w:w="0" w:type="dxa"/>
            <w:right w:w="0" w:type="dxa"/>
          </w:tblCellMar>
        </w:tblPrEx>
        <w:trPr>
          <w:wBefore w:w="0" w:type="auto"/>
          <w:tblCellSpacing w:w="0" w:type="dxa"/>
        </w:trPr>
        <w:tc>
          <w:tcPr>
            <w:tcW w:w="0" w:type="auto"/>
            <w:noWrap w:val="0"/>
            <w:vAlign w:val="center"/>
          </w:tcPr>
          <w:p w14:paraId="5A30F3CE">
            <w:r>
              <w:rPr>
                <w:rStyle w:val="10"/>
                <w:rFonts w:hint="eastAsia"/>
              </w:rPr>
              <w:t>登记证号：</w:t>
            </w:r>
            <w:r>
              <w:rPr>
                <w:rFonts w:hint="eastAsia"/>
              </w:rPr>
              <w:t>PD20211078</w:t>
            </w:r>
          </w:p>
        </w:tc>
      </w:tr>
      <w:tr w14:paraId="75C17BD5">
        <w:tblPrEx>
          <w:tblCellMar>
            <w:top w:w="0" w:type="dxa"/>
            <w:left w:w="0" w:type="dxa"/>
            <w:bottom w:w="0" w:type="dxa"/>
            <w:right w:w="0" w:type="dxa"/>
          </w:tblCellMar>
        </w:tblPrEx>
        <w:trPr>
          <w:wBefore w:w="0" w:type="auto"/>
          <w:tblCellSpacing w:w="0" w:type="dxa"/>
        </w:trPr>
        <w:tc>
          <w:tcPr>
            <w:tcW w:w="0" w:type="auto"/>
            <w:noWrap w:val="0"/>
            <w:vAlign w:val="center"/>
          </w:tcPr>
          <w:p w14:paraId="462BBBE3">
            <w:r>
              <w:rPr>
                <w:rStyle w:val="10"/>
                <w:rFonts w:hint="eastAsia"/>
              </w:rPr>
              <w:t>登记证持有人：</w:t>
            </w:r>
            <w:r>
              <w:rPr>
                <w:rFonts w:hint="eastAsia"/>
              </w:rPr>
              <w:t>青岛正道药业有限公司</w:t>
            </w:r>
          </w:p>
        </w:tc>
      </w:tr>
      <w:tr w14:paraId="1A42B54D">
        <w:tblPrEx>
          <w:tblCellMar>
            <w:top w:w="0" w:type="dxa"/>
            <w:left w:w="0" w:type="dxa"/>
            <w:bottom w:w="0" w:type="dxa"/>
            <w:right w:w="0" w:type="dxa"/>
          </w:tblCellMar>
        </w:tblPrEx>
        <w:trPr>
          <w:wBefore w:w="0" w:type="auto"/>
          <w:tblCellSpacing w:w="0" w:type="dxa"/>
        </w:trPr>
        <w:tc>
          <w:tcPr>
            <w:tcW w:w="0" w:type="auto"/>
            <w:noWrap w:val="0"/>
            <w:vAlign w:val="center"/>
          </w:tcPr>
          <w:p w14:paraId="28F28F75">
            <w:r>
              <w:rPr>
                <w:rStyle w:val="10"/>
                <w:rFonts w:hint="eastAsia"/>
              </w:rPr>
              <w:t>农药名称：</w:t>
            </w:r>
            <w:r>
              <w:rPr>
                <w:rFonts w:hint="eastAsia"/>
              </w:rPr>
              <w:t>甲维·虱螨脲</w:t>
            </w:r>
          </w:p>
        </w:tc>
      </w:tr>
      <w:tr w14:paraId="19AB9B76">
        <w:tblPrEx>
          <w:tblCellMar>
            <w:top w:w="0" w:type="dxa"/>
            <w:left w:w="0" w:type="dxa"/>
            <w:bottom w:w="0" w:type="dxa"/>
            <w:right w:w="0" w:type="dxa"/>
          </w:tblCellMar>
        </w:tblPrEx>
        <w:trPr>
          <w:wBefore w:w="0" w:type="auto"/>
          <w:tblCellSpacing w:w="0" w:type="dxa"/>
        </w:trPr>
        <w:tc>
          <w:tcPr>
            <w:tcW w:w="0" w:type="auto"/>
            <w:noWrap w:val="0"/>
            <w:vAlign w:val="center"/>
          </w:tcPr>
          <w:p w14:paraId="22D5952E">
            <w:r>
              <w:rPr>
                <w:rStyle w:val="10"/>
                <w:rFonts w:hint="eastAsia"/>
              </w:rPr>
              <w:t>剂型：</w:t>
            </w:r>
            <w:r>
              <w:rPr>
                <w:rFonts w:hint="eastAsia"/>
              </w:rPr>
              <w:t>悬浮剂</w:t>
            </w:r>
          </w:p>
        </w:tc>
      </w:tr>
      <w:tr w14:paraId="443866B1">
        <w:tblPrEx>
          <w:tblCellMar>
            <w:top w:w="0" w:type="dxa"/>
            <w:left w:w="0" w:type="dxa"/>
            <w:bottom w:w="0" w:type="dxa"/>
            <w:right w:w="0" w:type="dxa"/>
          </w:tblCellMar>
        </w:tblPrEx>
        <w:trPr>
          <w:wBefore w:w="0" w:type="auto"/>
          <w:tblCellSpacing w:w="0" w:type="dxa"/>
        </w:trPr>
        <w:tc>
          <w:tcPr>
            <w:tcW w:w="0" w:type="auto"/>
            <w:noWrap w:val="0"/>
            <w:vAlign w:val="center"/>
          </w:tcPr>
          <w:p w14:paraId="5DDE1232">
            <w:r>
              <w:rPr>
                <w:rStyle w:val="10"/>
                <w:rFonts w:hint="eastAsia"/>
              </w:rPr>
              <w:t>毒性及其标识：</w:t>
            </w:r>
            <w:r>
              <w:rPr>
                <w:rFonts w:hint="eastAsia"/>
              </w:rPr>
              <w:t xml:space="preserve"> </w:t>
            </w:r>
            <w:r>
              <w:rPr>
                <w:lang/>
              </w:rPr>
              <w:drawing>
                <wp:inline distT="0" distB="0" distL="114300" distR="114300">
                  <wp:extent cx="476250" cy="323850"/>
                  <wp:effectExtent l="0" t="0" r="0" b="0"/>
                  <wp:docPr id="55" name="图片 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FEEE3B1">
        <w:tblPrEx>
          <w:tblCellMar>
            <w:top w:w="0" w:type="dxa"/>
            <w:left w:w="0" w:type="dxa"/>
            <w:bottom w:w="0" w:type="dxa"/>
            <w:right w:w="0" w:type="dxa"/>
          </w:tblCellMar>
        </w:tblPrEx>
        <w:trPr>
          <w:wBefore w:w="0" w:type="auto"/>
          <w:tblCellSpacing w:w="0" w:type="dxa"/>
        </w:trPr>
        <w:tc>
          <w:tcPr>
            <w:tcW w:w="0" w:type="auto"/>
            <w:noWrap w:val="0"/>
            <w:vAlign w:val="center"/>
          </w:tcPr>
          <w:p w14:paraId="216B7968">
            <w:r>
              <w:rPr>
                <w:rStyle w:val="10"/>
                <w:rFonts w:hint="eastAsia"/>
              </w:rPr>
              <w:t>总有效成分含量：</w:t>
            </w:r>
            <w:r>
              <w:rPr>
                <w:rFonts w:hint="eastAsia"/>
              </w:rPr>
              <w:t>7.6%</w:t>
            </w:r>
          </w:p>
        </w:tc>
      </w:tr>
      <w:tr w14:paraId="3EF5CCCC">
        <w:tblPrEx>
          <w:tblCellMar>
            <w:top w:w="0" w:type="dxa"/>
            <w:left w:w="0" w:type="dxa"/>
            <w:bottom w:w="0" w:type="dxa"/>
            <w:right w:w="0" w:type="dxa"/>
          </w:tblCellMar>
        </w:tblPrEx>
        <w:trPr>
          <w:wBefore w:w="0" w:type="auto"/>
          <w:tblCellSpacing w:w="0" w:type="dxa"/>
        </w:trPr>
        <w:tc>
          <w:tcPr>
            <w:tcW w:w="0" w:type="auto"/>
            <w:noWrap w:val="0"/>
            <w:vAlign w:val="center"/>
          </w:tcPr>
          <w:p w14:paraId="494172BB">
            <w:r>
              <w:rPr>
                <w:rFonts w:hint="eastAsia"/>
              </w:rPr>
              <w:t xml:space="preserve">有效成分及其含量： </w:t>
            </w:r>
          </w:p>
          <w:p w14:paraId="20FEAF62">
            <w:r>
              <w:rPr>
                <w:rFonts w:hint="eastAsia"/>
              </w:rPr>
              <w:t xml:space="preserve">    甲氨基阿维菌素2.6%    虱螨脲5%    </w:t>
            </w:r>
          </w:p>
        </w:tc>
      </w:tr>
      <w:tr w14:paraId="45A093F2">
        <w:tblPrEx>
          <w:tblCellMar>
            <w:top w:w="0" w:type="dxa"/>
            <w:left w:w="0" w:type="dxa"/>
            <w:bottom w:w="0" w:type="dxa"/>
            <w:right w:w="0" w:type="dxa"/>
          </w:tblCellMar>
        </w:tblPrEx>
        <w:trPr>
          <w:wBefore w:w="0" w:type="auto"/>
          <w:tblCellSpacing w:w="0" w:type="dxa"/>
        </w:trPr>
        <w:tc>
          <w:tcPr>
            <w:tcW w:w="0" w:type="auto"/>
            <w:noWrap w:val="0"/>
            <w:vAlign w:val="center"/>
          </w:tcPr>
          <w:p w14:paraId="7E026EB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FDD8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FBA37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B378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A34C1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567152">
                  <w:r>
                    <w:rPr>
                      <w:rStyle w:val="11"/>
                      <w:rFonts w:hint="eastAsia"/>
                    </w:rPr>
                    <w:t>施用方式</w:t>
                  </w:r>
                </w:p>
              </w:tc>
            </w:tr>
            <w:tr w14:paraId="1E26FC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E94DD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BAB79A">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7C40B4">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3DDD54">
                  <w:r>
                    <w:rPr>
                      <w:rStyle w:val="11"/>
                      <w:rFonts w:hint="eastAsia"/>
                    </w:rPr>
                    <w:t>喷雾</w:t>
                  </w:r>
                </w:p>
              </w:tc>
            </w:tr>
          </w:tbl>
          <w:p w14:paraId="78DC53E3">
            <w:pPr>
              <w:rPr>
                <w:rFonts w:ascii="Times New Roman" w:hAnsi="Times New Roman" w:cs="Times New Roman"/>
                <w:sz w:val="20"/>
                <w:szCs w:val="20"/>
              </w:rPr>
            </w:pPr>
          </w:p>
        </w:tc>
      </w:tr>
      <w:tr w14:paraId="31908EE8">
        <w:tblPrEx>
          <w:tblCellMar>
            <w:top w:w="0" w:type="dxa"/>
            <w:left w:w="0" w:type="dxa"/>
            <w:bottom w:w="0" w:type="dxa"/>
            <w:right w:w="0" w:type="dxa"/>
          </w:tblCellMar>
        </w:tblPrEx>
        <w:trPr>
          <w:wBefore w:w="0" w:type="auto"/>
          <w:tblCellSpacing w:w="0" w:type="dxa"/>
        </w:trPr>
        <w:tc>
          <w:tcPr>
            <w:tcW w:w="0" w:type="auto"/>
            <w:noWrap w:val="0"/>
            <w:vAlign w:val="center"/>
          </w:tcPr>
          <w:p w14:paraId="149544FC">
            <w:r>
              <w:rPr>
                <w:rStyle w:val="10"/>
                <w:rFonts w:hint="eastAsia"/>
              </w:rPr>
              <w:t>使用技术要求:</w:t>
            </w:r>
            <w:r>
              <w:rPr>
                <w:rFonts w:hint="eastAsia"/>
              </w:rPr>
              <w:br w:type="textWrapping"/>
            </w:r>
            <w:r>
              <w:rPr>
                <w:rStyle w:val="11"/>
                <w:rFonts w:hint="eastAsia"/>
              </w:rPr>
              <w:t>1.在甘蓝甜菜夜蛾低龄幼虫盛发期施药，施药时雾滴要细，喷雾要均匀。 2.大风天或预计1小时内有降雨，请勿施药。 3.在甘蓝上使用的安全间隔期为7天，每季作物使用1次。</w:t>
            </w:r>
          </w:p>
        </w:tc>
      </w:tr>
      <w:tr w14:paraId="784D1F96">
        <w:tblPrEx>
          <w:tblCellMar>
            <w:top w:w="0" w:type="dxa"/>
            <w:left w:w="0" w:type="dxa"/>
            <w:bottom w:w="0" w:type="dxa"/>
            <w:right w:w="0" w:type="dxa"/>
          </w:tblCellMar>
        </w:tblPrEx>
        <w:trPr>
          <w:wBefore w:w="0" w:type="auto"/>
          <w:tblCellSpacing w:w="0" w:type="dxa"/>
        </w:trPr>
        <w:tc>
          <w:tcPr>
            <w:tcW w:w="0" w:type="auto"/>
            <w:noWrap w:val="0"/>
            <w:vAlign w:val="center"/>
          </w:tcPr>
          <w:p w14:paraId="6E3F557D">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w:t>
            </w:r>
          </w:p>
        </w:tc>
      </w:tr>
      <w:tr w14:paraId="6E9519B9">
        <w:tblPrEx>
          <w:tblCellMar>
            <w:top w:w="0" w:type="dxa"/>
            <w:left w:w="0" w:type="dxa"/>
            <w:bottom w:w="0" w:type="dxa"/>
            <w:right w:w="0" w:type="dxa"/>
          </w:tblCellMar>
        </w:tblPrEx>
        <w:trPr>
          <w:wBefore w:w="0" w:type="auto"/>
          <w:tblCellSpacing w:w="0" w:type="dxa"/>
        </w:trPr>
        <w:tc>
          <w:tcPr>
            <w:tcW w:w="0" w:type="auto"/>
            <w:noWrap w:val="0"/>
            <w:vAlign w:val="center"/>
          </w:tcPr>
          <w:p w14:paraId="74A36D29">
            <w:r>
              <w:rPr>
                <w:rStyle w:val="10"/>
                <w:rFonts w:hint="eastAsia"/>
              </w:rPr>
              <w:t>注意事项：</w:t>
            </w:r>
            <w:r>
              <w:rPr>
                <w:rFonts w:hint="eastAsia"/>
              </w:rPr>
              <w:br w:type="textWrapping"/>
            </w:r>
            <w:r>
              <w:rPr>
                <w:rStyle w:val="11"/>
                <w:rFonts w:hint="eastAsia"/>
              </w:rPr>
              <w:t>1.本品不可与强氧化剂或碱性类农药混合使用。 2.配药和喷药时穿防护服，戴手套面罩，穿胶靴鞋。严格按照农药安全使用规则操作，避免接触皮肤、眼睛和污染衣物，避免吸入药滴，勿在施药现场抽烟和饮食。 施药后应立即清洗，并更换工作服。 3.本品对蜜蜂、鱼类等水生生物、家蚕有毒，（周围）开花植物花期、蚕室和桑园附近禁用，施药期间应避免对周围蜂群的影响。赤眼蜂等天敌放飞区禁用。远离水产养殖区、河塘施药，禁止在河塘等水域中清洗施药器具。 4.用过的容器应妥善处理，不可做他用，也不可随意丢弃。 5.孕妇、哺乳期妇女及过敏者禁止接触本品。</w:t>
            </w:r>
          </w:p>
        </w:tc>
      </w:tr>
      <w:tr w14:paraId="5D117F8D">
        <w:tblPrEx>
          <w:tblCellMar>
            <w:top w:w="0" w:type="dxa"/>
            <w:left w:w="0" w:type="dxa"/>
            <w:bottom w:w="0" w:type="dxa"/>
            <w:right w:w="0" w:type="dxa"/>
          </w:tblCellMar>
        </w:tblPrEx>
        <w:trPr>
          <w:wBefore w:w="0" w:type="auto"/>
          <w:tblCellSpacing w:w="0" w:type="dxa"/>
        </w:trPr>
        <w:tc>
          <w:tcPr>
            <w:tcW w:w="0" w:type="auto"/>
            <w:noWrap w:val="0"/>
            <w:vAlign w:val="center"/>
          </w:tcPr>
          <w:p w14:paraId="65F4B0FB">
            <w:r>
              <w:rPr>
                <w:rStyle w:val="10"/>
                <w:rFonts w:hint="eastAsia"/>
              </w:rPr>
              <w:t>中毒急救措施：</w:t>
            </w:r>
            <w:r>
              <w:rPr>
                <w:rFonts w:hint="eastAsia"/>
              </w:rPr>
              <w:br w:type="textWrapping"/>
            </w:r>
            <w:r>
              <w:rPr>
                <w:rStyle w:val="11"/>
                <w:rFonts w:hint="eastAsia"/>
              </w:rPr>
              <w:t>症状：早期症状为瞳孔放大，行动失调，肌肉颤抖，严重时导致呕吐。措施：1.吸入：将患者移至新鲜空气处，请医生诊治。 2.眼睛接触：分开眼睑，用大量清水冲洗眼至少15分钟，再请医生诊治。 3.皮肤接触：脱去污染的衣着，立即用清水冲洗污染的皮肤至少20分钟，再用肥皂冲洗干净，将药物对皮肤的影响降到最低。 4.口服：立即携带标签，送医就诊。 紧急措施：立即引吐并给患者服用吐根糖浆或黄麻素，但勿给昏迷患者催吐或灌任何东西。无特殊解毒剂，对症治疗。</w:t>
            </w:r>
          </w:p>
        </w:tc>
      </w:tr>
      <w:tr w14:paraId="62B535B7">
        <w:tblPrEx>
          <w:tblCellMar>
            <w:top w:w="0" w:type="dxa"/>
            <w:left w:w="0" w:type="dxa"/>
            <w:bottom w:w="0" w:type="dxa"/>
            <w:right w:w="0" w:type="dxa"/>
          </w:tblCellMar>
        </w:tblPrEx>
        <w:trPr>
          <w:wBefore w:w="0" w:type="auto"/>
          <w:tblCellSpacing w:w="0" w:type="dxa"/>
        </w:trPr>
        <w:tc>
          <w:tcPr>
            <w:tcW w:w="0" w:type="auto"/>
            <w:noWrap w:val="0"/>
            <w:vAlign w:val="center"/>
          </w:tcPr>
          <w:p w14:paraId="6FE48F9F">
            <w:r>
              <w:rPr>
                <w:rStyle w:val="10"/>
                <w:rFonts w:hint="eastAsia"/>
              </w:rPr>
              <w:t>储存和运输方法：</w:t>
            </w:r>
            <w:r>
              <w:rPr>
                <w:rFonts w:hint="eastAsia"/>
              </w:rPr>
              <w:br w:type="textWrapping"/>
            </w:r>
            <w:r>
              <w:rPr>
                <w:rStyle w:val="11"/>
                <w:rFonts w:hint="eastAsia"/>
              </w:rPr>
              <w:t>包装件应贮存在通风、干燥的库房中。贮运时，严防潮湿和日晒，置于儿童触及不到之处，并加锁，勿与食品、饮料、粮食、饲料等其他商品同贮同运，避免与皮肤、眼睛接触，防止口鼻吸入。</w:t>
            </w:r>
          </w:p>
        </w:tc>
      </w:tr>
      <w:tr w14:paraId="1B14C9A4">
        <w:tblPrEx>
          <w:tblCellMar>
            <w:top w:w="0" w:type="dxa"/>
            <w:left w:w="0" w:type="dxa"/>
            <w:bottom w:w="0" w:type="dxa"/>
            <w:right w:w="0" w:type="dxa"/>
          </w:tblCellMar>
        </w:tblPrEx>
        <w:trPr>
          <w:wBefore w:w="0" w:type="auto"/>
          <w:tblCellSpacing w:w="0" w:type="dxa"/>
        </w:trPr>
        <w:tc>
          <w:tcPr>
            <w:tcW w:w="0" w:type="auto"/>
            <w:noWrap w:val="0"/>
            <w:vAlign w:val="center"/>
          </w:tcPr>
          <w:p w14:paraId="65342A88">
            <w:r>
              <w:rPr>
                <w:rStyle w:val="10"/>
                <w:rFonts w:hint="eastAsia"/>
              </w:rPr>
              <w:t>质量保证期：</w:t>
            </w:r>
            <w:r>
              <w:rPr>
                <w:rStyle w:val="11"/>
                <w:rFonts w:hint="eastAsia"/>
              </w:rPr>
              <w:t>2年</w:t>
            </w:r>
          </w:p>
        </w:tc>
      </w:tr>
      <w:tr w14:paraId="21B8378B">
        <w:tblPrEx>
          <w:tblCellMar>
            <w:top w:w="0" w:type="dxa"/>
            <w:left w:w="0" w:type="dxa"/>
            <w:bottom w:w="0" w:type="dxa"/>
            <w:right w:w="0" w:type="dxa"/>
          </w:tblCellMar>
        </w:tblPrEx>
        <w:trPr>
          <w:wBefore w:w="0" w:type="auto"/>
          <w:tblCellSpacing w:w="0" w:type="dxa"/>
        </w:trPr>
        <w:tc>
          <w:tcPr>
            <w:tcW w:w="0" w:type="auto"/>
            <w:noWrap w:val="0"/>
            <w:vAlign w:val="center"/>
          </w:tcPr>
          <w:p w14:paraId="12D7CA97">
            <w:r>
              <w:rPr>
                <w:rStyle w:val="10"/>
                <w:rFonts w:hint="eastAsia"/>
              </w:rPr>
              <w:t>备注：</w:t>
            </w:r>
            <w:r>
              <w:rPr>
                <w:rFonts w:hint="eastAsia"/>
              </w:rPr>
              <w:br w:type="textWrapping"/>
            </w:r>
            <w:r>
              <w:rPr>
                <w:rStyle w:val="11"/>
                <w:rFonts w:hint="eastAsia"/>
              </w:rPr>
              <w:t>甲氨基阿维菌素苯甲酸盐3%。</w:t>
            </w:r>
          </w:p>
        </w:tc>
      </w:tr>
    </w:tbl>
    <w:p w14:paraId="24A2DA9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BF8ADC">
        <w:tblPrEx>
          <w:tblCellMar>
            <w:top w:w="0" w:type="dxa"/>
            <w:left w:w="0" w:type="dxa"/>
            <w:bottom w:w="0" w:type="dxa"/>
            <w:right w:w="0" w:type="dxa"/>
          </w:tblCellMar>
        </w:tblPrEx>
        <w:trPr>
          <w:wBefore w:w="0" w:type="auto"/>
          <w:tblCellSpacing w:w="0" w:type="dxa"/>
        </w:trPr>
        <w:tc>
          <w:tcPr>
            <w:tcW w:w="0" w:type="auto"/>
            <w:noWrap w:val="0"/>
            <w:vAlign w:val="center"/>
          </w:tcPr>
          <w:p w14:paraId="7192945F">
            <w:r>
              <w:rPr>
                <w:rStyle w:val="10"/>
                <w:rFonts w:hint="eastAsia"/>
              </w:rPr>
              <w:t>登记证号：</w:t>
            </w:r>
            <w:r>
              <w:rPr>
                <w:rFonts w:hint="eastAsia"/>
              </w:rPr>
              <w:t>PD20212533</w:t>
            </w:r>
          </w:p>
        </w:tc>
      </w:tr>
      <w:tr w14:paraId="2F9417F9">
        <w:tblPrEx>
          <w:tblCellMar>
            <w:top w:w="0" w:type="dxa"/>
            <w:left w:w="0" w:type="dxa"/>
            <w:bottom w:w="0" w:type="dxa"/>
            <w:right w:w="0" w:type="dxa"/>
          </w:tblCellMar>
        </w:tblPrEx>
        <w:trPr>
          <w:wBefore w:w="0" w:type="auto"/>
          <w:tblCellSpacing w:w="0" w:type="dxa"/>
        </w:trPr>
        <w:tc>
          <w:tcPr>
            <w:tcW w:w="0" w:type="auto"/>
            <w:noWrap w:val="0"/>
            <w:vAlign w:val="center"/>
          </w:tcPr>
          <w:p w14:paraId="5FAEFF96">
            <w:r>
              <w:rPr>
                <w:rStyle w:val="10"/>
                <w:rFonts w:hint="eastAsia"/>
              </w:rPr>
              <w:t>登记证持有人：</w:t>
            </w:r>
            <w:r>
              <w:rPr>
                <w:rFonts w:hint="eastAsia"/>
              </w:rPr>
              <w:t>山东坤牛植物保护有限公司</w:t>
            </w:r>
          </w:p>
        </w:tc>
      </w:tr>
      <w:tr w14:paraId="5E912698">
        <w:tblPrEx>
          <w:tblCellMar>
            <w:top w:w="0" w:type="dxa"/>
            <w:left w:w="0" w:type="dxa"/>
            <w:bottom w:w="0" w:type="dxa"/>
            <w:right w:w="0" w:type="dxa"/>
          </w:tblCellMar>
        </w:tblPrEx>
        <w:trPr>
          <w:wBefore w:w="0" w:type="auto"/>
          <w:tblCellSpacing w:w="0" w:type="dxa"/>
        </w:trPr>
        <w:tc>
          <w:tcPr>
            <w:tcW w:w="0" w:type="auto"/>
            <w:noWrap w:val="0"/>
            <w:vAlign w:val="center"/>
          </w:tcPr>
          <w:p w14:paraId="561FAF57">
            <w:r>
              <w:rPr>
                <w:rStyle w:val="10"/>
                <w:rFonts w:hint="eastAsia"/>
              </w:rPr>
              <w:t>农药名称：</w:t>
            </w:r>
            <w:r>
              <w:rPr>
                <w:rFonts w:hint="eastAsia"/>
              </w:rPr>
              <w:t>草甘·三氯吡</w:t>
            </w:r>
          </w:p>
        </w:tc>
      </w:tr>
      <w:tr w14:paraId="5D169B42">
        <w:tblPrEx>
          <w:tblCellMar>
            <w:top w:w="0" w:type="dxa"/>
            <w:left w:w="0" w:type="dxa"/>
            <w:bottom w:w="0" w:type="dxa"/>
            <w:right w:w="0" w:type="dxa"/>
          </w:tblCellMar>
        </w:tblPrEx>
        <w:trPr>
          <w:wBefore w:w="0" w:type="auto"/>
          <w:tblCellSpacing w:w="0" w:type="dxa"/>
        </w:trPr>
        <w:tc>
          <w:tcPr>
            <w:tcW w:w="0" w:type="auto"/>
            <w:noWrap w:val="0"/>
            <w:vAlign w:val="center"/>
          </w:tcPr>
          <w:p w14:paraId="52F57442">
            <w:r>
              <w:rPr>
                <w:rStyle w:val="10"/>
                <w:rFonts w:hint="eastAsia"/>
              </w:rPr>
              <w:t>剂型：</w:t>
            </w:r>
            <w:r>
              <w:rPr>
                <w:rFonts w:hint="eastAsia"/>
              </w:rPr>
              <w:t>可分散油悬浮剂</w:t>
            </w:r>
          </w:p>
        </w:tc>
      </w:tr>
      <w:tr w14:paraId="0CB81239">
        <w:tblPrEx>
          <w:tblCellMar>
            <w:top w:w="0" w:type="dxa"/>
            <w:left w:w="0" w:type="dxa"/>
            <w:bottom w:w="0" w:type="dxa"/>
            <w:right w:w="0" w:type="dxa"/>
          </w:tblCellMar>
        </w:tblPrEx>
        <w:trPr>
          <w:wBefore w:w="0" w:type="auto"/>
          <w:tblCellSpacing w:w="0" w:type="dxa"/>
        </w:trPr>
        <w:tc>
          <w:tcPr>
            <w:tcW w:w="0" w:type="auto"/>
            <w:noWrap w:val="0"/>
            <w:vAlign w:val="center"/>
          </w:tcPr>
          <w:p w14:paraId="653657C1">
            <w:r>
              <w:rPr>
                <w:rStyle w:val="10"/>
                <w:rFonts w:hint="eastAsia"/>
              </w:rPr>
              <w:t>毒性及其标识：</w:t>
            </w:r>
            <w:r>
              <w:rPr>
                <w:rFonts w:hint="eastAsia"/>
              </w:rPr>
              <w:t xml:space="preserve"> </w:t>
            </w:r>
            <w:r>
              <w:rPr>
                <w:lang/>
              </w:rPr>
              <w:drawing>
                <wp:inline distT="0" distB="0" distL="114300" distR="114300">
                  <wp:extent cx="476250" cy="323850"/>
                  <wp:effectExtent l="0" t="0" r="0" b="0"/>
                  <wp:docPr id="56" name="图片 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F702D1">
        <w:tblPrEx>
          <w:tblCellMar>
            <w:top w:w="0" w:type="dxa"/>
            <w:left w:w="0" w:type="dxa"/>
            <w:bottom w:w="0" w:type="dxa"/>
            <w:right w:w="0" w:type="dxa"/>
          </w:tblCellMar>
        </w:tblPrEx>
        <w:trPr>
          <w:wBefore w:w="0" w:type="auto"/>
          <w:tblCellSpacing w:w="0" w:type="dxa"/>
        </w:trPr>
        <w:tc>
          <w:tcPr>
            <w:tcW w:w="0" w:type="auto"/>
            <w:noWrap w:val="0"/>
            <w:vAlign w:val="center"/>
          </w:tcPr>
          <w:p w14:paraId="0B572248">
            <w:r>
              <w:rPr>
                <w:rStyle w:val="10"/>
                <w:rFonts w:hint="eastAsia"/>
              </w:rPr>
              <w:t>总有效成分含量：</w:t>
            </w:r>
            <w:r>
              <w:rPr>
                <w:rFonts w:hint="eastAsia"/>
              </w:rPr>
              <w:t>35%</w:t>
            </w:r>
          </w:p>
        </w:tc>
      </w:tr>
      <w:tr w14:paraId="761ECC46">
        <w:tblPrEx>
          <w:tblCellMar>
            <w:top w:w="0" w:type="dxa"/>
            <w:left w:w="0" w:type="dxa"/>
            <w:bottom w:w="0" w:type="dxa"/>
            <w:right w:w="0" w:type="dxa"/>
          </w:tblCellMar>
        </w:tblPrEx>
        <w:trPr>
          <w:wBefore w:w="0" w:type="auto"/>
          <w:tblCellSpacing w:w="0" w:type="dxa"/>
        </w:trPr>
        <w:tc>
          <w:tcPr>
            <w:tcW w:w="0" w:type="auto"/>
            <w:noWrap w:val="0"/>
            <w:vAlign w:val="center"/>
          </w:tcPr>
          <w:p w14:paraId="533D90F9">
            <w:r>
              <w:rPr>
                <w:rFonts w:hint="eastAsia"/>
              </w:rPr>
              <w:t xml:space="preserve">有效成分及其含量： </w:t>
            </w:r>
          </w:p>
          <w:p w14:paraId="04241E46">
            <w:r>
              <w:rPr>
                <w:rFonts w:hint="eastAsia"/>
              </w:rPr>
              <w:t xml:space="preserve">    草甘膦30%    三氯吡氧乙酸5%    </w:t>
            </w:r>
          </w:p>
        </w:tc>
      </w:tr>
      <w:tr w14:paraId="6FDA2B50">
        <w:tblPrEx>
          <w:tblCellMar>
            <w:top w:w="0" w:type="dxa"/>
            <w:left w:w="0" w:type="dxa"/>
            <w:bottom w:w="0" w:type="dxa"/>
            <w:right w:w="0" w:type="dxa"/>
          </w:tblCellMar>
        </w:tblPrEx>
        <w:trPr>
          <w:wBefore w:w="0" w:type="auto"/>
          <w:tblCellSpacing w:w="0" w:type="dxa"/>
        </w:trPr>
        <w:tc>
          <w:tcPr>
            <w:tcW w:w="0" w:type="auto"/>
            <w:noWrap w:val="0"/>
            <w:vAlign w:val="center"/>
          </w:tcPr>
          <w:p w14:paraId="7FA6F7B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7783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5D388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EA9BA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91D47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E98213">
                  <w:r>
                    <w:rPr>
                      <w:rStyle w:val="11"/>
                      <w:rFonts w:hint="eastAsia"/>
                    </w:rPr>
                    <w:t>施用方式</w:t>
                  </w:r>
                </w:p>
              </w:tc>
            </w:tr>
            <w:tr w14:paraId="354F02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1D8548">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D521A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B3258C">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C2A99B">
                  <w:r>
                    <w:rPr>
                      <w:rStyle w:val="11"/>
                      <w:rFonts w:hint="eastAsia"/>
                    </w:rPr>
                    <w:t>茎叶喷雾</w:t>
                  </w:r>
                </w:p>
              </w:tc>
            </w:tr>
          </w:tbl>
          <w:p w14:paraId="34EBC3B5">
            <w:pPr>
              <w:rPr>
                <w:rFonts w:ascii="Times New Roman" w:hAnsi="Times New Roman" w:cs="Times New Roman"/>
                <w:sz w:val="20"/>
                <w:szCs w:val="20"/>
              </w:rPr>
            </w:pPr>
          </w:p>
        </w:tc>
      </w:tr>
      <w:tr w14:paraId="259716C7">
        <w:tblPrEx>
          <w:tblCellMar>
            <w:top w:w="0" w:type="dxa"/>
            <w:left w:w="0" w:type="dxa"/>
            <w:bottom w:w="0" w:type="dxa"/>
            <w:right w:w="0" w:type="dxa"/>
          </w:tblCellMar>
        </w:tblPrEx>
        <w:trPr>
          <w:wBefore w:w="0" w:type="auto"/>
          <w:tblCellSpacing w:w="0" w:type="dxa"/>
        </w:trPr>
        <w:tc>
          <w:tcPr>
            <w:tcW w:w="0" w:type="auto"/>
            <w:noWrap w:val="0"/>
            <w:vAlign w:val="center"/>
          </w:tcPr>
          <w:p w14:paraId="24CFBA5B">
            <w:r>
              <w:rPr>
                <w:rStyle w:val="10"/>
                <w:rFonts w:hint="eastAsia"/>
              </w:rPr>
              <w:t>使用技术要求:</w:t>
            </w:r>
            <w:r>
              <w:rPr>
                <w:rFonts w:hint="eastAsia"/>
              </w:rPr>
              <w:br w:type="textWrapping"/>
            </w:r>
            <w:r>
              <w:rPr>
                <w:rStyle w:val="11"/>
                <w:rFonts w:hint="eastAsia"/>
              </w:rPr>
              <w:t xml:space="preserve">本品于非耕地杂草生长旺盛期，茎叶均匀喷雾。预计4小时内降雨，请勿施药。每季作物最多使用1次。禁止在田间道路、田埂、果树行间、休耕地、林场林地等农林业区域使用。 </w:t>
            </w:r>
          </w:p>
        </w:tc>
      </w:tr>
      <w:tr w14:paraId="19E3E508">
        <w:tblPrEx>
          <w:tblCellMar>
            <w:top w:w="0" w:type="dxa"/>
            <w:left w:w="0" w:type="dxa"/>
            <w:bottom w:w="0" w:type="dxa"/>
            <w:right w:w="0" w:type="dxa"/>
          </w:tblCellMar>
        </w:tblPrEx>
        <w:trPr>
          <w:wBefore w:w="0" w:type="auto"/>
          <w:tblCellSpacing w:w="0" w:type="dxa"/>
        </w:trPr>
        <w:tc>
          <w:tcPr>
            <w:tcW w:w="0" w:type="auto"/>
            <w:noWrap w:val="0"/>
            <w:vAlign w:val="center"/>
          </w:tcPr>
          <w:p w14:paraId="17EAF07B">
            <w:r>
              <w:rPr>
                <w:rStyle w:val="10"/>
                <w:rFonts w:hint="eastAsia"/>
              </w:rPr>
              <w:t>产品性能:</w:t>
            </w:r>
            <w:r>
              <w:rPr>
                <w:rFonts w:hint="eastAsia"/>
              </w:rPr>
              <w:br w:type="textWrapping"/>
            </w:r>
            <w:r>
              <w:rPr>
                <w:rStyle w:val="11"/>
                <w:rFonts w:hint="eastAsia"/>
              </w:rPr>
              <w:t>本品是内吸型灭生性除草剂，对非耕地杂草均有较好防效。</w:t>
            </w:r>
          </w:p>
        </w:tc>
      </w:tr>
      <w:tr w14:paraId="5C65A2C8">
        <w:tblPrEx>
          <w:tblCellMar>
            <w:top w:w="0" w:type="dxa"/>
            <w:left w:w="0" w:type="dxa"/>
            <w:bottom w:w="0" w:type="dxa"/>
            <w:right w:w="0" w:type="dxa"/>
          </w:tblCellMar>
        </w:tblPrEx>
        <w:trPr>
          <w:wBefore w:w="0" w:type="auto"/>
          <w:tblCellSpacing w:w="0" w:type="dxa"/>
        </w:trPr>
        <w:tc>
          <w:tcPr>
            <w:tcW w:w="0" w:type="auto"/>
            <w:noWrap w:val="0"/>
            <w:vAlign w:val="center"/>
          </w:tcPr>
          <w:p w14:paraId="787BDB0E">
            <w:r>
              <w:rPr>
                <w:rStyle w:val="10"/>
                <w:rFonts w:hint="eastAsia"/>
              </w:rPr>
              <w:t>注意事项：</w:t>
            </w:r>
            <w:r>
              <w:rPr>
                <w:rFonts w:hint="eastAsia"/>
              </w:rPr>
              <w:br w:type="textWrapping"/>
            </w:r>
            <w:r>
              <w:rPr>
                <w:rStyle w:val="11"/>
                <w:rFonts w:hint="eastAsia"/>
              </w:rPr>
              <w:t>1、使用前请仔细阅读此标签,并严格按照标签说明使用。2、施药时应避免药液飘移到作物茎叶上，以免产生药害。3、用清洁软水稀释药剂，否则会降低药效。4、远离水产养殖区施药，赤眼蜂等天敌放飞区域禁用，禁止在河塘等水体中清洗施药器具。用过的容器应妥善处理，不可做他用，也不可随意丢弃。5、使用本品时应穿戴防护服、护目镜、口罩和手套等，避免吸入药液。施药时不可吃东西和饮水。施药后，彻底清洗器械，并立即用肥皂洗手和洗脸。6、施药后5天内勿割草、放牧和翻地。7、避免孕妇及哺乳期的妇女接触本品。8、赤眼蜂等天敌放飞区域禁用。</w:t>
            </w:r>
          </w:p>
        </w:tc>
      </w:tr>
      <w:tr w14:paraId="13F9D3FA">
        <w:tblPrEx>
          <w:tblCellMar>
            <w:top w:w="0" w:type="dxa"/>
            <w:left w:w="0" w:type="dxa"/>
            <w:bottom w:w="0" w:type="dxa"/>
            <w:right w:w="0" w:type="dxa"/>
          </w:tblCellMar>
        </w:tblPrEx>
        <w:trPr>
          <w:wBefore w:w="0" w:type="auto"/>
          <w:tblCellSpacing w:w="0" w:type="dxa"/>
        </w:trPr>
        <w:tc>
          <w:tcPr>
            <w:tcW w:w="0" w:type="auto"/>
            <w:noWrap w:val="0"/>
            <w:vAlign w:val="center"/>
          </w:tcPr>
          <w:p w14:paraId="165322A2">
            <w:r>
              <w:rPr>
                <w:rStyle w:val="10"/>
                <w:rFonts w:hint="eastAsia"/>
              </w:rPr>
              <w:t>中毒急救措施：</w:t>
            </w:r>
            <w:r>
              <w:rPr>
                <w:rFonts w:hint="eastAsia"/>
              </w:rPr>
              <w:br w:type="textWrapping"/>
            </w:r>
            <w:r>
              <w:rPr>
                <w:rStyle w:val="11"/>
                <w:rFonts w:hint="eastAsia"/>
              </w:rPr>
              <w:t>中毒症状：本品对眼睛、皮肤有刺激作用。不慎误服：用清水将嘴清洗干净，不要自行引吐，携此标签送医诊治。医生洗胃时，应注意保护气管和食管，无特殊解毒剂，对症治疗。不慎吸入：应将病人移至空气流通处。不慎眼睛溅入或接触皮肤：用大量清水冲洗至少15分钟。</w:t>
            </w:r>
          </w:p>
        </w:tc>
      </w:tr>
      <w:tr w14:paraId="338CAB86">
        <w:tblPrEx>
          <w:tblCellMar>
            <w:top w:w="0" w:type="dxa"/>
            <w:left w:w="0" w:type="dxa"/>
            <w:bottom w:w="0" w:type="dxa"/>
            <w:right w:w="0" w:type="dxa"/>
          </w:tblCellMar>
        </w:tblPrEx>
        <w:trPr>
          <w:wBefore w:w="0" w:type="auto"/>
          <w:tblCellSpacing w:w="0" w:type="dxa"/>
        </w:trPr>
        <w:tc>
          <w:tcPr>
            <w:tcW w:w="0" w:type="auto"/>
            <w:noWrap w:val="0"/>
            <w:vAlign w:val="center"/>
          </w:tcPr>
          <w:p w14:paraId="2382B3DB">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w:t>
            </w:r>
          </w:p>
        </w:tc>
      </w:tr>
      <w:tr w14:paraId="31A5323B">
        <w:tblPrEx>
          <w:tblCellMar>
            <w:top w:w="0" w:type="dxa"/>
            <w:left w:w="0" w:type="dxa"/>
            <w:bottom w:w="0" w:type="dxa"/>
            <w:right w:w="0" w:type="dxa"/>
          </w:tblCellMar>
        </w:tblPrEx>
        <w:trPr>
          <w:wBefore w:w="0" w:type="auto"/>
          <w:tblCellSpacing w:w="0" w:type="dxa"/>
        </w:trPr>
        <w:tc>
          <w:tcPr>
            <w:tcW w:w="0" w:type="auto"/>
            <w:noWrap w:val="0"/>
            <w:vAlign w:val="center"/>
          </w:tcPr>
          <w:p w14:paraId="32347CCE">
            <w:r>
              <w:rPr>
                <w:rStyle w:val="10"/>
                <w:rFonts w:hint="eastAsia"/>
              </w:rPr>
              <w:t>质量保证期：</w:t>
            </w:r>
            <w:r>
              <w:rPr>
                <w:rStyle w:val="11"/>
                <w:rFonts w:hint="eastAsia"/>
              </w:rPr>
              <w:t>2年</w:t>
            </w:r>
          </w:p>
        </w:tc>
      </w:tr>
      <w:tr w14:paraId="0B748429">
        <w:tblPrEx>
          <w:tblCellMar>
            <w:top w:w="0" w:type="dxa"/>
            <w:left w:w="0" w:type="dxa"/>
            <w:bottom w:w="0" w:type="dxa"/>
            <w:right w:w="0" w:type="dxa"/>
          </w:tblCellMar>
        </w:tblPrEx>
        <w:trPr>
          <w:wBefore w:w="0" w:type="auto"/>
          <w:tblCellSpacing w:w="0" w:type="dxa"/>
        </w:trPr>
        <w:tc>
          <w:tcPr>
            <w:tcW w:w="0" w:type="auto"/>
            <w:noWrap w:val="0"/>
            <w:vAlign w:val="center"/>
          </w:tcPr>
          <w:p w14:paraId="1F0325A6">
            <w:r>
              <w:rPr>
                <w:rStyle w:val="10"/>
                <w:rFonts w:hint="eastAsia"/>
              </w:rPr>
              <w:t>备注：</w:t>
            </w:r>
          </w:p>
        </w:tc>
      </w:tr>
    </w:tbl>
    <w:p w14:paraId="40C27C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DD770B">
        <w:tblPrEx>
          <w:tblCellMar>
            <w:top w:w="0" w:type="dxa"/>
            <w:left w:w="0" w:type="dxa"/>
            <w:bottom w:w="0" w:type="dxa"/>
            <w:right w:w="0" w:type="dxa"/>
          </w:tblCellMar>
        </w:tblPrEx>
        <w:trPr>
          <w:wBefore w:w="0" w:type="auto"/>
          <w:tblCellSpacing w:w="0" w:type="dxa"/>
        </w:trPr>
        <w:tc>
          <w:tcPr>
            <w:tcW w:w="0" w:type="auto"/>
            <w:noWrap w:val="0"/>
            <w:vAlign w:val="center"/>
          </w:tcPr>
          <w:p w14:paraId="39620772">
            <w:r>
              <w:rPr>
                <w:rStyle w:val="10"/>
                <w:rFonts w:hint="eastAsia"/>
              </w:rPr>
              <w:t>登记证号：</w:t>
            </w:r>
            <w:r>
              <w:rPr>
                <w:rFonts w:hint="eastAsia"/>
              </w:rPr>
              <w:t>PD20190242</w:t>
            </w:r>
          </w:p>
        </w:tc>
      </w:tr>
      <w:tr w14:paraId="4D41A2E0">
        <w:tblPrEx>
          <w:tblCellMar>
            <w:top w:w="0" w:type="dxa"/>
            <w:left w:w="0" w:type="dxa"/>
            <w:bottom w:w="0" w:type="dxa"/>
            <w:right w:w="0" w:type="dxa"/>
          </w:tblCellMar>
        </w:tblPrEx>
        <w:trPr>
          <w:wBefore w:w="0" w:type="auto"/>
          <w:tblCellSpacing w:w="0" w:type="dxa"/>
        </w:trPr>
        <w:tc>
          <w:tcPr>
            <w:tcW w:w="0" w:type="auto"/>
            <w:noWrap w:val="0"/>
            <w:vAlign w:val="center"/>
          </w:tcPr>
          <w:p w14:paraId="4D235578">
            <w:r>
              <w:rPr>
                <w:rStyle w:val="10"/>
                <w:rFonts w:hint="eastAsia"/>
              </w:rPr>
              <w:t>登记证持有人：</w:t>
            </w:r>
            <w:r>
              <w:rPr>
                <w:rFonts w:hint="eastAsia"/>
              </w:rPr>
              <w:t>澳大利亚纽发姆有限公司</w:t>
            </w:r>
          </w:p>
        </w:tc>
      </w:tr>
      <w:tr w14:paraId="58501607">
        <w:tblPrEx>
          <w:tblCellMar>
            <w:top w:w="0" w:type="dxa"/>
            <w:left w:w="0" w:type="dxa"/>
            <w:bottom w:w="0" w:type="dxa"/>
            <w:right w:w="0" w:type="dxa"/>
          </w:tblCellMar>
        </w:tblPrEx>
        <w:trPr>
          <w:wBefore w:w="0" w:type="auto"/>
          <w:tblCellSpacing w:w="0" w:type="dxa"/>
        </w:trPr>
        <w:tc>
          <w:tcPr>
            <w:tcW w:w="0" w:type="auto"/>
            <w:noWrap w:val="0"/>
            <w:vAlign w:val="center"/>
          </w:tcPr>
          <w:p w14:paraId="4BB8619F">
            <w:r>
              <w:rPr>
                <w:rStyle w:val="10"/>
                <w:rFonts w:hint="eastAsia"/>
              </w:rPr>
              <w:t>农药名称：</w:t>
            </w:r>
            <w:r>
              <w:rPr>
                <w:rFonts w:hint="eastAsia"/>
              </w:rPr>
              <w:t>赤霉酸</w:t>
            </w:r>
          </w:p>
        </w:tc>
      </w:tr>
      <w:tr w14:paraId="19AEA53E">
        <w:tblPrEx>
          <w:tblCellMar>
            <w:top w:w="0" w:type="dxa"/>
            <w:left w:w="0" w:type="dxa"/>
            <w:bottom w:w="0" w:type="dxa"/>
            <w:right w:w="0" w:type="dxa"/>
          </w:tblCellMar>
        </w:tblPrEx>
        <w:trPr>
          <w:wBefore w:w="0" w:type="auto"/>
          <w:tblCellSpacing w:w="0" w:type="dxa"/>
        </w:trPr>
        <w:tc>
          <w:tcPr>
            <w:tcW w:w="0" w:type="auto"/>
            <w:noWrap w:val="0"/>
            <w:vAlign w:val="center"/>
          </w:tcPr>
          <w:p w14:paraId="555894E2">
            <w:r>
              <w:rPr>
                <w:rStyle w:val="10"/>
                <w:rFonts w:hint="eastAsia"/>
              </w:rPr>
              <w:t>剂型：</w:t>
            </w:r>
            <w:r>
              <w:rPr>
                <w:rFonts w:hint="eastAsia"/>
              </w:rPr>
              <w:t>可溶粉剂</w:t>
            </w:r>
          </w:p>
        </w:tc>
      </w:tr>
      <w:tr w14:paraId="5161DAD9">
        <w:tblPrEx>
          <w:tblCellMar>
            <w:top w:w="0" w:type="dxa"/>
            <w:left w:w="0" w:type="dxa"/>
            <w:bottom w:w="0" w:type="dxa"/>
            <w:right w:w="0" w:type="dxa"/>
          </w:tblCellMar>
        </w:tblPrEx>
        <w:trPr>
          <w:wBefore w:w="0" w:type="auto"/>
          <w:tblCellSpacing w:w="0" w:type="dxa"/>
        </w:trPr>
        <w:tc>
          <w:tcPr>
            <w:tcW w:w="0" w:type="auto"/>
            <w:noWrap w:val="0"/>
            <w:vAlign w:val="center"/>
          </w:tcPr>
          <w:p w14:paraId="40BC9206">
            <w:r>
              <w:rPr>
                <w:rStyle w:val="10"/>
                <w:rFonts w:hint="eastAsia"/>
              </w:rPr>
              <w:t>毒性及其标识：</w:t>
            </w:r>
            <w:r>
              <w:rPr>
                <w:rFonts w:hint="eastAsia"/>
              </w:rPr>
              <w:t xml:space="preserve"> 微毒 </w:t>
            </w:r>
          </w:p>
        </w:tc>
      </w:tr>
      <w:tr w14:paraId="707F5777">
        <w:tblPrEx>
          <w:tblCellMar>
            <w:top w:w="0" w:type="dxa"/>
            <w:left w:w="0" w:type="dxa"/>
            <w:bottom w:w="0" w:type="dxa"/>
            <w:right w:w="0" w:type="dxa"/>
          </w:tblCellMar>
        </w:tblPrEx>
        <w:trPr>
          <w:wBefore w:w="0" w:type="auto"/>
          <w:tblCellSpacing w:w="0" w:type="dxa"/>
        </w:trPr>
        <w:tc>
          <w:tcPr>
            <w:tcW w:w="0" w:type="auto"/>
            <w:noWrap w:val="0"/>
            <w:vAlign w:val="center"/>
          </w:tcPr>
          <w:p w14:paraId="0D85BDE9">
            <w:r>
              <w:rPr>
                <w:rStyle w:val="10"/>
                <w:rFonts w:hint="eastAsia"/>
              </w:rPr>
              <w:t>总有效成分含量：</w:t>
            </w:r>
            <w:r>
              <w:rPr>
                <w:rFonts w:hint="eastAsia"/>
              </w:rPr>
              <w:t>10%</w:t>
            </w:r>
          </w:p>
        </w:tc>
      </w:tr>
      <w:tr w14:paraId="6D21C5AB">
        <w:tblPrEx>
          <w:tblCellMar>
            <w:top w:w="0" w:type="dxa"/>
            <w:left w:w="0" w:type="dxa"/>
            <w:bottom w:w="0" w:type="dxa"/>
            <w:right w:w="0" w:type="dxa"/>
          </w:tblCellMar>
        </w:tblPrEx>
        <w:trPr>
          <w:wBefore w:w="0" w:type="auto"/>
          <w:tblCellSpacing w:w="0" w:type="dxa"/>
        </w:trPr>
        <w:tc>
          <w:tcPr>
            <w:tcW w:w="0" w:type="auto"/>
            <w:noWrap w:val="0"/>
            <w:vAlign w:val="center"/>
          </w:tcPr>
          <w:p w14:paraId="1E011F39">
            <w:r>
              <w:rPr>
                <w:rFonts w:hint="eastAsia"/>
              </w:rPr>
              <w:t xml:space="preserve">有效成分及其含量： </w:t>
            </w:r>
          </w:p>
          <w:p w14:paraId="7F0AF075">
            <w:r>
              <w:rPr>
                <w:rFonts w:hint="eastAsia"/>
              </w:rPr>
              <w:t xml:space="preserve">    赤霉酸A310%    </w:t>
            </w:r>
          </w:p>
        </w:tc>
      </w:tr>
      <w:tr w14:paraId="581E1514">
        <w:trPr>
          <w:wBefore w:w="0" w:type="auto"/>
          <w:tblCellSpacing w:w="0" w:type="dxa"/>
        </w:trPr>
        <w:tc>
          <w:tcPr>
            <w:tcW w:w="0" w:type="auto"/>
            <w:noWrap w:val="0"/>
            <w:vAlign w:val="center"/>
          </w:tcPr>
          <w:p w14:paraId="1DF52F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4F90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CCD5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E8A85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05BF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7B90BB">
                  <w:r>
                    <w:rPr>
                      <w:rStyle w:val="11"/>
                      <w:rFonts w:hint="eastAsia"/>
                    </w:rPr>
                    <w:t>施用方式</w:t>
                  </w:r>
                </w:p>
              </w:tc>
            </w:tr>
            <w:tr w14:paraId="1435A6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F5CFE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350CE9">
                  <w:r>
                    <w:rPr>
                      <w:rStyle w:val="11"/>
                      <w:rFonts w:hint="eastAsia"/>
                    </w:rPr>
                    <w:t>保果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1BF684">
                  <w:r>
                    <w:rPr>
                      <w:rStyle w:val="11"/>
                      <w:rFonts w:hint="eastAsia"/>
                    </w:rPr>
                    <w:t>7500-15000倍液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A161BF">
                  <w:r>
                    <w:rPr>
                      <w:rStyle w:val="11"/>
                      <w:rFonts w:hint="eastAsia"/>
                    </w:rPr>
                    <w:t>喷雾</w:t>
                  </w:r>
                </w:p>
              </w:tc>
            </w:tr>
            <w:tr w14:paraId="4F037C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FFD128">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EDCBCF">
                  <w:r>
                    <w:rPr>
                      <w:rStyle w:val="11"/>
                      <w:rFonts w:hint="eastAsia"/>
                    </w:rPr>
                    <w:t>促进果实生长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9BC885">
                  <w:r>
                    <w:rPr>
                      <w:rStyle w:val="11"/>
                      <w:rFonts w:hint="eastAsia"/>
                    </w:rPr>
                    <w:t>5000-7500倍液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D62EAF">
                  <w:r>
                    <w:rPr>
                      <w:rStyle w:val="11"/>
                      <w:rFonts w:hint="eastAsia"/>
                    </w:rPr>
                    <w:t>喷雾</w:t>
                  </w:r>
                </w:p>
              </w:tc>
            </w:tr>
          </w:tbl>
          <w:p w14:paraId="4AC47BA1">
            <w:pPr>
              <w:rPr>
                <w:rFonts w:ascii="Times New Roman" w:hAnsi="Times New Roman" w:cs="Times New Roman"/>
                <w:sz w:val="20"/>
                <w:szCs w:val="20"/>
              </w:rPr>
            </w:pPr>
          </w:p>
        </w:tc>
      </w:tr>
      <w:tr w14:paraId="54E9BE36">
        <w:tblPrEx>
          <w:tblCellMar>
            <w:top w:w="0" w:type="dxa"/>
            <w:left w:w="0" w:type="dxa"/>
            <w:bottom w:w="0" w:type="dxa"/>
            <w:right w:w="0" w:type="dxa"/>
          </w:tblCellMar>
        </w:tblPrEx>
        <w:trPr>
          <w:wBefore w:w="0" w:type="auto"/>
          <w:tblCellSpacing w:w="0" w:type="dxa"/>
        </w:trPr>
        <w:tc>
          <w:tcPr>
            <w:tcW w:w="0" w:type="auto"/>
            <w:noWrap w:val="0"/>
            <w:vAlign w:val="center"/>
          </w:tcPr>
          <w:p w14:paraId="6CB379C4">
            <w:r>
              <w:rPr>
                <w:rStyle w:val="10"/>
                <w:rFonts w:hint="eastAsia"/>
              </w:rPr>
              <w:t>使用技术要求:</w:t>
            </w:r>
            <w:r>
              <w:rPr>
                <w:rFonts w:hint="eastAsia"/>
              </w:rPr>
              <w:br w:type="textWrapping"/>
            </w:r>
            <w:r>
              <w:rPr>
                <w:rStyle w:val="11"/>
                <w:rFonts w:hint="eastAsia"/>
              </w:rPr>
              <w:t>1. 柑橘：幼果期（谢花2/3期）及果实膨大期各喷1次。 2. 先用少量清水溶解后再稀释到所需浓度。现配现用，不可久放，否则会降低使用效果。 3. 喷雾务必保证均匀一致。</w:t>
            </w:r>
          </w:p>
        </w:tc>
      </w:tr>
      <w:tr w14:paraId="4FAE29C3">
        <w:tblPrEx>
          <w:tblCellMar>
            <w:top w:w="0" w:type="dxa"/>
            <w:left w:w="0" w:type="dxa"/>
            <w:bottom w:w="0" w:type="dxa"/>
            <w:right w:w="0" w:type="dxa"/>
          </w:tblCellMar>
        </w:tblPrEx>
        <w:trPr>
          <w:wBefore w:w="0" w:type="auto"/>
          <w:tblCellSpacing w:w="0" w:type="dxa"/>
        </w:trPr>
        <w:tc>
          <w:tcPr>
            <w:tcW w:w="0" w:type="auto"/>
            <w:noWrap w:val="0"/>
            <w:vAlign w:val="center"/>
          </w:tcPr>
          <w:p w14:paraId="4CBE9670">
            <w:r>
              <w:rPr>
                <w:rStyle w:val="10"/>
                <w:rFonts w:hint="eastAsia"/>
              </w:rPr>
              <w:t>产品性能:</w:t>
            </w:r>
            <w:r>
              <w:rPr>
                <w:rFonts w:hint="eastAsia"/>
              </w:rPr>
              <w:br w:type="textWrapping"/>
            </w:r>
            <w:r>
              <w:rPr>
                <w:rStyle w:val="11"/>
                <w:rFonts w:hint="eastAsia"/>
              </w:rPr>
              <w:t>本品是一种活性较强的植物源生长调节剂，主要经叶片、嫩枝、花、种子或果实进入到植株体内，传导到生长活跃的部位起作用，可均衡地促进茎叶、果实生长，改变雌雄花比率，减少落花落果，持效期较长。</w:t>
            </w:r>
          </w:p>
        </w:tc>
      </w:tr>
      <w:tr w14:paraId="159F3741">
        <w:tblPrEx>
          <w:tblCellMar>
            <w:top w:w="0" w:type="dxa"/>
            <w:left w:w="0" w:type="dxa"/>
            <w:bottom w:w="0" w:type="dxa"/>
            <w:right w:w="0" w:type="dxa"/>
          </w:tblCellMar>
        </w:tblPrEx>
        <w:trPr>
          <w:wBefore w:w="0" w:type="auto"/>
          <w:tblCellSpacing w:w="0" w:type="dxa"/>
        </w:trPr>
        <w:tc>
          <w:tcPr>
            <w:tcW w:w="0" w:type="auto"/>
            <w:noWrap w:val="0"/>
            <w:vAlign w:val="center"/>
          </w:tcPr>
          <w:p w14:paraId="7A12699F">
            <w:r>
              <w:rPr>
                <w:rStyle w:val="10"/>
                <w:rFonts w:hint="eastAsia"/>
              </w:rPr>
              <w:t>注意事项：</w:t>
            </w:r>
            <w:r>
              <w:rPr>
                <w:rFonts w:hint="eastAsia"/>
              </w:rPr>
              <w:br w:type="textWrapping"/>
            </w:r>
            <w:r>
              <w:rPr>
                <w:rStyle w:val="11"/>
                <w:rFonts w:hint="eastAsia"/>
              </w:rPr>
              <w:t>注意事项: 1. 避免和碱性农药、肥料等物质混合使用。 2. 请按照农药安全使用准则使用本品。避免皮肤、眼睛暴露和吸入雾滴。切勿在施药现场抽烟或饮食。在饮水、进食和抽烟前，应先洗手、洗脸。3. 配药和喷雾时应戴手套、穿长衣长裤；避免溅及眼睛、皮肤和衣服。 4. 施药后应该彻底清洗喷雾器具，清洗器具的废水不能排入河流、池塘等水源，禁止在河塘等水体中清洗施药器具。废弃物要妥善处理，不能随意丢弃，也不能做他用。 5. 避免孕妇及哺乳期的妇女接触。</w:t>
            </w:r>
          </w:p>
        </w:tc>
      </w:tr>
      <w:tr w14:paraId="477AD9DA">
        <w:tblPrEx>
          <w:tblCellMar>
            <w:top w:w="0" w:type="dxa"/>
            <w:left w:w="0" w:type="dxa"/>
            <w:bottom w:w="0" w:type="dxa"/>
            <w:right w:w="0" w:type="dxa"/>
          </w:tblCellMar>
        </w:tblPrEx>
        <w:trPr>
          <w:wBefore w:w="0" w:type="auto"/>
          <w:tblCellSpacing w:w="0" w:type="dxa"/>
        </w:trPr>
        <w:tc>
          <w:tcPr>
            <w:tcW w:w="0" w:type="auto"/>
            <w:noWrap w:val="0"/>
            <w:vAlign w:val="center"/>
          </w:tcPr>
          <w:p w14:paraId="44EA95D3">
            <w:r>
              <w:rPr>
                <w:rStyle w:val="10"/>
                <w:rFonts w:hint="eastAsia"/>
              </w:rPr>
              <w:t>中毒急救措施：</w:t>
            </w:r>
            <w:r>
              <w:rPr>
                <w:rFonts w:hint="eastAsia"/>
              </w:rPr>
              <w:br w:type="textWrapping"/>
            </w:r>
            <w:r>
              <w:rPr>
                <w:rStyle w:val="11"/>
                <w:rFonts w:hint="eastAsia"/>
              </w:rPr>
              <w:t>眼睛：立即用大量清水冲洗张开的眼睛至少15分钟，携此标签就医诊治。皮肤：除去被溅及衣物，并立即用肥皂和大量清水冲洗。吸入：将患者移动空气清新处，必要时进行人工呼吸，并携此标签就医诊治。误服：如患者较清醒可先给其饮用大量清水并携此标签速送医诊治。</w:t>
            </w:r>
          </w:p>
        </w:tc>
      </w:tr>
      <w:tr w14:paraId="67BB8C9A">
        <w:tblPrEx>
          <w:tblCellMar>
            <w:top w:w="0" w:type="dxa"/>
            <w:left w:w="0" w:type="dxa"/>
            <w:bottom w:w="0" w:type="dxa"/>
            <w:right w:w="0" w:type="dxa"/>
          </w:tblCellMar>
        </w:tblPrEx>
        <w:trPr>
          <w:wBefore w:w="0" w:type="auto"/>
          <w:tblCellSpacing w:w="0" w:type="dxa"/>
        </w:trPr>
        <w:tc>
          <w:tcPr>
            <w:tcW w:w="0" w:type="auto"/>
            <w:noWrap w:val="0"/>
            <w:vAlign w:val="center"/>
          </w:tcPr>
          <w:p w14:paraId="00EA5D16">
            <w:r>
              <w:rPr>
                <w:rStyle w:val="10"/>
                <w:rFonts w:hint="eastAsia"/>
              </w:rPr>
              <w:t>储存和运输方法：</w:t>
            </w:r>
            <w:r>
              <w:rPr>
                <w:rFonts w:hint="eastAsia"/>
              </w:rPr>
              <w:br w:type="textWrapping"/>
            </w:r>
            <w:r>
              <w:rPr>
                <w:rStyle w:val="11"/>
                <w:rFonts w:hint="eastAsia"/>
              </w:rPr>
              <w:t>1. 本品应以原包装密封放置于阴凉、干燥、通风、防雨和儿童触及不到处，并加锁。 2.避免阳光直接照射，远离热源火源。3. 不可和食物、饮料、饲料等同储同运。4. 运输时应注意避光、防高温、雨淋。</w:t>
            </w:r>
          </w:p>
        </w:tc>
      </w:tr>
      <w:tr w14:paraId="6555B812">
        <w:tblPrEx>
          <w:tblCellMar>
            <w:top w:w="0" w:type="dxa"/>
            <w:left w:w="0" w:type="dxa"/>
            <w:bottom w:w="0" w:type="dxa"/>
            <w:right w:w="0" w:type="dxa"/>
          </w:tblCellMar>
        </w:tblPrEx>
        <w:trPr>
          <w:wBefore w:w="0" w:type="auto"/>
          <w:tblCellSpacing w:w="0" w:type="dxa"/>
        </w:trPr>
        <w:tc>
          <w:tcPr>
            <w:tcW w:w="0" w:type="auto"/>
            <w:noWrap w:val="0"/>
            <w:vAlign w:val="center"/>
          </w:tcPr>
          <w:p w14:paraId="29EEEA46">
            <w:r>
              <w:rPr>
                <w:rStyle w:val="10"/>
                <w:rFonts w:hint="eastAsia"/>
              </w:rPr>
              <w:t>质量保证期：</w:t>
            </w:r>
            <w:r>
              <w:rPr>
                <w:rStyle w:val="11"/>
                <w:rFonts w:hint="eastAsia"/>
              </w:rPr>
              <w:t>2年</w:t>
            </w:r>
          </w:p>
        </w:tc>
      </w:tr>
      <w:tr w14:paraId="25A16C93">
        <w:tblPrEx>
          <w:tblCellMar>
            <w:top w:w="0" w:type="dxa"/>
            <w:left w:w="0" w:type="dxa"/>
            <w:bottom w:w="0" w:type="dxa"/>
            <w:right w:w="0" w:type="dxa"/>
          </w:tblCellMar>
        </w:tblPrEx>
        <w:trPr>
          <w:wBefore w:w="0" w:type="auto"/>
          <w:tblCellSpacing w:w="0" w:type="dxa"/>
        </w:trPr>
        <w:tc>
          <w:tcPr>
            <w:tcW w:w="0" w:type="auto"/>
            <w:noWrap w:val="0"/>
            <w:vAlign w:val="center"/>
          </w:tcPr>
          <w:p w14:paraId="332BEBA9">
            <w:r>
              <w:rPr>
                <w:rStyle w:val="10"/>
                <w:rFonts w:hint="eastAsia"/>
              </w:rPr>
              <w:t>备注：</w:t>
            </w:r>
          </w:p>
        </w:tc>
      </w:tr>
    </w:tbl>
    <w:p w14:paraId="5D19CBC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D3B230">
        <w:tblPrEx>
          <w:tblCellMar>
            <w:top w:w="0" w:type="dxa"/>
            <w:left w:w="0" w:type="dxa"/>
            <w:bottom w:w="0" w:type="dxa"/>
            <w:right w:w="0" w:type="dxa"/>
          </w:tblCellMar>
        </w:tblPrEx>
        <w:trPr>
          <w:wBefore w:w="0" w:type="auto"/>
          <w:tblCellSpacing w:w="0" w:type="dxa"/>
        </w:trPr>
        <w:tc>
          <w:tcPr>
            <w:tcW w:w="0" w:type="auto"/>
            <w:noWrap w:val="0"/>
            <w:vAlign w:val="center"/>
          </w:tcPr>
          <w:p w14:paraId="3B5145C3">
            <w:r>
              <w:rPr>
                <w:rStyle w:val="10"/>
                <w:rFonts w:hint="eastAsia"/>
              </w:rPr>
              <w:t>登记证号：</w:t>
            </w:r>
            <w:r>
              <w:rPr>
                <w:rFonts w:hint="eastAsia"/>
              </w:rPr>
              <w:t>PD20111420</w:t>
            </w:r>
          </w:p>
        </w:tc>
      </w:tr>
      <w:tr w14:paraId="244FFDD3">
        <w:tblPrEx>
          <w:tblCellMar>
            <w:top w:w="0" w:type="dxa"/>
            <w:left w:w="0" w:type="dxa"/>
            <w:bottom w:w="0" w:type="dxa"/>
            <w:right w:w="0" w:type="dxa"/>
          </w:tblCellMar>
        </w:tblPrEx>
        <w:trPr>
          <w:wBefore w:w="0" w:type="auto"/>
          <w:tblCellSpacing w:w="0" w:type="dxa"/>
        </w:trPr>
        <w:tc>
          <w:tcPr>
            <w:tcW w:w="0" w:type="auto"/>
            <w:noWrap w:val="0"/>
            <w:vAlign w:val="center"/>
          </w:tcPr>
          <w:p w14:paraId="68B82668">
            <w:r>
              <w:rPr>
                <w:rStyle w:val="10"/>
                <w:rFonts w:hint="eastAsia"/>
              </w:rPr>
              <w:t>登记证持有人：</w:t>
            </w:r>
            <w:r>
              <w:rPr>
                <w:rFonts w:hint="eastAsia"/>
              </w:rPr>
              <w:t>天津科润北方种衣剂有限公司</w:t>
            </w:r>
          </w:p>
        </w:tc>
      </w:tr>
      <w:tr w14:paraId="4387772D">
        <w:tblPrEx>
          <w:tblCellMar>
            <w:top w:w="0" w:type="dxa"/>
            <w:left w:w="0" w:type="dxa"/>
            <w:bottom w:w="0" w:type="dxa"/>
            <w:right w:w="0" w:type="dxa"/>
          </w:tblCellMar>
        </w:tblPrEx>
        <w:trPr>
          <w:wBefore w:w="0" w:type="auto"/>
          <w:tblCellSpacing w:w="0" w:type="dxa"/>
        </w:trPr>
        <w:tc>
          <w:tcPr>
            <w:tcW w:w="0" w:type="auto"/>
            <w:noWrap w:val="0"/>
            <w:vAlign w:val="center"/>
          </w:tcPr>
          <w:p w14:paraId="62E9FFF3">
            <w:r>
              <w:rPr>
                <w:rStyle w:val="10"/>
                <w:rFonts w:hint="eastAsia"/>
              </w:rPr>
              <w:t>农药名称：</w:t>
            </w:r>
            <w:r>
              <w:rPr>
                <w:rFonts w:hint="eastAsia"/>
              </w:rPr>
              <w:t>氟虫腈</w:t>
            </w:r>
          </w:p>
        </w:tc>
      </w:tr>
      <w:tr w14:paraId="350A19EF">
        <w:tblPrEx>
          <w:tblCellMar>
            <w:top w:w="0" w:type="dxa"/>
            <w:left w:w="0" w:type="dxa"/>
            <w:bottom w:w="0" w:type="dxa"/>
            <w:right w:w="0" w:type="dxa"/>
          </w:tblCellMar>
        </w:tblPrEx>
        <w:trPr>
          <w:wBefore w:w="0" w:type="auto"/>
          <w:tblCellSpacing w:w="0" w:type="dxa"/>
        </w:trPr>
        <w:tc>
          <w:tcPr>
            <w:tcW w:w="0" w:type="auto"/>
            <w:noWrap w:val="0"/>
            <w:vAlign w:val="center"/>
          </w:tcPr>
          <w:p w14:paraId="769734E1">
            <w:r>
              <w:rPr>
                <w:rStyle w:val="10"/>
                <w:rFonts w:hint="eastAsia"/>
              </w:rPr>
              <w:t>剂型：</w:t>
            </w:r>
            <w:r>
              <w:rPr>
                <w:rFonts w:hint="eastAsia"/>
              </w:rPr>
              <w:t>悬浮种衣剂</w:t>
            </w:r>
          </w:p>
        </w:tc>
      </w:tr>
      <w:tr w14:paraId="5D5D793E">
        <w:tblPrEx>
          <w:tblCellMar>
            <w:top w:w="0" w:type="dxa"/>
            <w:left w:w="0" w:type="dxa"/>
            <w:bottom w:w="0" w:type="dxa"/>
            <w:right w:w="0" w:type="dxa"/>
          </w:tblCellMar>
        </w:tblPrEx>
        <w:trPr>
          <w:wBefore w:w="0" w:type="auto"/>
          <w:tblCellSpacing w:w="0" w:type="dxa"/>
        </w:trPr>
        <w:tc>
          <w:tcPr>
            <w:tcW w:w="0" w:type="auto"/>
            <w:noWrap w:val="0"/>
            <w:vAlign w:val="center"/>
          </w:tcPr>
          <w:p w14:paraId="1A773486">
            <w:r>
              <w:rPr>
                <w:rStyle w:val="10"/>
                <w:rFonts w:hint="eastAsia"/>
              </w:rPr>
              <w:t>毒性及其标识：</w:t>
            </w:r>
            <w:r>
              <w:rPr>
                <w:rFonts w:hint="eastAsia"/>
              </w:rPr>
              <w:t xml:space="preserve"> </w:t>
            </w:r>
            <w:r>
              <w:rPr>
                <w:lang/>
              </w:rPr>
              <w:drawing>
                <wp:inline distT="0" distB="0" distL="114300" distR="114300">
                  <wp:extent cx="476250" cy="323850"/>
                  <wp:effectExtent l="0" t="0" r="0" b="0"/>
                  <wp:docPr id="57" name="图片 57"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5FED0D4">
        <w:tblPrEx>
          <w:tblCellMar>
            <w:top w:w="0" w:type="dxa"/>
            <w:left w:w="0" w:type="dxa"/>
            <w:bottom w:w="0" w:type="dxa"/>
            <w:right w:w="0" w:type="dxa"/>
          </w:tblCellMar>
        </w:tblPrEx>
        <w:trPr>
          <w:wBefore w:w="0" w:type="auto"/>
          <w:tblCellSpacing w:w="0" w:type="dxa"/>
        </w:trPr>
        <w:tc>
          <w:tcPr>
            <w:tcW w:w="0" w:type="auto"/>
            <w:noWrap w:val="0"/>
            <w:vAlign w:val="center"/>
          </w:tcPr>
          <w:p w14:paraId="128AFF7E">
            <w:r>
              <w:rPr>
                <w:rStyle w:val="10"/>
                <w:rFonts w:hint="eastAsia"/>
              </w:rPr>
              <w:t>总有效成分含量：</w:t>
            </w:r>
            <w:r>
              <w:rPr>
                <w:rFonts w:hint="eastAsia"/>
              </w:rPr>
              <w:t>8%</w:t>
            </w:r>
          </w:p>
        </w:tc>
      </w:tr>
      <w:tr w14:paraId="351CC17E">
        <w:tblPrEx>
          <w:tblCellMar>
            <w:top w:w="0" w:type="dxa"/>
            <w:left w:w="0" w:type="dxa"/>
            <w:bottom w:w="0" w:type="dxa"/>
            <w:right w:w="0" w:type="dxa"/>
          </w:tblCellMar>
        </w:tblPrEx>
        <w:trPr>
          <w:wBefore w:w="0" w:type="auto"/>
          <w:tblCellSpacing w:w="0" w:type="dxa"/>
        </w:trPr>
        <w:tc>
          <w:tcPr>
            <w:tcW w:w="0" w:type="auto"/>
            <w:noWrap w:val="0"/>
            <w:vAlign w:val="center"/>
          </w:tcPr>
          <w:p w14:paraId="6EA199CA">
            <w:r>
              <w:rPr>
                <w:rFonts w:hint="eastAsia"/>
              </w:rPr>
              <w:t xml:space="preserve">有效成分及其含量： </w:t>
            </w:r>
          </w:p>
          <w:p w14:paraId="5F860051">
            <w:r>
              <w:rPr>
                <w:rFonts w:hint="eastAsia"/>
              </w:rPr>
              <w:t xml:space="preserve">    氟虫腈8%    </w:t>
            </w:r>
          </w:p>
        </w:tc>
      </w:tr>
      <w:tr w14:paraId="5B557BCF">
        <w:tblPrEx>
          <w:tblCellMar>
            <w:top w:w="0" w:type="dxa"/>
            <w:left w:w="0" w:type="dxa"/>
            <w:bottom w:w="0" w:type="dxa"/>
            <w:right w:w="0" w:type="dxa"/>
          </w:tblCellMar>
        </w:tblPrEx>
        <w:trPr>
          <w:wBefore w:w="0" w:type="auto"/>
          <w:tblCellSpacing w:w="0" w:type="dxa"/>
        </w:trPr>
        <w:tc>
          <w:tcPr>
            <w:tcW w:w="0" w:type="auto"/>
            <w:noWrap w:val="0"/>
            <w:vAlign w:val="center"/>
          </w:tcPr>
          <w:p w14:paraId="2934C50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E099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60ED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740F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6377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2EA063">
                  <w:r>
                    <w:rPr>
                      <w:rStyle w:val="11"/>
                      <w:rFonts w:hint="eastAsia"/>
                    </w:rPr>
                    <w:t>施用方式</w:t>
                  </w:r>
                </w:p>
              </w:tc>
            </w:tr>
            <w:tr w14:paraId="34DD7F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53F7FB">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A135B0">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E4A3C6">
                  <w:r>
                    <w:rPr>
                      <w:rStyle w:val="11"/>
                      <w:rFonts w:hint="eastAsia"/>
                    </w:rPr>
                    <w:t>333-400毫升/100千克种子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468E92">
                  <w:r>
                    <w:rPr>
                      <w:rStyle w:val="11"/>
                      <w:rFonts w:hint="eastAsia"/>
                    </w:rPr>
                    <w:t>种子包衣</w:t>
                  </w:r>
                </w:p>
              </w:tc>
            </w:tr>
          </w:tbl>
          <w:p w14:paraId="3B561021">
            <w:pPr>
              <w:rPr>
                <w:rFonts w:ascii="Times New Roman" w:hAnsi="Times New Roman" w:cs="Times New Roman"/>
                <w:sz w:val="20"/>
                <w:szCs w:val="20"/>
              </w:rPr>
            </w:pPr>
          </w:p>
        </w:tc>
      </w:tr>
      <w:tr w14:paraId="37D74EAA">
        <w:tblPrEx>
          <w:tblCellMar>
            <w:top w:w="0" w:type="dxa"/>
            <w:left w:w="0" w:type="dxa"/>
            <w:bottom w:w="0" w:type="dxa"/>
            <w:right w:w="0" w:type="dxa"/>
          </w:tblCellMar>
        </w:tblPrEx>
        <w:trPr>
          <w:wBefore w:w="0" w:type="auto"/>
          <w:tblCellSpacing w:w="0" w:type="dxa"/>
        </w:trPr>
        <w:tc>
          <w:tcPr>
            <w:tcW w:w="0" w:type="auto"/>
            <w:noWrap w:val="0"/>
            <w:vAlign w:val="center"/>
          </w:tcPr>
          <w:p w14:paraId="2713AC67">
            <w:r>
              <w:rPr>
                <w:rStyle w:val="10"/>
                <w:rFonts w:hint="eastAsia"/>
              </w:rPr>
              <w:t>使用技术要求:</w:t>
            </w:r>
            <w:r>
              <w:rPr>
                <w:rFonts w:hint="eastAsia"/>
              </w:rPr>
              <w:br w:type="textWrapping"/>
            </w:r>
            <w:r>
              <w:rPr>
                <w:rStyle w:val="11"/>
                <w:rFonts w:hint="eastAsia"/>
              </w:rPr>
              <w:t>应于玉米播前处理，在充分摇匀本品后，将本品用水稀释3倍，按稀释药液与种子的重量比1：80-100包衣，即可机械包衣亦可人工包衣。</w:t>
            </w:r>
          </w:p>
        </w:tc>
      </w:tr>
      <w:tr w14:paraId="1006EEA8">
        <w:tblPrEx>
          <w:tblCellMar>
            <w:top w:w="0" w:type="dxa"/>
            <w:left w:w="0" w:type="dxa"/>
            <w:bottom w:w="0" w:type="dxa"/>
            <w:right w:w="0" w:type="dxa"/>
          </w:tblCellMar>
        </w:tblPrEx>
        <w:trPr>
          <w:wBefore w:w="0" w:type="auto"/>
          <w:tblCellSpacing w:w="0" w:type="dxa"/>
        </w:trPr>
        <w:tc>
          <w:tcPr>
            <w:tcW w:w="0" w:type="auto"/>
            <w:noWrap w:val="0"/>
            <w:vAlign w:val="center"/>
          </w:tcPr>
          <w:p w14:paraId="23354E8B">
            <w:r>
              <w:rPr>
                <w:rStyle w:val="10"/>
                <w:rFonts w:hint="eastAsia"/>
              </w:rPr>
              <w:t>产品性能:</w:t>
            </w:r>
            <w:r>
              <w:rPr>
                <w:rFonts w:hint="eastAsia"/>
              </w:rPr>
              <w:br w:type="textWrapping"/>
            </w:r>
            <w:r>
              <w:rPr>
                <w:rStyle w:val="11"/>
                <w:rFonts w:hint="eastAsia"/>
              </w:rPr>
              <w:t>本产品为苯基吡唑类杀虫剂，具有触杀、胃毒、内吸作用，可用于防治玉米地下害虫蛴螬。</w:t>
            </w:r>
          </w:p>
        </w:tc>
      </w:tr>
      <w:tr w14:paraId="1CDD9085">
        <w:tblPrEx>
          <w:tblCellMar>
            <w:top w:w="0" w:type="dxa"/>
            <w:left w:w="0" w:type="dxa"/>
            <w:bottom w:w="0" w:type="dxa"/>
            <w:right w:w="0" w:type="dxa"/>
          </w:tblCellMar>
        </w:tblPrEx>
        <w:trPr>
          <w:wBefore w:w="0" w:type="auto"/>
          <w:tblCellSpacing w:w="0" w:type="dxa"/>
        </w:trPr>
        <w:tc>
          <w:tcPr>
            <w:tcW w:w="0" w:type="auto"/>
            <w:noWrap w:val="0"/>
            <w:vAlign w:val="center"/>
          </w:tcPr>
          <w:p w14:paraId="54AF78C8">
            <w:r>
              <w:rPr>
                <w:rStyle w:val="10"/>
                <w:rFonts w:hint="eastAsia"/>
              </w:rPr>
              <w:t>注意事项：</w:t>
            </w:r>
            <w:r>
              <w:rPr>
                <w:rFonts w:hint="eastAsia"/>
              </w:rPr>
              <w:br w:type="textWrapping"/>
            </w:r>
            <w:r>
              <w:rPr>
                <w:rStyle w:val="11"/>
                <w:rFonts w:hint="eastAsia"/>
              </w:rPr>
              <w:t>1、本品为固定剂型，不能加其他农药和肥料，以免引起药效或毒性变化。 2、包衣后的种子不得食用和不得作为饲料。 3、播种不能用手直接接触有毒种子。 4、包衣后的种子不得摊晾在阳光下暴晒，以免发生光解影响药效。 5、本品严禁田间喷雾和水田使用。 6、本品有毒，使用时应戴防毒用具，如戴手套等操作期间不得抽烟进食，使用后用肥皂水洗脸、手和裸露的皮肤。 7、被包衣的种子应为精选后的良种。 8、本品对人畜中等毒，只能用于拌种，不能用于蔬菜、茶叶、瓜果。 9、不能与铜制剂等碱性物质混用。 10、本品对蜜蜂、鱼、虾蟹等水生生物毒性高，施药期间要远离水产养殖区、河塘等水域施药，禁止在河塘等水域中清洗施药器具。 11、用过的容器应妥善处理，不可做它用，也不可随意丢弃。 12、孕妇及哺乳期妇女应避免接触。</w:t>
            </w:r>
          </w:p>
        </w:tc>
      </w:tr>
      <w:tr w14:paraId="38AE755C">
        <w:tblPrEx>
          <w:tblCellMar>
            <w:top w:w="0" w:type="dxa"/>
            <w:left w:w="0" w:type="dxa"/>
            <w:bottom w:w="0" w:type="dxa"/>
            <w:right w:w="0" w:type="dxa"/>
          </w:tblCellMar>
        </w:tblPrEx>
        <w:trPr>
          <w:wBefore w:w="0" w:type="auto"/>
          <w:tblCellSpacing w:w="0" w:type="dxa"/>
        </w:trPr>
        <w:tc>
          <w:tcPr>
            <w:tcW w:w="0" w:type="auto"/>
            <w:noWrap w:val="0"/>
            <w:vAlign w:val="center"/>
          </w:tcPr>
          <w:p w14:paraId="0E9BC0BC">
            <w:r>
              <w:rPr>
                <w:rStyle w:val="10"/>
                <w:rFonts w:hint="eastAsia"/>
              </w:rPr>
              <w:t>中毒急救措施：</w:t>
            </w:r>
            <w:r>
              <w:rPr>
                <w:rFonts w:hint="eastAsia"/>
              </w:rPr>
              <w:br w:type="textWrapping"/>
            </w:r>
            <w:r>
              <w:rPr>
                <w:rStyle w:val="11"/>
                <w:rFonts w:hint="eastAsia"/>
              </w:rPr>
              <w:t>中毒症状：恶心、呕吐、腹痛、腹泻，重者头痛、头晕、心律、呼吸加快，血压下降，抽搐、循环衰竭，呼吸麻痹而死。 急救治疗：皮肤和眼睛接触，应用大量的清水冲洗至少15分钟，如仍有刺激感送医院对症治疗。误服者，立即送医院对症治疗。无专用解毒剂，对症治疗。</w:t>
            </w:r>
          </w:p>
        </w:tc>
      </w:tr>
      <w:tr w14:paraId="3279C662">
        <w:tblPrEx>
          <w:tblCellMar>
            <w:top w:w="0" w:type="dxa"/>
            <w:left w:w="0" w:type="dxa"/>
            <w:bottom w:w="0" w:type="dxa"/>
            <w:right w:w="0" w:type="dxa"/>
          </w:tblCellMar>
        </w:tblPrEx>
        <w:trPr>
          <w:wBefore w:w="0" w:type="auto"/>
          <w:tblCellSpacing w:w="0" w:type="dxa"/>
        </w:trPr>
        <w:tc>
          <w:tcPr>
            <w:tcW w:w="0" w:type="auto"/>
            <w:noWrap w:val="0"/>
            <w:vAlign w:val="center"/>
          </w:tcPr>
          <w:p w14:paraId="6A26BFE5">
            <w:r>
              <w:rPr>
                <w:rStyle w:val="10"/>
                <w:rFonts w:hint="eastAsia"/>
              </w:rPr>
              <w:t>储存和运输方法：</w:t>
            </w:r>
            <w:r>
              <w:rPr>
                <w:rFonts w:hint="eastAsia"/>
              </w:rPr>
              <w:br w:type="textWrapping"/>
            </w:r>
            <w:r>
              <w:rPr>
                <w:rStyle w:val="11"/>
                <w:rFonts w:hint="eastAsia"/>
              </w:rPr>
              <w:t>本品为有毒农药，应存放在干燥、阴凉、通风、防雨处，远离火源、热源。置于儿童、无关人员及动物触及不到之处，并加锁储存；勿与食物、饮料、粮食、饲料等其他商品同贮同运。</w:t>
            </w:r>
          </w:p>
        </w:tc>
      </w:tr>
      <w:tr w14:paraId="55BFD6E0">
        <w:tblPrEx>
          <w:tblCellMar>
            <w:top w:w="0" w:type="dxa"/>
            <w:left w:w="0" w:type="dxa"/>
            <w:bottom w:w="0" w:type="dxa"/>
            <w:right w:w="0" w:type="dxa"/>
          </w:tblCellMar>
        </w:tblPrEx>
        <w:trPr>
          <w:wBefore w:w="0" w:type="auto"/>
          <w:tblCellSpacing w:w="0" w:type="dxa"/>
        </w:trPr>
        <w:tc>
          <w:tcPr>
            <w:tcW w:w="0" w:type="auto"/>
            <w:noWrap w:val="0"/>
            <w:vAlign w:val="center"/>
          </w:tcPr>
          <w:p w14:paraId="70AAD1A0">
            <w:r>
              <w:rPr>
                <w:rStyle w:val="10"/>
                <w:rFonts w:hint="eastAsia"/>
              </w:rPr>
              <w:t>质量保证期：</w:t>
            </w:r>
            <w:r>
              <w:rPr>
                <w:rStyle w:val="11"/>
                <w:rFonts w:hint="eastAsia"/>
              </w:rPr>
              <w:t>2年</w:t>
            </w:r>
          </w:p>
        </w:tc>
      </w:tr>
      <w:tr w14:paraId="00F01B25">
        <w:tblPrEx>
          <w:tblCellMar>
            <w:top w:w="0" w:type="dxa"/>
            <w:left w:w="0" w:type="dxa"/>
            <w:bottom w:w="0" w:type="dxa"/>
            <w:right w:w="0" w:type="dxa"/>
          </w:tblCellMar>
        </w:tblPrEx>
        <w:trPr>
          <w:wBefore w:w="0" w:type="auto"/>
          <w:tblCellSpacing w:w="0" w:type="dxa"/>
        </w:trPr>
        <w:tc>
          <w:tcPr>
            <w:tcW w:w="0" w:type="auto"/>
            <w:noWrap w:val="0"/>
            <w:vAlign w:val="center"/>
          </w:tcPr>
          <w:p w14:paraId="7D2FB4DE">
            <w:r>
              <w:rPr>
                <w:rStyle w:val="10"/>
                <w:rFonts w:hint="eastAsia"/>
              </w:rPr>
              <w:t>备注：</w:t>
            </w:r>
          </w:p>
        </w:tc>
      </w:tr>
    </w:tbl>
    <w:p w14:paraId="3520B04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B600C3">
        <w:tblPrEx>
          <w:tblCellMar>
            <w:top w:w="0" w:type="dxa"/>
            <w:left w:w="0" w:type="dxa"/>
            <w:bottom w:w="0" w:type="dxa"/>
            <w:right w:w="0" w:type="dxa"/>
          </w:tblCellMar>
        </w:tblPrEx>
        <w:trPr>
          <w:wBefore w:w="0" w:type="auto"/>
          <w:tblCellSpacing w:w="0" w:type="dxa"/>
        </w:trPr>
        <w:tc>
          <w:tcPr>
            <w:tcW w:w="0" w:type="auto"/>
            <w:noWrap w:val="0"/>
            <w:vAlign w:val="center"/>
          </w:tcPr>
          <w:p w14:paraId="4FD110E1">
            <w:r>
              <w:rPr>
                <w:rStyle w:val="10"/>
                <w:rFonts w:hint="eastAsia"/>
              </w:rPr>
              <w:t>登记证号：</w:t>
            </w:r>
            <w:r>
              <w:rPr>
                <w:rFonts w:hint="eastAsia"/>
              </w:rPr>
              <w:t>PD20212678</w:t>
            </w:r>
          </w:p>
        </w:tc>
      </w:tr>
      <w:tr w14:paraId="4E1D7B67">
        <w:tblPrEx>
          <w:tblCellMar>
            <w:top w:w="0" w:type="dxa"/>
            <w:left w:w="0" w:type="dxa"/>
            <w:bottom w:w="0" w:type="dxa"/>
            <w:right w:w="0" w:type="dxa"/>
          </w:tblCellMar>
        </w:tblPrEx>
        <w:trPr>
          <w:wBefore w:w="0" w:type="auto"/>
          <w:tblCellSpacing w:w="0" w:type="dxa"/>
        </w:trPr>
        <w:tc>
          <w:tcPr>
            <w:tcW w:w="0" w:type="auto"/>
            <w:noWrap w:val="0"/>
            <w:vAlign w:val="center"/>
          </w:tcPr>
          <w:p w14:paraId="78078A72">
            <w:r>
              <w:rPr>
                <w:rStyle w:val="10"/>
                <w:rFonts w:hint="eastAsia"/>
              </w:rPr>
              <w:t>登记证持有人：</w:t>
            </w:r>
            <w:r>
              <w:rPr>
                <w:rFonts w:hint="eastAsia"/>
              </w:rPr>
              <w:t>上海悦联生物科技有限公司</w:t>
            </w:r>
          </w:p>
        </w:tc>
      </w:tr>
      <w:tr w14:paraId="4D1E7B28">
        <w:tblPrEx>
          <w:tblCellMar>
            <w:top w:w="0" w:type="dxa"/>
            <w:left w:w="0" w:type="dxa"/>
            <w:bottom w:w="0" w:type="dxa"/>
            <w:right w:w="0" w:type="dxa"/>
          </w:tblCellMar>
        </w:tblPrEx>
        <w:trPr>
          <w:wBefore w:w="0" w:type="auto"/>
          <w:tblCellSpacing w:w="0" w:type="dxa"/>
        </w:trPr>
        <w:tc>
          <w:tcPr>
            <w:tcW w:w="0" w:type="auto"/>
            <w:noWrap w:val="0"/>
            <w:vAlign w:val="center"/>
          </w:tcPr>
          <w:p w14:paraId="2893B8AD">
            <w:r>
              <w:rPr>
                <w:rStyle w:val="10"/>
                <w:rFonts w:hint="eastAsia"/>
              </w:rPr>
              <w:t>农药名称：</w:t>
            </w:r>
            <w:r>
              <w:rPr>
                <w:rFonts w:hint="eastAsia"/>
              </w:rPr>
              <w:t>唑醚·戊唑醇</w:t>
            </w:r>
          </w:p>
        </w:tc>
      </w:tr>
      <w:tr w14:paraId="790DE52A">
        <w:tblPrEx>
          <w:tblCellMar>
            <w:top w:w="0" w:type="dxa"/>
            <w:left w:w="0" w:type="dxa"/>
            <w:bottom w:w="0" w:type="dxa"/>
            <w:right w:w="0" w:type="dxa"/>
          </w:tblCellMar>
        </w:tblPrEx>
        <w:trPr>
          <w:wBefore w:w="0" w:type="auto"/>
          <w:tblCellSpacing w:w="0" w:type="dxa"/>
        </w:trPr>
        <w:tc>
          <w:tcPr>
            <w:tcW w:w="0" w:type="auto"/>
            <w:noWrap w:val="0"/>
            <w:vAlign w:val="center"/>
          </w:tcPr>
          <w:p w14:paraId="0D719105">
            <w:r>
              <w:rPr>
                <w:rStyle w:val="10"/>
                <w:rFonts w:hint="eastAsia"/>
              </w:rPr>
              <w:t>剂型：</w:t>
            </w:r>
            <w:r>
              <w:rPr>
                <w:rFonts w:hint="eastAsia"/>
              </w:rPr>
              <w:t>悬浮剂</w:t>
            </w:r>
          </w:p>
        </w:tc>
      </w:tr>
      <w:tr w14:paraId="668B7706">
        <w:tblPrEx>
          <w:tblCellMar>
            <w:top w:w="0" w:type="dxa"/>
            <w:left w:w="0" w:type="dxa"/>
            <w:bottom w:w="0" w:type="dxa"/>
            <w:right w:w="0" w:type="dxa"/>
          </w:tblCellMar>
        </w:tblPrEx>
        <w:trPr>
          <w:wBefore w:w="0" w:type="auto"/>
          <w:tblCellSpacing w:w="0" w:type="dxa"/>
        </w:trPr>
        <w:tc>
          <w:tcPr>
            <w:tcW w:w="0" w:type="auto"/>
            <w:noWrap w:val="0"/>
            <w:vAlign w:val="center"/>
          </w:tcPr>
          <w:p w14:paraId="37DBD45E">
            <w:r>
              <w:rPr>
                <w:rStyle w:val="10"/>
                <w:rFonts w:hint="eastAsia"/>
              </w:rPr>
              <w:t>毒性及其标识：</w:t>
            </w:r>
            <w:r>
              <w:rPr>
                <w:rFonts w:hint="eastAsia"/>
              </w:rPr>
              <w:t xml:space="preserve"> </w:t>
            </w:r>
            <w:r>
              <w:rPr>
                <w:lang/>
              </w:rPr>
              <w:drawing>
                <wp:inline distT="0" distB="0" distL="114300" distR="114300">
                  <wp:extent cx="476250" cy="323850"/>
                  <wp:effectExtent l="0" t="0" r="0" b="0"/>
                  <wp:docPr id="58" name="图片 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514DB37">
        <w:tblPrEx>
          <w:tblCellMar>
            <w:top w:w="0" w:type="dxa"/>
            <w:left w:w="0" w:type="dxa"/>
            <w:bottom w:w="0" w:type="dxa"/>
            <w:right w:w="0" w:type="dxa"/>
          </w:tblCellMar>
        </w:tblPrEx>
        <w:trPr>
          <w:wBefore w:w="0" w:type="auto"/>
          <w:tblCellSpacing w:w="0" w:type="dxa"/>
        </w:trPr>
        <w:tc>
          <w:tcPr>
            <w:tcW w:w="0" w:type="auto"/>
            <w:noWrap w:val="0"/>
            <w:vAlign w:val="center"/>
          </w:tcPr>
          <w:p w14:paraId="7B1D6631">
            <w:r>
              <w:rPr>
                <w:rStyle w:val="10"/>
                <w:rFonts w:hint="eastAsia"/>
              </w:rPr>
              <w:t>总有效成分含量：</w:t>
            </w:r>
            <w:r>
              <w:rPr>
                <w:rFonts w:hint="eastAsia"/>
              </w:rPr>
              <w:t>30%</w:t>
            </w:r>
          </w:p>
        </w:tc>
      </w:tr>
      <w:tr w14:paraId="1DC12AA2">
        <w:tblPrEx>
          <w:tblCellMar>
            <w:top w:w="0" w:type="dxa"/>
            <w:left w:w="0" w:type="dxa"/>
            <w:bottom w:w="0" w:type="dxa"/>
            <w:right w:w="0" w:type="dxa"/>
          </w:tblCellMar>
        </w:tblPrEx>
        <w:trPr>
          <w:wBefore w:w="0" w:type="auto"/>
          <w:tblCellSpacing w:w="0" w:type="dxa"/>
        </w:trPr>
        <w:tc>
          <w:tcPr>
            <w:tcW w:w="0" w:type="auto"/>
            <w:noWrap w:val="0"/>
            <w:vAlign w:val="center"/>
          </w:tcPr>
          <w:p w14:paraId="5CC33B40">
            <w:r>
              <w:rPr>
                <w:rFonts w:hint="eastAsia"/>
              </w:rPr>
              <w:t xml:space="preserve">有效成分及其含量： </w:t>
            </w:r>
          </w:p>
          <w:p w14:paraId="272C49A4">
            <w:r>
              <w:rPr>
                <w:rFonts w:hint="eastAsia"/>
              </w:rPr>
              <w:t xml:space="preserve">    吡唑醚菌酯10%    戊唑醇20%    </w:t>
            </w:r>
          </w:p>
        </w:tc>
      </w:tr>
      <w:tr w14:paraId="1288637B">
        <w:tblPrEx>
          <w:tblCellMar>
            <w:top w:w="0" w:type="dxa"/>
            <w:left w:w="0" w:type="dxa"/>
            <w:bottom w:w="0" w:type="dxa"/>
            <w:right w:w="0" w:type="dxa"/>
          </w:tblCellMar>
        </w:tblPrEx>
        <w:trPr>
          <w:wBefore w:w="0" w:type="auto"/>
          <w:tblCellSpacing w:w="0" w:type="dxa"/>
        </w:trPr>
        <w:tc>
          <w:tcPr>
            <w:tcW w:w="0" w:type="auto"/>
            <w:noWrap w:val="0"/>
            <w:vAlign w:val="center"/>
          </w:tcPr>
          <w:p w14:paraId="4F87743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33EA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A6EE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6F1A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6EB2B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19FFA2">
                  <w:r>
                    <w:rPr>
                      <w:rStyle w:val="11"/>
                      <w:rFonts w:hint="eastAsia"/>
                    </w:rPr>
                    <w:t>施用方式</w:t>
                  </w:r>
                </w:p>
              </w:tc>
            </w:tr>
            <w:tr w14:paraId="711B86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30F020">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807F9">
                  <w:r>
                    <w:rPr>
                      <w:rStyle w:val="11"/>
                      <w:rFonts w:hint="eastAsia"/>
                    </w:rPr>
                    <w:t>褐斑病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008B82">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5B5BB5">
                  <w:r>
                    <w:rPr>
                      <w:rStyle w:val="11"/>
                      <w:rFonts w:hint="eastAsia"/>
                    </w:rPr>
                    <w:t>喷雾</w:t>
                  </w:r>
                </w:p>
              </w:tc>
            </w:tr>
          </w:tbl>
          <w:p w14:paraId="2AB9526D">
            <w:pPr>
              <w:rPr>
                <w:rFonts w:ascii="Times New Roman" w:hAnsi="Times New Roman" w:cs="Times New Roman"/>
                <w:sz w:val="20"/>
                <w:szCs w:val="20"/>
              </w:rPr>
            </w:pPr>
          </w:p>
        </w:tc>
      </w:tr>
      <w:tr w14:paraId="64FE107A">
        <w:tblPrEx>
          <w:tblCellMar>
            <w:top w:w="0" w:type="dxa"/>
            <w:left w:w="0" w:type="dxa"/>
            <w:bottom w:w="0" w:type="dxa"/>
            <w:right w:w="0" w:type="dxa"/>
          </w:tblCellMar>
        </w:tblPrEx>
        <w:trPr>
          <w:wBefore w:w="0" w:type="auto"/>
          <w:tblCellSpacing w:w="0" w:type="dxa"/>
        </w:trPr>
        <w:tc>
          <w:tcPr>
            <w:tcW w:w="0" w:type="auto"/>
            <w:noWrap w:val="0"/>
            <w:vAlign w:val="center"/>
          </w:tcPr>
          <w:p w14:paraId="02D93438">
            <w:r>
              <w:rPr>
                <w:rStyle w:val="10"/>
                <w:rFonts w:hint="eastAsia"/>
              </w:rPr>
              <w:t>使用技术要求:</w:t>
            </w:r>
            <w:r>
              <w:rPr>
                <w:rFonts w:hint="eastAsia"/>
              </w:rPr>
              <w:br w:type="textWrapping"/>
            </w:r>
            <w:r>
              <w:rPr>
                <w:rStyle w:val="11"/>
                <w:rFonts w:hint="eastAsia"/>
              </w:rPr>
              <w:t>1.建议在苹果褐斑病发病前或初期施药，施药2-3次，间隔7-14天。 2.大风天或预计1小时内有雨，请勿施药。 3.本品在苹果上的安全间隔期为21天，每季最多施用3次。</w:t>
            </w:r>
          </w:p>
        </w:tc>
      </w:tr>
      <w:tr w14:paraId="652D3965">
        <w:tblPrEx>
          <w:tblCellMar>
            <w:top w:w="0" w:type="dxa"/>
            <w:left w:w="0" w:type="dxa"/>
            <w:bottom w:w="0" w:type="dxa"/>
            <w:right w:w="0" w:type="dxa"/>
          </w:tblCellMar>
        </w:tblPrEx>
        <w:trPr>
          <w:wBefore w:w="0" w:type="auto"/>
          <w:tblCellSpacing w:w="0" w:type="dxa"/>
        </w:trPr>
        <w:tc>
          <w:tcPr>
            <w:tcW w:w="0" w:type="auto"/>
            <w:noWrap w:val="0"/>
            <w:vAlign w:val="center"/>
          </w:tcPr>
          <w:p w14:paraId="6701FAF6">
            <w:r>
              <w:rPr>
                <w:rStyle w:val="10"/>
                <w:rFonts w:hint="eastAsia"/>
              </w:rPr>
              <w:t>产品性能:</w:t>
            </w:r>
            <w:r>
              <w:rPr>
                <w:rFonts w:hint="eastAsia"/>
              </w:rPr>
              <w:br w:type="textWrapping"/>
            </w:r>
            <w:r>
              <w:rPr>
                <w:rStyle w:val="11"/>
                <w:rFonts w:hint="eastAsia"/>
              </w:rPr>
              <w:t>本品是由吡唑醚菌酯和戊唑醇复配而成的杀菌剂，吡唑醚菌酯为线粒体呼吸抑制剂，具有保护、治疗、叶片渗透传导作用。戊唑醇为三唑类杀菌剂，其作用机制为抑制真菌麦角甾醇的生物合成，具有保护、治疗、铲除作用，杀菌谱广、持效期长。对苹果树褐斑病有较好的防效。</w:t>
            </w:r>
          </w:p>
        </w:tc>
      </w:tr>
      <w:tr w14:paraId="47AEC241">
        <w:tblPrEx>
          <w:tblCellMar>
            <w:top w:w="0" w:type="dxa"/>
            <w:left w:w="0" w:type="dxa"/>
            <w:bottom w:w="0" w:type="dxa"/>
            <w:right w:w="0" w:type="dxa"/>
          </w:tblCellMar>
        </w:tblPrEx>
        <w:trPr>
          <w:wBefore w:w="0" w:type="auto"/>
          <w:tblCellSpacing w:w="0" w:type="dxa"/>
        </w:trPr>
        <w:tc>
          <w:tcPr>
            <w:tcW w:w="0" w:type="auto"/>
            <w:noWrap w:val="0"/>
            <w:vAlign w:val="center"/>
          </w:tcPr>
          <w:p w14:paraId="6368937E">
            <w:r>
              <w:rPr>
                <w:rStyle w:val="10"/>
                <w:rFonts w:hint="eastAsia"/>
              </w:rPr>
              <w:t>注意事项：</w:t>
            </w:r>
            <w:r>
              <w:rPr>
                <w:rFonts w:hint="eastAsia"/>
              </w:rPr>
              <w:br w:type="textWrapping"/>
            </w:r>
            <w:r>
              <w:rPr>
                <w:rStyle w:val="11"/>
                <w:rFonts w:hint="eastAsia"/>
              </w:rPr>
              <w:t>1.使用时穿戴长衣、长裤、帽子、口罩、手套等安全防护措施。 避免皮肤、眼睛接触和口鼻吸入。使用中不可吸烟、饮水和吃东西，使用后及时清洗手、脸等暴露部位皮肤并更换衣物。 2.本品对水生生物有毒，远离水产养殖区施药，禁止在池塘、河流、湖泊等水域中清洗施药器械。药液及其废液不得污染各类水域、土壤等环境。 3.对蜜蜂有毒，（周围）植物花期禁用。 4. 鸟类保护区附近禁用； 桑园及蚕室附近禁用。瓢虫等天敌放飞区域禁用。 5.建议与其他作用机制不同的杀菌剂轮换使用，以延缓抗性产生。 6.使用后的包装物应遵照农药包装废弃物回收准则的相关规定处理，不可作他用，也不可随意丢弃。 7.避免孕妇及哺乳期妇女接触。</w:t>
            </w:r>
          </w:p>
        </w:tc>
      </w:tr>
      <w:tr w14:paraId="3BC1209D">
        <w:tblPrEx>
          <w:tblCellMar>
            <w:top w:w="0" w:type="dxa"/>
            <w:left w:w="0" w:type="dxa"/>
            <w:bottom w:w="0" w:type="dxa"/>
            <w:right w:w="0" w:type="dxa"/>
          </w:tblCellMar>
        </w:tblPrEx>
        <w:trPr>
          <w:wBefore w:w="0" w:type="auto"/>
          <w:tblCellSpacing w:w="0" w:type="dxa"/>
        </w:trPr>
        <w:tc>
          <w:tcPr>
            <w:tcW w:w="0" w:type="auto"/>
            <w:noWrap w:val="0"/>
            <w:vAlign w:val="center"/>
          </w:tcPr>
          <w:p w14:paraId="52629A83">
            <w:r>
              <w:rPr>
                <w:rStyle w:val="10"/>
                <w:rFonts w:hint="eastAsia"/>
              </w:rPr>
              <w:t>中毒急救措施：</w:t>
            </w:r>
            <w:r>
              <w:rPr>
                <w:rFonts w:hint="eastAsia"/>
              </w:rPr>
              <w:br w:type="textWrapping"/>
            </w:r>
            <w:r>
              <w:rPr>
                <w:rStyle w:val="11"/>
                <w:rFonts w:hint="eastAsia"/>
              </w:rPr>
              <w:t>急救措施：对眼睛有轻微刺激性，使用中或使用后如果感觉不适，应立即停止工作，采取急救措施，并携带标签送医院就诊。 1.皮肤接触：脱去污染衣物，立即用软布去除沾染农药，用大量清水和肥皂冲洗。 2.眼睛接触：如溅入眼睛立即用流动清水冲洗不少于15分钟，送医院就治。 3.吸入：立即离开施药现场，转移至空气新鲜处；呼吸有困难，可采用人工呼吸。 4.误服：立即携此农药标签到医院就诊。本品无特效解毒剂。</w:t>
            </w:r>
          </w:p>
        </w:tc>
      </w:tr>
      <w:tr w14:paraId="1147B9F9">
        <w:tblPrEx>
          <w:tblCellMar>
            <w:top w:w="0" w:type="dxa"/>
            <w:left w:w="0" w:type="dxa"/>
            <w:bottom w:w="0" w:type="dxa"/>
            <w:right w:w="0" w:type="dxa"/>
          </w:tblCellMar>
        </w:tblPrEx>
        <w:trPr>
          <w:wBefore w:w="0" w:type="auto"/>
          <w:tblCellSpacing w:w="0" w:type="dxa"/>
        </w:trPr>
        <w:tc>
          <w:tcPr>
            <w:tcW w:w="0" w:type="auto"/>
            <w:noWrap w:val="0"/>
            <w:vAlign w:val="center"/>
          </w:tcPr>
          <w:p w14:paraId="13DE87DF">
            <w:r>
              <w:rPr>
                <w:rStyle w:val="10"/>
                <w:rFonts w:hint="eastAsia"/>
              </w:rPr>
              <w:t>储存和运输方法：</w:t>
            </w:r>
            <w:r>
              <w:rPr>
                <w:rFonts w:hint="eastAsia"/>
              </w:rPr>
              <w:br w:type="textWrapping"/>
            </w:r>
            <w:r>
              <w:rPr>
                <w:rStyle w:val="11"/>
                <w:rFonts w:hint="eastAsia"/>
              </w:rPr>
              <w:t>1.贮存在阴凉、通风仓库内；远离火源或热源。 2.本品应当置于儿童、无关人员及动物接触不到的地方，并加锁保存。 3.不能与食品、饮料、粮食、饲料等混合储存。</w:t>
            </w:r>
          </w:p>
        </w:tc>
      </w:tr>
      <w:tr w14:paraId="45A39787">
        <w:tblPrEx>
          <w:tblCellMar>
            <w:top w:w="0" w:type="dxa"/>
            <w:left w:w="0" w:type="dxa"/>
            <w:bottom w:w="0" w:type="dxa"/>
            <w:right w:w="0" w:type="dxa"/>
          </w:tblCellMar>
        </w:tblPrEx>
        <w:trPr>
          <w:wBefore w:w="0" w:type="auto"/>
          <w:tblCellSpacing w:w="0" w:type="dxa"/>
        </w:trPr>
        <w:tc>
          <w:tcPr>
            <w:tcW w:w="0" w:type="auto"/>
            <w:noWrap w:val="0"/>
            <w:vAlign w:val="center"/>
          </w:tcPr>
          <w:p w14:paraId="15A7EAFB">
            <w:r>
              <w:rPr>
                <w:rStyle w:val="10"/>
                <w:rFonts w:hint="eastAsia"/>
              </w:rPr>
              <w:t>质量保证期：</w:t>
            </w:r>
            <w:r>
              <w:rPr>
                <w:rStyle w:val="11"/>
                <w:rFonts w:hint="eastAsia"/>
              </w:rPr>
              <w:t>2年</w:t>
            </w:r>
          </w:p>
        </w:tc>
      </w:tr>
      <w:tr w14:paraId="554D628D">
        <w:tblPrEx>
          <w:tblCellMar>
            <w:top w:w="0" w:type="dxa"/>
            <w:left w:w="0" w:type="dxa"/>
            <w:bottom w:w="0" w:type="dxa"/>
            <w:right w:w="0" w:type="dxa"/>
          </w:tblCellMar>
        </w:tblPrEx>
        <w:trPr>
          <w:wBefore w:w="0" w:type="auto"/>
          <w:tblCellSpacing w:w="0" w:type="dxa"/>
        </w:trPr>
        <w:tc>
          <w:tcPr>
            <w:tcW w:w="0" w:type="auto"/>
            <w:noWrap w:val="0"/>
            <w:vAlign w:val="center"/>
          </w:tcPr>
          <w:p w14:paraId="7C1ECA65">
            <w:r>
              <w:rPr>
                <w:rStyle w:val="10"/>
                <w:rFonts w:hint="eastAsia"/>
              </w:rPr>
              <w:t>备注：</w:t>
            </w:r>
          </w:p>
        </w:tc>
      </w:tr>
    </w:tbl>
    <w:p w14:paraId="1F75B7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169108">
        <w:tblPrEx>
          <w:tblCellMar>
            <w:top w:w="0" w:type="dxa"/>
            <w:left w:w="0" w:type="dxa"/>
            <w:bottom w:w="0" w:type="dxa"/>
            <w:right w:w="0" w:type="dxa"/>
          </w:tblCellMar>
        </w:tblPrEx>
        <w:trPr>
          <w:wBefore w:w="0" w:type="auto"/>
          <w:tblCellSpacing w:w="0" w:type="dxa"/>
        </w:trPr>
        <w:tc>
          <w:tcPr>
            <w:tcW w:w="0" w:type="auto"/>
            <w:noWrap w:val="0"/>
            <w:vAlign w:val="center"/>
          </w:tcPr>
          <w:p w14:paraId="1A9100DE">
            <w:r>
              <w:rPr>
                <w:rStyle w:val="10"/>
                <w:rFonts w:hint="eastAsia"/>
              </w:rPr>
              <w:t>登记证号：</w:t>
            </w:r>
            <w:r>
              <w:rPr>
                <w:rFonts w:hint="eastAsia"/>
              </w:rPr>
              <w:t>PD20212656</w:t>
            </w:r>
          </w:p>
        </w:tc>
      </w:tr>
      <w:tr w14:paraId="6FC9D519">
        <w:tblPrEx>
          <w:tblCellMar>
            <w:top w:w="0" w:type="dxa"/>
            <w:left w:w="0" w:type="dxa"/>
            <w:bottom w:w="0" w:type="dxa"/>
            <w:right w:w="0" w:type="dxa"/>
          </w:tblCellMar>
        </w:tblPrEx>
        <w:trPr>
          <w:wBefore w:w="0" w:type="auto"/>
          <w:tblCellSpacing w:w="0" w:type="dxa"/>
        </w:trPr>
        <w:tc>
          <w:tcPr>
            <w:tcW w:w="0" w:type="auto"/>
            <w:noWrap w:val="0"/>
            <w:vAlign w:val="center"/>
          </w:tcPr>
          <w:p w14:paraId="0D142225">
            <w:r>
              <w:rPr>
                <w:rStyle w:val="10"/>
                <w:rFonts w:hint="eastAsia"/>
              </w:rPr>
              <w:t>登记证持有人：</w:t>
            </w:r>
            <w:r>
              <w:rPr>
                <w:rFonts w:hint="eastAsia"/>
              </w:rPr>
              <w:t>山东一览科技有限公司</w:t>
            </w:r>
          </w:p>
        </w:tc>
      </w:tr>
      <w:tr w14:paraId="6C44329E">
        <w:tblPrEx>
          <w:tblCellMar>
            <w:top w:w="0" w:type="dxa"/>
            <w:left w:w="0" w:type="dxa"/>
            <w:bottom w:w="0" w:type="dxa"/>
            <w:right w:w="0" w:type="dxa"/>
          </w:tblCellMar>
        </w:tblPrEx>
        <w:trPr>
          <w:wBefore w:w="0" w:type="auto"/>
          <w:tblCellSpacing w:w="0" w:type="dxa"/>
        </w:trPr>
        <w:tc>
          <w:tcPr>
            <w:tcW w:w="0" w:type="auto"/>
            <w:noWrap w:val="0"/>
            <w:vAlign w:val="center"/>
          </w:tcPr>
          <w:p w14:paraId="7FC18042">
            <w:r>
              <w:rPr>
                <w:rStyle w:val="10"/>
                <w:rFonts w:hint="eastAsia"/>
              </w:rPr>
              <w:t>农药名称：</w:t>
            </w:r>
            <w:r>
              <w:rPr>
                <w:rFonts w:hint="eastAsia"/>
              </w:rPr>
              <w:t>联肼·乙螨唑</w:t>
            </w:r>
          </w:p>
        </w:tc>
      </w:tr>
      <w:tr w14:paraId="6E2B53C6">
        <w:tblPrEx>
          <w:tblCellMar>
            <w:top w:w="0" w:type="dxa"/>
            <w:left w:w="0" w:type="dxa"/>
            <w:bottom w:w="0" w:type="dxa"/>
            <w:right w:w="0" w:type="dxa"/>
          </w:tblCellMar>
        </w:tblPrEx>
        <w:trPr>
          <w:wBefore w:w="0" w:type="auto"/>
          <w:tblCellSpacing w:w="0" w:type="dxa"/>
        </w:trPr>
        <w:tc>
          <w:tcPr>
            <w:tcW w:w="0" w:type="auto"/>
            <w:noWrap w:val="0"/>
            <w:vAlign w:val="center"/>
          </w:tcPr>
          <w:p w14:paraId="596BC77C">
            <w:r>
              <w:rPr>
                <w:rStyle w:val="10"/>
                <w:rFonts w:hint="eastAsia"/>
              </w:rPr>
              <w:t>剂型：</w:t>
            </w:r>
            <w:r>
              <w:rPr>
                <w:rFonts w:hint="eastAsia"/>
              </w:rPr>
              <w:t>悬浮剂</w:t>
            </w:r>
          </w:p>
        </w:tc>
      </w:tr>
      <w:tr w14:paraId="31598576">
        <w:tblPrEx>
          <w:tblCellMar>
            <w:top w:w="0" w:type="dxa"/>
            <w:left w:w="0" w:type="dxa"/>
            <w:bottom w:w="0" w:type="dxa"/>
            <w:right w:w="0" w:type="dxa"/>
          </w:tblCellMar>
        </w:tblPrEx>
        <w:trPr>
          <w:wBefore w:w="0" w:type="auto"/>
          <w:tblCellSpacing w:w="0" w:type="dxa"/>
        </w:trPr>
        <w:tc>
          <w:tcPr>
            <w:tcW w:w="0" w:type="auto"/>
            <w:noWrap w:val="0"/>
            <w:vAlign w:val="center"/>
          </w:tcPr>
          <w:p w14:paraId="4E93CC84">
            <w:r>
              <w:rPr>
                <w:rStyle w:val="10"/>
                <w:rFonts w:hint="eastAsia"/>
              </w:rPr>
              <w:t>毒性及其标识：</w:t>
            </w:r>
            <w:r>
              <w:rPr>
                <w:rFonts w:hint="eastAsia"/>
              </w:rPr>
              <w:t xml:space="preserve"> 微毒 </w:t>
            </w:r>
          </w:p>
        </w:tc>
      </w:tr>
      <w:tr w14:paraId="1AA042D8">
        <w:tblPrEx>
          <w:tblCellMar>
            <w:top w:w="0" w:type="dxa"/>
            <w:left w:w="0" w:type="dxa"/>
            <w:bottom w:w="0" w:type="dxa"/>
            <w:right w:w="0" w:type="dxa"/>
          </w:tblCellMar>
        </w:tblPrEx>
        <w:trPr>
          <w:wBefore w:w="0" w:type="auto"/>
          <w:tblCellSpacing w:w="0" w:type="dxa"/>
        </w:trPr>
        <w:tc>
          <w:tcPr>
            <w:tcW w:w="0" w:type="auto"/>
            <w:noWrap w:val="0"/>
            <w:vAlign w:val="center"/>
          </w:tcPr>
          <w:p w14:paraId="00A5A773">
            <w:r>
              <w:rPr>
                <w:rStyle w:val="10"/>
                <w:rFonts w:hint="eastAsia"/>
              </w:rPr>
              <w:t>总有效成分含量：</w:t>
            </w:r>
            <w:r>
              <w:rPr>
                <w:rFonts w:hint="eastAsia"/>
              </w:rPr>
              <w:t>45%</w:t>
            </w:r>
          </w:p>
        </w:tc>
      </w:tr>
      <w:tr w14:paraId="76AF5E6D">
        <w:tblPrEx>
          <w:tblCellMar>
            <w:top w:w="0" w:type="dxa"/>
            <w:left w:w="0" w:type="dxa"/>
            <w:bottom w:w="0" w:type="dxa"/>
            <w:right w:w="0" w:type="dxa"/>
          </w:tblCellMar>
        </w:tblPrEx>
        <w:trPr>
          <w:wBefore w:w="0" w:type="auto"/>
          <w:tblCellSpacing w:w="0" w:type="dxa"/>
        </w:trPr>
        <w:tc>
          <w:tcPr>
            <w:tcW w:w="0" w:type="auto"/>
            <w:noWrap w:val="0"/>
            <w:vAlign w:val="center"/>
          </w:tcPr>
          <w:p w14:paraId="074292C2">
            <w:r>
              <w:rPr>
                <w:rFonts w:hint="eastAsia"/>
              </w:rPr>
              <w:t xml:space="preserve">有效成分及其含量： </w:t>
            </w:r>
          </w:p>
          <w:p w14:paraId="4A6A3B26">
            <w:r>
              <w:rPr>
                <w:rFonts w:hint="eastAsia"/>
              </w:rPr>
              <w:t xml:space="preserve">    联苯肼酯30%    乙螨唑15%    </w:t>
            </w:r>
          </w:p>
        </w:tc>
      </w:tr>
      <w:tr w14:paraId="3BA50702">
        <w:tblPrEx>
          <w:tblCellMar>
            <w:top w:w="0" w:type="dxa"/>
            <w:left w:w="0" w:type="dxa"/>
            <w:bottom w:w="0" w:type="dxa"/>
            <w:right w:w="0" w:type="dxa"/>
          </w:tblCellMar>
        </w:tblPrEx>
        <w:trPr>
          <w:wBefore w:w="0" w:type="auto"/>
          <w:tblCellSpacing w:w="0" w:type="dxa"/>
        </w:trPr>
        <w:tc>
          <w:tcPr>
            <w:tcW w:w="0" w:type="auto"/>
            <w:noWrap w:val="0"/>
            <w:vAlign w:val="center"/>
          </w:tcPr>
          <w:p w14:paraId="2E1B67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422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8E8C9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6A40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9AE03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B8C81B">
                  <w:r>
                    <w:rPr>
                      <w:rStyle w:val="11"/>
                      <w:rFonts w:hint="eastAsia"/>
                    </w:rPr>
                    <w:t>施用方式</w:t>
                  </w:r>
                </w:p>
              </w:tc>
            </w:tr>
            <w:tr w14:paraId="1BFC7A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08023D">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A9FF76">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DC860E">
                  <w:r>
                    <w:rPr>
                      <w:rStyle w:val="11"/>
                      <w:rFonts w:hint="eastAsia"/>
                    </w:rPr>
                    <w:t>8000-12000倍液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47B613">
                  <w:r>
                    <w:rPr>
                      <w:rStyle w:val="11"/>
                      <w:rFonts w:hint="eastAsia"/>
                    </w:rPr>
                    <w:t>喷雾</w:t>
                  </w:r>
                </w:p>
              </w:tc>
            </w:tr>
          </w:tbl>
          <w:p w14:paraId="2A5A1B26">
            <w:pPr>
              <w:rPr>
                <w:rFonts w:ascii="Times New Roman" w:hAnsi="Times New Roman" w:cs="Times New Roman"/>
                <w:sz w:val="20"/>
                <w:szCs w:val="20"/>
              </w:rPr>
            </w:pPr>
          </w:p>
        </w:tc>
      </w:tr>
      <w:tr w14:paraId="2CB9A281">
        <w:tblPrEx>
          <w:tblCellMar>
            <w:top w:w="0" w:type="dxa"/>
            <w:left w:w="0" w:type="dxa"/>
            <w:bottom w:w="0" w:type="dxa"/>
            <w:right w:w="0" w:type="dxa"/>
          </w:tblCellMar>
        </w:tblPrEx>
        <w:trPr>
          <w:wBefore w:w="0" w:type="auto"/>
          <w:tblCellSpacing w:w="0" w:type="dxa"/>
        </w:trPr>
        <w:tc>
          <w:tcPr>
            <w:tcW w:w="0" w:type="auto"/>
            <w:noWrap w:val="0"/>
            <w:vAlign w:val="center"/>
          </w:tcPr>
          <w:p w14:paraId="07908326">
            <w:r>
              <w:rPr>
                <w:rStyle w:val="10"/>
                <w:rFonts w:hint="eastAsia"/>
              </w:rPr>
              <w:t>使用技术要求:</w:t>
            </w:r>
            <w:r>
              <w:rPr>
                <w:rFonts w:hint="eastAsia"/>
              </w:rPr>
              <w:br w:type="textWrapping"/>
            </w:r>
            <w:r>
              <w:rPr>
                <w:rStyle w:val="11"/>
                <w:rFonts w:hint="eastAsia"/>
              </w:rPr>
              <w:t>1、于柑橘树红蜘蛛发生始盛期施药1次。 2、大风天或预计1小时内下雨，请勿施药。 3、在柑橘上的安全间隔期为20天，每季作物最多使用次数为1次。</w:t>
            </w:r>
          </w:p>
        </w:tc>
      </w:tr>
      <w:tr w14:paraId="57C08781">
        <w:tblPrEx>
          <w:tblCellMar>
            <w:top w:w="0" w:type="dxa"/>
            <w:left w:w="0" w:type="dxa"/>
            <w:bottom w:w="0" w:type="dxa"/>
            <w:right w:w="0" w:type="dxa"/>
          </w:tblCellMar>
        </w:tblPrEx>
        <w:trPr>
          <w:wBefore w:w="0" w:type="auto"/>
          <w:tblCellSpacing w:w="0" w:type="dxa"/>
        </w:trPr>
        <w:tc>
          <w:tcPr>
            <w:tcW w:w="0" w:type="auto"/>
            <w:noWrap w:val="0"/>
            <w:vAlign w:val="center"/>
          </w:tcPr>
          <w:p w14:paraId="66D5B37D">
            <w:r>
              <w:rPr>
                <w:rStyle w:val="10"/>
                <w:rFonts w:hint="eastAsia"/>
              </w:rPr>
              <w:t>产品性能:</w:t>
            </w:r>
            <w:r>
              <w:rPr>
                <w:rFonts w:hint="eastAsia"/>
              </w:rPr>
              <w:br w:type="textWrapping"/>
            </w:r>
            <w:r>
              <w:rPr>
                <w:rStyle w:val="11"/>
                <w:rFonts w:hint="eastAsia"/>
              </w:rPr>
              <w:t>本品由联苯肼酯和乙螨唑复配而成，联苯肼酯是一种新型选择性杀螨剂，可抑制螨类中枢神经传导系统γ-氨基丁酸受体，对螨的各个生活阶段均有效，主要为触杀作用；乙螨唑属几丁质合成抑制剂，抑制害虫蜕皮，主要为触杀作用，具有杀卵效果，并对各种发育状态的幼、若螨均有良好防效，且能阻止成螨产卵。两者混配对柑橘树红蜘蛛有较好的防治效果。</w:t>
            </w:r>
          </w:p>
        </w:tc>
      </w:tr>
      <w:tr w14:paraId="5C2EC644">
        <w:tblPrEx>
          <w:tblCellMar>
            <w:top w:w="0" w:type="dxa"/>
            <w:left w:w="0" w:type="dxa"/>
            <w:bottom w:w="0" w:type="dxa"/>
            <w:right w:w="0" w:type="dxa"/>
          </w:tblCellMar>
        </w:tblPrEx>
        <w:trPr>
          <w:wBefore w:w="0" w:type="auto"/>
          <w:tblCellSpacing w:w="0" w:type="dxa"/>
        </w:trPr>
        <w:tc>
          <w:tcPr>
            <w:tcW w:w="0" w:type="auto"/>
            <w:noWrap w:val="0"/>
            <w:vAlign w:val="center"/>
          </w:tcPr>
          <w:p w14:paraId="090F216F">
            <w:r>
              <w:rPr>
                <w:rStyle w:val="10"/>
                <w:rFonts w:hint="eastAsia"/>
              </w:rPr>
              <w:t>注意事项：</w:t>
            </w:r>
            <w:r>
              <w:rPr>
                <w:rFonts w:hint="eastAsia"/>
              </w:rPr>
              <w:br w:type="textWrapping"/>
            </w:r>
            <w:r>
              <w:rPr>
                <w:rStyle w:val="11"/>
                <w:rFonts w:hint="eastAsia"/>
              </w:rPr>
              <w:t>1、严格按照农药安全使用规则使用本品，做好安全防护。 2、本品应避免与氧化剂接触。 3、使用本品时应穿戴防护服和手套，避免吸入药液。施药期间不可吃东西和饮水。施药后应及时洗手和洗脸。 4、本品对蜜蜂、鱼类等水生生物、家蚕有毒，施药期间应避免对周围蜂群的影响，蜜源作物花期禁用、蚕室及桑园附近禁用。赤眼蜂等天敌放飞区禁用，鸟类保护区禁用。水产养殖区、河塘等水体附近禁用，禁止在河塘等水域清洗施药器具。 5、本品不可与呈强碱性的农药等物质混合使用。 6、建议与其他作用机制不同的杀螨剂轮换使用，以延缓抗性产生。 7、用药后包装物及用过的容器应妥善处理，不可做他用，也不可随意丢弃。 8、孕妇及哺乳期妇女禁止接触本品。9、避免与氧化剂接触。</w:t>
            </w:r>
          </w:p>
        </w:tc>
      </w:tr>
      <w:tr w14:paraId="76611757">
        <w:tblPrEx>
          <w:tblCellMar>
            <w:top w:w="0" w:type="dxa"/>
            <w:left w:w="0" w:type="dxa"/>
            <w:bottom w:w="0" w:type="dxa"/>
            <w:right w:w="0" w:type="dxa"/>
          </w:tblCellMar>
        </w:tblPrEx>
        <w:trPr>
          <w:wBefore w:w="0" w:type="auto"/>
          <w:tblCellSpacing w:w="0" w:type="dxa"/>
        </w:trPr>
        <w:tc>
          <w:tcPr>
            <w:tcW w:w="0" w:type="auto"/>
            <w:noWrap w:val="0"/>
            <w:vAlign w:val="center"/>
          </w:tcPr>
          <w:p w14:paraId="1F5E3813">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皮肤接触：脱去污染的衣物，立即用软布去除沾染农药，用大量清水和肥皂冲洗。眼睛溅入：立即用流动清水冲洗不少于15分钟。不慎吸入，应将病人移至空气流通处。误服：立即停止服用，用清水充分漱口后，携带农药标签到医院就诊。</w:t>
            </w:r>
          </w:p>
        </w:tc>
      </w:tr>
      <w:tr w14:paraId="60D05641">
        <w:tblPrEx>
          <w:tblCellMar>
            <w:top w:w="0" w:type="dxa"/>
            <w:left w:w="0" w:type="dxa"/>
            <w:bottom w:w="0" w:type="dxa"/>
            <w:right w:w="0" w:type="dxa"/>
          </w:tblCellMar>
        </w:tblPrEx>
        <w:trPr>
          <w:wBefore w:w="0" w:type="auto"/>
          <w:tblCellSpacing w:w="0" w:type="dxa"/>
        </w:trPr>
        <w:tc>
          <w:tcPr>
            <w:tcW w:w="0" w:type="auto"/>
            <w:noWrap w:val="0"/>
            <w:vAlign w:val="center"/>
          </w:tcPr>
          <w:p w14:paraId="227940CB">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78BC7805">
        <w:tblPrEx>
          <w:tblCellMar>
            <w:top w:w="0" w:type="dxa"/>
            <w:left w:w="0" w:type="dxa"/>
            <w:bottom w:w="0" w:type="dxa"/>
            <w:right w:w="0" w:type="dxa"/>
          </w:tblCellMar>
        </w:tblPrEx>
        <w:trPr>
          <w:wBefore w:w="0" w:type="auto"/>
          <w:tblCellSpacing w:w="0" w:type="dxa"/>
        </w:trPr>
        <w:tc>
          <w:tcPr>
            <w:tcW w:w="0" w:type="auto"/>
            <w:noWrap w:val="0"/>
            <w:vAlign w:val="center"/>
          </w:tcPr>
          <w:p w14:paraId="2B8B542B">
            <w:r>
              <w:rPr>
                <w:rStyle w:val="10"/>
                <w:rFonts w:hint="eastAsia"/>
              </w:rPr>
              <w:t>质量保证期：</w:t>
            </w:r>
            <w:r>
              <w:rPr>
                <w:rStyle w:val="11"/>
                <w:rFonts w:hint="eastAsia"/>
              </w:rPr>
              <w:t>2年</w:t>
            </w:r>
          </w:p>
        </w:tc>
      </w:tr>
      <w:tr w14:paraId="51AF2A0D">
        <w:tblPrEx>
          <w:tblCellMar>
            <w:top w:w="0" w:type="dxa"/>
            <w:left w:w="0" w:type="dxa"/>
            <w:bottom w:w="0" w:type="dxa"/>
            <w:right w:w="0" w:type="dxa"/>
          </w:tblCellMar>
        </w:tblPrEx>
        <w:trPr>
          <w:wBefore w:w="0" w:type="auto"/>
          <w:tblCellSpacing w:w="0" w:type="dxa"/>
        </w:trPr>
        <w:tc>
          <w:tcPr>
            <w:tcW w:w="0" w:type="auto"/>
            <w:noWrap w:val="0"/>
            <w:vAlign w:val="center"/>
          </w:tcPr>
          <w:p w14:paraId="4B7C8658">
            <w:r>
              <w:rPr>
                <w:rStyle w:val="10"/>
                <w:rFonts w:hint="eastAsia"/>
              </w:rPr>
              <w:t>备注：</w:t>
            </w:r>
          </w:p>
        </w:tc>
      </w:tr>
    </w:tbl>
    <w:p w14:paraId="3819CC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22737C">
        <w:tblPrEx>
          <w:tblCellMar>
            <w:top w:w="0" w:type="dxa"/>
            <w:left w:w="0" w:type="dxa"/>
            <w:bottom w:w="0" w:type="dxa"/>
            <w:right w:w="0" w:type="dxa"/>
          </w:tblCellMar>
        </w:tblPrEx>
        <w:trPr>
          <w:wBefore w:w="0" w:type="auto"/>
          <w:tblCellSpacing w:w="0" w:type="dxa"/>
        </w:trPr>
        <w:tc>
          <w:tcPr>
            <w:tcW w:w="0" w:type="auto"/>
            <w:noWrap w:val="0"/>
            <w:vAlign w:val="center"/>
          </w:tcPr>
          <w:p w14:paraId="7B8FA97A">
            <w:r>
              <w:rPr>
                <w:rStyle w:val="10"/>
                <w:rFonts w:hint="eastAsia"/>
              </w:rPr>
              <w:t>登记证号：</w:t>
            </w:r>
            <w:r>
              <w:rPr>
                <w:rFonts w:hint="eastAsia"/>
              </w:rPr>
              <w:t>PD20212398</w:t>
            </w:r>
          </w:p>
        </w:tc>
      </w:tr>
      <w:tr w14:paraId="2F6BEF66">
        <w:tblPrEx>
          <w:tblCellMar>
            <w:top w:w="0" w:type="dxa"/>
            <w:left w:w="0" w:type="dxa"/>
            <w:bottom w:w="0" w:type="dxa"/>
            <w:right w:w="0" w:type="dxa"/>
          </w:tblCellMar>
        </w:tblPrEx>
        <w:trPr>
          <w:wBefore w:w="0" w:type="auto"/>
          <w:tblCellSpacing w:w="0" w:type="dxa"/>
        </w:trPr>
        <w:tc>
          <w:tcPr>
            <w:tcW w:w="0" w:type="auto"/>
            <w:noWrap w:val="0"/>
            <w:vAlign w:val="center"/>
          </w:tcPr>
          <w:p w14:paraId="49694F8A">
            <w:r>
              <w:rPr>
                <w:rStyle w:val="10"/>
                <w:rFonts w:hint="eastAsia"/>
              </w:rPr>
              <w:t>登记证持有人：</w:t>
            </w:r>
            <w:r>
              <w:rPr>
                <w:rFonts w:hint="eastAsia"/>
              </w:rPr>
              <w:t>开封一田生物科技有限公司</w:t>
            </w:r>
          </w:p>
        </w:tc>
      </w:tr>
      <w:tr w14:paraId="61DBE313">
        <w:tblPrEx>
          <w:tblCellMar>
            <w:top w:w="0" w:type="dxa"/>
            <w:left w:w="0" w:type="dxa"/>
            <w:bottom w:w="0" w:type="dxa"/>
            <w:right w:w="0" w:type="dxa"/>
          </w:tblCellMar>
        </w:tblPrEx>
        <w:trPr>
          <w:wBefore w:w="0" w:type="auto"/>
          <w:tblCellSpacing w:w="0" w:type="dxa"/>
        </w:trPr>
        <w:tc>
          <w:tcPr>
            <w:tcW w:w="0" w:type="auto"/>
            <w:noWrap w:val="0"/>
            <w:vAlign w:val="center"/>
          </w:tcPr>
          <w:p w14:paraId="26903677">
            <w:r>
              <w:rPr>
                <w:rStyle w:val="10"/>
                <w:rFonts w:hint="eastAsia"/>
              </w:rPr>
              <w:t>农药名称：</w:t>
            </w:r>
            <w:r>
              <w:rPr>
                <w:rFonts w:hint="eastAsia"/>
              </w:rPr>
              <w:t>螺虫·噻虫啉</w:t>
            </w:r>
          </w:p>
        </w:tc>
      </w:tr>
      <w:tr w14:paraId="11F32342">
        <w:tblPrEx>
          <w:tblCellMar>
            <w:top w:w="0" w:type="dxa"/>
            <w:left w:w="0" w:type="dxa"/>
            <w:bottom w:w="0" w:type="dxa"/>
            <w:right w:w="0" w:type="dxa"/>
          </w:tblCellMar>
        </w:tblPrEx>
        <w:trPr>
          <w:wBefore w:w="0" w:type="auto"/>
          <w:tblCellSpacing w:w="0" w:type="dxa"/>
        </w:trPr>
        <w:tc>
          <w:tcPr>
            <w:tcW w:w="0" w:type="auto"/>
            <w:noWrap w:val="0"/>
            <w:vAlign w:val="center"/>
          </w:tcPr>
          <w:p w14:paraId="1D601BC4">
            <w:r>
              <w:rPr>
                <w:rStyle w:val="10"/>
                <w:rFonts w:hint="eastAsia"/>
              </w:rPr>
              <w:t>剂型：</w:t>
            </w:r>
            <w:r>
              <w:rPr>
                <w:rFonts w:hint="eastAsia"/>
              </w:rPr>
              <w:t>悬浮剂</w:t>
            </w:r>
          </w:p>
        </w:tc>
      </w:tr>
      <w:tr w14:paraId="6269DAE0">
        <w:tblPrEx>
          <w:tblCellMar>
            <w:top w:w="0" w:type="dxa"/>
            <w:left w:w="0" w:type="dxa"/>
            <w:bottom w:w="0" w:type="dxa"/>
            <w:right w:w="0" w:type="dxa"/>
          </w:tblCellMar>
        </w:tblPrEx>
        <w:trPr>
          <w:wBefore w:w="0" w:type="auto"/>
          <w:tblCellSpacing w:w="0" w:type="dxa"/>
        </w:trPr>
        <w:tc>
          <w:tcPr>
            <w:tcW w:w="0" w:type="auto"/>
            <w:noWrap w:val="0"/>
            <w:vAlign w:val="center"/>
          </w:tcPr>
          <w:p w14:paraId="24407972">
            <w:r>
              <w:rPr>
                <w:rStyle w:val="10"/>
                <w:rFonts w:hint="eastAsia"/>
              </w:rPr>
              <w:t>毒性及其标识：</w:t>
            </w:r>
            <w:r>
              <w:rPr>
                <w:rFonts w:hint="eastAsia"/>
              </w:rPr>
              <w:t xml:space="preserve"> </w:t>
            </w:r>
            <w:r>
              <w:rPr>
                <w:lang/>
              </w:rPr>
              <w:drawing>
                <wp:inline distT="0" distB="0" distL="114300" distR="114300">
                  <wp:extent cx="476250" cy="323850"/>
                  <wp:effectExtent l="0" t="0" r="0" b="0"/>
                  <wp:docPr id="59" name="图片 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0A75DA">
        <w:tblPrEx>
          <w:tblCellMar>
            <w:top w:w="0" w:type="dxa"/>
            <w:left w:w="0" w:type="dxa"/>
            <w:bottom w:w="0" w:type="dxa"/>
            <w:right w:w="0" w:type="dxa"/>
          </w:tblCellMar>
        </w:tblPrEx>
        <w:trPr>
          <w:wBefore w:w="0" w:type="auto"/>
          <w:tblCellSpacing w:w="0" w:type="dxa"/>
        </w:trPr>
        <w:tc>
          <w:tcPr>
            <w:tcW w:w="0" w:type="auto"/>
            <w:noWrap w:val="0"/>
            <w:vAlign w:val="center"/>
          </w:tcPr>
          <w:p w14:paraId="4E917D4C">
            <w:r>
              <w:rPr>
                <w:rStyle w:val="10"/>
                <w:rFonts w:hint="eastAsia"/>
              </w:rPr>
              <w:t>总有效成分含量：</w:t>
            </w:r>
            <w:r>
              <w:rPr>
                <w:rFonts w:hint="eastAsia"/>
              </w:rPr>
              <w:t>22%</w:t>
            </w:r>
          </w:p>
        </w:tc>
      </w:tr>
      <w:tr w14:paraId="0E9887DB">
        <w:tblPrEx>
          <w:tblCellMar>
            <w:top w:w="0" w:type="dxa"/>
            <w:left w:w="0" w:type="dxa"/>
            <w:bottom w:w="0" w:type="dxa"/>
            <w:right w:w="0" w:type="dxa"/>
          </w:tblCellMar>
        </w:tblPrEx>
        <w:trPr>
          <w:wBefore w:w="0" w:type="auto"/>
          <w:tblCellSpacing w:w="0" w:type="dxa"/>
        </w:trPr>
        <w:tc>
          <w:tcPr>
            <w:tcW w:w="0" w:type="auto"/>
            <w:noWrap w:val="0"/>
            <w:vAlign w:val="center"/>
          </w:tcPr>
          <w:p w14:paraId="35E0AD37">
            <w:r>
              <w:rPr>
                <w:rFonts w:hint="eastAsia"/>
              </w:rPr>
              <w:t xml:space="preserve">有效成分及其含量： </w:t>
            </w:r>
          </w:p>
          <w:p w14:paraId="70F5A987">
            <w:r>
              <w:rPr>
                <w:rFonts w:hint="eastAsia"/>
              </w:rPr>
              <w:t xml:space="preserve">    螺虫乙酯11%    噻虫啉11%    </w:t>
            </w:r>
          </w:p>
        </w:tc>
      </w:tr>
      <w:tr w14:paraId="16B9E8C3">
        <w:tblPrEx>
          <w:tblCellMar>
            <w:top w:w="0" w:type="dxa"/>
            <w:left w:w="0" w:type="dxa"/>
            <w:bottom w:w="0" w:type="dxa"/>
            <w:right w:w="0" w:type="dxa"/>
          </w:tblCellMar>
        </w:tblPrEx>
        <w:trPr>
          <w:wBefore w:w="0" w:type="auto"/>
          <w:tblCellSpacing w:w="0" w:type="dxa"/>
        </w:trPr>
        <w:tc>
          <w:tcPr>
            <w:tcW w:w="0" w:type="auto"/>
            <w:noWrap w:val="0"/>
            <w:vAlign w:val="center"/>
          </w:tcPr>
          <w:p w14:paraId="506CC6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F48B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6B43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A433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9AD2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58718F">
                  <w:r>
                    <w:rPr>
                      <w:rStyle w:val="11"/>
                      <w:rFonts w:hint="eastAsia"/>
                    </w:rPr>
                    <w:t>施用方式</w:t>
                  </w:r>
                </w:p>
              </w:tc>
            </w:tr>
            <w:tr w14:paraId="48B601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25DB50">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3E08F9">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D9F943">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D51A52">
                  <w:r>
                    <w:rPr>
                      <w:rStyle w:val="11"/>
                      <w:rFonts w:hint="eastAsia"/>
                    </w:rPr>
                    <w:t>喷雾</w:t>
                  </w:r>
                </w:p>
              </w:tc>
            </w:tr>
          </w:tbl>
          <w:p w14:paraId="71EE758E">
            <w:pPr>
              <w:rPr>
                <w:rFonts w:ascii="Times New Roman" w:hAnsi="Times New Roman" w:cs="Times New Roman"/>
                <w:sz w:val="20"/>
                <w:szCs w:val="20"/>
              </w:rPr>
            </w:pPr>
          </w:p>
        </w:tc>
      </w:tr>
      <w:tr w14:paraId="2F876B27">
        <w:tblPrEx>
          <w:tblCellMar>
            <w:top w:w="0" w:type="dxa"/>
            <w:left w:w="0" w:type="dxa"/>
            <w:bottom w:w="0" w:type="dxa"/>
            <w:right w:w="0" w:type="dxa"/>
          </w:tblCellMar>
        </w:tblPrEx>
        <w:trPr>
          <w:wBefore w:w="0" w:type="auto"/>
          <w:tblCellSpacing w:w="0" w:type="dxa"/>
        </w:trPr>
        <w:tc>
          <w:tcPr>
            <w:tcW w:w="0" w:type="auto"/>
            <w:noWrap w:val="0"/>
            <w:vAlign w:val="center"/>
          </w:tcPr>
          <w:p w14:paraId="7C855F13">
            <w:r>
              <w:rPr>
                <w:rStyle w:val="10"/>
                <w:rFonts w:hint="eastAsia"/>
              </w:rPr>
              <w:t>使用技术要求:</w:t>
            </w:r>
            <w:r>
              <w:rPr>
                <w:rFonts w:hint="eastAsia"/>
              </w:rPr>
              <w:br w:type="textWrapping"/>
            </w:r>
            <w:r>
              <w:rPr>
                <w:rStyle w:val="11"/>
                <w:rFonts w:hint="eastAsia"/>
              </w:rPr>
              <w:t>1、于香蕉蓟马发生初期喷雾施药1次。施药时雾滴要细，喷雾要均匀。 2、本品在香蕉上使用的安全间隔期为28天，每季作物使用1次。 3、大风天或预计1小时内有降雨，请勿施药。</w:t>
            </w:r>
          </w:p>
        </w:tc>
      </w:tr>
      <w:tr w14:paraId="14FB0438">
        <w:tblPrEx>
          <w:tblCellMar>
            <w:top w:w="0" w:type="dxa"/>
            <w:left w:w="0" w:type="dxa"/>
            <w:bottom w:w="0" w:type="dxa"/>
            <w:right w:w="0" w:type="dxa"/>
          </w:tblCellMar>
        </w:tblPrEx>
        <w:trPr>
          <w:wBefore w:w="0" w:type="auto"/>
          <w:tblCellSpacing w:w="0" w:type="dxa"/>
        </w:trPr>
        <w:tc>
          <w:tcPr>
            <w:tcW w:w="0" w:type="auto"/>
            <w:noWrap w:val="0"/>
            <w:vAlign w:val="center"/>
          </w:tcPr>
          <w:p w14:paraId="37483472">
            <w:r>
              <w:rPr>
                <w:rStyle w:val="10"/>
                <w:rFonts w:hint="eastAsia"/>
              </w:rPr>
              <w:t>产品性能:</w:t>
            </w:r>
            <w:r>
              <w:rPr>
                <w:rFonts w:hint="eastAsia"/>
              </w:rPr>
              <w:br w:type="textWrapping"/>
            </w:r>
            <w:r>
              <w:rPr>
                <w:rStyle w:val="11"/>
                <w:rFonts w:hint="eastAsia"/>
              </w:rPr>
              <w:t xml:space="preserve">本产品为螺虫乙酯和噻虫啉的混剂。螺虫乙酯是特窗酸类杀虫、杀螨剂，以胃毒作用为主，具有优异的内吸活性，能在植物体内双向传导。噻虫啉是新烟碱类杀虫剂，具有胃毒和触杀作用，内吸活性高。该产品对香蕉蓟马有较好的防效。 </w:t>
            </w:r>
          </w:p>
        </w:tc>
      </w:tr>
      <w:tr w14:paraId="2CC87B0C">
        <w:tblPrEx>
          <w:tblCellMar>
            <w:top w:w="0" w:type="dxa"/>
            <w:left w:w="0" w:type="dxa"/>
            <w:bottom w:w="0" w:type="dxa"/>
            <w:right w:w="0" w:type="dxa"/>
          </w:tblCellMar>
        </w:tblPrEx>
        <w:trPr>
          <w:wBefore w:w="0" w:type="auto"/>
          <w:tblCellSpacing w:w="0" w:type="dxa"/>
        </w:trPr>
        <w:tc>
          <w:tcPr>
            <w:tcW w:w="0" w:type="auto"/>
            <w:noWrap w:val="0"/>
            <w:vAlign w:val="center"/>
          </w:tcPr>
          <w:p w14:paraId="32E627B7">
            <w:r>
              <w:rPr>
                <w:rStyle w:val="10"/>
                <w:rFonts w:hint="eastAsia"/>
              </w:rPr>
              <w:t>注意事项：</w:t>
            </w:r>
            <w:r>
              <w:rPr>
                <w:rFonts w:hint="eastAsia"/>
              </w:rPr>
              <w:br w:type="textWrapping"/>
            </w:r>
            <w:r>
              <w:rPr>
                <w:rStyle w:val="11"/>
                <w:rFonts w:hint="eastAsia"/>
              </w:rPr>
              <w:t>1）严格按照规定用药量和方法使用。 2）本产品不能与呈强碱性的农药等物质混合使用。建议与其他作用机制不同的杀虫剂轮换使用，以延缓抗性产生。 3）本品对蜜蜂、鸟、家蚕有毒，养蜂场所和周围开花植物花期禁用，使用时应密切关注对附近蜂群的影响；蚕室和桑园附近禁用；禁止在河塘等水体中清洗施药器具。赤眼蜂等天敌放飞区域禁用。 4）使用本品时应穿防护服和戴手套，避免吸入药液。施药期间不可吃东西和饮水，施药后应及时洗手和洗脸。 5）用药后包装物及用过的容器应妥善处理，不可做他用，也不可随意丢弃。 6）孕妇及哺乳期妇女禁止接触本品。</w:t>
            </w:r>
          </w:p>
        </w:tc>
      </w:tr>
      <w:tr w14:paraId="5F2E53F1">
        <w:tblPrEx>
          <w:tblCellMar>
            <w:top w:w="0" w:type="dxa"/>
            <w:left w:w="0" w:type="dxa"/>
            <w:bottom w:w="0" w:type="dxa"/>
            <w:right w:w="0" w:type="dxa"/>
          </w:tblCellMar>
        </w:tblPrEx>
        <w:trPr>
          <w:wBefore w:w="0" w:type="auto"/>
          <w:tblCellSpacing w:w="0" w:type="dxa"/>
        </w:trPr>
        <w:tc>
          <w:tcPr>
            <w:tcW w:w="0" w:type="auto"/>
            <w:noWrap w:val="0"/>
            <w:vAlign w:val="center"/>
          </w:tcPr>
          <w:p w14:paraId="2DC6AF4C">
            <w:r>
              <w:rPr>
                <w:rStyle w:val="10"/>
                <w:rFonts w:hint="eastAsia"/>
              </w:rPr>
              <w:t>中毒急救措施：</w:t>
            </w:r>
            <w:r>
              <w:rPr>
                <w:rFonts w:hint="eastAsia"/>
              </w:rPr>
              <w:br w:type="textWrapping"/>
            </w:r>
            <w:r>
              <w:rPr>
                <w:rStyle w:val="11"/>
                <w:rFonts w:hint="eastAsia"/>
              </w:rPr>
              <w:t xml:space="preserve">中毒症状：恶心，呕吐，腹泻，头痛，头晕，意识模糊，躁动，心动徐缓，心跳过速，昏迷，血压过低，呼吸麻痹。使用中或使用后如果感觉不适，应立即停止工作，采取急救措施，并携带标签送医院就诊。皮肤接触：脱去污染的衣物，立即用软布去除沾染农药，用大量清水和肥皂冲洗。眼睛溅入：立即用流动清水冲洗。吸入：将吸入者移到空气新鲜处，使其保持温暖和休息，如仍有不适应立即就医； 误服：立即停止服用，用清水充分漱口后，携带农药标签到医院就诊。 </w:t>
            </w:r>
          </w:p>
        </w:tc>
      </w:tr>
      <w:tr w14:paraId="612D5E8E">
        <w:tblPrEx>
          <w:tblCellMar>
            <w:top w:w="0" w:type="dxa"/>
            <w:left w:w="0" w:type="dxa"/>
            <w:bottom w:w="0" w:type="dxa"/>
            <w:right w:w="0" w:type="dxa"/>
          </w:tblCellMar>
        </w:tblPrEx>
        <w:trPr>
          <w:wBefore w:w="0" w:type="auto"/>
          <w:tblCellSpacing w:w="0" w:type="dxa"/>
        </w:trPr>
        <w:tc>
          <w:tcPr>
            <w:tcW w:w="0" w:type="auto"/>
            <w:noWrap w:val="0"/>
            <w:vAlign w:val="center"/>
          </w:tcPr>
          <w:p w14:paraId="622E0A3D">
            <w:r>
              <w:rPr>
                <w:rStyle w:val="10"/>
                <w:rFonts w:hint="eastAsia"/>
              </w:rPr>
              <w:t>储存和运输方法：</w:t>
            </w:r>
            <w:r>
              <w:rPr>
                <w:rFonts w:hint="eastAsia"/>
              </w:rPr>
              <w:br w:type="textWrapping"/>
            </w:r>
            <w:r>
              <w:rPr>
                <w:rStyle w:val="11"/>
                <w:rFonts w:hint="eastAsia"/>
              </w:rPr>
              <w:t xml:space="preserve">包装件应贮存在通风、干燥的库房中。贮运时，严防潮湿和日晒，不能与食品、饮料、粮食、饲料等混合储运。避免与皮肤、眼睛接触，防止由口鼻吸入。 </w:t>
            </w:r>
          </w:p>
        </w:tc>
      </w:tr>
      <w:tr w14:paraId="2582B9E9">
        <w:tblPrEx>
          <w:tblCellMar>
            <w:top w:w="0" w:type="dxa"/>
            <w:left w:w="0" w:type="dxa"/>
            <w:bottom w:w="0" w:type="dxa"/>
            <w:right w:w="0" w:type="dxa"/>
          </w:tblCellMar>
        </w:tblPrEx>
        <w:trPr>
          <w:wBefore w:w="0" w:type="auto"/>
          <w:tblCellSpacing w:w="0" w:type="dxa"/>
        </w:trPr>
        <w:tc>
          <w:tcPr>
            <w:tcW w:w="0" w:type="auto"/>
            <w:noWrap w:val="0"/>
            <w:vAlign w:val="center"/>
          </w:tcPr>
          <w:p w14:paraId="2B5B7DAD">
            <w:r>
              <w:rPr>
                <w:rStyle w:val="10"/>
                <w:rFonts w:hint="eastAsia"/>
              </w:rPr>
              <w:t>质量保证期：</w:t>
            </w:r>
            <w:r>
              <w:rPr>
                <w:rStyle w:val="11"/>
                <w:rFonts w:hint="eastAsia"/>
              </w:rPr>
              <w:t>2年</w:t>
            </w:r>
          </w:p>
        </w:tc>
      </w:tr>
      <w:tr w14:paraId="2B13ACAE">
        <w:tblPrEx>
          <w:tblCellMar>
            <w:top w:w="0" w:type="dxa"/>
            <w:left w:w="0" w:type="dxa"/>
            <w:bottom w:w="0" w:type="dxa"/>
            <w:right w:w="0" w:type="dxa"/>
          </w:tblCellMar>
        </w:tblPrEx>
        <w:trPr>
          <w:wBefore w:w="0" w:type="auto"/>
          <w:tblCellSpacing w:w="0" w:type="dxa"/>
        </w:trPr>
        <w:tc>
          <w:tcPr>
            <w:tcW w:w="0" w:type="auto"/>
            <w:noWrap w:val="0"/>
            <w:vAlign w:val="center"/>
          </w:tcPr>
          <w:p w14:paraId="2E040932">
            <w:r>
              <w:rPr>
                <w:rStyle w:val="10"/>
                <w:rFonts w:hint="eastAsia"/>
              </w:rPr>
              <w:t>备注：</w:t>
            </w:r>
          </w:p>
        </w:tc>
      </w:tr>
    </w:tbl>
    <w:p w14:paraId="0B15AA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2FD0F6">
        <w:tblPrEx>
          <w:tblCellMar>
            <w:top w:w="0" w:type="dxa"/>
            <w:left w:w="0" w:type="dxa"/>
            <w:bottom w:w="0" w:type="dxa"/>
            <w:right w:w="0" w:type="dxa"/>
          </w:tblCellMar>
        </w:tblPrEx>
        <w:trPr>
          <w:wBefore w:w="0" w:type="auto"/>
          <w:tblCellSpacing w:w="0" w:type="dxa"/>
        </w:trPr>
        <w:tc>
          <w:tcPr>
            <w:tcW w:w="0" w:type="auto"/>
            <w:noWrap w:val="0"/>
            <w:vAlign w:val="center"/>
          </w:tcPr>
          <w:p w14:paraId="19C407BA">
            <w:r>
              <w:rPr>
                <w:rStyle w:val="10"/>
                <w:rFonts w:hint="eastAsia"/>
              </w:rPr>
              <w:t>登记证号：</w:t>
            </w:r>
            <w:r>
              <w:rPr>
                <w:rFonts w:hint="eastAsia"/>
              </w:rPr>
              <w:t>PD20212404</w:t>
            </w:r>
          </w:p>
        </w:tc>
      </w:tr>
      <w:tr w14:paraId="6B95E5BE">
        <w:tblPrEx>
          <w:tblCellMar>
            <w:top w:w="0" w:type="dxa"/>
            <w:left w:w="0" w:type="dxa"/>
            <w:bottom w:w="0" w:type="dxa"/>
            <w:right w:w="0" w:type="dxa"/>
          </w:tblCellMar>
        </w:tblPrEx>
        <w:trPr>
          <w:wBefore w:w="0" w:type="auto"/>
          <w:tblCellSpacing w:w="0" w:type="dxa"/>
        </w:trPr>
        <w:tc>
          <w:tcPr>
            <w:tcW w:w="0" w:type="auto"/>
            <w:noWrap w:val="0"/>
            <w:vAlign w:val="center"/>
          </w:tcPr>
          <w:p w14:paraId="7F7EEDF9">
            <w:r>
              <w:rPr>
                <w:rStyle w:val="10"/>
                <w:rFonts w:hint="eastAsia"/>
              </w:rPr>
              <w:t>登记证持有人：</w:t>
            </w:r>
            <w:r>
              <w:rPr>
                <w:rFonts w:hint="eastAsia"/>
              </w:rPr>
              <w:t>沾化国昌精细化工有限公司</w:t>
            </w:r>
          </w:p>
        </w:tc>
      </w:tr>
      <w:tr w14:paraId="4C4D6ACE">
        <w:tblPrEx>
          <w:tblCellMar>
            <w:top w:w="0" w:type="dxa"/>
            <w:left w:w="0" w:type="dxa"/>
            <w:bottom w:w="0" w:type="dxa"/>
            <w:right w:w="0" w:type="dxa"/>
          </w:tblCellMar>
        </w:tblPrEx>
        <w:trPr>
          <w:wBefore w:w="0" w:type="auto"/>
          <w:tblCellSpacing w:w="0" w:type="dxa"/>
        </w:trPr>
        <w:tc>
          <w:tcPr>
            <w:tcW w:w="0" w:type="auto"/>
            <w:noWrap w:val="0"/>
            <w:vAlign w:val="center"/>
          </w:tcPr>
          <w:p w14:paraId="79EDB8A2">
            <w:r>
              <w:rPr>
                <w:rStyle w:val="10"/>
                <w:rFonts w:hint="eastAsia"/>
              </w:rPr>
              <w:t>农药名称：</w:t>
            </w:r>
            <w:r>
              <w:rPr>
                <w:rFonts w:hint="eastAsia"/>
              </w:rPr>
              <w:t>哒螨·噻虫嗪</w:t>
            </w:r>
          </w:p>
        </w:tc>
      </w:tr>
      <w:tr w14:paraId="0AC594B7">
        <w:tblPrEx>
          <w:tblCellMar>
            <w:top w:w="0" w:type="dxa"/>
            <w:left w:w="0" w:type="dxa"/>
            <w:bottom w:w="0" w:type="dxa"/>
            <w:right w:w="0" w:type="dxa"/>
          </w:tblCellMar>
        </w:tblPrEx>
        <w:trPr>
          <w:wBefore w:w="0" w:type="auto"/>
          <w:tblCellSpacing w:w="0" w:type="dxa"/>
        </w:trPr>
        <w:tc>
          <w:tcPr>
            <w:tcW w:w="0" w:type="auto"/>
            <w:noWrap w:val="0"/>
            <w:vAlign w:val="center"/>
          </w:tcPr>
          <w:p w14:paraId="28A1A20D">
            <w:r>
              <w:rPr>
                <w:rStyle w:val="10"/>
                <w:rFonts w:hint="eastAsia"/>
              </w:rPr>
              <w:t>剂型：</w:t>
            </w:r>
            <w:r>
              <w:rPr>
                <w:rFonts w:hint="eastAsia"/>
              </w:rPr>
              <w:t>悬浮剂</w:t>
            </w:r>
          </w:p>
        </w:tc>
      </w:tr>
      <w:tr w14:paraId="1F23DADF">
        <w:tblPrEx>
          <w:tblCellMar>
            <w:top w:w="0" w:type="dxa"/>
            <w:left w:w="0" w:type="dxa"/>
            <w:bottom w:w="0" w:type="dxa"/>
            <w:right w:w="0" w:type="dxa"/>
          </w:tblCellMar>
        </w:tblPrEx>
        <w:trPr>
          <w:wBefore w:w="0" w:type="auto"/>
          <w:tblCellSpacing w:w="0" w:type="dxa"/>
        </w:trPr>
        <w:tc>
          <w:tcPr>
            <w:tcW w:w="0" w:type="auto"/>
            <w:noWrap w:val="0"/>
            <w:vAlign w:val="center"/>
          </w:tcPr>
          <w:p w14:paraId="7CACCDF2">
            <w:r>
              <w:rPr>
                <w:rStyle w:val="10"/>
                <w:rFonts w:hint="eastAsia"/>
              </w:rPr>
              <w:t>毒性及其标识：</w:t>
            </w:r>
            <w:r>
              <w:rPr>
                <w:rFonts w:hint="eastAsia"/>
              </w:rPr>
              <w:t xml:space="preserve"> </w:t>
            </w:r>
            <w:r>
              <w:rPr>
                <w:lang/>
              </w:rPr>
              <w:drawing>
                <wp:inline distT="0" distB="0" distL="114300" distR="114300">
                  <wp:extent cx="476250" cy="323850"/>
                  <wp:effectExtent l="0" t="0" r="0" b="0"/>
                  <wp:docPr id="60" name="图片 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420495">
        <w:tblPrEx>
          <w:tblCellMar>
            <w:top w:w="0" w:type="dxa"/>
            <w:left w:w="0" w:type="dxa"/>
            <w:bottom w:w="0" w:type="dxa"/>
            <w:right w:w="0" w:type="dxa"/>
          </w:tblCellMar>
        </w:tblPrEx>
        <w:trPr>
          <w:wBefore w:w="0" w:type="auto"/>
          <w:tblCellSpacing w:w="0" w:type="dxa"/>
        </w:trPr>
        <w:tc>
          <w:tcPr>
            <w:tcW w:w="0" w:type="auto"/>
            <w:noWrap w:val="0"/>
            <w:vAlign w:val="center"/>
          </w:tcPr>
          <w:p w14:paraId="59687AF7">
            <w:r>
              <w:rPr>
                <w:rStyle w:val="10"/>
                <w:rFonts w:hint="eastAsia"/>
              </w:rPr>
              <w:t>总有效成分含量：</w:t>
            </w:r>
            <w:r>
              <w:rPr>
                <w:rFonts w:hint="eastAsia"/>
              </w:rPr>
              <w:t>27%</w:t>
            </w:r>
          </w:p>
        </w:tc>
      </w:tr>
      <w:tr w14:paraId="31093EB6">
        <w:tblPrEx>
          <w:tblCellMar>
            <w:top w:w="0" w:type="dxa"/>
            <w:left w:w="0" w:type="dxa"/>
            <w:bottom w:w="0" w:type="dxa"/>
            <w:right w:w="0" w:type="dxa"/>
          </w:tblCellMar>
        </w:tblPrEx>
        <w:trPr>
          <w:wBefore w:w="0" w:type="auto"/>
          <w:tblCellSpacing w:w="0" w:type="dxa"/>
        </w:trPr>
        <w:tc>
          <w:tcPr>
            <w:tcW w:w="0" w:type="auto"/>
            <w:noWrap w:val="0"/>
            <w:vAlign w:val="center"/>
          </w:tcPr>
          <w:p w14:paraId="06295ED5">
            <w:r>
              <w:rPr>
                <w:rFonts w:hint="eastAsia"/>
              </w:rPr>
              <w:t xml:space="preserve">有效成分及其含量： </w:t>
            </w:r>
          </w:p>
          <w:p w14:paraId="1D508635">
            <w:r>
              <w:rPr>
                <w:rFonts w:hint="eastAsia"/>
              </w:rPr>
              <w:t xml:space="preserve">    哒螨灵15%    噻虫嗪12%    </w:t>
            </w:r>
          </w:p>
        </w:tc>
      </w:tr>
      <w:tr w14:paraId="2B35FF8E">
        <w:tblPrEx>
          <w:tblCellMar>
            <w:top w:w="0" w:type="dxa"/>
            <w:left w:w="0" w:type="dxa"/>
            <w:bottom w:w="0" w:type="dxa"/>
            <w:right w:w="0" w:type="dxa"/>
          </w:tblCellMar>
        </w:tblPrEx>
        <w:trPr>
          <w:wBefore w:w="0" w:type="auto"/>
          <w:tblCellSpacing w:w="0" w:type="dxa"/>
        </w:trPr>
        <w:tc>
          <w:tcPr>
            <w:tcW w:w="0" w:type="auto"/>
            <w:noWrap w:val="0"/>
            <w:vAlign w:val="center"/>
          </w:tcPr>
          <w:p w14:paraId="6CE9C8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C69D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F69F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3CF75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9D73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69838E">
                  <w:r>
                    <w:rPr>
                      <w:rStyle w:val="11"/>
                      <w:rFonts w:hint="eastAsia"/>
                    </w:rPr>
                    <w:t>施用方式</w:t>
                  </w:r>
                </w:p>
              </w:tc>
            </w:tr>
            <w:tr w14:paraId="2A1D9C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9501B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BB312">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EF859">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B6B3F9">
                  <w:r>
                    <w:rPr>
                      <w:rStyle w:val="11"/>
                      <w:rFonts w:hint="eastAsia"/>
                    </w:rPr>
                    <w:t>喷雾</w:t>
                  </w:r>
                </w:p>
              </w:tc>
            </w:tr>
          </w:tbl>
          <w:p w14:paraId="69FF3387">
            <w:pPr>
              <w:rPr>
                <w:rFonts w:ascii="Times New Roman" w:hAnsi="Times New Roman" w:cs="Times New Roman"/>
                <w:sz w:val="20"/>
                <w:szCs w:val="20"/>
              </w:rPr>
            </w:pPr>
          </w:p>
        </w:tc>
      </w:tr>
      <w:tr w14:paraId="3355EADF">
        <w:tblPrEx>
          <w:tblCellMar>
            <w:top w:w="0" w:type="dxa"/>
            <w:left w:w="0" w:type="dxa"/>
            <w:bottom w:w="0" w:type="dxa"/>
            <w:right w:w="0" w:type="dxa"/>
          </w:tblCellMar>
        </w:tblPrEx>
        <w:trPr>
          <w:wBefore w:w="0" w:type="auto"/>
          <w:tblCellSpacing w:w="0" w:type="dxa"/>
        </w:trPr>
        <w:tc>
          <w:tcPr>
            <w:tcW w:w="0" w:type="auto"/>
            <w:noWrap w:val="0"/>
            <w:vAlign w:val="center"/>
          </w:tcPr>
          <w:p w14:paraId="6B69E4B6">
            <w:r>
              <w:rPr>
                <w:rStyle w:val="10"/>
                <w:rFonts w:hint="eastAsia"/>
              </w:rPr>
              <w:t>使用技术要求:</w:t>
            </w:r>
            <w:r>
              <w:rPr>
                <w:rFonts w:hint="eastAsia"/>
              </w:rPr>
              <w:br w:type="textWrapping"/>
            </w:r>
            <w:r>
              <w:rPr>
                <w:rStyle w:val="11"/>
                <w:rFonts w:hint="eastAsia"/>
              </w:rPr>
              <w:t>建议在黄条跳甲发生初期喷雾使用，每季最多使用1次，推荐安全间隔期为14天</w:t>
            </w:r>
          </w:p>
        </w:tc>
      </w:tr>
      <w:tr w14:paraId="7755E629">
        <w:tblPrEx>
          <w:tblCellMar>
            <w:top w:w="0" w:type="dxa"/>
            <w:left w:w="0" w:type="dxa"/>
            <w:bottom w:w="0" w:type="dxa"/>
            <w:right w:w="0" w:type="dxa"/>
          </w:tblCellMar>
        </w:tblPrEx>
        <w:trPr>
          <w:wBefore w:w="0" w:type="auto"/>
          <w:tblCellSpacing w:w="0" w:type="dxa"/>
        </w:trPr>
        <w:tc>
          <w:tcPr>
            <w:tcW w:w="0" w:type="auto"/>
            <w:noWrap w:val="0"/>
            <w:vAlign w:val="center"/>
          </w:tcPr>
          <w:p w14:paraId="141B1BA0">
            <w:r>
              <w:rPr>
                <w:rStyle w:val="10"/>
                <w:rFonts w:hint="eastAsia"/>
              </w:rPr>
              <w:t>产品性能:</w:t>
            </w:r>
            <w:r>
              <w:rPr>
                <w:rFonts w:hint="eastAsia"/>
              </w:rPr>
              <w:br w:type="textWrapping"/>
            </w:r>
            <w:r>
              <w:rPr>
                <w:rStyle w:val="11"/>
                <w:rFonts w:hint="eastAsia"/>
              </w:rPr>
              <w:t>本品为噻虫嗪和哒螨灵复配的杀虫剂，对黄曲条跳甲有良好的防治效果。</w:t>
            </w:r>
          </w:p>
        </w:tc>
      </w:tr>
      <w:tr w14:paraId="3C80683B">
        <w:tblPrEx>
          <w:tblCellMar>
            <w:top w:w="0" w:type="dxa"/>
            <w:left w:w="0" w:type="dxa"/>
            <w:bottom w:w="0" w:type="dxa"/>
            <w:right w:w="0" w:type="dxa"/>
          </w:tblCellMar>
        </w:tblPrEx>
        <w:trPr>
          <w:wBefore w:w="0" w:type="auto"/>
          <w:tblCellSpacing w:w="0" w:type="dxa"/>
        </w:trPr>
        <w:tc>
          <w:tcPr>
            <w:tcW w:w="0" w:type="auto"/>
            <w:noWrap w:val="0"/>
            <w:vAlign w:val="center"/>
          </w:tcPr>
          <w:p w14:paraId="3A5D05C9">
            <w:r>
              <w:rPr>
                <w:rStyle w:val="10"/>
                <w:rFonts w:hint="eastAsia"/>
              </w:rPr>
              <w:t>注意事项：</w:t>
            </w:r>
            <w:r>
              <w:rPr>
                <w:rFonts w:hint="eastAsia"/>
              </w:rPr>
              <w:br w:type="textWrapping"/>
            </w:r>
            <w:r>
              <w:rPr>
                <w:rStyle w:val="11"/>
                <w:rFonts w:hint="eastAsia"/>
              </w:rPr>
              <w:t>本品不可与呈碱性的农药等物质混合使用。2. 建议与其他作用机制不同的杀菌剂轮换使用，以延缓抗性产生。 3. 对鱼类、水蚤等水生生物毒性高，不得污染各类水源，远离水产养殖区、河塘等水域附近施药，禁止在河塘等水体中清洗施药器具。4. 使用本品时应穿防护服和戴手套，避免吸入药液；施药期间不可吃东西和饮水；施药后应及时洗手和洗脸等皮肤暴露部位，并及时更换衣物。5.毁掉空包装袋，并按照当地的有关规定处置所有的废弃物。使用过药械需清洗三遍，在洗涤药械或处置废弃物时不要污染水源。6.孕妇及哺乳期妇女禁止接触本品。7. 用过的容器应妥善处理，不可做他用，也不可随意丢弃。</w:t>
            </w:r>
          </w:p>
        </w:tc>
      </w:tr>
      <w:tr w14:paraId="564B0D71">
        <w:tblPrEx>
          <w:tblCellMar>
            <w:top w:w="0" w:type="dxa"/>
            <w:left w:w="0" w:type="dxa"/>
            <w:bottom w:w="0" w:type="dxa"/>
            <w:right w:w="0" w:type="dxa"/>
          </w:tblCellMar>
        </w:tblPrEx>
        <w:trPr>
          <w:wBefore w:w="0" w:type="auto"/>
          <w:tblCellSpacing w:w="0" w:type="dxa"/>
        </w:trPr>
        <w:tc>
          <w:tcPr>
            <w:tcW w:w="0" w:type="auto"/>
            <w:noWrap w:val="0"/>
            <w:vAlign w:val="center"/>
          </w:tcPr>
          <w:p w14:paraId="0E874618">
            <w:r>
              <w:rPr>
                <w:rStyle w:val="10"/>
                <w:rFonts w:hint="eastAsia"/>
              </w:rPr>
              <w:t>中毒急救措施：</w:t>
            </w:r>
            <w:r>
              <w:rPr>
                <w:rFonts w:hint="eastAsia"/>
              </w:rPr>
              <w:br w:type="textWrapping"/>
            </w:r>
            <w:r>
              <w:rPr>
                <w:rStyle w:val="11"/>
                <w:rFonts w:hint="eastAsia"/>
              </w:rPr>
              <w:t>中毒症状：对皮肤和眼睛有刺激作用。急救治疗：使用中或使用后如果感觉不适，应立即停止工作，采取急救措施，并携带标签送医院就诊。1、皮肤接触：脱掉被污染的衣物，用软布去除沾染农药，用大量清水和肥皂清洗。2、眼睛溅入：立即将眼睑翻开，用清水冲洗15-20分钟，再请医生诊治。3、吸入：立即离开施药现场，转移到空气清新处。4、误服：立即停止服用，用清水充分漱口后，立即携带农药标签到医院就诊。5、无特效解毒药，对症治疗。</w:t>
            </w:r>
          </w:p>
        </w:tc>
      </w:tr>
      <w:tr w14:paraId="0D9E9947">
        <w:tblPrEx>
          <w:tblCellMar>
            <w:top w:w="0" w:type="dxa"/>
            <w:left w:w="0" w:type="dxa"/>
            <w:bottom w:w="0" w:type="dxa"/>
            <w:right w:w="0" w:type="dxa"/>
          </w:tblCellMar>
        </w:tblPrEx>
        <w:trPr>
          <w:wBefore w:w="0" w:type="auto"/>
          <w:tblCellSpacing w:w="0" w:type="dxa"/>
        </w:trPr>
        <w:tc>
          <w:tcPr>
            <w:tcW w:w="0" w:type="auto"/>
            <w:noWrap w:val="0"/>
            <w:vAlign w:val="center"/>
          </w:tcPr>
          <w:p w14:paraId="1B48593C">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保存，以免误服。避免与皮肤、眼睛接触。装卸运输时注意检查包装是否密封完整，轻拿轻放，不可倒置。</w:t>
            </w:r>
          </w:p>
        </w:tc>
      </w:tr>
      <w:tr w14:paraId="1474C0B3">
        <w:tblPrEx>
          <w:tblCellMar>
            <w:top w:w="0" w:type="dxa"/>
            <w:left w:w="0" w:type="dxa"/>
            <w:bottom w:w="0" w:type="dxa"/>
            <w:right w:w="0" w:type="dxa"/>
          </w:tblCellMar>
        </w:tblPrEx>
        <w:trPr>
          <w:wBefore w:w="0" w:type="auto"/>
          <w:tblCellSpacing w:w="0" w:type="dxa"/>
        </w:trPr>
        <w:tc>
          <w:tcPr>
            <w:tcW w:w="0" w:type="auto"/>
            <w:noWrap w:val="0"/>
            <w:vAlign w:val="center"/>
          </w:tcPr>
          <w:p w14:paraId="07AED649">
            <w:r>
              <w:rPr>
                <w:rStyle w:val="10"/>
                <w:rFonts w:hint="eastAsia"/>
              </w:rPr>
              <w:t>质量保证期：</w:t>
            </w:r>
            <w:r>
              <w:rPr>
                <w:rStyle w:val="11"/>
                <w:rFonts w:hint="eastAsia"/>
              </w:rPr>
              <w:t>2年</w:t>
            </w:r>
          </w:p>
        </w:tc>
      </w:tr>
      <w:tr w14:paraId="6DAA21C3">
        <w:tblPrEx>
          <w:tblCellMar>
            <w:top w:w="0" w:type="dxa"/>
            <w:left w:w="0" w:type="dxa"/>
            <w:bottom w:w="0" w:type="dxa"/>
            <w:right w:w="0" w:type="dxa"/>
          </w:tblCellMar>
        </w:tblPrEx>
        <w:trPr>
          <w:wBefore w:w="0" w:type="auto"/>
          <w:tblCellSpacing w:w="0" w:type="dxa"/>
        </w:trPr>
        <w:tc>
          <w:tcPr>
            <w:tcW w:w="0" w:type="auto"/>
            <w:noWrap w:val="0"/>
            <w:vAlign w:val="center"/>
          </w:tcPr>
          <w:p w14:paraId="2A4272CB">
            <w:r>
              <w:rPr>
                <w:rStyle w:val="10"/>
                <w:rFonts w:hint="eastAsia"/>
              </w:rPr>
              <w:t>备注：</w:t>
            </w:r>
          </w:p>
        </w:tc>
      </w:tr>
    </w:tbl>
    <w:p w14:paraId="4AA3D7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ABEB70">
        <w:tblPrEx>
          <w:tblCellMar>
            <w:top w:w="0" w:type="dxa"/>
            <w:left w:w="0" w:type="dxa"/>
            <w:bottom w:w="0" w:type="dxa"/>
            <w:right w:w="0" w:type="dxa"/>
          </w:tblCellMar>
        </w:tblPrEx>
        <w:trPr>
          <w:wBefore w:w="0" w:type="auto"/>
          <w:tblCellSpacing w:w="0" w:type="dxa"/>
        </w:trPr>
        <w:tc>
          <w:tcPr>
            <w:tcW w:w="0" w:type="auto"/>
            <w:noWrap w:val="0"/>
            <w:vAlign w:val="center"/>
          </w:tcPr>
          <w:p w14:paraId="409AA105">
            <w:r>
              <w:rPr>
                <w:rStyle w:val="10"/>
                <w:rFonts w:hint="eastAsia"/>
              </w:rPr>
              <w:t>登记证号：</w:t>
            </w:r>
            <w:r>
              <w:rPr>
                <w:rFonts w:hint="eastAsia"/>
              </w:rPr>
              <w:t>PD20212466</w:t>
            </w:r>
          </w:p>
        </w:tc>
      </w:tr>
      <w:tr w14:paraId="489944B7">
        <w:tblPrEx>
          <w:tblCellMar>
            <w:top w:w="0" w:type="dxa"/>
            <w:left w:w="0" w:type="dxa"/>
            <w:bottom w:w="0" w:type="dxa"/>
            <w:right w:w="0" w:type="dxa"/>
          </w:tblCellMar>
        </w:tblPrEx>
        <w:trPr>
          <w:wBefore w:w="0" w:type="auto"/>
          <w:tblCellSpacing w:w="0" w:type="dxa"/>
        </w:trPr>
        <w:tc>
          <w:tcPr>
            <w:tcW w:w="0" w:type="auto"/>
            <w:noWrap w:val="0"/>
            <w:vAlign w:val="center"/>
          </w:tcPr>
          <w:p w14:paraId="730A415F">
            <w:r>
              <w:rPr>
                <w:rStyle w:val="10"/>
                <w:rFonts w:hint="eastAsia"/>
              </w:rPr>
              <w:t>登记证持有人：</w:t>
            </w:r>
            <w:r>
              <w:rPr>
                <w:rFonts w:hint="eastAsia"/>
              </w:rPr>
              <w:t>青州鑫邦生物科技有限公司</w:t>
            </w:r>
          </w:p>
        </w:tc>
      </w:tr>
      <w:tr w14:paraId="174DAAC5">
        <w:tblPrEx>
          <w:tblCellMar>
            <w:top w:w="0" w:type="dxa"/>
            <w:left w:w="0" w:type="dxa"/>
            <w:bottom w:w="0" w:type="dxa"/>
            <w:right w:w="0" w:type="dxa"/>
          </w:tblCellMar>
        </w:tblPrEx>
        <w:trPr>
          <w:wBefore w:w="0" w:type="auto"/>
          <w:tblCellSpacing w:w="0" w:type="dxa"/>
        </w:trPr>
        <w:tc>
          <w:tcPr>
            <w:tcW w:w="0" w:type="auto"/>
            <w:noWrap w:val="0"/>
            <w:vAlign w:val="center"/>
          </w:tcPr>
          <w:p w14:paraId="4D3D40CD">
            <w:r>
              <w:rPr>
                <w:rStyle w:val="10"/>
                <w:rFonts w:hint="eastAsia"/>
              </w:rPr>
              <w:t>农药名称：</w:t>
            </w:r>
            <w:r>
              <w:rPr>
                <w:rFonts w:hint="eastAsia"/>
              </w:rPr>
              <w:t>寡糖·噻唑膦</w:t>
            </w:r>
          </w:p>
        </w:tc>
      </w:tr>
      <w:tr w14:paraId="6BAC1D2B">
        <w:tblPrEx>
          <w:tblCellMar>
            <w:top w:w="0" w:type="dxa"/>
            <w:left w:w="0" w:type="dxa"/>
            <w:bottom w:w="0" w:type="dxa"/>
            <w:right w:w="0" w:type="dxa"/>
          </w:tblCellMar>
        </w:tblPrEx>
        <w:trPr>
          <w:wBefore w:w="0" w:type="auto"/>
          <w:tblCellSpacing w:w="0" w:type="dxa"/>
        </w:trPr>
        <w:tc>
          <w:tcPr>
            <w:tcW w:w="0" w:type="auto"/>
            <w:noWrap w:val="0"/>
            <w:vAlign w:val="center"/>
          </w:tcPr>
          <w:p w14:paraId="566B7E33">
            <w:r>
              <w:rPr>
                <w:rStyle w:val="10"/>
                <w:rFonts w:hint="eastAsia"/>
              </w:rPr>
              <w:t>剂型：</w:t>
            </w:r>
            <w:r>
              <w:rPr>
                <w:rFonts w:hint="eastAsia"/>
              </w:rPr>
              <w:t>颗粒剂</w:t>
            </w:r>
          </w:p>
        </w:tc>
      </w:tr>
      <w:tr w14:paraId="3866A4E8">
        <w:tblPrEx>
          <w:tblCellMar>
            <w:top w:w="0" w:type="dxa"/>
            <w:left w:w="0" w:type="dxa"/>
            <w:bottom w:w="0" w:type="dxa"/>
            <w:right w:w="0" w:type="dxa"/>
          </w:tblCellMar>
        </w:tblPrEx>
        <w:trPr>
          <w:wBefore w:w="0" w:type="auto"/>
          <w:tblCellSpacing w:w="0" w:type="dxa"/>
        </w:trPr>
        <w:tc>
          <w:tcPr>
            <w:tcW w:w="0" w:type="auto"/>
            <w:noWrap w:val="0"/>
            <w:vAlign w:val="center"/>
          </w:tcPr>
          <w:p w14:paraId="0092C63D">
            <w:r>
              <w:rPr>
                <w:rStyle w:val="10"/>
                <w:rFonts w:hint="eastAsia"/>
              </w:rPr>
              <w:t>毒性及其标识：</w:t>
            </w:r>
            <w:r>
              <w:rPr>
                <w:rFonts w:hint="eastAsia"/>
              </w:rPr>
              <w:t xml:space="preserve"> </w:t>
            </w:r>
            <w:r>
              <w:rPr>
                <w:lang/>
              </w:rPr>
              <w:drawing>
                <wp:inline distT="0" distB="0" distL="114300" distR="114300">
                  <wp:extent cx="476250" cy="323850"/>
                  <wp:effectExtent l="0" t="0" r="0" b="0"/>
                  <wp:docPr id="61" name="图片 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908D42">
        <w:tblPrEx>
          <w:tblCellMar>
            <w:top w:w="0" w:type="dxa"/>
            <w:left w:w="0" w:type="dxa"/>
            <w:bottom w:w="0" w:type="dxa"/>
            <w:right w:w="0" w:type="dxa"/>
          </w:tblCellMar>
        </w:tblPrEx>
        <w:trPr>
          <w:wBefore w:w="0" w:type="auto"/>
          <w:tblCellSpacing w:w="0" w:type="dxa"/>
        </w:trPr>
        <w:tc>
          <w:tcPr>
            <w:tcW w:w="0" w:type="auto"/>
            <w:noWrap w:val="0"/>
            <w:vAlign w:val="center"/>
          </w:tcPr>
          <w:p w14:paraId="2D664AE4">
            <w:r>
              <w:rPr>
                <w:rStyle w:val="10"/>
                <w:rFonts w:hint="eastAsia"/>
              </w:rPr>
              <w:t>总有效成分含量：</w:t>
            </w:r>
            <w:r>
              <w:rPr>
                <w:rFonts w:hint="eastAsia"/>
              </w:rPr>
              <w:t>10%</w:t>
            </w:r>
          </w:p>
        </w:tc>
      </w:tr>
      <w:tr w14:paraId="5D36D2C2">
        <w:tblPrEx>
          <w:tblCellMar>
            <w:top w:w="0" w:type="dxa"/>
            <w:left w:w="0" w:type="dxa"/>
            <w:bottom w:w="0" w:type="dxa"/>
            <w:right w:w="0" w:type="dxa"/>
          </w:tblCellMar>
        </w:tblPrEx>
        <w:trPr>
          <w:wBefore w:w="0" w:type="auto"/>
          <w:tblCellSpacing w:w="0" w:type="dxa"/>
        </w:trPr>
        <w:tc>
          <w:tcPr>
            <w:tcW w:w="0" w:type="auto"/>
            <w:noWrap w:val="0"/>
            <w:vAlign w:val="center"/>
          </w:tcPr>
          <w:p w14:paraId="74A1E318">
            <w:r>
              <w:rPr>
                <w:rFonts w:hint="eastAsia"/>
              </w:rPr>
              <w:t xml:space="preserve">有效成分及其含量： </w:t>
            </w:r>
          </w:p>
          <w:p w14:paraId="43FB0013">
            <w:r>
              <w:rPr>
                <w:rFonts w:hint="eastAsia"/>
              </w:rPr>
              <w:t xml:space="preserve">    氨基寡糖素1%    噻唑膦9%    </w:t>
            </w:r>
          </w:p>
        </w:tc>
      </w:tr>
      <w:tr w14:paraId="376B830D">
        <w:tblPrEx>
          <w:tblCellMar>
            <w:top w:w="0" w:type="dxa"/>
            <w:left w:w="0" w:type="dxa"/>
            <w:bottom w:w="0" w:type="dxa"/>
            <w:right w:w="0" w:type="dxa"/>
          </w:tblCellMar>
        </w:tblPrEx>
        <w:trPr>
          <w:wBefore w:w="0" w:type="auto"/>
          <w:tblCellSpacing w:w="0" w:type="dxa"/>
        </w:trPr>
        <w:tc>
          <w:tcPr>
            <w:tcW w:w="0" w:type="auto"/>
            <w:noWrap w:val="0"/>
            <w:vAlign w:val="center"/>
          </w:tcPr>
          <w:p w14:paraId="32F5D7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B802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48463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A8278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C350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62271E">
                  <w:r>
                    <w:rPr>
                      <w:rStyle w:val="11"/>
                      <w:rFonts w:hint="eastAsia"/>
                    </w:rPr>
                    <w:t>施用方式</w:t>
                  </w:r>
                </w:p>
              </w:tc>
            </w:tr>
            <w:tr w14:paraId="12D222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62F84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82A749">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2B0C12">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DEFB39">
                  <w:r>
                    <w:rPr>
                      <w:rStyle w:val="11"/>
                      <w:rFonts w:hint="eastAsia"/>
                    </w:rPr>
                    <w:t>撒施</w:t>
                  </w:r>
                </w:p>
              </w:tc>
            </w:tr>
          </w:tbl>
          <w:p w14:paraId="39079EB8">
            <w:pPr>
              <w:rPr>
                <w:rFonts w:ascii="Times New Roman" w:hAnsi="Times New Roman" w:cs="Times New Roman"/>
                <w:sz w:val="20"/>
                <w:szCs w:val="20"/>
              </w:rPr>
            </w:pPr>
          </w:p>
        </w:tc>
      </w:tr>
      <w:tr w14:paraId="3F7FD2B5">
        <w:tblPrEx>
          <w:tblCellMar>
            <w:top w:w="0" w:type="dxa"/>
            <w:left w:w="0" w:type="dxa"/>
            <w:bottom w:w="0" w:type="dxa"/>
            <w:right w:w="0" w:type="dxa"/>
          </w:tblCellMar>
        </w:tblPrEx>
        <w:trPr>
          <w:wBefore w:w="0" w:type="auto"/>
          <w:tblCellSpacing w:w="0" w:type="dxa"/>
        </w:trPr>
        <w:tc>
          <w:tcPr>
            <w:tcW w:w="0" w:type="auto"/>
            <w:noWrap w:val="0"/>
            <w:vAlign w:val="center"/>
          </w:tcPr>
          <w:p w14:paraId="3C9DF19B">
            <w:r>
              <w:rPr>
                <w:rStyle w:val="10"/>
                <w:rFonts w:hint="eastAsia"/>
              </w:rPr>
              <w:t>使用技术要求:</w:t>
            </w:r>
            <w:r>
              <w:rPr>
                <w:rFonts w:hint="eastAsia"/>
              </w:rPr>
              <w:br w:type="textWrapping"/>
            </w:r>
            <w:r>
              <w:rPr>
                <w:rStyle w:val="11"/>
                <w:rFonts w:hint="eastAsia"/>
              </w:rPr>
              <w:t>1. 施药时间：定植前使用。2. 使用方法：施药方法为撒施，于黄瓜移栽前施药1次，将所需药剂撒施于土壤表面，然后使用工具将药剂与土壤充分混合，深度约15~20cm。3. 本品在黄瓜上每季最多使用次数为1次。</w:t>
            </w:r>
          </w:p>
        </w:tc>
      </w:tr>
      <w:tr w14:paraId="69FC2EA9">
        <w:tblPrEx>
          <w:tblCellMar>
            <w:top w:w="0" w:type="dxa"/>
            <w:left w:w="0" w:type="dxa"/>
            <w:bottom w:w="0" w:type="dxa"/>
            <w:right w:w="0" w:type="dxa"/>
          </w:tblCellMar>
        </w:tblPrEx>
        <w:trPr>
          <w:wBefore w:w="0" w:type="auto"/>
          <w:tblCellSpacing w:w="0" w:type="dxa"/>
        </w:trPr>
        <w:tc>
          <w:tcPr>
            <w:tcW w:w="0" w:type="auto"/>
            <w:noWrap w:val="0"/>
            <w:vAlign w:val="center"/>
          </w:tcPr>
          <w:p w14:paraId="1ABA60AC">
            <w:r>
              <w:rPr>
                <w:rStyle w:val="10"/>
                <w:rFonts w:hint="eastAsia"/>
              </w:rPr>
              <w:t>产品性能:</w:t>
            </w:r>
            <w:r>
              <w:rPr>
                <w:rFonts w:hint="eastAsia"/>
              </w:rPr>
              <w:br w:type="textWrapping"/>
            </w:r>
            <w:r>
              <w:rPr>
                <w:rStyle w:val="11"/>
                <w:rFonts w:hint="eastAsia"/>
              </w:rPr>
              <w:t>噻唑膦为触杀性和内吸传导型杀线虫剂，用低剂量就能阻碍线虫的活动，防止线虫对植物根部的侵入。氨基寡糖素属植物诱导抗病剂，在抵御病原菌侵蚀的过程中，能诱导激发植物产生一系列的防御反应，直接抑制病原物生长或释放一些寡聚糖素（具有活性的寡聚糖），在细胞表面参与对病原物的限制作用。二者作用机制不同，混配后可以有效防治黄瓜根结线虫病。本产品持效期长，推荐剂量下对作物安全。</w:t>
            </w:r>
          </w:p>
        </w:tc>
      </w:tr>
      <w:tr w14:paraId="1B007628">
        <w:tblPrEx>
          <w:tblCellMar>
            <w:top w:w="0" w:type="dxa"/>
            <w:left w:w="0" w:type="dxa"/>
            <w:bottom w:w="0" w:type="dxa"/>
            <w:right w:w="0" w:type="dxa"/>
          </w:tblCellMar>
        </w:tblPrEx>
        <w:trPr>
          <w:wBefore w:w="0" w:type="auto"/>
          <w:tblCellSpacing w:w="0" w:type="dxa"/>
        </w:trPr>
        <w:tc>
          <w:tcPr>
            <w:tcW w:w="0" w:type="auto"/>
            <w:noWrap w:val="0"/>
            <w:vAlign w:val="center"/>
          </w:tcPr>
          <w:p w14:paraId="077574DB">
            <w:r>
              <w:rPr>
                <w:rStyle w:val="10"/>
                <w:rFonts w:hint="eastAsia"/>
              </w:rPr>
              <w:t>注意事项：</w:t>
            </w:r>
            <w:r>
              <w:rPr>
                <w:rFonts w:hint="eastAsia"/>
              </w:rPr>
              <w:br w:type="textWrapping"/>
            </w:r>
            <w:r>
              <w:rPr>
                <w:rStyle w:val="11"/>
                <w:rFonts w:hint="eastAsia"/>
              </w:rPr>
              <w:t>1. 施药前应将大块土壤打碎以保药效。2. 使用方法不当，超量使用或土壤水份过多时易引起药害，请按推荐剂量正确使用。3. 本品对蜜蜂、鱼类等水生生物、家蚕有毒，（周围）开花植物花期禁用，使用时应密切关注对附近蜂群的影响；蚕室和桑园附近禁用。远离水产养殖区施药，禁止在河塘等水体中清洗施药器具，避免污染水源。鸟类保护附近禁用，施药后立即覆土。4. 本品对眼睛有刺激性，使用时避免接触眼睛，穿戴长衣、长裤、帽子、口罩、手套等防护措施。避免吸入药液，污染皮肤和眼睛，施药期间不可吃东西和饮水。施药完毕后应及时换洗衣物，洗净手和脸。5. 用过的容器应妥善处理，不可做他用，也不可随意丢弃。6. 孕妇及哺乳期妇女禁止接触本品。</w:t>
            </w:r>
          </w:p>
        </w:tc>
      </w:tr>
      <w:tr w14:paraId="50FD4E10">
        <w:tblPrEx>
          <w:tblCellMar>
            <w:top w:w="0" w:type="dxa"/>
            <w:left w:w="0" w:type="dxa"/>
            <w:bottom w:w="0" w:type="dxa"/>
            <w:right w:w="0" w:type="dxa"/>
          </w:tblCellMar>
        </w:tblPrEx>
        <w:trPr>
          <w:wBefore w:w="0" w:type="auto"/>
          <w:tblCellSpacing w:w="0" w:type="dxa"/>
        </w:trPr>
        <w:tc>
          <w:tcPr>
            <w:tcW w:w="0" w:type="auto"/>
            <w:noWrap w:val="0"/>
            <w:vAlign w:val="center"/>
          </w:tcPr>
          <w:p w14:paraId="45752E52">
            <w:r>
              <w:rPr>
                <w:rStyle w:val="10"/>
                <w:rFonts w:hint="eastAsia"/>
              </w:rPr>
              <w:t>中毒急救措施：</w:t>
            </w:r>
            <w:r>
              <w:rPr>
                <w:rFonts w:hint="eastAsia"/>
              </w:rPr>
              <w:br w:type="textWrapping"/>
            </w:r>
            <w:r>
              <w:rPr>
                <w:rStyle w:val="11"/>
                <w:rFonts w:hint="eastAsia"/>
              </w:rPr>
              <w:t>1. 如接触皮肤，应用肥皂和大量清水彻底清洗皮肤表面。 2. 如药液接触眼睛, 应用大量清水至少冲洗15分钟。 3. 如误服，饮水催吐后，立即携此标签将病人送医院就诊，解毒剂为阿托品。</w:t>
            </w:r>
          </w:p>
        </w:tc>
      </w:tr>
      <w:tr w14:paraId="377D9830">
        <w:tblPrEx>
          <w:tblCellMar>
            <w:top w:w="0" w:type="dxa"/>
            <w:left w:w="0" w:type="dxa"/>
            <w:bottom w:w="0" w:type="dxa"/>
            <w:right w:w="0" w:type="dxa"/>
          </w:tblCellMar>
        </w:tblPrEx>
        <w:trPr>
          <w:wBefore w:w="0" w:type="auto"/>
          <w:tblCellSpacing w:w="0" w:type="dxa"/>
        </w:trPr>
        <w:tc>
          <w:tcPr>
            <w:tcW w:w="0" w:type="auto"/>
            <w:noWrap w:val="0"/>
            <w:vAlign w:val="center"/>
          </w:tcPr>
          <w:p w14:paraId="451232E2">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本品应贮存在阴凉、干燥、通风、防雨处。远离火源或热源。置于儿童、无关人员触及不到之处，并加锁。勿与食品、饮料、粮食、饲料等同贮同运。</w:t>
            </w:r>
          </w:p>
        </w:tc>
      </w:tr>
      <w:tr w14:paraId="508DA7F0">
        <w:tblPrEx>
          <w:tblCellMar>
            <w:top w:w="0" w:type="dxa"/>
            <w:left w:w="0" w:type="dxa"/>
            <w:bottom w:w="0" w:type="dxa"/>
            <w:right w:w="0" w:type="dxa"/>
          </w:tblCellMar>
        </w:tblPrEx>
        <w:trPr>
          <w:wBefore w:w="0" w:type="auto"/>
          <w:tblCellSpacing w:w="0" w:type="dxa"/>
        </w:trPr>
        <w:tc>
          <w:tcPr>
            <w:tcW w:w="0" w:type="auto"/>
            <w:noWrap w:val="0"/>
            <w:vAlign w:val="center"/>
          </w:tcPr>
          <w:p w14:paraId="4C9405BB">
            <w:r>
              <w:rPr>
                <w:rStyle w:val="10"/>
                <w:rFonts w:hint="eastAsia"/>
              </w:rPr>
              <w:t>质量保证期：</w:t>
            </w:r>
            <w:r>
              <w:rPr>
                <w:rStyle w:val="11"/>
                <w:rFonts w:hint="eastAsia"/>
              </w:rPr>
              <w:t>2年</w:t>
            </w:r>
          </w:p>
        </w:tc>
      </w:tr>
      <w:tr w14:paraId="6091ACFE">
        <w:tblPrEx>
          <w:tblCellMar>
            <w:top w:w="0" w:type="dxa"/>
            <w:left w:w="0" w:type="dxa"/>
            <w:bottom w:w="0" w:type="dxa"/>
            <w:right w:w="0" w:type="dxa"/>
          </w:tblCellMar>
        </w:tblPrEx>
        <w:trPr>
          <w:wBefore w:w="0" w:type="auto"/>
          <w:tblCellSpacing w:w="0" w:type="dxa"/>
        </w:trPr>
        <w:tc>
          <w:tcPr>
            <w:tcW w:w="0" w:type="auto"/>
            <w:noWrap w:val="0"/>
            <w:vAlign w:val="center"/>
          </w:tcPr>
          <w:p w14:paraId="4D8651AD">
            <w:r>
              <w:rPr>
                <w:rStyle w:val="10"/>
                <w:rFonts w:hint="eastAsia"/>
              </w:rPr>
              <w:t>备注：</w:t>
            </w:r>
          </w:p>
        </w:tc>
      </w:tr>
    </w:tbl>
    <w:p w14:paraId="63B7FEE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284A63">
        <w:tblPrEx>
          <w:tblCellMar>
            <w:top w:w="0" w:type="dxa"/>
            <w:left w:w="0" w:type="dxa"/>
            <w:bottom w:w="0" w:type="dxa"/>
            <w:right w:w="0" w:type="dxa"/>
          </w:tblCellMar>
        </w:tblPrEx>
        <w:trPr>
          <w:wBefore w:w="0" w:type="auto"/>
          <w:tblCellSpacing w:w="0" w:type="dxa"/>
        </w:trPr>
        <w:tc>
          <w:tcPr>
            <w:tcW w:w="0" w:type="auto"/>
            <w:noWrap w:val="0"/>
            <w:vAlign w:val="center"/>
          </w:tcPr>
          <w:p w14:paraId="48DC7150">
            <w:r>
              <w:rPr>
                <w:rStyle w:val="10"/>
                <w:rFonts w:hint="eastAsia"/>
              </w:rPr>
              <w:t>登记证号：</w:t>
            </w:r>
            <w:r>
              <w:rPr>
                <w:rFonts w:hint="eastAsia"/>
              </w:rPr>
              <w:t>PD20212619</w:t>
            </w:r>
          </w:p>
        </w:tc>
      </w:tr>
      <w:tr w14:paraId="258C22BB">
        <w:tblPrEx>
          <w:tblCellMar>
            <w:top w:w="0" w:type="dxa"/>
            <w:left w:w="0" w:type="dxa"/>
            <w:bottom w:w="0" w:type="dxa"/>
            <w:right w:w="0" w:type="dxa"/>
          </w:tblCellMar>
        </w:tblPrEx>
        <w:trPr>
          <w:wBefore w:w="0" w:type="auto"/>
          <w:tblCellSpacing w:w="0" w:type="dxa"/>
        </w:trPr>
        <w:tc>
          <w:tcPr>
            <w:tcW w:w="0" w:type="auto"/>
            <w:noWrap w:val="0"/>
            <w:vAlign w:val="center"/>
          </w:tcPr>
          <w:p w14:paraId="5A21F85F">
            <w:r>
              <w:rPr>
                <w:rStyle w:val="10"/>
                <w:rFonts w:hint="eastAsia"/>
              </w:rPr>
              <w:t>登记证持有人：</w:t>
            </w:r>
            <w:r>
              <w:rPr>
                <w:rFonts w:hint="eastAsia"/>
              </w:rPr>
              <w:t>安徽喜田生物科技有限公司</w:t>
            </w:r>
          </w:p>
        </w:tc>
      </w:tr>
      <w:tr w14:paraId="6D30AAC4">
        <w:tblPrEx>
          <w:tblCellMar>
            <w:top w:w="0" w:type="dxa"/>
            <w:left w:w="0" w:type="dxa"/>
            <w:bottom w:w="0" w:type="dxa"/>
            <w:right w:w="0" w:type="dxa"/>
          </w:tblCellMar>
        </w:tblPrEx>
        <w:trPr>
          <w:wBefore w:w="0" w:type="auto"/>
          <w:tblCellSpacing w:w="0" w:type="dxa"/>
        </w:trPr>
        <w:tc>
          <w:tcPr>
            <w:tcW w:w="0" w:type="auto"/>
            <w:noWrap w:val="0"/>
            <w:vAlign w:val="center"/>
          </w:tcPr>
          <w:p w14:paraId="02522896">
            <w:r>
              <w:rPr>
                <w:rStyle w:val="10"/>
                <w:rFonts w:hint="eastAsia"/>
              </w:rPr>
              <w:t>农药名称：</w:t>
            </w:r>
            <w:r>
              <w:rPr>
                <w:rFonts w:hint="eastAsia"/>
              </w:rPr>
              <w:t>甲基二磺隆·异丙隆</w:t>
            </w:r>
          </w:p>
        </w:tc>
      </w:tr>
      <w:tr w14:paraId="389AE97F">
        <w:tblPrEx>
          <w:tblCellMar>
            <w:top w:w="0" w:type="dxa"/>
            <w:left w:w="0" w:type="dxa"/>
            <w:bottom w:w="0" w:type="dxa"/>
            <w:right w:w="0" w:type="dxa"/>
          </w:tblCellMar>
        </w:tblPrEx>
        <w:trPr>
          <w:wBefore w:w="0" w:type="auto"/>
          <w:tblCellSpacing w:w="0" w:type="dxa"/>
        </w:trPr>
        <w:tc>
          <w:tcPr>
            <w:tcW w:w="0" w:type="auto"/>
            <w:noWrap w:val="0"/>
            <w:vAlign w:val="center"/>
          </w:tcPr>
          <w:p w14:paraId="1AE6057C">
            <w:r>
              <w:rPr>
                <w:rStyle w:val="10"/>
                <w:rFonts w:hint="eastAsia"/>
              </w:rPr>
              <w:t>剂型：</w:t>
            </w:r>
            <w:r>
              <w:rPr>
                <w:rFonts w:hint="eastAsia"/>
              </w:rPr>
              <w:t>可分散油悬浮剂</w:t>
            </w:r>
          </w:p>
        </w:tc>
      </w:tr>
      <w:tr w14:paraId="2B9814E5">
        <w:tblPrEx>
          <w:tblCellMar>
            <w:top w:w="0" w:type="dxa"/>
            <w:left w:w="0" w:type="dxa"/>
            <w:bottom w:w="0" w:type="dxa"/>
            <w:right w:w="0" w:type="dxa"/>
          </w:tblCellMar>
        </w:tblPrEx>
        <w:trPr>
          <w:wBefore w:w="0" w:type="auto"/>
          <w:tblCellSpacing w:w="0" w:type="dxa"/>
        </w:trPr>
        <w:tc>
          <w:tcPr>
            <w:tcW w:w="0" w:type="auto"/>
            <w:noWrap w:val="0"/>
            <w:vAlign w:val="center"/>
          </w:tcPr>
          <w:p w14:paraId="7C2C727C">
            <w:r>
              <w:rPr>
                <w:rStyle w:val="10"/>
                <w:rFonts w:hint="eastAsia"/>
              </w:rPr>
              <w:t>毒性及其标识：</w:t>
            </w:r>
            <w:r>
              <w:rPr>
                <w:rFonts w:hint="eastAsia"/>
              </w:rPr>
              <w:t xml:space="preserve"> </w:t>
            </w:r>
            <w:r>
              <w:rPr>
                <w:lang/>
              </w:rPr>
              <w:drawing>
                <wp:inline distT="0" distB="0" distL="114300" distR="114300">
                  <wp:extent cx="476250" cy="323850"/>
                  <wp:effectExtent l="0" t="0" r="0" b="0"/>
                  <wp:docPr id="62" name="图片 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01810A">
        <w:tblPrEx>
          <w:tblCellMar>
            <w:top w:w="0" w:type="dxa"/>
            <w:left w:w="0" w:type="dxa"/>
            <w:bottom w:w="0" w:type="dxa"/>
            <w:right w:w="0" w:type="dxa"/>
          </w:tblCellMar>
        </w:tblPrEx>
        <w:trPr>
          <w:wBefore w:w="0" w:type="auto"/>
          <w:tblCellSpacing w:w="0" w:type="dxa"/>
        </w:trPr>
        <w:tc>
          <w:tcPr>
            <w:tcW w:w="0" w:type="auto"/>
            <w:noWrap w:val="0"/>
            <w:vAlign w:val="center"/>
          </w:tcPr>
          <w:p w14:paraId="03149790">
            <w:r>
              <w:rPr>
                <w:rStyle w:val="10"/>
                <w:rFonts w:hint="eastAsia"/>
              </w:rPr>
              <w:t>总有效成分含量：</w:t>
            </w:r>
            <w:r>
              <w:rPr>
                <w:rFonts w:hint="eastAsia"/>
              </w:rPr>
              <w:t>30%</w:t>
            </w:r>
          </w:p>
        </w:tc>
      </w:tr>
      <w:tr w14:paraId="6C205912">
        <w:tblPrEx>
          <w:tblCellMar>
            <w:top w:w="0" w:type="dxa"/>
            <w:left w:w="0" w:type="dxa"/>
            <w:bottom w:w="0" w:type="dxa"/>
            <w:right w:w="0" w:type="dxa"/>
          </w:tblCellMar>
        </w:tblPrEx>
        <w:trPr>
          <w:wBefore w:w="0" w:type="auto"/>
          <w:tblCellSpacing w:w="0" w:type="dxa"/>
        </w:trPr>
        <w:tc>
          <w:tcPr>
            <w:tcW w:w="0" w:type="auto"/>
            <w:noWrap w:val="0"/>
            <w:vAlign w:val="center"/>
          </w:tcPr>
          <w:p w14:paraId="03EFD2B6">
            <w:r>
              <w:rPr>
                <w:rFonts w:hint="eastAsia"/>
              </w:rPr>
              <w:t xml:space="preserve">有效成分及其含量： </w:t>
            </w:r>
          </w:p>
          <w:p w14:paraId="5ED20084">
            <w:r>
              <w:rPr>
                <w:rFonts w:hint="eastAsia"/>
              </w:rPr>
              <w:t xml:space="preserve">    甲基二磺隆0.3%    异丙隆29.7%    </w:t>
            </w:r>
          </w:p>
        </w:tc>
      </w:tr>
      <w:tr w14:paraId="107476C8">
        <w:tblPrEx>
          <w:tblCellMar>
            <w:top w:w="0" w:type="dxa"/>
            <w:left w:w="0" w:type="dxa"/>
            <w:bottom w:w="0" w:type="dxa"/>
            <w:right w:w="0" w:type="dxa"/>
          </w:tblCellMar>
        </w:tblPrEx>
        <w:trPr>
          <w:wBefore w:w="0" w:type="auto"/>
          <w:tblCellSpacing w:w="0" w:type="dxa"/>
        </w:trPr>
        <w:tc>
          <w:tcPr>
            <w:tcW w:w="0" w:type="auto"/>
            <w:noWrap w:val="0"/>
            <w:vAlign w:val="center"/>
          </w:tcPr>
          <w:p w14:paraId="1A41E1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98C1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0760D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8541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887CD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E15770">
                  <w:r>
                    <w:rPr>
                      <w:rStyle w:val="11"/>
                      <w:rFonts w:hint="eastAsia"/>
                    </w:rPr>
                    <w:t>施用方式</w:t>
                  </w:r>
                </w:p>
              </w:tc>
            </w:tr>
            <w:tr w14:paraId="2FD733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EBBD9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E73CB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710FB">
                  <w:r>
                    <w:rPr>
                      <w:rStyle w:val="11"/>
                      <w:rFonts w:hint="eastAsia"/>
                    </w:rPr>
                    <w:t>150-250毫升/亩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15F984">
                  <w:r>
                    <w:rPr>
                      <w:rStyle w:val="11"/>
                      <w:rFonts w:hint="eastAsia"/>
                    </w:rPr>
                    <w:t>茎叶喷雾</w:t>
                  </w:r>
                </w:p>
              </w:tc>
            </w:tr>
          </w:tbl>
          <w:p w14:paraId="6889CC8C">
            <w:pPr>
              <w:rPr>
                <w:rFonts w:ascii="Times New Roman" w:hAnsi="Times New Roman" w:cs="Times New Roman"/>
                <w:sz w:val="20"/>
                <w:szCs w:val="20"/>
              </w:rPr>
            </w:pPr>
          </w:p>
        </w:tc>
      </w:tr>
      <w:tr w14:paraId="3F73F6BA">
        <w:tblPrEx>
          <w:tblCellMar>
            <w:top w:w="0" w:type="dxa"/>
            <w:left w:w="0" w:type="dxa"/>
            <w:bottom w:w="0" w:type="dxa"/>
            <w:right w:w="0" w:type="dxa"/>
          </w:tblCellMar>
        </w:tblPrEx>
        <w:trPr>
          <w:wBefore w:w="0" w:type="auto"/>
          <w:tblCellSpacing w:w="0" w:type="dxa"/>
        </w:trPr>
        <w:tc>
          <w:tcPr>
            <w:tcW w:w="0" w:type="auto"/>
            <w:noWrap w:val="0"/>
            <w:vAlign w:val="center"/>
          </w:tcPr>
          <w:p w14:paraId="36703676">
            <w:r>
              <w:rPr>
                <w:rStyle w:val="10"/>
                <w:rFonts w:hint="eastAsia"/>
              </w:rPr>
              <w:t>使用技术要求:</w:t>
            </w:r>
            <w:r>
              <w:rPr>
                <w:rFonts w:hint="eastAsia"/>
              </w:rPr>
              <w:br w:type="textWrapping"/>
            </w:r>
            <w:r>
              <w:rPr>
                <w:rStyle w:val="11"/>
                <w:rFonts w:hint="eastAsia"/>
              </w:rPr>
              <w:t>1.本品每季使用１次。 2.于小麦3-6叶期，杂草2.5-5叶期用药。每亩兑水30-45公斤均匀茎叶喷雾处理。3.勿在低温、8℃以下及干旱等不良气候条件下施药。4.大风天或预计1小时内降雨，请勿施药。</w:t>
            </w:r>
          </w:p>
        </w:tc>
      </w:tr>
      <w:tr w14:paraId="740C0CCC">
        <w:tblPrEx>
          <w:tblCellMar>
            <w:top w:w="0" w:type="dxa"/>
            <w:left w:w="0" w:type="dxa"/>
            <w:bottom w:w="0" w:type="dxa"/>
            <w:right w:w="0" w:type="dxa"/>
          </w:tblCellMar>
        </w:tblPrEx>
        <w:trPr>
          <w:wBefore w:w="0" w:type="auto"/>
          <w:tblCellSpacing w:w="0" w:type="dxa"/>
        </w:trPr>
        <w:tc>
          <w:tcPr>
            <w:tcW w:w="0" w:type="auto"/>
            <w:noWrap w:val="0"/>
            <w:vAlign w:val="center"/>
          </w:tcPr>
          <w:p w14:paraId="10839FF3">
            <w:r>
              <w:rPr>
                <w:rStyle w:val="10"/>
                <w:rFonts w:hint="eastAsia"/>
              </w:rPr>
              <w:t>产品性能:</w:t>
            </w:r>
            <w:r>
              <w:rPr>
                <w:rFonts w:hint="eastAsia"/>
              </w:rPr>
              <w:br w:type="textWrapping"/>
            </w:r>
            <w:r>
              <w:rPr>
                <w:rStyle w:val="11"/>
                <w:rFonts w:hint="eastAsia"/>
              </w:rPr>
              <w:t>本品为作用机理不同的两种除草剂复配而成，可有效防除野燕麦、雀麦、狗尾草、硬草、菵草、看麦娘、日本看麦娘、牛繁缕、碎米荠、等杂草及部分阔叶杂草。杀草谱较广，施药适期较宽，对作物较安全；毒性低，使用方便。</w:t>
            </w:r>
          </w:p>
        </w:tc>
      </w:tr>
      <w:tr w14:paraId="74ACFFC9">
        <w:tblPrEx>
          <w:tblCellMar>
            <w:top w:w="0" w:type="dxa"/>
            <w:left w:w="0" w:type="dxa"/>
            <w:bottom w:w="0" w:type="dxa"/>
            <w:right w:w="0" w:type="dxa"/>
          </w:tblCellMar>
        </w:tblPrEx>
        <w:trPr>
          <w:wBefore w:w="0" w:type="auto"/>
          <w:tblCellSpacing w:w="0" w:type="dxa"/>
        </w:trPr>
        <w:tc>
          <w:tcPr>
            <w:tcW w:w="0" w:type="auto"/>
            <w:noWrap w:val="0"/>
            <w:vAlign w:val="center"/>
          </w:tcPr>
          <w:p w14:paraId="1516B033">
            <w:r>
              <w:rPr>
                <w:rStyle w:val="10"/>
                <w:rFonts w:hint="eastAsia"/>
              </w:rPr>
              <w:t>注意事项：</w:t>
            </w:r>
            <w:r>
              <w:rPr>
                <w:rFonts w:hint="eastAsia"/>
              </w:rPr>
              <w:br w:type="textWrapping"/>
            </w:r>
            <w:r>
              <w:rPr>
                <w:rStyle w:val="11"/>
                <w:rFonts w:hint="eastAsia"/>
              </w:rPr>
              <w:t>1.避免施药时药液漂移到邻近敏感作物上。2．使用本品时应穿长衣长裤、靴子、戴手套、眼镜、口罩等适当的防护用具，避免吸入药液；施药期间不可吃东西、饮水、吸烟等；3.脱去防护手套和防护鞋前先用清水冲洗，避免其污染面在脱下时与皮肤接触，并且防护用品必须和其他衣物分开清洗和存放，施药后应及时洗手、洗脸并洗涤施药时穿着的衣物。4．鸟类保护区附近禁用，以避免对鸟类的长期风险。在桑园附近谨慎用药，以避免最外围的桑叶存在潜在危险。5.禁止在河塘等水体中清洗施药器具，避免药液流入湖泊、河流或鱼塘中污染水源。6.用过的容器废弃物应妥善处理，不可做他用，也不可随意丢弃。7.孕妇及哺乳期妇女应避免接触此药。</w:t>
            </w:r>
          </w:p>
        </w:tc>
      </w:tr>
      <w:tr w14:paraId="3E38D7E2">
        <w:tblPrEx>
          <w:tblCellMar>
            <w:top w:w="0" w:type="dxa"/>
            <w:left w:w="0" w:type="dxa"/>
            <w:bottom w:w="0" w:type="dxa"/>
            <w:right w:w="0" w:type="dxa"/>
          </w:tblCellMar>
        </w:tblPrEx>
        <w:trPr>
          <w:wBefore w:w="0" w:type="auto"/>
          <w:tblCellSpacing w:w="0" w:type="dxa"/>
        </w:trPr>
        <w:tc>
          <w:tcPr>
            <w:tcW w:w="0" w:type="auto"/>
            <w:noWrap w:val="0"/>
            <w:vAlign w:val="center"/>
          </w:tcPr>
          <w:p w14:paraId="4A62B6BA">
            <w:r>
              <w:rPr>
                <w:rStyle w:val="10"/>
                <w:rFonts w:hint="eastAsia"/>
              </w:rPr>
              <w:t>中毒急救措施：</w:t>
            </w:r>
            <w:r>
              <w:rPr>
                <w:rFonts w:hint="eastAsia"/>
              </w:rPr>
              <w:br w:type="textWrapping"/>
            </w:r>
            <w:r>
              <w:rPr>
                <w:rStyle w:val="11"/>
                <w:rFonts w:hint="eastAsia"/>
              </w:rPr>
              <w:t>中毒症状：对眼睛有刺激作用。 急救治疗： 1.用药时如果感觉不适，立即停止工作，采取急救措施，并携此标签送医就诊。 2.皮肤接触：立即脱掉被污染的衣物，用大量清水冲洗被污染的皮肤,如皮肤刺激感持续，请医生诊治。再次使用前需清洗被污染的衣物。 3.眼睛溅药：立即将眼睑翻开，用大量清水冲洗至少15分钟，并立即就医。 4.发生吸入：将患者转移到空气新鲜处。如果呼吸不正常或停止，实施人工呼吸。注意患者保暖和休息。立即呼叫医生或毒物控制中心。 5.误服：如果误服，立即联系医生，并出示本品包装容器或标签。6.解毒剂：无特效解毒剂，对症治疗。</w:t>
            </w:r>
          </w:p>
        </w:tc>
      </w:tr>
      <w:tr w14:paraId="21A79CD9">
        <w:tblPrEx>
          <w:tblCellMar>
            <w:top w:w="0" w:type="dxa"/>
            <w:left w:w="0" w:type="dxa"/>
            <w:bottom w:w="0" w:type="dxa"/>
            <w:right w:w="0" w:type="dxa"/>
          </w:tblCellMar>
        </w:tblPrEx>
        <w:trPr>
          <w:wBefore w:w="0" w:type="auto"/>
          <w:tblCellSpacing w:w="0" w:type="dxa"/>
        </w:trPr>
        <w:tc>
          <w:tcPr>
            <w:tcW w:w="0" w:type="auto"/>
            <w:noWrap w:val="0"/>
            <w:vAlign w:val="center"/>
          </w:tcPr>
          <w:p w14:paraId="75CA4172">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 2.本品应贮存于阴凉、干燥、通风处。运输时必须严防潮湿和日晒，防高温、雨淋。本品易燃，存放时远离一切热源和火源。</w:t>
            </w:r>
          </w:p>
        </w:tc>
      </w:tr>
      <w:tr w14:paraId="257C9776">
        <w:tblPrEx>
          <w:tblCellMar>
            <w:top w:w="0" w:type="dxa"/>
            <w:left w:w="0" w:type="dxa"/>
            <w:bottom w:w="0" w:type="dxa"/>
            <w:right w:w="0" w:type="dxa"/>
          </w:tblCellMar>
        </w:tblPrEx>
        <w:trPr>
          <w:wBefore w:w="0" w:type="auto"/>
          <w:tblCellSpacing w:w="0" w:type="dxa"/>
        </w:trPr>
        <w:tc>
          <w:tcPr>
            <w:tcW w:w="0" w:type="auto"/>
            <w:noWrap w:val="0"/>
            <w:vAlign w:val="center"/>
          </w:tcPr>
          <w:p w14:paraId="11917A5F">
            <w:r>
              <w:rPr>
                <w:rStyle w:val="10"/>
                <w:rFonts w:hint="eastAsia"/>
              </w:rPr>
              <w:t>质量保证期：</w:t>
            </w:r>
            <w:r>
              <w:rPr>
                <w:rStyle w:val="11"/>
                <w:rFonts w:hint="eastAsia"/>
              </w:rPr>
              <w:t>2年</w:t>
            </w:r>
          </w:p>
        </w:tc>
      </w:tr>
      <w:tr w14:paraId="2D506D01">
        <w:tblPrEx>
          <w:tblCellMar>
            <w:top w:w="0" w:type="dxa"/>
            <w:left w:w="0" w:type="dxa"/>
            <w:bottom w:w="0" w:type="dxa"/>
            <w:right w:w="0" w:type="dxa"/>
          </w:tblCellMar>
        </w:tblPrEx>
        <w:trPr>
          <w:wBefore w:w="0" w:type="auto"/>
          <w:tblCellSpacing w:w="0" w:type="dxa"/>
        </w:trPr>
        <w:tc>
          <w:tcPr>
            <w:tcW w:w="0" w:type="auto"/>
            <w:noWrap w:val="0"/>
            <w:vAlign w:val="center"/>
          </w:tcPr>
          <w:p w14:paraId="3155737E">
            <w:r>
              <w:rPr>
                <w:rStyle w:val="10"/>
                <w:rFonts w:hint="eastAsia"/>
              </w:rPr>
              <w:t>备注：</w:t>
            </w:r>
          </w:p>
        </w:tc>
      </w:tr>
    </w:tbl>
    <w:p w14:paraId="700C239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B6C216">
        <w:tblPrEx>
          <w:tblCellMar>
            <w:top w:w="0" w:type="dxa"/>
            <w:left w:w="0" w:type="dxa"/>
            <w:bottom w:w="0" w:type="dxa"/>
            <w:right w:w="0" w:type="dxa"/>
          </w:tblCellMar>
        </w:tblPrEx>
        <w:trPr>
          <w:wBefore w:w="0" w:type="auto"/>
          <w:tblCellSpacing w:w="0" w:type="dxa"/>
        </w:trPr>
        <w:tc>
          <w:tcPr>
            <w:tcW w:w="0" w:type="auto"/>
            <w:noWrap w:val="0"/>
            <w:vAlign w:val="center"/>
          </w:tcPr>
          <w:p w14:paraId="463DE174">
            <w:r>
              <w:rPr>
                <w:rStyle w:val="10"/>
                <w:rFonts w:hint="eastAsia"/>
              </w:rPr>
              <w:t>登记证号：</w:t>
            </w:r>
            <w:r>
              <w:rPr>
                <w:rFonts w:hint="eastAsia"/>
              </w:rPr>
              <w:t>PD20212401</w:t>
            </w:r>
          </w:p>
        </w:tc>
      </w:tr>
      <w:tr w14:paraId="14532AB8">
        <w:tblPrEx>
          <w:tblCellMar>
            <w:top w:w="0" w:type="dxa"/>
            <w:left w:w="0" w:type="dxa"/>
            <w:bottom w:w="0" w:type="dxa"/>
            <w:right w:w="0" w:type="dxa"/>
          </w:tblCellMar>
        </w:tblPrEx>
        <w:trPr>
          <w:wBefore w:w="0" w:type="auto"/>
          <w:tblCellSpacing w:w="0" w:type="dxa"/>
        </w:trPr>
        <w:tc>
          <w:tcPr>
            <w:tcW w:w="0" w:type="auto"/>
            <w:noWrap w:val="0"/>
            <w:vAlign w:val="center"/>
          </w:tcPr>
          <w:p w14:paraId="073D7087">
            <w:r>
              <w:rPr>
                <w:rStyle w:val="10"/>
                <w:rFonts w:hint="eastAsia"/>
              </w:rPr>
              <w:t>登记证持有人：</w:t>
            </w:r>
            <w:r>
              <w:rPr>
                <w:rFonts w:hint="eastAsia"/>
              </w:rPr>
              <w:t>山西运城绿康实业有限公司</w:t>
            </w:r>
          </w:p>
        </w:tc>
      </w:tr>
      <w:tr w14:paraId="3532DABF">
        <w:tblPrEx>
          <w:tblCellMar>
            <w:top w:w="0" w:type="dxa"/>
            <w:left w:w="0" w:type="dxa"/>
            <w:bottom w:w="0" w:type="dxa"/>
            <w:right w:w="0" w:type="dxa"/>
          </w:tblCellMar>
        </w:tblPrEx>
        <w:trPr>
          <w:wBefore w:w="0" w:type="auto"/>
          <w:tblCellSpacing w:w="0" w:type="dxa"/>
        </w:trPr>
        <w:tc>
          <w:tcPr>
            <w:tcW w:w="0" w:type="auto"/>
            <w:noWrap w:val="0"/>
            <w:vAlign w:val="center"/>
          </w:tcPr>
          <w:p w14:paraId="0553510F">
            <w:r>
              <w:rPr>
                <w:rStyle w:val="10"/>
                <w:rFonts w:hint="eastAsia"/>
              </w:rPr>
              <w:t>农药名称：</w:t>
            </w:r>
            <w:r>
              <w:rPr>
                <w:rFonts w:hint="eastAsia"/>
              </w:rPr>
              <w:t>甲维·虱螨脲</w:t>
            </w:r>
          </w:p>
        </w:tc>
      </w:tr>
      <w:tr w14:paraId="53400949">
        <w:tblPrEx>
          <w:tblCellMar>
            <w:top w:w="0" w:type="dxa"/>
            <w:left w:w="0" w:type="dxa"/>
            <w:bottom w:w="0" w:type="dxa"/>
            <w:right w:w="0" w:type="dxa"/>
          </w:tblCellMar>
        </w:tblPrEx>
        <w:trPr>
          <w:wBefore w:w="0" w:type="auto"/>
          <w:tblCellSpacing w:w="0" w:type="dxa"/>
        </w:trPr>
        <w:tc>
          <w:tcPr>
            <w:tcW w:w="0" w:type="auto"/>
            <w:noWrap w:val="0"/>
            <w:vAlign w:val="center"/>
          </w:tcPr>
          <w:p w14:paraId="20D03294">
            <w:r>
              <w:rPr>
                <w:rStyle w:val="10"/>
                <w:rFonts w:hint="eastAsia"/>
              </w:rPr>
              <w:t>剂型：</w:t>
            </w:r>
            <w:r>
              <w:rPr>
                <w:rFonts w:hint="eastAsia"/>
              </w:rPr>
              <w:t>悬浮剂</w:t>
            </w:r>
          </w:p>
        </w:tc>
      </w:tr>
      <w:tr w14:paraId="78F01827">
        <w:tblPrEx>
          <w:tblCellMar>
            <w:top w:w="0" w:type="dxa"/>
            <w:left w:w="0" w:type="dxa"/>
            <w:bottom w:w="0" w:type="dxa"/>
            <w:right w:w="0" w:type="dxa"/>
          </w:tblCellMar>
        </w:tblPrEx>
        <w:trPr>
          <w:wBefore w:w="0" w:type="auto"/>
          <w:tblCellSpacing w:w="0" w:type="dxa"/>
        </w:trPr>
        <w:tc>
          <w:tcPr>
            <w:tcW w:w="0" w:type="auto"/>
            <w:noWrap w:val="0"/>
            <w:vAlign w:val="center"/>
          </w:tcPr>
          <w:p w14:paraId="03EFEE4B">
            <w:r>
              <w:rPr>
                <w:rStyle w:val="10"/>
                <w:rFonts w:hint="eastAsia"/>
              </w:rPr>
              <w:t>毒性及其标识：</w:t>
            </w:r>
            <w:r>
              <w:rPr>
                <w:rFonts w:hint="eastAsia"/>
              </w:rPr>
              <w:t xml:space="preserve"> </w:t>
            </w:r>
            <w:r>
              <w:rPr>
                <w:lang/>
              </w:rPr>
              <w:drawing>
                <wp:inline distT="0" distB="0" distL="114300" distR="114300">
                  <wp:extent cx="476250" cy="323850"/>
                  <wp:effectExtent l="0" t="0" r="0" b="0"/>
                  <wp:docPr id="63" name="图片 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4C2DCA1">
        <w:tblPrEx>
          <w:tblCellMar>
            <w:top w:w="0" w:type="dxa"/>
            <w:left w:w="0" w:type="dxa"/>
            <w:bottom w:w="0" w:type="dxa"/>
            <w:right w:w="0" w:type="dxa"/>
          </w:tblCellMar>
        </w:tblPrEx>
        <w:trPr>
          <w:wBefore w:w="0" w:type="auto"/>
          <w:tblCellSpacing w:w="0" w:type="dxa"/>
        </w:trPr>
        <w:tc>
          <w:tcPr>
            <w:tcW w:w="0" w:type="auto"/>
            <w:noWrap w:val="0"/>
            <w:vAlign w:val="center"/>
          </w:tcPr>
          <w:p w14:paraId="0D7C5069">
            <w:r>
              <w:rPr>
                <w:rStyle w:val="10"/>
                <w:rFonts w:hint="eastAsia"/>
              </w:rPr>
              <w:t>总有效成分含量：</w:t>
            </w:r>
            <w:r>
              <w:rPr>
                <w:rFonts w:hint="eastAsia"/>
              </w:rPr>
              <w:t>7.6%</w:t>
            </w:r>
          </w:p>
        </w:tc>
      </w:tr>
      <w:tr w14:paraId="342A5CEB">
        <w:tblPrEx>
          <w:tblCellMar>
            <w:top w:w="0" w:type="dxa"/>
            <w:left w:w="0" w:type="dxa"/>
            <w:bottom w:w="0" w:type="dxa"/>
            <w:right w:w="0" w:type="dxa"/>
          </w:tblCellMar>
        </w:tblPrEx>
        <w:trPr>
          <w:wBefore w:w="0" w:type="auto"/>
          <w:tblCellSpacing w:w="0" w:type="dxa"/>
        </w:trPr>
        <w:tc>
          <w:tcPr>
            <w:tcW w:w="0" w:type="auto"/>
            <w:noWrap w:val="0"/>
            <w:vAlign w:val="center"/>
          </w:tcPr>
          <w:p w14:paraId="658587E0">
            <w:r>
              <w:rPr>
                <w:rFonts w:hint="eastAsia"/>
              </w:rPr>
              <w:t xml:space="preserve">有效成分及其含量： </w:t>
            </w:r>
          </w:p>
          <w:p w14:paraId="42EF85C9">
            <w:r>
              <w:rPr>
                <w:rFonts w:hint="eastAsia"/>
              </w:rPr>
              <w:t xml:space="preserve">    甲氨基阿维菌素2.6%    虱螨脲5%    </w:t>
            </w:r>
          </w:p>
        </w:tc>
      </w:tr>
      <w:tr w14:paraId="6A20774B">
        <w:tblPrEx>
          <w:tblCellMar>
            <w:top w:w="0" w:type="dxa"/>
            <w:left w:w="0" w:type="dxa"/>
            <w:bottom w:w="0" w:type="dxa"/>
            <w:right w:w="0" w:type="dxa"/>
          </w:tblCellMar>
        </w:tblPrEx>
        <w:trPr>
          <w:wBefore w:w="0" w:type="auto"/>
          <w:tblCellSpacing w:w="0" w:type="dxa"/>
        </w:trPr>
        <w:tc>
          <w:tcPr>
            <w:tcW w:w="0" w:type="auto"/>
            <w:noWrap w:val="0"/>
            <w:vAlign w:val="center"/>
          </w:tcPr>
          <w:p w14:paraId="1AE2D3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0CCA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E129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29BE8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E46E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741219">
                  <w:r>
                    <w:rPr>
                      <w:rStyle w:val="11"/>
                      <w:rFonts w:hint="eastAsia"/>
                    </w:rPr>
                    <w:t>施用方式</w:t>
                  </w:r>
                </w:p>
              </w:tc>
            </w:tr>
            <w:tr w14:paraId="2467AB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B49E2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3DF3D1">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DCF7A4">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91A1D2">
                  <w:r>
                    <w:rPr>
                      <w:rStyle w:val="11"/>
                      <w:rFonts w:hint="eastAsia"/>
                    </w:rPr>
                    <w:t>喷雾</w:t>
                  </w:r>
                </w:p>
              </w:tc>
            </w:tr>
          </w:tbl>
          <w:p w14:paraId="7BFC5478">
            <w:pPr>
              <w:rPr>
                <w:rFonts w:ascii="Times New Roman" w:hAnsi="Times New Roman" w:cs="Times New Roman"/>
                <w:sz w:val="20"/>
                <w:szCs w:val="20"/>
              </w:rPr>
            </w:pPr>
          </w:p>
        </w:tc>
      </w:tr>
      <w:tr w14:paraId="5B4C8B08">
        <w:tblPrEx>
          <w:tblCellMar>
            <w:top w:w="0" w:type="dxa"/>
            <w:left w:w="0" w:type="dxa"/>
            <w:bottom w:w="0" w:type="dxa"/>
            <w:right w:w="0" w:type="dxa"/>
          </w:tblCellMar>
        </w:tblPrEx>
        <w:trPr>
          <w:wBefore w:w="0" w:type="auto"/>
          <w:tblCellSpacing w:w="0" w:type="dxa"/>
        </w:trPr>
        <w:tc>
          <w:tcPr>
            <w:tcW w:w="0" w:type="auto"/>
            <w:noWrap w:val="0"/>
            <w:vAlign w:val="center"/>
          </w:tcPr>
          <w:p w14:paraId="138C2399">
            <w:r>
              <w:rPr>
                <w:rStyle w:val="10"/>
                <w:rFonts w:hint="eastAsia"/>
              </w:rPr>
              <w:t>使用技术要求:</w:t>
            </w:r>
            <w:r>
              <w:rPr>
                <w:rFonts w:hint="eastAsia"/>
              </w:rPr>
              <w:br w:type="textWrapping"/>
            </w:r>
            <w:r>
              <w:rPr>
                <w:rStyle w:val="11"/>
                <w:rFonts w:hint="eastAsia"/>
              </w:rPr>
              <w:t>1.于甘蓝甜菜夜蛾低龄幼虫期施药，注意喷雾均匀。2.大风天或预计1小时内降雨，请勿施药。3.在甘蓝上使用的安全间隔期为7天，每季作物最多使用1次。</w:t>
            </w:r>
          </w:p>
        </w:tc>
      </w:tr>
      <w:tr w14:paraId="27B9CE4B">
        <w:tblPrEx>
          <w:tblCellMar>
            <w:top w:w="0" w:type="dxa"/>
            <w:left w:w="0" w:type="dxa"/>
            <w:bottom w:w="0" w:type="dxa"/>
            <w:right w:w="0" w:type="dxa"/>
          </w:tblCellMar>
        </w:tblPrEx>
        <w:trPr>
          <w:wBefore w:w="0" w:type="auto"/>
          <w:tblCellSpacing w:w="0" w:type="dxa"/>
        </w:trPr>
        <w:tc>
          <w:tcPr>
            <w:tcW w:w="0" w:type="auto"/>
            <w:noWrap w:val="0"/>
            <w:vAlign w:val="center"/>
          </w:tcPr>
          <w:p w14:paraId="7D595577">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按登记剂量使用时，对甘蓝甜菜夜蛾有较好的防治效果。</w:t>
            </w:r>
          </w:p>
        </w:tc>
      </w:tr>
      <w:tr w14:paraId="2EF11A4B">
        <w:tblPrEx>
          <w:tblCellMar>
            <w:top w:w="0" w:type="dxa"/>
            <w:left w:w="0" w:type="dxa"/>
            <w:bottom w:w="0" w:type="dxa"/>
            <w:right w:w="0" w:type="dxa"/>
          </w:tblCellMar>
        </w:tblPrEx>
        <w:trPr>
          <w:wBefore w:w="0" w:type="auto"/>
          <w:tblCellSpacing w:w="0" w:type="dxa"/>
        </w:trPr>
        <w:tc>
          <w:tcPr>
            <w:tcW w:w="0" w:type="auto"/>
            <w:noWrap w:val="0"/>
            <w:vAlign w:val="center"/>
          </w:tcPr>
          <w:p w14:paraId="1F8FCF85">
            <w:r>
              <w:rPr>
                <w:rStyle w:val="10"/>
                <w:rFonts w:hint="eastAsia"/>
              </w:rPr>
              <w:t>注意事项：</w:t>
            </w:r>
            <w:r>
              <w:rPr>
                <w:rFonts w:hint="eastAsia"/>
              </w:rPr>
              <w:br w:type="textWrapping"/>
            </w:r>
            <w:r>
              <w:rPr>
                <w:rStyle w:val="11"/>
                <w:rFonts w:hint="eastAsia"/>
              </w:rPr>
              <w:t>1、严格按照规定用药量和方法使用。2、建议与其他作用机制不同的杀虫剂轮换使用，以延缓抗性产生。3、（周围）开花植物花期禁用；蚕室及桑园附近禁用；禁止在河塘等水体中清洗施药器具。4、使用过的施药器械，应清洗干净方可用于其它的农药。5、施用时应戴防护镜、口罩和手套，穿长衣、长裤；施药中禁止饮食、吸烟、饮水等；施药后应用肥皂和清水彻底清洗暴露在外的皮肤。6、用药后包装物及用过的容器应妥善处理，不可做他用，也不可随意丢弃。7、孕妇、哺乳期的妇女禁止接触本产品。8、避免与氧化剂接触”。</w:t>
            </w:r>
          </w:p>
        </w:tc>
      </w:tr>
      <w:tr w14:paraId="5A819442">
        <w:tblPrEx>
          <w:tblCellMar>
            <w:top w:w="0" w:type="dxa"/>
            <w:left w:w="0" w:type="dxa"/>
            <w:bottom w:w="0" w:type="dxa"/>
            <w:right w:w="0" w:type="dxa"/>
          </w:tblCellMar>
        </w:tblPrEx>
        <w:trPr>
          <w:wBefore w:w="0" w:type="auto"/>
          <w:tblCellSpacing w:w="0" w:type="dxa"/>
        </w:trPr>
        <w:tc>
          <w:tcPr>
            <w:tcW w:w="0" w:type="auto"/>
            <w:noWrap w:val="0"/>
            <w:vAlign w:val="center"/>
          </w:tcPr>
          <w:p w14:paraId="60D06C17">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18D6DFEC">
        <w:tblPrEx>
          <w:tblCellMar>
            <w:top w:w="0" w:type="dxa"/>
            <w:left w:w="0" w:type="dxa"/>
            <w:bottom w:w="0" w:type="dxa"/>
            <w:right w:w="0" w:type="dxa"/>
          </w:tblCellMar>
        </w:tblPrEx>
        <w:trPr>
          <w:wBefore w:w="0" w:type="auto"/>
          <w:tblCellSpacing w:w="0" w:type="dxa"/>
        </w:trPr>
        <w:tc>
          <w:tcPr>
            <w:tcW w:w="0" w:type="auto"/>
            <w:noWrap w:val="0"/>
            <w:vAlign w:val="center"/>
          </w:tcPr>
          <w:p w14:paraId="692CCDFB">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本品应储存在干燥、阴凉、通风、防雨处，远离火源或热源。置于儿童接触不到的地方，并加锁保存。不能与食品、饮料、粮食、饲料等同储同运。在装卸、运输时应轻拿轻放。</w:t>
            </w:r>
          </w:p>
        </w:tc>
      </w:tr>
      <w:tr w14:paraId="0FB9EC1B">
        <w:tblPrEx>
          <w:tblCellMar>
            <w:top w:w="0" w:type="dxa"/>
            <w:left w:w="0" w:type="dxa"/>
            <w:bottom w:w="0" w:type="dxa"/>
            <w:right w:w="0" w:type="dxa"/>
          </w:tblCellMar>
        </w:tblPrEx>
        <w:trPr>
          <w:wBefore w:w="0" w:type="auto"/>
          <w:tblCellSpacing w:w="0" w:type="dxa"/>
        </w:trPr>
        <w:tc>
          <w:tcPr>
            <w:tcW w:w="0" w:type="auto"/>
            <w:noWrap w:val="0"/>
            <w:vAlign w:val="center"/>
          </w:tcPr>
          <w:p w14:paraId="2F414A9F">
            <w:r>
              <w:rPr>
                <w:rStyle w:val="10"/>
                <w:rFonts w:hint="eastAsia"/>
              </w:rPr>
              <w:t>质量保证期：</w:t>
            </w:r>
            <w:r>
              <w:rPr>
                <w:rStyle w:val="11"/>
                <w:rFonts w:hint="eastAsia"/>
              </w:rPr>
              <w:t>2年</w:t>
            </w:r>
          </w:p>
        </w:tc>
      </w:tr>
      <w:tr w14:paraId="31EFFFBF">
        <w:tblPrEx>
          <w:tblCellMar>
            <w:top w:w="0" w:type="dxa"/>
            <w:left w:w="0" w:type="dxa"/>
            <w:bottom w:w="0" w:type="dxa"/>
            <w:right w:w="0" w:type="dxa"/>
          </w:tblCellMar>
        </w:tblPrEx>
        <w:trPr>
          <w:wBefore w:w="0" w:type="auto"/>
          <w:tblCellSpacing w:w="0" w:type="dxa"/>
        </w:trPr>
        <w:tc>
          <w:tcPr>
            <w:tcW w:w="0" w:type="auto"/>
            <w:noWrap w:val="0"/>
            <w:vAlign w:val="center"/>
          </w:tcPr>
          <w:p w14:paraId="27215783">
            <w:r>
              <w:rPr>
                <w:rStyle w:val="10"/>
                <w:rFonts w:hint="eastAsia"/>
              </w:rPr>
              <w:t>备注：</w:t>
            </w:r>
            <w:r>
              <w:rPr>
                <w:rFonts w:hint="eastAsia"/>
              </w:rPr>
              <w:br w:type="textWrapping"/>
            </w:r>
            <w:r>
              <w:rPr>
                <w:rStyle w:val="11"/>
                <w:rFonts w:hint="eastAsia"/>
              </w:rPr>
              <w:t>甲氨基阿维菌素苯甲酸盐含量：3%</w:t>
            </w:r>
          </w:p>
        </w:tc>
      </w:tr>
    </w:tbl>
    <w:p w14:paraId="13C8E44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EF9F22">
        <w:tblPrEx>
          <w:tblCellMar>
            <w:top w:w="0" w:type="dxa"/>
            <w:left w:w="0" w:type="dxa"/>
            <w:bottom w:w="0" w:type="dxa"/>
            <w:right w:w="0" w:type="dxa"/>
          </w:tblCellMar>
        </w:tblPrEx>
        <w:trPr>
          <w:wBefore w:w="0" w:type="auto"/>
          <w:tblCellSpacing w:w="0" w:type="dxa"/>
        </w:trPr>
        <w:tc>
          <w:tcPr>
            <w:tcW w:w="0" w:type="auto"/>
            <w:noWrap w:val="0"/>
            <w:vAlign w:val="center"/>
          </w:tcPr>
          <w:p w14:paraId="5D69447C">
            <w:r>
              <w:rPr>
                <w:rStyle w:val="10"/>
                <w:rFonts w:hint="eastAsia"/>
              </w:rPr>
              <w:t>登记证号：</w:t>
            </w:r>
            <w:r>
              <w:rPr>
                <w:rFonts w:hint="eastAsia"/>
              </w:rPr>
              <w:t>PD20212506</w:t>
            </w:r>
          </w:p>
        </w:tc>
      </w:tr>
      <w:tr w14:paraId="47E7135E">
        <w:tblPrEx>
          <w:tblCellMar>
            <w:top w:w="0" w:type="dxa"/>
            <w:left w:w="0" w:type="dxa"/>
            <w:bottom w:w="0" w:type="dxa"/>
            <w:right w:w="0" w:type="dxa"/>
          </w:tblCellMar>
        </w:tblPrEx>
        <w:trPr>
          <w:wBefore w:w="0" w:type="auto"/>
          <w:tblCellSpacing w:w="0" w:type="dxa"/>
        </w:trPr>
        <w:tc>
          <w:tcPr>
            <w:tcW w:w="0" w:type="auto"/>
            <w:noWrap w:val="0"/>
            <w:vAlign w:val="center"/>
          </w:tcPr>
          <w:p w14:paraId="7D133DB5">
            <w:r>
              <w:rPr>
                <w:rStyle w:val="10"/>
                <w:rFonts w:hint="eastAsia"/>
              </w:rPr>
              <w:t>登记证持有人：</w:t>
            </w:r>
            <w:r>
              <w:rPr>
                <w:rFonts w:hint="eastAsia"/>
              </w:rPr>
              <w:t>鹤壁正午阳光化工有限责任公司</w:t>
            </w:r>
          </w:p>
        </w:tc>
      </w:tr>
      <w:tr w14:paraId="66255FC8">
        <w:tblPrEx>
          <w:tblCellMar>
            <w:top w:w="0" w:type="dxa"/>
            <w:left w:w="0" w:type="dxa"/>
            <w:bottom w:w="0" w:type="dxa"/>
            <w:right w:w="0" w:type="dxa"/>
          </w:tblCellMar>
        </w:tblPrEx>
        <w:trPr>
          <w:wBefore w:w="0" w:type="auto"/>
          <w:tblCellSpacing w:w="0" w:type="dxa"/>
        </w:trPr>
        <w:tc>
          <w:tcPr>
            <w:tcW w:w="0" w:type="auto"/>
            <w:noWrap w:val="0"/>
            <w:vAlign w:val="center"/>
          </w:tcPr>
          <w:p w14:paraId="38428833">
            <w:r>
              <w:rPr>
                <w:rStyle w:val="10"/>
                <w:rFonts w:hint="eastAsia"/>
              </w:rPr>
              <w:t>农药名称：</w:t>
            </w:r>
            <w:r>
              <w:rPr>
                <w:rFonts w:hint="eastAsia"/>
              </w:rPr>
              <w:t>砜·喹·嗪草酮</w:t>
            </w:r>
          </w:p>
        </w:tc>
      </w:tr>
      <w:tr w14:paraId="7C5F1654">
        <w:tblPrEx>
          <w:tblCellMar>
            <w:top w:w="0" w:type="dxa"/>
            <w:left w:w="0" w:type="dxa"/>
            <w:bottom w:w="0" w:type="dxa"/>
            <w:right w:w="0" w:type="dxa"/>
          </w:tblCellMar>
        </w:tblPrEx>
        <w:trPr>
          <w:wBefore w:w="0" w:type="auto"/>
          <w:tblCellSpacing w:w="0" w:type="dxa"/>
        </w:trPr>
        <w:tc>
          <w:tcPr>
            <w:tcW w:w="0" w:type="auto"/>
            <w:noWrap w:val="0"/>
            <w:vAlign w:val="center"/>
          </w:tcPr>
          <w:p w14:paraId="63BE8374">
            <w:r>
              <w:rPr>
                <w:rStyle w:val="10"/>
                <w:rFonts w:hint="eastAsia"/>
              </w:rPr>
              <w:t>剂型：</w:t>
            </w:r>
            <w:r>
              <w:rPr>
                <w:rFonts w:hint="eastAsia"/>
              </w:rPr>
              <w:t>可分散油悬浮剂</w:t>
            </w:r>
          </w:p>
        </w:tc>
      </w:tr>
      <w:tr w14:paraId="2C316A7B">
        <w:tblPrEx>
          <w:tblCellMar>
            <w:top w:w="0" w:type="dxa"/>
            <w:left w:w="0" w:type="dxa"/>
            <w:bottom w:w="0" w:type="dxa"/>
            <w:right w:w="0" w:type="dxa"/>
          </w:tblCellMar>
        </w:tblPrEx>
        <w:trPr>
          <w:wBefore w:w="0" w:type="auto"/>
          <w:tblCellSpacing w:w="0" w:type="dxa"/>
        </w:trPr>
        <w:tc>
          <w:tcPr>
            <w:tcW w:w="0" w:type="auto"/>
            <w:noWrap w:val="0"/>
            <w:vAlign w:val="center"/>
          </w:tcPr>
          <w:p w14:paraId="0D950D82">
            <w:r>
              <w:rPr>
                <w:rStyle w:val="10"/>
                <w:rFonts w:hint="eastAsia"/>
              </w:rPr>
              <w:t>毒性及其标识：</w:t>
            </w:r>
            <w:r>
              <w:rPr>
                <w:rFonts w:hint="eastAsia"/>
              </w:rPr>
              <w:t xml:space="preserve"> </w:t>
            </w:r>
            <w:r>
              <w:rPr>
                <w:lang/>
              </w:rPr>
              <w:drawing>
                <wp:inline distT="0" distB="0" distL="114300" distR="114300">
                  <wp:extent cx="476250" cy="323850"/>
                  <wp:effectExtent l="0" t="0" r="0" b="0"/>
                  <wp:docPr id="64" name="图片 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5AF623">
        <w:tblPrEx>
          <w:tblCellMar>
            <w:top w:w="0" w:type="dxa"/>
            <w:left w:w="0" w:type="dxa"/>
            <w:bottom w:w="0" w:type="dxa"/>
            <w:right w:w="0" w:type="dxa"/>
          </w:tblCellMar>
        </w:tblPrEx>
        <w:trPr>
          <w:wBefore w:w="0" w:type="auto"/>
          <w:tblCellSpacing w:w="0" w:type="dxa"/>
        </w:trPr>
        <w:tc>
          <w:tcPr>
            <w:tcW w:w="0" w:type="auto"/>
            <w:noWrap w:val="0"/>
            <w:vAlign w:val="center"/>
          </w:tcPr>
          <w:p w14:paraId="2BF400EC">
            <w:r>
              <w:rPr>
                <w:rStyle w:val="10"/>
                <w:rFonts w:hint="eastAsia"/>
              </w:rPr>
              <w:t>总有效成分含量：</w:t>
            </w:r>
            <w:r>
              <w:rPr>
                <w:rFonts w:hint="eastAsia"/>
              </w:rPr>
              <w:t>23.2%</w:t>
            </w:r>
          </w:p>
        </w:tc>
      </w:tr>
      <w:tr w14:paraId="111FB3DD">
        <w:tblPrEx>
          <w:tblCellMar>
            <w:top w:w="0" w:type="dxa"/>
            <w:left w:w="0" w:type="dxa"/>
            <w:bottom w:w="0" w:type="dxa"/>
            <w:right w:w="0" w:type="dxa"/>
          </w:tblCellMar>
        </w:tblPrEx>
        <w:trPr>
          <w:wBefore w:w="0" w:type="auto"/>
          <w:tblCellSpacing w:w="0" w:type="dxa"/>
        </w:trPr>
        <w:tc>
          <w:tcPr>
            <w:tcW w:w="0" w:type="auto"/>
            <w:noWrap w:val="0"/>
            <w:vAlign w:val="center"/>
          </w:tcPr>
          <w:p w14:paraId="39C1B6EB">
            <w:r>
              <w:rPr>
                <w:rFonts w:hint="eastAsia"/>
              </w:rPr>
              <w:t xml:space="preserve">有效成分及其含量： </w:t>
            </w:r>
          </w:p>
          <w:p w14:paraId="2D1ACDFB">
            <w:r>
              <w:rPr>
                <w:rFonts w:hint="eastAsia"/>
              </w:rPr>
              <w:t xml:space="preserve">    砜嘧磺隆1.2%    精喹禾灵4%    嗪草酮18%    </w:t>
            </w:r>
          </w:p>
        </w:tc>
      </w:tr>
      <w:tr w14:paraId="635C58F5">
        <w:tblPrEx>
          <w:tblCellMar>
            <w:top w:w="0" w:type="dxa"/>
            <w:left w:w="0" w:type="dxa"/>
            <w:bottom w:w="0" w:type="dxa"/>
            <w:right w:w="0" w:type="dxa"/>
          </w:tblCellMar>
        </w:tblPrEx>
        <w:trPr>
          <w:wBefore w:w="0" w:type="auto"/>
          <w:tblCellSpacing w:w="0" w:type="dxa"/>
        </w:trPr>
        <w:tc>
          <w:tcPr>
            <w:tcW w:w="0" w:type="auto"/>
            <w:noWrap w:val="0"/>
            <w:vAlign w:val="center"/>
          </w:tcPr>
          <w:p w14:paraId="0EC7A1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3C5D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00A4E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030B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DC32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A257A3">
                  <w:r>
                    <w:rPr>
                      <w:rStyle w:val="11"/>
                      <w:rFonts w:hint="eastAsia"/>
                    </w:rPr>
                    <w:t>施用方式</w:t>
                  </w:r>
                </w:p>
              </w:tc>
            </w:tr>
            <w:tr w14:paraId="70D367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FFC4A5">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50D29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1A60B9">
                  <w:r>
                    <w:rPr>
                      <w:rStyle w:val="11"/>
                      <w:rFonts w:hint="eastAsia"/>
                    </w:rPr>
                    <w:t>70-85毫升/亩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983118">
                  <w:r>
                    <w:rPr>
                      <w:rStyle w:val="11"/>
                      <w:rFonts w:hint="eastAsia"/>
                    </w:rPr>
                    <w:t>定向茎叶喷雾</w:t>
                  </w:r>
                </w:p>
              </w:tc>
            </w:tr>
          </w:tbl>
          <w:p w14:paraId="733F4EB6">
            <w:pPr>
              <w:rPr>
                <w:rFonts w:ascii="Times New Roman" w:hAnsi="Times New Roman" w:cs="Times New Roman"/>
                <w:sz w:val="20"/>
                <w:szCs w:val="20"/>
              </w:rPr>
            </w:pPr>
          </w:p>
        </w:tc>
      </w:tr>
      <w:tr w14:paraId="677A7895">
        <w:tblPrEx>
          <w:tblCellMar>
            <w:top w:w="0" w:type="dxa"/>
            <w:left w:w="0" w:type="dxa"/>
            <w:bottom w:w="0" w:type="dxa"/>
            <w:right w:w="0" w:type="dxa"/>
          </w:tblCellMar>
        </w:tblPrEx>
        <w:trPr>
          <w:wBefore w:w="0" w:type="auto"/>
          <w:tblCellSpacing w:w="0" w:type="dxa"/>
        </w:trPr>
        <w:tc>
          <w:tcPr>
            <w:tcW w:w="0" w:type="auto"/>
            <w:noWrap w:val="0"/>
            <w:vAlign w:val="center"/>
          </w:tcPr>
          <w:p w14:paraId="6C805C1E">
            <w:r>
              <w:rPr>
                <w:rStyle w:val="10"/>
                <w:rFonts w:hint="eastAsia"/>
              </w:rPr>
              <w:t>使用技术要求:</w:t>
            </w:r>
            <w:r>
              <w:rPr>
                <w:rFonts w:hint="eastAsia"/>
              </w:rPr>
              <w:br w:type="textWrapping"/>
            </w:r>
            <w:r>
              <w:rPr>
                <w:rStyle w:val="11"/>
                <w:rFonts w:hint="eastAsia"/>
              </w:rPr>
              <w:t>1. 本品于马铃薯苗后株高10厘米前，一年生杂草2～5叶期，在推荐剂量下使用，茎叶均匀喷雾。2. 喷药时防止药液飘移到临近小麦、玉米等禾本科作物田。3. 使用本品前后7天内，禁止使用有机磷杀虫剂，避免马铃薯产生药害。4. 大风天或预计6小时内降雨，请勿施药。5. 严禁马铃薯幼苗高10厘米后施药。6. 喷药前后空气相对湿度大于65%时有利于药效发挥。7. 每个作物周期最多使用一次，合理安排后茬作物，保证安全间隔。</w:t>
            </w:r>
          </w:p>
        </w:tc>
      </w:tr>
      <w:tr w14:paraId="21124EB3">
        <w:tblPrEx>
          <w:tblCellMar>
            <w:top w:w="0" w:type="dxa"/>
            <w:left w:w="0" w:type="dxa"/>
            <w:bottom w:w="0" w:type="dxa"/>
            <w:right w:w="0" w:type="dxa"/>
          </w:tblCellMar>
        </w:tblPrEx>
        <w:trPr>
          <w:wBefore w:w="0" w:type="auto"/>
          <w:tblCellSpacing w:w="0" w:type="dxa"/>
        </w:trPr>
        <w:tc>
          <w:tcPr>
            <w:tcW w:w="0" w:type="auto"/>
            <w:noWrap w:val="0"/>
            <w:vAlign w:val="center"/>
          </w:tcPr>
          <w:p w14:paraId="1AE2FFBD">
            <w:r>
              <w:rPr>
                <w:rStyle w:val="10"/>
                <w:rFonts w:hint="eastAsia"/>
              </w:rPr>
              <w:t>产品性能:</w:t>
            </w:r>
            <w:r>
              <w:rPr>
                <w:rFonts w:hint="eastAsia"/>
              </w:rPr>
              <w:br w:type="textWrapping"/>
            </w:r>
            <w:r>
              <w:rPr>
                <w:rStyle w:val="11"/>
                <w:rFonts w:hint="eastAsia"/>
              </w:rPr>
              <w:t>本品为马铃薯田苗后茎叶处理除草剂，由三种不同作用机制的除草剂混配而成。对马铃薯田的一年生杂草有较好的防除效果。</w:t>
            </w:r>
          </w:p>
        </w:tc>
      </w:tr>
      <w:tr w14:paraId="780AB695">
        <w:tblPrEx>
          <w:tblCellMar>
            <w:top w:w="0" w:type="dxa"/>
            <w:left w:w="0" w:type="dxa"/>
            <w:bottom w:w="0" w:type="dxa"/>
            <w:right w:w="0" w:type="dxa"/>
          </w:tblCellMar>
        </w:tblPrEx>
        <w:trPr>
          <w:wBefore w:w="0" w:type="auto"/>
          <w:tblCellSpacing w:w="0" w:type="dxa"/>
        </w:trPr>
        <w:tc>
          <w:tcPr>
            <w:tcW w:w="0" w:type="auto"/>
            <w:noWrap w:val="0"/>
            <w:vAlign w:val="center"/>
          </w:tcPr>
          <w:p w14:paraId="1E1ED421">
            <w:r>
              <w:rPr>
                <w:rStyle w:val="10"/>
                <w:rFonts w:hint="eastAsia"/>
              </w:rPr>
              <w:t>注意事项：</w:t>
            </w:r>
            <w:r>
              <w:rPr>
                <w:rFonts w:hint="eastAsia"/>
              </w:rPr>
              <w:br w:type="textWrapping"/>
            </w:r>
            <w:r>
              <w:rPr>
                <w:rStyle w:val="11"/>
                <w:rFonts w:hint="eastAsia"/>
              </w:rPr>
              <w:t>1. 严格按推荐的剂量技术方法施用，不得超范围使用。2. 使用时穿戴长衣、长裤、帽子、口罩、手套等安全防护措施，避免皮肤接触及口鼻吸入。使用中不可吸烟、饮水及吃东西，使用后及时清洗手、脸等暴露部位皮肤并更换衣物。3. 本品对蜜蜂、鱼类等水生生物、家蚕有毒，水产养殖区、河塘等水体附近禁用。应避免对周围蜂群的影响，禁止在开花植物花期、蚕室和桑园附近使用。赤眼蜂等天敌放飞区域禁用。鱼、虾、蟹套养稻田禁用，施药后的田水不得直接排入水体。4. 禁止在河塘等水体清洗施药器具，清洗器具的废水不能排入河流、池塘等水源。5. 用过的容器及废弃物要妥善处理，不可随意丢弃，也不可做他用。6. 避免孕妇及哺乳期妇女接触本品。</w:t>
            </w:r>
          </w:p>
        </w:tc>
      </w:tr>
      <w:tr w14:paraId="758AF4E8">
        <w:tblPrEx>
          <w:tblCellMar>
            <w:top w:w="0" w:type="dxa"/>
            <w:left w:w="0" w:type="dxa"/>
            <w:bottom w:w="0" w:type="dxa"/>
            <w:right w:w="0" w:type="dxa"/>
          </w:tblCellMar>
        </w:tblPrEx>
        <w:trPr>
          <w:wBefore w:w="0" w:type="auto"/>
          <w:tblCellSpacing w:w="0" w:type="dxa"/>
        </w:trPr>
        <w:tc>
          <w:tcPr>
            <w:tcW w:w="0" w:type="auto"/>
            <w:noWrap w:val="0"/>
            <w:vAlign w:val="center"/>
          </w:tcPr>
          <w:p w14:paraId="182F82B5">
            <w:r>
              <w:rPr>
                <w:rStyle w:val="10"/>
                <w:rFonts w:hint="eastAsia"/>
              </w:rPr>
              <w:t>中毒急救措施：</w:t>
            </w:r>
            <w:r>
              <w:rPr>
                <w:rFonts w:hint="eastAsia"/>
              </w:rPr>
              <w:br w:type="textWrapping"/>
            </w:r>
            <w:r>
              <w:rPr>
                <w:rStyle w:val="11"/>
                <w:rFonts w:hint="eastAsia"/>
              </w:rPr>
              <w:t>1. 中毒症状表现为头痛、呕吐、恶心、呼吸急促、抽搐、昏迷等。严重时对肝、肾损伤。2. 眼睛溅入：立刻用大量清水冲洗，如配戴隐形眼镜，冲洗1-2分钟后摘掉眼镜再冲洗数分钟。如症状持续，请就医。3. 不慎吸入，将病人移至空气流通处。4. 皮肤沾附∶除去被溅及衣物，并立刻用肥皂和大量清水冲洗皮肤。被溅及衣物须彻底清洗后方可再穿。5. 误食∶请勿引吐。如误食请就医，对症治疗。无特效解毒剂。</w:t>
            </w:r>
          </w:p>
        </w:tc>
      </w:tr>
      <w:tr w14:paraId="5CC7F848">
        <w:tblPrEx>
          <w:tblCellMar>
            <w:top w:w="0" w:type="dxa"/>
            <w:left w:w="0" w:type="dxa"/>
            <w:bottom w:w="0" w:type="dxa"/>
            <w:right w:w="0" w:type="dxa"/>
          </w:tblCellMar>
        </w:tblPrEx>
        <w:trPr>
          <w:wBefore w:w="0" w:type="auto"/>
          <w:tblCellSpacing w:w="0" w:type="dxa"/>
        </w:trPr>
        <w:tc>
          <w:tcPr>
            <w:tcW w:w="0" w:type="auto"/>
            <w:noWrap w:val="0"/>
            <w:vAlign w:val="center"/>
          </w:tcPr>
          <w:p w14:paraId="63AE3025">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本品应贮存在干燥、阴凉、通风处、防雨防湿防潮，远离火源或热源。置于儿童、无关人员触及不到的地方，并加锁保存。勿与食品、饮料、种子、饲料等其他商品同贮同运。</w:t>
            </w:r>
          </w:p>
        </w:tc>
      </w:tr>
      <w:tr w14:paraId="6D61D282">
        <w:tblPrEx>
          <w:tblCellMar>
            <w:top w:w="0" w:type="dxa"/>
            <w:left w:w="0" w:type="dxa"/>
            <w:bottom w:w="0" w:type="dxa"/>
            <w:right w:w="0" w:type="dxa"/>
          </w:tblCellMar>
        </w:tblPrEx>
        <w:trPr>
          <w:wBefore w:w="0" w:type="auto"/>
          <w:tblCellSpacing w:w="0" w:type="dxa"/>
        </w:trPr>
        <w:tc>
          <w:tcPr>
            <w:tcW w:w="0" w:type="auto"/>
            <w:noWrap w:val="0"/>
            <w:vAlign w:val="center"/>
          </w:tcPr>
          <w:p w14:paraId="2E4C3253">
            <w:r>
              <w:rPr>
                <w:rStyle w:val="10"/>
                <w:rFonts w:hint="eastAsia"/>
              </w:rPr>
              <w:t>质量保证期：</w:t>
            </w:r>
            <w:r>
              <w:rPr>
                <w:rStyle w:val="11"/>
                <w:rFonts w:hint="eastAsia"/>
              </w:rPr>
              <w:t>2年</w:t>
            </w:r>
          </w:p>
        </w:tc>
      </w:tr>
      <w:tr w14:paraId="3413E047">
        <w:tblPrEx>
          <w:tblCellMar>
            <w:top w:w="0" w:type="dxa"/>
            <w:left w:w="0" w:type="dxa"/>
            <w:bottom w:w="0" w:type="dxa"/>
            <w:right w:w="0" w:type="dxa"/>
          </w:tblCellMar>
        </w:tblPrEx>
        <w:trPr>
          <w:wBefore w:w="0" w:type="auto"/>
          <w:tblCellSpacing w:w="0" w:type="dxa"/>
        </w:trPr>
        <w:tc>
          <w:tcPr>
            <w:tcW w:w="0" w:type="auto"/>
            <w:noWrap w:val="0"/>
            <w:vAlign w:val="center"/>
          </w:tcPr>
          <w:p w14:paraId="312E3A9A">
            <w:r>
              <w:rPr>
                <w:rStyle w:val="10"/>
                <w:rFonts w:hint="eastAsia"/>
              </w:rPr>
              <w:t>备注：</w:t>
            </w:r>
          </w:p>
        </w:tc>
      </w:tr>
    </w:tbl>
    <w:p w14:paraId="7B009C4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E12E80">
        <w:tblPrEx>
          <w:tblCellMar>
            <w:top w:w="0" w:type="dxa"/>
            <w:left w:w="0" w:type="dxa"/>
            <w:bottom w:w="0" w:type="dxa"/>
            <w:right w:w="0" w:type="dxa"/>
          </w:tblCellMar>
        </w:tblPrEx>
        <w:trPr>
          <w:wBefore w:w="0" w:type="auto"/>
          <w:tblCellSpacing w:w="0" w:type="dxa"/>
        </w:trPr>
        <w:tc>
          <w:tcPr>
            <w:tcW w:w="0" w:type="auto"/>
            <w:noWrap w:val="0"/>
            <w:vAlign w:val="center"/>
          </w:tcPr>
          <w:p w14:paraId="0F852CEA">
            <w:r>
              <w:rPr>
                <w:rStyle w:val="10"/>
                <w:rFonts w:hint="eastAsia"/>
              </w:rPr>
              <w:t>登记证号：</w:t>
            </w:r>
            <w:r>
              <w:rPr>
                <w:rFonts w:hint="eastAsia"/>
              </w:rPr>
              <w:t>PD20210181</w:t>
            </w:r>
          </w:p>
        </w:tc>
      </w:tr>
      <w:tr w14:paraId="754A9A06">
        <w:tblPrEx>
          <w:tblCellMar>
            <w:top w:w="0" w:type="dxa"/>
            <w:left w:w="0" w:type="dxa"/>
            <w:bottom w:w="0" w:type="dxa"/>
            <w:right w:w="0" w:type="dxa"/>
          </w:tblCellMar>
        </w:tblPrEx>
        <w:trPr>
          <w:wBefore w:w="0" w:type="auto"/>
          <w:tblCellSpacing w:w="0" w:type="dxa"/>
        </w:trPr>
        <w:tc>
          <w:tcPr>
            <w:tcW w:w="0" w:type="auto"/>
            <w:noWrap w:val="0"/>
            <w:vAlign w:val="center"/>
          </w:tcPr>
          <w:p w14:paraId="40975AAD">
            <w:r>
              <w:rPr>
                <w:rStyle w:val="10"/>
                <w:rFonts w:hint="eastAsia"/>
              </w:rPr>
              <w:t>登记证持有人：</w:t>
            </w:r>
            <w:r>
              <w:rPr>
                <w:rFonts w:hint="eastAsia"/>
              </w:rPr>
              <w:t>杨凌翔林农业生物科技有限公司</w:t>
            </w:r>
          </w:p>
        </w:tc>
      </w:tr>
      <w:tr w14:paraId="1B6AF339">
        <w:tblPrEx>
          <w:tblCellMar>
            <w:top w:w="0" w:type="dxa"/>
            <w:left w:w="0" w:type="dxa"/>
            <w:bottom w:w="0" w:type="dxa"/>
            <w:right w:w="0" w:type="dxa"/>
          </w:tblCellMar>
        </w:tblPrEx>
        <w:trPr>
          <w:wBefore w:w="0" w:type="auto"/>
          <w:tblCellSpacing w:w="0" w:type="dxa"/>
        </w:trPr>
        <w:tc>
          <w:tcPr>
            <w:tcW w:w="0" w:type="auto"/>
            <w:noWrap w:val="0"/>
            <w:vAlign w:val="center"/>
          </w:tcPr>
          <w:p w14:paraId="7985F9BF">
            <w:r>
              <w:rPr>
                <w:rStyle w:val="10"/>
                <w:rFonts w:hint="eastAsia"/>
              </w:rPr>
              <w:t>农药名称：</w:t>
            </w:r>
            <w:r>
              <w:rPr>
                <w:rFonts w:hint="eastAsia"/>
              </w:rPr>
              <w:t>顺-8-十二碳烯醇</w:t>
            </w:r>
          </w:p>
        </w:tc>
      </w:tr>
      <w:tr w14:paraId="3C60F4FF">
        <w:tblPrEx>
          <w:tblCellMar>
            <w:top w:w="0" w:type="dxa"/>
            <w:left w:w="0" w:type="dxa"/>
            <w:bottom w:w="0" w:type="dxa"/>
            <w:right w:w="0" w:type="dxa"/>
          </w:tblCellMar>
        </w:tblPrEx>
        <w:trPr>
          <w:wBefore w:w="0" w:type="auto"/>
          <w:tblCellSpacing w:w="0" w:type="dxa"/>
        </w:trPr>
        <w:tc>
          <w:tcPr>
            <w:tcW w:w="0" w:type="auto"/>
            <w:noWrap w:val="0"/>
            <w:vAlign w:val="center"/>
          </w:tcPr>
          <w:p w14:paraId="32FFA617">
            <w:r>
              <w:rPr>
                <w:rStyle w:val="10"/>
                <w:rFonts w:hint="eastAsia"/>
              </w:rPr>
              <w:t>剂型：</w:t>
            </w:r>
            <w:r>
              <w:rPr>
                <w:rFonts w:hint="eastAsia"/>
              </w:rPr>
              <w:t>原药</w:t>
            </w:r>
          </w:p>
        </w:tc>
      </w:tr>
      <w:tr w14:paraId="2F1926A5">
        <w:tblPrEx>
          <w:tblCellMar>
            <w:top w:w="0" w:type="dxa"/>
            <w:left w:w="0" w:type="dxa"/>
            <w:bottom w:w="0" w:type="dxa"/>
            <w:right w:w="0" w:type="dxa"/>
          </w:tblCellMar>
        </w:tblPrEx>
        <w:trPr>
          <w:wBefore w:w="0" w:type="auto"/>
          <w:tblCellSpacing w:w="0" w:type="dxa"/>
        </w:trPr>
        <w:tc>
          <w:tcPr>
            <w:tcW w:w="0" w:type="auto"/>
            <w:noWrap w:val="0"/>
            <w:vAlign w:val="center"/>
          </w:tcPr>
          <w:p w14:paraId="67DB038C">
            <w:r>
              <w:rPr>
                <w:rStyle w:val="10"/>
                <w:rFonts w:hint="eastAsia"/>
              </w:rPr>
              <w:t>毒性及其标识：</w:t>
            </w:r>
            <w:r>
              <w:rPr>
                <w:rFonts w:hint="eastAsia"/>
              </w:rPr>
              <w:t xml:space="preserve"> </w:t>
            </w:r>
            <w:r>
              <w:rPr>
                <w:lang/>
              </w:rPr>
              <w:drawing>
                <wp:inline distT="0" distB="0" distL="114300" distR="114300">
                  <wp:extent cx="476250" cy="323850"/>
                  <wp:effectExtent l="0" t="0" r="0" b="0"/>
                  <wp:docPr id="65" name="图片 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E9583C">
        <w:tblPrEx>
          <w:tblCellMar>
            <w:top w:w="0" w:type="dxa"/>
            <w:left w:w="0" w:type="dxa"/>
            <w:bottom w:w="0" w:type="dxa"/>
            <w:right w:w="0" w:type="dxa"/>
          </w:tblCellMar>
        </w:tblPrEx>
        <w:trPr>
          <w:wBefore w:w="0" w:type="auto"/>
          <w:tblCellSpacing w:w="0" w:type="dxa"/>
        </w:trPr>
        <w:tc>
          <w:tcPr>
            <w:tcW w:w="0" w:type="auto"/>
            <w:noWrap w:val="0"/>
            <w:vAlign w:val="center"/>
          </w:tcPr>
          <w:p w14:paraId="5F44CBD3">
            <w:r>
              <w:rPr>
                <w:rStyle w:val="10"/>
                <w:rFonts w:hint="eastAsia"/>
              </w:rPr>
              <w:t>总有效成分含量：</w:t>
            </w:r>
            <w:r>
              <w:rPr>
                <w:rFonts w:hint="eastAsia"/>
              </w:rPr>
              <w:t>97%</w:t>
            </w:r>
          </w:p>
        </w:tc>
      </w:tr>
      <w:tr w14:paraId="62A6CC18">
        <w:tblPrEx>
          <w:tblCellMar>
            <w:top w:w="0" w:type="dxa"/>
            <w:left w:w="0" w:type="dxa"/>
            <w:bottom w:w="0" w:type="dxa"/>
            <w:right w:w="0" w:type="dxa"/>
          </w:tblCellMar>
        </w:tblPrEx>
        <w:trPr>
          <w:wBefore w:w="0" w:type="auto"/>
          <w:tblCellSpacing w:w="0" w:type="dxa"/>
        </w:trPr>
        <w:tc>
          <w:tcPr>
            <w:tcW w:w="0" w:type="auto"/>
            <w:noWrap w:val="0"/>
            <w:vAlign w:val="center"/>
          </w:tcPr>
          <w:p w14:paraId="35267DF5">
            <w:r>
              <w:rPr>
                <w:rFonts w:hint="eastAsia"/>
              </w:rPr>
              <w:t xml:space="preserve">有效成分及其含量： </w:t>
            </w:r>
          </w:p>
          <w:p w14:paraId="4CA84BE7">
            <w:r>
              <w:rPr>
                <w:rFonts w:hint="eastAsia"/>
              </w:rPr>
              <w:t xml:space="preserve">    顺-8-十二碳烯醇97%    </w:t>
            </w:r>
          </w:p>
        </w:tc>
      </w:tr>
      <w:tr w14:paraId="406E23DD">
        <w:tblPrEx>
          <w:tblCellMar>
            <w:top w:w="0" w:type="dxa"/>
            <w:left w:w="0" w:type="dxa"/>
            <w:bottom w:w="0" w:type="dxa"/>
            <w:right w:w="0" w:type="dxa"/>
          </w:tblCellMar>
        </w:tblPrEx>
        <w:trPr>
          <w:wBefore w:w="0" w:type="auto"/>
          <w:tblCellSpacing w:w="0" w:type="dxa"/>
        </w:trPr>
        <w:tc>
          <w:tcPr>
            <w:tcW w:w="0" w:type="auto"/>
            <w:noWrap w:val="0"/>
            <w:vAlign w:val="center"/>
          </w:tcPr>
          <w:p w14:paraId="58C42AD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CBF7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A357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FD64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7384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80C3CB">
                  <w:r>
                    <w:rPr>
                      <w:rStyle w:val="11"/>
                      <w:rFonts w:hint="eastAsia"/>
                    </w:rPr>
                    <w:t>施用方式</w:t>
                  </w:r>
                </w:p>
              </w:tc>
            </w:tr>
          </w:tbl>
          <w:p w14:paraId="15DFAABA">
            <w:pPr>
              <w:rPr>
                <w:rFonts w:ascii="Times New Roman" w:hAnsi="Times New Roman" w:cs="Times New Roman"/>
                <w:sz w:val="20"/>
                <w:szCs w:val="20"/>
              </w:rPr>
            </w:pPr>
          </w:p>
        </w:tc>
      </w:tr>
      <w:tr w14:paraId="6DB9E3C4">
        <w:tblPrEx>
          <w:tblCellMar>
            <w:top w:w="0" w:type="dxa"/>
            <w:left w:w="0" w:type="dxa"/>
            <w:bottom w:w="0" w:type="dxa"/>
            <w:right w:w="0" w:type="dxa"/>
          </w:tblCellMar>
        </w:tblPrEx>
        <w:trPr>
          <w:wBefore w:w="0" w:type="auto"/>
          <w:tblCellSpacing w:w="0" w:type="dxa"/>
        </w:trPr>
        <w:tc>
          <w:tcPr>
            <w:tcW w:w="0" w:type="auto"/>
            <w:noWrap w:val="0"/>
            <w:vAlign w:val="center"/>
          </w:tcPr>
          <w:p w14:paraId="36C03D17">
            <w:r>
              <w:rPr>
                <w:rStyle w:val="10"/>
                <w:rFonts w:hint="eastAsia"/>
              </w:rPr>
              <w:t>使用技术要求:</w:t>
            </w:r>
            <w:r>
              <w:rPr>
                <w:rFonts w:hint="eastAsia"/>
              </w:rPr>
              <w:br w:type="textWrapping"/>
            </w:r>
            <w:r>
              <w:rPr>
                <w:rStyle w:val="11"/>
                <w:rFonts w:hint="eastAsia"/>
              </w:rPr>
              <w:t xml:space="preserve">本品仅用于加工农药制剂，不可直接用于农作物或其他场所。 </w:t>
            </w:r>
          </w:p>
        </w:tc>
      </w:tr>
      <w:tr w14:paraId="044FE848">
        <w:tblPrEx>
          <w:tblCellMar>
            <w:top w:w="0" w:type="dxa"/>
            <w:left w:w="0" w:type="dxa"/>
            <w:bottom w:w="0" w:type="dxa"/>
            <w:right w:w="0" w:type="dxa"/>
          </w:tblCellMar>
        </w:tblPrEx>
        <w:trPr>
          <w:wBefore w:w="0" w:type="auto"/>
          <w:tblCellSpacing w:w="0" w:type="dxa"/>
        </w:trPr>
        <w:tc>
          <w:tcPr>
            <w:tcW w:w="0" w:type="auto"/>
            <w:noWrap w:val="0"/>
            <w:vAlign w:val="center"/>
          </w:tcPr>
          <w:p w14:paraId="5401B911">
            <w:r>
              <w:rPr>
                <w:rStyle w:val="10"/>
                <w:rFonts w:hint="eastAsia"/>
              </w:rPr>
              <w:t>产品性能:</w:t>
            </w:r>
            <w:r>
              <w:rPr>
                <w:rFonts w:hint="eastAsia"/>
              </w:rPr>
              <w:br w:type="textWrapping"/>
            </w:r>
            <w:r>
              <w:rPr>
                <w:rStyle w:val="11"/>
                <w:rFonts w:hint="eastAsia"/>
              </w:rPr>
              <w:t xml:space="preserve">本品为无色或淡黄色液体，属昆虫性信息素。 </w:t>
            </w:r>
          </w:p>
        </w:tc>
      </w:tr>
      <w:tr w14:paraId="401867FD">
        <w:tblPrEx>
          <w:tblCellMar>
            <w:top w:w="0" w:type="dxa"/>
            <w:left w:w="0" w:type="dxa"/>
            <w:bottom w:w="0" w:type="dxa"/>
            <w:right w:w="0" w:type="dxa"/>
          </w:tblCellMar>
        </w:tblPrEx>
        <w:trPr>
          <w:wBefore w:w="0" w:type="auto"/>
          <w:tblCellSpacing w:w="0" w:type="dxa"/>
        </w:trPr>
        <w:tc>
          <w:tcPr>
            <w:tcW w:w="0" w:type="auto"/>
            <w:noWrap w:val="0"/>
            <w:vAlign w:val="center"/>
          </w:tcPr>
          <w:p w14:paraId="7DE6F6EF">
            <w:r>
              <w:rPr>
                <w:rStyle w:val="10"/>
                <w:rFonts w:hint="eastAsia"/>
              </w:rPr>
              <w:t>注意事项：</w:t>
            </w:r>
            <w:r>
              <w:rPr>
                <w:rFonts w:hint="eastAsia"/>
              </w:rPr>
              <w:br w:type="textWrapping"/>
            </w:r>
            <w:r>
              <w:rPr>
                <w:rStyle w:val="11"/>
                <w:rFonts w:hint="eastAsia"/>
              </w:rPr>
              <w:t>1. 使用本品时应采取安全防护措施，穿戴防护服和手套，避免口鼻吸入及皮肤接触。使用中不可吸烟、饮水及吃东西，使用后及时清洗手、脸等暴露皮肤并更换衣服。 2. 工作场所应防火、防尘、防止泄露。3. 泄漏处理：隔离泄漏污染区，限制出入。应急人员应戴防尘口罩、穿防护服。不要直接接触泄漏物。用两倍于泄漏的农药的吸收性物料盖住泄漏物，装入一次性可弃置容器中，收集回收运到特殊废弃物处理场所处置。着火：采用泡沫、干粉或沙土灭火。4. 包装物应妥善处理，不可随意丢弃，更不可做他用。 5. 不得污染水源。6. 避免孕妇及哺乳期妇女接触。</w:t>
            </w:r>
          </w:p>
        </w:tc>
      </w:tr>
      <w:tr w14:paraId="4649CB21">
        <w:tblPrEx>
          <w:tblCellMar>
            <w:top w:w="0" w:type="dxa"/>
            <w:left w:w="0" w:type="dxa"/>
            <w:bottom w:w="0" w:type="dxa"/>
            <w:right w:w="0" w:type="dxa"/>
          </w:tblCellMar>
        </w:tblPrEx>
        <w:trPr>
          <w:wBefore w:w="0" w:type="auto"/>
          <w:tblCellSpacing w:w="0" w:type="dxa"/>
        </w:trPr>
        <w:tc>
          <w:tcPr>
            <w:tcW w:w="0" w:type="auto"/>
            <w:noWrap w:val="0"/>
            <w:vAlign w:val="center"/>
          </w:tcPr>
          <w:p w14:paraId="62901378">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 标签送医院就诊。 1. 皮肤接触：脱去污染的衣物，用软布去除沾染农药，立即用大量清水和肥皂冲洗。 2. 眼睛溅入：立即用流动清水冲洗不少于15分钟。 3. 吸入：立即离开施药现场，转移到空气清新处。 4. 误食：立即停止服用，用清水充分漱口后，立即携带农药标签到医院就诊。 5. 本品无专用解毒剂，对症治疗。 </w:t>
            </w:r>
          </w:p>
        </w:tc>
      </w:tr>
      <w:tr w14:paraId="0F7F8CA7">
        <w:tblPrEx>
          <w:tblCellMar>
            <w:top w:w="0" w:type="dxa"/>
            <w:left w:w="0" w:type="dxa"/>
            <w:bottom w:w="0" w:type="dxa"/>
            <w:right w:w="0" w:type="dxa"/>
          </w:tblCellMar>
        </w:tblPrEx>
        <w:trPr>
          <w:wBefore w:w="0" w:type="auto"/>
          <w:tblCellSpacing w:w="0" w:type="dxa"/>
        </w:trPr>
        <w:tc>
          <w:tcPr>
            <w:tcW w:w="0" w:type="auto"/>
            <w:noWrap w:val="0"/>
            <w:vAlign w:val="center"/>
          </w:tcPr>
          <w:p w14:paraId="14E89DFC">
            <w:r>
              <w:rPr>
                <w:rStyle w:val="10"/>
                <w:rFonts w:hint="eastAsia"/>
              </w:rPr>
              <w:t>储存和运输方法：</w:t>
            </w:r>
            <w:r>
              <w:rPr>
                <w:rFonts w:hint="eastAsia"/>
              </w:rPr>
              <w:br w:type="textWrapping"/>
            </w:r>
            <w:r>
              <w:rPr>
                <w:rStyle w:val="11"/>
                <w:rFonts w:hint="eastAsia"/>
              </w:rPr>
              <w:t>1. 本品应贮存在8℃以下的阴凉、干燥、通风、防雨处，远离火源、热源。2.本品应当置于儿童、无关人员及动物接触不到的地方，并加锁保存。 3.勿与食品、饮料、粮食、种子、饲料等同贮同运。4.运输过程中要防晒、防雨淋；确保容器不泄露、不倒塌、不坠落、不损坏，并按规定路线行驶。专用车辆运输。</w:t>
            </w:r>
          </w:p>
        </w:tc>
      </w:tr>
      <w:tr w14:paraId="13303048">
        <w:tblPrEx>
          <w:tblCellMar>
            <w:top w:w="0" w:type="dxa"/>
            <w:left w:w="0" w:type="dxa"/>
            <w:bottom w:w="0" w:type="dxa"/>
            <w:right w:w="0" w:type="dxa"/>
          </w:tblCellMar>
        </w:tblPrEx>
        <w:trPr>
          <w:wBefore w:w="0" w:type="auto"/>
          <w:tblCellSpacing w:w="0" w:type="dxa"/>
        </w:trPr>
        <w:tc>
          <w:tcPr>
            <w:tcW w:w="0" w:type="auto"/>
            <w:noWrap w:val="0"/>
            <w:vAlign w:val="center"/>
          </w:tcPr>
          <w:p w14:paraId="565F0526">
            <w:r>
              <w:rPr>
                <w:rStyle w:val="10"/>
                <w:rFonts w:hint="eastAsia"/>
              </w:rPr>
              <w:t>质量保证期：</w:t>
            </w:r>
            <w:r>
              <w:rPr>
                <w:rStyle w:val="11"/>
                <w:rFonts w:hint="eastAsia"/>
              </w:rPr>
              <w:t>2年</w:t>
            </w:r>
          </w:p>
        </w:tc>
      </w:tr>
      <w:tr w14:paraId="5C78BC72">
        <w:tblPrEx>
          <w:tblCellMar>
            <w:top w:w="0" w:type="dxa"/>
            <w:left w:w="0" w:type="dxa"/>
            <w:bottom w:w="0" w:type="dxa"/>
            <w:right w:w="0" w:type="dxa"/>
          </w:tblCellMar>
        </w:tblPrEx>
        <w:trPr>
          <w:wBefore w:w="0" w:type="auto"/>
          <w:tblCellSpacing w:w="0" w:type="dxa"/>
        </w:trPr>
        <w:tc>
          <w:tcPr>
            <w:tcW w:w="0" w:type="auto"/>
            <w:noWrap w:val="0"/>
            <w:vAlign w:val="center"/>
          </w:tcPr>
          <w:p w14:paraId="49053F54">
            <w:r>
              <w:rPr>
                <w:rStyle w:val="10"/>
                <w:rFonts w:hint="eastAsia"/>
              </w:rPr>
              <w:t>备注：</w:t>
            </w:r>
          </w:p>
        </w:tc>
      </w:tr>
    </w:tbl>
    <w:p w14:paraId="7A113F9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40A977">
        <w:tblPrEx>
          <w:tblCellMar>
            <w:top w:w="0" w:type="dxa"/>
            <w:left w:w="0" w:type="dxa"/>
            <w:bottom w:w="0" w:type="dxa"/>
            <w:right w:w="0" w:type="dxa"/>
          </w:tblCellMar>
        </w:tblPrEx>
        <w:trPr>
          <w:wBefore w:w="0" w:type="auto"/>
          <w:tblCellSpacing w:w="0" w:type="dxa"/>
        </w:trPr>
        <w:tc>
          <w:tcPr>
            <w:tcW w:w="0" w:type="auto"/>
            <w:noWrap w:val="0"/>
            <w:vAlign w:val="center"/>
          </w:tcPr>
          <w:p w14:paraId="4AC75E8A">
            <w:r>
              <w:rPr>
                <w:rStyle w:val="10"/>
                <w:rFonts w:hint="eastAsia"/>
              </w:rPr>
              <w:t>登记证号：</w:t>
            </w:r>
            <w:r>
              <w:rPr>
                <w:rFonts w:hint="eastAsia"/>
              </w:rPr>
              <w:t>PD20096069</w:t>
            </w:r>
          </w:p>
        </w:tc>
      </w:tr>
      <w:tr w14:paraId="37B1E289">
        <w:tblPrEx>
          <w:tblCellMar>
            <w:top w:w="0" w:type="dxa"/>
            <w:left w:w="0" w:type="dxa"/>
            <w:bottom w:w="0" w:type="dxa"/>
            <w:right w:w="0" w:type="dxa"/>
          </w:tblCellMar>
        </w:tblPrEx>
        <w:trPr>
          <w:wBefore w:w="0" w:type="auto"/>
          <w:tblCellSpacing w:w="0" w:type="dxa"/>
        </w:trPr>
        <w:tc>
          <w:tcPr>
            <w:tcW w:w="0" w:type="auto"/>
            <w:noWrap w:val="0"/>
            <w:vAlign w:val="center"/>
          </w:tcPr>
          <w:p w14:paraId="7EB3F2D8">
            <w:r>
              <w:rPr>
                <w:rStyle w:val="10"/>
                <w:rFonts w:hint="eastAsia"/>
              </w:rPr>
              <w:t>登记证持有人：</w:t>
            </w:r>
            <w:r>
              <w:rPr>
                <w:rFonts w:hint="eastAsia"/>
              </w:rPr>
              <w:t>法国道达尔流体公司</w:t>
            </w:r>
          </w:p>
        </w:tc>
      </w:tr>
      <w:tr w14:paraId="70296032">
        <w:tblPrEx>
          <w:tblCellMar>
            <w:top w:w="0" w:type="dxa"/>
            <w:left w:w="0" w:type="dxa"/>
            <w:bottom w:w="0" w:type="dxa"/>
            <w:right w:w="0" w:type="dxa"/>
          </w:tblCellMar>
        </w:tblPrEx>
        <w:trPr>
          <w:wBefore w:w="0" w:type="auto"/>
          <w:tblCellSpacing w:w="0" w:type="dxa"/>
        </w:trPr>
        <w:tc>
          <w:tcPr>
            <w:tcW w:w="0" w:type="auto"/>
            <w:noWrap w:val="0"/>
            <w:vAlign w:val="center"/>
          </w:tcPr>
          <w:p w14:paraId="12DDF456">
            <w:r>
              <w:rPr>
                <w:rStyle w:val="10"/>
                <w:rFonts w:hint="eastAsia"/>
              </w:rPr>
              <w:t>农药名称：</w:t>
            </w:r>
            <w:r>
              <w:rPr>
                <w:rFonts w:hint="eastAsia"/>
              </w:rPr>
              <w:t>矿物油</w:t>
            </w:r>
          </w:p>
        </w:tc>
      </w:tr>
      <w:tr w14:paraId="706D1D05">
        <w:tblPrEx>
          <w:tblCellMar>
            <w:top w:w="0" w:type="dxa"/>
            <w:left w:w="0" w:type="dxa"/>
            <w:bottom w:w="0" w:type="dxa"/>
            <w:right w:w="0" w:type="dxa"/>
          </w:tblCellMar>
        </w:tblPrEx>
        <w:trPr>
          <w:wBefore w:w="0" w:type="auto"/>
          <w:tblCellSpacing w:w="0" w:type="dxa"/>
        </w:trPr>
        <w:tc>
          <w:tcPr>
            <w:tcW w:w="0" w:type="auto"/>
            <w:noWrap w:val="0"/>
            <w:vAlign w:val="center"/>
          </w:tcPr>
          <w:p w14:paraId="3BDC92F3">
            <w:r>
              <w:rPr>
                <w:rStyle w:val="10"/>
                <w:rFonts w:hint="eastAsia"/>
              </w:rPr>
              <w:t>剂型：</w:t>
            </w:r>
            <w:r>
              <w:rPr>
                <w:rFonts w:hint="eastAsia"/>
              </w:rPr>
              <w:t>乳油</w:t>
            </w:r>
          </w:p>
        </w:tc>
      </w:tr>
      <w:tr w14:paraId="67A269A2">
        <w:tblPrEx>
          <w:tblCellMar>
            <w:top w:w="0" w:type="dxa"/>
            <w:left w:w="0" w:type="dxa"/>
            <w:bottom w:w="0" w:type="dxa"/>
            <w:right w:w="0" w:type="dxa"/>
          </w:tblCellMar>
        </w:tblPrEx>
        <w:trPr>
          <w:wBefore w:w="0" w:type="auto"/>
          <w:tblCellSpacing w:w="0" w:type="dxa"/>
        </w:trPr>
        <w:tc>
          <w:tcPr>
            <w:tcW w:w="0" w:type="auto"/>
            <w:noWrap w:val="0"/>
            <w:vAlign w:val="center"/>
          </w:tcPr>
          <w:p w14:paraId="001EEE72">
            <w:r>
              <w:rPr>
                <w:rStyle w:val="10"/>
                <w:rFonts w:hint="eastAsia"/>
              </w:rPr>
              <w:t>毒性及其标识：</w:t>
            </w:r>
            <w:r>
              <w:rPr>
                <w:rFonts w:hint="eastAsia"/>
              </w:rPr>
              <w:t xml:space="preserve"> 微毒 </w:t>
            </w:r>
          </w:p>
        </w:tc>
      </w:tr>
      <w:tr w14:paraId="0160B395">
        <w:tblPrEx>
          <w:tblCellMar>
            <w:top w:w="0" w:type="dxa"/>
            <w:left w:w="0" w:type="dxa"/>
            <w:bottom w:w="0" w:type="dxa"/>
            <w:right w:w="0" w:type="dxa"/>
          </w:tblCellMar>
        </w:tblPrEx>
        <w:trPr>
          <w:wBefore w:w="0" w:type="auto"/>
          <w:tblCellSpacing w:w="0" w:type="dxa"/>
        </w:trPr>
        <w:tc>
          <w:tcPr>
            <w:tcW w:w="0" w:type="auto"/>
            <w:noWrap w:val="0"/>
            <w:vAlign w:val="center"/>
          </w:tcPr>
          <w:p w14:paraId="54655A3E">
            <w:r>
              <w:rPr>
                <w:rStyle w:val="10"/>
                <w:rFonts w:hint="eastAsia"/>
              </w:rPr>
              <w:t>总有效成分含量：</w:t>
            </w:r>
            <w:r>
              <w:rPr>
                <w:rFonts w:hint="eastAsia"/>
              </w:rPr>
              <w:t>97%</w:t>
            </w:r>
          </w:p>
        </w:tc>
      </w:tr>
      <w:tr w14:paraId="2ECCE753">
        <w:tblPrEx>
          <w:tblCellMar>
            <w:top w:w="0" w:type="dxa"/>
            <w:left w:w="0" w:type="dxa"/>
            <w:bottom w:w="0" w:type="dxa"/>
            <w:right w:w="0" w:type="dxa"/>
          </w:tblCellMar>
        </w:tblPrEx>
        <w:trPr>
          <w:wBefore w:w="0" w:type="auto"/>
          <w:tblCellSpacing w:w="0" w:type="dxa"/>
        </w:trPr>
        <w:tc>
          <w:tcPr>
            <w:tcW w:w="0" w:type="auto"/>
            <w:noWrap w:val="0"/>
            <w:vAlign w:val="center"/>
          </w:tcPr>
          <w:p w14:paraId="6F6205D6">
            <w:r>
              <w:rPr>
                <w:rFonts w:hint="eastAsia"/>
              </w:rPr>
              <w:t xml:space="preserve">有效成分及其含量： </w:t>
            </w:r>
          </w:p>
          <w:p w14:paraId="7686880A">
            <w:r>
              <w:rPr>
                <w:rFonts w:hint="eastAsia"/>
              </w:rPr>
              <w:t xml:space="preserve">    矿物油97%    </w:t>
            </w:r>
          </w:p>
        </w:tc>
      </w:tr>
      <w:tr w14:paraId="38CB0EAA">
        <w:tblPrEx>
          <w:tblCellMar>
            <w:top w:w="0" w:type="dxa"/>
            <w:left w:w="0" w:type="dxa"/>
            <w:bottom w:w="0" w:type="dxa"/>
            <w:right w:w="0" w:type="dxa"/>
          </w:tblCellMar>
        </w:tblPrEx>
        <w:trPr>
          <w:wBefore w:w="0" w:type="auto"/>
          <w:tblCellSpacing w:w="0" w:type="dxa"/>
        </w:trPr>
        <w:tc>
          <w:tcPr>
            <w:tcW w:w="0" w:type="auto"/>
            <w:noWrap w:val="0"/>
            <w:vAlign w:val="center"/>
          </w:tcPr>
          <w:p w14:paraId="56D746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C8B1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242EC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130D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D8CC6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687090">
                  <w:r>
                    <w:rPr>
                      <w:rStyle w:val="11"/>
                      <w:rFonts w:hint="eastAsia"/>
                    </w:rPr>
                    <w:t>施用方式</w:t>
                  </w:r>
                </w:p>
              </w:tc>
            </w:tr>
            <w:tr w14:paraId="4D28FF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96F66C">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F7C70B">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14D39C">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9A1ED1">
                  <w:r>
                    <w:rPr>
                      <w:rStyle w:val="11"/>
                      <w:rFonts w:hint="eastAsia"/>
                    </w:rPr>
                    <w:t>喷雾</w:t>
                  </w:r>
                </w:p>
              </w:tc>
            </w:tr>
            <w:tr w14:paraId="16C80F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08DB28">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CB104D">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BA3000">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7B9CEC">
                  <w:r>
                    <w:rPr>
                      <w:rStyle w:val="11"/>
                      <w:rFonts w:hint="eastAsia"/>
                    </w:rPr>
                    <w:t>喷雾</w:t>
                  </w:r>
                </w:p>
              </w:tc>
            </w:tr>
            <w:tr w14:paraId="64DE49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838F2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0BFDCD">
                  <w:r>
                    <w:rPr>
                      <w:rStyle w:val="11"/>
                      <w:rFonts w:hint="eastAsia"/>
                    </w:rPr>
                    <w:t>潜叶蛾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2565D4">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163493">
                  <w:r>
                    <w:rPr>
                      <w:rStyle w:val="11"/>
                      <w:rFonts w:hint="eastAsia"/>
                    </w:rPr>
                    <w:t>喷雾</w:t>
                  </w:r>
                </w:p>
              </w:tc>
            </w:tr>
            <w:tr w14:paraId="753C74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E65E1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643035">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91C474">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C53E9F">
                  <w:r>
                    <w:rPr>
                      <w:rStyle w:val="11"/>
                      <w:rFonts w:hint="eastAsia"/>
                    </w:rPr>
                    <w:t>喷雾</w:t>
                  </w:r>
                </w:p>
              </w:tc>
            </w:tr>
            <w:tr w14:paraId="51E266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8C977D">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1691E4">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D93BCC">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341401">
                  <w:r>
                    <w:rPr>
                      <w:rStyle w:val="11"/>
                      <w:rFonts w:hint="eastAsia"/>
                    </w:rPr>
                    <w:t>喷雾</w:t>
                  </w:r>
                </w:p>
              </w:tc>
            </w:tr>
            <w:tr w14:paraId="7691A3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FCAA98">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337160">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ED49A9">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1D5625">
                  <w:r>
                    <w:rPr>
                      <w:rStyle w:val="11"/>
                      <w:rFonts w:hint="eastAsia"/>
                    </w:rPr>
                    <w:t>喷雾</w:t>
                  </w:r>
                </w:p>
              </w:tc>
            </w:tr>
            <w:tr w14:paraId="27D1E8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58D72F">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576DC1">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99D051">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6D6CC9">
                  <w:r>
                    <w:rPr>
                      <w:rStyle w:val="11"/>
                      <w:rFonts w:hint="eastAsia"/>
                    </w:rPr>
                    <w:t>喷雾</w:t>
                  </w:r>
                </w:p>
              </w:tc>
            </w:tr>
            <w:tr w14:paraId="746617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D661D2">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C246D5">
                  <w:r>
                    <w:rPr>
                      <w:rStyle w:val="11"/>
                      <w:rFonts w:hint="eastAsia"/>
                    </w:rPr>
                    <w:t>茶橙瘿螨</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0084A6">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8BDB0A">
                  <w:r>
                    <w:rPr>
                      <w:rStyle w:val="11"/>
                      <w:rFonts w:hint="eastAsia"/>
                    </w:rPr>
                    <w:t>喷雾</w:t>
                  </w:r>
                </w:p>
              </w:tc>
            </w:tr>
          </w:tbl>
          <w:p w14:paraId="5D461283">
            <w:pPr>
              <w:rPr>
                <w:rFonts w:ascii="Times New Roman" w:hAnsi="Times New Roman" w:cs="Times New Roman"/>
                <w:sz w:val="20"/>
                <w:szCs w:val="20"/>
              </w:rPr>
            </w:pPr>
          </w:p>
        </w:tc>
      </w:tr>
      <w:tr w14:paraId="69686B70">
        <w:tblPrEx>
          <w:tblCellMar>
            <w:top w:w="0" w:type="dxa"/>
            <w:left w:w="0" w:type="dxa"/>
            <w:bottom w:w="0" w:type="dxa"/>
            <w:right w:w="0" w:type="dxa"/>
          </w:tblCellMar>
        </w:tblPrEx>
        <w:trPr>
          <w:wBefore w:w="0" w:type="auto"/>
          <w:tblCellSpacing w:w="0" w:type="dxa"/>
        </w:trPr>
        <w:tc>
          <w:tcPr>
            <w:tcW w:w="0" w:type="auto"/>
            <w:noWrap w:val="0"/>
            <w:vAlign w:val="center"/>
          </w:tcPr>
          <w:p w14:paraId="74FC23CA">
            <w:r>
              <w:rPr>
                <w:rStyle w:val="10"/>
                <w:rFonts w:hint="eastAsia"/>
              </w:rPr>
              <w:t>使用技术要求:</w:t>
            </w:r>
            <w:r>
              <w:rPr>
                <w:rFonts w:hint="eastAsia"/>
              </w:rPr>
              <w:br w:type="textWrapping"/>
            </w:r>
            <w:r>
              <w:rPr>
                <w:rStyle w:val="11"/>
                <w:rFonts w:hint="eastAsia"/>
              </w:rPr>
              <w:t>1、使用时，先在药桶内加入一半的水，然后倒入足量的本品，充分搅匀后再加其余的水，再次充分搅匀后即可喷雾。 2、喷雾期间经常搅拌或摇晃，可确保药液更均匀。 3、高温季节在上午11时前和下午3时后施药效果更好。避免气温高于35℃或低于5℃时，使用本品。 4、喷药时必须均匀周到，完全着药，形成覆盖植株和植株上的所有害虫害螨及其卵的完整油膜，以确保取得完美的防效。</w:t>
            </w:r>
          </w:p>
        </w:tc>
      </w:tr>
      <w:tr w14:paraId="6F5AA35A">
        <w:tblPrEx>
          <w:tblCellMar>
            <w:top w:w="0" w:type="dxa"/>
            <w:left w:w="0" w:type="dxa"/>
            <w:bottom w:w="0" w:type="dxa"/>
            <w:right w:w="0" w:type="dxa"/>
          </w:tblCellMar>
        </w:tblPrEx>
        <w:trPr>
          <w:wBefore w:w="0" w:type="auto"/>
          <w:tblCellSpacing w:w="0" w:type="dxa"/>
        </w:trPr>
        <w:tc>
          <w:tcPr>
            <w:tcW w:w="0" w:type="auto"/>
            <w:noWrap w:val="0"/>
            <w:vAlign w:val="center"/>
          </w:tcPr>
          <w:p w14:paraId="31CC542A">
            <w:r>
              <w:rPr>
                <w:rStyle w:val="10"/>
                <w:rFonts w:hint="eastAsia"/>
              </w:rPr>
              <w:t>产品性能:</w:t>
            </w:r>
            <w:r>
              <w:rPr>
                <w:rFonts w:hint="eastAsia"/>
              </w:rPr>
              <w:br w:type="textWrapping"/>
            </w:r>
            <w:r>
              <w:rPr>
                <w:rStyle w:val="11"/>
                <w:rFonts w:hint="eastAsia"/>
              </w:rPr>
              <w:t>本品是法国道达尔公司从石油中提炼的天然杀虫杀螨剂。其有效成分是精制石蜡油，配方中石蜡油含量高达97%。兑水喷施于植物表面形成特殊油膜，封闭害虫、害螨、卵的气孔令其快速窒息死亡，速效性较好。杀虫又杀卵。对红蜘蛛、介壳虫、潜叶蛾、蚜虫、茶橙瘿螨的各种虫态和卵都封闭杀死，一药多治，节约成本。对害虫害螨有驱避作用，减少作物再次被危害的机会。物理性封闭杀虫，害虫、害螨第次使用均可取得较好的防效。</w:t>
            </w:r>
          </w:p>
        </w:tc>
      </w:tr>
      <w:tr w14:paraId="6CBF37D6">
        <w:tblPrEx>
          <w:tblCellMar>
            <w:top w:w="0" w:type="dxa"/>
            <w:left w:w="0" w:type="dxa"/>
            <w:bottom w:w="0" w:type="dxa"/>
            <w:right w:w="0" w:type="dxa"/>
          </w:tblCellMar>
        </w:tblPrEx>
        <w:trPr>
          <w:wBefore w:w="0" w:type="auto"/>
          <w:tblCellSpacing w:w="0" w:type="dxa"/>
        </w:trPr>
        <w:tc>
          <w:tcPr>
            <w:tcW w:w="0" w:type="auto"/>
            <w:noWrap w:val="0"/>
            <w:vAlign w:val="center"/>
          </w:tcPr>
          <w:p w14:paraId="673C3290">
            <w:r>
              <w:rPr>
                <w:rStyle w:val="10"/>
                <w:rFonts w:hint="eastAsia"/>
              </w:rPr>
              <w:t>注意事项：</w:t>
            </w:r>
            <w:r>
              <w:rPr>
                <w:rFonts w:hint="eastAsia"/>
              </w:rPr>
              <w:br w:type="textWrapping"/>
            </w:r>
            <w:r>
              <w:rPr>
                <w:rStyle w:val="11"/>
                <w:rFonts w:hint="eastAsia"/>
              </w:rPr>
              <w:t>1、按照规定用量施药，不宜随意加大用量。不宜在作物敏感的花期和蕾期使用。 2、依据害虫害螨的发生特性，在春末夏初或夏末秋初害虫卵孵化高峰期使用效果更好。 3、当土壤严重干旱、植物缺水时，需浇水补充土壤和植株水份至植株正常生长水平，方可使用本品。 4、当树势衰弱时，需查明原因并使植株恢复至正常生长水平，宜使用本品。 5、不要与克菌丹、铜剂、炔螨特、硫磺、碱性药剂、展着剂和其他叶面营养剂混用，施用本品前后2周内不能使用前术产品。与其他农药混用时，宜先做小规模（1-2棵树）试验，证实无药害后再大面积应用。 6、使用后剩下的药剂不可倒入水田、湖泊、河川里。装此药剂的容器不能利用装其它东西，应采取焚烧或者掩埋等方法，加以妥善处理。 7、施药时应戴口罩、手套、穿防护服，严禁吸烟和饮食，不得迎风施药，避免身体直接接触药液。施药后应彻底清洗裸露的皮肤和衣服。避免溅及眼睛，皮肤和衣服。禁止在河塘等水域内清洗施药器具。</w:t>
            </w:r>
          </w:p>
        </w:tc>
      </w:tr>
      <w:tr w14:paraId="06CBF6E9">
        <w:tblPrEx>
          <w:tblCellMar>
            <w:top w:w="0" w:type="dxa"/>
            <w:left w:w="0" w:type="dxa"/>
            <w:bottom w:w="0" w:type="dxa"/>
            <w:right w:w="0" w:type="dxa"/>
          </w:tblCellMar>
        </w:tblPrEx>
        <w:trPr>
          <w:wBefore w:w="0" w:type="auto"/>
          <w:tblCellSpacing w:w="0" w:type="dxa"/>
        </w:trPr>
        <w:tc>
          <w:tcPr>
            <w:tcW w:w="0" w:type="auto"/>
            <w:noWrap w:val="0"/>
            <w:vAlign w:val="center"/>
          </w:tcPr>
          <w:p w14:paraId="5495CA4D">
            <w:r>
              <w:rPr>
                <w:rStyle w:val="10"/>
                <w:rFonts w:hint="eastAsia"/>
              </w:rPr>
              <w:t>中毒急救措施：</w:t>
            </w:r>
            <w:r>
              <w:rPr>
                <w:rFonts w:hint="eastAsia"/>
              </w:rPr>
              <w:br w:type="textWrapping"/>
            </w:r>
            <w:r>
              <w:rPr>
                <w:rStyle w:val="11"/>
                <w:rFonts w:hint="eastAsia"/>
              </w:rPr>
              <w:t>对皮肤有轻微刺激。 1、如药液溅到皮肤，请立即用肥皂和清水冲洗干净； 2、如药液溅到眼内，应用足量清水冲洗至少15分钟，并请医生诊治； 3、误服：万一误饮应立即就医，对症治疗。</w:t>
            </w:r>
          </w:p>
        </w:tc>
      </w:tr>
      <w:tr w14:paraId="45B7214E">
        <w:tblPrEx>
          <w:tblCellMar>
            <w:top w:w="0" w:type="dxa"/>
            <w:left w:w="0" w:type="dxa"/>
            <w:bottom w:w="0" w:type="dxa"/>
            <w:right w:w="0" w:type="dxa"/>
          </w:tblCellMar>
        </w:tblPrEx>
        <w:trPr>
          <w:wBefore w:w="0" w:type="auto"/>
          <w:tblCellSpacing w:w="0" w:type="dxa"/>
        </w:trPr>
        <w:tc>
          <w:tcPr>
            <w:tcW w:w="0" w:type="auto"/>
            <w:noWrap w:val="0"/>
            <w:vAlign w:val="center"/>
          </w:tcPr>
          <w:p w14:paraId="4958C541">
            <w:r>
              <w:rPr>
                <w:rStyle w:val="10"/>
                <w:rFonts w:hint="eastAsia"/>
              </w:rPr>
              <w:t>储存和运输方法：</w:t>
            </w:r>
            <w:r>
              <w:rPr>
                <w:rFonts w:hint="eastAsia"/>
              </w:rPr>
              <w:br w:type="textWrapping"/>
            </w:r>
            <w:r>
              <w:rPr>
                <w:rStyle w:val="11"/>
                <w:rFonts w:hint="eastAsia"/>
              </w:rPr>
              <w:t>1、产品密封后在放在阴凉、干燥、通风处，不要直接置于阳光下。 2、远离家禽，不能与食品、饮料、粮食、饲料和种子同贮同运。 3、远离儿童，贮存于儿童触及不到的地方，并加锁。 4、本品易燃，远离火种、热源。</w:t>
            </w:r>
          </w:p>
        </w:tc>
      </w:tr>
      <w:tr w14:paraId="34BC6E5E">
        <w:tblPrEx>
          <w:tblCellMar>
            <w:top w:w="0" w:type="dxa"/>
            <w:left w:w="0" w:type="dxa"/>
            <w:bottom w:w="0" w:type="dxa"/>
            <w:right w:w="0" w:type="dxa"/>
          </w:tblCellMar>
        </w:tblPrEx>
        <w:trPr>
          <w:wBefore w:w="0" w:type="auto"/>
          <w:tblCellSpacing w:w="0" w:type="dxa"/>
        </w:trPr>
        <w:tc>
          <w:tcPr>
            <w:tcW w:w="0" w:type="auto"/>
            <w:noWrap w:val="0"/>
            <w:vAlign w:val="center"/>
          </w:tcPr>
          <w:p w14:paraId="13F8292F">
            <w:r>
              <w:rPr>
                <w:rStyle w:val="10"/>
                <w:rFonts w:hint="eastAsia"/>
              </w:rPr>
              <w:t>质量保证期：</w:t>
            </w:r>
            <w:r>
              <w:rPr>
                <w:rStyle w:val="11"/>
                <w:rFonts w:hint="eastAsia"/>
              </w:rPr>
              <w:t>2年</w:t>
            </w:r>
          </w:p>
        </w:tc>
      </w:tr>
      <w:tr w14:paraId="1B216EAD">
        <w:tblPrEx>
          <w:tblCellMar>
            <w:top w:w="0" w:type="dxa"/>
            <w:left w:w="0" w:type="dxa"/>
            <w:bottom w:w="0" w:type="dxa"/>
            <w:right w:w="0" w:type="dxa"/>
          </w:tblCellMar>
        </w:tblPrEx>
        <w:trPr>
          <w:wBefore w:w="0" w:type="auto"/>
          <w:tblCellSpacing w:w="0" w:type="dxa"/>
        </w:trPr>
        <w:tc>
          <w:tcPr>
            <w:tcW w:w="0" w:type="auto"/>
            <w:noWrap w:val="0"/>
            <w:vAlign w:val="center"/>
          </w:tcPr>
          <w:p w14:paraId="2183D73F">
            <w:r>
              <w:rPr>
                <w:rStyle w:val="10"/>
                <w:rFonts w:hint="eastAsia"/>
              </w:rPr>
              <w:t>备注：</w:t>
            </w:r>
          </w:p>
        </w:tc>
      </w:tr>
    </w:tbl>
    <w:p w14:paraId="6BCEAED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D2AA3A">
        <w:tblPrEx>
          <w:tblCellMar>
            <w:top w:w="0" w:type="dxa"/>
            <w:left w:w="0" w:type="dxa"/>
            <w:bottom w:w="0" w:type="dxa"/>
            <w:right w:w="0" w:type="dxa"/>
          </w:tblCellMar>
        </w:tblPrEx>
        <w:trPr>
          <w:wBefore w:w="0" w:type="auto"/>
          <w:tblCellSpacing w:w="0" w:type="dxa"/>
        </w:trPr>
        <w:tc>
          <w:tcPr>
            <w:tcW w:w="0" w:type="auto"/>
            <w:noWrap w:val="0"/>
            <w:vAlign w:val="center"/>
          </w:tcPr>
          <w:p w14:paraId="0C7EC326">
            <w:r>
              <w:rPr>
                <w:rStyle w:val="10"/>
                <w:rFonts w:hint="eastAsia"/>
              </w:rPr>
              <w:t>登记证号：</w:t>
            </w:r>
            <w:r>
              <w:rPr>
                <w:rFonts w:hint="eastAsia"/>
              </w:rPr>
              <w:t>PD20212519</w:t>
            </w:r>
          </w:p>
        </w:tc>
      </w:tr>
      <w:tr w14:paraId="19B44DF9">
        <w:tblPrEx>
          <w:tblCellMar>
            <w:top w:w="0" w:type="dxa"/>
            <w:left w:w="0" w:type="dxa"/>
            <w:bottom w:w="0" w:type="dxa"/>
            <w:right w:w="0" w:type="dxa"/>
          </w:tblCellMar>
        </w:tblPrEx>
        <w:trPr>
          <w:wBefore w:w="0" w:type="auto"/>
          <w:tblCellSpacing w:w="0" w:type="dxa"/>
        </w:trPr>
        <w:tc>
          <w:tcPr>
            <w:tcW w:w="0" w:type="auto"/>
            <w:noWrap w:val="0"/>
            <w:vAlign w:val="center"/>
          </w:tcPr>
          <w:p w14:paraId="48E1F1BF">
            <w:r>
              <w:rPr>
                <w:rStyle w:val="10"/>
                <w:rFonts w:hint="eastAsia"/>
              </w:rPr>
              <w:t>登记证持有人：</w:t>
            </w:r>
            <w:r>
              <w:rPr>
                <w:rFonts w:hint="eastAsia"/>
              </w:rPr>
              <w:t>山东奥坤作物科学股份有限公司</w:t>
            </w:r>
          </w:p>
        </w:tc>
      </w:tr>
      <w:tr w14:paraId="389743E0">
        <w:tblPrEx>
          <w:tblCellMar>
            <w:top w:w="0" w:type="dxa"/>
            <w:left w:w="0" w:type="dxa"/>
            <w:bottom w:w="0" w:type="dxa"/>
            <w:right w:w="0" w:type="dxa"/>
          </w:tblCellMar>
        </w:tblPrEx>
        <w:trPr>
          <w:wBefore w:w="0" w:type="auto"/>
          <w:tblCellSpacing w:w="0" w:type="dxa"/>
        </w:trPr>
        <w:tc>
          <w:tcPr>
            <w:tcW w:w="0" w:type="auto"/>
            <w:noWrap w:val="0"/>
            <w:vAlign w:val="center"/>
          </w:tcPr>
          <w:p w14:paraId="0AC8B158">
            <w:r>
              <w:rPr>
                <w:rStyle w:val="10"/>
                <w:rFonts w:hint="eastAsia"/>
              </w:rPr>
              <w:t>农药名称：</w:t>
            </w:r>
            <w:r>
              <w:rPr>
                <w:rFonts w:hint="eastAsia"/>
              </w:rPr>
              <w:t>氧氟·乙草胺</w:t>
            </w:r>
          </w:p>
        </w:tc>
      </w:tr>
      <w:tr w14:paraId="304B9C8A">
        <w:tblPrEx>
          <w:tblCellMar>
            <w:top w:w="0" w:type="dxa"/>
            <w:left w:w="0" w:type="dxa"/>
            <w:bottom w:w="0" w:type="dxa"/>
            <w:right w:w="0" w:type="dxa"/>
          </w:tblCellMar>
        </w:tblPrEx>
        <w:trPr>
          <w:wBefore w:w="0" w:type="auto"/>
          <w:tblCellSpacing w:w="0" w:type="dxa"/>
        </w:trPr>
        <w:tc>
          <w:tcPr>
            <w:tcW w:w="0" w:type="auto"/>
            <w:noWrap w:val="0"/>
            <w:vAlign w:val="center"/>
          </w:tcPr>
          <w:p w14:paraId="389EA674">
            <w:r>
              <w:rPr>
                <w:rStyle w:val="10"/>
                <w:rFonts w:hint="eastAsia"/>
              </w:rPr>
              <w:t>剂型：</w:t>
            </w:r>
            <w:r>
              <w:rPr>
                <w:rFonts w:hint="eastAsia"/>
              </w:rPr>
              <w:t>乳油</w:t>
            </w:r>
          </w:p>
        </w:tc>
      </w:tr>
      <w:tr w14:paraId="01210662">
        <w:tblPrEx>
          <w:tblCellMar>
            <w:top w:w="0" w:type="dxa"/>
            <w:left w:w="0" w:type="dxa"/>
            <w:bottom w:w="0" w:type="dxa"/>
            <w:right w:w="0" w:type="dxa"/>
          </w:tblCellMar>
        </w:tblPrEx>
        <w:trPr>
          <w:wBefore w:w="0" w:type="auto"/>
          <w:tblCellSpacing w:w="0" w:type="dxa"/>
        </w:trPr>
        <w:tc>
          <w:tcPr>
            <w:tcW w:w="0" w:type="auto"/>
            <w:noWrap w:val="0"/>
            <w:vAlign w:val="center"/>
          </w:tcPr>
          <w:p w14:paraId="3B057B8B">
            <w:r>
              <w:rPr>
                <w:rStyle w:val="10"/>
                <w:rFonts w:hint="eastAsia"/>
              </w:rPr>
              <w:t>毒性及其标识：</w:t>
            </w:r>
            <w:r>
              <w:rPr>
                <w:rFonts w:hint="eastAsia"/>
              </w:rPr>
              <w:t xml:space="preserve"> </w:t>
            </w:r>
            <w:r>
              <w:rPr>
                <w:lang/>
              </w:rPr>
              <w:drawing>
                <wp:inline distT="0" distB="0" distL="114300" distR="114300">
                  <wp:extent cx="476250" cy="323850"/>
                  <wp:effectExtent l="0" t="0" r="0" b="0"/>
                  <wp:docPr id="66" name="图片 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B53B13">
        <w:tblPrEx>
          <w:tblCellMar>
            <w:top w:w="0" w:type="dxa"/>
            <w:left w:w="0" w:type="dxa"/>
            <w:bottom w:w="0" w:type="dxa"/>
            <w:right w:w="0" w:type="dxa"/>
          </w:tblCellMar>
        </w:tblPrEx>
        <w:trPr>
          <w:wBefore w:w="0" w:type="auto"/>
          <w:tblCellSpacing w:w="0" w:type="dxa"/>
        </w:trPr>
        <w:tc>
          <w:tcPr>
            <w:tcW w:w="0" w:type="auto"/>
            <w:noWrap w:val="0"/>
            <w:vAlign w:val="center"/>
          </w:tcPr>
          <w:p w14:paraId="523F1044">
            <w:r>
              <w:rPr>
                <w:rStyle w:val="10"/>
                <w:rFonts w:hint="eastAsia"/>
              </w:rPr>
              <w:t>总有效成分含量：</w:t>
            </w:r>
            <w:r>
              <w:rPr>
                <w:rFonts w:hint="eastAsia"/>
              </w:rPr>
              <w:t>42%</w:t>
            </w:r>
          </w:p>
        </w:tc>
      </w:tr>
      <w:tr w14:paraId="5768AB04">
        <w:tblPrEx>
          <w:tblCellMar>
            <w:top w:w="0" w:type="dxa"/>
            <w:left w:w="0" w:type="dxa"/>
            <w:bottom w:w="0" w:type="dxa"/>
            <w:right w:w="0" w:type="dxa"/>
          </w:tblCellMar>
        </w:tblPrEx>
        <w:trPr>
          <w:wBefore w:w="0" w:type="auto"/>
          <w:tblCellSpacing w:w="0" w:type="dxa"/>
        </w:trPr>
        <w:tc>
          <w:tcPr>
            <w:tcW w:w="0" w:type="auto"/>
            <w:noWrap w:val="0"/>
            <w:vAlign w:val="center"/>
          </w:tcPr>
          <w:p w14:paraId="53E3D76E">
            <w:r>
              <w:rPr>
                <w:rFonts w:hint="eastAsia"/>
              </w:rPr>
              <w:t xml:space="preserve">有效成分及其含量： </w:t>
            </w:r>
          </w:p>
          <w:p w14:paraId="058A04DE">
            <w:r>
              <w:rPr>
                <w:rFonts w:hint="eastAsia"/>
              </w:rPr>
              <w:t xml:space="preserve">    乙草胺34%    乙氧氟草醚8%    </w:t>
            </w:r>
          </w:p>
        </w:tc>
      </w:tr>
      <w:tr w14:paraId="50C43D67">
        <w:tblPrEx>
          <w:tblCellMar>
            <w:top w:w="0" w:type="dxa"/>
            <w:left w:w="0" w:type="dxa"/>
            <w:bottom w:w="0" w:type="dxa"/>
            <w:right w:w="0" w:type="dxa"/>
          </w:tblCellMar>
        </w:tblPrEx>
        <w:trPr>
          <w:wBefore w:w="0" w:type="auto"/>
          <w:tblCellSpacing w:w="0" w:type="dxa"/>
        </w:trPr>
        <w:tc>
          <w:tcPr>
            <w:tcW w:w="0" w:type="auto"/>
            <w:noWrap w:val="0"/>
            <w:vAlign w:val="center"/>
          </w:tcPr>
          <w:p w14:paraId="5F699D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8F74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A8D2B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19BE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94715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B06822">
                  <w:r>
                    <w:rPr>
                      <w:rStyle w:val="11"/>
                      <w:rFonts w:hint="eastAsia"/>
                    </w:rPr>
                    <w:t>施用方式</w:t>
                  </w:r>
                </w:p>
              </w:tc>
            </w:tr>
            <w:tr w14:paraId="1A2328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B2B1D0">
                  <w:r>
                    <w:rPr>
                      <w:rStyle w:val="11"/>
                      <w:rFonts w:hint="eastAsia"/>
                    </w:rPr>
                    <w:t>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9649C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E65C52">
                  <w:r>
                    <w:rPr>
                      <w:rStyle w:val="11"/>
                      <w:rFonts w:hint="eastAsia"/>
                    </w:rPr>
                    <w:t>95-135毫升/亩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C00FBF">
                  <w:r>
                    <w:rPr>
                      <w:rStyle w:val="11"/>
                      <w:rFonts w:hint="eastAsia"/>
                    </w:rPr>
                    <w:t>土壤喷雾</w:t>
                  </w:r>
                </w:p>
              </w:tc>
            </w:tr>
          </w:tbl>
          <w:p w14:paraId="208D261C">
            <w:pPr>
              <w:rPr>
                <w:rFonts w:ascii="Times New Roman" w:hAnsi="Times New Roman" w:cs="Times New Roman"/>
                <w:sz w:val="20"/>
                <w:szCs w:val="20"/>
              </w:rPr>
            </w:pPr>
          </w:p>
        </w:tc>
      </w:tr>
      <w:tr w14:paraId="68E356DA">
        <w:tblPrEx>
          <w:tblCellMar>
            <w:top w:w="0" w:type="dxa"/>
            <w:left w:w="0" w:type="dxa"/>
            <w:bottom w:w="0" w:type="dxa"/>
            <w:right w:w="0" w:type="dxa"/>
          </w:tblCellMar>
        </w:tblPrEx>
        <w:trPr>
          <w:wBefore w:w="0" w:type="auto"/>
          <w:tblCellSpacing w:w="0" w:type="dxa"/>
        </w:trPr>
        <w:tc>
          <w:tcPr>
            <w:tcW w:w="0" w:type="auto"/>
            <w:noWrap w:val="0"/>
            <w:vAlign w:val="center"/>
          </w:tcPr>
          <w:p w14:paraId="01D06F3D">
            <w:r>
              <w:rPr>
                <w:rStyle w:val="10"/>
                <w:rFonts w:hint="eastAsia"/>
              </w:rPr>
              <w:t>使用技术要求:</w:t>
            </w:r>
            <w:r>
              <w:rPr>
                <w:rFonts w:hint="eastAsia"/>
              </w:rPr>
              <w:br w:type="textWrapping"/>
            </w:r>
            <w:r>
              <w:rPr>
                <w:rStyle w:val="11"/>
                <w:rFonts w:hint="eastAsia"/>
              </w:rPr>
              <w:t>1.</w:t>
            </w:r>
            <w:r>
              <w:rPr>
                <w:rStyle w:val="11"/>
                <w:rFonts w:hint="eastAsia"/>
              </w:rPr>
              <w:t> </w:t>
            </w:r>
            <w:r>
              <w:rPr>
                <w:rStyle w:val="11"/>
                <w:rFonts w:hint="eastAsia"/>
              </w:rPr>
              <w:t>于姜田播后苗前喷雾施药，进行土壤封闭处理。2.本品为土壤处理剂，必须在杂草出土前施药。 3.每季作物最多使用1次。</w:t>
            </w:r>
          </w:p>
        </w:tc>
      </w:tr>
      <w:tr w14:paraId="2C82727D">
        <w:tblPrEx>
          <w:tblCellMar>
            <w:top w:w="0" w:type="dxa"/>
            <w:left w:w="0" w:type="dxa"/>
            <w:bottom w:w="0" w:type="dxa"/>
            <w:right w:w="0" w:type="dxa"/>
          </w:tblCellMar>
        </w:tblPrEx>
        <w:trPr>
          <w:wBefore w:w="0" w:type="auto"/>
          <w:tblCellSpacing w:w="0" w:type="dxa"/>
        </w:trPr>
        <w:tc>
          <w:tcPr>
            <w:tcW w:w="0" w:type="auto"/>
            <w:noWrap w:val="0"/>
            <w:vAlign w:val="center"/>
          </w:tcPr>
          <w:p w14:paraId="3FF5A888">
            <w:r>
              <w:rPr>
                <w:rStyle w:val="10"/>
                <w:rFonts w:hint="eastAsia"/>
              </w:rPr>
              <w:t>产品性能:</w:t>
            </w:r>
            <w:r>
              <w:rPr>
                <w:rFonts w:hint="eastAsia"/>
              </w:rPr>
              <w:br w:type="textWrapping"/>
            </w:r>
            <w:r>
              <w:rPr>
                <w:rStyle w:val="11"/>
                <w:rFonts w:hint="eastAsia"/>
              </w:rPr>
              <w:t>本品为二苯醚类与酰胺类的复配制剂，是芽前土壤封闭型除草剂，综合了两类除草剂的优点，可有效防除姜田稗草、马唐、 千金子、狗尾草、醴肠、野苋菜、铁苋菜、鸭跖草、茼麻等一年生单双子叶杂草。</w:t>
            </w:r>
          </w:p>
        </w:tc>
      </w:tr>
      <w:tr w14:paraId="1487DD1C">
        <w:tblPrEx>
          <w:tblCellMar>
            <w:top w:w="0" w:type="dxa"/>
            <w:left w:w="0" w:type="dxa"/>
            <w:bottom w:w="0" w:type="dxa"/>
            <w:right w:w="0" w:type="dxa"/>
          </w:tblCellMar>
        </w:tblPrEx>
        <w:trPr>
          <w:wBefore w:w="0" w:type="auto"/>
          <w:tblCellSpacing w:w="0" w:type="dxa"/>
        </w:trPr>
        <w:tc>
          <w:tcPr>
            <w:tcW w:w="0" w:type="auto"/>
            <w:noWrap w:val="0"/>
            <w:vAlign w:val="center"/>
          </w:tcPr>
          <w:p w14:paraId="233ADEF4">
            <w:r>
              <w:rPr>
                <w:rStyle w:val="10"/>
                <w:rFonts w:hint="eastAsia"/>
              </w:rPr>
              <w:t>注意事项：</w:t>
            </w:r>
            <w:r>
              <w:rPr>
                <w:rFonts w:hint="eastAsia"/>
              </w:rPr>
              <w:br w:type="textWrapping"/>
            </w:r>
            <w:r>
              <w:rPr>
                <w:rStyle w:val="11"/>
                <w:rFonts w:hint="eastAsia"/>
              </w:rPr>
              <w:t>1.本剂的应用剂量取决于土壤湿度和土壤有机质含量，应根据不同地区，不同季节确定使用登记批准内剂量。2.使用时应严格遵守农药安全使用规程。使用本品时应穿戴防护服、口罩、手套和护目镜等防护用具，避免药液触及眼睛及皮肤。施药期间不可吃东西、喝水、吸烟等、施药后应及时洗手、洗脸等。3.黄瓜、菠菜、韭菜、谷子、高粱对其敏感，水稻田绝对不能用。4.远离水产养殖区、河塘等水体施药，禁止在河塘等水体中清洗施药器具；赤眼蜂等天敌放飞区域禁用；鸟类保护区附近禁用。5.用过的废弃妥善处理，不可做它用，也不可随意丢弃。6.孕妇和哺乳期妇女避免接触此药。7.避免与氧化剂接触。</w:t>
            </w:r>
          </w:p>
        </w:tc>
      </w:tr>
      <w:tr w14:paraId="05EAD067">
        <w:tblPrEx>
          <w:tblCellMar>
            <w:top w:w="0" w:type="dxa"/>
            <w:left w:w="0" w:type="dxa"/>
            <w:bottom w:w="0" w:type="dxa"/>
            <w:right w:w="0" w:type="dxa"/>
          </w:tblCellMar>
        </w:tblPrEx>
        <w:trPr>
          <w:wBefore w:w="0" w:type="auto"/>
          <w:tblCellSpacing w:w="0" w:type="dxa"/>
        </w:trPr>
        <w:tc>
          <w:tcPr>
            <w:tcW w:w="0" w:type="auto"/>
            <w:noWrap w:val="0"/>
            <w:vAlign w:val="center"/>
          </w:tcPr>
          <w:p w14:paraId="72EE52A0">
            <w:r>
              <w:rPr>
                <w:rStyle w:val="10"/>
                <w:rFonts w:hint="eastAsia"/>
              </w:rPr>
              <w:t>中毒急救措施：</w:t>
            </w:r>
            <w:r>
              <w:rPr>
                <w:rFonts w:hint="eastAsia"/>
              </w:rPr>
              <w:br w:type="textWrapping"/>
            </w:r>
            <w:r>
              <w:rPr>
                <w:rStyle w:val="11"/>
                <w:rFonts w:hint="eastAsia"/>
              </w:rPr>
              <w:t>本品对皮肤有轻度刺激性，对眼中度刺激作用，无全身中毒报道。施药时要注意人体防护，如不慎吸入，将病人移至空气流通处；不慎接触皮肤，用大量清水和肥皂冲洗干净；若溅入眼睛，用大量清水冲洗至少15分钟，仍有不适，就医；如误服，立即带标签送医院，对症治疗。无特效解毒剂。</w:t>
            </w:r>
          </w:p>
        </w:tc>
      </w:tr>
      <w:tr w14:paraId="0E8E8DC7">
        <w:tblPrEx>
          <w:tblCellMar>
            <w:top w:w="0" w:type="dxa"/>
            <w:left w:w="0" w:type="dxa"/>
            <w:bottom w:w="0" w:type="dxa"/>
            <w:right w:w="0" w:type="dxa"/>
          </w:tblCellMar>
        </w:tblPrEx>
        <w:trPr>
          <w:wBefore w:w="0" w:type="auto"/>
          <w:tblCellSpacing w:w="0" w:type="dxa"/>
        </w:trPr>
        <w:tc>
          <w:tcPr>
            <w:tcW w:w="0" w:type="auto"/>
            <w:noWrap w:val="0"/>
            <w:vAlign w:val="center"/>
          </w:tcPr>
          <w:p w14:paraId="22E8DE4E">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本品应贮存在干燥、阴凉、通风、防雨处，远离火源或热源。置于儿童及无关人员触及不到之处，并加锁保存。勿与食品、饮料、粮食、饲料等同贮同运。</w:t>
            </w:r>
          </w:p>
        </w:tc>
      </w:tr>
      <w:tr w14:paraId="46B30C68">
        <w:tblPrEx>
          <w:tblCellMar>
            <w:top w:w="0" w:type="dxa"/>
            <w:left w:w="0" w:type="dxa"/>
            <w:bottom w:w="0" w:type="dxa"/>
            <w:right w:w="0" w:type="dxa"/>
          </w:tblCellMar>
        </w:tblPrEx>
        <w:trPr>
          <w:wBefore w:w="0" w:type="auto"/>
          <w:tblCellSpacing w:w="0" w:type="dxa"/>
        </w:trPr>
        <w:tc>
          <w:tcPr>
            <w:tcW w:w="0" w:type="auto"/>
            <w:noWrap w:val="0"/>
            <w:vAlign w:val="center"/>
          </w:tcPr>
          <w:p w14:paraId="28D229F8">
            <w:r>
              <w:rPr>
                <w:rStyle w:val="10"/>
                <w:rFonts w:hint="eastAsia"/>
              </w:rPr>
              <w:t>质量保证期：</w:t>
            </w:r>
            <w:r>
              <w:rPr>
                <w:rStyle w:val="11"/>
                <w:rFonts w:hint="eastAsia"/>
              </w:rPr>
              <w:t>2年</w:t>
            </w:r>
          </w:p>
        </w:tc>
      </w:tr>
      <w:tr w14:paraId="2F41D31A">
        <w:tblPrEx>
          <w:tblCellMar>
            <w:top w:w="0" w:type="dxa"/>
            <w:left w:w="0" w:type="dxa"/>
            <w:bottom w:w="0" w:type="dxa"/>
            <w:right w:w="0" w:type="dxa"/>
          </w:tblCellMar>
        </w:tblPrEx>
        <w:trPr>
          <w:wBefore w:w="0" w:type="auto"/>
          <w:tblCellSpacing w:w="0" w:type="dxa"/>
        </w:trPr>
        <w:tc>
          <w:tcPr>
            <w:tcW w:w="0" w:type="auto"/>
            <w:noWrap w:val="0"/>
            <w:vAlign w:val="center"/>
          </w:tcPr>
          <w:p w14:paraId="68696086">
            <w:r>
              <w:rPr>
                <w:rStyle w:val="10"/>
                <w:rFonts w:hint="eastAsia"/>
              </w:rPr>
              <w:t>备注：</w:t>
            </w:r>
          </w:p>
        </w:tc>
      </w:tr>
    </w:tbl>
    <w:p w14:paraId="5B534BF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2D3366">
        <w:tblPrEx>
          <w:tblCellMar>
            <w:top w:w="0" w:type="dxa"/>
            <w:left w:w="0" w:type="dxa"/>
            <w:bottom w:w="0" w:type="dxa"/>
            <w:right w:w="0" w:type="dxa"/>
          </w:tblCellMar>
        </w:tblPrEx>
        <w:trPr>
          <w:wBefore w:w="0" w:type="auto"/>
          <w:tblCellSpacing w:w="0" w:type="dxa"/>
        </w:trPr>
        <w:tc>
          <w:tcPr>
            <w:tcW w:w="0" w:type="auto"/>
            <w:noWrap w:val="0"/>
            <w:vAlign w:val="center"/>
          </w:tcPr>
          <w:p w14:paraId="08AF1629">
            <w:r>
              <w:rPr>
                <w:rStyle w:val="10"/>
                <w:rFonts w:hint="eastAsia"/>
              </w:rPr>
              <w:t>登记证号：</w:t>
            </w:r>
            <w:r>
              <w:rPr>
                <w:rFonts w:hint="eastAsia"/>
              </w:rPr>
              <w:t>PD20212675</w:t>
            </w:r>
          </w:p>
        </w:tc>
      </w:tr>
      <w:tr w14:paraId="26E0FC86">
        <w:tblPrEx>
          <w:tblCellMar>
            <w:top w:w="0" w:type="dxa"/>
            <w:left w:w="0" w:type="dxa"/>
            <w:bottom w:w="0" w:type="dxa"/>
            <w:right w:w="0" w:type="dxa"/>
          </w:tblCellMar>
        </w:tblPrEx>
        <w:trPr>
          <w:wBefore w:w="0" w:type="auto"/>
          <w:tblCellSpacing w:w="0" w:type="dxa"/>
        </w:trPr>
        <w:tc>
          <w:tcPr>
            <w:tcW w:w="0" w:type="auto"/>
            <w:noWrap w:val="0"/>
            <w:vAlign w:val="center"/>
          </w:tcPr>
          <w:p w14:paraId="6EC29DE5">
            <w:r>
              <w:rPr>
                <w:rStyle w:val="10"/>
                <w:rFonts w:hint="eastAsia"/>
              </w:rPr>
              <w:t>登记证持有人：</w:t>
            </w:r>
            <w:r>
              <w:rPr>
                <w:rFonts w:hint="eastAsia"/>
              </w:rPr>
              <w:t>天津市华宇农药有限公司</w:t>
            </w:r>
          </w:p>
        </w:tc>
      </w:tr>
      <w:tr w14:paraId="2DEC0D06">
        <w:tblPrEx>
          <w:tblCellMar>
            <w:top w:w="0" w:type="dxa"/>
            <w:left w:w="0" w:type="dxa"/>
            <w:bottom w:w="0" w:type="dxa"/>
            <w:right w:w="0" w:type="dxa"/>
          </w:tblCellMar>
        </w:tblPrEx>
        <w:trPr>
          <w:wBefore w:w="0" w:type="auto"/>
          <w:tblCellSpacing w:w="0" w:type="dxa"/>
        </w:trPr>
        <w:tc>
          <w:tcPr>
            <w:tcW w:w="0" w:type="auto"/>
            <w:noWrap w:val="0"/>
            <w:vAlign w:val="center"/>
          </w:tcPr>
          <w:p w14:paraId="1C7FCBB9">
            <w:r>
              <w:rPr>
                <w:rStyle w:val="10"/>
                <w:rFonts w:hint="eastAsia"/>
              </w:rPr>
              <w:t>农药名称：</w:t>
            </w:r>
            <w:r>
              <w:rPr>
                <w:rFonts w:hint="eastAsia"/>
              </w:rPr>
              <w:t>咯菌腈</w:t>
            </w:r>
          </w:p>
        </w:tc>
      </w:tr>
      <w:tr w14:paraId="51A5B727">
        <w:tblPrEx>
          <w:tblCellMar>
            <w:top w:w="0" w:type="dxa"/>
            <w:left w:w="0" w:type="dxa"/>
            <w:bottom w:w="0" w:type="dxa"/>
            <w:right w:w="0" w:type="dxa"/>
          </w:tblCellMar>
        </w:tblPrEx>
        <w:trPr>
          <w:wBefore w:w="0" w:type="auto"/>
          <w:tblCellSpacing w:w="0" w:type="dxa"/>
        </w:trPr>
        <w:tc>
          <w:tcPr>
            <w:tcW w:w="0" w:type="auto"/>
            <w:noWrap w:val="0"/>
            <w:vAlign w:val="center"/>
          </w:tcPr>
          <w:p w14:paraId="121315C7">
            <w:r>
              <w:rPr>
                <w:rStyle w:val="10"/>
                <w:rFonts w:hint="eastAsia"/>
              </w:rPr>
              <w:t>剂型：</w:t>
            </w:r>
            <w:r>
              <w:rPr>
                <w:rFonts w:hint="eastAsia"/>
              </w:rPr>
              <w:t>种子处理悬浮剂</w:t>
            </w:r>
          </w:p>
        </w:tc>
      </w:tr>
      <w:tr w14:paraId="6E269BAE">
        <w:tblPrEx>
          <w:tblCellMar>
            <w:top w:w="0" w:type="dxa"/>
            <w:left w:w="0" w:type="dxa"/>
            <w:bottom w:w="0" w:type="dxa"/>
            <w:right w:w="0" w:type="dxa"/>
          </w:tblCellMar>
        </w:tblPrEx>
        <w:trPr>
          <w:wBefore w:w="0" w:type="auto"/>
          <w:tblCellSpacing w:w="0" w:type="dxa"/>
        </w:trPr>
        <w:tc>
          <w:tcPr>
            <w:tcW w:w="0" w:type="auto"/>
            <w:noWrap w:val="0"/>
            <w:vAlign w:val="center"/>
          </w:tcPr>
          <w:p w14:paraId="145312AA">
            <w:r>
              <w:rPr>
                <w:rStyle w:val="10"/>
                <w:rFonts w:hint="eastAsia"/>
              </w:rPr>
              <w:t>毒性及其标识：</w:t>
            </w:r>
            <w:r>
              <w:rPr>
                <w:rFonts w:hint="eastAsia"/>
              </w:rPr>
              <w:t xml:space="preserve"> </w:t>
            </w:r>
            <w:r>
              <w:rPr>
                <w:lang/>
              </w:rPr>
              <w:drawing>
                <wp:inline distT="0" distB="0" distL="114300" distR="114300">
                  <wp:extent cx="476250" cy="323850"/>
                  <wp:effectExtent l="0" t="0" r="0" b="0"/>
                  <wp:docPr id="67" name="图片 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50AB50F">
        <w:tblPrEx>
          <w:tblCellMar>
            <w:top w:w="0" w:type="dxa"/>
            <w:left w:w="0" w:type="dxa"/>
            <w:bottom w:w="0" w:type="dxa"/>
            <w:right w:w="0" w:type="dxa"/>
          </w:tblCellMar>
        </w:tblPrEx>
        <w:trPr>
          <w:wBefore w:w="0" w:type="auto"/>
          <w:tblCellSpacing w:w="0" w:type="dxa"/>
        </w:trPr>
        <w:tc>
          <w:tcPr>
            <w:tcW w:w="0" w:type="auto"/>
            <w:noWrap w:val="0"/>
            <w:vAlign w:val="center"/>
          </w:tcPr>
          <w:p w14:paraId="67999F4E">
            <w:r>
              <w:rPr>
                <w:rStyle w:val="10"/>
                <w:rFonts w:hint="eastAsia"/>
              </w:rPr>
              <w:t>总有效成分含量：</w:t>
            </w:r>
            <w:r>
              <w:rPr>
                <w:rFonts w:hint="eastAsia"/>
              </w:rPr>
              <w:t>25克/升</w:t>
            </w:r>
          </w:p>
        </w:tc>
      </w:tr>
      <w:tr w14:paraId="700F3F55">
        <w:tblPrEx>
          <w:tblCellMar>
            <w:top w:w="0" w:type="dxa"/>
            <w:left w:w="0" w:type="dxa"/>
            <w:bottom w:w="0" w:type="dxa"/>
            <w:right w:w="0" w:type="dxa"/>
          </w:tblCellMar>
        </w:tblPrEx>
        <w:trPr>
          <w:wBefore w:w="0" w:type="auto"/>
          <w:tblCellSpacing w:w="0" w:type="dxa"/>
        </w:trPr>
        <w:tc>
          <w:tcPr>
            <w:tcW w:w="0" w:type="auto"/>
            <w:noWrap w:val="0"/>
            <w:vAlign w:val="center"/>
          </w:tcPr>
          <w:p w14:paraId="433059FF">
            <w:r>
              <w:rPr>
                <w:rFonts w:hint="eastAsia"/>
              </w:rPr>
              <w:t xml:space="preserve">有效成分及其含量： </w:t>
            </w:r>
          </w:p>
          <w:p w14:paraId="21A0EB30">
            <w:r>
              <w:rPr>
                <w:rFonts w:hint="eastAsia"/>
              </w:rPr>
              <w:t xml:space="preserve">    咯菌腈25克/升    </w:t>
            </w:r>
          </w:p>
        </w:tc>
      </w:tr>
      <w:tr w14:paraId="56879FF3">
        <w:tblPrEx>
          <w:tblCellMar>
            <w:top w:w="0" w:type="dxa"/>
            <w:left w:w="0" w:type="dxa"/>
            <w:bottom w:w="0" w:type="dxa"/>
            <w:right w:w="0" w:type="dxa"/>
          </w:tblCellMar>
        </w:tblPrEx>
        <w:trPr>
          <w:wBefore w:w="0" w:type="auto"/>
          <w:tblCellSpacing w:w="0" w:type="dxa"/>
        </w:trPr>
        <w:tc>
          <w:tcPr>
            <w:tcW w:w="0" w:type="auto"/>
            <w:noWrap w:val="0"/>
            <w:vAlign w:val="center"/>
          </w:tcPr>
          <w:p w14:paraId="62858A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FF0A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F30E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58B22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50E5F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79C666">
                  <w:r>
                    <w:rPr>
                      <w:rStyle w:val="11"/>
                      <w:rFonts w:hint="eastAsia"/>
                    </w:rPr>
                    <w:t>施用方式</w:t>
                  </w:r>
                </w:p>
              </w:tc>
            </w:tr>
            <w:tr w14:paraId="4317BA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B46E85">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65038C">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656074">
                  <w:r>
                    <w:rPr>
                      <w:rStyle w:val="11"/>
                      <w:rFonts w:hint="eastAsia"/>
                    </w:rPr>
                    <w:t>150-200毫升/100千克种子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C06AF9">
                  <w:r>
                    <w:rPr>
                      <w:rStyle w:val="11"/>
                      <w:rFonts w:hint="eastAsia"/>
                    </w:rPr>
                    <w:t>种子包衣</w:t>
                  </w:r>
                </w:p>
              </w:tc>
            </w:tr>
            <w:tr w14:paraId="6DA61F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B2343C">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D59344">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9F08A8">
                  <w:r>
                    <w:rPr>
                      <w:rStyle w:val="11"/>
                      <w:rFonts w:hint="eastAsia"/>
                    </w:rPr>
                    <w:t>600-800毫升/100千克种子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E430D7">
                  <w:r>
                    <w:rPr>
                      <w:rStyle w:val="11"/>
                      <w:rFonts w:hint="eastAsia"/>
                    </w:rPr>
                    <w:t>种子包衣</w:t>
                  </w:r>
                </w:p>
              </w:tc>
            </w:tr>
          </w:tbl>
          <w:p w14:paraId="1AFEB731">
            <w:pPr>
              <w:rPr>
                <w:rFonts w:ascii="Times New Roman" w:hAnsi="Times New Roman" w:cs="Times New Roman"/>
                <w:sz w:val="20"/>
                <w:szCs w:val="20"/>
              </w:rPr>
            </w:pPr>
          </w:p>
        </w:tc>
      </w:tr>
      <w:tr w14:paraId="6B167E5B">
        <w:tblPrEx>
          <w:tblCellMar>
            <w:top w:w="0" w:type="dxa"/>
            <w:left w:w="0" w:type="dxa"/>
            <w:bottom w:w="0" w:type="dxa"/>
            <w:right w:w="0" w:type="dxa"/>
          </w:tblCellMar>
        </w:tblPrEx>
        <w:trPr>
          <w:wBefore w:w="0" w:type="auto"/>
          <w:tblCellSpacing w:w="0" w:type="dxa"/>
        </w:trPr>
        <w:tc>
          <w:tcPr>
            <w:tcW w:w="0" w:type="auto"/>
            <w:noWrap w:val="0"/>
            <w:vAlign w:val="center"/>
          </w:tcPr>
          <w:p w14:paraId="47E8D0FA">
            <w:r>
              <w:rPr>
                <w:rStyle w:val="10"/>
                <w:rFonts w:hint="eastAsia"/>
              </w:rPr>
              <w:t>使用技术要求:</w:t>
            </w:r>
            <w:r>
              <w:rPr>
                <w:rFonts w:hint="eastAsia"/>
              </w:rPr>
              <w:br w:type="textWrapping"/>
            </w:r>
            <w:r>
              <w:rPr>
                <w:rStyle w:val="11"/>
                <w:rFonts w:hint="eastAsia"/>
              </w:rPr>
              <w:t>1.按照播种量量取推荐用药量，加入适量水稀释成药浆，将药浆和种子充分搅拌，在阴凉通风处平铺摊开，晾干后播种。 2.用于处理的种子应达到国家良种标准。 3.配制好的药液应在24小时内使用。 4.本品在上述登记作物新品种上大面积应用时，必须先进行小范围的安全性试验。 安全使用标准：每季作物用药1次。</w:t>
            </w:r>
          </w:p>
        </w:tc>
      </w:tr>
      <w:tr w14:paraId="09C89FA6">
        <w:tblPrEx>
          <w:tblCellMar>
            <w:top w:w="0" w:type="dxa"/>
            <w:left w:w="0" w:type="dxa"/>
            <w:bottom w:w="0" w:type="dxa"/>
            <w:right w:w="0" w:type="dxa"/>
          </w:tblCellMar>
        </w:tblPrEx>
        <w:trPr>
          <w:wBefore w:w="0" w:type="auto"/>
          <w:tblCellSpacing w:w="0" w:type="dxa"/>
        </w:trPr>
        <w:tc>
          <w:tcPr>
            <w:tcW w:w="0" w:type="auto"/>
            <w:noWrap w:val="0"/>
            <w:vAlign w:val="center"/>
          </w:tcPr>
          <w:p w14:paraId="692687E8">
            <w:r>
              <w:rPr>
                <w:rStyle w:val="10"/>
                <w:rFonts w:hint="eastAsia"/>
              </w:rPr>
              <w:t>产品性能:</w:t>
            </w:r>
            <w:r>
              <w:rPr>
                <w:rFonts w:hint="eastAsia"/>
              </w:rPr>
              <w:br w:type="textWrapping"/>
            </w:r>
            <w:r>
              <w:rPr>
                <w:rStyle w:val="11"/>
                <w:rFonts w:hint="eastAsia"/>
              </w:rPr>
              <w:t>本品为红色悬浮液体，用于种子处理，可防治作物的种传和土传真菌病害。</w:t>
            </w:r>
          </w:p>
        </w:tc>
      </w:tr>
      <w:tr w14:paraId="60E5675F">
        <w:tblPrEx>
          <w:tblCellMar>
            <w:top w:w="0" w:type="dxa"/>
            <w:left w:w="0" w:type="dxa"/>
            <w:bottom w:w="0" w:type="dxa"/>
            <w:right w:w="0" w:type="dxa"/>
          </w:tblCellMar>
        </w:tblPrEx>
        <w:trPr>
          <w:wBefore w:w="0" w:type="auto"/>
          <w:tblCellSpacing w:w="0" w:type="dxa"/>
        </w:trPr>
        <w:tc>
          <w:tcPr>
            <w:tcW w:w="0" w:type="auto"/>
            <w:noWrap w:val="0"/>
            <w:vAlign w:val="center"/>
          </w:tcPr>
          <w:p w14:paraId="73543748">
            <w:r>
              <w:rPr>
                <w:rStyle w:val="10"/>
                <w:rFonts w:hint="eastAsia"/>
              </w:rPr>
              <w:t>注意事项：</w:t>
            </w:r>
            <w:r>
              <w:rPr>
                <w:rFonts w:hint="eastAsia"/>
              </w:rPr>
              <w:br w:type="textWrapping"/>
            </w:r>
            <w:r>
              <w:rPr>
                <w:rStyle w:val="11"/>
                <w:rFonts w:hint="eastAsia"/>
              </w:rPr>
              <w:t>1.本品对鱼类等水生生物有毒，水产养殖区，河塘等水体附近禁用，禁止在河塘等水体中清洗施药器具。播种时及时清除裸露的种子，播种期间和播种之后立即用土壤覆盖。 2.使用时应采取相应的安全防护措施，穿长袖衣裤，戴防护手套、口罩等，避免皮肤接触及口鼻吸入。使用中不可吸烟、饮水及吃东西，施药后应及时洗手和洗脸。 3.处理后的种子严禁人畜食用，也不要与未处理种子混合或一起存放。如需晾晒必须有专人看管，特别要注意远离儿童以防止误食中毒，播种后应立即覆土，以免畜禽误食。 4.用过的容器应妥善处理，不可做他用，也不可随意丢弃。 5.孕妇及哺乳期妇女应禁止接触。</w:t>
            </w:r>
          </w:p>
        </w:tc>
      </w:tr>
      <w:tr w14:paraId="41F84129">
        <w:tblPrEx>
          <w:tblCellMar>
            <w:top w:w="0" w:type="dxa"/>
            <w:left w:w="0" w:type="dxa"/>
            <w:bottom w:w="0" w:type="dxa"/>
            <w:right w:w="0" w:type="dxa"/>
          </w:tblCellMar>
        </w:tblPrEx>
        <w:trPr>
          <w:wBefore w:w="0" w:type="auto"/>
          <w:tblCellSpacing w:w="0" w:type="dxa"/>
        </w:trPr>
        <w:tc>
          <w:tcPr>
            <w:tcW w:w="0" w:type="auto"/>
            <w:noWrap w:val="0"/>
            <w:vAlign w:val="center"/>
          </w:tcPr>
          <w:p w14:paraId="3D30D32D">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本品如误入眼睛，立即用流动的清水至少冲洗15分钟，仍有不适应立即就医；如接触皮肤，脱去污染的衣物，用软布去除沾染农药，立即用大量清水和肥皂冲洗；吸入立即离开施药现场，转移到空气清新处。如误服，立即停止服用，切勿引吐。立即携带标签到对症治疗。 使用医用活性炭洗胃，注意防止胃容物进入呼吸道。</w:t>
            </w:r>
          </w:p>
        </w:tc>
      </w:tr>
      <w:tr w14:paraId="2CD31B35">
        <w:tblPrEx>
          <w:tblCellMar>
            <w:top w:w="0" w:type="dxa"/>
            <w:left w:w="0" w:type="dxa"/>
            <w:bottom w:w="0" w:type="dxa"/>
            <w:right w:w="0" w:type="dxa"/>
          </w:tblCellMar>
        </w:tblPrEx>
        <w:trPr>
          <w:wBefore w:w="0" w:type="auto"/>
          <w:tblCellSpacing w:w="0" w:type="dxa"/>
        </w:trPr>
        <w:tc>
          <w:tcPr>
            <w:tcW w:w="0" w:type="auto"/>
            <w:noWrap w:val="0"/>
            <w:vAlign w:val="center"/>
          </w:tcPr>
          <w:p w14:paraId="3C9D6540">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0388DAEE">
        <w:tblPrEx>
          <w:tblCellMar>
            <w:top w:w="0" w:type="dxa"/>
            <w:left w:w="0" w:type="dxa"/>
            <w:bottom w:w="0" w:type="dxa"/>
            <w:right w:w="0" w:type="dxa"/>
          </w:tblCellMar>
        </w:tblPrEx>
        <w:trPr>
          <w:wBefore w:w="0" w:type="auto"/>
          <w:tblCellSpacing w:w="0" w:type="dxa"/>
        </w:trPr>
        <w:tc>
          <w:tcPr>
            <w:tcW w:w="0" w:type="auto"/>
            <w:noWrap w:val="0"/>
            <w:vAlign w:val="center"/>
          </w:tcPr>
          <w:p w14:paraId="392CCA71">
            <w:r>
              <w:rPr>
                <w:rStyle w:val="10"/>
                <w:rFonts w:hint="eastAsia"/>
              </w:rPr>
              <w:t>质量保证期：</w:t>
            </w:r>
            <w:r>
              <w:rPr>
                <w:rStyle w:val="11"/>
                <w:rFonts w:hint="eastAsia"/>
              </w:rPr>
              <w:t>2年</w:t>
            </w:r>
          </w:p>
        </w:tc>
      </w:tr>
      <w:tr w14:paraId="54503953">
        <w:tblPrEx>
          <w:tblCellMar>
            <w:top w:w="0" w:type="dxa"/>
            <w:left w:w="0" w:type="dxa"/>
            <w:bottom w:w="0" w:type="dxa"/>
            <w:right w:w="0" w:type="dxa"/>
          </w:tblCellMar>
        </w:tblPrEx>
        <w:trPr>
          <w:wBefore w:w="0" w:type="auto"/>
          <w:tblCellSpacing w:w="0" w:type="dxa"/>
        </w:trPr>
        <w:tc>
          <w:tcPr>
            <w:tcW w:w="0" w:type="auto"/>
            <w:noWrap w:val="0"/>
            <w:vAlign w:val="center"/>
          </w:tcPr>
          <w:p w14:paraId="7B416EE1">
            <w:r>
              <w:rPr>
                <w:rStyle w:val="10"/>
                <w:rFonts w:hint="eastAsia"/>
              </w:rPr>
              <w:t>备注：</w:t>
            </w:r>
            <w:r>
              <w:rPr>
                <w:rFonts w:hint="eastAsia"/>
              </w:rPr>
              <w:br w:type="textWrapping"/>
            </w:r>
            <w:r>
              <w:rPr>
                <w:rStyle w:val="11"/>
                <w:rFonts w:hint="eastAsia"/>
              </w:rPr>
              <w:t>质量分数2.4%。</w:t>
            </w:r>
          </w:p>
        </w:tc>
      </w:tr>
    </w:tbl>
    <w:p w14:paraId="3D514F5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B65CBE">
        <w:tblPrEx>
          <w:tblCellMar>
            <w:top w:w="0" w:type="dxa"/>
            <w:left w:w="0" w:type="dxa"/>
            <w:bottom w:w="0" w:type="dxa"/>
            <w:right w:w="0" w:type="dxa"/>
          </w:tblCellMar>
        </w:tblPrEx>
        <w:trPr>
          <w:wBefore w:w="0" w:type="auto"/>
          <w:tblCellSpacing w:w="0" w:type="dxa"/>
        </w:trPr>
        <w:tc>
          <w:tcPr>
            <w:tcW w:w="0" w:type="auto"/>
            <w:noWrap w:val="0"/>
            <w:vAlign w:val="center"/>
          </w:tcPr>
          <w:p w14:paraId="5EBB5C60">
            <w:r>
              <w:rPr>
                <w:rStyle w:val="10"/>
                <w:rFonts w:hint="eastAsia"/>
              </w:rPr>
              <w:t>登记证号：</w:t>
            </w:r>
            <w:r>
              <w:rPr>
                <w:rFonts w:hint="eastAsia"/>
              </w:rPr>
              <w:t>WP20210406</w:t>
            </w:r>
          </w:p>
        </w:tc>
      </w:tr>
      <w:tr w14:paraId="76065849">
        <w:tblPrEx>
          <w:tblCellMar>
            <w:top w:w="0" w:type="dxa"/>
            <w:left w:w="0" w:type="dxa"/>
            <w:bottom w:w="0" w:type="dxa"/>
            <w:right w:w="0" w:type="dxa"/>
          </w:tblCellMar>
        </w:tblPrEx>
        <w:trPr>
          <w:wBefore w:w="0" w:type="auto"/>
          <w:tblCellSpacing w:w="0" w:type="dxa"/>
        </w:trPr>
        <w:tc>
          <w:tcPr>
            <w:tcW w:w="0" w:type="auto"/>
            <w:noWrap w:val="0"/>
            <w:vAlign w:val="center"/>
          </w:tcPr>
          <w:p w14:paraId="0E2C0EB3">
            <w:r>
              <w:rPr>
                <w:rStyle w:val="10"/>
                <w:rFonts w:hint="eastAsia"/>
              </w:rPr>
              <w:t>登记证持有人：</w:t>
            </w:r>
            <w:r>
              <w:rPr>
                <w:rFonts w:hint="eastAsia"/>
              </w:rPr>
              <w:t>广东省陆丰裕达企业发展公司</w:t>
            </w:r>
          </w:p>
        </w:tc>
      </w:tr>
      <w:tr w14:paraId="1A6C0BC1">
        <w:tblPrEx>
          <w:tblCellMar>
            <w:top w:w="0" w:type="dxa"/>
            <w:left w:w="0" w:type="dxa"/>
            <w:bottom w:w="0" w:type="dxa"/>
            <w:right w:w="0" w:type="dxa"/>
          </w:tblCellMar>
        </w:tblPrEx>
        <w:trPr>
          <w:wBefore w:w="0" w:type="auto"/>
          <w:tblCellSpacing w:w="0" w:type="dxa"/>
        </w:trPr>
        <w:tc>
          <w:tcPr>
            <w:tcW w:w="0" w:type="auto"/>
            <w:noWrap w:val="0"/>
            <w:vAlign w:val="center"/>
          </w:tcPr>
          <w:p w14:paraId="597233D6">
            <w:r>
              <w:rPr>
                <w:rStyle w:val="10"/>
                <w:rFonts w:hint="eastAsia"/>
              </w:rPr>
              <w:t>农药名称：</w:t>
            </w:r>
            <w:r>
              <w:rPr>
                <w:rFonts w:hint="eastAsia"/>
              </w:rPr>
              <w:t>电热蚊香液</w:t>
            </w:r>
          </w:p>
        </w:tc>
      </w:tr>
      <w:tr w14:paraId="71F9078E">
        <w:tblPrEx>
          <w:tblCellMar>
            <w:top w:w="0" w:type="dxa"/>
            <w:left w:w="0" w:type="dxa"/>
            <w:bottom w:w="0" w:type="dxa"/>
            <w:right w:w="0" w:type="dxa"/>
          </w:tblCellMar>
        </w:tblPrEx>
        <w:trPr>
          <w:wBefore w:w="0" w:type="auto"/>
          <w:tblCellSpacing w:w="0" w:type="dxa"/>
        </w:trPr>
        <w:tc>
          <w:tcPr>
            <w:tcW w:w="0" w:type="auto"/>
            <w:noWrap w:val="0"/>
            <w:vAlign w:val="center"/>
          </w:tcPr>
          <w:p w14:paraId="655C7B40">
            <w:r>
              <w:rPr>
                <w:rStyle w:val="10"/>
                <w:rFonts w:hint="eastAsia"/>
              </w:rPr>
              <w:t>剂型：</w:t>
            </w:r>
            <w:r>
              <w:rPr>
                <w:rFonts w:hint="eastAsia"/>
              </w:rPr>
              <w:t>电热香蚊液</w:t>
            </w:r>
          </w:p>
        </w:tc>
      </w:tr>
      <w:tr w14:paraId="2D74CD39">
        <w:tblPrEx>
          <w:tblCellMar>
            <w:top w:w="0" w:type="dxa"/>
            <w:left w:w="0" w:type="dxa"/>
            <w:bottom w:w="0" w:type="dxa"/>
            <w:right w:w="0" w:type="dxa"/>
          </w:tblCellMar>
        </w:tblPrEx>
        <w:trPr>
          <w:wBefore w:w="0" w:type="auto"/>
          <w:tblCellSpacing w:w="0" w:type="dxa"/>
        </w:trPr>
        <w:tc>
          <w:tcPr>
            <w:tcW w:w="0" w:type="auto"/>
            <w:noWrap w:val="0"/>
            <w:vAlign w:val="center"/>
          </w:tcPr>
          <w:p w14:paraId="50488BAE">
            <w:r>
              <w:rPr>
                <w:rStyle w:val="10"/>
                <w:rFonts w:hint="eastAsia"/>
              </w:rPr>
              <w:t>毒性及其标识：</w:t>
            </w:r>
            <w:r>
              <w:rPr>
                <w:rFonts w:hint="eastAsia"/>
              </w:rPr>
              <w:t xml:space="preserve"> 微毒 </w:t>
            </w:r>
          </w:p>
        </w:tc>
      </w:tr>
      <w:tr w14:paraId="1A0AA272">
        <w:tblPrEx>
          <w:tblCellMar>
            <w:top w:w="0" w:type="dxa"/>
            <w:left w:w="0" w:type="dxa"/>
            <w:bottom w:w="0" w:type="dxa"/>
            <w:right w:w="0" w:type="dxa"/>
          </w:tblCellMar>
        </w:tblPrEx>
        <w:trPr>
          <w:wBefore w:w="0" w:type="auto"/>
          <w:tblCellSpacing w:w="0" w:type="dxa"/>
        </w:trPr>
        <w:tc>
          <w:tcPr>
            <w:tcW w:w="0" w:type="auto"/>
            <w:noWrap w:val="0"/>
            <w:vAlign w:val="center"/>
          </w:tcPr>
          <w:p w14:paraId="23A84AA1">
            <w:r>
              <w:rPr>
                <w:rStyle w:val="10"/>
                <w:rFonts w:hint="eastAsia"/>
              </w:rPr>
              <w:t>总有效成分含量：</w:t>
            </w:r>
            <w:r>
              <w:rPr>
                <w:rFonts w:hint="eastAsia"/>
              </w:rPr>
              <w:t>0.8%</w:t>
            </w:r>
          </w:p>
        </w:tc>
      </w:tr>
      <w:tr w14:paraId="437CD315">
        <w:tblPrEx>
          <w:tblCellMar>
            <w:top w:w="0" w:type="dxa"/>
            <w:left w:w="0" w:type="dxa"/>
            <w:bottom w:w="0" w:type="dxa"/>
            <w:right w:w="0" w:type="dxa"/>
          </w:tblCellMar>
        </w:tblPrEx>
        <w:trPr>
          <w:wBefore w:w="0" w:type="auto"/>
          <w:tblCellSpacing w:w="0" w:type="dxa"/>
        </w:trPr>
        <w:tc>
          <w:tcPr>
            <w:tcW w:w="0" w:type="auto"/>
            <w:noWrap w:val="0"/>
            <w:vAlign w:val="center"/>
          </w:tcPr>
          <w:p w14:paraId="0B317B0B">
            <w:r>
              <w:rPr>
                <w:rFonts w:hint="eastAsia"/>
              </w:rPr>
              <w:t xml:space="preserve">有效成分及其含量： </w:t>
            </w:r>
          </w:p>
          <w:p w14:paraId="5AD8BA71">
            <w:r>
              <w:rPr>
                <w:rFonts w:hint="eastAsia"/>
              </w:rPr>
              <w:t xml:space="preserve">    氯氟醚菊酯0.8%    </w:t>
            </w:r>
          </w:p>
        </w:tc>
      </w:tr>
      <w:tr w14:paraId="6768AB6E">
        <w:tblPrEx>
          <w:tblCellMar>
            <w:top w:w="0" w:type="dxa"/>
            <w:left w:w="0" w:type="dxa"/>
            <w:bottom w:w="0" w:type="dxa"/>
            <w:right w:w="0" w:type="dxa"/>
          </w:tblCellMar>
        </w:tblPrEx>
        <w:trPr>
          <w:wBefore w:w="0" w:type="auto"/>
          <w:tblCellSpacing w:w="0" w:type="dxa"/>
        </w:trPr>
        <w:tc>
          <w:tcPr>
            <w:tcW w:w="0" w:type="auto"/>
            <w:noWrap w:val="0"/>
            <w:vAlign w:val="center"/>
          </w:tcPr>
          <w:p w14:paraId="25424CC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0F07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2DF61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850C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BD77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B597EC">
                  <w:r>
                    <w:rPr>
                      <w:rStyle w:val="11"/>
                      <w:rFonts w:hint="eastAsia"/>
                    </w:rPr>
                    <w:t>施用方式</w:t>
                  </w:r>
                </w:p>
              </w:tc>
            </w:tr>
            <w:tr w14:paraId="2C7E9B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E44D8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87EA6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D6CDF1">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940092">
                  <w:r>
                    <w:rPr>
                      <w:rStyle w:val="11"/>
                      <w:rFonts w:hint="eastAsia"/>
                    </w:rPr>
                    <w:t>电热加温</w:t>
                  </w:r>
                </w:p>
              </w:tc>
            </w:tr>
          </w:tbl>
          <w:p w14:paraId="7418407B">
            <w:pPr>
              <w:rPr>
                <w:rFonts w:ascii="Times New Roman" w:hAnsi="Times New Roman" w:cs="Times New Roman"/>
                <w:sz w:val="20"/>
                <w:szCs w:val="20"/>
              </w:rPr>
            </w:pPr>
          </w:p>
        </w:tc>
      </w:tr>
      <w:tr w14:paraId="2E58D9D3">
        <w:tblPrEx>
          <w:tblCellMar>
            <w:top w:w="0" w:type="dxa"/>
            <w:left w:w="0" w:type="dxa"/>
            <w:bottom w:w="0" w:type="dxa"/>
            <w:right w:w="0" w:type="dxa"/>
          </w:tblCellMar>
        </w:tblPrEx>
        <w:trPr>
          <w:wBefore w:w="0" w:type="auto"/>
          <w:tblCellSpacing w:w="0" w:type="dxa"/>
        </w:trPr>
        <w:tc>
          <w:tcPr>
            <w:tcW w:w="0" w:type="auto"/>
            <w:noWrap w:val="0"/>
            <w:vAlign w:val="center"/>
          </w:tcPr>
          <w:p w14:paraId="5EAFA4C1">
            <w:r>
              <w:rPr>
                <w:rStyle w:val="10"/>
                <w:rFonts w:hint="eastAsia"/>
              </w:rPr>
              <w:t>使用技术要求:</w:t>
            </w:r>
            <w:r>
              <w:rPr>
                <w:rFonts w:hint="eastAsia"/>
              </w:rPr>
              <w:br w:type="textWrapping"/>
            </w:r>
            <w:r>
              <w:rPr>
                <w:rStyle w:val="11"/>
                <w:rFonts w:hint="eastAsia"/>
              </w:rPr>
              <w:t>使用时药力散发均匀,可连续使用60天（每天8小时），无须每天添加或更换。使用方便。是现代家居驱蚊之良品之一。 1、旋开电热蚊香液的瓶盖； 2、将蚊香液装入驱蚊器内； 3、将驱蚊器插上电源，指示灯亮即表示正常工作； 4、用毕切断电源。</w:t>
            </w:r>
          </w:p>
        </w:tc>
      </w:tr>
      <w:tr w14:paraId="2F6F92A0">
        <w:tblPrEx>
          <w:tblCellMar>
            <w:top w:w="0" w:type="dxa"/>
            <w:left w:w="0" w:type="dxa"/>
            <w:bottom w:w="0" w:type="dxa"/>
            <w:right w:w="0" w:type="dxa"/>
          </w:tblCellMar>
        </w:tblPrEx>
        <w:trPr>
          <w:wBefore w:w="0" w:type="auto"/>
          <w:tblCellSpacing w:w="0" w:type="dxa"/>
        </w:trPr>
        <w:tc>
          <w:tcPr>
            <w:tcW w:w="0" w:type="auto"/>
            <w:noWrap w:val="0"/>
            <w:vAlign w:val="center"/>
          </w:tcPr>
          <w:p w14:paraId="25E0A342">
            <w:r>
              <w:rPr>
                <w:rStyle w:val="10"/>
                <w:rFonts w:hint="eastAsia"/>
              </w:rPr>
              <w:t>产品性能:</w:t>
            </w:r>
            <w:r>
              <w:rPr>
                <w:rFonts w:hint="eastAsia"/>
              </w:rPr>
              <w:br w:type="textWrapping"/>
            </w:r>
            <w:r>
              <w:rPr>
                <w:rStyle w:val="11"/>
                <w:rFonts w:hint="eastAsia"/>
              </w:rPr>
              <w:t>本产品以拟除虫菊酯配制而成，能有效驱蚊，使用简便，为家居驱蚊的理想用品之一。</w:t>
            </w:r>
          </w:p>
        </w:tc>
      </w:tr>
      <w:tr w14:paraId="1B285577">
        <w:tblPrEx>
          <w:tblCellMar>
            <w:top w:w="0" w:type="dxa"/>
            <w:left w:w="0" w:type="dxa"/>
            <w:bottom w:w="0" w:type="dxa"/>
            <w:right w:w="0" w:type="dxa"/>
          </w:tblCellMar>
        </w:tblPrEx>
        <w:trPr>
          <w:wBefore w:w="0" w:type="auto"/>
          <w:tblCellSpacing w:w="0" w:type="dxa"/>
        </w:trPr>
        <w:tc>
          <w:tcPr>
            <w:tcW w:w="0" w:type="auto"/>
            <w:noWrap w:val="0"/>
            <w:vAlign w:val="center"/>
          </w:tcPr>
          <w:p w14:paraId="455A99EB">
            <w:r>
              <w:rPr>
                <w:rStyle w:val="10"/>
                <w:rFonts w:hint="eastAsia"/>
              </w:rPr>
              <w:t>注意事项：</w:t>
            </w:r>
            <w:r>
              <w:rPr>
                <w:rFonts w:hint="eastAsia"/>
              </w:rPr>
              <w:br w:type="textWrapping"/>
            </w:r>
            <w:r>
              <w:rPr>
                <w:rStyle w:val="11"/>
                <w:rFonts w:hint="eastAsia"/>
              </w:rPr>
              <w:t>置于儿童接触不到的地方。使用时注意通风；注意用电及防火安全；本品对鱼、蚕有毒，蚕室及其附近禁用；用后洗手。过敏者禁用；使用中有任何不良反应请及时就医。</w:t>
            </w:r>
          </w:p>
        </w:tc>
      </w:tr>
      <w:tr w14:paraId="0A96A0DD">
        <w:tblPrEx>
          <w:tblCellMar>
            <w:top w:w="0" w:type="dxa"/>
            <w:left w:w="0" w:type="dxa"/>
            <w:bottom w:w="0" w:type="dxa"/>
            <w:right w:w="0" w:type="dxa"/>
          </w:tblCellMar>
        </w:tblPrEx>
        <w:trPr>
          <w:wBefore w:w="0" w:type="auto"/>
          <w:tblCellSpacing w:w="0" w:type="dxa"/>
        </w:trPr>
        <w:tc>
          <w:tcPr>
            <w:tcW w:w="0" w:type="auto"/>
            <w:noWrap w:val="0"/>
            <w:vAlign w:val="center"/>
          </w:tcPr>
          <w:p w14:paraId="688D04BD">
            <w:r>
              <w:rPr>
                <w:rStyle w:val="10"/>
                <w:rFonts w:hint="eastAsia"/>
              </w:rPr>
              <w:t>中毒急救措施：</w:t>
            </w:r>
            <w:r>
              <w:rPr>
                <w:rFonts w:hint="eastAsia"/>
              </w:rPr>
              <w:br w:type="textWrapping"/>
            </w:r>
            <w:r>
              <w:rPr>
                <w:rStyle w:val="11"/>
                <w:rFonts w:hint="eastAsia"/>
              </w:rPr>
              <w:t>中毒和急救措施，若有误服，则应立即携带标签将病人送医院诊治。不慎吸入，应将病人移至空气流通处。如接触药液或溅入眼睛后应即用清水冲洗15分钟以上。</w:t>
            </w:r>
          </w:p>
        </w:tc>
      </w:tr>
      <w:tr w14:paraId="7EA6F0B0">
        <w:tblPrEx>
          <w:tblCellMar>
            <w:top w:w="0" w:type="dxa"/>
            <w:left w:w="0" w:type="dxa"/>
            <w:bottom w:w="0" w:type="dxa"/>
            <w:right w:w="0" w:type="dxa"/>
          </w:tblCellMar>
        </w:tblPrEx>
        <w:trPr>
          <w:wBefore w:w="0" w:type="auto"/>
          <w:tblCellSpacing w:w="0" w:type="dxa"/>
        </w:trPr>
        <w:tc>
          <w:tcPr>
            <w:tcW w:w="0" w:type="auto"/>
            <w:noWrap w:val="0"/>
            <w:vAlign w:val="center"/>
          </w:tcPr>
          <w:p w14:paraId="42944CB6">
            <w:r>
              <w:rPr>
                <w:rStyle w:val="10"/>
                <w:rFonts w:hint="eastAsia"/>
              </w:rPr>
              <w:t>储存和运输方法：</w:t>
            </w:r>
            <w:r>
              <w:rPr>
                <w:rFonts w:hint="eastAsia"/>
              </w:rPr>
              <w:br w:type="textWrapping"/>
            </w:r>
            <w:r>
              <w:rPr>
                <w:rStyle w:val="11"/>
                <w:rFonts w:hint="eastAsia"/>
              </w:rPr>
              <w:t>1、置于儿童接触不到的阴凉干燥处，勿与食品、种子、饮料、饲料及易燃易爆品等同贮同运。2、搬运时要轻取轻放，防止剧烈震动、日晒、雨淋和重压。3、远离火源或热源。</w:t>
            </w:r>
          </w:p>
        </w:tc>
      </w:tr>
      <w:tr w14:paraId="63AD9A4D">
        <w:tblPrEx>
          <w:tblCellMar>
            <w:top w:w="0" w:type="dxa"/>
            <w:left w:w="0" w:type="dxa"/>
            <w:bottom w:w="0" w:type="dxa"/>
            <w:right w:w="0" w:type="dxa"/>
          </w:tblCellMar>
        </w:tblPrEx>
        <w:trPr>
          <w:wBefore w:w="0" w:type="auto"/>
          <w:tblCellSpacing w:w="0" w:type="dxa"/>
        </w:trPr>
        <w:tc>
          <w:tcPr>
            <w:tcW w:w="0" w:type="auto"/>
            <w:noWrap w:val="0"/>
            <w:vAlign w:val="center"/>
          </w:tcPr>
          <w:p w14:paraId="209F6E29">
            <w:r>
              <w:rPr>
                <w:rStyle w:val="10"/>
                <w:rFonts w:hint="eastAsia"/>
              </w:rPr>
              <w:t>质量保证期：</w:t>
            </w:r>
            <w:r>
              <w:rPr>
                <w:rStyle w:val="11"/>
                <w:rFonts w:hint="eastAsia"/>
              </w:rPr>
              <w:t>3年</w:t>
            </w:r>
          </w:p>
        </w:tc>
      </w:tr>
      <w:tr w14:paraId="46362769">
        <w:tblPrEx>
          <w:tblCellMar>
            <w:top w:w="0" w:type="dxa"/>
            <w:left w:w="0" w:type="dxa"/>
            <w:bottom w:w="0" w:type="dxa"/>
            <w:right w:w="0" w:type="dxa"/>
          </w:tblCellMar>
        </w:tblPrEx>
        <w:trPr>
          <w:wBefore w:w="0" w:type="auto"/>
          <w:tblCellSpacing w:w="0" w:type="dxa"/>
        </w:trPr>
        <w:tc>
          <w:tcPr>
            <w:tcW w:w="0" w:type="auto"/>
            <w:noWrap w:val="0"/>
            <w:vAlign w:val="center"/>
          </w:tcPr>
          <w:p w14:paraId="02B314E6">
            <w:r>
              <w:rPr>
                <w:rStyle w:val="10"/>
                <w:rFonts w:hint="eastAsia"/>
              </w:rPr>
              <w:t>备注：</w:t>
            </w:r>
          </w:p>
        </w:tc>
      </w:tr>
    </w:tbl>
    <w:p w14:paraId="3C44E93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27B2AE">
        <w:tblPrEx>
          <w:tblCellMar>
            <w:top w:w="0" w:type="dxa"/>
            <w:left w:w="0" w:type="dxa"/>
            <w:bottom w:w="0" w:type="dxa"/>
            <w:right w:w="0" w:type="dxa"/>
          </w:tblCellMar>
        </w:tblPrEx>
        <w:trPr>
          <w:wBefore w:w="0" w:type="auto"/>
          <w:tblCellSpacing w:w="0" w:type="dxa"/>
        </w:trPr>
        <w:tc>
          <w:tcPr>
            <w:tcW w:w="0" w:type="auto"/>
            <w:noWrap w:val="0"/>
            <w:vAlign w:val="center"/>
          </w:tcPr>
          <w:p w14:paraId="35BE34EF">
            <w:r>
              <w:rPr>
                <w:rStyle w:val="10"/>
                <w:rFonts w:hint="eastAsia"/>
              </w:rPr>
              <w:t>登记证号：</w:t>
            </w:r>
            <w:r>
              <w:rPr>
                <w:rFonts w:hint="eastAsia"/>
              </w:rPr>
              <w:t>PD20212544</w:t>
            </w:r>
          </w:p>
        </w:tc>
      </w:tr>
      <w:tr w14:paraId="3EFA9B94">
        <w:tblPrEx>
          <w:tblCellMar>
            <w:top w:w="0" w:type="dxa"/>
            <w:left w:w="0" w:type="dxa"/>
            <w:bottom w:w="0" w:type="dxa"/>
            <w:right w:w="0" w:type="dxa"/>
          </w:tblCellMar>
        </w:tblPrEx>
        <w:trPr>
          <w:wBefore w:w="0" w:type="auto"/>
          <w:tblCellSpacing w:w="0" w:type="dxa"/>
        </w:trPr>
        <w:tc>
          <w:tcPr>
            <w:tcW w:w="0" w:type="auto"/>
            <w:noWrap w:val="0"/>
            <w:vAlign w:val="center"/>
          </w:tcPr>
          <w:p w14:paraId="0BAF2A5A">
            <w:r>
              <w:rPr>
                <w:rStyle w:val="10"/>
                <w:rFonts w:hint="eastAsia"/>
              </w:rPr>
              <w:t>登记证持有人：</w:t>
            </w:r>
            <w:r>
              <w:rPr>
                <w:rFonts w:hint="eastAsia"/>
              </w:rPr>
              <w:t>许昌市建安区昌盛日化实业有限公司</w:t>
            </w:r>
          </w:p>
        </w:tc>
      </w:tr>
      <w:tr w14:paraId="09743A74">
        <w:tblPrEx>
          <w:tblCellMar>
            <w:top w:w="0" w:type="dxa"/>
            <w:left w:w="0" w:type="dxa"/>
            <w:bottom w:w="0" w:type="dxa"/>
            <w:right w:w="0" w:type="dxa"/>
          </w:tblCellMar>
        </w:tblPrEx>
        <w:trPr>
          <w:wBefore w:w="0" w:type="auto"/>
          <w:tblCellSpacing w:w="0" w:type="dxa"/>
        </w:trPr>
        <w:tc>
          <w:tcPr>
            <w:tcW w:w="0" w:type="auto"/>
            <w:noWrap w:val="0"/>
            <w:vAlign w:val="center"/>
          </w:tcPr>
          <w:p w14:paraId="1917D5B9">
            <w:r>
              <w:rPr>
                <w:rStyle w:val="10"/>
                <w:rFonts w:hint="eastAsia"/>
              </w:rPr>
              <w:t>农药名称：</w:t>
            </w:r>
            <w:r>
              <w:rPr>
                <w:rFonts w:hint="eastAsia"/>
              </w:rPr>
              <w:t>三氯吡氧乙酸丁氧基乙酯</w:t>
            </w:r>
          </w:p>
        </w:tc>
      </w:tr>
      <w:tr w14:paraId="5CCAF87D">
        <w:tblPrEx>
          <w:tblCellMar>
            <w:top w:w="0" w:type="dxa"/>
            <w:left w:w="0" w:type="dxa"/>
            <w:bottom w:w="0" w:type="dxa"/>
            <w:right w:w="0" w:type="dxa"/>
          </w:tblCellMar>
        </w:tblPrEx>
        <w:trPr>
          <w:wBefore w:w="0" w:type="auto"/>
          <w:tblCellSpacing w:w="0" w:type="dxa"/>
        </w:trPr>
        <w:tc>
          <w:tcPr>
            <w:tcW w:w="0" w:type="auto"/>
            <w:noWrap w:val="0"/>
            <w:vAlign w:val="center"/>
          </w:tcPr>
          <w:p w14:paraId="153A684F">
            <w:r>
              <w:rPr>
                <w:rStyle w:val="10"/>
                <w:rFonts w:hint="eastAsia"/>
              </w:rPr>
              <w:t>剂型：</w:t>
            </w:r>
            <w:r>
              <w:rPr>
                <w:rFonts w:hint="eastAsia"/>
              </w:rPr>
              <w:t>乳油</w:t>
            </w:r>
          </w:p>
        </w:tc>
      </w:tr>
      <w:tr w14:paraId="69D10614">
        <w:tblPrEx>
          <w:tblCellMar>
            <w:top w:w="0" w:type="dxa"/>
            <w:left w:w="0" w:type="dxa"/>
            <w:bottom w:w="0" w:type="dxa"/>
            <w:right w:w="0" w:type="dxa"/>
          </w:tblCellMar>
        </w:tblPrEx>
        <w:trPr>
          <w:wBefore w:w="0" w:type="auto"/>
          <w:tblCellSpacing w:w="0" w:type="dxa"/>
        </w:trPr>
        <w:tc>
          <w:tcPr>
            <w:tcW w:w="0" w:type="auto"/>
            <w:noWrap w:val="0"/>
            <w:vAlign w:val="center"/>
          </w:tcPr>
          <w:p w14:paraId="68E69AED">
            <w:r>
              <w:rPr>
                <w:rStyle w:val="10"/>
                <w:rFonts w:hint="eastAsia"/>
              </w:rPr>
              <w:t>毒性及其标识：</w:t>
            </w:r>
            <w:r>
              <w:rPr>
                <w:rFonts w:hint="eastAsia"/>
              </w:rPr>
              <w:t xml:space="preserve"> </w:t>
            </w:r>
            <w:r>
              <w:rPr>
                <w:lang/>
              </w:rPr>
              <w:drawing>
                <wp:inline distT="0" distB="0" distL="114300" distR="114300">
                  <wp:extent cx="476250" cy="323850"/>
                  <wp:effectExtent l="0" t="0" r="0" b="0"/>
                  <wp:docPr id="68" name="图片 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B9CE75C">
        <w:tblPrEx>
          <w:tblCellMar>
            <w:top w:w="0" w:type="dxa"/>
            <w:left w:w="0" w:type="dxa"/>
            <w:bottom w:w="0" w:type="dxa"/>
            <w:right w:w="0" w:type="dxa"/>
          </w:tblCellMar>
        </w:tblPrEx>
        <w:trPr>
          <w:wBefore w:w="0" w:type="auto"/>
          <w:tblCellSpacing w:w="0" w:type="dxa"/>
        </w:trPr>
        <w:tc>
          <w:tcPr>
            <w:tcW w:w="0" w:type="auto"/>
            <w:noWrap w:val="0"/>
            <w:vAlign w:val="center"/>
          </w:tcPr>
          <w:p w14:paraId="70D68D67">
            <w:r>
              <w:rPr>
                <w:rStyle w:val="10"/>
                <w:rFonts w:hint="eastAsia"/>
              </w:rPr>
              <w:t>总有效成分含量：</w:t>
            </w:r>
            <w:r>
              <w:rPr>
                <w:rFonts w:hint="eastAsia"/>
              </w:rPr>
              <w:t>667克/升</w:t>
            </w:r>
          </w:p>
        </w:tc>
      </w:tr>
      <w:tr w14:paraId="4EC7E7D9">
        <w:tblPrEx>
          <w:tblCellMar>
            <w:top w:w="0" w:type="dxa"/>
            <w:left w:w="0" w:type="dxa"/>
            <w:bottom w:w="0" w:type="dxa"/>
            <w:right w:w="0" w:type="dxa"/>
          </w:tblCellMar>
        </w:tblPrEx>
        <w:trPr>
          <w:wBefore w:w="0" w:type="auto"/>
          <w:tblCellSpacing w:w="0" w:type="dxa"/>
        </w:trPr>
        <w:tc>
          <w:tcPr>
            <w:tcW w:w="0" w:type="auto"/>
            <w:noWrap w:val="0"/>
            <w:vAlign w:val="center"/>
          </w:tcPr>
          <w:p w14:paraId="0B83CA9E">
            <w:r>
              <w:rPr>
                <w:rFonts w:hint="eastAsia"/>
              </w:rPr>
              <w:t xml:space="preserve">有效成分及其含量： </w:t>
            </w:r>
          </w:p>
          <w:p w14:paraId="1C353E1E">
            <w:r>
              <w:rPr>
                <w:rFonts w:hint="eastAsia"/>
              </w:rPr>
              <w:t xml:space="preserve">    三氯吡氧乙酸丁氧基乙酯667克/升    </w:t>
            </w:r>
          </w:p>
        </w:tc>
      </w:tr>
      <w:tr w14:paraId="3F9B09A7">
        <w:tblPrEx>
          <w:tblCellMar>
            <w:top w:w="0" w:type="dxa"/>
            <w:left w:w="0" w:type="dxa"/>
            <w:bottom w:w="0" w:type="dxa"/>
            <w:right w:w="0" w:type="dxa"/>
          </w:tblCellMar>
        </w:tblPrEx>
        <w:trPr>
          <w:wBefore w:w="0" w:type="auto"/>
          <w:tblCellSpacing w:w="0" w:type="dxa"/>
        </w:trPr>
        <w:tc>
          <w:tcPr>
            <w:tcW w:w="0" w:type="auto"/>
            <w:noWrap w:val="0"/>
            <w:vAlign w:val="center"/>
          </w:tcPr>
          <w:p w14:paraId="36BFEA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1DEE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1EF7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9B66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39A0A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9E5315">
                  <w:r>
                    <w:rPr>
                      <w:rStyle w:val="11"/>
                      <w:rFonts w:hint="eastAsia"/>
                    </w:rPr>
                    <w:t>施用方式</w:t>
                  </w:r>
                </w:p>
              </w:tc>
            </w:tr>
            <w:tr w14:paraId="120550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CE82A4">
                  <w:r>
                    <w:rPr>
                      <w:rStyle w:val="11"/>
                      <w:rFonts w:hint="eastAsia"/>
                    </w:rPr>
                    <w:t>森林（幼林抚育）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1CF682">
                  <w:r>
                    <w:rPr>
                      <w:rStyle w:val="11"/>
                      <w:rFonts w:hint="eastAsia"/>
                    </w:rPr>
                    <w:t>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436027">
                  <w:r>
                    <w:rPr>
                      <w:rStyle w:val="11"/>
                      <w:rFonts w:hint="eastAsia"/>
                    </w:rPr>
                    <w:t>280-415毫升/亩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765606">
                  <w:r>
                    <w:rPr>
                      <w:rStyle w:val="11"/>
                      <w:rFonts w:hint="eastAsia"/>
                    </w:rPr>
                    <w:t>茎叶喷雾</w:t>
                  </w:r>
                </w:p>
              </w:tc>
            </w:tr>
          </w:tbl>
          <w:p w14:paraId="5CE3724E">
            <w:pPr>
              <w:rPr>
                <w:rFonts w:ascii="Times New Roman" w:hAnsi="Times New Roman" w:cs="Times New Roman"/>
                <w:sz w:val="20"/>
                <w:szCs w:val="20"/>
              </w:rPr>
            </w:pPr>
          </w:p>
        </w:tc>
      </w:tr>
      <w:tr w14:paraId="2FDFF896">
        <w:tblPrEx>
          <w:tblCellMar>
            <w:top w:w="0" w:type="dxa"/>
            <w:left w:w="0" w:type="dxa"/>
            <w:bottom w:w="0" w:type="dxa"/>
            <w:right w:w="0" w:type="dxa"/>
          </w:tblCellMar>
        </w:tblPrEx>
        <w:trPr>
          <w:wBefore w:w="0" w:type="auto"/>
          <w:tblCellSpacing w:w="0" w:type="dxa"/>
        </w:trPr>
        <w:tc>
          <w:tcPr>
            <w:tcW w:w="0" w:type="auto"/>
            <w:noWrap w:val="0"/>
            <w:vAlign w:val="center"/>
          </w:tcPr>
          <w:p w14:paraId="28152984">
            <w:r>
              <w:rPr>
                <w:rStyle w:val="10"/>
                <w:rFonts w:hint="eastAsia"/>
              </w:rPr>
              <w:t>使用技术要求:</w:t>
            </w:r>
            <w:r>
              <w:rPr>
                <w:rFonts w:hint="eastAsia"/>
              </w:rPr>
              <w:br w:type="textWrapping"/>
            </w:r>
            <w:r>
              <w:rPr>
                <w:rStyle w:val="11"/>
                <w:rFonts w:hint="eastAsia"/>
              </w:rPr>
              <w:t>1、本品应于阔叶杂草生长旺盛期兑水茎叶喷雾1次。 2、施药时避免药液喷洒或飘移到阔叶作物，以免产生药害。</w:t>
            </w:r>
          </w:p>
        </w:tc>
      </w:tr>
      <w:tr w14:paraId="37275E4D">
        <w:tblPrEx>
          <w:tblCellMar>
            <w:top w:w="0" w:type="dxa"/>
            <w:left w:w="0" w:type="dxa"/>
            <w:bottom w:w="0" w:type="dxa"/>
            <w:right w:w="0" w:type="dxa"/>
          </w:tblCellMar>
        </w:tblPrEx>
        <w:trPr>
          <w:wBefore w:w="0" w:type="auto"/>
          <w:tblCellSpacing w:w="0" w:type="dxa"/>
        </w:trPr>
        <w:tc>
          <w:tcPr>
            <w:tcW w:w="0" w:type="auto"/>
            <w:noWrap w:val="0"/>
            <w:vAlign w:val="center"/>
          </w:tcPr>
          <w:p w14:paraId="06537084">
            <w:r>
              <w:rPr>
                <w:rStyle w:val="10"/>
                <w:rFonts w:hint="eastAsia"/>
              </w:rPr>
              <w:t>产品性能:</w:t>
            </w:r>
            <w:r>
              <w:rPr>
                <w:rFonts w:hint="eastAsia"/>
              </w:rPr>
              <w:br w:type="textWrapping"/>
            </w:r>
            <w:r>
              <w:rPr>
                <w:rStyle w:val="11"/>
                <w:rFonts w:hint="eastAsia"/>
              </w:rPr>
              <w:t xml:space="preserve">本品是一种低毒、传导型除草剂，它能很快被叶面和根系吸收，并且传 导到整株植物。对森林杂草、杂灌有较好的防治效果。正常使用时，本 品对林木安全。 </w:t>
            </w:r>
          </w:p>
        </w:tc>
      </w:tr>
      <w:tr w14:paraId="15981C74">
        <w:tblPrEx>
          <w:tblCellMar>
            <w:top w:w="0" w:type="dxa"/>
            <w:left w:w="0" w:type="dxa"/>
            <w:bottom w:w="0" w:type="dxa"/>
            <w:right w:w="0" w:type="dxa"/>
          </w:tblCellMar>
        </w:tblPrEx>
        <w:trPr>
          <w:wBefore w:w="0" w:type="auto"/>
          <w:tblCellSpacing w:w="0" w:type="dxa"/>
        </w:trPr>
        <w:tc>
          <w:tcPr>
            <w:tcW w:w="0" w:type="auto"/>
            <w:noWrap w:val="0"/>
            <w:vAlign w:val="center"/>
          </w:tcPr>
          <w:p w14:paraId="5EAE4ACE">
            <w:r>
              <w:rPr>
                <w:rStyle w:val="10"/>
                <w:rFonts w:hint="eastAsia"/>
              </w:rPr>
              <w:t>注意事项：</w:t>
            </w:r>
            <w:r>
              <w:rPr>
                <w:rFonts w:hint="eastAsia"/>
              </w:rPr>
              <w:br w:type="textWrapping"/>
            </w:r>
            <w:r>
              <w:rPr>
                <w:rStyle w:val="11"/>
                <w:rFonts w:hint="eastAsia"/>
              </w:rPr>
              <w:t>1、使用前请务必仔细阅读此标签，并严格按照标签说明使用。若药后4 小时内降雨，请重施。 2、本品对水生生物有影响。远离水产养殖区、河塘等水体施药，禁止在河塘等水体中清洗施药器具。赤眼蜂等天敌放飞区域禁用。 3、本品对鸟类有毒，鸟类保护区附近禁止使用；对家蚕有毒，蚕室和桑园附近禁止使用。4、使用本品时应穿戴防护服、口罩和手套等，避免吸入药液。施药期间 不可吃东西和饮水等。施药后，彻底清洗器械，并立即用肥皂洗手和洗 脸。 5、使用完毕后应及时清洗药械。用过的容器应妥善处理，不可做他用， 也不可随意丢弃。不可将残留药物、清洗液倒入江河、鱼塘等水域。 6、孕妇与哺乳期妇女禁止接触本品。</w:t>
            </w:r>
          </w:p>
        </w:tc>
      </w:tr>
      <w:tr w14:paraId="148CED12">
        <w:tblPrEx>
          <w:tblCellMar>
            <w:top w:w="0" w:type="dxa"/>
            <w:left w:w="0" w:type="dxa"/>
            <w:bottom w:w="0" w:type="dxa"/>
            <w:right w:w="0" w:type="dxa"/>
          </w:tblCellMar>
        </w:tblPrEx>
        <w:trPr>
          <w:wBefore w:w="0" w:type="auto"/>
          <w:tblCellSpacing w:w="0" w:type="dxa"/>
        </w:trPr>
        <w:tc>
          <w:tcPr>
            <w:tcW w:w="0" w:type="auto"/>
            <w:noWrap w:val="0"/>
            <w:vAlign w:val="center"/>
          </w:tcPr>
          <w:p w14:paraId="1949E2C0">
            <w:r>
              <w:rPr>
                <w:rStyle w:val="10"/>
                <w:rFonts w:hint="eastAsia"/>
              </w:rPr>
              <w:t>中毒急救措施：</w:t>
            </w:r>
            <w:r>
              <w:rPr>
                <w:rFonts w:hint="eastAsia"/>
              </w:rPr>
              <w:br w:type="textWrapping"/>
            </w:r>
            <w:r>
              <w:rPr>
                <w:rStyle w:val="11"/>
                <w:rFonts w:hint="eastAsia"/>
              </w:rPr>
              <w:t xml:space="preserve">中毒症状：对眼睛有轻微刺激作用。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1D4E8954">
        <w:tblPrEx>
          <w:tblCellMar>
            <w:top w:w="0" w:type="dxa"/>
            <w:left w:w="0" w:type="dxa"/>
            <w:bottom w:w="0" w:type="dxa"/>
            <w:right w:w="0" w:type="dxa"/>
          </w:tblCellMar>
        </w:tblPrEx>
        <w:trPr>
          <w:wBefore w:w="0" w:type="auto"/>
          <w:tblCellSpacing w:w="0" w:type="dxa"/>
        </w:trPr>
        <w:tc>
          <w:tcPr>
            <w:tcW w:w="0" w:type="auto"/>
            <w:noWrap w:val="0"/>
            <w:vAlign w:val="center"/>
          </w:tcPr>
          <w:p w14:paraId="3D87EB9A">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07FCBFF6">
        <w:tblPrEx>
          <w:tblCellMar>
            <w:top w:w="0" w:type="dxa"/>
            <w:left w:w="0" w:type="dxa"/>
            <w:bottom w:w="0" w:type="dxa"/>
            <w:right w:w="0" w:type="dxa"/>
          </w:tblCellMar>
        </w:tblPrEx>
        <w:trPr>
          <w:wBefore w:w="0" w:type="auto"/>
          <w:tblCellSpacing w:w="0" w:type="dxa"/>
        </w:trPr>
        <w:tc>
          <w:tcPr>
            <w:tcW w:w="0" w:type="auto"/>
            <w:noWrap w:val="0"/>
            <w:vAlign w:val="center"/>
          </w:tcPr>
          <w:p w14:paraId="73204204">
            <w:r>
              <w:rPr>
                <w:rStyle w:val="10"/>
                <w:rFonts w:hint="eastAsia"/>
              </w:rPr>
              <w:t>质量保证期：</w:t>
            </w:r>
            <w:r>
              <w:rPr>
                <w:rStyle w:val="11"/>
                <w:rFonts w:hint="eastAsia"/>
              </w:rPr>
              <w:t>2年</w:t>
            </w:r>
          </w:p>
        </w:tc>
      </w:tr>
      <w:tr w14:paraId="760E9ADE">
        <w:tblPrEx>
          <w:tblCellMar>
            <w:top w:w="0" w:type="dxa"/>
            <w:left w:w="0" w:type="dxa"/>
            <w:bottom w:w="0" w:type="dxa"/>
            <w:right w:w="0" w:type="dxa"/>
          </w:tblCellMar>
        </w:tblPrEx>
        <w:trPr>
          <w:wBefore w:w="0" w:type="auto"/>
          <w:tblCellSpacing w:w="0" w:type="dxa"/>
        </w:trPr>
        <w:tc>
          <w:tcPr>
            <w:tcW w:w="0" w:type="auto"/>
            <w:noWrap w:val="0"/>
            <w:vAlign w:val="center"/>
          </w:tcPr>
          <w:p w14:paraId="1B6A7801">
            <w:r>
              <w:rPr>
                <w:rStyle w:val="10"/>
                <w:rFonts w:hint="eastAsia"/>
              </w:rPr>
              <w:t>备注：</w:t>
            </w:r>
          </w:p>
        </w:tc>
      </w:tr>
    </w:tbl>
    <w:p w14:paraId="7FE6D8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198FB7">
        <w:tblPrEx>
          <w:tblCellMar>
            <w:top w:w="0" w:type="dxa"/>
            <w:left w:w="0" w:type="dxa"/>
            <w:bottom w:w="0" w:type="dxa"/>
            <w:right w:w="0" w:type="dxa"/>
          </w:tblCellMar>
        </w:tblPrEx>
        <w:trPr>
          <w:wBefore w:w="0" w:type="auto"/>
          <w:tblCellSpacing w:w="0" w:type="dxa"/>
        </w:trPr>
        <w:tc>
          <w:tcPr>
            <w:tcW w:w="0" w:type="auto"/>
            <w:noWrap w:val="0"/>
            <w:vAlign w:val="center"/>
          </w:tcPr>
          <w:p w14:paraId="2468140F">
            <w:r>
              <w:rPr>
                <w:rStyle w:val="10"/>
                <w:rFonts w:hint="eastAsia"/>
              </w:rPr>
              <w:t>登记证号：</w:t>
            </w:r>
            <w:r>
              <w:rPr>
                <w:rFonts w:hint="eastAsia"/>
              </w:rPr>
              <w:t>PD20212462</w:t>
            </w:r>
          </w:p>
        </w:tc>
      </w:tr>
      <w:tr w14:paraId="352817C0">
        <w:tblPrEx>
          <w:tblCellMar>
            <w:top w:w="0" w:type="dxa"/>
            <w:left w:w="0" w:type="dxa"/>
            <w:bottom w:w="0" w:type="dxa"/>
            <w:right w:w="0" w:type="dxa"/>
          </w:tblCellMar>
        </w:tblPrEx>
        <w:trPr>
          <w:wBefore w:w="0" w:type="auto"/>
          <w:tblCellSpacing w:w="0" w:type="dxa"/>
        </w:trPr>
        <w:tc>
          <w:tcPr>
            <w:tcW w:w="0" w:type="auto"/>
            <w:noWrap w:val="0"/>
            <w:vAlign w:val="center"/>
          </w:tcPr>
          <w:p w14:paraId="26894493">
            <w:r>
              <w:rPr>
                <w:rStyle w:val="10"/>
                <w:rFonts w:hint="eastAsia"/>
              </w:rPr>
              <w:t>登记证持有人：</w:t>
            </w:r>
            <w:r>
              <w:rPr>
                <w:rFonts w:hint="eastAsia"/>
              </w:rPr>
              <w:t>开封市汴梁种衣剂有限公司</w:t>
            </w:r>
          </w:p>
        </w:tc>
      </w:tr>
      <w:tr w14:paraId="78ED7F11">
        <w:tblPrEx>
          <w:tblCellMar>
            <w:top w:w="0" w:type="dxa"/>
            <w:left w:w="0" w:type="dxa"/>
            <w:bottom w:w="0" w:type="dxa"/>
            <w:right w:w="0" w:type="dxa"/>
          </w:tblCellMar>
        </w:tblPrEx>
        <w:trPr>
          <w:wBefore w:w="0" w:type="auto"/>
          <w:tblCellSpacing w:w="0" w:type="dxa"/>
        </w:trPr>
        <w:tc>
          <w:tcPr>
            <w:tcW w:w="0" w:type="auto"/>
            <w:noWrap w:val="0"/>
            <w:vAlign w:val="center"/>
          </w:tcPr>
          <w:p w14:paraId="30428761">
            <w:r>
              <w:rPr>
                <w:rStyle w:val="10"/>
                <w:rFonts w:hint="eastAsia"/>
              </w:rPr>
              <w:t>农药名称：</w:t>
            </w:r>
            <w:r>
              <w:rPr>
                <w:rFonts w:hint="eastAsia"/>
              </w:rPr>
              <w:t>咪鲜·吡虫啉</w:t>
            </w:r>
          </w:p>
        </w:tc>
      </w:tr>
      <w:tr w14:paraId="09B0FF01">
        <w:tblPrEx>
          <w:tblCellMar>
            <w:top w:w="0" w:type="dxa"/>
            <w:left w:w="0" w:type="dxa"/>
            <w:bottom w:w="0" w:type="dxa"/>
            <w:right w:w="0" w:type="dxa"/>
          </w:tblCellMar>
        </w:tblPrEx>
        <w:trPr>
          <w:wBefore w:w="0" w:type="auto"/>
          <w:tblCellSpacing w:w="0" w:type="dxa"/>
        </w:trPr>
        <w:tc>
          <w:tcPr>
            <w:tcW w:w="0" w:type="auto"/>
            <w:noWrap w:val="0"/>
            <w:vAlign w:val="center"/>
          </w:tcPr>
          <w:p w14:paraId="5D7FE0A5">
            <w:r>
              <w:rPr>
                <w:rStyle w:val="10"/>
                <w:rFonts w:hint="eastAsia"/>
              </w:rPr>
              <w:t>剂型：</w:t>
            </w:r>
            <w:r>
              <w:rPr>
                <w:rFonts w:hint="eastAsia"/>
              </w:rPr>
              <w:t>种子处理悬浮剂</w:t>
            </w:r>
          </w:p>
        </w:tc>
      </w:tr>
      <w:tr w14:paraId="6D672B7D">
        <w:tblPrEx>
          <w:tblCellMar>
            <w:top w:w="0" w:type="dxa"/>
            <w:left w:w="0" w:type="dxa"/>
            <w:bottom w:w="0" w:type="dxa"/>
            <w:right w:w="0" w:type="dxa"/>
          </w:tblCellMar>
        </w:tblPrEx>
        <w:trPr>
          <w:wBefore w:w="0" w:type="auto"/>
          <w:tblCellSpacing w:w="0" w:type="dxa"/>
        </w:trPr>
        <w:tc>
          <w:tcPr>
            <w:tcW w:w="0" w:type="auto"/>
            <w:noWrap w:val="0"/>
            <w:vAlign w:val="center"/>
          </w:tcPr>
          <w:p w14:paraId="257681E9">
            <w:r>
              <w:rPr>
                <w:rStyle w:val="10"/>
                <w:rFonts w:hint="eastAsia"/>
              </w:rPr>
              <w:t>毒性及其标识：</w:t>
            </w:r>
            <w:r>
              <w:rPr>
                <w:rFonts w:hint="eastAsia"/>
              </w:rPr>
              <w:t xml:space="preserve"> </w:t>
            </w:r>
            <w:r>
              <w:rPr>
                <w:lang/>
              </w:rPr>
              <w:drawing>
                <wp:inline distT="0" distB="0" distL="114300" distR="114300">
                  <wp:extent cx="476250" cy="323850"/>
                  <wp:effectExtent l="0" t="0" r="0" b="0"/>
                  <wp:docPr id="69" name="图片 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8FFFA0">
        <w:tblPrEx>
          <w:tblCellMar>
            <w:top w:w="0" w:type="dxa"/>
            <w:left w:w="0" w:type="dxa"/>
            <w:bottom w:w="0" w:type="dxa"/>
            <w:right w:w="0" w:type="dxa"/>
          </w:tblCellMar>
        </w:tblPrEx>
        <w:trPr>
          <w:wBefore w:w="0" w:type="auto"/>
          <w:tblCellSpacing w:w="0" w:type="dxa"/>
        </w:trPr>
        <w:tc>
          <w:tcPr>
            <w:tcW w:w="0" w:type="auto"/>
            <w:noWrap w:val="0"/>
            <w:vAlign w:val="center"/>
          </w:tcPr>
          <w:p w14:paraId="2BDE5F4C">
            <w:r>
              <w:rPr>
                <w:rStyle w:val="10"/>
                <w:rFonts w:hint="eastAsia"/>
              </w:rPr>
              <w:t>总有效成分含量：</w:t>
            </w:r>
            <w:r>
              <w:rPr>
                <w:rFonts w:hint="eastAsia"/>
              </w:rPr>
              <w:t>1.3%</w:t>
            </w:r>
          </w:p>
        </w:tc>
      </w:tr>
      <w:tr w14:paraId="33465AB9">
        <w:tblPrEx>
          <w:tblCellMar>
            <w:top w:w="0" w:type="dxa"/>
            <w:left w:w="0" w:type="dxa"/>
            <w:bottom w:w="0" w:type="dxa"/>
            <w:right w:w="0" w:type="dxa"/>
          </w:tblCellMar>
        </w:tblPrEx>
        <w:trPr>
          <w:wBefore w:w="0" w:type="auto"/>
          <w:tblCellSpacing w:w="0" w:type="dxa"/>
        </w:trPr>
        <w:tc>
          <w:tcPr>
            <w:tcW w:w="0" w:type="auto"/>
            <w:noWrap w:val="0"/>
            <w:vAlign w:val="center"/>
          </w:tcPr>
          <w:p w14:paraId="0B5C31FE">
            <w:r>
              <w:rPr>
                <w:rFonts w:hint="eastAsia"/>
              </w:rPr>
              <w:t xml:space="preserve">有效成分及其含量： </w:t>
            </w:r>
          </w:p>
          <w:p w14:paraId="669D3A3E">
            <w:r>
              <w:rPr>
                <w:rFonts w:hint="eastAsia"/>
              </w:rPr>
              <w:t xml:space="preserve">    咪鲜胺0.3%    吡虫啉1%    </w:t>
            </w:r>
          </w:p>
        </w:tc>
      </w:tr>
      <w:tr w14:paraId="6B52FB2F">
        <w:tblPrEx>
          <w:tblCellMar>
            <w:top w:w="0" w:type="dxa"/>
            <w:left w:w="0" w:type="dxa"/>
            <w:bottom w:w="0" w:type="dxa"/>
            <w:right w:w="0" w:type="dxa"/>
          </w:tblCellMar>
        </w:tblPrEx>
        <w:trPr>
          <w:wBefore w:w="0" w:type="auto"/>
          <w:tblCellSpacing w:w="0" w:type="dxa"/>
        </w:trPr>
        <w:tc>
          <w:tcPr>
            <w:tcW w:w="0" w:type="auto"/>
            <w:noWrap w:val="0"/>
            <w:vAlign w:val="center"/>
          </w:tcPr>
          <w:p w14:paraId="580CCF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2B40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4F8B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098B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78E9C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2B0E8F">
                  <w:r>
                    <w:rPr>
                      <w:rStyle w:val="11"/>
                      <w:rFonts w:hint="eastAsia"/>
                    </w:rPr>
                    <w:t>施用方式</w:t>
                  </w:r>
                </w:p>
              </w:tc>
            </w:tr>
            <w:tr w14:paraId="7BB01B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42846F">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7A73E1">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EBC476">
                  <w:r>
                    <w:rPr>
                      <w:rStyle w:val="11"/>
                      <w:rFonts w:hint="eastAsia"/>
                    </w:rPr>
                    <w:t>2000-2500毫升/100千克种子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855937">
                  <w:r>
                    <w:rPr>
                      <w:rStyle w:val="11"/>
                      <w:rFonts w:hint="eastAsia"/>
                    </w:rPr>
                    <w:t>种子包衣</w:t>
                  </w:r>
                </w:p>
              </w:tc>
            </w:tr>
            <w:tr w14:paraId="0A85C0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2E91C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DF439D">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5FA372">
                  <w:r>
                    <w:rPr>
                      <w:rStyle w:val="11"/>
                      <w:rFonts w:hint="eastAsia"/>
                    </w:rPr>
                    <w:t>2000-2500毫升/100千克种子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9028ED">
                  <w:r>
                    <w:rPr>
                      <w:rStyle w:val="11"/>
                      <w:rFonts w:hint="eastAsia"/>
                    </w:rPr>
                    <w:t>种子包衣</w:t>
                  </w:r>
                </w:p>
              </w:tc>
            </w:tr>
          </w:tbl>
          <w:p w14:paraId="3BFB1086">
            <w:pPr>
              <w:rPr>
                <w:rFonts w:ascii="Times New Roman" w:hAnsi="Times New Roman" w:cs="Times New Roman"/>
                <w:sz w:val="20"/>
                <w:szCs w:val="20"/>
              </w:rPr>
            </w:pPr>
          </w:p>
        </w:tc>
      </w:tr>
      <w:tr w14:paraId="1C475AAA">
        <w:tblPrEx>
          <w:tblCellMar>
            <w:top w:w="0" w:type="dxa"/>
            <w:left w:w="0" w:type="dxa"/>
            <w:bottom w:w="0" w:type="dxa"/>
            <w:right w:w="0" w:type="dxa"/>
          </w:tblCellMar>
        </w:tblPrEx>
        <w:trPr>
          <w:wBefore w:w="0" w:type="auto"/>
          <w:tblCellSpacing w:w="0" w:type="dxa"/>
        </w:trPr>
        <w:tc>
          <w:tcPr>
            <w:tcW w:w="0" w:type="auto"/>
            <w:noWrap w:val="0"/>
            <w:vAlign w:val="center"/>
          </w:tcPr>
          <w:p w14:paraId="55F79EEC">
            <w:r>
              <w:rPr>
                <w:rStyle w:val="10"/>
                <w:rFonts w:hint="eastAsia"/>
              </w:rPr>
              <w:t>使用技术要求:</w:t>
            </w:r>
            <w:r>
              <w:rPr>
                <w:rFonts w:hint="eastAsia"/>
              </w:rPr>
              <w:br w:type="textWrapping"/>
            </w:r>
            <w:r>
              <w:rPr>
                <w:rStyle w:val="11"/>
                <w:rFonts w:hint="eastAsia"/>
              </w:rPr>
              <w:t>1. 于水稻播种前种子包衣施药1次，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58C98630">
        <w:tblPrEx>
          <w:tblCellMar>
            <w:top w:w="0" w:type="dxa"/>
            <w:left w:w="0" w:type="dxa"/>
            <w:bottom w:w="0" w:type="dxa"/>
            <w:right w:w="0" w:type="dxa"/>
          </w:tblCellMar>
        </w:tblPrEx>
        <w:trPr>
          <w:wBefore w:w="0" w:type="auto"/>
          <w:tblCellSpacing w:w="0" w:type="dxa"/>
        </w:trPr>
        <w:tc>
          <w:tcPr>
            <w:tcW w:w="0" w:type="auto"/>
            <w:noWrap w:val="0"/>
            <w:vAlign w:val="center"/>
          </w:tcPr>
          <w:p w14:paraId="227269D1">
            <w:r>
              <w:rPr>
                <w:rStyle w:val="10"/>
                <w:rFonts w:hint="eastAsia"/>
              </w:rPr>
              <w:t>产品性能:</w:t>
            </w:r>
            <w:r>
              <w:rPr>
                <w:rFonts w:hint="eastAsia"/>
              </w:rPr>
              <w:br w:type="textWrapping"/>
            </w:r>
            <w:r>
              <w:rPr>
                <w:rStyle w:val="11"/>
                <w:rFonts w:hint="eastAsia"/>
              </w:rPr>
              <w:t xml:space="preserve">本品由咪鲜胺和吡虫啉复配而成，能有效防治水稻苗期恶苗病和蓟马。 </w:t>
            </w:r>
          </w:p>
        </w:tc>
      </w:tr>
      <w:tr w14:paraId="08118724">
        <w:tblPrEx>
          <w:tblCellMar>
            <w:top w:w="0" w:type="dxa"/>
            <w:left w:w="0" w:type="dxa"/>
            <w:bottom w:w="0" w:type="dxa"/>
            <w:right w:w="0" w:type="dxa"/>
          </w:tblCellMar>
        </w:tblPrEx>
        <w:trPr>
          <w:wBefore w:w="0" w:type="auto"/>
          <w:tblCellSpacing w:w="0" w:type="dxa"/>
        </w:trPr>
        <w:tc>
          <w:tcPr>
            <w:tcW w:w="0" w:type="auto"/>
            <w:noWrap w:val="0"/>
            <w:vAlign w:val="center"/>
          </w:tcPr>
          <w:p w14:paraId="55F848BB">
            <w:r>
              <w:rPr>
                <w:rStyle w:val="10"/>
                <w:rFonts w:hint="eastAsia"/>
              </w:rPr>
              <w:t>注意事项：</w:t>
            </w:r>
            <w:r>
              <w:rPr>
                <w:rFonts w:hint="eastAsia"/>
              </w:rPr>
              <w:br w:type="textWrapping"/>
            </w:r>
            <w:r>
              <w:rPr>
                <w:rStyle w:val="11"/>
                <w:rFonts w:hint="eastAsia"/>
              </w:rPr>
              <w:t>1. 本品对眼睛有刺激性，使用时穿戴长衣、长裤、帽子、口罩、手套等防护措施，避免刺激眼睛、皮肤接触及口鼻吸入，切勿吸烟或饮食。使用后及时洗手。 2. 本品对蜜蜂、鸟类有毒（周围）开花植物花期禁用，使用时应密切关注对附近蜂群的影响。鸟类保护区附近禁用，播种后立即覆土。3. 远离水产养殖区、河塘等水体施药，禁止在河塘等水体中清洗施药器具。 4. 处理后的种子禁止供人畜食用，也不要与未处理种子混合或一起存放。5. 本品勿与碱性农药等物质混合使用。6. 用过的容器应妥善处理，不可做他用，也不可随意丢弃。7. 孕妇及哺乳期妇女禁止接触本品。</w:t>
            </w:r>
          </w:p>
        </w:tc>
      </w:tr>
      <w:tr w14:paraId="01626E4A">
        <w:tblPrEx>
          <w:tblCellMar>
            <w:top w:w="0" w:type="dxa"/>
            <w:left w:w="0" w:type="dxa"/>
            <w:bottom w:w="0" w:type="dxa"/>
            <w:right w:w="0" w:type="dxa"/>
          </w:tblCellMar>
        </w:tblPrEx>
        <w:trPr>
          <w:wBefore w:w="0" w:type="auto"/>
          <w:tblCellSpacing w:w="0" w:type="dxa"/>
        </w:trPr>
        <w:tc>
          <w:tcPr>
            <w:tcW w:w="0" w:type="auto"/>
            <w:noWrap w:val="0"/>
            <w:vAlign w:val="center"/>
          </w:tcPr>
          <w:p w14:paraId="36E0E27C">
            <w:r>
              <w:rPr>
                <w:rStyle w:val="10"/>
                <w:rFonts w:hint="eastAsia"/>
              </w:rPr>
              <w:t>中毒急救措施：</w:t>
            </w:r>
            <w:r>
              <w:rPr>
                <w:rFonts w:hint="eastAsia"/>
              </w:rPr>
              <w:br w:type="textWrapping"/>
            </w:r>
            <w:r>
              <w:rPr>
                <w:rStyle w:val="11"/>
                <w:rFonts w:hint="eastAsia"/>
              </w:rPr>
              <w:t xml:space="preserve">中毒症状：本品对眼睛有刺激性。 急救措施：1. 皮肤接触：立即脱掉被污染的衣物，用大量清水冲洗；眼睛溅药：立即将眼睑翻开，用清水冲洗至少15分钟，再请医生诊治。2. 不慎吸入：立即将吸入者转移到空气新鲜处，如果吸入者停止呼吸， 需进行人工呼吸。请医生诊治。 3. 误服：请用清水充分漱口后，立即携带标签，送医就诊。无专用解毒剂，对症治疗。 </w:t>
            </w:r>
          </w:p>
        </w:tc>
      </w:tr>
      <w:tr w14:paraId="4E8AB871">
        <w:tblPrEx>
          <w:tblCellMar>
            <w:top w:w="0" w:type="dxa"/>
            <w:left w:w="0" w:type="dxa"/>
            <w:bottom w:w="0" w:type="dxa"/>
            <w:right w:w="0" w:type="dxa"/>
          </w:tblCellMar>
        </w:tblPrEx>
        <w:trPr>
          <w:wBefore w:w="0" w:type="auto"/>
          <w:tblCellSpacing w:w="0" w:type="dxa"/>
        </w:trPr>
        <w:tc>
          <w:tcPr>
            <w:tcW w:w="0" w:type="auto"/>
            <w:noWrap w:val="0"/>
            <w:vAlign w:val="center"/>
          </w:tcPr>
          <w:p w14:paraId="2E9F5836">
            <w:r>
              <w:rPr>
                <w:rStyle w:val="10"/>
                <w:rFonts w:hint="eastAsia"/>
              </w:rPr>
              <w:t>储存和运输方法：</w:t>
            </w:r>
            <w:r>
              <w:rPr>
                <w:rFonts w:hint="eastAsia"/>
              </w:rPr>
              <w:br w:type="textWrapping"/>
            </w:r>
            <w:r>
              <w:rPr>
                <w:rStyle w:val="11"/>
                <w:rFonts w:hint="eastAsia"/>
              </w:rPr>
              <w:t xml:space="preserve">本品应贮存在干燥、阴凉、通风、防雨处，远离火源和热源，置于儿童触及不到之处，并加锁；不能与食品、饮料、粮食、饲料等物品同贮同运。装卸运输时注意检查包装是否密封完整，轻拿轻放，不可倒置。 </w:t>
            </w:r>
          </w:p>
        </w:tc>
      </w:tr>
      <w:tr w14:paraId="38C91B5A">
        <w:tblPrEx>
          <w:tblCellMar>
            <w:top w:w="0" w:type="dxa"/>
            <w:left w:w="0" w:type="dxa"/>
            <w:bottom w:w="0" w:type="dxa"/>
            <w:right w:w="0" w:type="dxa"/>
          </w:tblCellMar>
        </w:tblPrEx>
        <w:trPr>
          <w:wBefore w:w="0" w:type="auto"/>
          <w:tblCellSpacing w:w="0" w:type="dxa"/>
        </w:trPr>
        <w:tc>
          <w:tcPr>
            <w:tcW w:w="0" w:type="auto"/>
            <w:noWrap w:val="0"/>
            <w:vAlign w:val="center"/>
          </w:tcPr>
          <w:p w14:paraId="56D490F2">
            <w:r>
              <w:rPr>
                <w:rStyle w:val="10"/>
                <w:rFonts w:hint="eastAsia"/>
              </w:rPr>
              <w:t>质量保证期：</w:t>
            </w:r>
            <w:r>
              <w:rPr>
                <w:rStyle w:val="11"/>
                <w:rFonts w:hint="eastAsia"/>
              </w:rPr>
              <w:t>2年</w:t>
            </w:r>
          </w:p>
        </w:tc>
      </w:tr>
      <w:tr w14:paraId="1ECF4CC7">
        <w:tblPrEx>
          <w:tblCellMar>
            <w:top w:w="0" w:type="dxa"/>
            <w:left w:w="0" w:type="dxa"/>
            <w:bottom w:w="0" w:type="dxa"/>
            <w:right w:w="0" w:type="dxa"/>
          </w:tblCellMar>
        </w:tblPrEx>
        <w:trPr>
          <w:wBefore w:w="0" w:type="auto"/>
          <w:tblCellSpacing w:w="0" w:type="dxa"/>
        </w:trPr>
        <w:tc>
          <w:tcPr>
            <w:tcW w:w="0" w:type="auto"/>
            <w:noWrap w:val="0"/>
            <w:vAlign w:val="center"/>
          </w:tcPr>
          <w:p w14:paraId="4D034DAC">
            <w:r>
              <w:rPr>
                <w:rStyle w:val="10"/>
                <w:rFonts w:hint="eastAsia"/>
              </w:rPr>
              <w:t>备注：</w:t>
            </w:r>
          </w:p>
        </w:tc>
      </w:tr>
    </w:tbl>
    <w:p w14:paraId="3FA677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18EF42">
        <w:tblPrEx>
          <w:tblCellMar>
            <w:top w:w="0" w:type="dxa"/>
            <w:left w:w="0" w:type="dxa"/>
            <w:bottom w:w="0" w:type="dxa"/>
            <w:right w:w="0" w:type="dxa"/>
          </w:tblCellMar>
        </w:tblPrEx>
        <w:trPr>
          <w:wBefore w:w="0" w:type="auto"/>
          <w:tblCellSpacing w:w="0" w:type="dxa"/>
        </w:trPr>
        <w:tc>
          <w:tcPr>
            <w:tcW w:w="0" w:type="auto"/>
            <w:noWrap w:val="0"/>
            <w:vAlign w:val="center"/>
          </w:tcPr>
          <w:p w14:paraId="3B19821B">
            <w:r>
              <w:rPr>
                <w:rStyle w:val="10"/>
                <w:rFonts w:hint="eastAsia"/>
              </w:rPr>
              <w:t>登记证号：</w:t>
            </w:r>
            <w:r>
              <w:rPr>
                <w:rFonts w:hint="eastAsia"/>
              </w:rPr>
              <w:t>PD20212429</w:t>
            </w:r>
          </w:p>
        </w:tc>
      </w:tr>
      <w:tr w14:paraId="67061E6B">
        <w:tblPrEx>
          <w:tblCellMar>
            <w:top w:w="0" w:type="dxa"/>
            <w:left w:w="0" w:type="dxa"/>
            <w:bottom w:w="0" w:type="dxa"/>
            <w:right w:w="0" w:type="dxa"/>
          </w:tblCellMar>
        </w:tblPrEx>
        <w:trPr>
          <w:wBefore w:w="0" w:type="auto"/>
          <w:tblCellSpacing w:w="0" w:type="dxa"/>
        </w:trPr>
        <w:tc>
          <w:tcPr>
            <w:tcW w:w="0" w:type="auto"/>
            <w:noWrap w:val="0"/>
            <w:vAlign w:val="center"/>
          </w:tcPr>
          <w:p w14:paraId="27A9A713">
            <w:r>
              <w:rPr>
                <w:rStyle w:val="10"/>
                <w:rFonts w:hint="eastAsia"/>
              </w:rPr>
              <w:t>登记证持有人：</w:t>
            </w:r>
            <w:r>
              <w:rPr>
                <w:rFonts w:hint="eastAsia"/>
              </w:rPr>
              <w:t>合肥合农农药有限公司</w:t>
            </w:r>
          </w:p>
        </w:tc>
      </w:tr>
      <w:tr w14:paraId="35EA617C">
        <w:tblPrEx>
          <w:tblCellMar>
            <w:top w:w="0" w:type="dxa"/>
            <w:left w:w="0" w:type="dxa"/>
            <w:bottom w:w="0" w:type="dxa"/>
            <w:right w:w="0" w:type="dxa"/>
          </w:tblCellMar>
        </w:tblPrEx>
        <w:trPr>
          <w:wBefore w:w="0" w:type="auto"/>
          <w:tblCellSpacing w:w="0" w:type="dxa"/>
        </w:trPr>
        <w:tc>
          <w:tcPr>
            <w:tcW w:w="0" w:type="auto"/>
            <w:noWrap w:val="0"/>
            <w:vAlign w:val="center"/>
          </w:tcPr>
          <w:p w14:paraId="11065CB2">
            <w:r>
              <w:rPr>
                <w:rStyle w:val="10"/>
                <w:rFonts w:hint="eastAsia"/>
              </w:rPr>
              <w:t>农药名称：</w:t>
            </w:r>
            <w:r>
              <w:rPr>
                <w:rFonts w:hint="eastAsia"/>
              </w:rPr>
              <w:t>联苯·吡虫啉</w:t>
            </w:r>
          </w:p>
        </w:tc>
      </w:tr>
      <w:tr w14:paraId="78540FDB">
        <w:tblPrEx>
          <w:tblCellMar>
            <w:top w:w="0" w:type="dxa"/>
            <w:left w:w="0" w:type="dxa"/>
            <w:bottom w:w="0" w:type="dxa"/>
            <w:right w:w="0" w:type="dxa"/>
          </w:tblCellMar>
        </w:tblPrEx>
        <w:trPr>
          <w:wBefore w:w="0" w:type="auto"/>
          <w:tblCellSpacing w:w="0" w:type="dxa"/>
        </w:trPr>
        <w:tc>
          <w:tcPr>
            <w:tcW w:w="0" w:type="auto"/>
            <w:noWrap w:val="0"/>
            <w:vAlign w:val="center"/>
          </w:tcPr>
          <w:p w14:paraId="4D18D4B2">
            <w:r>
              <w:rPr>
                <w:rStyle w:val="10"/>
                <w:rFonts w:hint="eastAsia"/>
              </w:rPr>
              <w:t>剂型：</w:t>
            </w:r>
            <w:r>
              <w:rPr>
                <w:rFonts w:hint="eastAsia"/>
              </w:rPr>
              <w:t>悬浮剂</w:t>
            </w:r>
          </w:p>
        </w:tc>
      </w:tr>
      <w:tr w14:paraId="2F852B64">
        <w:tblPrEx>
          <w:tblCellMar>
            <w:top w:w="0" w:type="dxa"/>
            <w:left w:w="0" w:type="dxa"/>
            <w:bottom w:w="0" w:type="dxa"/>
            <w:right w:w="0" w:type="dxa"/>
          </w:tblCellMar>
        </w:tblPrEx>
        <w:trPr>
          <w:wBefore w:w="0" w:type="auto"/>
          <w:tblCellSpacing w:w="0" w:type="dxa"/>
        </w:trPr>
        <w:tc>
          <w:tcPr>
            <w:tcW w:w="0" w:type="auto"/>
            <w:noWrap w:val="0"/>
            <w:vAlign w:val="center"/>
          </w:tcPr>
          <w:p w14:paraId="2DCA059C">
            <w:r>
              <w:rPr>
                <w:rStyle w:val="10"/>
                <w:rFonts w:hint="eastAsia"/>
              </w:rPr>
              <w:t>毒性及其标识：</w:t>
            </w:r>
            <w:r>
              <w:rPr>
                <w:rFonts w:hint="eastAsia"/>
              </w:rPr>
              <w:t xml:space="preserve"> </w:t>
            </w:r>
            <w:r>
              <w:rPr>
                <w:lang/>
              </w:rPr>
              <w:drawing>
                <wp:inline distT="0" distB="0" distL="114300" distR="114300">
                  <wp:extent cx="476250" cy="323850"/>
                  <wp:effectExtent l="0" t="0" r="0" b="0"/>
                  <wp:docPr id="70" name="图片 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B9BE48">
        <w:tblPrEx>
          <w:tblCellMar>
            <w:top w:w="0" w:type="dxa"/>
            <w:left w:w="0" w:type="dxa"/>
            <w:bottom w:w="0" w:type="dxa"/>
            <w:right w:w="0" w:type="dxa"/>
          </w:tblCellMar>
        </w:tblPrEx>
        <w:trPr>
          <w:wBefore w:w="0" w:type="auto"/>
          <w:tblCellSpacing w:w="0" w:type="dxa"/>
        </w:trPr>
        <w:tc>
          <w:tcPr>
            <w:tcW w:w="0" w:type="auto"/>
            <w:noWrap w:val="0"/>
            <w:vAlign w:val="center"/>
          </w:tcPr>
          <w:p w14:paraId="30104414">
            <w:r>
              <w:rPr>
                <w:rStyle w:val="10"/>
                <w:rFonts w:hint="eastAsia"/>
              </w:rPr>
              <w:t>总有效成分含量：</w:t>
            </w:r>
            <w:r>
              <w:rPr>
                <w:rFonts w:hint="eastAsia"/>
              </w:rPr>
              <w:t>150克/升</w:t>
            </w:r>
          </w:p>
        </w:tc>
      </w:tr>
      <w:tr w14:paraId="02989B69">
        <w:tblPrEx>
          <w:tblCellMar>
            <w:top w:w="0" w:type="dxa"/>
            <w:left w:w="0" w:type="dxa"/>
            <w:bottom w:w="0" w:type="dxa"/>
            <w:right w:w="0" w:type="dxa"/>
          </w:tblCellMar>
        </w:tblPrEx>
        <w:trPr>
          <w:wBefore w:w="0" w:type="auto"/>
          <w:tblCellSpacing w:w="0" w:type="dxa"/>
        </w:trPr>
        <w:tc>
          <w:tcPr>
            <w:tcW w:w="0" w:type="auto"/>
            <w:noWrap w:val="0"/>
            <w:vAlign w:val="center"/>
          </w:tcPr>
          <w:p w14:paraId="77752F8A">
            <w:r>
              <w:rPr>
                <w:rFonts w:hint="eastAsia"/>
              </w:rPr>
              <w:t xml:space="preserve">有效成分及其含量： </w:t>
            </w:r>
          </w:p>
          <w:p w14:paraId="3C598FF8">
            <w:r>
              <w:rPr>
                <w:rFonts w:hint="eastAsia"/>
              </w:rPr>
              <w:t xml:space="preserve">    联苯菊酯40克/升    吡虫啉110克/升    </w:t>
            </w:r>
          </w:p>
        </w:tc>
      </w:tr>
      <w:tr w14:paraId="5FED828D">
        <w:tblPrEx>
          <w:tblCellMar>
            <w:top w:w="0" w:type="dxa"/>
            <w:left w:w="0" w:type="dxa"/>
            <w:bottom w:w="0" w:type="dxa"/>
            <w:right w:w="0" w:type="dxa"/>
          </w:tblCellMar>
        </w:tblPrEx>
        <w:trPr>
          <w:wBefore w:w="0" w:type="auto"/>
          <w:tblCellSpacing w:w="0" w:type="dxa"/>
        </w:trPr>
        <w:tc>
          <w:tcPr>
            <w:tcW w:w="0" w:type="auto"/>
            <w:noWrap w:val="0"/>
            <w:vAlign w:val="center"/>
          </w:tcPr>
          <w:p w14:paraId="56B00C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D941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1BA0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15E8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4E76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4C0350">
                  <w:r>
                    <w:rPr>
                      <w:rStyle w:val="11"/>
                      <w:rFonts w:hint="eastAsia"/>
                    </w:rPr>
                    <w:t>施用方式</w:t>
                  </w:r>
                </w:p>
              </w:tc>
            </w:tr>
            <w:tr w14:paraId="78A407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FF9F76">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03D390">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1D4A5A">
                  <w:r>
                    <w:rPr>
                      <w:rStyle w:val="11"/>
                      <w:rFonts w:hint="eastAsia"/>
                    </w:rPr>
                    <w:t>14-20毫升/亩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721CD7">
                  <w:r>
                    <w:rPr>
                      <w:rStyle w:val="11"/>
                      <w:rFonts w:hint="eastAsia"/>
                    </w:rPr>
                    <w:t>喷雾</w:t>
                  </w:r>
                </w:p>
              </w:tc>
            </w:tr>
          </w:tbl>
          <w:p w14:paraId="1F590786">
            <w:pPr>
              <w:rPr>
                <w:rFonts w:ascii="Times New Roman" w:hAnsi="Times New Roman" w:cs="Times New Roman"/>
                <w:sz w:val="20"/>
                <w:szCs w:val="20"/>
              </w:rPr>
            </w:pPr>
          </w:p>
        </w:tc>
      </w:tr>
      <w:tr w14:paraId="7608ACAB">
        <w:tblPrEx>
          <w:tblCellMar>
            <w:top w:w="0" w:type="dxa"/>
            <w:left w:w="0" w:type="dxa"/>
            <w:bottom w:w="0" w:type="dxa"/>
            <w:right w:w="0" w:type="dxa"/>
          </w:tblCellMar>
        </w:tblPrEx>
        <w:trPr>
          <w:wBefore w:w="0" w:type="auto"/>
          <w:tblCellSpacing w:w="0" w:type="dxa"/>
        </w:trPr>
        <w:tc>
          <w:tcPr>
            <w:tcW w:w="0" w:type="auto"/>
            <w:noWrap w:val="0"/>
            <w:vAlign w:val="center"/>
          </w:tcPr>
          <w:p w14:paraId="0E00946B">
            <w:r>
              <w:rPr>
                <w:rStyle w:val="10"/>
                <w:rFonts w:hint="eastAsia"/>
              </w:rPr>
              <w:t>使用技术要求:</w:t>
            </w:r>
            <w:r>
              <w:rPr>
                <w:rFonts w:hint="eastAsia"/>
              </w:rPr>
              <w:br w:type="textWrapping"/>
            </w:r>
            <w:r>
              <w:rPr>
                <w:rStyle w:val="11"/>
                <w:rFonts w:hint="eastAsia"/>
              </w:rPr>
              <w:t>1. 本品在小麦上安全间隔期为21天，每季最多使用1次。 2. 应于小麦蚜虫发生初盛期喷雾施药，注意喷雾均匀周到。 3. 大风天或预计1小时内降雨，请勿施药</w:t>
            </w:r>
          </w:p>
        </w:tc>
      </w:tr>
      <w:tr w14:paraId="6FB1D1F5">
        <w:tblPrEx>
          <w:tblCellMar>
            <w:top w:w="0" w:type="dxa"/>
            <w:left w:w="0" w:type="dxa"/>
            <w:bottom w:w="0" w:type="dxa"/>
            <w:right w:w="0" w:type="dxa"/>
          </w:tblCellMar>
        </w:tblPrEx>
        <w:trPr>
          <w:wBefore w:w="0" w:type="auto"/>
          <w:tblCellSpacing w:w="0" w:type="dxa"/>
        </w:trPr>
        <w:tc>
          <w:tcPr>
            <w:tcW w:w="0" w:type="auto"/>
            <w:noWrap w:val="0"/>
            <w:vAlign w:val="center"/>
          </w:tcPr>
          <w:p w14:paraId="1BCEA692">
            <w:r>
              <w:rPr>
                <w:rStyle w:val="10"/>
                <w:rFonts w:hint="eastAsia"/>
              </w:rPr>
              <w:t>产品性能:</w:t>
            </w:r>
            <w:r>
              <w:rPr>
                <w:rFonts w:hint="eastAsia"/>
              </w:rPr>
              <w:br w:type="textWrapping"/>
            </w:r>
            <w:r>
              <w:rPr>
                <w:rStyle w:val="11"/>
                <w:rFonts w:hint="eastAsia"/>
              </w:rPr>
              <w:t>本品为两种不同作用机理的有效成分联苯菊酯和吡虫啉的混配制剂。联苯菊酯是拟除虫菊酯类杀虫剂，吡虫啉是硝基亚甲基类杀虫剂，二者混配具有内吸、触杀和胃毒作用，可用于防治小麦蚜虫。</w:t>
            </w:r>
          </w:p>
        </w:tc>
      </w:tr>
      <w:tr w14:paraId="78579CF1">
        <w:tblPrEx>
          <w:tblCellMar>
            <w:top w:w="0" w:type="dxa"/>
            <w:left w:w="0" w:type="dxa"/>
            <w:bottom w:w="0" w:type="dxa"/>
            <w:right w:w="0" w:type="dxa"/>
          </w:tblCellMar>
        </w:tblPrEx>
        <w:trPr>
          <w:wBefore w:w="0" w:type="auto"/>
          <w:tblCellSpacing w:w="0" w:type="dxa"/>
        </w:trPr>
        <w:tc>
          <w:tcPr>
            <w:tcW w:w="0" w:type="auto"/>
            <w:noWrap w:val="0"/>
            <w:vAlign w:val="center"/>
          </w:tcPr>
          <w:p w14:paraId="015133A4">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本品对眼睛有刺激性，使用时避免接触眼睛，穿戴长衣、长裤、帽子、口罩、手套等防护措施。避免皮肤接触及口鼻吸入，施药期间不得进食、饮水和吸烟。2. 本品不可与呈碱性的农药等物质混用。3. 本品对蜜蜂、水生生物和家蚕有毒，远离水产养殖区、河塘等水体施药，禁止在河塘等水域清洗施药器具。周围开花植物花期、蚕室和桑园附近禁用。使用时密切关注对附近蜂群的影响。4. 赤眼蜂等天敌放飞区禁用。5 .用过的容器应妥善处理，不可做他用，也不可随意丢弃。6.使用后应用肥皂和足量清水冲洗手部、面部和其它裸露的身体部位以及药剂污染的衣物等。7. 建议与其他作用机制不同的杀虫剂轮换使用，以延缓抗性产生。8.孕妇及哺乳期妇女禁止接触本品。</w:t>
            </w:r>
          </w:p>
        </w:tc>
      </w:tr>
      <w:tr w14:paraId="5CB032E7">
        <w:tblPrEx>
          <w:tblCellMar>
            <w:top w:w="0" w:type="dxa"/>
            <w:left w:w="0" w:type="dxa"/>
            <w:bottom w:w="0" w:type="dxa"/>
            <w:right w:w="0" w:type="dxa"/>
          </w:tblCellMar>
        </w:tblPrEx>
        <w:trPr>
          <w:wBefore w:w="0" w:type="auto"/>
          <w:tblCellSpacing w:w="0" w:type="dxa"/>
        </w:trPr>
        <w:tc>
          <w:tcPr>
            <w:tcW w:w="0" w:type="auto"/>
            <w:noWrap w:val="0"/>
            <w:vAlign w:val="center"/>
          </w:tcPr>
          <w:p w14:paraId="17313504">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不慎吸入，应将病人移至空气流通处。不慎接触皮肤或溅入眼睛，应用大量清水冲洗至少15分钟。本品无特殊解 毒剂，误服则应立即携此标签将病人送医院对症治疗。</w:t>
            </w:r>
          </w:p>
        </w:tc>
      </w:tr>
      <w:tr w14:paraId="34E7CB1B">
        <w:tblPrEx>
          <w:tblCellMar>
            <w:top w:w="0" w:type="dxa"/>
            <w:left w:w="0" w:type="dxa"/>
            <w:bottom w:w="0" w:type="dxa"/>
            <w:right w:w="0" w:type="dxa"/>
          </w:tblCellMar>
        </w:tblPrEx>
        <w:trPr>
          <w:wBefore w:w="0" w:type="auto"/>
          <w:tblCellSpacing w:w="0" w:type="dxa"/>
        </w:trPr>
        <w:tc>
          <w:tcPr>
            <w:tcW w:w="0" w:type="auto"/>
            <w:noWrap w:val="0"/>
            <w:vAlign w:val="center"/>
          </w:tcPr>
          <w:p w14:paraId="7DDC4FC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本品应贮存在干燥、阴凉、通风、防雨处，远离火源或热源。置于儿童、无关人员触及不到之处，并加锁。勿与食品、饮料、饲料、粮食等其他商品同贮同运。</w:t>
            </w:r>
          </w:p>
        </w:tc>
      </w:tr>
      <w:tr w14:paraId="475E7DF7">
        <w:tblPrEx>
          <w:tblCellMar>
            <w:top w:w="0" w:type="dxa"/>
            <w:left w:w="0" w:type="dxa"/>
            <w:bottom w:w="0" w:type="dxa"/>
            <w:right w:w="0" w:type="dxa"/>
          </w:tblCellMar>
        </w:tblPrEx>
        <w:trPr>
          <w:wBefore w:w="0" w:type="auto"/>
          <w:tblCellSpacing w:w="0" w:type="dxa"/>
        </w:trPr>
        <w:tc>
          <w:tcPr>
            <w:tcW w:w="0" w:type="auto"/>
            <w:noWrap w:val="0"/>
            <w:vAlign w:val="center"/>
          </w:tcPr>
          <w:p w14:paraId="63CA8087">
            <w:r>
              <w:rPr>
                <w:rStyle w:val="10"/>
                <w:rFonts w:hint="eastAsia"/>
              </w:rPr>
              <w:t>质量保证期：</w:t>
            </w:r>
            <w:r>
              <w:rPr>
                <w:rStyle w:val="11"/>
                <w:rFonts w:hint="eastAsia"/>
              </w:rPr>
              <w:t>2年</w:t>
            </w:r>
          </w:p>
        </w:tc>
      </w:tr>
      <w:tr w14:paraId="7A278278">
        <w:tblPrEx>
          <w:tblCellMar>
            <w:top w:w="0" w:type="dxa"/>
            <w:left w:w="0" w:type="dxa"/>
            <w:bottom w:w="0" w:type="dxa"/>
            <w:right w:w="0" w:type="dxa"/>
          </w:tblCellMar>
        </w:tblPrEx>
        <w:trPr>
          <w:wBefore w:w="0" w:type="auto"/>
          <w:tblCellSpacing w:w="0" w:type="dxa"/>
        </w:trPr>
        <w:tc>
          <w:tcPr>
            <w:tcW w:w="0" w:type="auto"/>
            <w:noWrap w:val="0"/>
            <w:vAlign w:val="center"/>
          </w:tcPr>
          <w:p w14:paraId="59121646">
            <w:r>
              <w:rPr>
                <w:rStyle w:val="10"/>
                <w:rFonts w:hint="eastAsia"/>
              </w:rPr>
              <w:t>备注：</w:t>
            </w:r>
            <w:r>
              <w:rPr>
                <w:rFonts w:hint="eastAsia"/>
              </w:rPr>
              <w:br w:type="textWrapping"/>
            </w:r>
            <w:r>
              <w:rPr>
                <w:rStyle w:val="11"/>
                <w:rFonts w:hint="eastAsia"/>
              </w:rPr>
              <w:t>联苯菊酯质量分数3.8%；吡虫啉质量分数10.5%。</w:t>
            </w:r>
          </w:p>
        </w:tc>
      </w:tr>
    </w:tbl>
    <w:p w14:paraId="5C2A36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F125B2">
        <w:tblPrEx>
          <w:tblCellMar>
            <w:top w:w="0" w:type="dxa"/>
            <w:left w:w="0" w:type="dxa"/>
            <w:bottom w:w="0" w:type="dxa"/>
            <w:right w:w="0" w:type="dxa"/>
          </w:tblCellMar>
        </w:tblPrEx>
        <w:trPr>
          <w:wBefore w:w="0" w:type="auto"/>
          <w:tblCellSpacing w:w="0" w:type="dxa"/>
        </w:trPr>
        <w:tc>
          <w:tcPr>
            <w:tcW w:w="0" w:type="auto"/>
            <w:noWrap w:val="0"/>
            <w:vAlign w:val="center"/>
          </w:tcPr>
          <w:p w14:paraId="764C1967">
            <w:r>
              <w:rPr>
                <w:rStyle w:val="10"/>
                <w:rFonts w:hint="eastAsia"/>
              </w:rPr>
              <w:t>登记证号：</w:t>
            </w:r>
            <w:r>
              <w:rPr>
                <w:rFonts w:hint="eastAsia"/>
              </w:rPr>
              <w:t>PD20212394</w:t>
            </w:r>
          </w:p>
        </w:tc>
      </w:tr>
      <w:tr w14:paraId="03833F8A">
        <w:tblPrEx>
          <w:tblCellMar>
            <w:top w:w="0" w:type="dxa"/>
            <w:left w:w="0" w:type="dxa"/>
            <w:bottom w:w="0" w:type="dxa"/>
            <w:right w:w="0" w:type="dxa"/>
          </w:tblCellMar>
        </w:tblPrEx>
        <w:trPr>
          <w:wBefore w:w="0" w:type="auto"/>
          <w:tblCellSpacing w:w="0" w:type="dxa"/>
        </w:trPr>
        <w:tc>
          <w:tcPr>
            <w:tcW w:w="0" w:type="auto"/>
            <w:noWrap w:val="0"/>
            <w:vAlign w:val="center"/>
          </w:tcPr>
          <w:p w14:paraId="24043B28">
            <w:r>
              <w:rPr>
                <w:rStyle w:val="10"/>
                <w:rFonts w:hint="eastAsia"/>
              </w:rPr>
              <w:t>登记证持有人：</w:t>
            </w:r>
            <w:r>
              <w:rPr>
                <w:rFonts w:hint="eastAsia"/>
              </w:rPr>
              <w:t>中棉小康生物科技有限公司</w:t>
            </w:r>
          </w:p>
        </w:tc>
      </w:tr>
      <w:tr w14:paraId="2CFAB870">
        <w:tblPrEx>
          <w:tblCellMar>
            <w:top w:w="0" w:type="dxa"/>
            <w:left w:w="0" w:type="dxa"/>
            <w:bottom w:w="0" w:type="dxa"/>
            <w:right w:w="0" w:type="dxa"/>
          </w:tblCellMar>
        </w:tblPrEx>
        <w:trPr>
          <w:wBefore w:w="0" w:type="auto"/>
          <w:tblCellSpacing w:w="0" w:type="dxa"/>
        </w:trPr>
        <w:tc>
          <w:tcPr>
            <w:tcW w:w="0" w:type="auto"/>
            <w:noWrap w:val="0"/>
            <w:vAlign w:val="center"/>
          </w:tcPr>
          <w:p w14:paraId="1BF4EF9D">
            <w:r>
              <w:rPr>
                <w:rStyle w:val="10"/>
                <w:rFonts w:hint="eastAsia"/>
              </w:rPr>
              <w:t>农药名称：</w:t>
            </w:r>
            <w:r>
              <w:rPr>
                <w:rFonts w:hint="eastAsia"/>
              </w:rPr>
              <w:t>苦参提取物</w:t>
            </w:r>
          </w:p>
        </w:tc>
      </w:tr>
      <w:tr w14:paraId="32321BB0">
        <w:tblPrEx>
          <w:tblCellMar>
            <w:top w:w="0" w:type="dxa"/>
            <w:left w:w="0" w:type="dxa"/>
            <w:bottom w:w="0" w:type="dxa"/>
            <w:right w:w="0" w:type="dxa"/>
          </w:tblCellMar>
        </w:tblPrEx>
        <w:trPr>
          <w:wBefore w:w="0" w:type="auto"/>
          <w:tblCellSpacing w:w="0" w:type="dxa"/>
        </w:trPr>
        <w:tc>
          <w:tcPr>
            <w:tcW w:w="0" w:type="auto"/>
            <w:noWrap w:val="0"/>
            <w:vAlign w:val="center"/>
          </w:tcPr>
          <w:p w14:paraId="42DF88EC">
            <w:r>
              <w:rPr>
                <w:rStyle w:val="10"/>
                <w:rFonts w:hint="eastAsia"/>
              </w:rPr>
              <w:t>剂型：</w:t>
            </w:r>
            <w:r>
              <w:rPr>
                <w:rFonts w:hint="eastAsia"/>
              </w:rPr>
              <w:t>可溶液剂</w:t>
            </w:r>
          </w:p>
        </w:tc>
      </w:tr>
      <w:tr w14:paraId="35308BFB">
        <w:tblPrEx>
          <w:tblCellMar>
            <w:top w:w="0" w:type="dxa"/>
            <w:left w:w="0" w:type="dxa"/>
            <w:bottom w:w="0" w:type="dxa"/>
            <w:right w:w="0" w:type="dxa"/>
          </w:tblCellMar>
        </w:tblPrEx>
        <w:trPr>
          <w:wBefore w:w="0" w:type="auto"/>
          <w:tblCellSpacing w:w="0" w:type="dxa"/>
        </w:trPr>
        <w:tc>
          <w:tcPr>
            <w:tcW w:w="0" w:type="auto"/>
            <w:noWrap w:val="0"/>
            <w:vAlign w:val="center"/>
          </w:tcPr>
          <w:p w14:paraId="74EE0DB4">
            <w:r>
              <w:rPr>
                <w:rStyle w:val="10"/>
                <w:rFonts w:hint="eastAsia"/>
              </w:rPr>
              <w:t>毒性及其标识：</w:t>
            </w:r>
            <w:r>
              <w:rPr>
                <w:rFonts w:hint="eastAsia"/>
              </w:rPr>
              <w:t xml:space="preserve"> </w:t>
            </w:r>
            <w:r>
              <w:rPr>
                <w:lang/>
              </w:rPr>
              <w:drawing>
                <wp:inline distT="0" distB="0" distL="114300" distR="114300">
                  <wp:extent cx="476250" cy="323850"/>
                  <wp:effectExtent l="0" t="0" r="0" b="0"/>
                  <wp:docPr id="71" name="图片 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9DE908">
        <w:tblPrEx>
          <w:tblCellMar>
            <w:top w:w="0" w:type="dxa"/>
            <w:left w:w="0" w:type="dxa"/>
            <w:bottom w:w="0" w:type="dxa"/>
            <w:right w:w="0" w:type="dxa"/>
          </w:tblCellMar>
        </w:tblPrEx>
        <w:trPr>
          <w:wBefore w:w="0" w:type="auto"/>
          <w:tblCellSpacing w:w="0" w:type="dxa"/>
        </w:trPr>
        <w:tc>
          <w:tcPr>
            <w:tcW w:w="0" w:type="auto"/>
            <w:noWrap w:val="0"/>
            <w:vAlign w:val="center"/>
          </w:tcPr>
          <w:p w14:paraId="30A089E0">
            <w:r>
              <w:rPr>
                <w:rStyle w:val="10"/>
                <w:rFonts w:hint="eastAsia"/>
              </w:rPr>
              <w:t>总有效成分含量：</w:t>
            </w:r>
            <w:r>
              <w:rPr>
                <w:rFonts w:hint="eastAsia"/>
              </w:rPr>
              <w:t>0.3%</w:t>
            </w:r>
          </w:p>
        </w:tc>
      </w:tr>
      <w:tr w14:paraId="021333C6">
        <w:tblPrEx>
          <w:tblCellMar>
            <w:top w:w="0" w:type="dxa"/>
            <w:left w:w="0" w:type="dxa"/>
            <w:bottom w:w="0" w:type="dxa"/>
            <w:right w:w="0" w:type="dxa"/>
          </w:tblCellMar>
        </w:tblPrEx>
        <w:trPr>
          <w:wBefore w:w="0" w:type="auto"/>
          <w:tblCellSpacing w:w="0" w:type="dxa"/>
        </w:trPr>
        <w:tc>
          <w:tcPr>
            <w:tcW w:w="0" w:type="auto"/>
            <w:noWrap w:val="0"/>
            <w:vAlign w:val="center"/>
          </w:tcPr>
          <w:p w14:paraId="7B556308">
            <w:r>
              <w:rPr>
                <w:rFonts w:hint="eastAsia"/>
              </w:rPr>
              <w:t xml:space="preserve">有效成分及其含量： </w:t>
            </w:r>
          </w:p>
          <w:p w14:paraId="7F02A8E9">
            <w:r>
              <w:rPr>
                <w:rFonts w:hint="eastAsia"/>
              </w:rPr>
              <w:t xml:space="preserve">    苦参碱0.3%    </w:t>
            </w:r>
          </w:p>
        </w:tc>
      </w:tr>
      <w:tr w14:paraId="74107BD3">
        <w:tblPrEx>
          <w:tblCellMar>
            <w:top w:w="0" w:type="dxa"/>
            <w:left w:w="0" w:type="dxa"/>
            <w:bottom w:w="0" w:type="dxa"/>
            <w:right w:w="0" w:type="dxa"/>
          </w:tblCellMar>
        </w:tblPrEx>
        <w:trPr>
          <w:wBefore w:w="0" w:type="auto"/>
          <w:tblCellSpacing w:w="0" w:type="dxa"/>
        </w:trPr>
        <w:tc>
          <w:tcPr>
            <w:tcW w:w="0" w:type="auto"/>
            <w:noWrap w:val="0"/>
            <w:vAlign w:val="center"/>
          </w:tcPr>
          <w:p w14:paraId="6EF71D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4BD8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C39FD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6CAD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B0BF3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8D81F3">
                  <w:r>
                    <w:rPr>
                      <w:rStyle w:val="11"/>
                      <w:rFonts w:hint="eastAsia"/>
                    </w:rPr>
                    <w:t>施用方式</w:t>
                  </w:r>
                </w:p>
              </w:tc>
            </w:tr>
            <w:tr w14:paraId="62B424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2EC81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2E3E0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1EB6F0">
                  <w:r>
                    <w:rPr>
                      <w:rStyle w:val="11"/>
                      <w:rFonts w:hint="eastAsia"/>
                    </w:rPr>
                    <w:t>100-200毫升/亩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3BF934">
                  <w:r>
                    <w:rPr>
                      <w:rStyle w:val="11"/>
                      <w:rFonts w:hint="eastAsia"/>
                    </w:rPr>
                    <w:t>喷雾</w:t>
                  </w:r>
                </w:p>
              </w:tc>
            </w:tr>
          </w:tbl>
          <w:p w14:paraId="20B0CBAA">
            <w:pPr>
              <w:rPr>
                <w:rFonts w:ascii="Times New Roman" w:hAnsi="Times New Roman" w:cs="Times New Roman"/>
                <w:sz w:val="20"/>
                <w:szCs w:val="20"/>
              </w:rPr>
            </w:pPr>
          </w:p>
        </w:tc>
      </w:tr>
      <w:tr w14:paraId="486E45F0">
        <w:tblPrEx>
          <w:tblCellMar>
            <w:top w:w="0" w:type="dxa"/>
            <w:left w:w="0" w:type="dxa"/>
            <w:bottom w:w="0" w:type="dxa"/>
            <w:right w:w="0" w:type="dxa"/>
          </w:tblCellMar>
        </w:tblPrEx>
        <w:trPr>
          <w:wBefore w:w="0" w:type="auto"/>
          <w:tblCellSpacing w:w="0" w:type="dxa"/>
        </w:trPr>
        <w:tc>
          <w:tcPr>
            <w:tcW w:w="0" w:type="auto"/>
            <w:noWrap w:val="0"/>
            <w:vAlign w:val="center"/>
          </w:tcPr>
          <w:p w14:paraId="5CB886A1">
            <w:r>
              <w:rPr>
                <w:rStyle w:val="10"/>
                <w:rFonts w:hint="eastAsia"/>
              </w:rPr>
              <w:t>使用技术要求:</w:t>
            </w:r>
            <w:r>
              <w:rPr>
                <w:rFonts w:hint="eastAsia"/>
              </w:rPr>
              <w:br w:type="textWrapping"/>
            </w:r>
            <w:r>
              <w:rPr>
                <w:rStyle w:val="11"/>
                <w:rFonts w:hint="eastAsia"/>
              </w:rPr>
              <w:t>1、 本品应于甘蓝蚜虫发生初期，均匀喷雾施药一次。 2、 大风天或预计1小时内下雨，请勿施药。</w:t>
            </w:r>
          </w:p>
        </w:tc>
      </w:tr>
      <w:tr w14:paraId="13E65BFB">
        <w:tblPrEx>
          <w:tblCellMar>
            <w:top w:w="0" w:type="dxa"/>
            <w:left w:w="0" w:type="dxa"/>
            <w:bottom w:w="0" w:type="dxa"/>
            <w:right w:w="0" w:type="dxa"/>
          </w:tblCellMar>
        </w:tblPrEx>
        <w:trPr>
          <w:wBefore w:w="0" w:type="auto"/>
          <w:tblCellSpacing w:w="0" w:type="dxa"/>
        </w:trPr>
        <w:tc>
          <w:tcPr>
            <w:tcW w:w="0" w:type="auto"/>
            <w:noWrap w:val="0"/>
            <w:vAlign w:val="center"/>
          </w:tcPr>
          <w:p w14:paraId="2F837AE2">
            <w:r>
              <w:rPr>
                <w:rStyle w:val="10"/>
                <w:rFonts w:hint="eastAsia"/>
              </w:rPr>
              <w:t>产品性能:</w:t>
            </w:r>
            <w:r>
              <w:rPr>
                <w:rFonts w:hint="eastAsia"/>
              </w:rPr>
              <w:br w:type="textWrapping"/>
            </w:r>
            <w:r>
              <w:rPr>
                <w:rStyle w:val="11"/>
                <w:rFonts w:hint="eastAsia"/>
              </w:rPr>
              <w:t>本品为天然植物源农药。害虫一旦接触药剂，即麻痹神经中枢，继而使虫体蛋白凝固，堵死虫体气孔，使虫体窒息死亡，具有触杀、胃毒作用。可用于防治甘蓝蚜虫。</w:t>
            </w:r>
          </w:p>
        </w:tc>
      </w:tr>
      <w:tr w14:paraId="1FB67195">
        <w:tblPrEx>
          <w:tblCellMar>
            <w:top w:w="0" w:type="dxa"/>
            <w:left w:w="0" w:type="dxa"/>
            <w:bottom w:w="0" w:type="dxa"/>
            <w:right w:w="0" w:type="dxa"/>
          </w:tblCellMar>
        </w:tblPrEx>
        <w:trPr>
          <w:wBefore w:w="0" w:type="auto"/>
          <w:tblCellSpacing w:w="0" w:type="dxa"/>
        </w:trPr>
        <w:tc>
          <w:tcPr>
            <w:tcW w:w="0" w:type="auto"/>
            <w:noWrap w:val="0"/>
            <w:vAlign w:val="center"/>
          </w:tcPr>
          <w:p w14:paraId="2E166EB6">
            <w:r>
              <w:rPr>
                <w:rStyle w:val="10"/>
                <w:rFonts w:hint="eastAsia"/>
              </w:rPr>
              <w:t>注意事项：</w:t>
            </w:r>
            <w:r>
              <w:rPr>
                <w:rFonts w:hint="eastAsia"/>
              </w:rPr>
              <w:br w:type="textWrapping"/>
            </w:r>
            <w:r>
              <w:rPr>
                <w:rStyle w:val="11"/>
                <w:rFonts w:hint="eastAsia"/>
              </w:rPr>
              <w:t>1、本品不可和碱性物质（波尔多液、石硫合剂等）混用。2、本品对蜜蜂有毒，使用时应密切关注对附近蜂群的影响，禁止在开花期植物附近使用；对水生生物有毒，远离水产养殖区、河塘等水体施药，禁止在河塘等水体中清洗施药器具。3、使用本品应采取相应的安全防护措施，穿靴子、长袖衣和长裤，戴防护手套、口罩、帽子等，避免皮肤接触及口鼻吸入。使用中不可吸烟、饮水及吃东西，使用后及时用大量清水和肥皂清洗手、脸等暴露部位皮肤并更换衣物。4、建议与作用机制不同的杀虫剂轮换使用，以延缓抗性产生。5、用过的容器应妥善处理，不可做他用，也不可随意丢弃。6、禁止儿童、孕妇及哺乳期的妇女接触。过敏者禁用，使用中有任何不良反应请及时就医。</w:t>
            </w:r>
          </w:p>
        </w:tc>
      </w:tr>
      <w:tr w14:paraId="326746F3">
        <w:tblPrEx>
          <w:tblCellMar>
            <w:top w:w="0" w:type="dxa"/>
            <w:left w:w="0" w:type="dxa"/>
            <w:bottom w:w="0" w:type="dxa"/>
            <w:right w:w="0" w:type="dxa"/>
          </w:tblCellMar>
        </w:tblPrEx>
        <w:trPr>
          <w:wBefore w:w="0" w:type="auto"/>
          <w:tblCellSpacing w:w="0" w:type="dxa"/>
        </w:trPr>
        <w:tc>
          <w:tcPr>
            <w:tcW w:w="0" w:type="auto"/>
            <w:noWrap w:val="0"/>
            <w:vAlign w:val="center"/>
          </w:tcPr>
          <w:p w14:paraId="24CD623A">
            <w:r>
              <w:rPr>
                <w:rStyle w:val="10"/>
                <w:rFonts w:hint="eastAsia"/>
              </w:rPr>
              <w:t>中毒急救措施：</w:t>
            </w:r>
            <w:r>
              <w:rPr>
                <w:rFonts w:hint="eastAsia"/>
              </w:rPr>
              <w:br w:type="textWrapping"/>
            </w:r>
            <w:r>
              <w:rPr>
                <w:rStyle w:val="11"/>
                <w:rFonts w:hint="eastAsia"/>
              </w:rPr>
              <w:t xml:space="preserve">该产品对眼睛有刺激性，使用时避免接触眼睛。 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误服后未经医生允许，切勿催吐，如病人可吞咽，可适量饮水。 </w:t>
            </w:r>
          </w:p>
        </w:tc>
      </w:tr>
      <w:tr w14:paraId="1DFB3FE8">
        <w:tblPrEx>
          <w:tblCellMar>
            <w:top w:w="0" w:type="dxa"/>
            <w:left w:w="0" w:type="dxa"/>
            <w:bottom w:w="0" w:type="dxa"/>
            <w:right w:w="0" w:type="dxa"/>
          </w:tblCellMar>
        </w:tblPrEx>
        <w:trPr>
          <w:wBefore w:w="0" w:type="auto"/>
          <w:tblCellSpacing w:w="0" w:type="dxa"/>
        </w:trPr>
        <w:tc>
          <w:tcPr>
            <w:tcW w:w="0" w:type="auto"/>
            <w:noWrap w:val="0"/>
            <w:vAlign w:val="center"/>
          </w:tcPr>
          <w:p w14:paraId="7F9084DE">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本品应贮存在干燥、阴凉、通风、防雨处，远离火源或热源。置于儿童接触不到的地方。不得与食物、饮料、粮食、饲料混放混运。</w:t>
            </w:r>
          </w:p>
        </w:tc>
      </w:tr>
      <w:tr w14:paraId="28731D5C">
        <w:tblPrEx>
          <w:tblCellMar>
            <w:top w:w="0" w:type="dxa"/>
            <w:left w:w="0" w:type="dxa"/>
            <w:bottom w:w="0" w:type="dxa"/>
            <w:right w:w="0" w:type="dxa"/>
          </w:tblCellMar>
        </w:tblPrEx>
        <w:trPr>
          <w:wBefore w:w="0" w:type="auto"/>
          <w:tblCellSpacing w:w="0" w:type="dxa"/>
        </w:trPr>
        <w:tc>
          <w:tcPr>
            <w:tcW w:w="0" w:type="auto"/>
            <w:noWrap w:val="0"/>
            <w:vAlign w:val="center"/>
          </w:tcPr>
          <w:p w14:paraId="117ADFC7">
            <w:r>
              <w:rPr>
                <w:rStyle w:val="10"/>
                <w:rFonts w:hint="eastAsia"/>
              </w:rPr>
              <w:t>质量保证期：</w:t>
            </w:r>
            <w:r>
              <w:rPr>
                <w:rStyle w:val="11"/>
                <w:rFonts w:hint="eastAsia"/>
              </w:rPr>
              <w:t>2年</w:t>
            </w:r>
          </w:p>
        </w:tc>
      </w:tr>
      <w:tr w14:paraId="6BCF7A5C">
        <w:tblPrEx>
          <w:tblCellMar>
            <w:top w:w="0" w:type="dxa"/>
            <w:left w:w="0" w:type="dxa"/>
            <w:bottom w:w="0" w:type="dxa"/>
            <w:right w:w="0" w:type="dxa"/>
          </w:tblCellMar>
        </w:tblPrEx>
        <w:trPr>
          <w:wBefore w:w="0" w:type="auto"/>
          <w:tblCellSpacing w:w="0" w:type="dxa"/>
        </w:trPr>
        <w:tc>
          <w:tcPr>
            <w:tcW w:w="0" w:type="auto"/>
            <w:noWrap w:val="0"/>
            <w:vAlign w:val="center"/>
          </w:tcPr>
          <w:p w14:paraId="7B5D157F">
            <w:r>
              <w:rPr>
                <w:rStyle w:val="10"/>
                <w:rFonts w:hint="eastAsia"/>
              </w:rPr>
              <w:t>备注：</w:t>
            </w:r>
          </w:p>
        </w:tc>
      </w:tr>
    </w:tbl>
    <w:p w14:paraId="651A325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F645F5">
        <w:tblPrEx>
          <w:tblCellMar>
            <w:top w:w="0" w:type="dxa"/>
            <w:left w:w="0" w:type="dxa"/>
            <w:bottom w:w="0" w:type="dxa"/>
            <w:right w:w="0" w:type="dxa"/>
          </w:tblCellMar>
        </w:tblPrEx>
        <w:trPr>
          <w:wBefore w:w="0" w:type="auto"/>
          <w:tblCellSpacing w:w="0" w:type="dxa"/>
        </w:trPr>
        <w:tc>
          <w:tcPr>
            <w:tcW w:w="0" w:type="auto"/>
            <w:noWrap w:val="0"/>
            <w:vAlign w:val="center"/>
          </w:tcPr>
          <w:p w14:paraId="0961B5AC">
            <w:r>
              <w:rPr>
                <w:rStyle w:val="10"/>
                <w:rFonts w:hint="eastAsia"/>
              </w:rPr>
              <w:t>登记证号：</w:t>
            </w:r>
            <w:r>
              <w:rPr>
                <w:rFonts w:hint="eastAsia"/>
              </w:rPr>
              <w:t>PD20212397</w:t>
            </w:r>
          </w:p>
        </w:tc>
      </w:tr>
      <w:tr w14:paraId="1238A8E1">
        <w:tblPrEx>
          <w:tblCellMar>
            <w:top w:w="0" w:type="dxa"/>
            <w:left w:w="0" w:type="dxa"/>
            <w:bottom w:w="0" w:type="dxa"/>
            <w:right w:w="0" w:type="dxa"/>
          </w:tblCellMar>
        </w:tblPrEx>
        <w:trPr>
          <w:wBefore w:w="0" w:type="auto"/>
          <w:tblCellSpacing w:w="0" w:type="dxa"/>
        </w:trPr>
        <w:tc>
          <w:tcPr>
            <w:tcW w:w="0" w:type="auto"/>
            <w:noWrap w:val="0"/>
            <w:vAlign w:val="center"/>
          </w:tcPr>
          <w:p w14:paraId="3E244F29">
            <w:r>
              <w:rPr>
                <w:rStyle w:val="10"/>
                <w:rFonts w:hint="eastAsia"/>
              </w:rPr>
              <w:t>登记证持有人：</w:t>
            </w:r>
            <w:r>
              <w:rPr>
                <w:rFonts w:hint="eastAsia"/>
              </w:rPr>
              <w:t>开封一田生物科技有限公司</w:t>
            </w:r>
          </w:p>
        </w:tc>
      </w:tr>
      <w:tr w14:paraId="0B34C2A9">
        <w:tblPrEx>
          <w:tblCellMar>
            <w:top w:w="0" w:type="dxa"/>
            <w:left w:w="0" w:type="dxa"/>
            <w:bottom w:w="0" w:type="dxa"/>
            <w:right w:w="0" w:type="dxa"/>
          </w:tblCellMar>
        </w:tblPrEx>
        <w:trPr>
          <w:wBefore w:w="0" w:type="auto"/>
          <w:tblCellSpacing w:w="0" w:type="dxa"/>
        </w:trPr>
        <w:tc>
          <w:tcPr>
            <w:tcW w:w="0" w:type="auto"/>
            <w:noWrap w:val="0"/>
            <w:vAlign w:val="center"/>
          </w:tcPr>
          <w:p w14:paraId="0EA4CD37">
            <w:r>
              <w:rPr>
                <w:rStyle w:val="10"/>
                <w:rFonts w:hint="eastAsia"/>
              </w:rPr>
              <w:t>农药名称：</w:t>
            </w:r>
            <w:r>
              <w:rPr>
                <w:rFonts w:hint="eastAsia"/>
              </w:rPr>
              <w:t>虫螨腈·噻虫胺</w:t>
            </w:r>
          </w:p>
        </w:tc>
      </w:tr>
      <w:tr w14:paraId="52FC972C">
        <w:tblPrEx>
          <w:tblCellMar>
            <w:top w:w="0" w:type="dxa"/>
            <w:left w:w="0" w:type="dxa"/>
            <w:bottom w:w="0" w:type="dxa"/>
            <w:right w:w="0" w:type="dxa"/>
          </w:tblCellMar>
        </w:tblPrEx>
        <w:trPr>
          <w:wBefore w:w="0" w:type="auto"/>
          <w:tblCellSpacing w:w="0" w:type="dxa"/>
        </w:trPr>
        <w:tc>
          <w:tcPr>
            <w:tcW w:w="0" w:type="auto"/>
            <w:noWrap w:val="0"/>
            <w:vAlign w:val="center"/>
          </w:tcPr>
          <w:p w14:paraId="0C5ED566">
            <w:r>
              <w:rPr>
                <w:rStyle w:val="10"/>
                <w:rFonts w:hint="eastAsia"/>
              </w:rPr>
              <w:t>剂型：</w:t>
            </w:r>
            <w:r>
              <w:rPr>
                <w:rFonts w:hint="eastAsia"/>
              </w:rPr>
              <w:t>悬浮剂</w:t>
            </w:r>
          </w:p>
        </w:tc>
      </w:tr>
      <w:tr w14:paraId="75F80F2A">
        <w:tblPrEx>
          <w:tblCellMar>
            <w:top w:w="0" w:type="dxa"/>
            <w:left w:w="0" w:type="dxa"/>
            <w:bottom w:w="0" w:type="dxa"/>
            <w:right w:w="0" w:type="dxa"/>
          </w:tblCellMar>
        </w:tblPrEx>
        <w:trPr>
          <w:wBefore w:w="0" w:type="auto"/>
          <w:tblCellSpacing w:w="0" w:type="dxa"/>
        </w:trPr>
        <w:tc>
          <w:tcPr>
            <w:tcW w:w="0" w:type="auto"/>
            <w:noWrap w:val="0"/>
            <w:vAlign w:val="center"/>
          </w:tcPr>
          <w:p w14:paraId="574ED81F">
            <w:r>
              <w:rPr>
                <w:rStyle w:val="10"/>
                <w:rFonts w:hint="eastAsia"/>
              </w:rPr>
              <w:t>毒性及其标识：</w:t>
            </w:r>
            <w:r>
              <w:rPr>
                <w:rFonts w:hint="eastAsia"/>
              </w:rPr>
              <w:t xml:space="preserve"> </w:t>
            </w:r>
            <w:r>
              <w:rPr>
                <w:lang/>
              </w:rPr>
              <w:drawing>
                <wp:inline distT="0" distB="0" distL="114300" distR="114300">
                  <wp:extent cx="476250" cy="323850"/>
                  <wp:effectExtent l="0" t="0" r="0" b="0"/>
                  <wp:docPr id="72" name="图片 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4AA7AC">
        <w:tblPrEx>
          <w:tblCellMar>
            <w:top w:w="0" w:type="dxa"/>
            <w:left w:w="0" w:type="dxa"/>
            <w:bottom w:w="0" w:type="dxa"/>
            <w:right w:w="0" w:type="dxa"/>
          </w:tblCellMar>
        </w:tblPrEx>
        <w:trPr>
          <w:wBefore w:w="0" w:type="auto"/>
          <w:tblCellSpacing w:w="0" w:type="dxa"/>
        </w:trPr>
        <w:tc>
          <w:tcPr>
            <w:tcW w:w="0" w:type="auto"/>
            <w:noWrap w:val="0"/>
            <w:vAlign w:val="center"/>
          </w:tcPr>
          <w:p w14:paraId="6E879D90">
            <w:r>
              <w:rPr>
                <w:rStyle w:val="10"/>
                <w:rFonts w:hint="eastAsia"/>
              </w:rPr>
              <w:t>总有效成分含量：</w:t>
            </w:r>
            <w:r>
              <w:rPr>
                <w:rFonts w:hint="eastAsia"/>
              </w:rPr>
              <w:t>28%</w:t>
            </w:r>
          </w:p>
        </w:tc>
      </w:tr>
      <w:tr w14:paraId="6FFB7003">
        <w:tblPrEx>
          <w:tblCellMar>
            <w:top w:w="0" w:type="dxa"/>
            <w:left w:w="0" w:type="dxa"/>
            <w:bottom w:w="0" w:type="dxa"/>
            <w:right w:w="0" w:type="dxa"/>
          </w:tblCellMar>
        </w:tblPrEx>
        <w:trPr>
          <w:wBefore w:w="0" w:type="auto"/>
          <w:tblCellSpacing w:w="0" w:type="dxa"/>
        </w:trPr>
        <w:tc>
          <w:tcPr>
            <w:tcW w:w="0" w:type="auto"/>
            <w:noWrap w:val="0"/>
            <w:vAlign w:val="center"/>
          </w:tcPr>
          <w:p w14:paraId="2425B6A4">
            <w:r>
              <w:rPr>
                <w:rFonts w:hint="eastAsia"/>
              </w:rPr>
              <w:t xml:space="preserve">有效成分及其含量： </w:t>
            </w:r>
          </w:p>
          <w:p w14:paraId="3070B1E3">
            <w:r>
              <w:rPr>
                <w:rFonts w:hint="eastAsia"/>
              </w:rPr>
              <w:t xml:space="preserve">    虫螨腈8%    噻虫胺20%    </w:t>
            </w:r>
          </w:p>
        </w:tc>
      </w:tr>
      <w:tr w14:paraId="526A279C">
        <w:tblPrEx>
          <w:tblCellMar>
            <w:top w:w="0" w:type="dxa"/>
            <w:left w:w="0" w:type="dxa"/>
            <w:bottom w:w="0" w:type="dxa"/>
            <w:right w:w="0" w:type="dxa"/>
          </w:tblCellMar>
        </w:tblPrEx>
        <w:trPr>
          <w:wBefore w:w="0" w:type="auto"/>
          <w:tblCellSpacing w:w="0" w:type="dxa"/>
        </w:trPr>
        <w:tc>
          <w:tcPr>
            <w:tcW w:w="0" w:type="auto"/>
            <w:noWrap w:val="0"/>
            <w:vAlign w:val="center"/>
          </w:tcPr>
          <w:p w14:paraId="5C20488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F15B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A4F3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CED7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A49F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37D170">
                  <w:r>
                    <w:rPr>
                      <w:rStyle w:val="11"/>
                      <w:rFonts w:hint="eastAsia"/>
                    </w:rPr>
                    <w:t>施用方式</w:t>
                  </w:r>
                </w:p>
              </w:tc>
            </w:tr>
            <w:tr w14:paraId="611E81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C38FC4">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E4E95">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17CF41">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1614FF">
                  <w:r>
                    <w:rPr>
                      <w:rStyle w:val="11"/>
                      <w:rFonts w:hint="eastAsia"/>
                    </w:rPr>
                    <w:t>灌根</w:t>
                  </w:r>
                </w:p>
              </w:tc>
            </w:tr>
          </w:tbl>
          <w:p w14:paraId="21AC3932">
            <w:pPr>
              <w:rPr>
                <w:rFonts w:ascii="Times New Roman" w:hAnsi="Times New Roman" w:cs="Times New Roman"/>
                <w:sz w:val="20"/>
                <w:szCs w:val="20"/>
              </w:rPr>
            </w:pPr>
          </w:p>
        </w:tc>
      </w:tr>
      <w:tr w14:paraId="3F172DBE">
        <w:tblPrEx>
          <w:tblCellMar>
            <w:top w:w="0" w:type="dxa"/>
            <w:left w:w="0" w:type="dxa"/>
            <w:bottom w:w="0" w:type="dxa"/>
            <w:right w:w="0" w:type="dxa"/>
          </w:tblCellMar>
        </w:tblPrEx>
        <w:trPr>
          <w:wBefore w:w="0" w:type="auto"/>
          <w:tblCellSpacing w:w="0" w:type="dxa"/>
        </w:trPr>
        <w:tc>
          <w:tcPr>
            <w:tcW w:w="0" w:type="auto"/>
            <w:noWrap w:val="0"/>
            <w:vAlign w:val="center"/>
          </w:tcPr>
          <w:p w14:paraId="2C22406D">
            <w:r>
              <w:rPr>
                <w:rStyle w:val="10"/>
                <w:rFonts w:hint="eastAsia"/>
              </w:rPr>
              <w:t>使用技术要求:</w:t>
            </w:r>
            <w:r>
              <w:rPr>
                <w:rFonts w:hint="eastAsia"/>
              </w:rPr>
              <w:br w:type="textWrapping"/>
            </w:r>
            <w:r>
              <w:rPr>
                <w:rStyle w:val="11"/>
                <w:rFonts w:hint="eastAsia"/>
              </w:rPr>
              <w:t>1. 在韭菜韭蛆幼虫发生初期灌根施药1次。 2. 大风天或预计1小时内有降雨，请勿施药。 3. 每季作物最多施药1次，安全间隔期14天。</w:t>
            </w:r>
          </w:p>
        </w:tc>
      </w:tr>
      <w:tr w14:paraId="02BED28C">
        <w:tblPrEx>
          <w:tblCellMar>
            <w:top w:w="0" w:type="dxa"/>
            <w:left w:w="0" w:type="dxa"/>
            <w:bottom w:w="0" w:type="dxa"/>
            <w:right w:w="0" w:type="dxa"/>
          </w:tblCellMar>
        </w:tblPrEx>
        <w:trPr>
          <w:wBefore w:w="0" w:type="auto"/>
          <w:tblCellSpacing w:w="0" w:type="dxa"/>
        </w:trPr>
        <w:tc>
          <w:tcPr>
            <w:tcW w:w="0" w:type="auto"/>
            <w:noWrap w:val="0"/>
            <w:vAlign w:val="center"/>
          </w:tcPr>
          <w:p w14:paraId="3D8A400C">
            <w:r>
              <w:rPr>
                <w:rStyle w:val="10"/>
                <w:rFonts w:hint="eastAsia"/>
              </w:rPr>
              <w:t>产品性能:</w:t>
            </w:r>
            <w:r>
              <w:rPr>
                <w:rFonts w:hint="eastAsia"/>
              </w:rPr>
              <w:br w:type="textWrapping"/>
            </w:r>
            <w:r>
              <w:rPr>
                <w:rStyle w:val="11"/>
                <w:rFonts w:hint="eastAsia"/>
              </w:rPr>
              <w:t>虫螨腈是一种芳基取代吡咯化合物，在植物叶面渗透性较强；噻虫胺一种高效安全、高选择性的新烟碱类杀虫剂。二者结合具有触杀、胃杀和内吸活性强的作用特点， 正常使用条件下对韭蛆有较好的防治效果。</w:t>
            </w:r>
          </w:p>
        </w:tc>
      </w:tr>
      <w:tr w14:paraId="3F5FEB4B">
        <w:tblPrEx>
          <w:tblCellMar>
            <w:top w:w="0" w:type="dxa"/>
            <w:left w:w="0" w:type="dxa"/>
            <w:bottom w:w="0" w:type="dxa"/>
            <w:right w:w="0" w:type="dxa"/>
          </w:tblCellMar>
        </w:tblPrEx>
        <w:trPr>
          <w:wBefore w:w="0" w:type="auto"/>
          <w:tblCellSpacing w:w="0" w:type="dxa"/>
        </w:trPr>
        <w:tc>
          <w:tcPr>
            <w:tcW w:w="0" w:type="auto"/>
            <w:noWrap w:val="0"/>
            <w:vAlign w:val="center"/>
          </w:tcPr>
          <w:p w14:paraId="69E3E579">
            <w:r>
              <w:rPr>
                <w:rStyle w:val="10"/>
                <w:rFonts w:hint="eastAsia"/>
              </w:rPr>
              <w:t>注意事项：</w:t>
            </w:r>
            <w:r>
              <w:rPr>
                <w:rFonts w:hint="eastAsia"/>
              </w:rPr>
              <w:br w:type="textWrapping"/>
            </w:r>
            <w:r>
              <w:rPr>
                <w:rStyle w:val="11"/>
                <w:rFonts w:hint="eastAsia"/>
              </w:rPr>
              <w:t>1. 使用时穿戴长衣、长裤、帽子、口罩、手套等防护措施，避免吸入药液，施药期间不可吃东西和饮水，施药后应及时洗手和洗脸。 2. 应远离水产养殖区、河塘等水体施药，禁止在河塘等水体中清洗施药器具。 3. 鸟类保护区禁用；(周围)开花植物花期禁用，使用时应密切关注对附近蜂群的影响；蚕室及桑园附近禁用；赤眼蜂等天敌放飞区域禁用。 4. 用过的容器要妥善处理，不可作他用，也不可随意丢弃。 5. 孕妇及哺乳期妇女禁止接触。</w:t>
            </w:r>
          </w:p>
        </w:tc>
      </w:tr>
      <w:tr w14:paraId="19488D05">
        <w:tblPrEx>
          <w:tblCellMar>
            <w:top w:w="0" w:type="dxa"/>
            <w:left w:w="0" w:type="dxa"/>
            <w:bottom w:w="0" w:type="dxa"/>
            <w:right w:w="0" w:type="dxa"/>
          </w:tblCellMar>
        </w:tblPrEx>
        <w:trPr>
          <w:wBefore w:w="0" w:type="auto"/>
          <w:tblCellSpacing w:w="0" w:type="dxa"/>
        </w:trPr>
        <w:tc>
          <w:tcPr>
            <w:tcW w:w="0" w:type="auto"/>
            <w:noWrap w:val="0"/>
            <w:vAlign w:val="center"/>
          </w:tcPr>
          <w:p w14:paraId="0197906E">
            <w:r>
              <w:rPr>
                <w:rStyle w:val="10"/>
                <w:rFonts w:hint="eastAsia"/>
              </w:rPr>
              <w:t>中毒急救措施：</w:t>
            </w:r>
            <w:r>
              <w:rPr>
                <w:rFonts w:hint="eastAsia"/>
              </w:rPr>
              <w:br w:type="textWrapping"/>
            </w:r>
            <w:r>
              <w:rPr>
                <w:rStyle w:val="11"/>
                <w:rFonts w:hint="eastAsia"/>
              </w:rPr>
              <w:t xml:space="preserve">症状：轻度中毒：头痛、呕吐、出汗等；用药时如果感觉不适，立即停止工作，采取急救措施，并携此标签送医就诊。如接触皮肤，用肥皂和大量清水彻底清洗受污的皮肤；如溅入眼睛，用大量流动清水冲洗眼睛，严重者送医就诊；如不慎吸入，应将病人移至空气流通处，如仍有不适应立即就医；如误服，不得催吐，立即携带标签，送医就诊，无专用解毒剂，对症治疗。 </w:t>
            </w:r>
          </w:p>
        </w:tc>
      </w:tr>
      <w:tr w14:paraId="64B6E44E">
        <w:tblPrEx>
          <w:tblCellMar>
            <w:top w:w="0" w:type="dxa"/>
            <w:left w:w="0" w:type="dxa"/>
            <w:bottom w:w="0" w:type="dxa"/>
            <w:right w:w="0" w:type="dxa"/>
          </w:tblCellMar>
        </w:tblPrEx>
        <w:trPr>
          <w:wBefore w:w="0" w:type="auto"/>
          <w:tblCellSpacing w:w="0" w:type="dxa"/>
        </w:trPr>
        <w:tc>
          <w:tcPr>
            <w:tcW w:w="0" w:type="auto"/>
            <w:noWrap w:val="0"/>
            <w:vAlign w:val="center"/>
          </w:tcPr>
          <w:p w14:paraId="68231261">
            <w:r>
              <w:rPr>
                <w:rStyle w:val="10"/>
                <w:rFonts w:hint="eastAsia"/>
              </w:rPr>
              <w:t>储存和运输方法：</w:t>
            </w:r>
            <w:r>
              <w:rPr>
                <w:rFonts w:hint="eastAsia"/>
              </w:rPr>
              <w:br w:type="textWrapping"/>
            </w:r>
            <w:r>
              <w:rPr>
                <w:rStyle w:val="11"/>
                <w:rFonts w:hint="eastAsia"/>
              </w:rPr>
              <w:t xml:space="preserve">置于儿童、无关人员触及不到之处并加锁。本品应贮存于阴凉、干燥、通风处，防止受潮，隔热防晒，避免高温避免阳光直接照射。远离火源，不能与食品、饮料、粮食、种子、饲料同贮同运。 </w:t>
            </w:r>
          </w:p>
        </w:tc>
      </w:tr>
      <w:tr w14:paraId="701FE7BB">
        <w:tblPrEx>
          <w:tblCellMar>
            <w:top w:w="0" w:type="dxa"/>
            <w:left w:w="0" w:type="dxa"/>
            <w:bottom w:w="0" w:type="dxa"/>
            <w:right w:w="0" w:type="dxa"/>
          </w:tblCellMar>
        </w:tblPrEx>
        <w:trPr>
          <w:wBefore w:w="0" w:type="auto"/>
          <w:tblCellSpacing w:w="0" w:type="dxa"/>
        </w:trPr>
        <w:tc>
          <w:tcPr>
            <w:tcW w:w="0" w:type="auto"/>
            <w:noWrap w:val="0"/>
            <w:vAlign w:val="center"/>
          </w:tcPr>
          <w:p w14:paraId="58C23A7B">
            <w:r>
              <w:rPr>
                <w:rStyle w:val="10"/>
                <w:rFonts w:hint="eastAsia"/>
              </w:rPr>
              <w:t>质量保证期：</w:t>
            </w:r>
            <w:r>
              <w:rPr>
                <w:rStyle w:val="11"/>
                <w:rFonts w:hint="eastAsia"/>
              </w:rPr>
              <w:t>2年</w:t>
            </w:r>
          </w:p>
        </w:tc>
      </w:tr>
      <w:tr w14:paraId="772D8B0D">
        <w:tblPrEx>
          <w:tblCellMar>
            <w:top w:w="0" w:type="dxa"/>
            <w:left w:w="0" w:type="dxa"/>
            <w:bottom w:w="0" w:type="dxa"/>
            <w:right w:w="0" w:type="dxa"/>
          </w:tblCellMar>
        </w:tblPrEx>
        <w:trPr>
          <w:wBefore w:w="0" w:type="auto"/>
          <w:tblCellSpacing w:w="0" w:type="dxa"/>
        </w:trPr>
        <w:tc>
          <w:tcPr>
            <w:tcW w:w="0" w:type="auto"/>
            <w:noWrap w:val="0"/>
            <w:vAlign w:val="center"/>
          </w:tcPr>
          <w:p w14:paraId="0C7C7574">
            <w:r>
              <w:rPr>
                <w:rStyle w:val="10"/>
                <w:rFonts w:hint="eastAsia"/>
              </w:rPr>
              <w:t>备注：</w:t>
            </w:r>
          </w:p>
        </w:tc>
      </w:tr>
    </w:tbl>
    <w:p w14:paraId="51FD7B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95BF46">
        <w:tblPrEx>
          <w:tblCellMar>
            <w:top w:w="0" w:type="dxa"/>
            <w:left w:w="0" w:type="dxa"/>
            <w:bottom w:w="0" w:type="dxa"/>
            <w:right w:w="0" w:type="dxa"/>
          </w:tblCellMar>
        </w:tblPrEx>
        <w:trPr>
          <w:wBefore w:w="0" w:type="auto"/>
          <w:tblCellSpacing w:w="0" w:type="dxa"/>
        </w:trPr>
        <w:tc>
          <w:tcPr>
            <w:tcW w:w="0" w:type="auto"/>
            <w:noWrap w:val="0"/>
            <w:vAlign w:val="center"/>
          </w:tcPr>
          <w:p w14:paraId="538668E2">
            <w:r>
              <w:rPr>
                <w:rStyle w:val="10"/>
                <w:rFonts w:hint="eastAsia"/>
              </w:rPr>
              <w:t>登记证号：</w:t>
            </w:r>
            <w:r>
              <w:rPr>
                <w:rFonts w:hint="eastAsia"/>
              </w:rPr>
              <w:t>WP20210424</w:t>
            </w:r>
          </w:p>
        </w:tc>
      </w:tr>
      <w:tr w14:paraId="1C78DA2D">
        <w:tblPrEx>
          <w:tblCellMar>
            <w:top w:w="0" w:type="dxa"/>
            <w:left w:w="0" w:type="dxa"/>
            <w:bottom w:w="0" w:type="dxa"/>
            <w:right w:w="0" w:type="dxa"/>
          </w:tblCellMar>
        </w:tblPrEx>
        <w:trPr>
          <w:wBefore w:w="0" w:type="auto"/>
          <w:tblCellSpacing w:w="0" w:type="dxa"/>
        </w:trPr>
        <w:tc>
          <w:tcPr>
            <w:tcW w:w="0" w:type="auto"/>
            <w:noWrap w:val="0"/>
            <w:vAlign w:val="center"/>
          </w:tcPr>
          <w:p w14:paraId="7CF866B3">
            <w:r>
              <w:rPr>
                <w:rStyle w:val="10"/>
                <w:rFonts w:hint="eastAsia"/>
              </w:rPr>
              <w:t>登记证持有人：</w:t>
            </w:r>
            <w:r>
              <w:rPr>
                <w:rFonts w:hint="eastAsia"/>
              </w:rPr>
              <w:t>东元科技有限公司</w:t>
            </w:r>
          </w:p>
        </w:tc>
      </w:tr>
      <w:tr w14:paraId="77F20554">
        <w:tblPrEx>
          <w:tblCellMar>
            <w:top w:w="0" w:type="dxa"/>
            <w:left w:w="0" w:type="dxa"/>
            <w:bottom w:w="0" w:type="dxa"/>
            <w:right w:w="0" w:type="dxa"/>
          </w:tblCellMar>
        </w:tblPrEx>
        <w:trPr>
          <w:wBefore w:w="0" w:type="auto"/>
          <w:tblCellSpacing w:w="0" w:type="dxa"/>
        </w:trPr>
        <w:tc>
          <w:tcPr>
            <w:tcW w:w="0" w:type="auto"/>
            <w:noWrap w:val="0"/>
            <w:vAlign w:val="center"/>
          </w:tcPr>
          <w:p w14:paraId="4D0D97A0">
            <w:r>
              <w:rPr>
                <w:rStyle w:val="10"/>
                <w:rFonts w:hint="eastAsia"/>
              </w:rPr>
              <w:t>农药名称：</w:t>
            </w:r>
            <w:r>
              <w:rPr>
                <w:rFonts w:hint="eastAsia"/>
              </w:rPr>
              <w:t>杀蟑气雾剂</w:t>
            </w:r>
          </w:p>
        </w:tc>
      </w:tr>
      <w:tr w14:paraId="1961C1FE">
        <w:tblPrEx>
          <w:tblCellMar>
            <w:top w:w="0" w:type="dxa"/>
            <w:left w:w="0" w:type="dxa"/>
            <w:bottom w:w="0" w:type="dxa"/>
            <w:right w:w="0" w:type="dxa"/>
          </w:tblCellMar>
        </w:tblPrEx>
        <w:trPr>
          <w:wBefore w:w="0" w:type="auto"/>
          <w:tblCellSpacing w:w="0" w:type="dxa"/>
        </w:trPr>
        <w:tc>
          <w:tcPr>
            <w:tcW w:w="0" w:type="auto"/>
            <w:noWrap w:val="0"/>
            <w:vAlign w:val="center"/>
          </w:tcPr>
          <w:p w14:paraId="31FA067A">
            <w:r>
              <w:rPr>
                <w:rStyle w:val="10"/>
                <w:rFonts w:hint="eastAsia"/>
              </w:rPr>
              <w:t>剂型：</w:t>
            </w:r>
            <w:r>
              <w:rPr>
                <w:rFonts w:hint="eastAsia"/>
              </w:rPr>
              <w:t>气雾剂</w:t>
            </w:r>
          </w:p>
        </w:tc>
      </w:tr>
      <w:tr w14:paraId="71BF3B1D">
        <w:tblPrEx>
          <w:tblCellMar>
            <w:top w:w="0" w:type="dxa"/>
            <w:left w:w="0" w:type="dxa"/>
            <w:bottom w:w="0" w:type="dxa"/>
            <w:right w:w="0" w:type="dxa"/>
          </w:tblCellMar>
        </w:tblPrEx>
        <w:trPr>
          <w:wBefore w:w="0" w:type="auto"/>
          <w:tblCellSpacing w:w="0" w:type="dxa"/>
        </w:trPr>
        <w:tc>
          <w:tcPr>
            <w:tcW w:w="0" w:type="auto"/>
            <w:noWrap w:val="0"/>
            <w:vAlign w:val="center"/>
          </w:tcPr>
          <w:p w14:paraId="4C20CA75">
            <w:r>
              <w:rPr>
                <w:rStyle w:val="10"/>
                <w:rFonts w:hint="eastAsia"/>
              </w:rPr>
              <w:t>毒性及其标识：</w:t>
            </w:r>
            <w:r>
              <w:rPr>
                <w:rFonts w:hint="eastAsia"/>
              </w:rPr>
              <w:t xml:space="preserve"> 微毒 </w:t>
            </w:r>
          </w:p>
        </w:tc>
      </w:tr>
      <w:tr w14:paraId="40B0C860">
        <w:tblPrEx>
          <w:tblCellMar>
            <w:top w:w="0" w:type="dxa"/>
            <w:left w:w="0" w:type="dxa"/>
            <w:bottom w:w="0" w:type="dxa"/>
            <w:right w:w="0" w:type="dxa"/>
          </w:tblCellMar>
        </w:tblPrEx>
        <w:trPr>
          <w:wBefore w:w="0" w:type="auto"/>
          <w:tblCellSpacing w:w="0" w:type="dxa"/>
        </w:trPr>
        <w:tc>
          <w:tcPr>
            <w:tcW w:w="0" w:type="auto"/>
            <w:noWrap w:val="0"/>
            <w:vAlign w:val="center"/>
          </w:tcPr>
          <w:p w14:paraId="1A7CE909">
            <w:r>
              <w:rPr>
                <w:rStyle w:val="10"/>
                <w:rFonts w:hint="eastAsia"/>
              </w:rPr>
              <w:t>总有效成分含量：</w:t>
            </w:r>
            <w:r>
              <w:rPr>
                <w:rFonts w:hint="eastAsia"/>
              </w:rPr>
              <w:t>0.4%</w:t>
            </w:r>
          </w:p>
        </w:tc>
      </w:tr>
      <w:tr w14:paraId="3BE4B693">
        <w:tblPrEx>
          <w:tblCellMar>
            <w:top w:w="0" w:type="dxa"/>
            <w:left w:w="0" w:type="dxa"/>
            <w:bottom w:w="0" w:type="dxa"/>
            <w:right w:w="0" w:type="dxa"/>
          </w:tblCellMar>
        </w:tblPrEx>
        <w:trPr>
          <w:wBefore w:w="0" w:type="auto"/>
          <w:tblCellSpacing w:w="0" w:type="dxa"/>
        </w:trPr>
        <w:tc>
          <w:tcPr>
            <w:tcW w:w="0" w:type="auto"/>
            <w:noWrap w:val="0"/>
            <w:vAlign w:val="center"/>
          </w:tcPr>
          <w:p w14:paraId="69041571">
            <w:r>
              <w:rPr>
                <w:rFonts w:hint="eastAsia"/>
              </w:rPr>
              <w:t xml:space="preserve">有效成分及其含量： </w:t>
            </w:r>
          </w:p>
          <w:p w14:paraId="56C42DC7">
            <w:r>
              <w:rPr>
                <w:rFonts w:hint="eastAsia"/>
              </w:rPr>
              <w:t xml:space="preserve">    炔咪菊酯0.15%    右旋苯醚氰菊酯0.25%    </w:t>
            </w:r>
          </w:p>
        </w:tc>
      </w:tr>
      <w:tr w14:paraId="4EE75728">
        <w:tblPrEx>
          <w:tblCellMar>
            <w:top w:w="0" w:type="dxa"/>
            <w:left w:w="0" w:type="dxa"/>
            <w:bottom w:w="0" w:type="dxa"/>
            <w:right w:w="0" w:type="dxa"/>
          </w:tblCellMar>
        </w:tblPrEx>
        <w:trPr>
          <w:wBefore w:w="0" w:type="auto"/>
          <w:tblCellSpacing w:w="0" w:type="dxa"/>
        </w:trPr>
        <w:tc>
          <w:tcPr>
            <w:tcW w:w="0" w:type="auto"/>
            <w:noWrap w:val="0"/>
            <w:vAlign w:val="center"/>
          </w:tcPr>
          <w:p w14:paraId="140B3E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8F9C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FCA8A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D0736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CBCC5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3B5BA4">
                  <w:r>
                    <w:rPr>
                      <w:rStyle w:val="11"/>
                      <w:rFonts w:hint="eastAsia"/>
                    </w:rPr>
                    <w:t>施用方式</w:t>
                  </w:r>
                </w:p>
              </w:tc>
            </w:tr>
            <w:tr w14:paraId="0AEB56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97D94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F5B44E">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24BA0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CD3B0B">
                  <w:r>
                    <w:rPr>
                      <w:rStyle w:val="11"/>
                      <w:rFonts w:hint="eastAsia"/>
                    </w:rPr>
                    <w:t>喷雾</w:t>
                  </w:r>
                </w:p>
              </w:tc>
            </w:tr>
          </w:tbl>
          <w:p w14:paraId="4894CC36">
            <w:pPr>
              <w:rPr>
                <w:rFonts w:ascii="Times New Roman" w:hAnsi="Times New Roman" w:cs="Times New Roman"/>
                <w:sz w:val="20"/>
                <w:szCs w:val="20"/>
              </w:rPr>
            </w:pPr>
          </w:p>
        </w:tc>
      </w:tr>
      <w:tr w14:paraId="437C9890">
        <w:tblPrEx>
          <w:tblCellMar>
            <w:top w:w="0" w:type="dxa"/>
            <w:left w:w="0" w:type="dxa"/>
            <w:bottom w:w="0" w:type="dxa"/>
            <w:right w:w="0" w:type="dxa"/>
          </w:tblCellMar>
        </w:tblPrEx>
        <w:trPr>
          <w:wBefore w:w="0" w:type="auto"/>
          <w:tblCellSpacing w:w="0" w:type="dxa"/>
        </w:trPr>
        <w:tc>
          <w:tcPr>
            <w:tcW w:w="0" w:type="auto"/>
            <w:noWrap w:val="0"/>
            <w:vAlign w:val="center"/>
          </w:tcPr>
          <w:p w14:paraId="310EB710">
            <w:r>
              <w:rPr>
                <w:rStyle w:val="10"/>
                <w:rFonts w:hint="eastAsia"/>
              </w:rPr>
              <w:t>使用技术要求:</w:t>
            </w:r>
            <w:r>
              <w:rPr>
                <w:rFonts w:hint="eastAsia"/>
              </w:rPr>
              <w:br w:type="textWrapping"/>
            </w:r>
            <w:r>
              <w:rPr>
                <w:rStyle w:val="11"/>
                <w:rFonts w:hint="eastAsia"/>
              </w:rPr>
              <w:t>1. 用前请摇匀。 2. 驱杀蟑螂时，直接对准其喷射，或向其栖息地及经常出没的地方喷射，每平方米喷雾1秒-3秒。</w:t>
            </w:r>
          </w:p>
        </w:tc>
      </w:tr>
      <w:tr w14:paraId="0A4D7D93">
        <w:tblPrEx>
          <w:tblCellMar>
            <w:top w:w="0" w:type="dxa"/>
            <w:left w:w="0" w:type="dxa"/>
            <w:bottom w:w="0" w:type="dxa"/>
            <w:right w:w="0" w:type="dxa"/>
          </w:tblCellMar>
        </w:tblPrEx>
        <w:trPr>
          <w:wBefore w:w="0" w:type="auto"/>
          <w:tblCellSpacing w:w="0" w:type="dxa"/>
        </w:trPr>
        <w:tc>
          <w:tcPr>
            <w:tcW w:w="0" w:type="auto"/>
            <w:noWrap w:val="0"/>
            <w:vAlign w:val="center"/>
          </w:tcPr>
          <w:p w14:paraId="13595C73">
            <w:r>
              <w:rPr>
                <w:rStyle w:val="10"/>
                <w:rFonts w:hint="eastAsia"/>
              </w:rPr>
              <w:t>产品性能:</w:t>
            </w:r>
            <w:r>
              <w:rPr>
                <w:rFonts w:hint="eastAsia"/>
              </w:rPr>
              <w:br w:type="textWrapping"/>
            </w:r>
            <w:r>
              <w:rPr>
                <w:rStyle w:val="11"/>
                <w:rFonts w:hint="eastAsia"/>
              </w:rPr>
              <w:t xml:space="preserve">本品采用拟除虫菊酯类药剂配制而成，可有效驱杀蟑螂（学名蜚蠊）， 适合家庭、餐厅、宾馆、办公室等场所使用，是家庭驱杀蟑螂的理想选择之一。 </w:t>
            </w:r>
          </w:p>
        </w:tc>
      </w:tr>
      <w:tr w14:paraId="3C3D8A44">
        <w:tblPrEx>
          <w:tblCellMar>
            <w:top w:w="0" w:type="dxa"/>
            <w:left w:w="0" w:type="dxa"/>
            <w:bottom w:w="0" w:type="dxa"/>
            <w:right w:w="0" w:type="dxa"/>
          </w:tblCellMar>
        </w:tblPrEx>
        <w:trPr>
          <w:wBefore w:w="0" w:type="auto"/>
          <w:tblCellSpacing w:w="0" w:type="dxa"/>
        </w:trPr>
        <w:tc>
          <w:tcPr>
            <w:tcW w:w="0" w:type="auto"/>
            <w:noWrap w:val="0"/>
            <w:vAlign w:val="center"/>
          </w:tcPr>
          <w:p w14:paraId="14F78099">
            <w:r>
              <w:rPr>
                <w:rStyle w:val="10"/>
                <w:rFonts w:hint="eastAsia"/>
              </w:rPr>
              <w:t>注意事项：</w:t>
            </w:r>
            <w:r>
              <w:rPr>
                <w:rFonts w:hint="eastAsia"/>
              </w:rPr>
              <w:br w:type="textWrapping"/>
            </w:r>
            <w:r>
              <w:rPr>
                <w:rStyle w:val="11"/>
                <w:rFonts w:hint="eastAsia"/>
              </w:rPr>
              <w:t>1. 本品属压力容器，内含易燃物，切勿受太阳直射，切勿接近火源和电源。 2. 孕妇及哺乳期妇女禁止接触。过敏者禁用，使用中有任何不良反应请及时就医。 3. 用后请洗手。 4. 使用后请注意通风。 5. 切勿向人畜、食物、食具直接喷射。 6. 切勿将罐体戳破，即使用完也不许穿刺或火烧。 7. 切勿空罐再次充装。 8. 切勿倒置喷射。 9. 对鱼、家蚕有害，蚕室及其附近禁用。 10. 仅限室内使用。</w:t>
            </w:r>
          </w:p>
        </w:tc>
      </w:tr>
      <w:tr w14:paraId="62091E31">
        <w:tblPrEx>
          <w:tblCellMar>
            <w:top w:w="0" w:type="dxa"/>
            <w:left w:w="0" w:type="dxa"/>
            <w:bottom w:w="0" w:type="dxa"/>
            <w:right w:w="0" w:type="dxa"/>
          </w:tblCellMar>
        </w:tblPrEx>
        <w:trPr>
          <w:wBefore w:w="0" w:type="auto"/>
          <w:tblCellSpacing w:w="0" w:type="dxa"/>
        </w:trPr>
        <w:tc>
          <w:tcPr>
            <w:tcW w:w="0" w:type="auto"/>
            <w:noWrap w:val="0"/>
            <w:vAlign w:val="center"/>
          </w:tcPr>
          <w:p w14:paraId="2D02B8A3">
            <w:r>
              <w:rPr>
                <w:rStyle w:val="10"/>
                <w:rFonts w:hint="eastAsia"/>
              </w:rPr>
              <w:t>中毒急救措施：</w:t>
            </w:r>
            <w:r>
              <w:rPr>
                <w:rFonts w:hint="eastAsia"/>
              </w:rPr>
              <w:br w:type="textWrapping"/>
            </w:r>
            <w:r>
              <w:rPr>
                <w:rStyle w:val="11"/>
                <w:rFonts w:hint="eastAsia"/>
              </w:rPr>
              <w:t>1. 如不慎沾在皮肤上，请用肥皂水清洗。 2. 如不慎溅入眼睛，请用大量清水冲洗。 3. 如不慎误服，请立即携此标签将病人送医院诊治。</w:t>
            </w:r>
          </w:p>
        </w:tc>
      </w:tr>
      <w:tr w14:paraId="038F941A">
        <w:tblPrEx>
          <w:tblCellMar>
            <w:top w:w="0" w:type="dxa"/>
            <w:left w:w="0" w:type="dxa"/>
            <w:bottom w:w="0" w:type="dxa"/>
            <w:right w:w="0" w:type="dxa"/>
          </w:tblCellMar>
        </w:tblPrEx>
        <w:trPr>
          <w:wBefore w:w="0" w:type="auto"/>
          <w:tblCellSpacing w:w="0" w:type="dxa"/>
        </w:trPr>
        <w:tc>
          <w:tcPr>
            <w:tcW w:w="0" w:type="auto"/>
            <w:noWrap w:val="0"/>
            <w:vAlign w:val="center"/>
          </w:tcPr>
          <w:p w14:paraId="0D9BCDA7">
            <w:r>
              <w:rPr>
                <w:rStyle w:val="10"/>
                <w:rFonts w:hint="eastAsia"/>
              </w:rPr>
              <w:t>储存和运输方法：</w:t>
            </w:r>
            <w:r>
              <w:rPr>
                <w:rFonts w:hint="eastAsia"/>
              </w:rPr>
              <w:br w:type="textWrapping"/>
            </w:r>
            <w:r>
              <w:rPr>
                <w:rStyle w:val="11"/>
                <w:rFonts w:hint="eastAsia"/>
              </w:rPr>
              <w:t>1. 本品应贮存在阴凉、干燥、通风、防雨处，本品属易燃液体，远离火源或热源。 2. 置于儿童、无关人员触及不到之处，并加锁。勿与食品、饮料、饲料、粮食等同贮同运。 3. 切勿放置在温度超过50℃或潮湿的地方，如阳台、厨房、浴室、汽车驾驶 室。 4. 产品搬运时要轻取轻放，严禁猛烈碰撞、日晒、重压，并不得倒置。</w:t>
            </w:r>
          </w:p>
        </w:tc>
      </w:tr>
      <w:tr w14:paraId="7A8DD79A">
        <w:tblPrEx>
          <w:tblCellMar>
            <w:top w:w="0" w:type="dxa"/>
            <w:left w:w="0" w:type="dxa"/>
            <w:bottom w:w="0" w:type="dxa"/>
            <w:right w:w="0" w:type="dxa"/>
          </w:tblCellMar>
        </w:tblPrEx>
        <w:trPr>
          <w:wBefore w:w="0" w:type="auto"/>
          <w:tblCellSpacing w:w="0" w:type="dxa"/>
        </w:trPr>
        <w:tc>
          <w:tcPr>
            <w:tcW w:w="0" w:type="auto"/>
            <w:noWrap w:val="0"/>
            <w:vAlign w:val="center"/>
          </w:tcPr>
          <w:p w14:paraId="26B5BD90">
            <w:r>
              <w:rPr>
                <w:rStyle w:val="10"/>
                <w:rFonts w:hint="eastAsia"/>
              </w:rPr>
              <w:t>质量保证期：</w:t>
            </w:r>
            <w:r>
              <w:rPr>
                <w:rStyle w:val="11"/>
                <w:rFonts w:hint="eastAsia"/>
              </w:rPr>
              <w:t>3年</w:t>
            </w:r>
          </w:p>
        </w:tc>
      </w:tr>
      <w:tr w14:paraId="0D272640">
        <w:tblPrEx>
          <w:tblCellMar>
            <w:top w:w="0" w:type="dxa"/>
            <w:left w:w="0" w:type="dxa"/>
            <w:bottom w:w="0" w:type="dxa"/>
            <w:right w:w="0" w:type="dxa"/>
          </w:tblCellMar>
        </w:tblPrEx>
        <w:trPr>
          <w:wBefore w:w="0" w:type="auto"/>
          <w:tblCellSpacing w:w="0" w:type="dxa"/>
        </w:trPr>
        <w:tc>
          <w:tcPr>
            <w:tcW w:w="0" w:type="auto"/>
            <w:noWrap w:val="0"/>
            <w:vAlign w:val="center"/>
          </w:tcPr>
          <w:p w14:paraId="37C0FF82">
            <w:r>
              <w:rPr>
                <w:rStyle w:val="10"/>
                <w:rFonts w:hint="eastAsia"/>
              </w:rPr>
              <w:t>备注：</w:t>
            </w:r>
          </w:p>
        </w:tc>
      </w:tr>
    </w:tbl>
    <w:p w14:paraId="22F21D7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C63E49">
        <w:tblPrEx>
          <w:tblCellMar>
            <w:top w:w="0" w:type="dxa"/>
            <w:left w:w="0" w:type="dxa"/>
            <w:bottom w:w="0" w:type="dxa"/>
            <w:right w:w="0" w:type="dxa"/>
          </w:tblCellMar>
        </w:tblPrEx>
        <w:trPr>
          <w:wBefore w:w="0" w:type="auto"/>
          <w:tblCellSpacing w:w="0" w:type="dxa"/>
        </w:trPr>
        <w:tc>
          <w:tcPr>
            <w:tcW w:w="0" w:type="auto"/>
            <w:noWrap w:val="0"/>
            <w:vAlign w:val="center"/>
          </w:tcPr>
          <w:p w14:paraId="51B1E130">
            <w:r>
              <w:rPr>
                <w:rStyle w:val="10"/>
                <w:rFonts w:hint="eastAsia"/>
              </w:rPr>
              <w:t>登记证号：</w:t>
            </w:r>
            <w:r>
              <w:rPr>
                <w:rFonts w:hint="eastAsia"/>
              </w:rPr>
              <w:t>PD20212587</w:t>
            </w:r>
          </w:p>
        </w:tc>
      </w:tr>
      <w:tr w14:paraId="567B1F1A">
        <w:tblPrEx>
          <w:tblCellMar>
            <w:top w:w="0" w:type="dxa"/>
            <w:left w:w="0" w:type="dxa"/>
            <w:bottom w:w="0" w:type="dxa"/>
            <w:right w:w="0" w:type="dxa"/>
          </w:tblCellMar>
        </w:tblPrEx>
        <w:trPr>
          <w:wBefore w:w="0" w:type="auto"/>
          <w:tblCellSpacing w:w="0" w:type="dxa"/>
        </w:trPr>
        <w:tc>
          <w:tcPr>
            <w:tcW w:w="0" w:type="auto"/>
            <w:noWrap w:val="0"/>
            <w:vAlign w:val="center"/>
          </w:tcPr>
          <w:p w14:paraId="7E4C906D">
            <w:r>
              <w:rPr>
                <w:rStyle w:val="10"/>
                <w:rFonts w:hint="eastAsia"/>
              </w:rPr>
              <w:t>登记证持有人：</w:t>
            </w:r>
            <w:r>
              <w:rPr>
                <w:rFonts w:hint="eastAsia"/>
              </w:rPr>
              <w:t>山东奥坤作物科学股份有限公司</w:t>
            </w:r>
          </w:p>
        </w:tc>
      </w:tr>
      <w:tr w14:paraId="107BE606">
        <w:tblPrEx>
          <w:tblCellMar>
            <w:top w:w="0" w:type="dxa"/>
            <w:left w:w="0" w:type="dxa"/>
            <w:bottom w:w="0" w:type="dxa"/>
            <w:right w:w="0" w:type="dxa"/>
          </w:tblCellMar>
        </w:tblPrEx>
        <w:trPr>
          <w:wBefore w:w="0" w:type="auto"/>
          <w:tblCellSpacing w:w="0" w:type="dxa"/>
        </w:trPr>
        <w:tc>
          <w:tcPr>
            <w:tcW w:w="0" w:type="auto"/>
            <w:noWrap w:val="0"/>
            <w:vAlign w:val="center"/>
          </w:tcPr>
          <w:p w14:paraId="32DEC88C">
            <w:r>
              <w:rPr>
                <w:rStyle w:val="10"/>
                <w:rFonts w:hint="eastAsia"/>
              </w:rPr>
              <w:t>农药名称：</w:t>
            </w:r>
            <w:r>
              <w:rPr>
                <w:rFonts w:hint="eastAsia"/>
              </w:rPr>
              <w:t>2,4-滴·灭草松</w:t>
            </w:r>
          </w:p>
        </w:tc>
      </w:tr>
      <w:tr w14:paraId="4716F8B6">
        <w:tblPrEx>
          <w:tblCellMar>
            <w:top w:w="0" w:type="dxa"/>
            <w:left w:w="0" w:type="dxa"/>
            <w:bottom w:w="0" w:type="dxa"/>
            <w:right w:w="0" w:type="dxa"/>
          </w:tblCellMar>
        </w:tblPrEx>
        <w:trPr>
          <w:wBefore w:w="0" w:type="auto"/>
          <w:tblCellSpacing w:w="0" w:type="dxa"/>
        </w:trPr>
        <w:tc>
          <w:tcPr>
            <w:tcW w:w="0" w:type="auto"/>
            <w:noWrap w:val="0"/>
            <w:vAlign w:val="center"/>
          </w:tcPr>
          <w:p w14:paraId="2F5DCD0E">
            <w:r>
              <w:rPr>
                <w:rStyle w:val="10"/>
                <w:rFonts w:hint="eastAsia"/>
              </w:rPr>
              <w:t>剂型：</w:t>
            </w:r>
            <w:r>
              <w:rPr>
                <w:rFonts w:hint="eastAsia"/>
              </w:rPr>
              <w:t>微乳剂</w:t>
            </w:r>
          </w:p>
        </w:tc>
      </w:tr>
      <w:tr w14:paraId="46428C6D">
        <w:tblPrEx>
          <w:tblCellMar>
            <w:top w:w="0" w:type="dxa"/>
            <w:left w:w="0" w:type="dxa"/>
            <w:bottom w:w="0" w:type="dxa"/>
            <w:right w:w="0" w:type="dxa"/>
          </w:tblCellMar>
        </w:tblPrEx>
        <w:trPr>
          <w:wBefore w:w="0" w:type="auto"/>
          <w:tblCellSpacing w:w="0" w:type="dxa"/>
        </w:trPr>
        <w:tc>
          <w:tcPr>
            <w:tcW w:w="0" w:type="auto"/>
            <w:noWrap w:val="0"/>
            <w:vAlign w:val="center"/>
          </w:tcPr>
          <w:p w14:paraId="0817DC88">
            <w:r>
              <w:rPr>
                <w:rStyle w:val="10"/>
                <w:rFonts w:hint="eastAsia"/>
              </w:rPr>
              <w:t>毒性及其标识：</w:t>
            </w:r>
            <w:r>
              <w:rPr>
                <w:rFonts w:hint="eastAsia"/>
              </w:rPr>
              <w:t xml:space="preserve"> </w:t>
            </w:r>
            <w:r>
              <w:rPr>
                <w:lang/>
              </w:rPr>
              <w:drawing>
                <wp:inline distT="0" distB="0" distL="114300" distR="114300">
                  <wp:extent cx="476250" cy="323850"/>
                  <wp:effectExtent l="0" t="0" r="0" b="0"/>
                  <wp:docPr id="73" name="图片 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75C094">
        <w:tblPrEx>
          <w:tblCellMar>
            <w:top w:w="0" w:type="dxa"/>
            <w:left w:w="0" w:type="dxa"/>
            <w:bottom w:w="0" w:type="dxa"/>
            <w:right w:w="0" w:type="dxa"/>
          </w:tblCellMar>
        </w:tblPrEx>
        <w:trPr>
          <w:wBefore w:w="0" w:type="auto"/>
          <w:tblCellSpacing w:w="0" w:type="dxa"/>
        </w:trPr>
        <w:tc>
          <w:tcPr>
            <w:tcW w:w="0" w:type="auto"/>
            <w:noWrap w:val="0"/>
            <w:vAlign w:val="center"/>
          </w:tcPr>
          <w:p w14:paraId="7DAD2FF5">
            <w:r>
              <w:rPr>
                <w:rStyle w:val="10"/>
                <w:rFonts w:hint="eastAsia"/>
              </w:rPr>
              <w:t>总有效成分含量：</w:t>
            </w:r>
            <w:r>
              <w:rPr>
                <w:rFonts w:hint="eastAsia"/>
              </w:rPr>
              <w:t>45%</w:t>
            </w:r>
          </w:p>
        </w:tc>
      </w:tr>
      <w:tr w14:paraId="036C2E83">
        <w:tblPrEx>
          <w:tblCellMar>
            <w:top w:w="0" w:type="dxa"/>
            <w:left w:w="0" w:type="dxa"/>
            <w:bottom w:w="0" w:type="dxa"/>
            <w:right w:w="0" w:type="dxa"/>
          </w:tblCellMar>
        </w:tblPrEx>
        <w:trPr>
          <w:wBefore w:w="0" w:type="auto"/>
          <w:tblCellSpacing w:w="0" w:type="dxa"/>
        </w:trPr>
        <w:tc>
          <w:tcPr>
            <w:tcW w:w="0" w:type="auto"/>
            <w:noWrap w:val="0"/>
            <w:vAlign w:val="center"/>
          </w:tcPr>
          <w:p w14:paraId="169D4723">
            <w:r>
              <w:rPr>
                <w:rFonts w:hint="eastAsia"/>
              </w:rPr>
              <w:t xml:space="preserve">有效成分及其含量： </w:t>
            </w:r>
          </w:p>
          <w:p w14:paraId="3446AABA">
            <w:r>
              <w:rPr>
                <w:rFonts w:hint="eastAsia"/>
              </w:rPr>
              <w:t xml:space="preserve">    2,4-滴5%    灭草松40%    </w:t>
            </w:r>
          </w:p>
        </w:tc>
      </w:tr>
      <w:tr w14:paraId="4F383683">
        <w:tblPrEx>
          <w:tblCellMar>
            <w:top w:w="0" w:type="dxa"/>
            <w:left w:w="0" w:type="dxa"/>
            <w:bottom w:w="0" w:type="dxa"/>
            <w:right w:w="0" w:type="dxa"/>
          </w:tblCellMar>
        </w:tblPrEx>
        <w:trPr>
          <w:wBefore w:w="0" w:type="auto"/>
          <w:tblCellSpacing w:w="0" w:type="dxa"/>
        </w:trPr>
        <w:tc>
          <w:tcPr>
            <w:tcW w:w="0" w:type="auto"/>
            <w:noWrap w:val="0"/>
            <w:vAlign w:val="center"/>
          </w:tcPr>
          <w:p w14:paraId="75D652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5A28C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14B51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BDEAE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F1E9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DA06AD">
                  <w:r>
                    <w:rPr>
                      <w:rStyle w:val="11"/>
                      <w:rFonts w:hint="eastAsia"/>
                    </w:rPr>
                    <w:t>施用方式</w:t>
                  </w:r>
                </w:p>
              </w:tc>
            </w:tr>
            <w:tr w14:paraId="181017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D3182D">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94A05E">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A37C05">
                  <w:r>
                    <w:rPr>
                      <w:rStyle w:val="11"/>
                      <w:rFonts w:hint="eastAsia"/>
                    </w:rPr>
                    <w:t>100-140毫升/亩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882056">
                  <w:r>
                    <w:rPr>
                      <w:rStyle w:val="11"/>
                      <w:rFonts w:hint="eastAsia"/>
                    </w:rPr>
                    <w:t>茎叶喷雾</w:t>
                  </w:r>
                </w:p>
              </w:tc>
            </w:tr>
          </w:tbl>
          <w:p w14:paraId="4B79C155">
            <w:pPr>
              <w:rPr>
                <w:rFonts w:ascii="Times New Roman" w:hAnsi="Times New Roman" w:cs="Times New Roman"/>
                <w:sz w:val="20"/>
                <w:szCs w:val="20"/>
              </w:rPr>
            </w:pPr>
          </w:p>
        </w:tc>
      </w:tr>
      <w:tr w14:paraId="27BBA2BC">
        <w:tblPrEx>
          <w:tblCellMar>
            <w:top w:w="0" w:type="dxa"/>
            <w:left w:w="0" w:type="dxa"/>
            <w:bottom w:w="0" w:type="dxa"/>
            <w:right w:w="0" w:type="dxa"/>
          </w:tblCellMar>
        </w:tblPrEx>
        <w:trPr>
          <w:wBefore w:w="0" w:type="auto"/>
          <w:tblCellSpacing w:w="0" w:type="dxa"/>
        </w:trPr>
        <w:tc>
          <w:tcPr>
            <w:tcW w:w="0" w:type="auto"/>
            <w:noWrap w:val="0"/>
            <w:vAlign w:val="center"/>
          </w:tcPr>
          <w:p w14:paraId="68B719D0">
            <w:r>
              <w:rPr>
                <w:rStyle w:val="10"/>
                <w:rFonts w:hint="eastAsia"/>
              </w:rPr>
              <w:t>使用技术要求:</w:t>
            </w:r>
            <w:r>
              <w:rPr>
                <w:rFonts w:hint="eastAsia"/>
              </w:rPr>
              <w:br w:type="textWrapping"/>
            </w:r>
            <w:r>
              <w:rPr>
                <w:rStyle w:val="11"/>
                <w:rFonts w:hint="eastAsia"/>
              </w:rPr>
              <w:t>1.应于水稻移栽后7-9天，杂草2-6叶期进行茎叶喷雾。避免漂移药害。2.施药前排去田水，使杂草全部露出水面。药后1天复水，保持水层5～7天，后期正常管理。注意水层勿淹没水稻心叶。3.在水稻田每季最多使用1次。</w:t>
            </w:r>
          </w:p>
        </w:tc>
      </w:tr>
      <w:tr w14:paraId="7B49BFB4">
        <w:tblPrEx>
          <w:tblCellMar>
            <w:top w:w="0" w:type="dxa"/>
            <w:left w:w="0" w:type="dxa"/>
            <w:bottom w:w="0" w:type="dxa"/>
            <w:right w:w="0" w:type="dxa"/>
          </w:tblCellMar>
        </w:tblPrEx>
        <w:trPr>
          <w:wBefore w:w="0" w:type="auto"/>
          <w:tblCellSpacing w:w="0" w:type="dxa"/>
        </w:trPr>
        <w:tc>
          <w:tcPr>
            <w:tcW w:w="0" w:type="auto"/>
            <w:noWrap w:val="0"/>
            <w:vAlign w:val="center"/>
          </w:tcPr>
          <w:p w14:paraId="74FE80AA">
            <w:r>
              <w:rPr>
                <w:rStyle w:val="10"/>
                <w:rFonts w:hint="eastAsia"/>
              </w:rPr>
              <w:t>产品性能:</w:t>
            </w:r>
            <w:r>
              <w:rPr>
                <w:rFonts w:hint="eastAsia"/>
              </w:rPr>
              <w:br w:type="textWrapping"/>
            </w:r>
            <w:r>
              <w:rPr>
                <w:rStyle w:val="11"/>
                <w:rFonts w:hint="eastAsia"/>
              </w:rPr>
              <w:t>2,4-滴二甲胺盐是具有选择性内吸传导激素型除草剂，灭草松具有选择性触杀型苗后除草剂，两者混配能有效防治水稻移栽田中的阔叶及莎草科杂草。</w:t>
            </w:r>
          </w:p>
        </w:tc>
      </w:tr>
      <w:tr w14:paraId="1058FFA7">
        <w:tblPrEx>
          <w:tblCellMar>
            <w:top w:w="0" w:type="dxa"/>
            <w:left w:w="0" w:type="dxa"/>
            <w:bottom w:w="0" w:type="dxa"/>
            <w:right w:w="0" w:type="dxa"/>
          </w:tblCellMar>
        </w:tblPrEx>
        <w:trPr>
          <w:wBefore w:w="0" w:type="auto"/>
          <w:tblCellSpacing w:w="0" w:type="dxa"/>
        </w:trPr>
        <w:tc>
          <w:tcPr>
            <w:tcW w:w="0" w:type="auto"/>
            <w:noWrap w:val="0"/>
            <w:vAlign w:val="center"/>
          </w:tcPr>
          <w:p w14:paraId="62C3E21C">
            <w:r>
              <w:rPr>
                <w:rStyle w:val="10"/>
                <w:rFonts w:hint="eastAsia"/>
              </w:rPr>
              <w:t>注意事项：</w:t>
            </w:r>
            <w:r>
              <w:rPr>
                <w:rFonts w:hint="eastAsia"/>
              </w:rPr>
              <w:br w:type="textWrapping"/>
            </w:r>
            <w:r>
              <w:rPr>
                <w:rStyle w:val="11"/>
                <w:rFonts w:hint="eastAsia"/>
              </w:rPr>
              <w:t>1.本品使用时不可与酸、碱性物质混合使用，以免降低药效。2.使用本品应采取相应的安全防护措施，穿防护服，戴防护手套、口罩和护目镜等，避免眼睛、皮肤接触及口鼻吸入。使用中不可吸烟、饮水及吃东西。用药结束后，及时清洗手脸并更换衣物。3.使用后将喷雾器械清洗干净，剩余药液及废弃包装应妥善处理，不得随意丢弃，更不可留作他用。4.本品对鱼类等水生物毒性较高，水产养殖区、河塘等水体附近禁用，赤眼蜂等天敌放飞区域禁用；周围蜜源作物花期禁用。禁止在河塘等水体清洗施药器具，鱼或虾蟹套养稻田禁用；施药后的田水不得直接排入水体。5.避免孕妇及哺乳期妇女接触。</w:t>
            </w:r>
          </w:p>
        </w:tc>
      </w:tr>
      <w:tr w14:paraId="77A59E0E">
        <w:tblPrEx>
          <w:tblCellMar>
            <w:top w:w="0" w:type="dxa"/>
            <w:left w:w="0" w:type="dxa"/>
            <w:bottom w:w="0" w:type="dxa"/>
            <w:right w:w="0" w:type="dxa"/>
          </w:tblCellMar>
        </w:tblPrEx>
        <w:trPr>
          <w:wBefore w:w="0" w:type="auto"/>
          <w:tblCellSpacing w:w="0" w:type="dxa"/>
        </w:trPr>
        <w:tc>
          <w:tcPr>
            <w:tcW w:w="0" w:type="auto"/>
            <w:noWrap w:val="0"/>
            <w:vAlign w:val="center"/>
          </w:tcPr>
          <w:p w14:paraId="4680F0B3">
            <w:r>
              <w:rPr>
                <w:rStyle w:val="10"/>
                <w:rFonts w:hint="eastAsia"/>
              </w:rPr>
              <w:t>中毒急救措施：</w:t>
            </w:r>
            <w:r>
              <w:rPr>
                <w:rFonts w:hint="eastAsia"/>
              </w:rPr>
              <w:br w:type="textWrapping"/>
            </w:r>
            <w:r>
              <w:rPr>
                <w:rStyle w:val="11"/>
                <w:rFonts w:hint="eastAsia"/>
              </w:rPr>
              <w:t>1.皮肤接触：立即脱掉污染的衣物，用肥皂和大量清水彻底清洗污染的皮肤。 2.眼睛接触：立即分开眼睑，用清水冲洗眼至少15分钟，再请医生诊治。 3.吸入：立即将患者转移到空气新鲜处，再请医生诊治。 4.误服：立即携带标签，送医院就诊，对症治疗。 5.本品无特效解毒剂，应对症治疗。</w:t>
            </w:r>
          </w:p>
        </w:tc>
      </w:tr>
      <w:tr w14:paraId="4A6E8C8A">
        <w:tblPrEx>
          <w:tblCellMar>
            <w:top w:w="0" w:type="dxa"/>
            <w:left w:w="0" w:type="dxa"/>
            <w:bottom w:w="0" w:type="dxa"/>
            <w:right w:w="0" w:type="dxa"/>
          </w:tblCellMar>
        </w:tblPrEx>
        <w:trPr>
          <w:wBefore w:w="0" w:type="auto"/>
          <w:tblCellSpacing w:w="0" w:type="dxa"/>
        </w:trPr>
        <w:tc>
          <w:tcPr>
            <w:tcW w:w="0" w:type="auto"/>
            <w:noWrap w:val="0"/>
            <w:vAlign w:val="center"/>
          </w:tcPr>
          <w:p w14:paraId="47230293">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本品应贮存在干燥、阴凉、通风、防雨处，远离火源或热源。置于儿童及无关人员触及不到之处，并加锁保存。勿与食品、饮料、粮食、饲料等同贮同运。</w:t>
            </w:r>
          </w:p>
        </w:tc>
      </w:tr>
      <w:tr w14:paraId="7D965F48">
        <w:tblPrEx>
          <w:tblCellMar>
            <w:top w:w="0" w:type="dxa"/>
            <w:left w:w="0" w:type="dxa"/>
            <w:bottom w:w="0" w:type="dxa"/>
            <w:right w:w="0" w:type="dxa"/>
          </w:tblCellMar>
        </w:tblPrEx>
        <w:trPr>
          <w:wBefore w:w="0" w:type="auto"/>
          <w:tblCellSpacing w:w="0" w:type="dxa"/>
        </w:trPr>
        <w:tc>
          <w:tcPr>
            <w:tcW w:w="0" w:type="auto"/>
            <w:noWrap w:val="0"/>
            <w:vAlign w:val="center"/>
          </w:tcPr>
          <w:p w14:paraId="2EDF0F56">
            <w:r>
              <w:rPr>
                <w:rStyle w:val="10"/>
                <w:rFonts w:hint="eastAsia"/>
              </w:rPr>
              <w:t>质量保证期：</w:t>
            </w:r>
            <w:r>
              <w:rPr>
                <w:rStyle w:val="11"/>
                <w:rFonts w:hint="eastAsia"/>
              </w:rPr>
              <w:t>2年</w:t>
            </w:r>
          </w:p>
        </w:tc>
      </w:tr>
      <w:tr w14:paraId="2C893929">
        <w:tblPrEx>
          <w:tblCellMar>
            <w:top w:w="0" w:type="dxa"/>
            <w:left w:w="0" w:type="dxa"/>
            <w:bottom w:w="0" w:type="dxa"/>
            <w:right w:w="0" w:type="dxa"/>
          </w:tblCellMar>
        </w:tblPrEx>
        <w:trPr>
          <w:wBefore w:w="0" w:type="auto"/>
          <w:tblCellSpacing w:w="0" w:type="dxa"/>
        </w:trPr>
        <w:tc>
          <w:tcPr>
            <w:tcW w:w="0" w:type="auto"/>
            <w:noWrap w:val="0"/>
            <w:vAlign w:val="center"/>
          </w:tcPr>
          <w:p w14:paraId="7D55C2B7">
            <w:r>
              <w:rPr>
                <w:rStyle w:val="10"/>
                <w:rFonts w:hint="eastAsia"/>
              </w:rPr>
              <w:t>备注：</w:t>
            </w:r>
            <w:r>
              <w:rPr>
                <w:rFonts w:hint="eastAsia"/>
              </w:rPr>
              <w:br w:type="textWrapping"/>
            </w:r>
            <w:r>
              <w:rPr>
                <w:rStyle w:val="11"/>
                <w:rFonts w:hint="eastAsia"/>
              </w:rPr>
              <w:t>2,4-滴二甲胺盐6%。</w:t>
            </w:r>
          </w:p>
        </w:tc>
      </w:tr>
    </w:tbl>
    <w:p w14:paraId="38EC579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497DA5">
        <w:tblPrEx>
          <w:tblCellMar>
            <w:top w:w="0" w:type="dxa"/>
            <w:left w:w="0" w:type="dxa"/>
            <w:bottom w:w="0" w:type="dxa"/>
            <w:right w:w="0" w:type="dxa"/>
          </w:tblCellMar>
        </w:tblPrEx>
        <w:trPr>
          <w:wBefore w:w="0" w:type="auto"/>
          <w:tblCellSpacing w:w="0" w:type="dxa"/>
        </w:trPr>
        <w:tc>
          <w:tcPr>
            <w:tcW w:w="0" w:type="auto"/>
            <w:noWrap w:val="0"/>
            <w:vAlign w:val="center"/>
          </w:tcPr>
          <w:p w14:paraId="7324FD3C">
            <w:r>
              <w:rPr>
                <w:rStyle w:val="10"/>
                <w:rFonts w:hint="eastAsia"/>
              </w:rPr>
              <w:t>登记证号：</w:t>
            </w:r>
            <w:r>
              <w:rPr>
                <w:rFonts w:hint="eastAsia"/>
              </w:rPr>
              <w:t>PD20212420</w:t>
            </w:r>
          </w:p>
        </w:tc>
      </w:tr>
      <w:tr w14:paraId="6B575F66">
        <w:tblPrEx>
          <w:tblCellMar>
            <w:top w:w="0" w:type="dxa"/>
            <w:left w:w="0" w:type="dxa"/>
            <w:bottom w:w="0" w:type="dxa"/>
            <w:right w:w="0" w:type="dxa"/>
          </w:tblCellMar>
        </w:tblPrEx>
        <w:trPr>
          <w:wBefore w:w="0" w:type="auto"/>
          <w:tblCellSpacing w:w="0" w:type="dxa"/>
        </w:trPr>
        <w:tc>
          <w:tcPr>
            <w:tcW w:w="0" w:type="auto"/>
            <w:noWrap w:val="0"/>
            <w:vAlign w:val="center"/>
          </w:tcPr>
          <w:p w14:paraId="0FED4EE9">
            <w:r>
              <w:rPr>
                <w:rStyle w:val="10"/>
                <w:rFonts w:hint="eastAsia"/>
              </w:rPr>
              <w:t>登记证持有人：</w:t>
            </w:r>
            <w:r>
              <w:rPr>
                <w:rFonts w:hint="eastAsia"/>
              </w:rPr>
              <w:t>河南省开封克灵丰药业有限公司</w:t>
            </w:r>
          </w:p>
        </w:tc>
      </w:tr>
      <w:tr w14:paraId="20524D9B">
        <w:tblPrEx>
          <w:tblCellMar>
            <w:top w:w="0" w:type="dxa"/>
            <w:left w:w="0" w:type="dxa"/>
            <w:bottom w:w="0" w:type="dxa"/>
            <w:right w:w="0" w:type="dxa"/>
          </w:tblCellMar>
        </w:tblPrEx>
        <w:trPr>
          <w:wBefore w:w="0" w:type="auto"/>
          <w:tblCellSpacing w:w="0" w:type="dxa"/>
        </w:trPr>
        <w:tc>
          <w:tcPr>
            <w:tcW w:w="0" w:type="auto"/>
            <w:noWrap w:val="0"/>
            <w:vAlign w:val="center"/>
          </w:tcPr>
          <w:p w14:paraId="5DE43CA8">
            <w:r>
              <w:rPr>
                <w:rStyle w:val="10"/>
                <w:rFonts w:hint="eastAsia"/>
              </w:rPr>
              <w:t>农药名称：</w:t>
            </w:r>
            <w:r>
              <w:rPr>
                <w:rFonts w:hint="eastAsia"/>
              </w:rPr>
              <w:t>氟啶虫酰胺·联苯菊酯</w:t>
            </w:r>
          </w:p>
        </w:tc>
      </w:tr>
      <w:tr w14:paraId="39662C32">
        <w:tblPrEx>
          <w:tblCellMar>
            <w:top w:w="0" w:type="dxa"/>
            <w:left w:w="0" w:type="dxa"/>
            <w:bottom w:w="0" w:type="dxa"/>
            <w:right w:w="0" w:type="dxa"/>
          </w:tblCellMar>
        </w:tblPrEx>
        <w:trPr>
          <w:wBefore w:w="0" w:type="auto"/>
          <w:tblCellSpacing w:w="0" w:type="dxa"/>
        </w:trPr>
        <w:tc>
          <w:tcPr>
            <w:tcW w:w="0" w:type="auto"/>
            <w:noWrap w:val="0"/>
            <w:vAlign w:val="center"/>
          </w:tcPr>
          <w:p w14:paraId="0BE1042A">
            <w:r>
              <w:rPr>
                <w:rStyle w:val="10"/>
                <w:rFonts w:hint="eastAsia"/>
              </w:rPr>
              <w:t>剂型：</w:t>
            </w:r>
            <w:r>
              <w:rPr>
                <w:rFonts w:hint="eastAsia"/>
              </w:rPr>
              <w:t>悬浮剂</w:t>
            </w:r>
          </w:p>
        </w:tc>
      </w:tr>
      <w:tr w14:paraId="0F95139D">
        <w:tblPrEx>
          <w:tblCellMar>
            <w:top w:w="0" w:type="dxa"/>
            <w:left w:w="0" w:type="dxa"/>
            <w:bottom w:w="0" w:type="dxa"/>
            <w:right w:w="0" w:type="dxa"/>
          </w:tblCellMar>
        </w:tblPrEx>
        <w:trPr>
          <w:wBefore w:w="0" w:type="auto"/>
          <w:tblCellSpacing w:w="0" w:type="dxa"/>
        </w:trPr>
        <w:tc>
          <w:tcPr>
            <w:tcW w:w="0" w:type="auto"/>
            <w:noWrap w:val="0"/>
            <w:vAlign w:val="center"/>
          </w:tcPr>
          <w:p w14:paraId="33DEA4CC">
            <w:r>
              <w:rPr>
                <w:rStyle w:val="10"/>
                <w:rFonts w:hint="eastAsia"/>
              </w:rPr>
              <w:t>毒性及其标识：</w:t>
            </w:r>
            <w:r>
              <w:rPr>
                <w:rFonts w:hint="eastAsia"/>
              </w:rPr>
              <w:t xml:space="preserve"> </w:t>
            </w:r>
            <w:r>
              <w:rPr>
                <w:lang/>
              </w:rPr>
              <w:drawing>
                <wp:inline distT="0" distB="0" distL="114300" distR="114300">
                  <wp:extent cx="476250" cy="323850"/>
                  <wp:effectExtent l="0" t="0" r="0" b="0"/>
                  <wp:docPr id="74" name="图片 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38404B">
        <w:tblPrEx>
          <w:tblCellMar>
            <w:top w:w="0" w:type="dxa"/>
            <w:left w:w="0" w:type="dxa"/>
            <w:bottom w:w="0" w:type="dxa"/>
            <w:right w:w="0" w:type="dxa"/>
          </w:tblCellMar>
        </w:tblPrEx>
        <w:trPr>
          <w:wBefore w:w="0" w:type="auto"/>
          <w:tblCellSpacing w:w="0" w:type="dxa"/>
        </w:trPr>
        <w:tc>
          <w:tcPr>
            <w:tcW w:w="0" w:type="auto"/>
            <w:noWrap w:val="0"/>
            <w:vAlign w:val="center"/>
          </w:tcPr>
          <w:p w14:paraId="1FDDCEA9">
            <w:r>
              <w:rPr>
                <w:rStyle w:val="10"/>
                <w:rFonts w:hint="eastAsia"/>
              </w:rPr>
              <w:t>总有效成分含量：</w:t>
            </w:r>
            <w:r>
              <w:rPr>
                <w:rFonts w:hint="eastAsia"/>
              </w:rPr>
              <w:t>15%</w:t>
            </w:r>
          </w:p>
        </w:tc>
      </w:tr>
      <w:tr w14:paraId="39CF2B19">
        <w:tblPrEx>
          <w:tblCellMar>
            <w:top w:w="0" w:type="dxa"/>
            <w:left w:w="0" w:type="dxa"/>
            <w:bottom w:w="0" w:type="dxa"/>
            <w:right w:w="0" w:type="dxa"/>
          </w:tblCellMar>
        </w:tblPrEx>
        <w:trPr>
          <w:wBefore w:w="0" w:type="auto"/>
          <w:tblCellSpacing w:w="0" w:type="dxa"/>
        </w:trPr>
        <w:tc>
          <w:tcPr>
            <w:tcW w:w="0" w:type="auto"/>
            <w:noWrap w:val="0"/>
            <w:vAlign w:val="center"/>
          </w:tcPr>
          <w:p w14:paraId="1A3C998D">
            <w:r>
              <w:rPr>
                <w:rFonts w:hint="eastAsia"/>
              </w:rPr>
              <w:t xml:space="preserve">有效成分及其含量： </w:t>
            </w:r>
          </w:p>
          <w:p w14:paraId="40D99C22">
            <w:r>
              <w:rPr>
                <w:rFonts w:hint="eastAsia"/>
              </w:rPr>
              <w:t xml:space="preserve">    联苯菊酯5%    氟啶虫酰胺10%    </w:t>
            </w:r>
          </w:p>
        </w:tc>
      </w:tr>
      <w:tr w14:paraId="0F4E6D2D">
        <w:tblPrEx>
          <w:tblCellMar>
            <w:top w:w="0" w:type="dxa"/>
            <w:left w:w="0" w:type="dxa"/>
            <w:bottom w:w="0" w:type="dxa"/>
            <w:right w:w="0" w:type="dxa"/>
          </w:tblCellMar>
        </w:tblPrEx>
        <w:trPr>
          <w:wBefore w:w="0" w:type="auto"/>
          <w:tblCellSpacing w:w="0" w:type="dxa"/>
        </w:trPr>
        <w:tc>
          <w:tcPr>
            <w:tcW w:w="0" w:type="auto"/>
            <w:noWrap w:val="0"/>
            <w:vAlign w:val="center"/>
          </w:tcPr>
          <w:p w14:paraId="2CFCA4F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AC2E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8F624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B5361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6DA7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A97BD3">
                  <w:r>
                    <w:rPr>
                      <w:rStyle w:val="11"/>
                      <w:rFonts w:hint="eastAsia"/>
                    </w:rPr>
                    <w:t>施用方式</w:t>
                  </w:r>
                </w:p>
              </w:tc>
            </w:tr>
            <w:tr w14:paraId="06E186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399DA3">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29EC57">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618CF5">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1C32F3">
                  <w:r>
                    <w:rPr>
                      <w:rStyle w:val="11"/>
                      <w:rFonts w:hint="eastAsia"/>
                    </w:rPr>
                    <w:t>喷雾</w:t>
                  </w:r>
                </w:p>
              </w:tc>
            </w:tr>
          </w:tbl>
          <w:p w14:paraId="7B367DA9">
            <w:pPr>
              <w:rPr>
                <w:rFonts w:ascii="Times New Roman" w:hAnsi="Times New Roman" w:cs="Times New Roman"/>
                <w:sz w:val="20"/>
                <w:szCs w:val="20"/>
              </w:rPr>
            </w:pPr>
          </w:p>
        </w:tc>
      </w:tr>
      <w:tr w14:paraId="6070D9AA">
        <w:tblPrEx>
          <w:tblCellMar>
            <w:top w:w="0" w:type="dxa"/>
            <w:left w:w="0" w:type="dxa"/>
            <w:bottom w:w="0" w:type="dxa"/>
            <w:right w:w="0" w:type="dxa"/>
          </w:tblCellMar>
        </w:tblPrEx>
        <w:trPr>
          <w:wBefore w:w="0" w:type="auto"/>
          <w:tblCellSpacing w:w="0" w:type="dxa"/>
        </w:trPr>
        <w:tc>
          <w:tcPr>
            <w:tcW w:w="0" w:type="auto"/>
            <w:noWrap w:val="0"/>
            <w:vAlign w:val="center"/>
          </w:tcPr>
          <w:p w14:paraId="7A6A2338">
            <w:r>
              <w:rPr>
                <w:rStyle w:val="10"/>
                <w:rFonts w:hint="eastAsia"/>
              </w:rPr>
              <w:t>使用技术要求:</w:t>
            </w:r>
            <w:r>
              <w:rPr>
                <w:rFonts w:hint="eastAsia"/>
              </w:rPr>
              <w:br w:type="textWrapping"/>
            </w:r>
            <w:r>
              <w:rPr>
                <w:rStyle w:val="11"/>
                <w:rFonts w:hint="eastAsia"/>
              </w:rPr>
              <w:t>1. 本品应于桃树桃蚜发生始盛期施药，注意喷雾均匀。 2. 本品在桃树上使用时的安全间隔期为14天，每季作物最多使用1次。 3. 大风天或预计1小时内降雨，请勿施药。</w:t>
            </w:r>
          </w:p>
        </w:tc>
      </w:tr>
      <w:tr w14:paraId="1028293A">
        <w:tblPrEx>
          <w:tblCellMar>
            <w:top w:w="0" w:type="dxa"/>
            <w:left w:w="0" w:type="dxa"/>
            <w:bottom w:w="0" w:type="dxa"/>
            <w:right w:w="0" w:type="dxa"/>
          </w:tblCellMar>
        </w:tblPrEx>
        <w:trPr>
          <w:wBefore w:w="0" w:type="auto"/>
          <w:tblCellSpacing w:w="0" w:type="dxa"/>
        </w:trPr>
        <w:tc>
          <w:tcPr>
            <w:tcW w:w="0" w:type="auto"/>
            <w:noWrap w:val="0"/>
            <w:vAlign w:val="center"/>
          </w:tcPr>
          <w:p w14:paraId="4FC921CA">
            <w:r>
              <w:rPr>
                <w:rStyle w:val="10"/>
                <w:rFonts w:hint="eastAsia"/>
              </w:rPr>
              <w:t>产品性能:</w:t>
            </w:r>
            <w:r>
              <w:rPr>
                <w:rFonts w:hint="eastAsia"/>
              </w:rPr>
              <w:br w:type="textWrapping"/>
            </w:r>
            <w:r>
              <w:rPr>
                <w:rStyle w:val="11"/>
                <w:rFonts w:hint="eastAsia"/>
              </w:rPr>
              <w:t>本品为氟啶虫酰胺和联苯菊酯复配而成的杀虫剂，除具有触杀和胃毒作用，还具有很好的神经毒剂和快速拒食作用。该产品可以使得两种药剂的速效性和持效性产生互补效果，降低单剂的用药量，有效提高防治效果。</w:t>
            </w:r>
          </w:p>
        </w:tc>
      </w:tr>
      <w:tr w14:paraId="73D3C46E">
        <w:tblPrEx>
          <w:tblCellMar>
            <w:top w:w="0" w:type="dxa"/>
            <w:left w:w="0" w:type="dxa"/>
            <w:bottom w:w="0" w:type="dxa"/>
            <w:right w:w="0" w:type="dxa"/>
          </w:tblCellMar>
        </w:tblPrEx>
        <w:trPr>
          <w:wBefore w:w="0" w:type="auto"/>
          <w:tblCellSpacing w:w="0" w:type="dxa"/>
        </w:trPr>
        <w:tc>
          <w:tcPr>
            <w:tcW w:w="0" w:type="auto"/>
            <w:noWrap w:val="0"/>
            <w:vAlign w:val="center"/>
          </w:tcPr>
          <w:p w14:paraId="224F545D">
            <w:r>
              <w:rPr>
                <w:rStyle w:val="10"/>
                <w:rFonts w:hint="eastAsia"/>
              </w:rPr>
              <w:t>注意事项：</w:t>
            </w:r>
            <w:r>
              <w:rPr>
                <w:rFonts w:hint="eastAsia"/>
              </w:rPr>
              <w:br w:type="textWrapping"/>
            </w:r>
            <w:r>
              <w:rPr>
                <w:rStyle w:val="11"/>
                <w:rFonts w:hint="eastAsia"/>
              </w:rPr>
              <w:t>1. 本品不可与呈碱性的农药等物质混合使用。2. 本品对眼睛有刺激性，使用时避免接触眼睛，穿戴长衣、长裤、帽子、口罩、手套等防护措施，避免皮肤接触及口鼻吸入药液。施药期间不可吃东西和饮水，施药后应及时洗手和洗脸。3.本品对蜜蜂、鱼等水生生物、家蚕有毒，施药期间避免对周围蜂群的影响，（周围）开花植物花期禁用，使用时应密切关注对附近蜂群的影响；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7. 避免与有氧化性的物质接触或混合。</w:t>
            </w:r>
          </w:p>
        </w:tc>
      </w:tr>
      <w:tr w14:paraId="629DE76F">
        <w:tblPrEx>
          <w:tblCellMar>
            <w:top w:w="0" w:type="dxa"/>
            <w:left w:w="0" w:type="dxa"/>
            <w:bottom w:w="0" w:type="dxa"/>
            <w:right w:w="0" w:type="dxa"/>
          </w:tblCellMar>
        </w:tblPrEx>
        <w:trPr>
          <w:wBefore w:w="0" w:type="auto"/>
          <w:tblCellSpacing w:w="0" w:type="dxa"/>
        </w:trPr>
        <w:tc>
          <w:tcPr>
            <w:tcW w:w="0" w:type="auto"/>
            <w:noWrap w:val="0"/>
            <w:vAlign w:val="center"/>
          </w:tcPr>
          <w:p w14:paraId="11618B89">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 皮肤接触：立即脱掉被污染的衣物，用大量清水冲洗被污染的皮肤，再用肥皂清洗，然后用清水冲净。3. 眼睛溅药：立即将眼睑翻开，用清水冲洗至少15分钟，再请医生诊治。4. 发生吸入：立即将吸入者转移到空气新鲜处，如果吸入者停止呼吸，需进行人工呼吸。请医生诊治。5. 误服：请勿引吐，立即携此标签，送医就诊。</w:t>
            </w:r>
          </w:p>
        </w:tc>
      </w:tr>
      <w:tr w14:paraId="5DCE52D5">
        <w:tblPrEx>
          <w:tblCellMar>
            <w:top w:w="0" w:type="dxa"/>
            <w:left w:w="0" w:type="dxa"/>
            <w:bottom w:w="0" w:type="dxa"/>
            <w:right w:w="0" w:type="dxa"/>
          </w:tblCellMar>
        </w:tblPrEx>
        <w:trPr>
          <w:wBefore w:w="0" w:type="auto"/>
          <w:tblCellSpacing w:w="0" w:type="dxa"/>
        </w:trPr>
        <w:tc>
          <w:tcPr>
            <w:tcW w:w="0" w:type="auto"/>
            <w:noWrap w:val="0"/>
            <w:vAlign w:val="center"/>
          </w:tcPr>
          <w:p w14:paraId="16EC406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314B2971">
        <w:tblPrEx>
          <w:tblCellMar>
            <w:top w:w="0" w:type="dxa"/>
            <w:left w:w="0" w:type="dxa"/>
            <w:bottom w:w="0" w:type="dxa"/>
            <w:right w:w="0" w:type="dxa"/>
          </w:tblCellMar>
        </w:tblPrEx>
        <w:trPr>
          <w:wBefore w:w="0" w:type="auto"/>
          <w:tblCellSpacing w:w="0" w:type="dxa"/>
        </w:trPr>
        <w:tc>
          <w:tcPr>
            <w:tcW w:w="0" w:type="auto"/>
            <w:noWrap w:val="0"/>
            <w:vAlign w:val="center"/>
          </w:tcPr>
          <w:p w14:paraId="37D27A7F">
            <w:r>
              <w:rPr>
                <w:rStyle w:val="10"/>
                <w:rFonts w:hint="eastAsia"/>
              </w:rPr>
              <w:t>质量保证期：</w:t>
            </w:r>
            <w:r>
              <w:rPr>
                <w:rStyle w:val="11"/>
                <w:rFonts w:hint="eastAsia"/>
              </w:rPr>
              <w:t>2年</w:t>
            </w:r>
          </w:p>
        </w:tc>
      </w:tr>
      <w:tr w14:paraId="6F3FEE02">
        <w:tblPrEx>
          <w:tblCellMar>
            <w:top w:w="0" w:type="dxa"/>
            <w:left w:w="0" w:type="dxa"/>
            <w:bottom w:w="0" w:type="dxa"/>
            <w:right w:w="0" w:type="dxa"/>
          </w:tblCellMar>
        </w:tblPrEx>
        <w:trPr>
          <w:wBefore w:w="0" w:type="auto"/>
          <w:tblCellSpacing w:w="0" w:type="dxa"/>
        </w:trPr>
        <w:tc>
          <w:tcPr>
            <w:tcW w:w="0" w:type="auto"/>
            <w:noWrap w:val="0"/>
            <w:vAlign w:val="center"/>
          </w:tcPr>
          <w:p w14:paraId="5EA60CA4">
            <w:r>
              <w:rPr>
                <w:rStyle w:val="10"/>
                <w:rFonts w:hint="eastAsia"/>
              </w:rPr>
              <w:t>备注：</w:t>
            </w:r>
          </w:p>
        </w:tc>
      </w:tr>
    </w:tbl>
    <w:p w14:paraId="7019F6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9FAEC4">
        <w:tblPrEx>
          <w:tblCellMar>
            <w:top w:w="0" w:type="dxa"/>
            <w:left w:w="0" w:type="dxa"/>
            <w:bottom w:w="0" w:type="dxa"/>
            <w:right w:w="0" w:type="dxa"/>
          </w:tblCellMar>
        </w:tblPrEx>
        <w:trPr>
          <w:wBefore w:w="0" w:type="auto"/>
          <w:tblCellSpacing w:w="0" w:type="dxa"/>
        </w:trPr>
        <w:tc>
          <w:tcPr>
            <w:tcW w:w="0" w:type="auto"/>
            <w:noWrap w:val="0"/>
            <w:vAlign w:val="center"/>
          </w:tcPr>
          <w:p w14:paraId="61FC465F">
            <w:r>
              <w:rPr>
                <w:rStyle w:val="10"/>
                <w:rFonts w:hint="eastAsia"/>
              </w:rPr>
              <w:t>登记证号：</w:t>
            </w:r>
            <w:r>
              <w:rPr>
                <w:rFonts w:hint="eastAsia"/>
              </w:rPr>
              <w:t>PD20212660</w:t>
            </w:r>
          </w:p>
        </w:tc>
      </w:tr>
      <w:tr w14:paraId="6ECC6FEE">
        <w:tblPrEx>
          <w:tblCellMar>
            <w:top w:w="0" w:type="dxa"/>
            <w:left w:w="0" w:type="dxa"/>
            <w:bottom w:w="0" w:type="dxa"/>
            <w:right w:w="0" w:type="dxa"/>
          </w:tblCellMar>
        </w:tblPrEx>
        <w:trPr>
          <w:wBefore w:w="0" w:type="auto"/>
          <w:tblCellSpacing w:w="0" w:type="dxa"/>
        </w:trPr>
        <w:tc>
          <w:tcPr>
            <w:tcW w:w="0" w:type="auto"/>
            <w:noWrap w:val="0"/>
            <w:vAlign w:val="center"/>
          </w:tcPr>
          <w:p w14:paraId="0E7D4915">
            <w:r>
              <w:rPr>
                <w:rStyle w:val="10"/>
                <w:rFonts w:hint="eastAsia"/>
              </w:rPr>
              <w:t>登记证持有人：</w:t>
            </w:r>
            <w:r>
              <w:rPr>
                <w:rFonts w:hint="eastAsia"/>
              </w:rPr>
              <w:t>恒诚制药集团淮南有限公司</w:t>
            </w:r>
          </w:p>
        </w:tc>
      </w:tr>
      <w:tr w14:paraId="2E92CEFA">
        <w:tblPrEx>
          <w:tblCellMar>
            <w:top w:w="0" w:type="dxa"/>
            <w:left w:w="0" w:type="dxa"/>
            <w:bottom w:w="0" w:type="dxa"/>
            <w:right w:w="0" w:type="dxa"/>
          </w:tblCellMar>
        </w:tblPrEx>
        <w:trPr>
          <w:wBefore w:w="0" w:type="auto"/>
          <w:tblCellSpacing w:w="0" w:type="dxa"/>
        </w:trPr>
        <w:tc>
          <w:tcPr>
            <w:tcW w:w="0" w:type="auto"/>
            <w:noWrap w:val="0"/>
            <w:vAlign w:val="center"/>
          </w:tcPr>
          <w:p w14:paraId="79CAAD61">
            <w:r>
              <w:rPr>
                <w:rStyle w:val="10"/>
                <w:rFonts w:hint="eastAsia"/>
              </w:rPr>
              <w:t>农药名称：</w:t>
            </w:r>
            <w:r>
              <w:rPr>
                <w:rFonts w:hint="eastAsia"/>
              </w:rPr>
              <w:t>四聚·杀螺胺</w:t>
            </w:r>
          </w:p>
        </w:tc>
      </w:tr>
      <w:tr w14:paraId="5126F3B6">
        <w:tblPrEx>
          <w:tblCellMar>
            <w:top w:w="0" w:type="dxa"/>
            <w:left w:w="0" w:type="dxa"/>
            <w:bottom w:w="0" w:type="dxa"/>
            <w:right w:w="0" w:type="dxa"/>
          </w:tblCellMar>
        </w:tblPrEx>
        <w:trPr>
          <w:wBefore w:w="0" w:type="auto"/>
          <w:tblCellSpacing w:w="0" w:type="dxa"/>
        </w:trPr>
        <w:tc>
          <w:tcPr>
            <w:tcW w:w="0" w:type="auto"/>
            <w:noWrap w:val="0"/>
            <w:vAlign w:val="center"/>
          </w:tcPr>
          <w:p w14:paraId="016DC97A">
            <w:r>
              <w:rPr>
                <w:rStyle w:val="10"/>
                <w:rFonts w:hint="eastAsia"/>
              </w:rPr>
              <w:t>剂型：</w:t>
            </w:r>
            <w:r>
              <w:rPr>
                <w:rFonts w:hint="eastAsia"/>
              </w:rPr>
              <w:t>悬浮剂</w:t>
            </w:r>
          </w:p>
        </w:tc>
      </w:tr>
      <w:tr w14:paraId="6C8A8EC1">
        <w:tblPrEx>
          <w:tblCellMar>
            <w:top w:w="0" w:type="dxa"/>
            <w:left w:w="0" w:type="dxa"/>
            <w:bottom w:w="0" w:type="dxa"/>
            <w:right w:w="0" w:type="dxa"/>
          </w:tblCellMar>
        </w:tblPrEx>
        <w:trPr>
          <w:wBefore w:w="0" w:type="auto"/>
          <w:tblCellSpacing w:w="0" w:type="dxa"/>
        </w:trPr>
        <w:tc>
          <w:tcPr>
            <w:tcW w:w="0" w:type="auto"/>
            <w:noWrap w:val="0"/>
            <w:vAlign w:val="center"/>
          </w:tcPr>
          <w:p w14:paraId="7E681369">
            <w:r>
              <w:rPr>
                <w:rStyle w:val="10"/>
                <w:rFonts w:hint="eastAsia"/>
              </w:rPr>
              <w:t>毒性及其标识：</w:t>
            </w:r>
            <w:r>
              <w:rPr>
                <w:rFonts w:hint="eastAsia"/>
              </w:rPr>
              <w:t xml:space="preserve"> </w:t>
            </w:r>
            <w:r>
              <w:rPr>
                <w:lang/>
              </w:rPr>
              <w:drawing>
                <wp:inline distT="0" distB="0" distL="114300" distR="114300">
                  <wp:extent cx="476250" cy="323850"/>
                  <wp:effectExtent l="0" t="0" r="0" b="0"/>
                  <wp:docPr id="75" name="图片 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3FE872">
        <w:tblPrEx>
          <w:tblCellMar>
            <w:top w:w="0" w:type="dxa"/>
            <w:left w:w="0" w:type="dxa"/>
            <w:bottom w:w="0" w:type="dxa"/>
            <w:right w:w="0" w:type="dxa"/>
          </w:tblCellMar>
        </w:tblPrEx>
        <w:trPr>
          <w:wBefore w:w="0" w:type="auto"/>
          <w:tblCellSpacing w:w="0" w:type="dxa"/>
        </w:trPr>
        <w:tc>
          <w:tcPr>
            <w:tcW w:w="0" w:type="auto"/>
            <w:noWrap w:val="0"/>
            <w:vAlign w:val="center"/>
          </w:tcPr>
          <w:p w14:paraId="55FEB561">
            <w:r>
              <w:rPr>
                <w:rStyle w:val="10"/>
                <w:rFonts w:hint="eastAsia"/>
              </w:rPr>
              <w:t>总有效成分含量：</w:t>
            </w:r>
            <w:r>
              <w:rPr>
                <w:rFonts w:hint="eastAsia"/>
              </w:rPr>
              <w:t>26%</w:t>
            </w:r>
          </w:p>
        </w:tc>
      </w:tr>
      <w:tr w14:paraId="1AC8937D">
        <w:tblPrEx>
          <w:tblCellMar>
            <w:top w:w="0" w:type="dxa"/>
            <w:left w:w="0" w:type="dxa"/>
            <w:bottom w:w="0" w:type="dxa"/>
            <w:right w:w="0" w:type="dxa"/>
          </w:tblCellMar>
        </w:tblPrEx>
        <w:trPr>
          <w:wBefore w:w="0" w:type="auto"/>
          <w:tblCellSpacing w:w="0" w:type="dxa"/>
        </w:trPr>
        <w:tc>
          <w:tcPr>
            <w:tcW w:w="0" w:type="auto"/>
            <w:noWrap w:val="0"/>
            <w:vAlign w:val="center"/>
          </w:tcPr>
          <w:p w14:paraId="6DC634AE">
            <w:r>
              <w:rPr>
                <w:rFonts w:hint="eastAsia"/>
              </w:rPr>
              <w:t xml:space="preserve">有效成分及其含量： </w:t>
            </w:r>
          </w:p>
          <w:p w14:paraId="44AEE31C">
            <w:r>
              <w:rPr>
                <w:rFonts w:hint="eastAsia"/>
              </w:rPr>
              <w:t xml:space="preserve">    杀螺胺乙醇胺盐25%    四聚乙醛1%    </w:t>
            </w:r>
          </w:p>
        </w:tc>
      </w:tr>
      <w:tr w14:paraId="4B7BEC58">
        <w:tblPrEx>
          <w:tblCellMar>
            <w:top w:w="0" w:type="dxa"/>
            <w:left w:w="0" w:type="dxa"/>
            <w:bottom w:w="0" w:type="dxa"/>
            <w:right w:w="0" w:type="dxa"/>
          </w:tblCellMar>
        </w:tblPrEx>
        <w:trPr>
          <w:wBefore w:w="0" w:type="auto"/>
          <w:tblCellSpacing w:w="0" w:type="dxa"/>
        </w:trPr>
        <w:tc>
          <w:tcPr>
            <w:tcW w:w="0" w:type="auto"/>
            <w:noWrap w:val="0"/>
            <w:vAlign w:val="center"/>
          </w:tcPr>
          <w:p w14:paraId="7DFF31B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A1A6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CE9D0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12BC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E959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CAE6CA">
                  <w:r>
                    <w:rPr>
                      <w:rStyle w:val="11"/>
                      <w:rFonts w:hint="eastAsia"/>
                    </w:rPr>
                    <w:t>施用方式</w:t>
                  </w:r>
                </w:p>
              </w:tc>
            </w:tr>
            <w:tr w14:paraId="6DEEA0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0C69CE">
                  <w:r>
                    <w:rPr>
                      <w:rStyle w:val="11"/>
                      <w:rFonts w:hint="eastAsia"/>
                    </w:rPr>
                    <w:t>沟渠</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059203">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61A72B">
                  <w:r>
                    <w:rPr>
                      <w:rStyle w:val="11"/>
                      <w:rFonts w:hint="eastAsia"/>
                    </w:rPr>
                    <w:t>4-8毫升/立方米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A52576">
                  <w:r>
                    <w:rPr>
                      <w:rStyle w:val="11"/>
                      <w:rFonts w:hint="eastAsia"/>
                    </w:rPr>
                    <w:t>浸杀</w:t>
                  </w:r>
                </w:p>
              </w:tc>
            </w:tr>
            <w:tr w14:paraId="1636F7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F2DC8C">
                  <w:r>
                    <w:rPr>
                      <w:rStyle w:val="11"/>
                      <w:rFonts w:hint="eastAsia"/>
                    </w:rPr>
                    <w:t>滩涂</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B87F93">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769F98">
                  <w:r>
                    <w:rPr>
                      <w:rStyle w:val="11"/>
                      <w:rFonts w:hint="eastAsia"/>
                    </w:rPr>
                    <w:t>4-8毫升/平方米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C6E32C">
                  <w:r>
                    <w:rPr>
                      <w:rStyle w:val="11"/>
                      <w:rFonts w:hint="eastAsia"/>
                    </w:rPr>
                    <w:t>喷洒</w:t>
                  </w:r>
                </w:p>
              </w:tc>
            </w:tr>
          </w:tbl>
          <w:p w14:paraId="1340BA35">
            <w:pPr>
              <w:rPr>
                <w:rFonts w:ascii="Times New Roman" w:hAnsi="Times New Roman" w:cs="Times New Roman"/>
                <w:sz w:val="20"/>
                <w:szCs w:val="20"/>
              </w:rPr>
            </w:pPr>
          </w:p>
        </w:tc>
      </w:tr>
      <w:tr w14:paraId="5AF37ECE">
        <w:tblPrEx>
          <w:tblCellMar>
            <w:top w:w="0" w:type="dxa"/>
            <w:left w:w="0" w:type="dxa"/>
            <w:bottom w:w="0" w:type="dxa"/>
            <w:right w:w="0" w:type="dxa"/>
          </w:tblCellMar>
        </w:tblPrEx>
        <w:trPr>
          <w:wBefore w:w="0" w:type="auto"/>
          <w:tblCellSpacing w:w="0" w:type="dxa"/>
        </w:trPr>
        <w:tc>
          <w:tcPr>
            <w:tcW w:w="0" w:type="auto"/>
            <w:noWrap w:val="0"/>
            <w:vAlign w:val="center"/>
          </w:tcPr>
          <w:p w14:paraId="1247B521">
            <w:r>
              <w:rPr>
                <w:rStyle w:val="10"/>
                <w:rFonts w:hint="eastAsia"/>
              </w:rPr>
              <w:t>使用技术要求:</w:t>
            </w:r>
            <w:r>
              <w:rPr>
                <w:rFonts w:hint="eastAsia"/>
              </w:rPr>
              <w:br w:type="textWrapping"/>
            </w:r>
            <w:r>
              <w:rPr>
                <w:rStyle w:val="11"/>
                <w:rFonts w:hint="eastAsia"/>
              </w:rPr>
              <w:t>1.于钉螺繁殖初期至发生或危害高峰前期使用。 2.灭螺时气温最好在20℃以上，大风天或暴雨前不宜施药，以免药液流失。</w:t>
            </w:r>
          </w:p>
        </w:tc>
      </w:tr>
      <w:tr w14:paraId="17A90C33">
        <w:tblPrEx>
          <w:tblCellMar>
            <w:top w:w="0" w:type="dxa"/>
            <w:left w:w="0" w:type="dxa"/>
            <w:bottom w:w="0" w:type="dxa"/>
            <w:right w:w="0" w:type="dxa"/>
          </w:tblCellMar>
        </w:tblPrEx>
        <w:trPr>
          <w:wBefore w:w="0" w:type="auto"/>
          <w:tblCellSpacing w:w="0" w:type="dxa"/>
        </w:trPr>
        <w:tc>
          <w:tcPr>
            <w:tcW w:w="0" w:type="auto"/>
            <w:noWrap w:val="0"/>
            <w:vAlign w:val="center"/>
          </w:tcPr>
          <w:p w14:paraId="593E53DE">
            <w:r>
              <w:rPr>
                <w:rStyle w:val="10"/>
                <w:rFonts w:hint="eastAsia"/>
              </w:rPr>
              <w:t>产品性能:</w:t>
            </w:r>
            <w:r>
              <w:rPr>
                <w:rFonts w:hint="eastAsia"/>
              </w:rPr>
              <w:br w:type="textWrapping"/>
            </w:r>
            <w:r>
              <w:rPr>
                <w:rStyle w:val="11"/>
                <w:rFonts w:hint="eastAsia"/>
              </w:rPr>
              <w:t>本品用于防治滩涂、沟渠钉螺。</w:t>
            </w:r>
          </w:p>
        </w:tc>
      </w:tr>
      <w:tr w14:paraId="491C403C">
        <w:tblPrEx>
          <w:tblCellMar>
            <w:top w:w="0" w:type="dxa"/>
            <w:left w:w="0" w:type="dxa"/>
            <w:bottom w:w="0" w:type="dxa"/>
            <w:right w:w="0" w:type="dxa"/>
          </w:tblCellMar>
        </w:tblPrEx>
        <w:trPr>
          <w:wBefore w:w="0" w:type="auto"/>
          <w:tblCellSpacing w:w="0" w:type="dxa"/>
        </w:trPr>
        <w:tc>
          <w:tcPr>
            <w:tcW w:w="0" w:type="auto"/>
            <w:noWrap w:val="0"/>
            <w:vAlign w:val="center"/>
          </w:tcPr>
          <w:p w14:paraId="70A2CF36">
            <w:r>
              <w:rPr>
                <w:rStyle w:val="10"/>
                <w:rFonts w:hint="eastAsia"/>
              </w:rPr>
              <w:t>注意事项：</w:t>
            </w:r>
            <w:r>
              <w:rPr>
                <w:rFonts w:hint="eastAsia"/>
              </w:rPr>
              <w:br w:type="textWrapping"/>
            </w:r>
            <w:r>
              <w:rPr>
                <w:rStyle w:val="11"/>
                <w:rFonts w:hint="eastAsia"/>
              </w:rPr>
              <w:t>1.滩涂灭螺后2周内禁止在灭螺滩涂放牧。2.因滩涂地面可能有草、土、瓦砾等遮蔽钉螺而影响杀灭效果，可连续1～2次使用以提高钉螺死亡率。3.使用本品应采取相应的安全防护措施，穿随护服，戴防护手套、口罩和护目镜等，避免眼睛、皮肤接触及口鼻吸入。使用中不可吸烟、饮水及吃东西，使用后及时清洗手、脸等暴露部位皮肤并更换衣物。4.本品对水生生物有毒，水产养殖区、河塘等水体附近禁用，禁止在河塘等水体中清洗施药器具，以免污染水源。鸟类保护区附近禁用。5.用过的容器应妥善处理，不可做他用，不可随意丢弃。6.禁止儿童、孕妇和哺乳期妇女接触。7.赤眼蜂等天敌放飞区禁用。</w:t>
            </w:r>
          </w:p>
        </w:tc>
      </w:tr>
      <w:tr w14:paraId="38156557">
        <w:tblPrEx>
          <w:tblCellMar>
            <w:top w:w="0" w:type="dxa"/>
            <w:left w:w="0" w:type="dxa"/>
            <w:bottom w:w="0" w:type="dxa"/>
            <w:right w:w="0" w:type="dxa"/>
          </w:tblCellMar>
        </w:tblPrEx>
        <w:trPr>
          <w:wBefore w:w="0" w:type="auto"/>
          <w:tblCellSpacing w:w="0" w:type="dxa"/>
        </w:trPr>
        <w:tc>
          <w:tcPr>
            <w:tcW w:w="0" w:type="auto"/>
            <w:noWrap w:val="0"/>
            <w:vAlign w:val="center"/>
          </w:tcPr>
          <w:p w14:paraId="2834E5E6">
            <w:r>
              <w:rPr>
                <w:rStyle w:val="10"/>
                <w:rFonts w:hint="eastAsia"/>
              </w:rPr>
              <w:t>中毒急救措施：</w:t>
            </w:r>
            <w:r>
              <w:rPr>
                <w:rFonts w:hint="eastAsia"/>
              </w:rPr>
              <w:br w:type="textWrapping"/>
            </w:r>
            <w:r>
              <w:rPr>
                <w:rStyle w:val="11"/>
                <w:rFonts w:hint="eastAsia"/>
              </w:rPr>
              <w:t>本品对眼睛有刺激性。中毒症状：会引起胃肠不适症状，如恶心、流涎、呕吐、并随后会有腹痛及腹泻。中毒急救：使用中或使用后如果感觉不适，应立即停止工作，采取急救措施，并携带标签送医院就诊。皮肤接触：立即脱掉被污染的衣物，用软布去除沾染农药，大量清水和肥皂冲洗。眼睛接触：立即翻开眼睑，用大量清水冲洗至少15分钟，及时就医。吸入：立即离开施药现场，转移至空气流通处。误服：不慎误食，携带产品标签立即就医，无特效解毒剂，中毒后立即灌洗清胃和导泻，用抗痉挛作用的镇静药。输葡萄糖液保护肝脏、帮助解毒和促进代谢。如伴随发生肾衰竭，则应仔细监测液体平衡状态和电解质以免发生液体超负荷。</w:t>
            </w:r>
          </w:p>
        </w:tc>
      </w:tr>
      <w:tr w14:paraId="70A0FDCF">
        <w:tblPrEx>
          <w:tblCellMar>
            <w:top w:w="0" w:type="dxa"/>
            <w:left w:w="0" w:type="dxa"/>
            <w:bottom w:w="0" w:type="dxa"/>
            <w:right w:w="0" w:type="dxa"/>
          </w:tblCellMar>
        </w:tblPrEx>
        <w:trPr>
          <w:wBefore w:w="0" w:type="auto"/>
          <w:tblCellSpacing w:w="0" w:type="dxa"/>
        </w:trPr>
        <w:tc>
          <w:tcPr>
            <w:tcW w:w="0" w:type="auto"/>
            <w:noWrap w:val="0"/>
            <w:vAlign w:val="center"/>
          </w:tcPr>
          <w:p w14:paraId="748708B1">
            <w:r>
              <w:rPr>
                <w:rStyle w:val="10"/>
                <w:rFonts w:hint="eastAsia"/>
              </w:rPr>
              <w:t>储存和运输方法：</w:t>
            </w:r>
            <w:r>
              <w:rPr>
                <w:rFonts w:hint="eastAsia"/>
              </w:rPr>
              <w:br w:type="textWrapping"/>
            </w:r>
            <w:r>
              <w:rPr>
                <w:rStyle w:val="11"/>
                <w:rFonts w:hint="eastAsia"/>
              </w:rPr>
              <w:t>1.本品应贮存在阴凉、干燥、通风处，防雨防湿防潮，远离火源或热源。置于儿童触及不到之处，并加锁。 2.勿与食品、饮料、粮食、饲料等同运同贮。 3.运输过程中要确保容器不泄漏、不倒塌、不坠落、不损坏，并按规定路线行驶。</w:t>
            </w:r>
          </w:p>
        </w:tc>
      </w:tr>
      <w:tr w14:paraId="137C6746">
        <w:tblPrEx>
          <w:tblCellMar>
            <w:top w:w="0" w:type="dxa"/>
            <w:left w:w="0" w:type="dxa"/>
            <w:bottom w:w="0" w:type="dxa"/>
            <w:right w:w="0" w:type="dxa"/>
          </w:tblCellMar>
        </w:tblPrEx>
        <w:trPr>
          <w:wBefore w:w="0" w:type="auto"/>
          <w:tblCellSpacing w:w="0" w:type="dxa"/>
        </w:trPr>
        <w:tc>
          <w:tcPr>
            <w:tcW w:w="0" w:type="auto"/>
            <w:noWrap w:val="0"/>
            <w:vAlign w:val="center"/>
          </w:tcPr>
          <w:p w14:paraId="60CCBBB8">
            <w:r>
              <w:rPr>
                <w:rStyle w:val="10"/>
                <w:rFonts w:hint="eastAsia"/>
              </w:rPr>
              <w:t>质量保证期：</w:t>
            </w:r>
            <w:r>
              <w:rPr>
                <w:rStyle w:val="11"/>
                <w:rFonts w:hint="eastAsia"/>
              </w:rPr>
              <w:t>2年</w:t>
            </w:r>
          </w:p>
        </w:tc>
      </w:tr>
      <w:tr w14:paraId="55564162">
        <w:tblPrEx>
          <w:tblCellMar>
            <w:top w:w="0" w:type="dxa"/>
            <w:left w:w="0" w:type="dxa"/>
            <w:bottom w:w="0" w:type="dxa"/>
            <w:right w:w="0" w:type="dxa"/>
          </w:tblCellMar>
        </w:tblPrEx>
        <w:trPr>
          <w:wBefore w:w="0" w:type="auto"/>
          <w:tblCellSpacing w:w="0" w:type="dxa"/>
        </w:trPr>
        <w:tc>
          <w:tcPr>
            <w:tcW w:w="0" w:type="auto"/>
            <w:noWrap w:val="0"/>
            <w:vAlign w:val="center"/>
          </w:tcPr>
          <w:p w14:paraId="417FB711">
            <w:r>
              <w:rPr>
                <w:rStyle w:val="10"/>
                <w:rFonts w:hint="eastAsia"/>
              </w:rPr>
              <w:t>备注：</w:t>
            </w:r>
          </w:p>
        </w:tc>
      </w:tr>
    </w:tbl>
    <w:p w14:paraId="3008338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D19C42">
        <w:tblPrEx>
          <w:tblCellMar>
            <w:top w:w="0" w:type="dxa"/>
            <w:left w:w="0" w:type="dxa"/>
            <w:bottom w:w="0" w:type="dxa"/>
            <w:right w:w="0" w:type="dxa"/>
          </w:tblCellMar>
        </w:tblPrEx>
        <w:trPr>
          <w:wBefore w:w="0" w:type="auto"/>
          <w:tblCellSpacing w:w="0" w:type="dxa"/>
        </w:trPr>
        <w:tc>
          <w:tcPr>
            <w:tcW w:w="0" w:type="auto"/>
            <w:noWrap w:val="0"/>
            <w:vAlign w:val="center"/>
          </w:tcPr>
          <w:p w14:paraId="117A5ADD">
            <w:r>
              <w:rPr>
                <w:rStyle w:val="10"/>
                <w:rFonts w:hint="eastAsia"/>
              </w:rPr>
              <w:t>登记证号：</w:t>
            </w:r>
            <w:r>
              <w:rPr>
                <w:rFonts w:hint="eastAsia"/>
              </w:rPr>
              <w:t>PD20212437</w:t>
            </w:r>
          </w:p>
        </w:tc>
      </w:tr>
      <w:tr w14:paraId="7412DB58">
        <w:tblPrEx>
          <w:tblCellMar>
            <w:top w:w="0" w:type="dxa"/>
            <w:left w:w="0" w:type="dxa"/>
            <w:bottom w:w="0" w:type="dxa"/>
            <w:right w:w="0" w:type="dxa"/>
          </w:tblCellMar>
        </w:tblPrEx>
        <w:trPr>
          <w:wBefore w:w="0" w:type="auto"/>
          <w:tblCellSpacing w:w="0" w:type="dxa"/>
        </w:trPr>
        <w:tc>
          <w:tcPr>
            <w:tcW w:w="0" w:type="auto"/>
            <w:noWrap w:val="0"/>
            <w:vAlign w:val="center"/>
          </w:tcPr>
          <w:p w14:paraId="5F71D43B">
            <w:r>
              <w:rPr>
                <w:rStyle w:val="10"/>
                <w:rFonts w:hint="eastAsia"/>
              </w:rPr>
              <w:t>登记证持有人：</w:t>
            </w:r>
            <w:r>
              <w:rPr>
                <w:rFonts w:hint="eastAsia"/>
              </w:rPr>
              <w:t>广西田园生化股份有限公司</w:t>
            </w:r>
          </w:p>
        </w:tc>
      </w:tr>
      <w:tr w14:paraId="3F51B860">
        <w:tblPrEx>
          <w:tblCellMar>
            <w:top w:w="0" w:type="dxa"/>
            <w:left w:w="0" w:type="dxa"/>
            <w:bottom w:w="0" w:type="dxa"/>
            <w:right w:w="0" w:type="dxa"/>
          </w:tblCellMar>
        </w:tblPrEx>
        <w:trPr>
          <w:wBefore w:w="0" w:type="auto"/>
          <w:tblCellSpacing w:w="0" w:type="dxa"/>
        </w:trPr>
        <w:tc>
          <w:tcPr>
            <w:tcW w:w="0" w:type="auto"/>
            <w:noWrap w:val="0"/>
            <w:vAlign w:val="center"/>
          </w:tcPr>
          <w:p w14:paraId="64D0771D">
            <w:r>
              <w:rPr>
                <w:rStyle w:val="10"/>
                <w:rFonts w:hint="eastAsia"/>
              </w:rPr>
              <w:t>农药名称：</w:t>
            </w:r>
            <w:r>
              <w:rPr>
                <w:rFonts w:hint="eastAsia"/>
              </w:rPr>
              <w:t>联苯·虫螨腈</w:t>
            </w:r>
          </w:p>
        </w:tc>
      </w:tr>
      <w:tr w14:paraId="19158C74">
        <w:tblPrEx>
          <w:tblCellMar>
            <w:top w:w="0" w:type="dxa"/>
            <w:left w:w="0" w:type="dxa"/>
            <w:bottom w:w="0" w:type="dxa"/>
            <w:right w:w="0" w:type="dxa"/>
          </w:tblCellMar>
        </w:tblPrEx>
        <w:trPr>
          <w:wBefore w:w="0" w:type="auto"/>
          <w:tblCellSpacing w:w="0" w:type="dxa"/>
        </w:trPr>
        <w:tc>
          <w:tcPr>
            <w:tcW w:w="0" w:type="auto"/>
            <w:noWrap w:val="0"/>
            <w:vAlign w:val="center"/>
          </w:tcPr>
          <w:p w14:paraId="27952B06">
            <w:r>
              <w:rPr>
                <w:rStyle w:val="10"/>
                <w:rFonts w:hint="eastAsia"/>
              </w:rPr>
              <w:t>剂型：</w:t>
            </w:r>
            <w:r>
              <w:rPr>
                <w:rFonts w:hint="eastAsia"/>
              </w:rPr>
              <w:t>悬浮剂</w:t>
            </w:r>
          </w:p>
        </w:tc>
      </w:tr>
      <w:tr w14:paraId="22F1A275">
        <w:tblPrEx>
          <w:tblCellMar>
            <w:top w:w="0" w:type="dxa"/>
            <w:left w:w="0" w:type="dxa"/>
            <w:bottom w:w="0" w:type="dxa"/>
            <w:right w:w="0" w:type="dxa"/>
          </w:tblCellMar>
        </w:tblPrEx>
        <w:trPr>
          <w:wBefore w:w="0" w:type="auto"/>
          <w:tblCellSpacing w:w="0" w:type="dxa"/>
        </w:trPr>
        <w:tc>
          <w:tcPr>
            <w:tcW w:w="0" w:type="auto"/>
            <w:noWrap w:val="0"/>
            <w:vAlign w:val="center"/>
          </w:tcPr>
          <w:p w14:paraId="30836022">
            <w:r>
              <w:rPr>
                <w:rStyle w:val="10"/>
                <w:rFonts w:hint="eastAsia"/>
              </w:rPr>
              <w:t>毒性及其标识：</w:t>
            </w:r>
            <w:r>
              <w:rPr>
                <w:rFonts w:hint="eastAsia"/>
              </w:rPr>
              <w:t xml:space="preserve"> </w:t>
            </w:r>
            <w:r>
              <w:rPr>
                <w:lang/>
              </w:rPr>
              <w:drawing>
                <wp:inline distT="0" distB="0" distL="114300" distR="114300">
                  <wp:extent cx="476250" cy="323850"/>
                  <wp:effectExtent l="0" t="0" r="0" b="0"/>
                  <wp:docPr id="76" name="图片 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3218F03">
        <w:tblPrEx>
          <w:tblCellMar>
            <w:top w:w="0" w:type="dxa"/>
            <w:left w:w="0" w:type="dxa"/>
            <w:bottom w:w="0" w:type="dxa"/>
            <w:right w:w="0" w:type="dxa"/>
          </w:tblCellMar>
        </w:tblPrEx>
        <w:trPr>
          <w:wBefore w:w="0" w:type="auto"/>
          <w:tblCellSpacing w:w="0" w:type="dxa"/>
        </w:trPr>
        <w:tc>
          <w:tcPr>
            <w:tcW w:w="0" w:type="auto"/>
            <w:noWrap w:val="0"/>
            <w:vAlign w:val="center"/>
          </w:tcPr>
          <w:p w14:paraId="465C9AB5">
            <w:r>
              <w:rPr>
                <w:rStyle w:val="10"/>
                <w:rFonts w:hint="eastAsia"/>
              </w:rPr>
              <w:t>总有效成分含量：</w:t>
            </w:r>
            <w:r>
              <w:rPr>
                <w:rFonts w:hint="eastAsia"/>
              </w:rPr>
              <w:t>20%</w:t>
            </w:r>
          </w:p>
        </w:tc>
      </w:tr>
      <w:tr w14:paraId="06471554">
        <w:tblPrEx>
          <w:tblCellMar>
            <w:top w:w="0" w:type="dxa"/>
            <w:left w:w="0" w:type="dxa"/>
            <w:bottom w:w="0" w:type="dxa"/>
            <w:right w:w="0" w:type="dxa"/>
          </w:tblCellMar>
        </w:tblPrEx>
        <w:trPr>
          <w:wBefore w:w="0" w:type="auto"/>
          <w:tblCellSpacing w:w="0" w:type="dxa"/>
        </w:trPr>
        <w:tc>
          <w:tcPr>
            <w:tcW w:w="0" w:type="auto"/>
            <w:noWrap w:val="0"/>
            <w:vAlign w:val="center"/>
          </w:tcPr>
          <w:p w14:paraId="139795D3">
            <w:r>
              <w:rPr>
                <w:rFonts w:hint="eastAsia"/>
              </w:rPr>
              <w:t xml:space="preserve">有效成分及其含量： </w:t>
            </w:r>
          </w:p>
          <w:p w14:paraId="49900FCD">
            <w:r>
              <w:rPr>
                <w:rFonts w:hint="eastAsia"/>
              </w:rPr>
              <w:t xml:space="preserve">    虫螨腈14%    联苯菊酯6%    </w:t>
            </w:r>
          </w:p>
        </w:tc>
      </w:tr>
      <w:tr w14:paraId="654364C6">
        <w:tblPrEx>
          <w:tblCellMar>
            <w:top w:w="0" w:type="dxa"/>
            <w:left w:w="0" w:type="dxa"/>
            <w:bottom w:w="0" w:type="dxa"/>
            <w:right w:w="0" w:type="dxa"/>
          </w:tblCellMar>
        </w:tblPrEx>
        <w:trPr>
          <w:wBefore w:w="0" w:type="auto"/>
          <w:tblCellSpacing w:w="0" w:type="dxa"/>
        </w:trPr>
        <w:tc>
          <w:tcPr>
            <w:tcW w:w="0" w:type="auto"/>
            <w:noWrap w:val="0"/>
            <w:vAlign w:val="center"/>
          </w:tcPr>
          <w:p w14:paraId="3BCC09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A309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C9AF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FAAB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B043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6D4B41">
                  <w:r>
                    <w:rPr>
                      <w:rStyle w:val="11"/>
                      <w:rFonts w:hint="eastAsia"/>
                    </w:rPr>
                    <w:t>施用方式</w:t>
                  </w:r>
                </w:p>
              </w:tc>
            </w:tr>
            <w:tr w14:paraId="13FA3F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A020D2">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A894D6">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0CE35B">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1AAF52">
                  <w:r>
                    <w:rPr>
                      <w:rStyle w:val="11"/>
                      <w:rFonts w:hint="eastAsia"/>
                    </w:rPr>
                    <w:t>喷雾</w:t>
                  </w:r>
                </w:p>
              </w:tc>
            </w:tr>
          </w:tbl>
          <w:p w14:paraId="2633A9A4">
            <w:pPr>
              <w:rPr>
                <w:rFonts w:ascii="Times New Roman" w:hAnsi="Times New Roman" w:cs="Times New Roman"/>
                <w:sz w:val="20"/>
                <w:szCs w:val="20"/>
              </w:rPr>
            </w:pPr>
          </w:p>
        </w:tc>
      </w:tr>
      <w:tr w14:paraId="5C61352F">
        <w:tblPrEx>
          <w:tblCellMar>
            <w:top w:w="0" w:type="dxa"/>
            <w:left w:w="0" w:type="dxa"/>
            <w:bottom w:w="0" w:type="dxa"/>
            <w:right w:w="0" w:type="dxa"/>
          </w:tblCellMar>
        </w:tblPrEx>
        <w:trPr>
          <w:wBefore w:w="0" w:type="auto"/>
          <w:tblCellSpacing w:w="0" w:type="dxa"/>
        </w:trPr>
        <w:tc>
          <w:tcPr>
            <w:tcW w:w="0" w:type="auto"/>
            <w:noWrap w:val="0"/>
            <w:vAlign w:val="center"/>
          </w:tcPr>
          <w:p w14:paraId="7E710020">
            <w:r>
              <w:rPr>
                <w:rStyle w:val="10"/>
                <w:rFonts w:hint="eastAsia"/>
              </w:rPr>
              <w:t>使用技术要求:</w:t>
            </w:r>
            <w:r>
              <w:rPr>
                <w:rFonts w:hint="eastAsia"/>
              </w:rPr>
              <w:br w:type="textWrapping"/>
            </w:r>
            <w:r>
              <w:rPr>
                <w:rStyle w:val="11"/>
                <w:rFonts w:hint="eastAsia"/>
              </w:rPr>
              <w:t>1. 在茄子蓟马发生初期进行施药，施药1次，每亩兑水30~60升。2. 施药时应避免药液漂移到其它作物上，以防产生药害。 3. 大雨天或预计1小时内降雨，请勿施药。4. 本品在茄子上每季作物使用1次，安全间隔期5天。</w:t>
            </w:r>
          </w:p>
        </w:tc>
      </w:tr>
      <w:tr w14:paraId="3BC62914">
        <w:tblPrEx>
          <w:tblCellMar>
            <w:top w:w="0" w:type="dxa"/>
            <w:left w:w="0" w:type="dxa"/>
            <w:bottom w:w="0" w:type="dxa"/>
            <w:right w:w="0" w:type="dxa"/>
          </w:tblCellMar>
        </w:tblPrEx>
        <w:trPr>
          <w:wBefore w:w="0" w:type="auto"/>
          <w:tblCellSpacing w:w="0" w:type="dxa"/>
        </w:trPr>
        <w:tc>
          <w:tcPr>
            <w:tcW w:w="0" w:type="auto"/>
            <w:noWrap w:val="0"/>
            <w:vAlign w:val="center"/>
          </w:tcPr>
          <w:p w14:paraId="57403A15">
            <w:r>
              <w:rPr>
                <w:rStyle w:val="10"/>
                <w:rFonts w:hint="eastAsia"/>
              </w:rPr>
              <w:t>产品性能:</w:t>
            </w:r>
            <w:r>
              <w:rPr>
                <w:rFonts w:hint="eastAsia"/>
              </w:rPr>
              <w:br w:type="textWrapping"/>
            </w:r>
            <w:r>
              <w:rPr>
                <w:rStyle w:val="11"/>
                <w:rFonts w:hint="eastAsia"/>
              </w:rPr>
              <w:t xml:space="preserve">虫螨腈为吡咯类杀虫剂，通过抑制害虫体内细胞中的线粒体，阻碍ADP转化为ATP，最终导致害虫死亡。联苯菊酯属拟除虫菊酯类杀虫、杀螨剂。具有触杀、胃毒作用，无内吸、熏蒸作用。 </w:t>
            </w:r>
          </w:p>
        </w:tc>
      </w:tr>
      <w:tr w14:paraId="63B78F6C">
        <w:tblPrEx>
          <w:tblCellMar>
            <w:top w:w="0" w:type="dxa"/>
            <w:left w:w="0" w:type="dxa"/>
            <w:bottom w:w="0" w:type="dxa"/>
            <w:right w:w="0" w:type="dxa"/>
          </w:tblCellMar>
        </w:tblPrEx>
        <w:trPr>
          <w:wBefore w:w="0" w:type="auto"/>
          <w:tblCellSpacing w:w="0" w:type="dxa"/>
        </w:trPr>
        <w:tc>
          <w:tcPr>
            <w:tcW w:w="0" w:type="auto"/>
            <w:noWrap w:val="0"/>
            <w:vAlign w:val="center"/>
          </w:tcPr>
          <w:p w14:paraId="3A056B56">
            <w:r>
              <w:rPr>
                <w:rStyle w:val="10"/>
                <w:rFonts w:hint="eastAsia"/>
              </w:rPr>
              <w:t>注意事项：</w:t>
            </w:r>
            <w:r>
              <w:rPr>
                <w:rFonts w:hint="eastAsia"/>
              </w:rPr>
              <w:br w:type="textWrapping"/>
            </w:r>
            <w:r>
              <w:rPr>
                <w:rStyle w:val="11"/>
                <w:rFonts w:hint="eastAsia"/>
              </w:rPr>
              <w:t>1. 严格按照规定用药量和方法使用。 2. 本品应避免与氧化剂接触，建议与其他不同作用机制的杀虫剂轮换使用。 3. 本品对蜜蜂、鸟、鱼、蚕、水蚤、藻类有毒。水产养殖区、河塘等水体附近禁用，禁止在河塘等水体中清洗施药器具；养蜂场所和周围开花植物花期禁用，使用时应密切关注对附近蜂群的影响； 桑园及蚕室附近禁用；赤眼蜂等天敌放飞区域禁用； 鸟类保护区附近禁用。  4. 本品对眼睛有刺激性，使用时避免接触眼睛，穿戴长衣、长裤、帽子、口罩、手套等防护措施。避免吸入药液。施药期间不可吃东西和饮水。施药后应及时洗手和洗脸。 5. 用药后包装物及用过的容器应妥善处理，不可做他用，也不可随意丢弃。 6. 孕妇及哺乳期妇女禁止接触本品。</w:t>
            </w:r>
          </w:p>
        </w:tc>
      </w:tr>
      <w:tr w14:paraId="2CE3150A">
        <w:tblPrEx>
          <w:tblCellMar>
            <w:top w:w="0" w:type="dxa"/>
            <w:left w:w="0" w:type="dxa"/>
            <w:bottom w:w="0" w:type="dxa"/>
            <w:right w:w="0" w:type="dxa"/>
          </w:tblCellMar>
        </w:tblPrEx>
        <w:trPr>
          <w:wBefore w:w="0" w:type="auto"/>
          <w:tblCellSpacing w:w="0" w:type="dxa"/>
        </w:trPr>
        <w:tc>
          <w:tcPr>
            <w:tcW w:w="0" w:type="auto"/>
            <w:noWrap w:val="0"/>
            <w:vAlign w:val="center"/>
          </w:tcPr>
          <w:p w14:paraId="6C29533F">
            <w:r>
              <w:rPr>
                <w:rStyle w:val="10"/>
                <w:rFonts w:hint="eastAsia"/>
              </w:rPr>
              <w:t>中毒急救措施：</w:t>
            </w:r>
            <w:r>
              <w:rPr>
                <w:rFonts w:hint="eastAsia"/>
              </w:rPr>
              <w:br w:type="textWrapping"/>
            </w:r>
            <w:r>
              <w:rPr>
                <w:rStyle w:val="11"/>
                <w:rFonts w:hint="eastAsia"/>
              </w:rPr>
              <w:t>皮肤接触：脱去污染的衣物，用软布去除沾染农药，立即用大量清水和肥皂冲洗。吸入：立即离开施药现场，转移到空气清新处。眼睛溅入：立即用流动清水冲洗不少于15分钟。误食：立即停止服用，用清水充分漱口后，请勿引吐，立即携带农药标签到医院就诊。</w:t>
            </w:r>
          </w:p>
        </w:tc>
      </w:tr>
      <w:tr w14:paraId="5A264E80">
        <w:tblPrEx>
          <w:tblCellMar>
            <w:top w:w="0" w:type="dxa"/>
            <w:left w:w="0" w:type="dxa"/>
            <w:bottom w:w="0" w:type="dxa"/>
            <w:right w:w="0" w:type="dxa"/>
          </w:tblCellMar>
        </w:tblPrEx>
        <w:trPr>
          <w:wBefore w:w="0" w:type="auto"/>
          <w:tblCellSpacing w:w="0" w:type="dxa"/>
        </w:trPr>
        <w:tc>
          <w:tcPr>
            <w:tcW w:w="0" w:type="auto"/>
            <w:noWrap w:val="0"/>
            <w:vAlign w:val="center"/>
          </w:tcPr>
          <w:p w14:paraId="4DA76140">
            <w:r>
              <w:rPr>
                <w:rStyle w:val="10"/>
                <w:rFonts w:hint="eastAsia"/>
              </w:rPr>
              <w:t>储存和运输方法：</w:t>
            </w:r>
            <w:r>
              <w:rPr>
                <w:rFonts w:hint="eastAsia"/>
              </w:rPr>
              <w:br w:type="textWrapping"/>
            </w:r>
            <w:r>
              <w:rPr>
                <w:rStyle w:val="11"/>
                <w:rFonts w:hint="eastAsia"/>
              </w:rPr>
              <w:t>本品应贮存在通风、干燥的库房中。贮运时，严防潮湿和日晒。置于儿童、无关人员触及不到之处，并加锁。勿与食品、饮料、饲料、粮食等同贮同运。</w:t>
            </w:r>
          </w:p>
        </w:tc>
      </w:tr>
      <w:tr w14:paraId="20274EE1">
        <w:tblPrEx>
          <w:tblCellMar>
            <w:top w:w="0" w:type="dxa"/>
            <w:left w:w="0" w:type="dxa"/>
            <w:bottom w:w="0" w:type="dxa"/>
            <w:right w:w="0" w:type="dxa"/>
          </w:tblCellMar>
        </w:tblPrEx>
        <w:trPr>
          <w:wBefore w:w="0" w:type="auto"/>
          <w:tblCellSpacing w:w="0" w:type="dxa"/>
        </w:trPr>
        <w:tc>
          <w:tcPr>
            <w:tcW w:w="0" w:type="auto"/>
            <w:noWrap w:val="0"/>
            <w:vAlign w:val="center"/>
          </w:tcPr>
          <w:p w14:paraId="3EE112ED">
            <w:r>
              <w:rPr>
                <w:rStyle w:val="10"/>
                <w:rFonts w:hint="eastAsia"/>
              </w:rPr>
              <w:t>质量保证期：</w:t>
            </w:r>
            <w:r>
              <w:rPr>
                <w:rStyle w:val="11"/>
                <w:rFonts w:hint="eastAsia"/>
              </w:rPr>
              <w:t>2年</w:t>
            </w:r>
          </w:p>
        </w:tc>
      </w:tr>
      <w:tr w14:paraId="466448F1">
        <w:tblPrEx>
          <w:tblCellMar>
            <w:top w:w="0" w:type="dxa"/>
            <w:left w:w="0" w:type="dxa"/>
            <w:bottom w:w="0" w:type="dxa"/>
            <w:right w:w="0" w:type="dxa"/>
          </w:tblCellMar>
        </w:tblPrEx>
        <w:trPr>
          <w:wBefore w:w="0" w:type="auto"/>
          <w:tblCellSpacing w:w="0" w:type="dxa"/>
        </w:trPr>
        <w:tc>
          <w:tcPr>
            <w:tcW w:w="0" w:type="auto"/>
            <w:noWrap w:val="0"/>
            <w:vAlign w:val="center"/>
          </w:tcPr>
          <w:p w14:paraId="0657CEDF">
            <w:r>
              <w:rPr>
                <w:rStyle w:val="10"/>
                <w:rFonts w:hint="eastAsia"/>
              </w:rPr>
              <w:t>备注：</w:t>
            </w:r>
          </w:p>
        </w:tc>
      </w:tr>
    </w:tbl>
    <w:p w14:paraId="1F7228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4313B9">
        <w:tblPrEx>
          <w:tblCellMar>
            <w:top w:w="0" w:type="dxa"/>
            <w:left w:w="0" w:type="dxa"/>
            <w:bottom w:w="0" w:type="dxa"/>
            <w:right w:w="0" w:type="dxa"/>
          </w:tblCellMar>
        </w:tblPrEx>
        <w:trPr>
          <w:wBefore w:w="0" w:type="auto"/>
          <w:tblCellSpacing w:w="0" w:type="dxa"/>
        </w:trPr>
        <w:tc>
          <w:tcPr>
            <w:tcW w:w="0" w:type="auto"/>
            <w:noWrap w:val="0"/>
            <w:vAlign w:val="center"/>
          </w:tcPr>
          <w:p w14:paraId="41255DDA">
            <w:r>
              <w:rPr>
                <w:rStyle w:val="10"/>
                <w:rFonts w:hint="eastAsia"/>
              </w:rPr>
              <w:t>登记证号：</w:t>
            </w:r>
            <w:r>
              <w:rPr>
                <w:rFonts w:hint="eastAsia"/>
              </w:rPr>
              <w:t>PD20212727</w:t>
            </w:r>
          </w:p>
        </w:tc>
      </w:tr>
      <w:tr w14:paraId="4001DDB6">
        <w:tblPrEx>
          <w:tblCellMar>
            <w:top w:w="0" w:type="dxa"/>
            <w:left w:w="0" w:type="dxa"/>
            <w:bottom w:w="0" w:type="dxa"/>
            <w:right w:w="0" w:type="dxa"/>
          </w:tblCellMar>
        </w:tblPrEx>
        <w:trPr>
          <w:wBefore w:w="0" w:type="auto"/>
          <w:tblCellSpacing w:w="0" w:type="dxa"/>
        </w:trPr>
        <w:tc>
          <w:tcPr>
            <w:tcW w:w="0" w:type="auto"/>
            <w:noWrap w:val="0"/>
            <w:vAlign w:val="center"/>
          </w:tcPr>
          <w:p w14:paraId="545DFF13">
            <w:r>
              <w:rPr>
                <w:rStyle w:val="10"/>
                <w:rFonts w:hint="eastAsia"/>
              </w:rPr>
              <w:t>登记证持有人：</w:t>
            </w:r>
            <w:r>
              <w:rPr>
                <w:rFonts w:hint="eastAsia"/>
              </w:rPr>
              <w:t>河南省孟州市华丰生化农药有限公司</w:t>
            </w:r>
          </w:p>
        </w:tc>
      </w:tr>
      <w:tr w14:paraId="62B0A007">
        <w:tblPrEx>
          <w:tblCellMar>
            <w:top w:w="0" w:type="dxa"/>
            <w:left w:w="0" w:type="dxa"/>
            <w:bottom w:w="0" w:type="dxa"/>
            <w:right w:w="0" w:type="dxa"/>
          </w:tblCellMar>
        </w:tblPrEx>
        <w:trPr>
          <w:wBefore w:w="0" w:type="auto"/>
          <w:tblCellSpacing w:w="0" w:type="dxa"/>
        </w:trPr>
        <w:tc>
          <w:tcPr>
            <w:tcW w:w="0" w:type="auto"/>
            <w:noWrap w:val="0"/>
            <w:vAlign w:val="center"/>
          </w:tcPr>
          <w:p w14:paraId="085EEB86">
            <w:r>
              <w:rPr>
                <w:rStyle w:val="10"/>
                <w:rFonts w:hint="eastAsia"/>
              </w:rPr>
              <w:t>农药名称：</w:t>
            </w:r>
            <w:r>
              <w:rPr>
                <w:rFonts w:hint="eastAsia"/>
              </w:rPr>
              <w:t>唑醚·戊唑醇</w:t>
            </w:r>
          </w:p>
        </w:tc>
      </w:tr>
      <w:tr w14:paraId="2547217E">
        <w:tblPrEx>
          <w:tblCellMar>
            <w:top w:w="0" w:type="dxa"/>
            <w:left w:w="0" w:type="dxa"/>
            <w:bottom w:w="0" w:type="dxa"/>
            <w:right w:w="0" w:type="dxa"/>
          </w:tblCellMar>
        </w:tblPrEx>
        <w:trPr>
          <w:wBefore w:w="0" w:type="auto"/>
          <w:tblCellSpacing w:w="0" w:type="dxa"/>
        </w:trPr>
        <w:tc>
          <w:tcPr>
            <w:tcW w:w="0" w:type="auto"/>
            <w:noWrap w:val="0"/>
            <w:vAlign w:val="center"/>
          </w:tcPr>
          <w:p w14:paraId="2B804C8C">
            <w:r>
              <w:rPr>
                <w:rStyle w:val="10"/>
                <w:rFonts w:hint="eastAsia"/>
              </w:rPr>
              <w:t>剂型：</w:t>
            </w:r>
            <w:r>
              <w:rPr>
                <w:rFonts w:hint="eastAsia"/>
              </w:rPr>
              <w:t>悬浮剂</w:t>
            </w:r>
          </w:p>
        </w:tc>
      </w:tr>
      <w:tr w14:paraId="00361E2D">
        <w:tblPrEx>
          <w:tblCellMar>
            <w:top w:w="0" w:type="dxa"/>
            <w:left w:w="0" w:type="dxa"/>
            <w:bottom w:w="0" w:type="dxa"/>
            <w:right w:w="0" w:type="dxa"/>
          </w:tblCellMar>
        </w:tblPrEx>
        <w:trPr>
          <w:wBefore w:w="0" w:type="auto"/>
          <w:tblCellSpacing w:w="0" w:type="dxa"/>
        </w:trPr>
        <w:tc>
          <w:tcPr>
            <w:tcW w:w="0" w:type="auto"/>
            <w:noWrap w:val="0"/>
            <w:vAlign w:val="center"/>
          </w:tcPr>
          <w:p w14:paraId="6433EB8F">
            <w:r>
              <w:rPr>
                <w:rStyle w:val="10"/>
                <w:rFonts w:hint="eastAsia"/>
              </w:rPr>
              <w:t>毒性及其标识：</w:t>
            </w:r>
            <w:r>
              <w:rPr>
                <w:rFonts w:hint="eastAsia"/>
              </w:rPr>
              <w:t xml:space="preserve"> </w:t>
            </w:r>
            <w:r>
              <w:rPr>
                <w:lang/>
              </w:rPr>
              <w:drawing>
                <wp:inline distT="0" distB="0" distL="114300" distR="114300">
                  <wp:extent cx="476250" cy="323850"/>
                  <wp:effectExtent l="0" t="0" r="0" b="0"/>
                  <wp:docPr id="77" name="图片 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1CE7E2">
        <w:tblPrEx>
          <w:tblCellMar>
            <w:top w:w="0" w:type="dxa"/>
            <w:left w:w="0" w:type="dxa"/>
            <w:bottom w:w="0" w:type="dxa"/>
            <w:right w:w="0" w:type="dxa"/>
          </w:tblCellMar>
        </w:tblPrEx>
        <w:trPr>
          <w:wBefore w:w="0" w:type="auto"/>
          <w:tblCellSpacing w:w="0" w:type="dxa"/>
        </w:trPr>
        <w:tc>
          <w:tcPr>
            <w:tcW w:w="0" w:type="auto"/>
            <w:noWrap w:val="0"/>
            <w:vAlign w:val="center"/>
          </w:tcPr>
          <w:p w14:paraId="12CDFEA0">
            <w:r>
              <w:rPr>
                <w:rStyle w:val="10"/>
                <w:rFonts w:hint="eastAsia"/>
              </w:rPr>
              <w:t>总有效成分含量：</w:t>
            </w:r>
            <w:r>
              <w:rPr>
                <w:rFonts w:hint="eastAsia"/>
              </w:rPr>
              <w:t>40%</w:t>
            </w:r>
          </w:p>
        </w:tc>
      </w:tr>
      <w:tr w14:paraId="7C8DA15D">
        <w:tblPrEx>
          <w:tblCellMar>
            <w:top w:w="0" w:type="dxa"/>
            <w:left w:w="0" w:type="dxa"/>
            <w:bottom w:w="0" w:type="dxa"/>
            <w:right w:w="0" w:type="dxa"/>
          </w:tblCellMar>
        </w:tblPrEx>
        <w:trPr>
          <w:wBefore w:w="0" w:type="auto"/>
          <w:tblCellSpacing w:w="0" w:type="dxa"/>
        </w:trPr>
        <w:tc>
          <w:tcPr>
            <w:tcW w:w="0" w:type="auto"/>
            <w:noWrap w:val="0"/>
            <w:vAlign w:val="center"/>
          </w:tcPr>
          <w:p w14:paraId="206AD028">
            <w:r>
              <w:rPr>
                <w:rFonts w:hint="eastAsia"/>
              </w:rPr>
              <w:t xml:space="preserve">有效成分及其含量： </w:t>
            </w:r>
          </w:p>
          <w:p w14:paraId="095D97D4">
            <w:r>
              <w:rPr>
                <w:rFonts w:hint="eastAsia"/>
              </w:rPr>
              <w:t xml:space="preserve">    吡唑醚菌酯10%    戊唑醇30%    </w:t>
            </w:r>
          </w:p>
        </w:tc>
      </w:tr>
      <w:tr w14:paraId="5C9D1033">
        <w:tblPrEx>
          <w:tblCellMar>
            <w:top w:w="0" w:type="dxa"/>
            <w:left w:w="0" w:type="dxa"/>
            <w:bottom w:w="0" w:type="dxa"/>
            <w:right w:w="0" w:type="dxa"/>
          </w:tblCellMar>
        </w:tblPrEx>
        <w:trPr>
          <w:wBefore w:w="0" w:type="auto"/>
          <w:tblCellSpacing w:w="0" w:type="dxa"/>
        </w:trPr>
        <w:tc>
          <w:tcPr>
            <w:tcW w:w="0" w:type="auto"/>
            <w:noWrap w:val="0"/>
            <w:vAlign w:val="center"/>
          </w:tcPr>
          <w:p w14:paraId="0953DD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CDF5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94FF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15F5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986D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92FFC0">
                  <w:r>
                    <w:rPr>
                      <w:rStyle w:val="11"/>
                      <w:rFonts w:hint="eastAsia"/>
                    </w:rPr>
                    <w:t>施用方式</w:t>
                  </w:r>
                </w:p>
              </w:tc>
            </w:tr>
            <w:tr w14:paraId="77DFB9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80B02F">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3A2489">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465080">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BB31C2">
                  <w:r>
                    <w:rPr>
                      <w:rStyle w:val="11"/>
                      <w:rFonts w:hint="eastAsia"/>
                    </w:rPr>
                    <w:t>喷雾</w:t>
                  </w:r>
                </w:p>
              </w:tc>
            </w:tr>
          </w:tbl>
          <w:p w14:paraId="0D43A6D7">
            <w:pPr>
              <w:rPr>
                <w:rFonts w:ascii="Times New Roman" w:hAnsi="Times New Roman" w:cs="Times New Roman"/>
                <w:sz w:val="20"/>
                <w:szCs w:val="20"/>
              </w:rPr>
            </w:pPr>
          </w:p>
        </w:tc>
      </w:tr>
      <w:tr w14:paraId="43877C44">
        <w:tblPrEx>
          <w:tblCellMar>
            <w:top w:w="0" w:type="dxa"/>
            <w:left w:w="0" w:type="dxa"/>
            <w:bottom w:w="0" w:type="dxa"/>
            <w:right w:w="0" w:type="dxa"/>
          </w:tblCellMar>
        </w:tblPrEx>
        <w:trPr>
          <w:wBefore w:w="0" w:type="auto"/>
          <w:tblCellSpacing w:w="0" w:type="dxa"/>
        </w:trPr>
        <w:tc>
          <w:tcPr>
            <w:tcW w:w="0" w:type="auto"/>
            <w:noWrap w:val="0"/>
            <w:vAlign w:val="center"/>
          </w:tcPr>
          <w:p w14:paraId="7DE95CBF">
            <w:r>
              <w:rPr>
                <w:rStyle w:val="10"/>
                <w:rFonts w:hint="eastAsia"/>
              </w:rPr>
              <w:t>使用技术要求:</w:t>
            </w:r>
            <w:r>
              <w:rPr>
                <w:rFonts w:hint="eastAsia"/>
              </w:rPr>
              <w:br w:type="textWrapping"/>
            </w:r>
            <w:r>
              <w:rPr>
                <w:rStyle w:val="11"/>
                <w:rFonts w:hint="eastAsia"/>
              </w:rPr>
              <w:t>1．防治小麦赤霉病在扬花初期使用，间隔5～7天施药1次，可施药2次。 施药时对准穗部喷雾。喷雾均匀、周到，以确保防效。 2.大风天或预计1小时内降雨，请勿施药。 3.产品在作物上使用的推荐安全间隔期为28天，每个作物周期的最多使用2次。</w:t>
            </w:r>
          </w:p>
        </w:tc>
      </w:tr>
      <w:tr w14:paraId="66A60B5F">
        <w:tblPrEx>
          <w:tblCellMar>
            <w:top w:w="0" w:type="dxa"/>
            <w:left w:w="0" w:type="dxa"/>
            <w:bottom w:w="0" w:type="dxa"/>
            <w:right w:w="0" w:type="dxa"/>
          </w:tblCellMar>
        </w:tblPrEx>
        <w:trPr>
          <w:wBefore w:w="0" w:type="auto"/>
          <w:tblCellSpacing w:w="0" w:type="dxa"/>
        </w:trPr>
        <w:tc>
          <w:tcPr>
            <w:tcW w:w="0" w:type="auto"/>
            <w:noWrap w:val="0"/>
            <w:vAlign w:val="center"/>
          </w:tcPr>
          <w:p w14:paraId="588B23EA">
            <w:r>
              <w:rPr>
                <w:rStyle w:val="10"/>
                <w:rFonts w:hint="eastAsia"/>
              </w:rPr>
              <w:t>产品性能:</w:t>
            </w:r>
            <w:r>
              <w:rPr>
                <w:rFonts w:hint="eastAsia"/>
              </w:rPr>
              <w:br w:type="textWrapping"/>
            </w:r>
            <w:r>
              <w:rPr>
                <w:rStyle w:val="11"/>
                <w:rFonts w:hint="eastAsia"/>
              </w:rPr>
              <w:t>本品为三唑类和甲氧基丙烯酸酯类的混配制剂，具有较高的杀菌活性。同时具有保护、治疗作用，对小麦赤霉病有较好的防效。本品在推荐剂量下对作物安全，能够促进氮的吸收，进而增强作物的抵抗力。</w:t>
            </w:r>
          </w:p>
        </w:tc>
      </w:tr>
      <w:tr w14:paraId="4C4D330A">
        <w:tblPrEx>
          <w:tblCellMar>
            <w:top w:w="0" w:type="dxa"/>
            <w:left w:w="0" w:type="dxa"/>
            <w:bottom w:w="0" w:type="dxa"/>
            <w:right w:w="0" w:type="dxa"/>
          </w:tblCellMar>
        </w:tblPrEx>
        <w:trPr>
          <w:wBefore w:w="0" w:type="auto"/>
          <w:tblCellSpacing w:w="0" w:type="dxa"/>
        </w:trPr>
        <w:tc>
          <w:tcPr>
            <w:tcW w:w="0" w:type="auto"/>
            <w:noWrap w:val="0"/>
            <w:vAlign w:val="center"/>
          </w:tcPr>
          <w:p w14:paraId="349F1652">
            <w:r>
              <w:rPr>
                <w:rStyle w:val="10"/>
                <w:rFonts w:hint="eastAsia"/>
              </w:rPr>
              <w:t>注意事项：</w:t>
            </w:r>
            <w:r>
              <w:rPr>
                <w:rFonts w:hint="eastAsia"/>
              </w:rPr>
              <w:br w:type="textWrapping"/>
            </w:r>
            <w:r>
              <w:rPr>
                <w:rStyle w:val="11"/>
                <w:rFonts w:hint="eastAsia"/>
              </w:rPr>
              <w:t>1、本品对鸟类、家蚕有毒，鸟类保护区附近禁用；家蚕及桑园附近禁用；远离水产养殖区、河塘等水体施药，禁止在河塘等水域内清洗施药器具； 2、使用本品应采取相应的安全防护措施，穿防护服，戴防护手套、口罩等，避免皮肤接触及口鼻吸入。使用中不可吸烟、饮水及吃东西，使用后及时清洗手、脸等暴露部位皮肤并更换衣物。3、建议与其他作用机制不同的杀虫剂轮换使用，以延缓抗药性。4、用过的容器应妥善处理，不可做他用，也不可随意丢弃。5、避免孕妇及哺乳期妇女接触本品。</w:t>
            </w:r>
          </w:p>
        </w:tc>
      </w:tr>
      <w:tr w14:paraId="11BB4281">
        <w:tblPrEx>
          <w:tblCellMar>
            <w:top w:w="0" w:type="dxa"/>
            <w:left w:w="0" w:type="dxa"/>
            <w:bottom w:w="0" w:type="dxa"/>
            <w:right w:w="0" w:type="dxa"/>
          </w:tblCellMar>
        </w:tblPrEx>
        <w:trPr>
          <w:wBefore w:w="0" w:type="auto"/>
          <w:tblCellSpacing w:w="0" w:type="dxa"/>
        </w:trPr>
        <w:tc>
          <w:tcPr>
            <w:tcW w:w="0" w:type="auto"/>
            <w:noWrap w:val="0"/>
            <w:vAlign w:val="center"/>
          </w:tcPr>
          <w:p w14:paraId="6BFF86DD">
            <w:r>
              <w:rPr>
                <w:rStyle w:val="10"/>
                <w:rFonts w:hint="eastAsia"/>
              </w:rPr>
              <w:t>中毒急救措施：</w:t>
            </w:r>
            <w:r>
              <w:rPr>
                <w:rFonts w:hint="eastAsia"/>
              </w:rPr>
              <w:br w:type="textWrapping"/>
            </w:r>
            <w:r>
              <w:rPr>
                <w:rStyle w:val="11"/>
                <w:rFonts w:hint="eastAsia"/>
              </w:rPr>
              <w:t>中毒症状：本品对眼睛有刺激作用。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到医院就诊。本品无特效解毒剂，可对症治疗。</w:t>
            </w:r>
          </w:p>
        </w:tc>
      </w:tr>
      <w:tr w14:paraId="44BFF255">
        <w:tblPrEx>
          <w:tblCellMar>
            <w:top w:w="0" w:type="dxa"/>
            <w:left w:w="0" w:type="dxa"/>
            <w:bottom w:w="0" w:type="dxa"/>
            <w:right w:w="0" w:type="dxa"/>
          </w:tblCellMar>
        </w:tblPrEx>
        <w:trPr>
          <w:wBefore w:w="0" w:type="auto"/>
          <w:tblCellSpacing w:w="0" w:type="dxa"/>
        </w:trPr>
        <w:tc>
          <w:tcPr>
            <w:tcW w:w="0" w:type="auto"/>
            <w:noWrap w:val="0"/>
            <w:vAlign w:val="center"/>
          </w:tcPr>
          <w:p w14:paraId="634560DA">
            <w:r>
              <w:rPr>
                <w:rStyle w:val="10"/>
                <w:rFonts w:hint="eastAsia"/>
              </w:rPr>
              <w:t>储存和运输方法：</w:t>
            </w:r>
            <w:r>
              <w:rPr>
                <w:rFonts w:hint="eastAsia"/>
              </w:rPr>
              <w:br w:type="textWrapping"/>
            </w:r>
            <w:r>
              <w:rPr>
                <w:rStyle w:val="11"/>
                <w:rFonts w:hint="eastAsia"/>
              </w:rPr>
              <w:t xml:space="preserve">本品应贮存在阴凉、干燥、通风、防雨处，远离火源或热源，置于儿童触及不到之处，并加锁；不能与食品、饮料、粮食、饲料等物品同贮同运。装卸运输时注意检查包装是否密封完整，轻拿轻放。 </w:t>
            </w:r>
          </w:p>
        </w:tc>
      </w:tr>
      <w:tr w14:paraId="585F7C75">
        <w:tblPrEx>
          <w:tblCellMar>
            <w:top w:w="0" w:type="dxa"/>
            <w:left w:w="0" w:type="dxa"/>
            <w:bottom w:w="0" w:type="dxa"/>
            <w:right w:w="0" w:type="dxa"/>
          </w:tblCellMar>
        </w:tblPrEx>
        <w:trPr>
          <w:wBefore w:w="0" w:type="auto"/>
          <w:tblCellSpacing w:w="0" w:type="dxa"/>
        </w:trPr>
        <w:tc>
          <w:tcPr>
            <w:tcW w:w="0" w:type="auto"/>
            <w:noWrap w:val="0"/>
            <w:vAlign w:val="center"/>
          </w:tcPr>
          <w:p w14:paraId="0D177588">
            <w:r>
              <w:rPr>
                <w:rStyle w:val="10"/>
                <w:rFonts w:hint="eastAsia"/>
              </w:rPr>
              <w:t>质量保证期：</w:t>
            </w:r>
            <w:r>
              <w:rPr>
                <w:rStyle w:val="11"/>
                <w:rFonts w:hint="eastAsia"/>
              </w:rPr>
              <w:t>2年</w:t>
            </w:r>
          </w:p>
        </w:tc>
      </w:tr>
      <w:tr w14:paraId="0B717291">
        <w:tblPrEx>
          <w:tblCellMar>
            <w:top w:w="0" w:type="dxa"/>
            <w:left w:w="0" w:type="dxa"/>
            <w:bottom w:w="0" w:type="dxa"/>
            <w:right w:w="0" w:type="dxa"/>
          </w:tblCellMar>
        </w:tblPrEx>
        <w:trPr>
          <w:wBefore w:w="0" w:type="auto"/>
          <w:tblCellSpacing w:w="0" w:type="dxa"/>
        </w:trPr>
        <w:tc>
          <w:tcPr>
            <w:tcW w:w="0" w:type="auto"/>
            <w:noWrap w:val="0"/>
            <w:vAlign w:val="center"/>
          </w:tcPr>
          <w:p w14:paraId="1B229242">
            <w:r>
              <w:rPr>
                <w:rStyle w:val="10"/>
                <w:rFonts w:hint="eastAsia"/>
              </w:rPr>
              <w:t>备注：</w:t>
            </w:r>
          </w:p>
        </w:tc>
      </w:tr>
    </w:tbl>
    <w:p w14:paraId="4545D7E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6070D7">
        <w:tblPrEx>
          <w:tblCellMar>
            <w:top w:w="0" w:type="dxa"/>
            <w:left w:w="0" w:type="dxa"/>
            <w:bottom w:w="0" w:type="dxa"/>
            <w:right w:w="0" w:type="dxa"/>
          </w:tblCellMar>
        </w:tblPrEx>
        <w:trPr>
          <w:wBefore w:w="0" w:type="auto"/>
          <w:tblCellSpacing w:w="0" w:type="dxa"/>
        </w:trPr>
        <w:tc>
          <w:tcPr>
            <w:tcW w:w="0" w:type="auto"/>
            <w:noWrap w:val="0"/>
            <w:vAlign w:val="center"/>
          </w:tcPr>
          <w:p w14:paraId="7669ECAD">
            <w:r>
              <w:rPr>
                <w:rStyle w:val="10"/>
                <w:rFonts w:hint="eastAsia"/>
              </w:rPr>
              <w:t>登记证号：</w:t>
            </w:r>
            <w:r>
              <w:rPr>
                <w:rFonts w:hint="eastAsia"/>
              </w:rPr>
              <w:t>PD20212439</w:t>
            </w:r>
          </w:p>
        </w:tc>
      </w:tr>
      <w:tr w14:paraId="2BB91BFD">
        <w:tblPrEx>
          <w:tblCellMar>
            <w:top w:w="0" w:type="dxa"/>
            <w:left w:w="0" w:type="dxa"/>
            <w:bottom w:w="0" w:type="dxa"/>
            <w:right w:w="0" w:type="dxa"/>
          </w:tblCellMar>
        </w:tblPrEx>
        <w:trPr>
          <w:wBefore w:w="0" w:type="auto"/>
          <w:tblCellSpacing w:w="0" w:type="dxa"/>
        </w:trPr>
        <w:tc>
          <w:tcPr>
            <w:tcW w:w="0" w:type="auto"/>
            <w:noWrap w:val="0"/>
            <w:vAlign w:val="center"/>
          </w:tcPr>
          <w:p w14:paraId="6DD674BE">
            <w:r>
              <w:rPr>
                <w:rStyle w:val="10"/>
                <w:rFonts w:hint="eastAsia"/>
              </w:rPr>
              <w:t>登记证持有人：</w:t>
            </w:r>
            <w:r>
              <w:rPr>
                <w:rFonts w:hint="eastAsia"/>
              </w:rPr>
              <w:t>河南比赛尔农业科技有限公司</w:t>
            </w:r>
          </w:p>
        </w:tc>
      </w:tr>
      <w:tr w14:paraId="7EBD57C0">
        <w:tblPrEx>
          <w:tblCellMar>
            <w:top w:w="0" w:type="dxa"/>
            <w:left w:w="0" w:type="dxa"/>
            <w:bottom w:w="0" w:type="dxa"/>
            <w:right w:w="0" w:type="dxa"/>
          </w:tblCellMar>
        </w:tblPrEx>
        <w:trPr>
          <w:wBefore w:w="0" w:type="auto"/>
          <w:tblCellSpacing w:w="0" w:type="dxa"/>
        </w:trPr>
        <w:tc>
          <w:tcPr>
            <w:tcW w:w="0" w:type="auto"/>
            <w:noWrap w:val="0"/>
            <w:vAlign w:val="center"/>
          </w:tcPr>
          <w:p w14:paraId="2E417159">
            <w:r>
              <w:rPr>
                <w:rStyle w:val="10"/>
                <w:rFonts w:hint="eastAsia"/>
              </w:rPr>
              <w:t>农药名称：</w:t>
            </w:r>
            <w:r>
              <w:rPr>
                <w:rFonts w:hint="eastAsia"/>
              </w:rPr>
              <w:t>虫螨腈·噻虫胺</w:t>
            </w:r>
          </w:p>
        </w:tc>
      </w:tr>
      <w:tr w14:paraId="0F2AEE7E">
        <w:tblPrEx>
          <w:tblCellMar>
            <w:top w:w="0" w:type="dxa"/>
            <w:left w:w="0" w:type="dxa"/>
            <w:bottom w:w="0" w:type="dxa"/>
            <w:right w:w="0" w:type="dxa"/>
          </w:tblCellMar>
        </w:tblPrEx>
        <w:trPr>
          <w:wBefore w:w="0" w:type="auto"/>
          <w:tblCellSpacing w:w="0" w:type="dxa"/>
        </w:trPr>
        <w:tc>
          <w:tcPr>
            <w:tcW w:w="0" w:type="auto"/>
            <w:noWrap w:val="0"/>
            <w:vAlign w:val="center"/>
          </w:tcPr>
          <w:p w14:paraId="7F8EBD75">
            <w:r>
              <w:rPr>
                <w:rStyle w:val="10"/>
                <w:rFonts w:hint="eastAsia"/>
              </w:rPr>
              <w:t>剂型：</w:t>
            </w:r>
            <w:r>
              <w:rPr>
                <w:rFonts w:hint="eastAsia"/>
              </w:rPr>
              <w:t>悬浮剂</w:t>
            </w:r>
          </w:p>
        </w:tc>
      </w:tr>
      <w:tr w14:paraId="385CB217">
        <w:tblPrEx>
          <w:tblCellMar>
            <w:top w:w="0" w:type="dxa"/>
            <w:left w:w="0" w:type="dxa"/>
            <w:bottom w:w="0" w:type="dxa"/>
            <w:right w:w="0" w:type="dxa"/>
          </w:tblCellMar>
        </w:tblPrEx>
        <w:trPr>
          <w:wBefore w:w="0" w:type="auto"/>
          <w:tblCellSpacing w:w="0" w:type="dxa"/>
        </w:trPr>
        <w:tc>
          <w:tcPr>
            <w:tcW w:w="0" w:type="auto"/>
            <w:noWrap w:val="0"/>
            <w:vAlign w:val="center"/>
          </w:tcPr>
          <w:p w14:paraId="192E8F90">
            <w:r>
              <w:rPr>
                <w:rStyle w:val="10"/>
                <w:rFonts w:hint="eastAsia"/>
              </w:rPr>
              <w:t>毒性及其标识：</w:t>
            </w:r>
            <w:r>
              <w:rPr>
                <w:rFonts w:hint="eastAsia"/>
              </w:rPr>
              <w:t xml:space="preserve"> </w:t>
            </w:r>
            <w:r>
              <w:rPr>
                <w:lang/>
              </w:rPr>
              <w:drawing>
                <wp:inline distT="0" distB="0" distL="114300" distR="114300">
                  <wp:extent cx="476250" cy="323850"/>
                  <wp:effectExtent l="0" t="0" r="0" b="0"/>
                  <wp:docPr id="78" name="图片 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049ABB">
        <w:tblPrEx>
          <w:tblCellMar>
            <w:top w:w="0" w:type="dxa"/>
            <w:left w:w="0" w:type="dxa"/>
            <w:bottom w:w="0" w:type="dxa"/>
            <w:right w:w="0" w:type="dxa"/>
          </w:tblCellMar>
        </w:tblPrEx>
        <w:trPr>
          <w:wBefore w:w="0" w:type="auto"/>
          <w:tblCellSpacing w:w="0" w:type="dxa"/>
        </w:trPr>
        <w:tc>
          <w:tcPr>
            <w:tcW w:w="0" w:type="auto"/>
            <w:noWrap w:val="0"/>
            <w:vAlign w:val="center"/>
          </w:tcPr>
          <w:p w14:paraId="3B4537ED">
            <w:r>
              <w:rPr>
                <w:rStyle w:val="10"/>
                <w:rFonts w:hint="eastAsia"/>
              </w:rPr>
              <w:t>总有效成分含量：</w:t>
            </w:r>
            <w:r>
              <w:rPr>
                <w:rFonts w:hint="eastAsia"/>
              </w:rPr>
              <w:t>28%</w:t>
            </w:r>
          </w:p>
        </w:tc>
      </w:tr>
      <w:tr w14:paraId="44D869F3">
        <w:tblPrEx>
          <w:tblCellMar>
            <w:top w:w="0" w:type="dxa"/>
            <w:left w:w="0" w:type="dxa"/>
            <w:bottom w:w="0" w:type="dxa"/>
            <w:right w:w="0" w:type="dxa"/>
          </w:tblCellMar>
        </w:tblPrEx>
        <w:trPr>
          <w:wBefore w:w="0" w:type="auto"/>
          <w:tblCellSpacing w:w="0" w:type="dxa"/>
        </w:trPr>
        <w:tc>
          <w:tcPr>
            <w:tcW w:w="0" w:type="auto"/>
            <w:noWrap w:val="0"/>
            <w:vAlign w:val="center"/>
          </w:tcPr>
          <w:p w14:paraId="2E0762F0">
            <w:r>
              <w:rPr>
                <w:rFonts w:hint="eastAsia"/>
              </w:rPr>
              <w:t xml:space="preserve">有效成分及其含量： </w:t>
            </w:r>
          </w:p>
          <w:p w14:paraId="0B47A526">
            <w:r>
              <w:rPr>
                <w:rFonts w:hint="eastAsia"/>
              </w:rPr>
              <w:t xml:space="preserve">    虫螨腈8%    噻虫胺20%    </w:t>
            </w:r>
          </w:p>
        </w:tc>
      </w:tr>
      <w:tr w14:paraId="20EB95B2">
        <w:tblPrEx>
          <w:tblCellMar>
            <w:top w:w="0" w:type="dxa"/>
            <w:left w:w="0" w:type="dxa"/>
            <w:bottom w:w="0" w:type="dxa"/>
            <w:right w:w="0" w:type="dxa"/>
          </w:tblCellMar>
        </w:tblPrEx>
        <w:trPr>
          <w:wBefore w:w="0" w:type="auto"/>
          <w:tblCellSpacing w:w="0" w:type="dxa"/>
        </w:trPr>
        <w:tc>
          <w:tcPr>
            <w:tcW w:w="0" w:type="auto"/>
            <w:noWrap w:val="0"/>
            <w:vAlign w:val="center"/>
          </w:tcPr>
          <w:p w14:paraId="1EBDEE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5E97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676F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B9757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33876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99F7A1">
                  <w:r>
                    <w:rPr>
                      <w:rStyle w:val="11"/>
                      <w:rFonts w:hint="eastAsia"/>
                    </w:rPr>
                    <w:t>施用方式</w:t>
                  </w:r>
                </w:p>
              </w:tc>
            </w:tr>
            <w:tr w14:paraId="357049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6E028A">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236F55">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2936F">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B47E61">
                  <w:r>
                    <w:rPr>
                      <w:rStyle w:val="11"/>
                      <w:rFonts w:hint="eastAsia"/>
                    </w:rPr>
                    <w:t>灌根</w:t>
                  </w:r>
                </w:p>
              </w:tc>
            </w:tr>
          </w:tbl>
          <w:p w14:paraId="78A92501">
            <w:pPr>
              <w:rPr>
                <w:rFonts w:ascii="Times New Roman" w:hAnsi="Times New Roman" w:cs="Times New Roman"/>
                <w:sz w:val="20"/>
                <w:szCs w:val="20"/>
              </w:rPr>
            </w:pPr>
          </w:p>
        </w:tc>
      </w:tr>
      <w:tr w14:paraId="453AAD39">
        <w:tblPrEx>
          <w:tblCellMar>
            <w:top w:w="0" w:type="dxa"/>
            <w:left w:w="0" w:type="dxa"/>
            <w:bottom w:w="0" w:type="dxa"/>
            <w:right w:w="0" w:type="dxa"/>
          </w:tblCellMar>
        </w:tblPrEx>
        <w:trPr>
          <w:wBefore w:w="0" w:type="auto"/>
          <w:tblCellSpacing w:w="0" w:type="dxa"/>
        </w:trPr>
        <w:tc>
          <w:tcPr>
            <w:tcW w:w="0" w:type="auto"/>
            <w:noWrap w:val="0"/>
            <w:vAlign w:val="center"/>
          </w:tcPr>
          <w:p w14:paraId="2CF5B1F0">
            <w:r>
              <w:rPr>
                <w:rStyle w:val="10"/>
                <w:rFonts w:hint="eastAsia"/>
              </w:rPr>
              <w:t>使用技术要求:</w:t>
            </w:r>
            <w:r>
              <w:rPr>
                <w:rFonts w:hint="eastAsia"/>
              </w:rPr>
              <w:br w:type="textWrapping"/>
            </w:r>
            <w:r>
              <w:rPr>
                <w:rStyle w:val="11"/>
                <w:rFonts w:hint="eastAsia"/>
              </w:rPr>
              <w:t>1、于韭菜韭蛆发生始盛期或高峰期，灌根。 2.大风天或预计1小时内降雨，请勿施药。 3.每次最多使用1次，安全间隔期14天。</w:t>
            </w:r>
          </w:p>
        </w:tc>
      </w:tr>
      <w:tr w14:paraId="1D6766CA">
        <w:tblPrEx>
          <w:tblCellMar>
            <w:top w:w="0" w:type="dxa"/>
            <w:left w:w="0" w:type="dxa"/>
            <w:bottom w:w="0" w:type="dxa"/>
            <w:right w:w="0" w:type="dxa"/>
          </w:tblCellMar>
        </w:tblPrEx>
        <w:trPr>
          <w:wBefore w:w="0" w:type="auto"/>
          <w:tblCellSpacing w:w="0" w:type="dxa"/>
        </w:trPr>
        <w:tc>
          <w:tcPr>
            <w:tcW w:w="0" w:type="auto"/>
            <w:noWrap w:val="0"/>
            <w:vAlign w:val="center"/>
          </w:tcPr>
          <w:p w14:paraId="3A1EE09D">
            <w:r>
              <w:rPr>
                <w:rStyle w:val="10"/>
                <w:rFonts w:hint="eastAsia"/>
              </w:rPr>
              <w:t>产品性能:</w:t>
            </w:r>
            <w:r>
              <w:rPr>
                <w:rFonts w:hint="eastAsia"/>
              </w:rPr>
              <w:br w:type="textWrapping"/>
            </w:r>
            <w:r>
              <w:rPr>
                <w:rStyle w:val="11"/>
                <w:rFonts w:hint="eastAsia"/>
              </w:rPr>
              <w:t>虫螨腈是一种芳基取代吡咯化合物，在植物叶面渗透性较强；噻虫胺一种高效安全、高选择性的新烟碱类杀虫剂。二者结合具有触杀、胃杀和内吸活性强的作用特点， 正常使用条件下对韭蛆有较好的防治效果。</w:t>
            </w:r>
          </w:p>
        </w:tc>
      </w:tr>
      <w:tr w14:paraId="68A3B1EA">
        <w:tblPrEx>
          <w:tblCellMar>
            <w:top w:w="0" w:type="dxa"/>
            <w:left w:w="0" w:type="dxa"/>
            <w:bottom w:w="0" w:type="dxa"/>
            <w:right w:w="0" w:type="dxa"/>
          </w:tblCellMar>
        </w:tblPrEx>
        <w:trPr>
          <w:wBefore w:w="0" w:type="auto"/>
          <w:tblCellSpacing w:w="0" w:type="dxa"/>
        </w:trPr>
        <w:tc>
          <w:tcPr>
            <w:tcW w:w="0" w:type="auto"/>
            <w:noWrap w:val="0"/>
            <w:vAlign w:val="center"/>
          </w:tcPr>
          <w:p w14:paraId="31FA732C">
            <w:r>
              <w:rPr>
                <w:rStyle w:val="10"/>
                <w:rFonts w:hint="eastAsia"/>
              </w:rPr>
              <w:t>注意事项：</w:t>
            </w:r>
            <w:r>
              <w:rPr>
                <w:rFonts w:hint="eastAsia"/>
              </w:rPr>
              <w:br w:type="textWrapping"/>
            </w:r>
            <w:r>
              <w:rPr>
                <w:rStyle w:val="11"/>
                <w:rFonts w:hint="eastAsia"/>
              </w:rPr>
              <w:t>1、施药时要有防护措施，戴口罩、手套，穿保护性作业服，严禁吸烟和饮食。避免药物与皮肤和眼睛直接接触。施药后要及时洗手洗脸。2、本品对蜜蜂、鱼类等水生生物、家蚕有毒，施药期间应避免对周围蜂群的影响，禁止在开花植物花期、蚕室和桑园附近使用。3、远离水产养殖区、河塘等水域施药。鸟类保护区内,赤眼蜂等天敌放飞区域禁用。4、用过的容器应妥善处理，不可做他用，也不可随意丢弃，禁止在河塘等水体中清洗施药器具。5、哺乳期妇女及孕妇避免接触。6、建议与作用机制不同的杀虫剂轮换使用，以延缓抗性产生。本品不可与呈强酸、强碱性物质混用。</w:t>
            </w:r>
          </w:p>
        </w:tc>
      </w:tr>
      <w:tr w14:paraId="3C7D9EA7">
        <w:tblPrEx>
          <w:tblCellMar>
            <w:top w:w="0" w:type="dxa"/>
            <w:left w:w="0" w:type="dxa"/>
            <w:bottom w:w="0" w:type="dxa"/>
            <w:right w:w="0" w:type="dxa"/>
          </w:tblCellMar>
        </w:tblPrEx>
        <w:trPr>
          <w:wBefore w:w="0" w:type="auto"/>
          <w:tblCellSpacing w:w="0" w:type="dxa"/>
        </w:trPr>
        <w:tc>
          <w:tcPr>
            <w:tcW w:w="0" w:type="auto"/>
            <w:noWrap w:val="0"/>
            <w:vAlign w:val="center"/>
          </w:tcPr>
          <w:p w14:paraId="521D7E27">
            <w:r>
              <w:rPr>
                <w:rStyle w:val="10"/>
                <w:rFonts w:hint="eastAsia"/>
              </w:rPr>
              <w:t>中毒急救措施：</w:t>
            </w:r>
            <w:r>
              <w:rPr>
                <w:rFonts w:hint="eastAsia"/>
              </w:rPr>
              <w:br w:type="textWrapping"/>
            </w:r>
            <w:r>
              <w:rPr>
                <w:rStyle w:val="11"/>
                <w:rFonts w:hint="eastAsia"/>
              </w:rPr>
              <w:t>中毒症状：轻度中毒：头痛、呕吐、出汗等；过量误服，可导致腹泻发生或重者抽搐。用药时如果感觉不适，立即停止工作，采取急救措施，并携此标签送医就诊。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4AB31F93">
        <w:tblPrEx>
          <w:tblCellMar>
            <w:top w:w="0" w:type="dxa"/>
            <w:left w:w="0" w:type="dxa"/>
            <w:bottom w:w="0" w:type="dxa"/>
            <w:right w:w="0" w:type="dxa"/>
          </w:tblCellMar>
        </w:tblPrEx>
        <w:trPr>
          <w:wBefore w:w="0" w:type="auto"/>
          <w:tblCellSpacing w:w="0" w:type="dxa"/>
        </w:trPr>
        <w:tc>
          <w:tcPr>
            <w:tcW w:w="0" w:type="auto"/>
            <w:noWrap w:val="0"/>
            <w:vAlign w:val="center"/>
          </w:tcPr>
          <w:p w14:paraId="46E4880F">
            <w:r>
              <w:rPr>
                <w:rStyle w:val="10"/>
                <w:rFonts w:hint="eastAsia"/>
              </w:rPr>
              <w:t>储存和运输方法：</w:t>
            </w:r>
            <w:r>
              <w:rPr>
                <w:rFonts w:hint="eastAsia"/>
              </w:rPr>
              <w:br w:type="textWrapping"/>
            </w:r>
            <w:r>
              <w:rPr>
                <w:rStyle w:val="11"/>
                <w:rFonts w:hint="eastAsia"/>
              </w:rPr>
              <w:t>本品应贮存于阴凉、干燥、通风处，防止受潮，隔热防晒，避免高温避免阳光直接照射。置于儿童、无关人员触及不到之处并加锁。远离火源，不能与食品、饮料、粮食、饲料同贮同运。</w:t>
            </w:r>
          </w:p>
        </w:tc>
      </w:tr>
      <w:tr w14:paraId="688581E3">
        <w:tblPrEx>
          <w:tblCellMar>
            <w:top w:w="0" w:type="dxa"/>
            <w:left w:w="0" w:type="dxa"/>
            <w:bottom w:w="0" w:type="dxa"/>
            <w:right w:w="0" w:type="dxa"/>
          </w:tblCellMar>
        </w:tblPrEx>
        <w:trPr>
          <w:wBefore w:w="0" w:type="auto"/>
          <w:tblCellSpacing w:w="0" w:type="dxa"/>
        </w:trPr>
        <w:tc>
          <w:tcPr>
            <w:tcW w:w="0" w:type="auto"/>
            <w:noWrap w:val="0"/>
            <w:vAlign w:val="center"/>
          </w:tcPr>
          <w:p w14:paraId="3C7E6094">
            <w:r>
              <w:rPr>
                <w:rStyle w:val="10"/>
                <w:rFonts w:hint="eastAsia"/>
              </w:rPr>
              <w:t>质量保证期：</w:t>
            </w:r>
            <w:r>
              <w:rPr>
                <w:rStyle w:val="11"/>
                <w:rFonts w:hint="eastAsia"/>
              </w:rPr>
              <w:t>2年</w:t>
            </w:r>
          </w:p>
        </w:tc>
      </w:tr>
      <w:tr w14:paraId="691B9FF7">
        <w:tblPrEx>
          <w:tblCellMar>
            <w:top w:w="0" w:type="dxa"/>
            <w:left w:w="0" w:type="dxa"/>
            <w:bottom w:w="0" w:type="dxa"/>
            <w:right w:w="0" w:type="dxa"/>
          </w:tblCellMar>
        </w:tblPrEx>
        <w:trPr>
          <w:wBefore w:w="0" w:type="auto"/>
          <w:tblCellSpacing w:w="0" w:type="dxa"/>
        </w:trPr>
        <w:tc>
          <w:tcPr>
            <w:tcW w:w="0" w:type="auto"/>
            <w:noWrap w:val="0"/>
            <w:vAlign w:val="center"/>
          </w:tcPr>
          <w:p w14:paraId="46D1A496">
            <w:r>
              <w:rPr>
                <w:rStyle w:val="10"/>
                <w:rFonts w:hint="eastAsia"/>
              </w:rPr>
              <w:t>备注：</w:t>
            </w:r>
          </w:p>
        </w:tc>
      </w:tr>
    </w:tbl>
    <w:p w14:paraId="7EF63A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3659B7E">
        <w:tblPrEx>
          <w:tblCellMar>
            <w:top w:w="0" w:type="dxa"/>
            <w:left w:w="0" w:type="dxa"/>
            <w:bottom w:w="0" w:type="dxa"/>
            <w:right w:w="0" w:type="dxa"/>
          </w:tblCellMar>
        </w:tblPrEx>
        <w:trPr>
          <w:wBefore w:w="0" w:type="auto"/>
          <w:tblCellSpacing w:w="0" w:type="dxa"/>
        </w:trPr>
        <w:tc>
          <w:tcPr>
            <w:tcW w:w="0" w:type="auto"/>
            <w:noWrap w:val="0"/>
            <w:vAlign w:val="center"/>
          </w:tcPr>
          <w:p w14:paraId="2557D78C">
            <w:r>
              <w:rPr>
                <w:rStyle w:val="10"/>
                <w:rFonts w:hint="eastAsia"/>
              </w:rPr>
              <w:t>登记证号：</w:t>
            </w:r>
            <w:r>
              <w:rPr>
                <w:rFonts w:hint="eastAsia"/>
              </w:rPr>
              <w:t>PD20212637</w:t>
            </w:r>
          </w:p>
        </w:tc>
      </w:tr>
      <w:tr w14:paraId="534A6E78">
        <w:tblPrEx>
          <w:tblCellMar>
            <w:top w:w="0" w:type="dxa"/>
            <w:left w:w="0" w:type="dxa"/>
            <w:bottom w:w="0" w:type="dxa"/>
            <w:right w:w="0" w:type="dxa"/>
          </w:tblCellMar>
        </w:tblPrEx>
        <w:trPr>
          <w:wBefore w:w="0" w:type="auto"/>
          <w:tblCellSpacing w:w="0" w:type="dxa"/>
        </w:trPr>
        <w:tc>
          <w:tcPr>
            <w:tcW w:w="0" w:type="auto"/>
            <w:noWrap w:val="0"/>
            <w:vAlign w:val="center"/>
          </w:tcPr>
          <w:p w14:paraId="456F8947">
            <w:r>
              <w:rPr>
                <w:rStyle w:val="10"/>
                <w:rFonts w:hint="eastAsia"/>
              </w:rPr>
              <w:t>登记证持有人：</w:t>
            </w:r>
            <w:r>
              <w:rPr>
                <w:rFonts w:hint="eastAsia"/>
              </w:rPr>
              <w:t>河南丰收乐化学有限公司</w:t>
            </w:r>
          </w:p>
        </w:tc>
      </w:tr>
      <w:tr w14:paraId="7604095B">
        <w:tblPrEx>
          <w:tblCellMar>
            <w:top w:w="0" w:type="dxa"/>
            <w:left w:w="0" w:type="dxa"/>
            <w:bottom w:w="0" w:type="dxa"/>
            <w:right w:w="0" w:type="dxa"/>
          </w:tblCellMar>
        </w:tblPrEx>
        <w:trPr>
          <w:wBefore w:w="0" w:type="auto"/>
          <w:tblCellSpacing w:w="0" w:type="dxa"/>
        </w:trPr>
        <w:tc>
          <w:tcPr>
            <w:tcW w:w="0" w:type="auto"/>
            <w:noWrap w:val="0"/>
            <w:vAlign w:val="center"/>
          </w:tcPr>
          <w:p w14:paraId="28FEDC14">
            <w:r>
              <w:rPr>
                <w:rStyle w:val="10"/>
                <w:rFonts w:hint="eastAsia"/>
              </w:rPr>
              <w:t>农药名称：</w:t>
            </w:r>
            <w:r>
              <w:rPr>
                <w:rFonts w:hint="eastAsia"/>
              </w:rPr>
              <w:t>双氟·唑草酮</w:t>
            </w:r>
          </w:p>
        </w:tc>
      </w:tr>
      <w:tr w14:paraId="4723FF1E">
        <w:tblPrEx>
          <w:tblCellMar>
            <w:top w:w="0" w:type="dxa"/>
            <w:left w:w="0" w:type="dxa"/>
            <w:bottom w:w="0" w:type="dxa"/>
            <w:right w:w="0" w:type="dxa"/>
          </w:tblCellMar>
        </w:tblPrEx>
        <w:trPr>
          <w:wBefore w:w="0" w:type="auto"/>
          <w:tblCellSpacing w:w="0" w:type="dxa"/>
        </w:trPr>
        <w:tc>
          <w:tcPr>
            <w:tcW w:w="0" w:type="auto"/>
            <w:noWrap w:val="0"/>
            <w:vAlign w:val="center"/>
          </w:tcPr>
          <w:p w14:paraId="4E8CE3EF">
            <w:r>
              <w:rPr>
                <w:rStyle w:val="10"/>
                <w:rFonts w:hint="eastAsia"/>
              </w:rPr>
              <w:t>剂型：</w:t>
            </w:r>
            <w:r>
              <w:rPr>
                <w:rFonts w:hint="eastAsia"/>
              </w:rPr>
              <w:t>悬乳剂</w:t>
            </w:r>
          </w:p>
        </w:tc>
      </w:tr>
      <w:tr w14:paraId="73F038B9">
        <w:tblPrEx>
          <w:tblCellMar>
            <w:top w:w="0" w:type="dxa"/>
            <w:left w:w="0" w:type="dxa"/>
            <w:bottom w:w="0" w:type="dxa"/>
            <w:right w:w="0" w:type="dxa"/>
          </w:tblCellMar>
        </w:tblPrEx>
        <w:trPr>
          <w:wBefore w:w="0" w:type="auto"/>
          <w:tblCellSpacing w:w="0" w:type="dxa"/>
        </w:trPr>
        <w:tc>
          <w:tcPr>
            <w:tcW w:w="0" w:type="auto"/>
            <w:noWrap w:val="0"/>
            <w:vAlign w:val="center"/>
          </w:tcPr>
          <w:p w14:paraId="51D36FEB">
            <w:r>
              <w:rPr>
                <w:rStyle w:val="10"/>
                <w:rFonts w:hint="eastAsia"/>
              </w:rPr>
              <w:t>毒性及其标识：</w:t>
            </w:r>
            <w:r>
              <w:rPr>
                <w:rFonts w:hint="eastAsia"/>
              </w:rPr>
              <w:t xml:space="preserve"> </w:t>
            </w:r>
            <w:r>
              <w:rPr>
                <w:lang/>
              </w:rPr>
              <w:drawing>
                <wp:inline distT="0" distB="0" distL="114300" distR="114300">
                  <wp:extent cx="476250" cy="323850"/>
                  <wp:effectExtent l="0" t="0" r="0" b="0"/>
                  <wp:docPr id="79" name="图片 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AC30A0">
        <w:tblPrEx>
          <w:tblCellMar>
            <w:top w:w="0" w:type="dxa"/>
            <w:left w:w="0" w:type="dxa"/>
            <w:bottom w:w="0" w:type="dxa"/>
            <w:right w:w="0" w:type="dxa"/>
          </w:tblCellMar>
        </w:tblPrEx>
        <w:trPr>
          <w:wBefore w:w="0" w:type="auto"/>
          <w:tblCellSpacing w:w="0" w:type="dxa"/>
        </w:trPr>
        <w:tc>
          <w:tcPr>
            <w:tcW w:w="0" w:type="auto"/>
            <w:noWrap w:val="0"/>
            <w:vAlign w:val="center"/>
          </w:tcPr>
          <w:p w14:paraId="6326DDC8">
            <w:r>
              <w:rPr>
                <w:rStyle w:val="10"/>
                <w:rFonts w:hint="eastAsia"/>
              </w:rPr>
              <w:t>总有效成分含量：</w:t>
            </w:r>
            <w:r>
              <w:rPr>
                <w:rFonts w:hint="eastAsia"/>
              </w:rPr>
              <w:t>9%</w:t>
            </w:r>
          </w:p>
        </w:tc>
      </w:tr>
      <w:tr w14:paraId="5D8588F6">
        <w:tblPrEx>
          <w:tblCellMar>
            <w:top w:w="0" w:type="dxa"/>
            <w:left w:w="0" w:type="dxa"/>
            <w:bottom w:w="0" w:type="dxa"/>
            <w:right w:w="0" w:type="dxa"/>
          </w:tblCellMar>
        </w:tblPrEx>
        <w:trPr>
          <w:wBefore w:w="0" w:type="auto"/>
          <w:tblCellSpacing w:w="0" w:type="dxa"/>
        </w:trPr>
        <w:tc>
          <w:tcPr>
            <w:tcW w:w="0" w:type="auto"/>
            <w:noWrap w:val="0"/>
            <w:vAlign w:val="center"/>
          </w:tcPr>
          <w:p w14:paraId="00E5028C">
            <w:r>
              <w:rPr>
                <w:rFonts w:hint="eastAsia"/>
              </w:rPr>
              <w:t xml:space="preserve">有效成分及其含量： </w:t>
            </w:r>
          </w:p>
          <w:p w14:paraId="02F294DC">
            <w:r>
              <w:rPr>
                <w:rFonts w:hint="eastAsia"/>
              </w:rPr>
              <w:t xml:space="preserve">    双氟磺草胺3%    唑草酮6%    </w:t>
            </w:r>
          </w:p>
        </w:tc>
      </w:tr>
      <w:tr w14:paraId="06E5675A">
        <w:tblPrEx>
          <w:tblCellMar>
            <w:top w:w="0" w:type="dxa"/>
            <w:left w:w="0" w:type="dxa"/>
            <w:bottom w:w="0" w:type="dxa"/>
            <w:right w:w="0" w:type="dxa"/>
          </w:tblCellMar>
        </w:tblPrEx>
        <w:trPr>
          <w:wBefore w:w="0" w:type="auto"/>
          <w:tblCellSpacing w:w="0" w:type="dxa"/>
        </w:trPr>
        <w:tc>
          <w:tcPr>
            <w:tcW w:w="0" w:type="auto"/>
            <w:noWrap w:val="0"/>
            <w:vAlign w:val="center"/>
          </w:tcPr>
          <w:p w14:paraId="4E1D2F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508B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C3239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B4051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E78DB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FB2BFF">
                  <w:r>
                    <w:rPr>
                      <w:rStyle w:val="11"/>
                      <w:rFonts w:hint="eastAsia"/>
                    </w:rPr>
                    <w:t>施用方式</w:t>
                  </w:r>
                </w:p>
              </w:tc>
            </w:tr>
            <w:tr w14:paraId="3AC086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628B03">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5C408A">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4BA69F">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DF6667">
                  <w:r>
                    <w:rPr>
                      <w:rStyle w:val="11"/>
                      <w:rFonts w:hint="eastAsia"/>
                    </w:rPr>
                    <w:t>茎叶喷雾</w:t>
                  </w:r>
                </w:p>
              </w:tc>
            </w:tr>
          </w:tbl>
          <w:p w14:paraId="0440C40C">
            <w:pPr>
              <w:rPr>
                <w:rFonts w:ascii="Times New Roman" w:hAnsi="Times New Roman" w:cs="Times New Roman"/>
                <w:sz w:val="20"/>
                <w:szCs w:val="20"/>
              </w:rPr>
            </w:pPr>
          </w:p>
        </w:tc>
      </w:tr>
      <w:tr w14:paraId="59BEB668">
        <w:tblPrEx>
          <w:tblCellMar>
            <w:top w:w="0" w:type="dxa"/>
            <w:left w:w="0" w:type="dxa"/>
            <w:bottom w:w="0" w:type="dxa"/>
            <w:right w:w="0" w:type="dxa"/>
          </w:tblCellMar>
        </w:tblPrEx>
        <w:trPr>
          <w:wBefore w:w="0" w:type="auto"/>
          <w:tblCellSpacing w:w="0" w:type="dxa"/>
        </w:trPr>
        <w:tc>
          <w:tcPr>
            <w:tcW w:w="0" w:type="auto"/>
            <w:noWrap w:val="0"/>
            <w:vAlign w:val="center"/>
          </w:tcPr>
          <w:p w14:paraId="46394F24">
            <w:r>
              <w:rPr>
                <w:rStyle w:val="10"/>
                <w:rFonts w:hint="eastAsia"/>
              </w:rPr>
              <w:t>使用技术要求:</w:t>
            </w:r>
            <w:r>
              <w:rPr>
                <w:rFonts w:hint="eastAsia"/>
              </w:rPr>
              <w:br w:type="textWrapping"/>
            </w:r>
            <w:r>
              <w:rPr>
                <w:rStyle w:val="11"/>
                <w:rFonts w:hint="eastAsia"/>
              </w:rPr>
              <w:t>1.使用时期：于冬小麦苗后3叶期至拔节前，田间一年生阔叶杂草2-5叶期，茎叶喷雾施药。2.按推荐剂量、时期和方法施用，均匀喷雾、不重喷、不漏喷；3.每季作物最多使用1次。</w:t>
            </w:r>
          </w:p>
        </w:tc>
      </w:tr>
      <w:tr w14:paraId="27052674">
        <w:tblPrEx>
          <w:tblCellMar>
            <w:top w:w="0" w:type="dxa"/>
            <w:left w:w="0" w:type="dxa"/>
            <w:bottom w:w="0" w:type="dxa"/>
            <w:right w:w="0" w:type="dxa"/>
          </w:tblCellMar>
        </w:tblPrEx>
        <w:trPr>
          <w:wBefore w:w="0" w:type="auto"/>
          <w:tblCellSpacing w:w="0" w:type="dxa"/>
        </w:trPr>
        <w:tc>
          <w:tcPr>
            <w:tcW w:w="0" w:type="auto"/>
            <w:noWrap w:val="0"/>
            <w:vAlign w:val="center"/>
          </w:tcPr>
          <w:p w14:paraId="6851890E">
            <w:r>
              <w:rPr>
                <w:rStyle w:val="10"/>
                <w:rFonts w:hint="eastAsia"/>
              </w:rPr>
              <w:t>产品性能:</w:t>
            </w:r>
            <w:r>
              <w:rPr>
                <w:rFonts w:hint="eastAsia"/>
              </w:rPr>
              <w:br w:type="textWrapping"/>
            </w:r>
            <w:r>
              <w:rPr>
                <w:rStyle w:val="11"/>
                <w:rFonts w:hint="eastAsia"/>
              </w:rPr>
              <w:t>本品是双氟磺草胺和唑草酮的混配制剂。双氟磺草胺属于三唑嘧啶磺酰胺类除草剂，是乙酰乳酸合成酶抑制剂，通过抑制杂草体内支链氨基酸生物合成，最终造成杂草死亡。唑草酮为三唑啉酮类除草剂，是一种广谱触杀型除草剂，通过抑制原卟啉原氧化酶导致有毒中间物的积累，从而破坏杂草的细胞膜，使杂草迅速干枯、死亡。本品可用于防除麦田猪殃殃、播娘蒿、繁缕、泽漆、荠菜等多种阔叶杂草。</w:t>
            </w:r>
          </w:p>
        </w:tc>
      </w:tr>
      <w:tr w14:paraId="3C023E96">
        <w:tblPrEx>
          <w:tblCellMar>
            <w:top w:w="0" w:type="dxa"/>
            <w:left w:w="0" w:type="dxa"/>
            <w:bottom w:w="0" w:type="dxa"/>
            <w:right w:w="0" w:type="dxa"/>
          </w:tblCellMar>
        </w:tblPrEx>
        <w:trPr>
          <w:wBefore w:w="0" w:type="auto"/>
          <w:tblCellSpacing w:w="0" w:type="dxa"/>
        </w:trPr>
        <w:tc>
          <w:tcPr>
            <w:tcW w:w="0" w:type="auto"/>
            <w:noWrap w:val="0"/>
            <w:vAlign w:val="center"/>
          </w:tcPr>
          <w:p w14:paraId="40A2A142">
            <w:r>
              <w:rPr>
                <w:rStyle w:val="10"/>
                <w:rFonts w:hint="eastAsia"/>
              </w:rPr>
              <w:t>注意事项：</w:t>
            </w:r>
            <w:r>
              <w:rPr>
                <w:rFonts w:hint="eastAsia"/>
              </w:rPr>
              <w:br w:type="textWrapping"/>
            </w:r>
            <w:r>
              <w:rPr>
                <w:rStyle w:val="11"/>
                <w:rFonts w:hint="eastAsia"/>
              </w:rPr>
              <w:t>1 .避免施药时药液漂移到邻近敏感作物上。2. 本品对眼睛有刺激性，使用时避免接触眼睛，穿戴长衣、长裤、帽子、口罩、手套等防护措施。避免吸入药液；施药期间不可吃东西、饮水、吸烟等；施药后应及时洗手、洗脸并洗涤施药时穿着的衣物。3. 水产养殖区、河塘等水体附近禁用，禁止在河塘等水体中清洗施药器具，避免药液流入湖泊、河流或鱼塘中污染水源。赤眼蜂等天敌放飞区域禁用。4. 废弃物应妥善处理，不可做他用，也不可随意丢弃。5. 避免孕妇及哺乳期的妇女接触本品。6. 使用后的施药器械应及时彻底清洗，建议喷雾器专机专用。</w:t>
            </w:r>
          </w:p>
        </w:tc>
      </w:tr>
      <w:tr w14:paraId="595B5882">
        <w:tblPrEx>
          <w:tblCellMar>
            <w:top w:w="0" w:type="dxa"/>
            <w:left w:w="0" w:type="dxa"/>
            <w:bottom w:w="0" w:type="dxa"/>
            <w:right w:w="0" w:type="dxa"/>
          </w:tblCellMar>
        </w:tblPrEx>
        <w:trPr>
          <w:wBefore w:w="0" w:type="auto"/>
          <w:tblCellSpacing w:w="0" w:type="dxa"/>
        </w:trPr>
        <w:tc>
          <w:tcPr>
            <w:tcW w:w="0" w:type="auto"/>
            <w:noWrap w:val="0"/>
            <w:vAlign w:val="center"/>
          </w:tcPr>
          <w:p w14:paraId="7978706D">
            <w:r>
              <w:rPr>
                <w:rStyle w:val="10"/>
                <w:rFonts w:hint="eastAsia"/>
              </w:rPr>
              <w:t>中毒急救措施：</w:t>
            </w:r>
            <w:r>
              <w:rPr>
                <w:rFonts w:hint="eastAsia"/>
              </w:rPr>
              <w:br w:type="textWrapping"/>
            </w:r>
            <w:r>
              <w:rPr>
                <w:rStyle w:val="11"/>
                <w:rFonts w:hint="eastAsia"/>
              </w:rPr>
              <w:t>中毒症状：按标签推荐方法使用，无典型中毒症状。一旦发生中毒，请对症治疗。 急救措施：1.眼睛溅入：立刻用清水冲洗15-20分钟，如配戴隐形眼镜，冲洗5分钟后摘掉眼镜再冲洗15分钟，如不适症状持续，请立即就医。2.误食：立即用水漱口，饮用1-2杯清水并催吐，勿对神志不清者催吐或喂食，并请立即携标签就医。3.皮肤沾附：立即脱下被溅及衣服，用大量肥皂和清水冲洗皮肤15-20分钟，如不适症状持续，请立即就医，衣服彻底清洗后方可再穿。4.误吸：移至空气清新处，使其平躺并保持安静，如呼吸困难，最好在医生指导下由专业人员进行输氧，如呼吸停止，立即进行人工呼吸并就医。5.医生须知：无特效解毒药，请对症治疗。</w:t>
            </w:r>
          </w:p>
        </w:tc>
      </w:tr>
      <w:tr w14:paraId="2362C4A1">
        <w:tblPrEx>
          <w:tblCellMar>
            <w:top w:w="0" w:type="dxa"/>
            <w:left w:w="0" w:type="dxa"/>
            <w:bottom w:w="0" w:type="dxa"/>
            <w:right w:w="0" w:type="dxa"/>
          </w:tblCellMar>
        </w:tblPrEx>
        <w:trPr>
          <w:wBefore w:w="0" w:type="auto"/>
          <w:tblCellSpacing w:w="0" w:type="dxa"/>
        </w:trPr>
        <w:tc>
          <w:tcPr>
            <w:tcW w:w="0" w:type="auto"/>
            <w:noWrap w:val="0"/>
            <w:vAlign w:val="center"/>
          </w:tcPr>
          <w:p w14:paraId="582D9DA9">
            <w:r>
              <w:rPr>
                <w:rStyle w:val="10"/>
                <w:rFonts w:hint="eastAsia"/>
              </w:rPr>
              <w:t>储存和运输方法：</w:t>
            </w:r>
            <w:r>
              <w:rPr>
                <w:rFonts w:hint="eastAsia"/>
              </w:rPr>
              <w:br w:type="textWrapping"/>
            </w:r>
            <w:r>
              <w:rPr>
                <w:rStyle w:val="11"/>
                <w:rFonts w:hint="eastAsia"/>
              </w:rPr>
              <w:t>1.本品应在原包装袋中密封贮存于干燥、阴凉、通风、防雨处，远离火源或热源。2.存放于儿童触及不到之处，并加锁。3.勿与食品、饮料、粮食、饲料等同贮同运，贮存或运输时堆层不得超过规定，注意轻拿轻放，以免损坏包装，导致产品泄漏。</w:t>
            </w:r>
          </w:p>
        </w:tc>
      </w:tr>
      <w:tr w14:paraId="0B730ACC">
        <w:tblPrEx>
          <w:tblCellMar>
            <w:top w:w="0" w:type="dxa"/>
            <w:left w:w="0" w:type="dxa"/>
            <w:bottom w:w="0" w:type="dxa"/>
            <w:right w:w="0" w:type="dxa"/>
          </w:tblCellMar>
        </w:tblPrEx>
        <w:trPr>
          <w:wBefore w:w="0" w:type="auto"/>
          <w:tblCellSpacing w:w="0" w:type="dxa"/>
        </w:trPr>
        <w:tc>
          <w:tcPr>
            <w:tcW w:w="0" w:type="auto"/>
            <w:noWrap w:val="0"/>
            <w:vAlign w:val="center"/>
          </w:tcPr>
          <w:p w14:paraId="661C92A0">
            <w:r>
              <w:rPr>
                <w:rStyle w:val="10"/>
                <w:rFonts w:hint="eastAsia"/>
              </w:rPr>
              <w:t>质量保证期：</w:t>
            </w:r>
            <w:r>
              <w:rPr>
                <w:rStyle w:val="11"/>
                <w:rFonts w:hint="eastAsia"/>
              </w:rPr>
              <w:t>2年</w:t>
            </w:r>
          </w:p>
        </w:tc>
      </w:tr>
      <w:tr w14:paraId="637FE10B">
        <w:tblPrEx>
          <w:tblCellMar>
            <w:top w:w="0" w:type="dxa"/>
            <w:left w:w="0" w:type="dxa"/>
            <w:bottom w:w="0" w:type="dxa"/>
            <w:right w:w="0" w:type="dxa"/>
          </w:tblCellMar>
        </w:tblPrEx>
        <w:trPr>
          <w:wBefore w:w="0" w:type="auto"/>
          <w:tblCellSpacing w:w="0" w:type="dxa"/>
        </w:trPr>
        <w:tc>
          <w:tcPr>
            <w:tcW w:w="0" w:type="auto"/>
            <w:noWrap w:val="0"/>
            <w:vAlign w:val="center"/>
          </w:tcPr>
          <w:p w14:paraId="680DC76E">
            <w:r>
              <w:rPr>
                <w:rStyle w:val="10"/>
                <w:rFonts w:hint="eastAsia"/>
              </w:rPr>
              <w:t>备注：</w:t>
            </w:r>
          </w:p>
        </w:tc>
      </w:tr>
    </w:tbl>
    <w:p w14:paraId="0BB3347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FB2CC8">
        <w:tblPrEx>
          <w:tblCellMar>
            <w:top w:w="0" w:type="dxa"/>
            <w:left w:w="0" w:type="dxa"/>
            <w:bottom w:w="0" w:type="dxa"/>
            <w:right w:w="0" w:type="dxa"/>
          </w:tblCellMar>
        </w:tblPrEx>
        <w:trPr>
          <w:wBefore w:w="0" w:type="auto"/>
          <w:tblCellSpacing w:w="0" w:type="dxa"/>
        </w:trPr>
        <w:tc>
          <w:tcPr>
            <w:tcW w:w="0" w:type="auto"/>
            <w:noWrap w:val="0"/>
            <w:vAlign w:val="center"/>
          </w:tcPr>
          <w:p w14:paraId="6CB1BB7B">
            <w:r>
              <w:rPr>
                <w:rStyle w:val="10"/>
                <w:rFonts w:hint="eastAsia"/>
              </w:rPr>
              <w:t>登记证号：</w:t>
            </w:r>
            <w:r>
              <w:rPr>
                <w:rFonts w:hint="eastAsia"/>
              </w:rPr>
              <w:t>PD20212445</w:t>
            </w:r>
          </w:p>
        </w:tc>
      </w:tr>
      <w:tr w14:paraId="2F7D51F0">
        <w:tblPrEx>
          <w:tblCellMar>
            <w:top w:w="0" w:type="dxa"/>
            <w:left w:w="0" w:type="dxa"/>
            <w:bottom w:w="0" w:type="dxa"/>
            <w:right w:w="0" w:type="dxa"/>
          </w:tblCellMar>
        </w:tblPrEx>
        <w:trPr>
          <w:wBefore w:w="0" w:type="auto"/>
          <w:tblCellSpacing w:w="0" w:type="dxa"/>
        </w:trPr>
        <w:tc>
          <w:tcPr>
            <w:tcW w:w="0" w:type="auto"/>
            <w:noWrap w:val="0"/>
            <w:vAlign w:val="center"/>
          </w:tcPr>
          <w:p w14:paraId="52217CC7">
            <w:r>
              <w:rPr>
                <w:rStyle w:val="10"/>
                <w:rFonts w:hint="eastAsia"/>
              </w:rPr>
              <w:t>登记证持有人：</w:t>
            </w:r>
            <w:r>
              <w:rPr>
                <w:rFonts w:hint="eastAsia"/>
              </w:rPr>
              <w:t>河南省周口市先达化工有限公司</w:t>
            </w:r>
          </w:p>
        </w:tc>
      </w:tr>
      <w:tr w14:paraId="4837BE62">
        <w:tblPrEx>
          <w:tblCellMar>
            <w:top w:w="0" w:type="dxa"/>
            <w:left w:w="0" w:type="dxa"/>
            <w:bottom w:w="0" w:type="dxa"/>
            <w:right w:w="0" w:type="dxa"/>
          </w:tblCellMar>
        </w:tblPrEx>
        <w:trPr>
          <w:wBefore w:w="0" w:type="auto"/>
          <w:tblCellSpacing w:w="0" w:type="dxa"/>
        </w:trPr>
        <w:tc>
          <w:tcPr>
            <w:tcW w:w="0" w:type="auto"/>
            <w:noWrap w:val="0"/>
            <w:vAlign w:val="center"/>
          </w:tcPr>
          <w:p w14:paraId="5F758CBA">
            <w:r>
              <w:rPr>
                <w:rStyle w:val="10"/>
                <w:rFonts w:hint="eastAsia"/>
              </w:rPr>
              <w:t>农药名称：</w:t>
            </w:r>
            <w:r>
              <w:rPr>
                <w:rFonts w:hint="eastAsia"/>
              </w:rPr>
              <w:t>虫螨·噻虫胺</w:t>
            </w:r>
          </w:p>
        </w:tc>
      </w:tr>
      <w:tr w14:paraId="2A9D8463">
        <w:tblPrEx>
          <w:tblCellMar>
            <w:top w:w="0" w:type="dxa"/>
            <w:left w:w="0" w:type="dxa"/>
            <w:bottom w:w="0" w:type="dxa"/>
            <w:right w:w="0" w:type="dxa"/>
          </w:tblCellMar>
        </w:tblPrEx>
        <w:trPr>
          <w:wBefore w:w="0" w:type="auto"/>
          <w:tblCellSpacing w:w="0" w:type="dxa"/>
        </w:trPr>
        <w:tc>
          <w:tcPr>
            <w:tcW w:w="0" w:type="auto"/>
            <w:noWrap w:val="0"/>
            <w:vAlign w:val="center"/>
          </w:tcPr>
          <w:p w14:paraId="68877EEB">
            <w:r>
              <w:rPr>
                <w:rStyle w:val="10"/>
                <w:rFonts w:hint="eastAsia"/>
              </w:rPr>
              <w:t>剂型：</w:t>
            </w:r>
            <w:r>
              <w:rPr>
                <w:rFonts w:hint="eastAsia"/>
              </w:rPr>
              <w:t>悬浮剂</w:t>
            </w:r>
          </w:p>
        </w:tc>
      </w:tr>
      <w:tr w14:paraId="69C32E96">
        <w:tblPrEx>
          <w:tblCellMar>
            <w:top w:w="0" w:type="dxa"/>
            <w:left w:w="0" w:type="dxa"/>
            <w:bottom w:w="0" w:type="dxa"/>
            <w:right w:w="0" w:type="dxa"/>
          </w:tblCellMar>
        </w:tblPrEx>
        <w:trPr>
          <w:wBefore w:w="0" w:type="auto"/>
          <w:tblCellSpacing w:w="0" w:type="dxa"/>
        </w:trPr>
        <w:tc>
          <w:tcPr>
            <w:tcW w:w="0" w:type="auto"/>
            <w:noWrap w:val="0"/>
            <w:vAlign w:val="center"/>
          </w:tcPr>
          <w:p w14:paraId="171A9D3E">
            <w:r>
              <w:rPr>
                <w:rStyle w:val="10"/>
                <w:rFonts w:hint="eastAsia"/>
              </w:rPr>
              <w:t>毒性及其标识：</w:t>
            </w:r>
            <w:r>
              <w:rPr>
                <w:rFonts w:hint="eastAsia"/>
              </w:rPr>
              <w:t xml:space="preserve"> </w:t>
            </w:r>
            <w:r>
              <w:rPr>
                <w:lang/>
              </w:rPr>
              <w:drawing>
                <wp:inline distT="0" distB="0" distL="114300" distR="114300">
                  <wp:extent cx="476250" cy="323850"/>
                  <wp:effectExtent l="0" t="0" r="0" b="0"/>
                  <wp:docPr id="80" name="图片 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003143">
        <w:tblPrEx>
          <w:tblCellMar>
            <w:top w:w="0" w:type="dxa"/>
            <w:left w:w="0" w:type="dxa"/>
            <w:bottom w:w="0" w:type="dxa"/>
            <w:right w:w="0" w:type="dxa"/>
          </w:tblCellMar>
        </w:tblPrEx>
        <w:trPr>
          <w:wBefore w:w="0" w:type="auto"/>
          <w:tblCellSpacing w:w="0" w:type="dxa"/>
        </w:trPr>
        <w:tc>
          <w:tcPr>
            <w:tcW w:w="0" w:type="auto"/>
            <w:noWrap w:val="0"/>
            <w:vAlign w:val="center"/>
          </w:tcPr>
          <w:p w14:paraId="054DB269">
            <w:r>
              <w:rPr>
                <w:rStyle w:val="10"/>
                <w:rFonts w:hint="eastAsia"/>
              </w:rPr>
              <w:t>总有效成分含量：</w:t>
            </w:r>
            <w:r>
              <w:rPr>
                <w:rFonts w:hint="eastAsia"/>
              </w:rPr>
              <w:t>28%</w:t>
            </w:r>
          </w:p>
        </w:tc>
      </w:tr>
      <w:tr w14:paraId="66C28CE8">
        <w:tblPrEx>
          <w:tblCellMar>
            <w:top w:w="0" w:type="dxa"/>
            <w:left w:w="0" w:type="dxa"/>
            <w:bottom w:w="0" w:type="dxa"/>
            <w:right w:w="0" w:type="dxa"/>
          </w:tblCellMar>
        </w:tblPrEx>
        <w:trPr>
          <w:wBefore w:w="0" w:type="auto"/>
          <w:tblCellSpacing w:w="0" w:type="dxa"/>
        </w:trPr>
        <w:tc>
          <w:tcPr>
            <w:tcW w:w="0" w:type="auto"/>
            <w:noWrap w:val="0"/>
            <w:vAlign w:val="center"/>
          </w:tcPr>
          <w:p w14:paraId="2FCBD6A8">
            <w:r>
              <w:rPr>
                <w:rFonts w:hint="eastAsia"/>
              </w:rPr>
              <w:t xml:space="preserve">有效成分及其含量： </w:t>
            </w:r>
          </w:p>
          <w:p w14:paraId="075C0467">
            <w:r>
              <w:rPr>
                <w:rFonts w:hint="eastAsia"/>
              </w:rPr>
              <w:t xml:space="preserve">    虫螨腈8%    噻虫胺20%    </w:t>
            </w:r>
          </w:p>
        </w:tc>
      </w:tr>
      <w:tr w14:paraId="4347365D">
        <w:tblPrEx>
          <w:tblCellMar>
            <w:top w:w="0" w:type="dxa"/>
            <w:left w:w="0" w:type="dxa"/>
            <w:bottom w:w="0" w:type="dxa"/>
            <w:right w:w="0" w:type="dxa"/>
          </w:tblCellMar>
        </w:tblPrEx>
        <w:trPr>
          <w:wBefore w:w="0" w:type="auto"/>
          <w:tblCellSpacing w:w="0" w:type="dxa"/>
        </w:trPr>
        <w:tc>
          <w:tcPr>
            <w:tcW w:w="0" w:type="auto"/>
            <w:noWrap w:val="0"/>
            <w:vAlign w:val="center"/>
          </w:tcPr>
          <w:p w14:paraId="3C3E9F6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2E19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ED49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FEFB6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717B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4A4B4C">
                  <w:r>
                    <w:rPr>
                      <w:rStyle w:val="11"/>
                      <w:rFonts w:hint="eastAsia"/>
                    </w:rPr>
                    <w:t>施用方式</w:t>
                  </w:r>
                </w:p>
              </w:tc>
            </w:tr>
            <w:tr w14:paraId="760BFE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162F5D">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F639AE">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26B140">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3F3FDC">
                  <w:r>
                    <w:rPr>
                      <w:rStyle w:val="11"/>
                      <w:rFonts w:hint="eastAsia"/>
                    </w:rPr>
                    <w:t>灌根</w:t>
                  </w:r>
                </w:p>
              </w:tc>
            </w:tr>
          </w:tbl>
          <w:p w14:paraId="027263DB">
            <w:pPr>
              <w:rPr>
                <w:rFonts w:ascii="Times New Roman" w:hAnsi="Times New Roman" w:cs="Times New Roman"/>
                <w:sz w:val="20"/>
                <w:szCs w:val="20"/>
              </w:rPr>
            </w:pPr>
          </w:p>
        </w:tc>
      </w:tr>
      <w:tr w14:paraId="593D2B88">
        <w:tblPrEx>
          <w:tblCellMar>
            <w:top w:w="0" w:type="dxa"/>
            <w:left w:w="0" w:type="dxa"/>
            <w:bottom w:w="0" w:type="dxa"/>
            <w:right w:w="0" w:type="dxa"/>
          </w:tblCellMar>
        </w:tblPrEx>
        <w:trPr>
          <w:wBefore w:w="0" w:type="auto"/>
          <w:tblCellSpacing w:w="0" w:type="dxa"/>
        </w:trPr>
        <w:tc>
          <w:tcPr>
            <w:tcW w:w="0" w:type="auto"/>
            <w:noWrap w:val="0"/>
            <w:vAlign w:val="center"/>
          </w:tcPr>
          <w:p w14:paraId="0CA22975">
            <w:r>
              <w:rPr>
                <w:rStyle w:val="10"/>
                <w:rFonts w:hint="eastAsia"/>
              </w:rPr>
              <w:t>使用技术要求:</w:t>
            </w:r>
            <w:r>
              <w:rPr>
                <w:rFonts w:hint="eastAsia"/>
              </w:rPr>
              <w:br w:type="textWrapping"/>
            </w:r>
            <w:r>
              <w:rPr>
                <w:rStyle w:val="11"/>
                <w:rFonts w:hint="eastAsia"/>
              </w:rPr>
              <w:t>1、施药方法为灌根，韭菜韭蛆发生始盛期施药1次。 2.大风天或预计1小时内降雨，请勿施药。 3.每次最多使用1次，安全间隔期14天。</w:t>
            </w:r>
          </w:p>
        </w:tc>
      </w:tr>
      <w:tr w14:paraId="304EEB55">
        <w:tblPrEx>
          <w:tblCellMar>
            <w:top w:w="0" w:type="dxa"/>
            <w:left w:w="0" w:type="dxa"/>
            <w:bottom w:w="0" w:type="dxa"/>
            <w:right w:w="0" w:type="dxa"/>
          </w:tblCellMar>
        </w:tblPrEx>
        <w:trPr>
          <w:wBefore w:w="0" w:type="auto"/>
          <w:tblCellSpacing w:w="0" w:type="dxa"/>
        </w:trPr>
        <w:tc>
          <w:tcPr>
            <w:tcW w:w="0" w:type="auto"/>
            <w:noWrap w:val="0"/>
            <w:vAlign w:val="center"/>
          </w:tcPr>
          <w:p w14:paraId="78F123CD">
            <w:r>
              <w:rPr>
                <w:rStyle w:val="10"/>
                <w:rFonts w:hint="eastAsia"/>
              </w:rPr>
              <w:t>产品性能:</w:t>
            </w:r>
            <w:r>
              <w:rPr>
                <w:rFonts w:hint="eastAsia"/>
              </w:rPr>
              <w:br w:type="textWrapping"/>
            </w:r>
            <w:r>
              <w:rPr>
                <w:rStyle w:val="11"/>
                <w:rFonts w:hint="eastAsia"/>
              </w:rPr>
              <w:t>虫螨腈是一种芳基取代吡咯化合物，在植物叶面渗透性较强；噻虫胺一种高效安全、高选择性的新烟碱类杀虫剂。二者结合具有触杀、胃杀和内吸活性强的作用特点， 正常使用条件下对韭蛆有较好的防治效果。</w:t>
            </w:r>
          </w:p>
        </w:tc>
      </w:tr>
      <w:tr w14:paraId="57F651EE">
        <w:tblPrEx>
          <w:tblCellMar>
            <w:top w:w="0" w:type="dxa"/>
            <w:left w:w="0" w:type="dxa"/>
            <w:bottom w:w="0" w:type="dxa"/>
            <w:right w:w="0" w:type="dxa"/>
          </w:tblCellMar>
        </w:tblPrEx>
        <w:trPr>
          <w:wBefore w:w="0" w:type="auto"/>
          <w:tblCellSpacing w:w="0" w:type="dxa"/>
        </w:trPr>
        <w:tc>
          <w:tcPr>
            <w:tcW w:w="0" w:type="auto"/>
            <w:noWrap w:val="0"/>
            <w:vAlign w:val="center"/>
          </w:tcPr>
          <w:p w14:paraId="1F5E0CE4">
            <w:r>
              <w:rPr>
                <w:rStyle w:val="10"/>
                <w:rFonts w:hint="eastAsia"/>
              </w:rPr>
              <w:t>注意事项：</w:t>
            </w:r>
            <w:r>
              <w:rPr>
                <w:rFonts w:hint="eastAsia"/>
              </w:rPr>
              <w:br w:type="textWrapping"/>
            </w:r>
            <w:r>
              <w:rPr>
                <w:rStyle w:val="11"/>
                <w:rFonts w:hint="eastAsia"/>
              </w:rPr>
              <w:t>1、 使用时穿戴长衣、长裤、帽子、口罩、手套等安全防护措施。严禁吸烟和饮食。避免药物与皮肤和眼睛直接接触。施药后要及时洗手洗脸。2、本品对蜜蜂、鱼类等水生生物、家蚕有毒，施药期间应避免对周围蜂群的影响，禁止在开花植物花期、蚕室和桑园附近使用。3、远离水产养殖区、河塘等水域施药。鸟类保护区内,赤眼蜂等天敌放飞区域禁用。4、用过的容器应妥善处理，不可做他用，也不可随意丢弃，禁止在河塘等水体中清洗施药器具。5、哺乳期妇女及孕妇避免接触。6、建议与作用机制不同的杀虫剂轮换使用，以延缓抗性产生。本品不可与呈强酸、强碱性物质混用。</w:t>
            </w:r>
          </w:p>
        </w:tc>
      </w:tr>
      <w:tr w14:paraId="16A8C33C">
        <w:tblPrEx>
          <w:tblCellMar>
            <w:top w:w="0" w:type="dxa"/>
            <w:left w:w="0" w:type="dxa"/>
            <w:bottom w:w="0" w:type="dxa"/>
            <w:right w:w="0" w:type="dxa"/>
          </w:tblCellMar>
        </w:tblPrEx>
        <w:trPr>
          <w:wBefore w:w="0" w:type="auto"/>
          <w:tblCellSpacing w:w="0" w:type="dxa"/>
        </w:trPr>
        <w:tc>
          <w:tcPr>
            <w:tcW w:w="0" w:type="auto"/>
            <w:noWrap w:val="0"/>
            <w:vAlign w:val="center"/>
          </w:tcPr>
          <w:p w14:paraId="30819FFC">
            <w:r>
              <w:rPr>
                <w:rStyle w:val="10"/>
                <w:rFonts w:hint="eastAsia"/>
              </w:rPr>
              <w:t>中毒急救措施：</w:t>
            </w:r>
            <w:r>
              <w:rPr>
                <w:rFonts w:hint="eastAsia"/>
              </w:rPr>
              <w:br w:type="textWrapping"/>
            </w:r>
            <w:r>
              <w:rPr>
                <w:rStyle w:val="11"/>
                <w:rFonts w:hint="eastAsia"/>
              </w:rPr>
              <w:t>中毒症状：轻度中毒：头痛、呕吐、出汗等；过量误服，可导致腹泻发生或重者抽搐。 急救措施：用药时如果感觉不适，立即停止工作，采取急救措施，并携此标签送医就诊。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3E7CA337">
        <w:tblPrEx>
          <w:tblCellMar>
            <w:top w:w="0" w:type="dxa"/>
            <w:left w:w="0" w:type="dxa"/>
            <w:bottom w:w="0" w:type="dxa"/>
            <w:right w:w="0" w:type="dxa"/>
          </w:tblCellMar>
        </w:tblPrEx>
        <w:trPr>
          <w:wBefore w:w="0" w:type="auto"/>
          <w:tblCellSpacing w:w="0" w:type="dxa"/>
        </w:trPr>
        <w:tc>
          <w:tcPr>
            <w:tcW w:w="0" w:type="auto"/>
            <w:noWrap w:val="0"/>
            <w:vAlign w:val="center"/>
          </w:tcPr>
          <w:p w14:paraId="1E33459D">
            <w:r>
              <w:rPr>
                <w:rStyle w:val="10"/>
                <w:rFonts w:hint="eastAsia"/>
              </w:rPr>
              <w:t>储存和运输方法：</w:t>
            </w:r>
            <w:r>
              <w:rPr>
                <w:rFonts w:hint="eastAsia"/>
              </w:rPr>
              <w:br w:type="textWrapping"/>
            </w:r>
            <w:r>
              <w:rPr>
                <w:rStyle w:val="11"/>
                <w:rFonts w:hint="eastAsia"/>
              </w:rPr>
              <w:t>本品应贮存于阴凉、干燥、通风处，防止受潮，隔热防晒，避免高温避免阳光直接照射。置于儿童、无关人员触及不到之处并加锁。远离火源，不能与食品、饮料、粮食、饲料同贮同运。</w:t>
            </w:r>
          </w:p>
        </w:tc>
      </w:tr>
      <w:tr w14:paraId="620FE564">
        <w:tblPrEx>
          <w:tblCellMar>
            <w:top w:w="0" w:type="dxa"/>
            <w:left w:w="0" w:type="dxa"/>
            <w:bottom w:w="0" w:type="dxa"/>
            <w:right w:w="0" w:type="dxa"/>
          </w:tblCellMar>
        </w:tblPrEx>
        <w:trPr>
          <w:wBefore w:w="0" w:type="auto"/>
          <w:tblCellSpacing w:w="0" w:type="dxa"/>
        </w:trPr>
        <w:tc>
          <w:tcPr>
            <w:tcW w:w="0" w:type="auto"/>
            <w:noWrap w:val="0"/>
            <w:vAlign w:val="center"/>
          </w:tcPr>
          <w:p w14:paraId="3F3BFF30">
            <w:r>
              <w:rPr>
                <w:rStyle w:val="10"/>
                <w:rFonts w:hint="eastAsia"/>
              </w:rPr>
              <w:t>质量保证期：</w:t>
            </w:r>
            <w:r>
              <w:rPr>
                <w:rStyle w:val="11"/>
                <w:rFonts w:hint="eastAsia"/>
              </w:rPr>
              <w:t>2年</w:t>
            </w:r>
          </w:p>
        </w:tc>
      </w:tr>
      <w:tr w14:paraId="51A920C0">
        <w:tblPrEx>
          <w:tblCellMar>
            <w:top w:w="0" w:type="dxa"/>
            <w:left w:w="0" w:type="dxa"/>
            <w:bottom w:w="0" w:type="dxa"/>
            <w:right w:w="0" w:type="dxa"/>
          </w:tblCellMar>
        </w:tblPrEx>
        <w:trPr>
          <w:wBefore w:w="0" w:type="auto"/>
          <w:tblCellSpacing w:w="0" w:type="dxa"/>
        </w:trPr>
        <w:tc>
          <w:tcPr>
            <w:tcW w:w="0" w:type="auto"/>
            <w:noWrap w:val="0"/>
            <w:vAlign w:val="center"/>
          </w:tcPr>
          <w:p w14:paraId="74BA0B73">
            <w:r>
              <w:rPr>
                <w:rStyle w:val="10"/>
                <w:rFonts w:hint="eastAsia"/>
              </w:rPr>
              <w:t>备注：</w:t>
            </w:r>
          </w:p>
        </w:tc>
      </w:tr>
    </w:tbl>
    <w:p w14:paraId="78ACD8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20CB76">
        <w:tblPrEx>
          <w:tblCellMar>
            <w:top w:w="0" w:type="dxa"/>
            <w:left w:w="0" w:type="dxa"/>
            <w:bottom w:w="0" w:type="dxa"/>
            <w:right w:w="0" w:type="dxa"/>
          </w:tblCellMar>
        </w:tblPrEx>
        <w:trPr>
          <w:wBefore w:w="0" w:type="auto"/>
          <w:tblCellSpacing w:w="0" w:type="dxa"/>
        </w:trPr>
        <w:tc>
          <w:tcPr>
            <w:tcW w:w="0" w:type="auto"/>
            <w:noWrap w:val="0"/>
            <w:vAlign w:val="center"/>
          </w:tcPr>
          <w:p w14:paraId="082EDEDD">
            <w:r>
              <w:rPr>
                <w:rStyle w:val="10"/>
                <w:rFonts w:hint="eastAsia"/>
              </w:rPr>
              <w:t>登记证号：</w:t>
            </w:r>
            <w:r>
              <w:rPr>
                <w:rFonts w:hint="eastAsia"/>
              </w:rPr>
              <w:t>PD20212729</w:t>
            </w:r>
          </w:p>
        </w:tc>
      </w:tr>
      <w:tr w14:paraId="1B905E18">
        <w:tblPrEx>
          <w:tblCellMar>
            <w:top w:w="0" w:type="dxa"/>
            <w:left w:w="0" w:type="dxa"/>
            <w:bottom w:w="0" w:type="dxa"/>
            <w:right w:w="0" w:type="dxa"/>
          </w:tblCellMar>
        </w:tblPrEx>
        <w:trPr>
          <w:wBefore w:w="0" w:type="auto"/>
          <w:tblCellSpacing w:w="0" w:type="dxa"/>
        </w:trPr>
        <w:tc>
          <w:tcPr>
            <w:tcW w:w="0" w:type="auto"/>
            <w:noWrap w:val="0"/>
            <w:vAlign w:val="center"/>
          </w:tcPr>
          <w:p w14:paraId="0D112C44">
            <w:r>
              <w:rPr>
                <w:rStyle w:val="10"/>
                <w:rFonts w:hint="eastAsia"/>
              </w:rPr>
              <w:t>登记证持有人：</w:t>
            </w:r>
            <w:r>
              <w:rPr>
                <w:rFonts w:hint="eastAsia"/>
              </w:rPr>
              <w:t>宁波三江益农化学有限公司</w:t>
            </w:r>
          </w:p>
        </w:tc>
      </w:tr>
      <w:tr w14:paraId="2AFE9093">
        <w:tblPrEx>
          <w:tblCellMar>
            <w:top w:w="0" w:type="dxa"/>
            <w:left w:w="0" w:type="dxa"/>
            <w:bottom w:w="0" w:type="dxa"/>
            <w:right w:w="0" w:type="dxa"/>
          </w:tblCellMar>
        </w:tblPrEx>
        <w:trPr>
          <w:wBefore w:w="0" w:type="auto"/>
          <w:tblCellSpacing w:w="0" w:type="dxa"/>
        </w:trPr>
        <w:tc>
          <w:tcPr>
            <w:tcW w:w="0" w:type="auto"/>
            <w:noWrap w:val="0"/>
            <w:vAlign w:val="center"/>
          </w:tcPr>
          <w:p w14:paraId="4A05C453">
            <w:r>
              <w:rPr>
                <w:rStyle w:val="10"/>
                <w:rFonts w:hint="eastAsia"/>
              </w:rPr>
              <w:t>农药名称：</w:t>
            </w:r>
            <w:r>
              <w:rPr>
                <w:rFonts w:hint="eastAsia"/>
              </w:rPr>
              <w:t>氢氧化铜</w:t>
            </w:r>
          </w:p>
        </w:tc>
      </w:tr>
      <w:tr w14:paraId="7FEB491B">
        <w:tblPrEx>
          <w:tblCellMar>
            <w:top w:w="0" w:type="dxa"/>
            <w:left w:w="0" w:type="dxa"/>
            <w:bottom w:w="0" w:type="dxa"/>
            <w:right w:w="0" w:type="dxa"/>
          </w:tblCellMar>
        </w:tblPrEx>
        <w:trPr>
          <w:wBefore w:w="0" w:type="auto"/>
          <w:tblCellSpacing w:w="0" w:type="dxa"/>
        </w:trPr>
        <w:tc>
          <w:tcPr>
            <w:tcW w:w="0" w:type="auto"/>
            <w:noWrap w:val="0"/>
            <w:vAlign w:val="center"/>
          </w:tcPr>
          <w:p w14:paraId="5F18A9E4">
            <w:r>
              <w:rPr>
                <w:rStyle w:val="10"/>
                <w:rFonts w:hint="eastAsia"/>
              </w:rPr>
              <w:t>剂型：</w:t>
            </w:r>
            <w:r>
              <w:rPr>
                <w:rFonts w:hint="eastAsia"/>
              </w:rPr>
              <w:t>水分散粒剂</w:t>
            </w:r>
          </w:p>
        </w:tc>
      </w:tr>
      <w:tr w14:paraId="7CB6DFB5">
        <w:tblPrEx>
          <w:tblCellMar>
            <w:top w:w="0" w:type="dxa"/>
            <w:left w:w="0" w:type="dxa"/>
            <w:bottom w:w="0" w:type="dxa"/>
            <w:right w:w="0" w:type="dxa"/>
          </w:tblCellMar>
        </w:tblPrEx>
        <w:trPr>
          <w:wBefore w:w="0" w:type="auto"/>
          <w:tblCellSpacing w:w="0" w:type="dxa"/>
        </w:trPr>
        <w:tc>
          <w:tcPr>
            <w:tcW w:w="0" w:type="auto"/>
            <w:noWrap w:val="0"/>
            <w:vAlign w:val="center"/>
          </w:tcPr>
          <w:p w14:paraId="3757E9ED">
            <w:r>
              <w:rPr>
                <w:rStyle w:val="10"/>
                <w:rFonts w:hint="eastAsia"/>
              </w:rPr>
              <w:t>毒性及其标识：</w:t>
            </w:r>
            <w:r>
              <w:rPr>
                <w:rFonts w:hint="eastAsia"/>
              </w:rPr>
              <w:t xml:space="preserve"> </w:t>
            </w:r>
            <w:r>
              <w:rPr>
                <w:lang/>
              </w:rPr>
              <w:drawing>
                <wp:inline distT="0" distB="0" distL="114300" distR="114300">
                  <wp:extent cx="476250" cy="323850"/>
                  <wp:effectExtent l="0" t="0" r="0" b="0"/>
                  <wp:docPr id="81" name="图片 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32E864">
        <w:tblPrEx>
          <w:tblCellMar>
            <w:top w:w="0" w:type="dxa"/>
            <w:left w:w="0" w:type="dxa"/>
            <w:bottom w:w="0" w:type="dxa"/>
            <w:right w:w="0" w:type="dxa"/>
          </w:tblCellMar>
        </w:tblPrEx>
        <w:trPr>
          <w:wBefore w:w="0" w:type="auto"/>
          <w:tblCellSpacing w:w="0" w:type="dxa"/>
        </w:trPr>
        <w:tc>
          <w:tcPr>
            <w:tcW w:w="0" w:type="auto"/>
            <w:noWrap w:val="0"/>
            <w:vAlign w:val="center"/>
          </w:tcPr>
          <w:p w14:paraId="7A5F5DBD">
            <w:r>
              <w:rPr>
                <w:rStyle w:val="10"/>
                <w:rFonts w:hint="eastAsia"/>
              </w:rPr>
              <w:t>总有效成分含量：</w:t>
            </w:r>
            <w:r>
              <w:rPr>
                <w:rFonts w:hint="eastAsia"/>
              </w:rPr>
              <w:t>77%</w:t>
            </w:r>
          </w:p>
        </w:tc>
      </w:tr>
      <w:tr w14:paraId="0FFC646F">
        <w:tblPrEx>
          <w:tblCellMar>
            <w:top w:w="0" w:type="dxa"/>
            <w:left w:w="0" w:type="dxa"/>
            <w:bottom w:w="0" w:type="dxa"/>
            <w:right w:w="0" w:type="dxa"/>
          </w:tblCellMar>
        </w:tblPrEx>
        <w:trPr>
          <w:wBefore w:w="0" w:type="auto"/>
          <w:tblCellSpacing w:w="0" w:type="dxa"/>
        </w:trPr>
        <w:tc>
          <w:tcPr>
            <w:tcW w:w="0" w:type="auto"/>
            <w:noWrap w:val="0"/>
            <w:vAlign w:val="center"/>
          </w:tcPr>
          <w:p w14:paraId="0B927098">
            <w:r>
              <w:rPr>
                <w:rFonts w:hint="eastAsia"/>
              </w:rPr>
              <w:t xml:space="preserve">有效成分及其含量： </w:t>
            </w:r>
          </w:p>
          <w:p w14:paraId="1809A5D3">
            <w:r>
              <w:rPr>
                <w:rFonts w:hint="eastAsia"/>
              </w:rPr>
              <w:t xml:space="preserve">    氢氧化铜77%    </w:t>
            </w:r>
          </w:p>
        </w:tc>
      </w:tr>
      <w:tr w14:paraId="7243440B">
        <w:tblPrEx>
          <w:tblCellMar>
            <w:top w:w="0" w:type="dxa"/>
            <w:left w:w="0" w:type="dxa"/>
            <w:bottom w:w="0" w:type="dxa"/>
            <w:right w:w="0" w:type="dxa"/>
          </w:tblCellMar>
        </w:tblPrEx>
        <w:trPr>
          <w:wBefore w:w="0" w:type="auto"/>
          <w:tblCellSpacing w:w="0" w:type="dxa"/>
        </w:trPr>
        <w:tc>
          <w:tcPr>
            <w:tcW w:w="0" w:type="auto"/>
            <w:noWrap w:val="0"/>
            <w:vAlign w:val="center"/>
          </w:tcPr>
          <w:p w14:paraId="79CC1A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67E3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BCF63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7124D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62A41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C9709A">
                  <w:r>
                    <w:rPr>
                      <w:rStyle w:val="11"/>
                      <w:rFonts w:hint="eastAsia"/>
                    </w:rPr>
                    <w:t>施用方式</w:t>
                  </w:r>
                </w:p>
              </w:tc>
            </w:tr>
            <w:tr w14:paraId="5BD732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E3C64E">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B839A6">
                  <w:r>
                    <w:rPr>
                      <w:rStyle w:val="11"/>
                      <w:rFonts w:hint="eastAsia"/>
                    </w:rPr>
                    <w:t>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57A00">
                  <w:r>
                    <w:rPr>
                      <w:rStyle w:val="11"/>
                      <w:rFonts w:hint="eastAsia"/>
                    </w:rPr>
                    <w:t>30-50克/亩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819A7B">
                  <w:r>
                    <w:rPr>
                      <w:rStyle w:val="11"/>
                      <w:rFonts w:hint="eastAsia"/>
                    </w:rPr>
                    <w:t>喷雾</w:t>
                  </w:r>
                </w:p>
              </w:tc>
            </w:tr>
          </w:tbl>
          <w:p w14:paraId="1B7E223E">
            <w:pPr>
              <w:rPr>
                <w:rFonts w:ascii="Times New Roman" w:hAnsi="Times New Roman" w:cs="Times New Roman"/>
                <w:sz w:val="20"/>
                <w:szCs w:val="20"/>
              </w:rPr>
            </w:pPr>
          </w:p>
        </w:tc>
      </w:tr>
      <w:tr w14:paraId="2DEF29C9">
        <w:tblPrEx>
          <w:tblCellMar>
            <w:top w:w="0" w:type="dxa"/>
            <w:left w:w="0" w:type="dxa"/>
            <w:bottom w:w="0" w:type="dxa"/>
            <w:right w:w="0" w:type="dxa"/>
          </w:tblCellMar>
        </w:tblPrEx>
        <w:trPr>
          <w:wBefore w:w="0" w:type="auto"/>
          <w:tblCellSpacing w:w="0" w:type="dxa"/>
        </w:trPr>
        <w:tc>
          <w:tcPr>
            <w:tcW w:w="0" w:type="auto"/>
            <w:noWrap w:val="0"/>
            <w:vAlign w:val="center"/>
          </w:tcPr>
          <w:p w14:paraId="1E974F15">
            <w:r>
              <w:rPr>
                <w:rStyle w:val="10"/>
                <w:rFonts w:hint="eastAsia"/>
              </w:rPr>
              <w:t>使用技术要求:</w:t>
            </w:r>
            <w:r>
              <w:rPr>
                <w:rFonts w:hint="eastAsia"/>
              </w:rPr>
              <w:br w:type="textWrapping"/>
            </w:r>
            <w:r>
              <w:rPr>
                <w:rStyle w:val="11"/>
                <w:rFonts w:hint="eastAsia"/>
              </w:rPr>
              <w:t>1. 黄瓜角斑病发病前或发病初期喷雾使用，间隔7-10天施药一次，连续施药2次。 2. 大风天或预计1小时内降雨，请勿施药。高温时请适当降低使用浓度。</w:t>
            </w:r>
          </w:p>
        </w:tc>
      </w:tr>
      <w:tr w14:paraId="46B5865E">
        <w:tblPrEx>
          <w:tblCellMar>
            <w:top w:w="0" w:type="dxa"/>
            <w:left w:w="0" w:type="dxa"/>
            <w:bottom w:w="0" w:type="dxa"/>
            <w:right w:w="0" w:type="dxa"/>
          </w:tblCellMar>
        </w:tblPrEx>
        <w:trPr>
          <w:wBefore w:w="0" w:type="auto"/>
          <w:tblCellSpacing w:w="0" w:type="dxa"/>
        </w:trPr>
        <w:tc>
          <w:tcPr>
            <w:tcW w:w="0" w:type="auto"/>
            <w:noWrap w:val="0"/>
            <w:vAlign w:val="center"/>
          </w:tcPr>
          <w:p w14:paraId="1F69F1E6">
            <w:r>
              <w:rPr>
                <w:rStyle w:val="10"/>
                <w:rFonts w:hint="eastAsia"/>
              </w:rPr>
              <w:t>产品性能:</w:t>
            </w:r>
            <w:r>
              <w:rPr>
                <w:rFonts w:hint="eastAsia"/>
              </w:rPr>
              <w:br w:type="textWrapping"/>
            </w:r>
            <w:r>
              <w:rPr>
                <w:rStyle w:val="11"/>
                <w:rFonts w:hint="eastAsia"/>
              </w:rPr>
              <w:t>本产品为无机铜素杀菌剂，通过释放具有杀菌活性的铜离子与病原菌体内蛋白质的基团结合，使蛋白质变性，导致病菌死亡。</w:t>
            </w:r>
          </w:p>
        </w:tc>
      </w:tr>
      <w:tr w14:paraId="64F59C03">
        <w:tblPrEx>
          <w:tblCellMar>
            <w:top w:w="0" w:type="dxa"/>
            <w:left w:w="0" w:type="dxa"/>
            <w:bottom w:w="0" w:type="dxa"/>
            <w:right w:w="0" w:type="dxa"/>
          </w:tblCellMar>
        </w:tblPrEx>
        <w:trPr>
          <w:wBefore w:w="0" w:type="auto"/>
          <w:tblCellSpacing w:w="0" w:type="dxa"/>
        </w:trPr>
        <w:tc>
          <w:tcPr>
            <w:tcW w:w="0" w:type="auto"/>
            <w:noWrap w:val="0"/>
            <w:vAlign w:val="center"/>
          </w:tcPr>
          <w:p w14:paraId="2D4B7D31">
            <w:r>
              <w:rPr>
                <w:rStyle w:val="10"/>
                <w:rFonts w:hint="eastAsia"/>
              </w:rPr>
              <w:t>注意事项：</w:t>
            </w:r>
            <w:r>
              <w:rPr>
                <w:rFonts w:hint="eastAsia"/>
              </w:rPr>
              <w:br w:type="textWrapping"/>
            </w:r>
            <w:r>
              <w:rPr>
                <w:rStyle w:val="11"/>
                <w:rFonts w:hint="eastAsia"/>
              </w:rPr>
              <w:t>1. 苹果、梨花期及幼果期禁用，并避免溅及桃、李等，对铜制剂敏感作物禁用。 2. 避免与强酸、强碱性物质混用。 3. 禁止与三乙膦酸铝类农药混用。 4. 本品对水生生物有毒，水产养殖区、河塘等水体附近禁用，禁止在河塘等水域内清洗施药器具。鸟类保护区附近禁用。蚕室和桑园附近禁用。 5.本品对眼睛有刺激性，使用时穿戴长衣、长裤、帽子、口罩、手套等防护措施。避免皮肤接触及口鼻吸入，避免眼睛接触；施药期间不可吃东西、饮水、吸烟等；施药后应及时冲洗手、脸及裸露部位，并更换和清洗工作服。 6. 孕期及哺乳期妇女禁止接触本品。 7. 用过的容器应妥善处理，不可做他用，也不可随意丢弃。</w:t>
            </w:r>
          </w:p>
        </w:tc>
      </w:tr>
      <w:tr w14:paraId="0E74F896">
        <w:tblPrEx>
          <w:tblCellMar>
            <w:top w:w="0" w:type="dxa"/>
            <w:left w:w="0" w:type="dxa"/>
            <w:bottom w:w="0" w:type="dxa"/>
            <w:right w:w="0" w:type="dxa"/>
          </w:tblCellMar>
        </w:tblPrEx>
        <w:trPr>
          <w:wBefore w:w="0" w:type="auto"/>
          <w:tblCellSpacing w:w="0" w:type="dxa"/>
        </w:trPr>
        <w:tc>
          <w:tcPr>
            <w:tcW w:w="0" w:type="auto"/>
            <w:noWrap w:val="0"/>
            <w:vAlign w:val="center"/>
          </w:tcPr>
          <w:p w14:paraId="55D70AFB">
            <w:r>
              <w:rPr>
                <w:rStyle w:val="10"/>
                <w:rFonts w:hint="eastAsia"/>
              </w:rPr>
              <w:t>中毒急救措施：</w:t>
            </w:r>
            <w:r>
              <w:rPr>
                <w:rFonts w:hint="eastAsia"/>
              </w:rPr>
              <w:br w:type="textWrapping"/>
            </w:r>
            <w:r>
              <w:rPr>
                <w:rStyle w:val="11"/>
                <w:rFonts w:hint="eastAsia"/>
              </w:rPr>
              <w:t>1. 中毒症状：误食引起急性中毒，表现为头痛、头晕、乏力、口腔粘膜呈蓝色，口内有金属味，齿龈出血，舌发青，腹泻，腹绞痛，黑大便，重者昏迷、痉挛，血压下降等。2. 皮肤接触：立即脱掉被污染的衣服，用大量清水清洗。3. 眼睛溅入：本产品对眼睛具有刺激性，用清水冲洗眼睛至少15分钟，如仍有刺激发生，携此标签去医院就诊。4. 误吸：迅速将吸入者转移至新鲜空气处。如呼吸困难，施行人工呼吸。5. 误服：立即携此标签送医就诊。6. 解毒剂为依地酸二钠钙，并配合对症治疗。</w:t>
            </w:r>
          </w:p>
        </w:tc>
      </w:tr>
      <w:tr w14:paraId="62E99CFB">
        <w:tblPrEx>
          <w:tblCellMar>
            <w:top w:w="0" w:type="dxa"/>
            <w:left w:w="0" w:type="dxa"/>
            <w:bottom w:w="0" w:type="dxa"/>
            <w:right w:w="0" w:type="dxa"/>
          </w:tblCellMar>
        </w:tblPrEx>
        <w:trPr>
          <w:wBefore w:w="0" w:type="auto"/>
          <w:tblCellSpacing w:w="0" w:type="dxa"/>
        </w:trPr>
        <w:tc>
          <w:tcPr>
            <w:tcW w:w="0" w:type="auto"/>
            <w:noWrap w:val="0"/>
            <w:vAlign w:val="center"/>
          </w:tcPr>
          <w:p w14:paraId="2442D242">
            <w:r>
              <w:rPr>
                <w:rStyle w:val="10"/>
                <w:rFonts w:hint="eastAsia"/>
              </w:rPr>
              <w:t>储存和运输方法：</w:t>
            </w:r>
            <w:r>
              <w:rPr>
                <w:rFonts w:hint="eastAsia"/>
              </w:rPr>
              <w:br w:type="textWrapping"/>
            </w:r>
            <w:r>
              <w:rPr>
                <w:rStyle w:val="11"/>
                <w:rFonts w:hint="eastAsia"/>
              </w:rPr>
              <w:t>1. 本品应贮存在干燥、阴凉、通风、防雨处，远离热源或火源。置于儿童与无关人员接触不到的地方，并加锁保管，不能与食品、饮料、粮食、饲料等混合储存。 2. 运输时，严防潮湿和日晒雨淋，搬运时轻搬轻放，避免与皮肤、眼睛接触，防止由口鼻吸入。</w:t>
            </w:r>
          </w:p>
        </w:tc>
      </w:tr>
      <w:tr w14:paraId="0465EBD0">
        <w:tblPrEx>
          <w:tblCellMar>
            <w:top w:w="0" w:type="dxa"/>
            <w:left w:w="0" w:type="dxa"/>
            <w:bottom w:w="0" w:type="dxa"/>
            <w:right w:w="0" w:type="dxa"/>
          </w:tblCellMar>
        </w:tblPrEx>
        <w:trPr>
          <w:wBefore w:w="0" w:type="auto"/>
          <w:tblCellSpacing w:w="0" w:type="dxa"/>
        </w:trPr>
        <w:tc>
          <w:tcPr>
            <w:tcW w:w="0" w:type="auto"/>
            <w:noWrap w:val="0"/>
            <w:vAlign w:val="center"/>
          </w:tcPr>
          <w:p w14:paraId="66840012">
            <w:r>
              <w:rPr>
                <w:rStyle w:val="10"/>
                <w:rFonts w:hint="eastAsia"/>
              </w:rPr>
              <w:t>质量保证期：</w:t>
            </w:r>
            <w:r>
              <w:rPr>
                <w:rStyle w:val="11"/>
                <w:rFonts w:hint="eastAsia"/>
              </w:rPr>
              <w:t>2年</w:t>
            </w:r>
          </w:p>
        </w:tc>
      </w:tr>
      <w:tr w14:paraId="2C7C9111">
        <w:tblPrEx>
          <w:tblCellMar>
            <w:top w:w="0" w:type="dxa"/>
            <w:left w:w="0" w:type="dxa"/>
            <w:bottom w:w="0" w:type="dxa"/>
            <w:right w:w="0" w:type="dxa"/>
          </w:tblCellMar>
        </w:tblPrEx>
        <w:trPr>
          <w:wBefore w:w="0" w:type="auto"/>
          <w:tblCellSpacing w:w="0" w:type="dxa"/>
        </w:trPr>
        <w:tc>
          <w:tcPr>
            <w:tcW w:w="0" w:type="auto"/>
            <w:noWrap w:val="0"/>
            <w:vAlign w:val="center"/>
          </w:tcPr>
          <w:p w14:paraId="42202B3D">
            <w:r>
              <w:rPr>
                <w:rStyle w:val="10"/>
                <w:rFonts w:hint="eastAsia"/>
              </w:rPr>
              <w:t>备注：</w:t>
            </w:r>
          </w:p>
        </w:tc>
      </w:tr>
    </w:tbl>
    <w:p w14:paraId="41122D4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779989">
        <w:tblPrEx>
          <w:tblCellMar>
            <w:top w:w="0" w:type="dxa"/>
            <w:left w:w="0" w:type="dxa"/>
            <w:bottom w:w="0" w:type="dxa"/>
            <w:right w:w="0" w:type="dxa"/>
          </w:tblCellMar>
        </w:tblPrEx>
        <w:trPr>
          <w:wBefore w:w="0" w:type="auto"/>
          <w:tblCellSpacing w:w="0" w:type="dxa"/>
        </w:trPr>
        <w:tc>
          <w:tcPr>
            <w:tcW w:w="0" w:type="auto"/>
            <w:noWrap w:val="0"/>
            <w:vAlign w:val="center"/>
          </w:tcPr>
          <w:p w14:paraId="09EA7F95">
            <w:r>
              <w:rPr>
                <w:rStyle w:val="10"/>
                <w:rFonts w:hint="eastAsia"/>
              </w:rPr>
              <w:t>登记证号：</w:t>
            </w:r>
            <w:r>
              <w:rPr>
                <w:rFonts w:hint="eastAsia"/>
              </w:rPr>
              <w:t>PD20212643</w:t>
            </w:r>
          </w:p>
        </w:tc>
      </w:tr>
      <w:tr w14:paraId="1762D7F7">
        <w:tblPrEx>
          <w:tblCellMar>
            <w:top w:w="0" w:type="dxa"/>
            <w:left w:w="0" w:type="dxa"/>
            <w:bottom w:w="0" w:type="dxa"/>
            <w:right w:w="0" w:type="dxa"/>
          </w:tblCellMar>
        </w:tblPrEx>
        <w:trPr>
          <w:wBefore w:w="0" w:type="auto"/>
          <w:tblCellSpacing w:w="0" w:type="dxa"/>
        </w:trPr>
        <w:tc>
          <w:tcPr>
            <w:tcW w:w="0" w:type="auto"/>
            <w:noWrap w:val="0"/>
            <w:vAlign w:val="center"/>
          </w:tcPr>
          <w:p w14:paraId="20683602">
            <w:r>
              <w:rPr>
                <w:rStyle w:val="10"/>
                <w:rFonts w:hint="eastAsia"/>
              </w:rPr>
              <w:t>登记证持有人：</w:t>
            </w:r>
            <w:r>
              <w:rPr>
                <w:rFonts w:hint="eastAsia"/>
              </w:rPr>
              <w:t>湖北泰盛化工有限公司</w:t>
            </w:r>
          </w:p>
        </w:tc>
      </w:tr>
      <w:tr w14:paraId="4B71D14B">
        <w:tblPrEx>
          <w:tblCellMar>
            <w:top w:w="0" w:type="dxa"/>
            <w:left w:w="0" w:type="dxa"/>
            <w:bottom w:w="0" w:type="dxa"/>
            <w:right w:w="0" w:type="dxa"/>
          </w:tblCellMar>
        </w:tblPrEx>
        <w:trPr>
          <w:wBefore w:w="0" w:type="auto"/>
          <w:tblCellSpacing w:w="0" w:type="dxa"/>
        </w:trPr>
        <w:tc>
          <w:tcPr>
            <w:tcW w:w="0" w:type="auto"/>
            <w:noWrap w:val="0"/>
            <w:vAlign w:val="center"/>
          </w:tcPr>
          <w:p w14:paraId="4855B47D">
            <w:r>
              <w:rPr>
                <w:rStyle w:val="10"/>
                <w:rFonts w:hint="eastAsia"/>
              </w:rPr>
              <w:t>农药名称：</w:t>
            </w:r>
            <w:r>
              <w:rPr>
                <w:rFonts w:hint="eastAsia"/>
              </w:rPr>
              <w:t>滴酸·草甘膦</w:t>
            </w:r>
          </w:p>
        </w:tc>
      </w:tr>
      <w:tr w14:paraId="0252E95E">
        <w:tblPrEx>
          <w:tblCellMar>
            <w:top w:w="0" w:type="dxa"/>
            <w:left w:w="0" w:type="dxa"/>
            <w:bottom w:w="0" w:type="dxa"/>
            <w:right w:w="0" w:type="dxa"/>
          </w:tblCellMar>
        </w:tblPrEx>
        <w:trPr>
          <w:wBefore w:w="0" w:type="auto"/>
          <w:tblCellSpacing w:w="0" w:type="dxa"/>
        </w:trPr>
        <w:tc>
          <w:tcPr>
            <w:tcW w:w="0" w:type="auto"/>
            <w:noWrap w:val="0"/>
            <w:vAlign w:val="center"/>
          </w:tcPr>
          <w:p w14:paraId="1BEECCA5">
            <w:r>
              <w:rPr>
                <w:rStyle w:val="10"/>
                <w:rFonts w:hint="eastAsia"/>
              </w:rPr>
              <w:t>剂型：</w:t>
            </w:r>
            <w:r>
              <w:rPr>
                <w:rFonts w:hint="eastAsia"/>
              </w:rPr>
              <w:t>可溶液剂</w:t>
            </w:r>
          </w:p>
        </w:tc>
      </w:tr>
      <w:tr w14:paraId="7DC21093">
        <w:tblPrEx>
          <w:tblCellMar>
            <w:top w:w="0" w:type="dxa"/>
            <w:left w:w="0" w:type="dxa"/>
            <w:bottom w:w="0" w:type="dxa"/>
            <w:right w:w="0" w:type="dxa"/>
          </w:tblCellMar>
        </w:tblPrEx>
        <w:trPr>
          <w:wBefore w:w="0" w:type="auto"/>
          <w:tblCellSpacing w:w="0" w:type="dxa"/>
        </w:trPr>
        <w:tc>
          <w:tcPr>
            <w:tcW w:w="0" w:type="auto"/>
            <w:noWrap w:val="0"/>
            <w:vAlign w:val="center"/>
          </w:tcPr>
          <w:p w14:paraId="58060950">
            <w:r>
              <w:rPr>
                <w:rStyle w:val="10"/>
                <w:rFonts w:hint="eastAsia"/>
              </w:rPr>
              <w:t>毒性及其标识：</w:t>
            </w:r>
            <w:r>
              <w:rPr>
                <w:rFonts w:hint="eastAsia"/>
              </w:rPr>
              <w:t xml:space="preserve"> </w:t>
            </w:r>
            <w:r>
              <w:rPr>
                <w:lang/>
              </w:rPr>
              <w:drawing>
                <wp:inline distT="0" distB="0" distL="114300" distR="114300">
                  <wp:extent cx="476250" cy="323850"/>
                  <wp:effectExtent l="0" t="0" r="0" b="0"/>
                  <wp:docPr id="82" name="图片 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161146">
        <w:tblPrEx>
          <w:tblCellMar>
            <w:top w:w="0" w:type="dxa"/>
            <w:left w:w="0" w:type="dxa"/>
            <w:bottom w:w="0" w:type="dxa"/>
            <w:right w:w="0" w:type="dxa"/>
          </w:tblCellMar>
        </w:tblPrEx>
        <w:trPr>
          <w:wBefore w:w="0" w:type="auto"/>
          <w:tblCellSpacing w:w="0" w:type="dxa"/>
        </w:trPr>
        <w:tc>
          <w:tcPr>
            <w:tcW w:w="0" w:type="auto"/>
            <w:noWrap w:val="0"/>
            <w:vAlign w:val="center"/>
          </w:tcPr>
          <w:p w14:paraId="2C66683A">
            <w:r>
              <w:rPr>
                <w:rStyle w:val="10"/>
                <w:rFonts w:hint="eastAsia"/>
              </w:rPr>
              <w:t>总有效成分含量：</w:t>
            </w:r>
            <w:r>
              <w:rPr>
                <w:rFonts w:hint="eastAsia"/>
              </w:rPr>
              <w:t>32%</w:t>
            </w:r>
          </w:p>
        </w:tc>
      </w:tr>
      <w:tr w14:paraId="5F91E7F6">
        <w:tblPrEx>
          <w:tblCellMar>
            <w:top w:w="0" w:type="dxa"/>
            <w:left w:w="0" w:type="dxa"/>
            <w:bottom w:w="0" w:type="dxa"/>
            <w:right w:w="0" w:type="dxa"/>
          </w:tblCellMar>
        </w:tblPrEx>
        <w:trPr>
          <w:wBefore w:w="0" w:type="auto"/>
          <w:tblCellSpacing w:w="0" w:type="dxa"/>
        </w:trPr>
        <w:tc>
          <w:tcPr>
            <w:tcW w:w="0" w:type="auto"/>
            <w:noWrap w:val="0"/>
            <w:vAlign w:val="center"/>
          </w:tcPr>
          <w:p w14:paraId="126030AD">
            <w:r>
              <w:rPr>
                <w:rFonts w:hint="eastAsia"/>
              </w:rPr>
              <w:t xml:space="preserve">有效成分及其含量： </w:t>
            </w:r>
          </w:p>
          <w:p w14:paraId="2865A40E">
            <w:r>
              <w:rPr>
                <w:rFonts w:hint="eastAsia"/>
              </w:rPr>
              <w:t xml:space="preserve">    草甘膦30%    2,4-滴2%    </w:t>
            </w:r>
          </w:p>
        </w:tc>
      </w:tr>
      <w:tr w14:paraId="3A7E62EE">
        <w:tblPrEx>
          <w:tblCellMar>
            <w:top w:w="0" w:type="dxa"/>
            <w:left w:w="0" w:type="dxa"/>
            <w:bottom w:w="0" w:type="dxa"/>
            <w:right w:w="0" w:type="dxa"/>
          </w:tblCellMar>
        </w:tblPrEx>
        <w:trPr>
          <w:wBefore w:w="0" w:type="auto"/>
          <w:tblCellSpacing w:w="0" w:type="dxa"/>
        </w:trPr>
        <w:tc>
          <w:tcPr>
            <w:tcW w:w="0" w:type="auto"/>
            <w:noWrap w:val="0"/>
            <w:vAlign w:val="center"/>
          </w:tcPr>
          <w:p w14:paraId="0CD11D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FE70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BF5C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17F9E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1149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4326A5">
                  <w:r>
                    <w:rPr>
                      <w:rStyle w:val="11"/>
                      <w:rFonts w:hint="eastAsia"/>
                    </w:rPr>
                    <w:t>施用方式</w:t>
                  </w:r>
                </w:p>
              </w:tc>
            </w:tr>
            <w:tr w14:paraId="47370D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782E3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9458E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2F76F6">
                  <w:r>
                    <w:rPr>
                      <w:rStyle w:val="11"/>
                      <w:rFonts w:hint="eastAsia"/>
                    </w:rPr>
                    <w:t>250-400毫升/亩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7ED205">
                  <w:r>
                    <w:rPr>
                      <w:rStyle w:val="11"/>
                      <w:rFonts w:hint="eastAsia"/>
                    </w:rPr>
                    <w:t>喷雾</w:t>
                  </w:r>
                </w:p>
              </w:tc>
            </w:tr>
          </w:tbl>
          <w:p w14:paraId="0D1E6E79">
            <w:pPr>
              <w:rPr>
                <w:rFonts w:ascii="Times New Roman" w:hAnsi="Times New Roman" w:cs="Times New Roman"/>
                <w:sz w:val="20"/>
                <w:szCs w:val="20"/>
              </w:rPr>
            </w:pPr>
          </w:p>
        </w:tc>
      </w:tr>
      <w:tr w14:paraId="465165A9">
        <w:tblPrEx>
          <w:tblCellMar>
            <w:top w:w="0" w:type="dxa"/>
            <w:left w:w="0" w:type="dxa"/>
            <w:bottom w:w="0" w:type="dxa"/>
            <w:right w:w="0" w:type="dxa"/>
          </w:tblCellMar>
        </w:tblPrEx>
        <w:trPr>
          <w:wBefore w:w="0" w:type="auto"/>
          <w:tblCellSpacing w:w="0" w:type="dxa"/>
        </w:trPr>
        <w:tc>
          <w:tcPr>
            <w:tcW w:w="0" w:type="auto"/>
            <w:noWrap w:val="0"/>
            <w:vAlign w:val="center"/>
          </w:tcPr>
          <w:p w14:paraId="12F77175">
            <w:r>
              <w:rPr>
                <w:rStyle w:val="10"/>
                <w:rFonts w:hint="eastAsia"/>
              </w:rPr>
              <w:t>使用技术要求:</w:t>
            </w:r>
            <w:r>
              <w:rPr>
                <w:rFonts w:hint="eastAsia"/>
              </w:rPr>
              <w:br w:type="textWrapping"/>
            </w:r>
            <w:r>
              <w:rPr>
                <w:rStyle w:val="11"/>
                <w:rFonts w:hint="eastAsia"/>
              </w:rPr>
              <w:t>1.于杂草生长旺盛期兑水均匀茎叶喷雾。 2.施药时注意防止药雾飘移到非目标植物上造成药害。 3.大风天或预计6小时内降雨，请勿施药。</w:t>
            </w:r>
          </w:p>
        </w:tc>
      </w:tr>
      <w:tr w14:paraId="594E2A0C">
        <w:tblPrEx>
          <w:tblCellMar>
            <w:top w:w="0" w:type="dxa"/>
            <w:left w:w="0" w:type="dxa"/>
            <w:bottom w:w="0" w:type="dxa"/>
            <w:right w:w="0" w:type="dxa"/>
          </w:tblCellMar>
        </w:tblPrEx>
        <w:trPr>
          <w:wBefore w:w="0" w:type="auto"/>
          <w:tblCellSpacing w:w="0" w:type="dxa"/>
        </w:trPr>
        <w:tc>
          <w:tcPr>
            <w:tcW w:w="0" w:type="auto"/>
            <w:noWrap w:val="0"/>
            <w:vAlign w:val="center"/>
          </w:tcPr>
          <w:p w14:paraId="0745943D">
            <w:r>
              <w:rPr>
                <w:rStyle w:val="10"/>
                <w:rFonts w:hint="eastAsia"/>
              </w:rPr>
              <w:t>产品性能:</w:t>
            </w:r>
            <w:r>
              <w:rPr>
                <w:rFonts w:hint="eastAsia"/>
              </w:rPr>
              <w:br w:type="textWrapping"/>
            </w:r>
            <w:r>
              <w:rPr>
                <w:rStyle w:val="11"/>
                <w:rFonts w:hint="eastAsia"/>
              </w:rPr>
              <w:t>本品为灭生性除草剂，是2,4-滴与草甘膦的复配制剂。草甘膦可抑制植物体内的烯醇丙酮基莽草素磷酸合成酶，从而抑制莽草素向苯丙氨酸、酪氨酸及色氨酸的转化，使蛋白质合成受到干扰。2，4-滴属于激素类除草剂，作用机理类似吲哚乙酸。两者混配可有效防除非耕地杂草。</w:t>
            </w:r>
          </w:p>
        </w:tc>
      </w:tr>
      <w:tr w14:paraId="10AC3753">
        <w:tblPrEx>
          <w:tblCellMar>
            <w:top w:w="0" w:type="dxa"/>
            <w:left w:w="0" w:type="dxa"/>
            <w:bottom w:w="0" w:type="dxa"/>
            <w:right w:w="0" w:type="dxa"/>
          </w:tblCellMar>
        </w:tblPrEx>
        <w:trPr>
          <w:wBefore w:w="0" w:type="auto"/>
          <w:tblCellSpacing w:w="0" w:type="dxa"/>
        </w:trPr>
        <w:tc>
          <w:tcPr>
            <w:tcW w:w="0" w:type="auto"/>
            <w:noWrap w:val="0"/>
            <w:vAlign w:val="center"/>
          </w:tcPr>
          <w:p w14:paraId="593BE1EE">
            <w:r>
              <w:rPr>
                <w:rStyle w:val="10"/>
                <w:rFonts w:hint="eastAsia"/>
              </w:rPr>
              <w:t>注意事项：</w:t>
            </w:r>
            <w:r>
              <w:rPr>
                <w:rFonts w:hint="eastAsia"/>
              </w:rPr>
              <w:br w:type="textWrapping"/>
            </w:r>
            <w:r>
              <w:rPr>
                <w:rStyle w:val="11"/>
                <w:rFonts w:hint="eastAsia"/>
              </w:rPr>
              <w:t>1.草甘膦与土壤接触失去活性，配置药液勿用浊水以免降低药效，选择晴天喷药。 2.施药时应防止药液飘移到苹果树幼嫩茎叶上及邻近作物田。 3.施药时穿长衣长裤、戴口罩、眼镜等；此时不能饮水、吸烟等；使用时应避免药液接触眼睛粘膜和伤口等。施药后洗干净手脸等。4.本品对蜜蜂、鱼类等水生生物、家蚕有毒，施药期间应避免对周围蜂群的影响、开花植物花期、蚕室和桑园附近禁用。远离水产养殖区施药，禁止在河塘等水体中清洗施药器具。5. 禁止在田间道路、田埂、果树行间、休耕地、林场林地等农林业区域使用。6.废弃物要妥善处理，不能随意丢弃，也不能做他用。7.避免孕妇及哺乳期妇女接触本品。</w:t>
            </w:r>
          </w:p>
        </w:tc>
      </w:tr>
      <w:tr w14:paraId="7A501780">
        <w:tblPrEx>
          <w:tblCellMar>
            <w:top w:w="0" w:type="dxa"/>
            <w:left w:w="0" w:type="dxa"/>
            <w:bottom w:w="0" w:type="dxa"/>
            <w:right w:w="0" w:type="dxa"/>
          </w:tblCellMar>
        </w:tblPrEx>
        <w:trPr>
          <w:wBefore w:w="0" w:type="auto"/>
          <w:tblCellSpacing w:w="0" w:type="dxa"/>
        </w:trPr>
        <w:tc>
          <w:tcPr>
            <w:tcW w:w="0" w:type="auto"/>
            <w:noWrap w:val="0"/>
            <w:vAlign w:val="center"/>
          </w:tcPr>
          <w:p w14:paraId="7ADE9763">
            <w:r>
              <w:rPr>
                <w:rStyle w:val="10"/>
                <w:rFonts w:hint="eastAsia"/>
              </w:rPr>
              <w:t>中毒急救措施：</w:t>
            </w:r>
            <w:r>
              <w:rPr>
                <w:rFonts w:hint="eastAsia"/>
              </w:rPr>
              <w:br w:type="textWrapping"/>
            </w:r>
            <w:r>
              <w:rPr>
                <w:rStyle w:val="11"/>
                <w:rFonts w:hint="eastAsia"/>
              </w:rPr>
              <w:t>中毒症状：对眼睛有刺激性。 急救措施：使用中或使用后如果感觉不适，应立即停止工作，采取急救措施，并携带标签送医院就诊。眼睛接触：提起眼睑，用流动清水冲洗至少15分钟，如仍不适，请就医治疗。皮肤接触：脱掉污染衣物，用软布去除污染农药，用大量清水和肥皂冲洗。吸入：立即离开施药现场，转移到空气新鲜处。误服：立即停止服用，用清水充分漱口后，立即携带标签到医院就诊。</w:t>
            </w:r>
          </w:p>
        </w:tc>
      </w:tr>
      <w:tr w14:paraId="63E7B202">
        <w:tblPrEx>
          <w:tblCellMar>
            <w:top w:w="0" w:type="dxa"/>
            <w:left w:w="0" w:type="dxa"/>
            <w:bottom w:w="0" w:type="dxa"/>
            <w:right w:w="0" w:type="dxa"/>
          </w:tblCellMar>
        </w:tblPrEx>
        <w:trPr>
          <w:wBefore w:w="0" w:type="auto"/>
          <w:tblCellSpacing w:w="0" w:type="dxa"/>
        </w:trPr>
        <w:tc>
          <w:tcPr>
            <w:tcW w:w="0" w:type="auto"/>
            <w:noWrap w:val="0"/>
            <w:vAlign w:val="center"/>
          </w:tcPr>
          <w:p w14:paraId="78C7627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本品应贮存在干燥、阴凉、通风、防雨处，远离火源或热源。置于儿童、无关人员及动物接触不到的地方，并加锁保存。勿与食品、种子、饲料、粮食等同贮同运。</w:t>
            </w:r>
          </w:p>
        </w:tc>
      </w:tr>
      <w:tr w14:paraId="5F82DC51">
        <w:tblPrEx>
          <w:tblCellMar>
            <w:top w:w="0" w:type="dxa"/>
            <w:left w:w="0" w:type="dxa"/>
            <w:bottom w:w="0" w:type="dxa"/>
            <w:right w:w="0" w:type="dxa"/>
          </w:tblCellMar>
        </w:tblPrEx>
        <w:trPr>
          <w:wBefore w:w="0" w:type="auto"/>
          <w:tblCellSpacing w:w="0" w:type="dxa"/>
        </w:trPr>
        <w:tc>
          <w:tcPr>
            <w:tcW w:w="0" w:type="auto"/>
            <w:noWrap w:val="0"/>
            <w:vAlign w:val="center"/>
          </w:tcPr>
          <w:p w14:paraId="5A35B257">
            <w:r>
              <w:rPr>
                <w:rStyle w:val="10"/>
                <w:rFonts w:hint="eastAsia"/>
              </w:rPr>
              <w:t>质量保证期：</w:t>
            </w:r>
            <w:r>
              <w:rPr>
                <w:rStyle w:val="11"/>
                <w:rFonts w:hint="eastAsia"/>
              </w:rPr>
              <w:t>2年</w:t>
            </w:r>
          </w:p>
        </w:tc>
      </w:tr>
      <w:tr w14:paraId="04D11EAB">
        <w:tblPrEx>
          <w:tblCellMar>
            <w:top w:w="0" w:type="dxa"/>
            <w:left w:w="0" w:type="dxa"/>
            <w:bottom w:w="0" w:type="dxa"/>
            <w:right w:w="0" w:type="dxa"/>
          </w:tblCellMar>
        </w:tblPrEx>
        <w:trPr>
          <w:wBefore w:w="0" w:type="auto"/>
          <w:tblCellSpacing w:w="0" w:type="dxa"/>
        </w:trPr>
        <w:tc>
          <w:tcPr>
            <w:tcW w:w="0" w:type="auto"/>
            <w:noWrap w:val="0"/>
            <w:vAlign w:val="center"/>
          </w:tcPr>
          <w:p w14:paraId="6F6E6384">
            <w:r>
              <w:rPr>
                <w:rStyle w:val="10"/>
                <w:rFonts w:hint="eastAsia"/>
              </w:rPr>
              <w:t>备注：</w:t>
            </w:r>
            <w:r>
              <w:rPr>
                <w:rFonts w:hint="eastAsia"/>
              </w:rPr>
              <w:br w:type="textWrapping"/>
            </w:r>
            <w:r>
              <w:rPr>
                <w:rStyle w:val="11"/>
                <w:rFonts w:hint="eastAsia"/>
              </w:rPr>
              <w:t>2.4-滴钠盐2.2%，草甘膦铵盐33%。</w:t>
            </w:r>
          </w:p>
        </w:tc>
      </w:tr>
    </w:tbl>
    <w:p w14:paraId="7B3421F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A61602">
        <w:tblPrEx>
          <w:tblCellMar>
            <w:top w:w="0" w:type="dxa"/>
            <w:left w:w="0" w:type="dxa"/>
            <w:bottom w:w="0" w:type="dxa"/>
            <w:right w:w="0" w:type="dxa"/>
          </w:tblCellMar>
        </w:tblPrEx>
        <w:trPr>
          <w:wBefore w:w="0" w:type="auto"/>
          <w:tblCellSpacing w:w="0" w:type="dxa"/>
        </w:trPr>
        <w:tc>
          <w:tcPr>
            <w:tcW w:w="0" w:type="auto"/>
            <w:noWrap w:val="0"/>
            <w:vAlign w:val="center"/>
          </w:tcPr>
          <w:p w14:paraId="4B110CB3">
            <w:r>
              <w:rPr>
                <w:rStyle w:val="10"/>
                <w:rFonts w:hint="eastAsia"/>
              </w:rPr>
              <w:t>登记证号：</w:t>
            </w:r>
            <w:r>
              <w:rPr>
                <w:rFonts w:hint="eastAsia"/>
              </w:rPr>
              <w:t>PD20212653</w:t>
            </w:r>
          </w:p>
        </w:tc>
      </w:tr>
      <w:tr w14:paraId="5156745F">
        <w:tblPrEx>
          <w:tblCellMar>
            <w:top w:w="0" w:type="dxa"/>
            <w:left w:w="0" w:type="dxa"/>
            <w:bottom w:w="0" w:type="dxa"/>
            <w:right w:w="0" w:type="dxa"/>
          </w:tblCellMar>
        </w:tblPrEx>
        <w:trPr>
          <w:wBefore w:w="0" w:type="auto"/>
          <w:tblCellSpacing w:w="0" w:type="dxa"/>
        </w:trPr>
        <w:tc>
          <w:tcPr>
            <w:tcW w:w="0" w:type="auto"/>
            <w:noWrap w:val="0"/>
            <w:vAlign w:val="center"/>
          </w:tcPr>
          <w:p w14:paraId="04E004AE">
            <w:r>
              <w:rPr>
                <w:rStyle w:val="10"/>
                <w:rFonts w:hint="eastAsia"/>
              </w:rPr>
              <w:t>登记证持有人：</w:t>
            </w:r>
            <w:r>
              <w:rPr>
                <w:rFonts w:hint="eastAsia"/>
              </w:rPr>
              <w:t>安徽金土地生物科技有限公司</w:t>
            </w:r>
          </w:p>
        </w:tc>
      </w:tr>
      <w:tr w14:paraId="1A29F024">
        <w:tblPrEx>
          <w:tblCellMar>
            <w:top w:w="0" w:type="dxa"/>
            <w:left w:w="0" w:type="dxa"/>
            <w:bottom w:w="0" w:type="dxa"/>
            <w:right w:w="0" w:type="dxa"/>
          </w:tblCellMar>
        </w:tblPrEx>
        <w:trPr>
          <w:wBefore w:w="0" w:type="auto"/>
          <w:tblCellSpacing w:w="0" w:type="dxa"/>
        </w:trPr>
        <w:tc>
          <w:tcPr>
            <w:tcW w:w="0" w:type="auto"/>
            <w:noWrap w:val="0"/>
            <w:vAlign w:val="center"/>
          </w:tcPr>
          <w:p w14:paraId="3B5E41AE">
            <w:r>
              <w:rPr>
                <w:rStyle w:val="10"/>
                <w:rFonts w:hint="eastAsia"/>
              </w:rPr>
              <w:t>农药名称：</w:t>
            </w:r>
            <w:r>
              <w:rPr>
                <w:rFonts w:hint="eastAsia"/>
              </w:rPr>
              <w:t>氰氟草酯</w:t>
            </w:r>
          </w:p>
        </w:tc>
      </w:tr>
      <w:tr w14:paraId="1D17E3C1">
        <w:tblPrEx>
          <w:tblCellMar>
            <w:top w:w="0" w:type="dxa"/>
            <w:left w:w="0" w:type="dxa"/>
            <w:bottom w:w="0" w:type="dxa"/>
            <w:right w:w="0" w:type="dxa"/>
          </w:tblCellMar>
        </w:tblPrEx>
        <w:trPr>
          <w:wBefore w:w="0" w:type="auto"/>
          <w:tblCellSpacing w:w="0" w:type="dxa"/>
        </w:trPr>
        <w:tc>
          <w:tcPr>
            <w:tcW w:w="0" w:type="auto"/>
            <w:noWrap w:val="0"/>
            <w:vAlign w:val="center"/>
          </w:tcPr>
          <w:p w14:paraId="3035AFC5">
            <w:r>
              <w:rPr>
                <w:rStyle w:val="10"/>
                <w:rFonts w:hint="eastAsia"/>
              </w:rPr>
              <w:t>剂型：</w:t>
            </w:r>
            <w:r>
              <w:rPr>
                <w:rFonts w:hint="eastAsia"/>
              </w:rPr>
              <w:t>可分散油悬浮剂</w:t>
            </w:r>
          </w:p>
        </w:tc>
      </w:tr>
      <w:tr w14:paraId="70444890">
        <w:tblPrEx>
          <w:tblCellMar>
            <w:top w:w="0" w:type="dxa"/>
            <w:left w:w="0" w:type="dxa"/>
            <w:bottom w:w="0" w:type="dxa"/>
            <w:right w:w="0" w:type="dxa"/>
          </w:tblCellMar>
        </w:tblPrEx>
        <w:trPr>
          <w:wBefore w:w="0" w:type="auto"/>
          <w:tblCellSpacing w:w="0" w:type="dxa"/>
        </w:trPr>
        <w:tc>
          <w:tcPr>
            <w:tcW w:w="0" w:type="auto"/>
            <w:noWrap w:val="0"/>
            <w:vAlign w:val="center"/>
          </w:tcPr>
          <w:p w14:paraId="5EB9949C">
            <w:r>
              <w:rPr>
                <w:rStyle w:val="10"/>
                <w:rFonts w:hint="eastAsia"/>
              </w:rPr>
              <w:t>毒性及其标识：</w:t>
            </w:r>
            <w:r>
              <w:rPr>
                <w:rFonts w:hint="eastAsia"/>
              </w:rPr>
              <w:t xml:space="preserve"> </w:t>
            </w:r>
            <w:r>
              <w:rPr>
                <w:lang/>
              </w:rPr>
              <w:drawing>
                <wp:inline distT="0" distB="0" distL="114300" distR="114300">
                  <wp:extent cx="476250" cy="323850"/>
                  <wp:effectExtent l="0" t="0" r="0" b="0"/>
                  <wp:docPr id="83" name="图片 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D341E4">
        <w:tblPrEx>
          <w:tblCellMar>
            <w:top w:w="0" w:type="dxa"/>
            <w:left w:w="0" w:type="dxa"/>
            <w:bottom w:w="0" w:type="dxa"/>
            <w:right w:w="0" w:type="dxa"/>
          </w:tblCellMar>
        </w:tblPrEx>
        <w:trPr>
          <w:wBefore w:w="0" w:type="auto"/>
          <w:tblCellSpacing w:w="0" w:type="dxa"/>
        </w:trPr>
        <w:tc>
          <w:tcPr>
            <w:tcW w:w="0" w:type="auto"/>
            <w:noWrap w:val="0"/>
            <w:vAlign w:val="center"/>
          </w:tcPr>
          <w:p w14:paraId="24DA96DD">
            <w:r>
              <w:rPr>
                <w:rStyle w:val="10"/>
                <w:rFonts w:hint="eastAsia"/>
              </w:rPr>
              <w:t>总有效成分含量：</w:t>
            </w:r>
            <w:r>
              <w:rPr>
                <w:rFonts w:hint="eastAsia"/>
              </w:rPr>
              <w:t>40%</w:t>
            </w:r>
          </w:p>
        </w:tc>
      </w:tr>
      <w:tr w14:paraId="6CE7A331">
        <w:tblPrEx>
          <w:tblCellMar>
            <w:top w:w="0" w:type="dxa"/>
            <w:left w:w="0" w:type="dxa"/>
            <w:bottom w:w="0" w:type="dxa"/>
            <w:right w:w="0" w:type="dxa"/>
          </w:tblCellMar>
        </w:tblPrEx>
        <w:trPr>
          <w:wBefore w:w="0" w:type="auto"/>
          <w:tblCellSpacing w:w="0" w:type="dxa"/>
        </w:trPr>
        <w:tc>
          <w:tcPr>
            <w:tcW w:w="0" w:type="auto"/>
            <w:noWrap w:val="0"/>
            <w:vAlign w:val="center"/>
          </w:tcPr>
          <w:p w14:paraId="08D0A9F7">
            <w:r>
              <w:rPr>
                <w:rFonts w:hint="eastAsia"/>
              </w:rPr>
              <w:t xml:space="preserve">有效成分及其含量： </w:t>
            </w:r>
          </w:p>
          <w:p w14:paraId="01EF731E">
            <w:r>
              <w:rPr>
                <w:rFonts w:hint="eastAsia"/>
              </w:rPr>
              <w:t xml:space="preserve">    氰氟草酯40%    </w:t>
            </w:r>
          </w:p>
        </w:tc>
      </w:tr>
      <w:tr w14:paraId="1CC8F188">
        <w:tblPrEx>
          <w:tblCellMar>
            <w:top w:w="0" w:type="dxa"/>
            <w:left w:w="0" w:type="dxa"/>
            <w:bottom w:w="0" w:type="dxa"/>
            <w:right w:w="0" w:type="dxa"/>
          </w:tblCellMar>
        </w:tblPrEx>
        <w:trPr>
          <w:wBefore w:w="0" w:type="auto"/>
          <w:tblCellSpacing w:w="0" w:type="dxa"/>
        </w:trPr>
        <w:tc>
          <w:tcPr>
            <w:tcW w:w="0" w:type="auto"/>
            <w:noWrap w:val="0"/>
            <w:vAlign w:val="center"/>
          </w:tcPr>
          <w:p w14:paraId="68CEDB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7ABC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1D9BB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F01D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C701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4C24D5">
                  <w:r>
                    <w:rPr>
                      <w:rStyle w:val="11"/>
                      <w:rFonts w:hint="eastAsia"/>
                    </w:rPr>
                    <w:t>施用方式</w:t>
                  </w:r>
                </w:p>
              </w:tc>
            </w:tr>
            <w:tr w14:paraId="082FBB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B54965">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CF878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918651">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FA42A2">
                  <w:r>
                    <w:rPr>
                      <w:rStyle w:val="11"/>
                      <w:rFonts w:hint="eastAsia"/>
                    </w:rPr>
                    <w:t>茎叶喷雾</w:t>
                  </w:r>
                </w:p>
              </w:tc>
            </w:tr>
          </w:tbl>
          <w:p w14:paraId="39A873F6">
            <w:pPr>
              <w:rPr>
                <w:rFonts w:ascii="Times New Roman" w:hAnsi="Times New Roman" w:cs="Times New Roman"/>
                <w:sz w:val="20"/>
                <w:szCs w:val="20"/>
              </w:rPr>
            </w:pPr>
          </w:p>
        </w:tc>
      </w:tr>
      <w:tr w14:paraId="3BC59EB0">
        <w:tblPrEx>
          <w:tblCellMar>
            <w:top w:w="0" w:type="dxa"/>
            <w:left w:w="0" w:type="dxa"/>
            <w:bottom w:w="0" w:type="dxa"/>
            <w:right w:w="0" w:type="dxa"/>
          </w:tblCellMar>
        </w:tblPrEx>
        <w:trPr>
          <w:wBefore w:w="0" w:type="auto"/>
          <w:tblCellSpacing w:w="0" w:type="dxa"/>
        </w:trPr>
        <w:tc>
          <w:tcPr>
            <w:tcW w:w="0" w:type="auto"/>
            <w:noWrap w:val="0"/>
            <w:vAlign w:val="center"/>
          </w:tcPr>
          <w:p w14:paraId="17769CA4">
            <w:r>
              <w:rPr>
                <w:rStyle w:val="10"/>
                <w:rFonts w:hint="eastAsia"/>
              </w:rPr>
              <w:t>使用技术要求:</w:t>
            </w:r>
            <w:r>
              <w:rPr>
                <w:rFonts w:hint="eastAsia"/>
              </w:rPr>
              <w:br w:type="textWrapping"/>
            </w:r>
            <w:r>
              <w:rPr>
                <w:rStyle w:val="11"/>
                <w:rFonts w:hint="eastAsia"/>
              </w:rPr>
              <w:t>1. 直播稻田禾本科杂草2-3叶期，以推荐剂量兑水茎叶喷雾施药一次，每亩水量30-50公升，注意喷雾均匀。 2. 施药前排水，使杂草茎叶2/3以上露出水面，施药后24小时至72小时内灌水，保持3-5厘米水层5-7天。水层勿淹没水稻心叶避免药害。尽量选择无风的天气施药，避免飘移药害。 3. 大风天或预计1小时内降雨，请勿施药。4. 每季最多使用1次。</w:t>
            </w:r>
          </w:p>
        </w:tc>
      </w:tr>
      <w:tr w14:paraId="3F9420B5">
        <w:tblPrEx>
          <w:tblCellMar>
            <w:top w:w="0" w:type="dxa"/>
            <w:left w:w="0" w:type="dxa"/>
            <w:bottom w:w="0" w:type="dxa"/>
            <w:right w:w="0" w:type="dxa"/>
          </w:tblCellMar>
        </w:tblPrEx>
        <w:trPr>
          <w:wBefore w:w="0" w:type="auto"/>
          <w:tblCellSpacing w:w="0" w:type="dxa"/>
        </w:trPr>
        <w:tc>
          <w:tcPr>
            <w:tcW w:w="0" w:type="auto"/>
            <w:noWrap w:val="0"/>
            <w:vAlign w:val="center"/>
          </w:tcPr>
          <w:p w14:paraId="5E86307D">
            <w:r>
              <w:rPr>
                <w:rStyle w:val="10"/>
                <w:rFonts w:hint="eastAsia"/>
              </w:rPr>
              <w:t>产品性能:</w:t>
            </w:r>
            <w:r>
              <w:rPr>
                <w:rFonts w:hint="eastAsia"/>
              </w:rPr>
              <w:br w:type="textWrapping"/>
            </w:r>
            <w:r>
              <w:rPr>
                <w:rStyle w:val="11"/>
                <w:rFonts w:hint="eastAsia"/>
              </w:rPr>
              <w:t>本品是芳氧苯氧丙酸类除草剂，具有内吸传导性，通过杂草的茎叶吸收，传导至杂草生长点，通过抑制乙酰辅酶A羧化酶（ACCase），使脂肪酸合成停止，细胞的生长分裂不能正常进行，膜系统等含脂结构破坏，最后导致杂草死亡。本品用于防除直播水稻田稗草、千金子等禾本科杂草，推荐剂量下使用，对水稻安全。</w:t>
            </w:r>
          </w:p>
        </w:tc>
      </w:tr>
      <w:tr w14:paraId="47BE52D0">
        <w:tblPrEx>
          <w:tblCellMar>
            <w:top w:w="0" w:type="dxa"/>
            <w:left w:w="0" w:type="dxa"/>
            <w:bottom w:w="0" w:type="dxa"/>
            <w:right w:w="0" w:type="dxa"/>
          </w:tblCellMar>
        </w:tblPrEx>
        <w:trPr>
          <w:wBefore w:w="0" w:type="auto"/>
          <w:tblCellSpacing w:w="0" w:type="dxa"/>
        </w:trPr>
        <w:tc>
          <w:tcPr>
            <w:tcW w:w="0" w:type="auto"/>
            <w:noWrap w:val="0"/>
            <w:vAlign w:val="center"/>
          </w:tcPr>
          <w:p w14:paraId="38B3ACBB">
            <w:r>
              <w:rPr>
                <w:rStyle w:val="10"/>
                <w:rFonts w:hint="eastAsia"/>
              </w:rPr>
              <w:t>注意事项：</w:t>
            </w:r>
            <w:r>
              <w:rPr>
                <w:rFonts w:hint="eastAsia"/>
              </w:rPr>
              <w:br w:type="textWrapping"/>
            </w:r>
            <w:r>
              <w:rPr>
                <w:rStyle w:val="11"/>
                <w:rFonts w:hint="eastAsia"/>
              </w:rPr>
              <w:t>1. 本品为可分散油悬浮剂，施药前请充分摇匀。2. 远离水产养殖区、河塘等水体施药；水产养殖区、河塘等水体附近禁用；鱼或虾蟹套养稻田禁用；施药后的田水不得直接排入水体。3. 本品对眼睛有刺激性，配药时，应戴防渗手套，避免药液接触皮肤、眼睛和污染衣物，避免吸入雾滴；施药时,穿戴长衣、长裤、帽子、口罩、手套等防护措施。施药期间不可吃东西、抽烟和饮水等；施药后，立即用肥皂洗手和洗脸等。4. 施药后彻底清洗器械，禁止在河塘等水体中清洗施药器具，清洗器具的废水不能排入河流、池塘等水源。5. 未用完的制剂应放在原包装内密封保存，切勿将本品置于饮、食容器内，使用过的空包装，需妥善处理，切勿重复使用或改作其它用途。6. 孕妇及哺乳期的妇女避免接触本品。</w:t>
            </w:r>
          </w:p>
        </w:tc>
      </w:tr>
      <w:tr w14:paraId="70106C87">
        <w:tblPrEx>
          <w:tblCellMar>
            <w:top w:w="0" w:type="dxa"/>
            <w:left w:w="0" w:type="dxa"/>
            <w:bottom w:w="0" w:type="dxa"/>
            <w:right w:w="0" w:type="dxa"/>
          </w:tblCellMar>
        </w:tblPrEx>
        <w:trPr>
          <w:wBefore w:w="0" w:type="auto"/>
          <w:tblCellSpacing w:w="0" w:type="dxa"/>
        </w:trPr>
        <w:tc>
          <w:tcPr>
            <w:tcW w:w="0" w:type="auto"/>
            <w:noWrap w:val="0"/>
            <w:vAlign w:val="center"/>
          </w:tcPr>
          <w:p w14:paraId="4EE96456">
            <w:r>
              <w:rPr>
                <w:rStyle w:val="10"/>
                <w:rFonts w:hint="eastAsia"/>
              </w:rPr>
              <w:t>中毒急救措施：</w:t>
            </w:r>
            <w:r>
              <w:rPr>
                <w:rFonts w:hint="eastAsia"/>
              </w:rPr>
              <w:br w:type="textWrapping"/>
            </w:r>
            <w:r>
              <w:rPr>
                <w:rStyle w:val="11"/>
                <w:rFonts w:hint="eastAsia"/>
              </w:rPr>
              <w:t>1. 眼睛溅入：立刻用大量清水冲洗15-20分钟，如配戴隐形眼镜，冲洗5分钟后摘掉眼镜再冲洗15分钟。携此标签去医院诊治。2. 误食：不要自行引吐，携此标签送医诊治。3. 皮肤沾附：脱去被溅到衣服。立即用大量清水冲洗皮肤。衣服彻底清洗后方可再穿。4. 误吸：转移至空气清新处，如症状持续，向医生咨询。5. 给医护人员的提示：无特殊解毒药，请医生根据症状治疗。</w:t>
            </w:r>
          </w:p>
        </w:tc>
      </w:tr>
      <w:tr w14:paraId="0240F691">
        <w:tblPrEx>
          <w:tblCellMar>
            <w:top w:w="0" w:type="dxa"/>
            <w:left w:w="0" w:type="dxa"/>
            <w:bottom w:w="0" w:type="dxa"/>
            <w:right w:w="0" w:type="dxa"/>
          </w:tblCellMar>
        </w:tblPrEx>
        <w:trPr>
          <w:wBefore w:w="0" w:type="auto"/>
          <w:tblCellSpacing w:w="0" w:type="dxa"/>
        </w:trPr>
        <w:tc>
          <w:tcPr>
            <w:tcW w:w="0" w:type="auto"/>
            <w:noWrap w:val="0"/>
            <w:vAlign w:val="center"/>
          </w:tcPr>
          <w:p w14:paraId="6657E24D">
            <w:r>
              <w:rPr>
                <w:rStyle w:val="10"/>
                <w:rFonts w:hint="eastAsia"/>
              </w:rPr>
              <w:t>储存和运输方法：</w:t>
            </w:r>
            <w:r>
              <w:rPr>
                <w:rFonts w:hint="eastAsia"/>
              </w:rPr>
              <w:br w:type="textWrapping"/>
            </w:r>
            <w:r>
              <w:rPr>
                <w:rStyle w:val="11"/>
                <w:rFonts w:hint="eastAsia"/>
              </w:rPr>
              <w:t>1. 本品应密封贮存在干燥、阴凉、通风、防雨处，远离火源或热源。2. 存放于儿童、无关人员触及不到之处，并加锁。3. 勿与食品、饮料、粮食、饲料等其他商品同贮同运。贮存或运输时堆层不得超过规定，注意轻拿轻放，以免损坏包装，导致产品泄漏。</w:t>
            </w:r>
          </w:p>
        </w:tc>
      </w:tr>
      <w:tr w14:paraId="2DD4E0F1">
        <w:tblPrEx>
          <w:tblCellMar>
            <w:top w:w="0" w:type="dxa"/>
            <w:left w:w="0" w:type="dxa"/>
            <w:bottom w:w="0" w:type="dxa"/>
            <w:right w:w="0" w:type="dxa"/>
          </w:tblCellMar>
        </w:tblPrEx>
        <w:trPr>
          <w:wBefore w:w="0" w:type="auto"/>
          <w:tblCellSpacing w:w="0" w:type="dxa"/>
        </w:trPr>
        <w:tc>
          <w:tcPr>
            <w:tcW w:w="0" w:type="auto"/>
            <w:noWrap w:val="0"/>
            <w:vAlign w:val="center"/>
          </w:tcPr>
          <w:p w14:paraId="48E5FF9A">
            <w:r>
              <w:rPr>
                <w:rStyle w:val="10"/>
                <w:rFonts w:hint="eastAsia"/>
              </w:rPr>
              <w:t>质量保证期：</w:t>
            </w:r>
            <w:r>
              <w:rPr>
                <w:rStyle w:val="11"/>
                <w:rFonts w:hint="eastAsia"/>
              </w:rPr>
              <w:t>2年</w:t>
            </w:r>
          </w:p>
        </w:tc>
      </w:tr>
      <w:tr w14:paraId="31CD31E0">
        <w:tblPrEx>
          <w:tblCellMar>
            <w:top w:w="0" w:type="dxa"/>
            <w:left w:w="0" w:type="dxa"/>
            <w:bottom w:w="0" w:type="dxa"/>
            <w:right w:w="0" w:type="dxa"/>
          </w:tblCellMar>
        </w:tblPrEx>
        <w:trPr>
          <w:wBefore w:w="0" w:type="auto"/>
          <w:tblCellSpacing w:w="0" w:type="dxa"/>
        </w:trPr>
        <w:tc>
          <w:tcPr>
            <w:tcW w:w="0" w:type="auto"/>
            <w:noWrap w:val="0"/>
            <w:vAlign w:val="center"/>
          </w:tcPr>
          <w:p w14:paraId="107FFBF5">
            <w:r>
              <w:rPr>
                <w:rStyle w:val="10"/>
                <w:rFonts w:hint="eastAsia"/>
              </w:rPr>
              <w:t>备注：</w:t>
            </w:r>
          </w:p>
        </w:tc>
      </w:tr>
    </w:tbl>
    <w:p w14:paraId="68D7D52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88EA35F">
        <w:tblPrEx>
          <w:tblCellMar>
            <w:top w:w="0" w:type="dxa"/>
            <w:left w:w="0" w:type="dxa"/>
            <w:bottom w:w="0" w:type="dxa"/>
            <w:right w:w="0" w:type="dxa"/>
          </w:tblCellMar>
        </w:tblPrEx>
        <w:trPr>
          <w:wBefore w:w="0" w:type="auto"/>
          <w:tblCellSpacing w:w="0" w:type="dxa"/>
        </w:trPr>
        <w:tc>
          <w:tcPr>
            <w:tcW w:w="0" w:type="auto"/>
            <w:noWrap w:val="0"/>
            <w:vAlign w:val="center"/>
          </w:tcPr>
          <w:p w14:paraId="330CA9C9">
            <w:r>
              <w:rPr>
                <w:rStyle w:val="10"/>
                <w:rFonts w:hint="eastAsia"/>
              </w:rPr>
              <w:t>登记证号：</w:t>
            </w:r>
            <w:r>
              <w:rPr>
                <w:rFonts w:hint="eastAsia"/>
              </w:rPr>
              <w:t>PD20212654</w:t>
            </w:r>
          </w:p>
        </w:tc>
      </w:tr>
      <w:tr w14:paraId="572948AE">
        <w:tblPrEx>
          <w:tblCellMar>
            <w:top w:w="0" w:type="dxa"/>
            <w:left w:w="0" w:type="dxa"/>
            <w:bottom w:w="0" w:type="dxa"/>
            <w:right w:w="0" w:type="dxa"/>
          </w:tblCellMar>
        </w:tblPrEx>
        <w:trPr>
          <w:wBefore w:w="0" w:type="auto"/>
          <w:tblCellSpacing w:w="0" w:type="dxa"/>
        </w:trPr>
        <w:tc>
          <w:tcPr>
            <w:tcW w:w="0" w:type="auto"/>
            <w:noWrap w:val="0"/>
            <w:vAlign w:val="center"/>
          </w:tcPr>
          <w:p w14:paraId="3D533C8F">
            <w:r>
              <w:rPr>
                <w:rStyle w:val="10"/>
                <w:rFonts w:hint="eastAsia"/>
              </w:rPr>
              <w:t>登记证持有人：</w:t>
            </w:r>
            <w:r>
              <w:rPr>
                <w:rFonts w:hint="eastAsia"/>
              </w:rPr>
              <w:t>安徽金土地生物科技有限公司</w:t>
            </w:r>
          </w:p>
        </w:tc>
      </w:tr>
      <w:tr w14:paraId="249D466E">
        <w:tblPrEx>
          <w:tblCellMar>
            <w:top w:w="0" w:type="dxa"/>
            <w:left w:w="0" w:type="dxa"/>
            <w:bottom w:w="0" w:type="dxa"/>
            <w:right w:w="0" w:type="dxa"/>
          </w:tblCellMar>
        </w:tblPrEx>
        <w:trPr>
          <w:wBefore w:w="0" w:type="auto"/>
          <w:tblCellSpacing w:w="0" w:type="dxa"/>
        </w:trPr>
        <w:tc>
          <w:tcPr>
            <w:tcW w:w="0" w:type="auto"/>
            <w:noWrap w:val="0"/>
            <w:vAlign w:val="center"/>
          </w:tcPr>
          <w:p w14:paraId="32834C1A">
            <w:r>
              <w:rPr>
                <w:rStyle w:val="10"/>
                <w:rFonts w:hint="eastAsia"/>
              </w:rPr>
              <w:t>农药名称：</w:t>
            </w:r>
            <w:r>
              <w:rPr>
                <w:rFonts w:hint="eastAsia"/>
              </w:rPr>
              <w:t>乙氧磺隆</w:t>
            </w:r>
          </w:p>
        </w:tc>
      </w:tr>
      <w:tr w14:paraId="1AD23F5F">
        <w:tblPrEx>
          <w:tblCellMar>
            <w:top w:w="0" w:type="dxa"/>
            <w:left w:w="0" w:type="dxa"/>
            <w:bottom w:w="0" w:type="dxa"/>
            <w:right w:w="0" w:type="dxa"/>
          </w:tblCellMar>
        </w:tblPrEx>
        <w:trPr>
          <w:wBefore w:w="0" w:type="auto"/>
          <w:tblCellSpacing w:w="0" w:type="dxa"/>
        </w:trPr>
        <w:tc>
          <w:tcPr>
            <w:tcW w:w="0" w:type="auto"/>
            <w:noWrap w:val="0"/>
            <w:vAlign w:val="center"/>
          </w:tcPr>
          <w:p w14:paraId="2CEDB7BC">
            <w:r>
              <w:rPr>
                <w:rStyle w:val="10"/>
                <w:rFonts w:hint="eastAsia"/>
              </w:rPr>
              <w:t>剂型：</w:t>
            </w:r>
            <w:r>
              <w:rPr>
                <w:rFonts w:hint="eastAsia"/>
              </w:rPr>
              <w:t>可分散油悬浮剂</w:t>
            </w:r>
          </w:p>
        </w:tc>
      </w:tr>
      <w:tr w14:paraId="4B669E8C">
        <w:tblPrEx>
          <w:tblCellMar>
            <w:top w:w="0" w:type="dxa"/>
            <w:left w:w="0" w:type="dxa"/>
            <w:bottom w:w="0" w:type="dxa"/>
            <w:right w:w="0" w:type="dxa"/>
          </w:tblCellMar>
        </w:tblPrEx>
        <w:trPr>
          <w:wBefore w:w="0" w:type="auto"/>
          <w:tblCellSpacing w:w="0" w:type="dxa"/>
        </w:trPr>
        <w:tc>
          <w:tcPr>
            <w:tcW w:w="0" w:type="auto"/>
            <w:noWrap w:val="0"/>
            <w:vAlign w:val="center"/>
          </w:tcPr>
          <w:p w14:paraId="74FF186C">
            <w:r>
              <w:rPr>
                <w:rStyle w:val="10"/>
                <w:rFonts w:hint="eastAsia"/>
              </w:rPr>
              <w:t>毒性及其标识：</w:t>
            </w:r>
            <w:r>
              <w:rPr>
                <w:rFonts w:hint="eastAsia"/>
              </w:rPr>
              <w:t xml:space="preserve"> </w:t>
            </w:r>
            <w:r>
              <w:rPr>
                <w:lang/>
              </w:rPr>
              <w:drawing>
                <wp:inline distT="0" distB="0" distL="114300" distR="114300">
                  <wp:extent cx="476250" cy="323850"/>
                  <wp:effectExtent l="0" t="0" r="0" b="0"/>
                  <wp:docPr id="84" name="图片 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D4EA24">
        <w:tblPrEx>
          <w:tblCellMar>
            <w:top w:w="0" w:type="dxa"/>
            <w:left w:w="0" w:type="dxa"/>
            <w:bottom w:w="0" w:type="dxa"/>
            <w:right w:w="0" w:type="dxa"/>
          </w:tblCellMar>
        </w:tblPrEx>
        <w:trPr>
          <w:wBefore w:w="0" w:type="auto"/>
          <w:tblCellSpacing w:w="0" w:type="dxa"/>
        </w:trPr>
        <w:tc>
          <w:tcPr>
            <w:tcW w:w="0" w:type="auto"/>
            <w:noWrap w:val="0"/>
            <w:vAlign w:val="center"/>
          </w:tcPr>
          <w:p w14:paraId="6880E701">
            <w:r>
              <w:rPr>
                <w:rStyle w:val="10"/>
                <w:rFonts w:hint="eastAsia"/>
              </w:rPr>
              <w:t>总有效成分含量：</w:t>
            </w:r>
            <w:r>
              <w:rPr>
                <w:rFonts w:hint="eastAsia"/>
              </w:rPr>
              <w:t>5%</w:t>
            </w:r>
          </w:p>
        </w:tc>
      </w:tr>
      <w:tr w14:paraId="45DBC792">
        <w:tblPrEx>
          <w:tblCellMar>
            <w:top w:w="0" w:type="dxa"/>
            <w:left w:w="0" w:type="dxa"/>
            <w:bottom w:w="0" w:type="dxa"/>
            <w:right w:w="0" w:type="dxa"/>
          </w:tblCellMar>
        </w:tblPrEx>
        <w:trPr>
          <w:wBefore w:w="0" w:type="auto"/>
          <w:tblCellSpacing w:w="0" w:type="dxa"/>
        </w:trPr>
        <w:tc>
          <w:tcPr>
            <w:tcW w:w="0" w:type="auto"/>
            <w:noWrap w:val="0"/>
            <w:vAlign w:val="center"/>
          </w:tcPr>
          <w:p w14:paraId="7AC68F4F">
            <w:r>
              <w:rPr>
                <w:rFonts w:hint="eastAsia"/>
              </w:rPr>
              <w:t xml:space="preserve">有效成分及其含量： </w:t>
            </w:r>
          </w:p>
          <w:p w14:paraId="086D5B51">
            <w:r>
              <w:rPr>
                <w:rFonts w:hint="eastAsia"/>
              </w:rPr>
              <w:t xml:space="preserve">    乙氧磺隆5%    </w:t>
            </w:r>
          </w:p>
        </w:tc>
      </w:tr>
      <w:tr w14:paraId="36087858">
        <w:tblPrEx>
          <w:tblCellMar>
            <w:top w:w="0" w:type="dxa"/>
            <w:left w:w="0" w:type="dxa"/>
            <w:bottom w:w="0" w:type="dxa"/>
            <w:right w:w="0" w:type="dxa"/>
          </w:tblCellMar>
        </w:tblPrEx>
        <w:trPr>
          <w:wBefore w:w="0" w:type="auto"/>
          <w:tblCellSpacing w:w="0" w:type="dxa"/>
        </w:trPr>
        <w:tc>
          <w:tcPr>
            <w:tcW w:w="0" w:type="auto"/>
            <w:noWrap w:val="0"/>
            <w:vAlign w:val="center"/>
          </w:tcPr>
          <w:p w14:paraId="491BD92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6BF2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61E46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E71E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B3B1D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644FB1">
                  <w:r>
                    <w:rPr>
                      <w:rStyle w:val="11"/>
                      <w:rFonts w:hint="eastAsia"/>
                    </w:rPr>
                    <w:t>施用方式</w:t>
                  </w:r>
                </w:p>
              </w:tc>
            </w:tr>
            <w:tr w14:paraId="366BF0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2D18BE">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34FC07">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6DEBDB">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94599C">
                  <w:r>
                    <w:rPr>
                      <w:rStyle w:val="11"/>
                      <w:rFonts w:hint="eastAsia"/>
                    </w:rPr>
                    <w:t>茎叶喷雾</w:t>
                  </w:r>
                </w:p>
              </w:tc>
            </w:tr>
          </w:tbl>
          <w:p w14:paraId="1EFA8EA0">
            <w:pPr>
              <w:rPr>
                <w:rFonts w:ascii="Times New Roman" w:hAnsi="Times New Roman" w:cs="Times New Roman"/>
                <w:sz w:val="20"/>
                <w:szCs w:val="20"/>
              </w:rPr>
            </w:pPr>
          </w:p>
        </w:tc>
      </w:tr>
      <w:tr w14:paraId="5D17F7A2">
        <w:tblPrEx>
          <w:tblCellMar>
            <w:top w:w="0" w:type="dxa"/>
            <w:left w:w="0" w:type="dxa"/>
            <w:bottom w:w="0" w:type="dxa"/>
            <w:right w:w="0" w:type="dxa"/>
          </w:tblCellMar>
        </w:tblPrEx>
        <w:trPr>
          <w:wBefore w:w="0" w:type="auto"/>
          <w:tblCellSpacing w:w="0" w:type="dxa"/>
        </w:trPr>
        <w:tc>
          <w:tcPr>
            <w:tcW w:w="0" w:type="auto"/>
            <w:noWrap w:val="0"/>
            <w:vAlign w:val="center"/>
          </w:tcPr>
          <w:p w14:paraId="572BD6AA">
            <w:r>
              <w:rPr>
                <w:rStyle w:val="10"/>
                <w:rFonts w:hint="eastAsia"/>
              </w:rPr>
              <w:t>使用技术要求:</w:t>
            </w:r>
            <w:r>
              <w:rPr>
                <w:rFonts w:hint="eastAsia"/>
              </w:rPr>
              <w:br w:type="textWrapping"/>
            </w:r>
            <w:r>
              <w:rPr>
                <w:rStyle w:val="11"/>
                <w:rFonts w:hint="eastAsia"/>
              </w:rPr>
              <w:t>1.于直播稻田杂草2-4叶期茎叶喷雾施药一次，每亩水量30-50公升，注意喷雾均匀。施药前排田水，药后1-2天灌水回田，保浅水层5-7天后常规田管。 2. 按推荐的使用时期和用药量均匀施药。防除大龄杂草应采用上限推荐剂量。 3. 注意水层勿淹没水稻心叶避免药害。4. 每季最多使用1次。</w:t>
            </w:r>
          </w:p>
        </w:tc>
      </w:tr>
      <w:tr w14:paraId="2993576D">
        <w:tblPrEx>
          <w:tblCellMar>
            <w:top w:w="0" w:type="dxa"/>
            <w:left w:w="0" w:type="dxa"/>
            <w:bottom w:w="0" w:type="dxa"/>
            <w:right w:w="0" w:type="dxa"/>
          </w:tblCellMar>
        </w:tblPrEx>
        <w:trPr>
          <w:wBefore w:w="0" w:type="auto"/>
          <w:tblCellSpacing w:w="0" w:type="dxa"/>
        </w:trPr>
        <w:tc>
          <w:tcPr>
            <w:tcW w:w="0" w:type="auto"/>
            <w:noWrap w:val="0"/>
            <w:vAlign w:val="center"/>
          </w:tcPr>
          <w:p w14:paraId="483DB94E">
            <w:r>
              <w:rPr>
                <w:rStyle w:val="10"/>
                <w:rFonts w:hint="eastAsia"/>
              </w:rPr>
              <w:t>产品性能:</w:t>
            </w:r>
            <w:r>
              <w:rPr>
                <w:rFonts w:hint="eastAsia"/>
              </w:rPr>
              <w:br w:type="textWrapping"/>
            </w:r>
            <w:r>
              <w:rPr>
                <w:rStyle w:val="11"/>
                <w:rFonts w:hint="eastAsia"/>
              </w:rPr>
              <w:t>乙氧磺隆为分支链氨基酸合成(ALS或AHAS)抑制剂。通过阻断基本氨基酸缬氨酸和异亮氨酸的生物合成，从而阻止细胞分裂和植物生长。具有很好的选择性，用于防治水稻田一年生阔叶杂草和莎草科杂草。</w:t>
            </w:r>
          </w:p>
        </w:tc>
      </w:tr>
      <w:tr w14:paraId="167114AE">
        <w:tblPrEx>
          <w:tblCellMar>
            <w:top w:w="0" w:type="dxa"/>
            <w:left w:w="0" w:type="dxa"/>
            <w:bottom w:w="0" w:type="dxa"/>
            <w:right w:w="0" w:type="dxa"/>
          </w:tblCellMar>
        </w:tblPrEx>
        <w:trPr>
          <w:wBefore w:w="0" w:type="auto"/>
          <w:tblCellSpacing w:w="0" w:type="dxa"/>
        </w:trPr>
        <w:tc>
          <w:tcPr>
            <w:tcW w:w="0" w:type="auto"/>
            <w:noWrap w:val="0"/>
            <w:vAlign w:val="center"/>
          </w:tcPr>
          <w:p w14:paraId="5C262E17">
            <w:r>
              <w:rPr>
                <w:rStyle w:val="10"/>
                <w:rFonts w:hint="eastAsia"/>
              </w:rPr>
              <w:t>注意事项：</w:t>
            </w:r>
            <w:r>
              <w:rPr>
                <w:rFonts w:hint="eastAsia"/>
              </w:rPr>
              <w:br w:type="textWrapping"/>
            </w:r>
            <w:r>
              <w:rPr>
                <w:rStyle w:val="11"/>
                <w:rFonts w:hint="eastAsia"/>
              </w:rPr>
              <w:t>1. 正常使用技术条件下对后茬作物安全。2. 使用本品时应穿戴防护服、手套等，避免吸入药液；施药期间不可吃东西、饮水等。施药后应及时洗手、洗脸等。3. 清洗施药器具的废水不能排入河流、池塘等水源。废弃物应妥善处理，不可做他用，也不可随意丢弃。4. 本品对鱼类等水生生物有毒，远离水产养殖区、河塘等水体施药；禁止在河塘等水体中清洗施药器具；鱼或虾蟹套养稻田禁用，施药后的田水不得直接排入水体。5. 避免孕妇及哺乳期妇女接触本品。6. 本品对眼睛有刺激性，使用时要注意避免药液与眼睛接触。7. 避免与具有氧化性物质接触或混合。</w:t>
            </w:r>
          </w:p>
        </w:tc>
      </w:tr>
      <w:tr w14:paraId="5A1BEE7F">
        <w:tblPrEx>
          <w:tblCellMar>
            <w:top w:w="0" w:type="dxa"/>
            <w:left w:w="0" w:type="dxa"/>
            <w:bottom w:w="0" w:type="dxa"/>
            <w:right w:w="0" w:type="dxa"/>
          </w:tblCellMar>
        </w:tblPrEx>
        <w:trPr>
          <w:wBefore w:w="0" w:type="auto"/>
          <w:tblCellSpacing w:w="0" w:type="dxa"/>
        </w:trPr>
        <w:tc>
          <w:tcPr>
            <w:tcW w:w="0" w:type="auto"/>
            <w:noWrap w:val="0"/>
            <w:vAlign w:val="center"/>
          </w:tcPr>
          <w:p w14:paraId="31676DD4">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790EE387">
        <w:tblPrEx>
          <w:tblCellMar>
            <w:top w:w="0" w:type="dxa"/>
            <w:left w:w="0" w:type="dxa"/>
            <w:bottom w:w="0" w:type="dxa"/>
            <w:right w:w="0" w:type="dxa"/>
          </w:tblCellMar>
        </w:tblPrEx>
        <w:trPr>
          <w:wBefore w:w="0" w:type="auto"/>
          <w:tblCellSpacing w:w="0" w:type="dxa"/>
        </w:trPr>
        <w:tc>
          <w:tcPr>
            <w:tcW w:w="0" w:type="auto"/>
            <w:noWrap w:val="0"/>
            <w:vAlign w:val="center"/>
          </w:tcPr>
          <w:p w14:paraId="1D51548B">
            <w:r>
              <w:rPr>
                <w:rStyle w:val="10"/>
                <w:rFonts w:hint="eastAsia"/>
              </w:rPr>
              <w:t>储存和运输方法：</w:t>
            </w:r>
            <w:r>
              <w:rPr>
                <w:rFonts w:hint="eastAsia"/>
              </w:rPr>
              <w:br w:type="textWrapping"/>
            </w:r>
            <w:r>
              <w:rPr>
                <w:rStyle w:val="11"/>
                <w:rFonts w:hint="eastAsia"/>
              </w:rPr>
              <w:t>1. 本品应密封贮存在干燥、阴凉、通风、防雨处，远离火源或热源。2. 存放于儿童、无关人员触及不到之处，并加锁。3. 勿与食品、饮料、粮食、饲料等其他商品同贮同运。贮存或运输时堆层不得超过规定，注意轻拿轻放，以免损坏包装，导致产品泄漏。</w:t>
            </w:r>
          </w:p>
        </w:tc>
      </w:tr>
      <w:tr w14:paraId="456DD0BD">
        <w:tblPrEx>
          <w:tblCellMar>
            <w:top w:w="0" w:type="dxa"/>
            <w:left w:w="0" w:type="dxa"/>
            <w:bottom w:w="0" w:type="dxa"/>
            <w:right w:w="0" w:type="dxa"/>
          </w:tblCellMar>
        </w:tblPrEx>
        <w:trPr>
          <w:wBefore w:w="0" w:type="auto"/>
          <w:tblCellSpacing w:w="0" w:type="dxa"/>
        </w:trPr>
        <w:tc>
          <w:tcPr>
            <w:tcW w:w="0" w:type="auto"/>
            <w:noWrap w:val="0"/>
            <w:vAlign w:val="center"/>
          </w:tcPr>
          <w:p w14:paraId="0F7E56A0">
            <w:r>
              <w:rPr>
                <w:rStyle w:val="10"/>
                <w:rFonts w:hint="eastAsia"/>
              </w:rPr>
              <w:t>质量保证期：</w:t>
            </w:r>
            <w:r>
              <w:rPr>
                <w:rStyle w:val="11"/>
                <w:rFonts w:hint="eastAsia"/>
              </w:rPr>
              <w:t>2年</w:t>
            </w:r>
          </w:p>
        </w:tc>
      </w:tr>
      <w:tr w14:paraId="5202F9DB">
        <w:tblPrEx>
          <w:tblCellMar>
            <w:top w:w="0" w:type="dxa"/>
            <w:left w:w="0" w:type="dxa"/>
            <w:bottom w:w="0" w:type="dxa"/>
            <w:right w:w="0" w:type="dxa"/>
          </w:tblCellMar>
        </w:tblPrEx>
        <w:trPr>
          <w:wBefore w:w="0" w:type="auto"/>
          <w:tblCellSpacing w:w="0" w:type="dxa"/>
        </w:trPr>
        <w:tc>
          <w:tcPr>
            <w:tcW w:w="0" w:type="auto"/>
            <w:noWrap w:val="0"/>
            <w:vAlign w:val="center"/>
          </w:tcPr>
          <w:p w14:paraId="3A01949D">
            <w:r>
              <w:rPr>
                <w:rStyle w:val="10"/>
                <w:rFonts w:hint="eastAsia"/>
              </w:rPr>
              <w:t>备注：</w:t>
            </w:r>
          </w:p>
        </w:tc>
      </w:tr>
    </w:tbl>
    <w:p w14:paraId="5BD12C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6CF642">
        <w:tblPrEx>
          <w:tblCellMar>
            <w:top w:w="0" w:type="dxa"/>
            <w:left w:w="0" w:type="dxa"/>
            <w:bottom w:w="0" w:type="dxa"/>
            <w:right w:w="0" w:type="dxa"/>
          </w:tblCellMar>
        </w:tblPrEx>
        <w:trPr>
          <w:wBefore w:w="0" w:type="auto"/>
          <w:tblCellSpacing w:w="0" w:type="dxa"/>
        </w:trPr>
        <w:tc>
          <w:tcPr>
            <w:tcW w:w="0" w:type="auto"/>
            <w:noWrap w:val="0"/>
            <w:vAlign w:val="center"/>
          </w:tcPr>
          <w:p w14:paraId="15F08892">
            <w:r>
              <w:rPr>
                <w:rStyle w:val="10"/>
                <w:rFonts w:hint="eastAsia"/>
              </w:rPr>
              <w:t>登记证号：</w:t>
            </w:r>
            <w:r>
              <w:rPr>
                <w:rFonts w:hint="eastAsia"/>
              </w:rPr>
              <w:t>WP20210386</w:t>
            </w:r>
          </w:p>
        </w:tc>
      </w:tr>
      <w:tr w14:paraId="558D556D">
        <w:tblPrEx>
          <w:tblCellMar>
            <w:top w:w="0" w:type="dxa"/>
            <w:left w:w="0" w:type="dxa"/>
            <w:bottom w:w="0" w:type="dxa"/>
            <w:right w:w="0" w:type="dxa"/>
          </w:tblCellMar>
        </w:tblPrEx>
        <w:trPr>
          <w:wBefore w:w="0" w:type="auto"/>
          <w:tblCellSpacing w:w="0" w:type="dxa"/>
        </w:trPr>
        <w:tc>
          <w:tcPr>
            <w:tcW w:w="0" w:type="auto"/>
            <w:noWrap w:val="0"/>
            <w:vAlign w:val="center"/>
          </w:tcPr>
          <w:p w14:paraId="69265657">
            <w:r>
              <w:rPr>
                <w:rStyle w:val="10"/>
                <w:rFonts w:hint="eastAsia"/>
              </w:rPr>
              <w:t>登记证持有人：</w:t>
            </w:r>
            <w:r>
              <w:rPr>
                <w:rFonts w:hint="eastAsia"/>
              </w:rPr>
              <w:t>福建省金鹿日化股份有限公司</w:t>
            </w:r>
          </w:p>
        </w:tc>
      </w:tr>
      <w:tr w14:paraId="0B326A27">
        <w:tblPrEx>
          <w:tblCellMar>
            <w:top w:w="0" w:type="dxa"/>
            <w:left w:w="0" w:type="dxa"/>
            <w:bottom w:w="0" w:type="dxa"/>
            <w:right w:w="0" w:type="dxa"/>
          </w:tblCellMar>
        </w:tblPrEx>
        <w:trPr>
          <w:wBefore w:w="0" w:type="auto"/>
          <w:tblCellSpacing w:w="0" w:type="dxa"/>
        </w:trPr>
        <w:tc>
          <w:tcPr>
            <w:tcW w:w="0" w:type="auto"/>
            <w:noWrap w:val="0"/>
            <w:vAlign w:val="center"/>
          </w:tcPr>
          <w:p w14:paraId="57469387">
            <w:r>
              <w:rPr>
                <w:rStyle w:val="10"/>
                <w:rFonts w:hint="eastAsia"/>
              </w:rPr>
              <w:t>农药名称：</w:t>
            </w:r>
            <w:r>
              <w:rPr>
                <w:rFonts w:hint="eastAsia"/>
              </w:rPr>
              <w:t>电热蚊香液</w:t>
            </w:r>
          </w:p>
        </w:tc>
      </w:tr>
      <w:tr w14:paraId="22C24E38">
        <w:tblPrEx>
          <w:tblCellMar>
            <w:top w:w="0" w:type="dxa"/>
            <w:left w:w="0" w:type="dxa"/>
            <w:bottom w:w="0" w:type="dxa"/>
            <w:right w:w="0" w:type="dxa"/>
          </w:tblCellMar>
        </w:tblPrEx>
        <w:trPr>
          <w:wBefore w:w="0" w:type="auto"/>
          <w:tblCellSpacing w:w="0" w:type="dxa"/>
        </w:trPr>
        <w:tc>
          <w:tcPr>
            <w:tcW w:w="0" w:type="auto"/>
            <w:noWrap w:val="0"/>
            <w:vAlign w:val="center"/>
          </w:tcPr>
          <w:p w14:paraId="221F4DC0">
            <w:r>
              <w:rPr>
                <w:rStyle w:val="10"/>
                <w:rFonts w:hint="eastAsia"/>
              </w:rPr>
              <w:t>剂型：</w:t>
            </w:r>
            <w:r>
              <w:rPr>
                <w:rFonts w:hint="eastAsia"/>
              </w:rPr>
              <w:t>电热香蚊液</w:t>
            </w:r>
          </w:p>
        </w:tc>
      </w:tr>
      <w:tr w14:paraId="0158474F">
        <w:tblPrEx>
          <w:tblCellMar>
            <w:top w:w="0" w:type="dxa"/>
            <w:left w:w="0" w:type="dxa"/>
            <w:bottom w:w="0" w:type="dxa"/>
            <w:right w:w="0" w:type="dxa"/>
          </w:tblCellMar>
        </w:tblPrEx>
        <w:trPr>
          <w:wBefore w:w="0" w:type="auto"/>
          <w:tblCellSpacing w:w="0" w:type="dxa"/>
        </w:trPr>
        <w:tc>
          <w:tcPr>
            <w:tcW w:w="0" w:type="auto"/>
            <w:noWrap w:val="0"/>
            <w:vAlign w:val="center"/>
          </w:tcPr>
          <w:p w14:paraId="337B1EEE">
            <w:r>
              <w:rPr>
                <w:rStyle w:val="10"/>
                <w:rFonts w:hint="eastAsia"/>
              </w:rPr>
              <w:t>毒性及其标识：</w:t>
            </w:r>
            <w:r>
              <w:rPr>
                <w:rFonts w:hint="eastAsia"/>
              </w:rPr>
              <w:t xml:space="preserve"> 微毒 </w:t>
            </w:r>
          </w:p>
        </w:tc>
      </w:tr>
      <w:tr w14:paraId="256BA564">
        <w:tblPrEx>
          <w:tblCellMar>
            <w:top w:w="0" w:type="dxa"/>
            <w:left w:w="0" w:type="dxa"/>
            <w:bottom w:w="0" w:type="dxa"/>
            <w:right w:w="0" w:type="dxa"/>
          </w:tblCellMar>
        </w:tblPrEx>
        <w:trPr>
          <w:wBefore w:w="0" w:type="auto"/>
          <w:tblCellSpacing w:w="0" w:type="dxa"/>
        </w:trPr>
        <w:tc>
          <w:tcPr>
            <w:tcW w:w="0" w:type="auto"/>
            <w:noWrap w:val="0"/>
            <w:vAlign w:val="center"/>
          </w:tcPr>
          <w:p w14:paraId="3D9D7584">
            <w:r>
              <w:rPr>
                <w:rStyle w:val="10"/>
                <w:rFonts w:hint="eastAsia"/>
              </w:rPr>
              <w:t>总有效成分含量：</w:t>
            </w:r>
            <w:r>
              <w:rPr>
                <w:rFonts w:hint="eastAsia"/>
              </w:rPr>
              <w:t>1.2%</w:t>
            </w:r>
          </w:p>
        </w:tc>
      </w:tr>
      <w:tr w14:paraId="6C5FF7A3">
        <w:tblPrEx>
          <w:tblCellMar>
            <w:top w:w="0" w:type="dxa"/>
            <w:left w:w="0" w:type="dxa"/>
            <w:bottom w:w="0" w:type="dxa"/>
            <w:right w:w="0" w:type="dxa"/>
          </w:tblCellMar>
        </w:tblPrEx>
        <w:trPr>
          <w:wBefore w:w="0" w:type="auto"/>
          <w:tblCellSpacing w:w="0" w:type="dxa"/>
        </w:trPr>
        <w:tc>
          <w:tcPr>
            <w:tcW w:w="0" w:type="auto"/>
            <w:noWrap w:val="0"/>
            <w:vAlign w:val="center"/>
          </w:tcPr>
          <w:p w14:paraId="0B3D29DC">
            <w:r>
              <w:rPr>
                <w:rFonts w:hint="eastAsia"/>
              </w:rPr>
              <w:t xml:space="preserve">有效成分及其含量： </w:t>
            </w:r>
          </w:p>
          <w:p w14:paraId="62810AA8">
            <w:r>
              <w:rPr>
                <w:rFonts w:hint="eastAsia"/>
              </w:rPr>
              <w:t xml:space="preserve">    氯氟醚菊酯1.2%    </w:t>
            </w:r>
          </w:p>
        </w:tc>
      </w:tr>
      <w:tr w14:paraId="6BE2AA60">
        <w:tblPrEx>
          <w:tblCellMar>
            <w:top w:w="0" w:type="dxa"/>
            <w:left w:w="0" w:type="dxa"/>
            <w:bottom w:w="0" w:type="dxa"/>
            <w:right w:w="0" w:type="dxa"/>
          </w:tblCellMar>
        </w:tblPrEx>
        <w:trPr>
          <w:wBefore w:w="0" w:type="auto"/>
          <w:tblCellSpacing w:w="0" w:type="dxa"/>
        </w:trPr>
        <w:tc>
          <w:tcPr>
            <w:tcW w:w="0" w:type="auto"/>
            <w:noWrap w:val="0"/>
            <w:vAlign w:val="center"/>
          </w:tcPr>
          <w:p w14:paraId="5921E4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EB66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820F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61E2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92B7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7AF9DA">
                  <w:r>
                    <w:rPr>
                      <w:rStyle w:val="11"/>
                      <w:rFonts w:hint="eastAsia"/>
                    </w:rPr>
                    <w:t>施用方式</w:t>
                  </w:r>
                </w:p>
              </w:tc>
            </w:tr>
            <w:tr w14:paraId="2E43A2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2DFD2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D2958B">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C8C96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88E0CD">
                  <w:r>
                    <w:rPr>
                      <w:rStyle w:val="11"/>
                      <w:rFonts w:hint="eastAsia"/>
                    </w:rPr>
                    <w:t>电热加温</w:t>
                  </w:r>
                </w:p>
              </w:tc>
            </w:tr>
          </w:tbl>
          <w:p w14:paraId="671DDB2E">
            <w:pPr>
              <w:rPr>
                <w:rFonts w:ascii="Times New Roman" w:hAnsi="Times New Roman" w:cs="Times New Roman"/>
                <w:sz w:val="20"/>
                <w:szCs w:val="20"/>
              </w:rPr>
            </w:pPr>
          </w:p>
        </w:tc>
      </w:tr>
      <w:tr w14:paraId="2795F7EB">
        <w:tblPrEx>
          <w:tblCellMar>
            <w:top w:w="0" w:type="dxa"/>
            <w:left w:w="0" w:type="dxa"/>
            <w:bottom w:w="0" w:type="dxa"/>
            <w:right w:w="0" w:type="dxa"/>
          </w:tblCellMar>
        </w:tblPrEx>
        <w:trPr>
          <w:wBefore w:w="0" w:type="auto"/>
          <w:tblCellSpacing w:w="0" w:type="dxa"/>
        </w:trPr>
        <w:tc>
          <w:tcPr>
            <w:tcW w:w="0" w:type="auto"/>
            <w:noWrap w:val="0"/>
            <w:vAlign w:val="center"/>
          </w:tcPr>
          <w:p w14:paraId="2D64F608">
            <w:r>
              <w:rPr>
                <w:rStyle w:val="10"/>
                <w:rFonts w:hint="eastAsia"/>
              </w:rPr>
              <w:t>使用技术要求:</w:t>
            </w:r>
            <w:r>
              <w:rPr>
                <w:rFonts w:hint="eastAsia"/>
              </w:rPr>
              <w:br w:type="textWrapping"/>
            </w:r>
            <w:r>
              <w:rPr>
                <w:rStyle w:val="11"/>
                <w:rFonts w:hint="eastAsia"/>
              </w:rPr>
              <w:t>1. 逆时针方向旋开药瓶塑盖； 2. 将芯棒对准电加热器的发热圈插入并旋紧药瓶； 3. 接通电源，发热器开始加热，药液沿芯棒扩散作用于空间； 4. 不用时，请切断电源。</w:t>
            </w:r>
          </w:p>
        </w:tc>
      </w:tr>
      <w:tr w14:paraId="7527D98B">
        <w:tblPrEx>
          <w:tblCellMar>
            <w:top w:w="0" w:type="dxa"/>
            <w:left w:w="0" w:type="dxa"/>
            <w:bottom w:w="0" w:type="dxa"/>
            <w:right w:w="0" w:type="dxa"/>
          </w:tblCellMar>
        </w:tblPrEx>
        <w:trPr>
          <w:wBefore w:w="0" w:type="auto"/>
          <w:tblCellSpacing w:w="0" w:type="dxa"/>
        </w:trPr>
        <w:tc>
          <w:tcPr>
            <w:tcW w:w="0" w:type="auto"/>
            <w:noWrap w:val="0"/>
            <w:vAlign w:val="center"/>
          </w:tcPr>
          <w:p w14:paraId="67B31866">
            <w:r>
              <w:rPr>
                <w:rStyle w:val="10"/>
                <w:rFonts w:hint="eastAsia"/>
              </w:rPr>
              <w:t>产品性能:</w:t>
            </w:r>
            <w:r>
              <w:rPr>
                <w:rFonts w:hint="eastAsia"/>
              </w:rPr>
              <w:br w:type="textWrapping"/>
            </w:r>
            <w:r>
              <w:rPr>
                <w:rStyle w:val="11"/>
                <w:rFonts w:hint="eastAsia"/>
              </w:rPr>
              <w:t xml:space="preserve">本品系采用拟除虫菊酯为主要原料配制而成，能有效驱杀蚊。为确保本品发挥正常药效，请与金鹿牌电热蚊香器配套使用。 </w:t>
            </w:r>
          </w:p>
        </w:tc>
      </w:tr>
      <w:tr w14:paraId="14EE1F62">
        <w:tblPrEx>
          <w:tblCellMar>
            <w:top w:w="0" w:type="dxa"/>
            <w:left w:w="0" w:type="dxa"/>
            <w:bottom w:w="0" w:type="dxa"/>
            <w:right w:w="0" w:type="dxa"/>
          </w:tblCellMar>
        </w:tblPrEx>
        <w:trPr>
          <w:wBefore w:w="0" w:type="auto"/>
          <w:tblCellSpacing w:w="0" w:type="dxa"/>
        </w:trPr>
        <w:tc>
          <w:tcPr>
            <w:tcW w:w="0" w:type="auto"/>
            <w:noWrap w:val="0"/>
            <w:vAlign w:val="center"/>
          </w:tcPr>
          <w:p w14:paraId="2ADE0ACC">
            <w:r>
              <w:rPr>
                <w:rStyle w:val="10"/>
                <w:rFonts w:hint="eastAsia"/>
              </w:rPr>
              <w:t>注意事项：</w:t>
            </w:r>
            <w:r>
              <w:rPr>
                <w:rFonts w:hint="eastAsia"/>
              </w:rPr>
              <w:br w:type="textWrapping"/>
            </w:r>
            <w:r>
              <w:rPr>
                <w:rStyle w:val="11"/>
                <w:rFonts w:hint="eastAsia"/>
              </w:rPr>
              <w:t>1. 仅限室内使用； 2. 切勿折断吸液芯棒，不要直接暴露于火源上； 3. 对鱼、蚕有毒，蚕室内及其附近禁用，用后请洗手； 4. 远离儿童； 5. 过敏者禁用，使用中有任何不良反应请及时就医； 6. 使用时注意通风，注意用电安全。 7. 孕妇及哺乳期妇女禁止接触。</w:t>
            </w:r>
          </w:p>
        </w:tc>
      </w:tr>
      <w:tr w14:paraId="4DB51E42">
        <w:tblPrEx>
          <w:tblCellMar>
            <w:top w:w="0" w:type="dxa"/>
            <w:left w:w="0" w:type="dxa"/>
            <w:bottom w:w="0" w:type="dxa"/>
            <w:right w:w="0" w:type="dxa"/>
          </w:tblCellMar>
        </w:tblPrEx>
        <w:trPr>
          <w:wBefore w:w="0" w:type="auto"/>
          <w:tblCellSpacing w:w="0" w:type="dxa"/>
        </w:trPr>
        <w:tc>
          <w:tcPr>
            <w:tcW w:w="0" w:type="auto"/>
            <w:noWrap w:val="0"/>
            <w:vAlign w:val="center"/>
          </w:tcPr>
          <w:p w14:paraId="08D96CA0">
            <w:r>
              <w:rPr>
                <w:rStyle w:val="10"/>
                <w:rFonts w:hint="eastAsia"/>
              </w:rPr>
              <w:t>中毒急救措施：</w:t>
            </w:r>
            <w:r>
              <w:rPr>
                <w:rFonts w:hint="eastAsia"/>
              </w:rPr>
              <w:br w:type="textWrapping"/>
            </w:r>
            <w:r>
              <w:rPr>
                <w:rStyle w:val="11"/>
                <w:rFonts w:hint="eastAsia"/>
              </w:rPr>
              <w:t>过敏者可能引起头晕、恶心等症状，应将病人移至空气流通处；误食、吸 入不适或使用中有任何不良反应请携此标签及时就医，对症治疗。</w:t>
            </w:r>
          </w:p>
        </w:tc>
      </w:tr>
      <w:tr w14:paraId="740D0E16">
        <w:tblPrEx>
          <w:tblCellMar>
            <w:top w:w="0" w:type="dxa"/>
            <w:left w:w="0" w:type="dxa"/>
            <w:bottom w:w="0" w:type="dxa"/>
            <w:right w:w="0" w:type="dxa"/>
          </w:tblCellMar>
        </w:tblPrEx>
        <w:trPr>
          <w:wBefore w:w="0" w:type="auto"/>
          <w:tblCellSpacing w:w="0" w:type="dxa"/>
        </w:trPr>
        <w:tc>
          <w:tcPr>
            <w:tcW w:w="0" w:type="auto"/>
            <w:noWrap w:val="0"/>
            <w:vAlign w:val="center"/>
          </w:tcPr>
          <w:p w14:paraId="712017E6">
            <w:r>
              <w:rPr>
                <w:rStyle w:val="10"/>
                <w:rFonts w:hint="eastAsia"/>
              </w:rPr>
              <w:t>储存和运输方法：</w:t>
            </w:r>
            <w:r>
              <w:rPr>
                <w:rFonts w:hint="eastAsia"/>
              </w:rPr>
              <w:br w:type="textWrapping"/>
            </w:r>
            <w:r>
              <w:rPr>
                <w:rStyle w:val="11"/>
                <w:rFonts w:hint="eastAsia"/>
              </w:rPr>
              <w:t>1. 本品应存放于阴凉、干燥之处； 2. 搬运时要轻取轻放，防止剧烈震动、日晒、雨淋和重压，不得倒置； 3. 置于儿童、无关人员触及不到之处，并加锁。勿与食品、饮料、饲料、粮食等同贮同运； 4. 远离火源或热源。</w:t>
            </w:r>
          </w:p>
        </w:tc>
      </w:tr>
      <w:tr w14:paraId="6595A6D4">
        <w:tblPrEx>
          <w:tblCellMar>
            <w:top w:w="0" w:type="dxa"/>
            <w:left w:w="0" w:type="dxa"/>
            <w:bottom w:w="0" w:type="dxa"/>
            <w:right w:w="0" w:type="dxa"/>
          </w:tblCellMar>
        </w:tblPrEx>
        <w:trPr>
          <w:wBefore w:w="0" w:type="auto"/>
          <w:tblCellSpacing w:w="0" w:type="dxa"/>
        </w:trPr>
        <w:tc>
          <w:tcPr>
            <w:tcW w:w="0" w:type="auto"/>
            <w:noWrap w:val="0"/>
            <w:vAlign w:val="center"/>
          </w:tcPr>
          <w:p w14:paraId="43FFA2D6">
            <w:r>
              <w:rPr>
                <w:rStyle w:val="10"/>
                <w:rFonts w:hint="eastAsia"/>
              </w:rPr>
              <w:t>质量保证期：</w:t>
            </w:r>
            <w:r>
              <w:rPr>
                <w:rStyle w:val="11"/>
                <w:rFonts w:hint="eastAsia"/>
              </w:rPr>
              <w:t>3年</w:t>
            </w:r>
          </w:p>
        </w:tc>
      </w:tr>
      <w:tr w14:paraId="5F3A7281">
        <w:tblPrEx>
          <w:tblCellMar>
            <w:top w:w="0" w:type="dxa"/>
            <w:left w:w="0" w:type="dxa"/>
            <w:bottom w:w="0" w:type="dxa"/>
            <w:right w:w="0" w:type="dxa"/>
          </w:tblCellMar>
        </w:tblPrEx>
        <w:trPr>
          <w:wBefore w:w="0" w:type="auto"/>
          <w:tblCellSpacing w:w="0" w:type="dxa"/>
        </w:trPr>
        <w:tc>
          <w:tcPr>
            <w:tcW w:w="0" w:type="auto"/>
            <w:noWrap w:val="0"/>
            <w:vAlign w:val="center"/>
          </w:tcPr>
          <w:p w14:paraId="5784C2BA">
            <w:r>
              <w:rPr>
                <w:rStyle w:val="10"/>
                <w:rFonts w:hint="eastAsia"/>
              </w:rPr>
              <w:t>备注：</w:t>
            </w:r>
          </w:p>
        </w:tc>
      </w:tr>
    </w:tbl>
    <w:p w14:paraId="75045F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C78759">
        <w:tblPrEx>
          <w:tblCellMar>
            <w:top w:w="0" w:type="dxa"/>
            <w:left w:w="0" w:type="dxa"/>
            <w:bottom w:w="0" w:type="dxa"/>
            <w:right w:w="0" w:type="dxa"/>
          </w:tblCellMar>
        </w:tblPrEx>
        <w:trPr>
          <w:wBefore w:w="0" w:type="auto"/>
          <w:tblCellSpacing w:w="0" w:type="dxa"/>
        </w:trPr>
        <w:tc>
          <w:tcPr>
            <w:tcW w:w="0" w:type="auto"/>
            <w:noWrap w:val="0"/>
            <w:vAlign w:val="center"/>
          </w:tcPr>
          <w:p w14:paraId="148602EA">
            <w:r>
              <w:rPr>
                <w:rStyle w:val="10"/>
                <w:rFonts w:hint="eastAsia"/>
              </w:rPr>
              <w:t>登记证号：</w:t>
            </w:r>
            <w:r>
              <w:rPr>
                <w:rFonts w:hint="eastAsia"/>
              </w:rPr>
              <w:t>WP20210396</w:t>
            </w:r>
          </w:p>
        </w:tc>
      </w:tr>
      <w:tr w14:paraId="58CA3B42">
        <w:tblPrEx>
          <w:tblCellMar>
            <w:top w:w="0" w:type="dxa"/>
            <w:left w:w="0" w:type="dxa"/>
            <w:bottom w:w="0" w:type="dxa"/>
            <w:right w:w="0" w:type="dxa"/>
          </w:tblCellMar>
        </w:tblPrEx>
        <w:trPr>
          <w:wBefore w:w="0" w:type="auto"/>
          <w:tblCellSpacing w:w="0" w:type="dxa"/>
        </w:trPr>
        <w:tc>
          <w:tcPr>
            <w:tcW w:w="0" w:type="auto"/>
            <w:noWrap w:val="0"/>
            <w:vAlign w:val="center"/>
          </w:tcPr>
          <w:p w14:paraId="1A1DBD00">
            <w:r>
              <w:rPr>
                <w:rStyle w:val="10"/>
                <w:rFonts w:hint="eastAsia"/>
              </w:rPr>
              <w:t>登记证持有人：</w:t>
            </w:r>
            <w:r>
              <w:rPr>
                <w:rFonts w:hint="eastAsia"/>
              </w:rPr>
              <w:t>中山榄菊日化实业有限公司</w:t>
            </w:r>
          </w:p>
        </w:tc>
      </w:tr>
      <w:tr w14:paraId="0C3F0EB3">
        <w:tblPrEx>
          <w:tblCellMar>
            <w:top w:w="0" w:type="dxa"/>
            <w:left w:w="0" w:type="dxa"/>
            <w:bottom w:w="0" w:type="dxa"/>
            <w:right w:w="0" w:type="dxa"/>
          </w:tblCellMar>
        </w:tblPrEx>
        <w:trPr>
          <w:wBefore w:w="0" w:type="auto"/>
          <w:tblCellSpacing w:w="0" w:type="dxa"/>
        </w:trPr>
        <w:tc>
          <w:tcPr>
            <w:tcW w:w="0" w:type="auto"/>
            <w:noWrap w:val="0"/>
            <w:vAlign w:val="center"/>
          </w:tcPr>
          <w:p w14:paraId="5D0F69E7">
            <w:r>
              <w:rPr>
                <w:rStyle w:val="10"/>
                <w:rFonts w:hint="eastAsia"/>
              </w:rPr>
              <w:t>农药名称：</w:t>
            </w:r>
            <w:r>
              <w:rPr>
                <w:rFonts w:hint="eastAsia"/>
              </w:rPr>
              <w:t>杀虫气雾剂</w:t>
            </w:r>
          </w:p>
        </w:tc>
      </w:tr>
      <w:tr w14:paraId="1D8A5D16">
        <w:tblPrEx>
          <w:tblCellMar>
            <w:top w:w="0" w:type="dxa"/>
            <w:left w:w="0" w:type="dxa"/>
            <w:bottom w:w="0" w:type="dxa"/>
            <w:right w:w="0" w:type="dxa"/>
          </w:tblCellMar>
        </w:tblPrEx>
        <w:trPr>
          <w:wBefore w:w="0" w:type="auto"/>
          <w:tblCellSpacing w:w="0" w:type="dxa"/>
        </w:trPr>
        <w:tc>
          <w:tcPr>
            <w:tcW w:w="0" w:type="auto"/>
            <w:noWrap w:val="0"/>
            <w:vAlign w:val="center"/>
          </w:tcPr>
          <w:p w14:paraId="54ABA5AF">
            <w:r>
              <w:rPr>
                <w:rStyle w:val="10"/>
                <w:rFonts w:hint="eastAsia"/>
              </w:rPr>
              <w:t>剂型：</w:t>
            </w:r>
            <w:r>
              <w:rPr>
                <w:rFonts w:hint="eastAsia"/>
              </w:rPr>
              <w:t>气雾剂</w:t>
            </w:r>
          </w:p>
        </w:tc>
      </w:tr>
      <w:tr w14:paraId="52A9744A">
        <w:tblPrEx>
          <w:tblCellMar>
            <w:top w:w="0" w:type="dxa"/>
            <w:left w:w="0" w:type="dxa"/>
            <w:bottom w:w="0" w:type="dxa"/>
            <w:right w:w="0" w:type="dxa"/>
          </w:tblCellMar>
        </w:tblPrEx>
        <w:trPr>
          <w:wBefore w:w="0" w:type="auto"/>
          <w:tblCellSpacing w:w="0" w:type="dxa"/>
        </w:trPr>
        <w:tc>
          <w:tcPr>
            <w:tcW w:w="0" w:type="auto"/>
            <w:noWrap w:val="0"/>
            <w:vAlign w:val="center"/>
          </w:tcPr>
          <w:p w14:paraId="28850FA6">
            <w:r>
              <w:rPr>
                <w:rStyle w:val="10"/>
                <w:rFonts w:hint="eastAsia"/>
              </w:rPr>
              <w:t>毒性及其标识：</w:t>
            </w:r>
            <w:r>
              <w:rPr>
                <w:rFonts w:hint="eastAsia"/>
              </w:rPr>
              <w:t xml:space="preserve"> 微毒 </w:t>
            </w:r>
          </w:p>
        </w:tc>
      </w:tr>
      <w:tr w14:paraId="2AF37B01">
        <w:tblPrEx>
          <w:tblCellMar>
            <w:top w:w="0" w:type="dxa"/>
            <w:left w:w="0" w:type="dxa"/>
            <w:bottom w:w="0" w:type="dxa"/>
            <w:right w:w="0" w:type="dxa"/>
          </w:tblCellMar>
        </w:tblPrEx>
        <w:trPr>
          <w:wBefore w:w="0" w:type="auto"/>
          <w:tblCellSpacing w:w="0" w:type="dxa"/>
        </w:trPr>
        <w:tc>
          <w:tcPr>
            <w:tcW w:w="0" w:type="auto"/>
            <w:noWrap w:val="0"/>
            <w:vAlign w:val="center"/>
          </w:tcPr>
          <w:p w14:paraId="255BD56B">
            <w:r>
              <w:rPr>
                <w:rStyle w:val="10"/>
                <w:rFonts w:hint="eastAsia"/>
              </w:rPr>
              <w:t>总有效成分含量：</w:t>
            </w:r>
            <w:r>
              <w:rPr>
                <w:rFonts w:hint="eastAsia"/>
              </w:rPr>
              <w:t>0.41%</w:t>
            </w:r>
          </w:p>
        </w:tc>
      </w:tr>
      <w:tr w14:paraId="21683D1E">
        <w:tblPrEx>
          <w:tblCellMar>
            <w:top w:w="0" w:type="dxa"/>
            <w:left w:w="0" w:type="dxa"/>
            <w:bottom w:w="0" w:type="dxa"/>
            <w:right w:w="0" w:type="dxa"/>
          </w:tblCellMar>
        </w:tblPrEx>
        <w:trPr>
          <w:wBefore w:w="0" w:type="auto"/>
          <w:tblCellSpacing w:w="0" w:type="dxa"/>
        </w:trPr>
        <w:tc>
          <w:tcPr>
            <w:tcW w:w="0" w:type="auto"/>
            <w:noWrap w:val="0"/>
            <w:vAlign w:val="center"/>
          </w:tcPr>
          <w:p w14:paraId="04F6A01D">
            <w:r>
              <w:rPr>
                <w:rFonts w:hint="eastAsia"/>
              </w:rPr>
              <w:t xml:space="preserve">有效成分及其含量： </w:t>
            </w:r>
          </w:p>
          <w:p w14:paraId="44C24746">
            <w:r>
              <w:rPr>
                <w:rFonts w:hint="eastAsia"/>
              </w:rPr>
              <w:t xml:space="preserve">    Es-生物烯丙菊酯0.22%    右旋苯醚菊酯0.19%    </w:t>
            </w:r>
          </w:p>
        </w:tc>
      </w:tr>
      <w:tr w14:paraId="05953708">
        <w:tblPrEx>
          <w:tblCellMar>
            <w:top w:w="0" w:type="dxa"/>
            <w:left w:w="0" w:type="dxa"/>
            <w:bottom w:w="0" w:type="dxa"/>
            <w:right w:w="0" w:type="dxa"/>
          </w:tblCellMar>
        </w:tblPrEx>
        <w:trPr>
          <w:wBefore w:w="0" w:type="auto"/>
          <w:tblCellSpacing w:w="0" w:type="dxa"/>
        </w:trPr>
        <w:tc>
          <w:tcPr>
            <w:tcW w:w="0" w:type="auto"/>
            <w:noWrap w:val="0"/>
            <w:vAlign w:val="center"/>
          </w:tcPr>
          <w:p w14:paraId="19189A6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D7F1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671D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9892A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9FC9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D35F3D">
                  <w:r>
                    <w:rPr>
                      <w:rStyle w:val="11"/>
                      <w:rFonts w:hint="eastAsia"/>
                    </w:rPr>
                    <w:t>施用方式</w:t>
                  </w:r>
                </w:p>
              </w:tc>
            </w:tr>
            <w:tr w14:paraId="039FD1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6373B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7243A5">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EB90F9">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F58C48">
                  <w:r>
                    <w:rPr>
                      <w:rStyle w:val="11"/>
                      <w:rFonts w:hint="eastAsia"/>
                    </w:rPr>
                    <w:t>喷雾</w:t>
                  </w:r>
                </w:p>
              </w:tc>
            </w:tr>
          </w:tbl>
          <w:p w14:paraId="5BC24429">
            <w:pPr>
              <w:rPr>
                <w:rFonts w:ascii="Times New Roman" w:hAnsi="Times New Roman" w:cs="Times New Roman"/>
                <w:sz w:val="20"/>
                <w:szCs w:val="20"/>
              </w:rPr>
            </w:pPr>
          </w:p>
        </w:tc>
      </w:tr>
      <w:tr w14:paraId="36BD404B">
        <w:tblPrEx>
          <w:tblCellMar>
            <w:top w:w="0" w:type="dxa"/>
            <w:left w:w="0" w:type="dxa"/>
            <w:bottom w:w="0" w:type="dxa"/>
            <w:right w:w="0" w:type="dxa"/>
          </w:tblCellMar>
        </w:tblPrEx>
        <w:trPr>
          <w:wBefore w:w="0" w:type="auto"/>
          <w:tblCellSpacing w:w="0" w:type="dxa"/>
        </w:trPr>
        <w:tc>
          <w:tcPr>
            <w:tcW w:w="0" w:type="auto"/>
            <w:noWrap w:val="0"/>
            <w:vAlign w:val="center"/>
          </w:tcPr>
          <w:p w14:paraId="0246885C">
            <w:r>
              <w:rPr>
                <w:rStyle w:val="10"/>
                <w:rFonts w:hint="eastAsia"/>
              </w:rPr>
              <w:t>使用技术要求:</w:t>
            </w:r>
            <w:r>
              <w:rPr>
                <w:rFonts w:hint="eastAsia"/>
              </w:rPr>
              <w:br w:type="textWrapping"/>
            </w:r>
            <w:r>
              <w:rPr>
                <w:rStyle w:val="11"/>
                <w:rFonts w:hint="eastAsia"/>
              </w:rPr>
              <w:t>1. 用前请摇匀。 2. 驱杀蚊、蝇时，关闭门窗，竖直持罐向其活动空间斜上方适量喷射。 3. 驱杀蟑螂时，直接对准其喷射，或向其栖息地及经常出没的地方适量喷射。 4. 使用后人随即离开，20分钟后打开门窗，充分通风后即可进入。</w:t>
            </w:r>
          </w:p>
        </w:tc>
      </w:tr>
      <w:tr w14:paraId="3E2B7A88">
        <w:tblPrEx>
          <w:tblCellMar>
            <w:top w:w="0" w:type="dxa"/>
            <w:left w:w="0" w:type="dxa"/>
            <w:bottom w:w="0" w:type="dxa"/>
            <w:right w:w="0" w:type="dxa"/>
          </w:tblCellMar>
        </w:tblPrEx>
        <w:trPr>
          <w:wBefore w:w="0" w:type="auto"/>
          <w:tblCellSpacing w:w="0" w:type="dxa"/>
        </w:trPr>
        <w:tc>
          <w:tcPr>
            <w:tcW w:w="0" w:type="auto"/>
            <w:noWrap w:val="0"/>
            <w:vAlign w:val="center"/>
          </w:tcPr>
          <w:p w14:paraId="43841DF4">
            <w:r>
              <w:rPr>
                <w:rStyle w:val="10"/>
                <w:rFonts w:hint="eastAsia"/>
              </w:rPr>
              <w:t>产品性能:</w:t>
            </w:r>
            <w:r>
              <w:rPr>
                <w:rFonts w:hint="eastAsia"/>
              </w:rPr>
              <w:br w:type="textWrapping"/>
            </w:r>
            <w:r>
              <w:rPr>
                <w:rStyle w:val="11"/>
                <w:rFonts w:hint="eastAsia"/>
              </w:rPr>
              <w:t>1. 采用拟除虫菊酯类药剂为有效成分，可有效驱杀蚊、蝇、蟑螂（学名蜚蠊）。2. 无味的杀虫剂，无难闻刺激性气味,适用于家庭、酒店、办公室等场所。</w:t>
            </w:r>
          </w:p>
        </w:tc>
      </w:tr>
      <w:tr w14:paraId="1E29630F">
        <w:tblPrEx>
          <w:tblCellMar>
            <w:top w:w="0" w:type="dxa"/>
            <w:left w:w="0" w:type="dxa"/>
            <w:bottom w:w="0" w:type="dxa"/>
            <w:right w:w="0" w:type="dxa"/>
          </w:tblCellMar>
        </w:tblPrEx>
        <w:trPr>
          <w:wBefore w:w="0" w:type="auto"/>
          <w:tblCellSpacing w:w="0" w:type="dxa"/>
        </w:trPr>
        <w:tc>
          <w:tcPr>
            <w:tcW w:w="0" w:type="auto"/>
            <w:noWrap w:val="0"/>
            <w:vAlign w:val="center"/>
          </w:tcPr>
          <w:p w14:paraId="4ED5497F">
            <w:r>
              <w:rPr>
                <w:rStyle w:val="10"/>
                <w:rFonts w:hint="eastAsia"/>
              </w:rPr>
              <w:t>注意事项：</w:t>
            </w:r>
            <w:r>
              <w:rPr>
                <w:rFonts w:hint="eastAsia"/>
              </w:rPr>
              <w:br w:type="textWrapping"/>
            </w:r>
            <w:r>
              <w:rPr>
                <w:rStyle w:val="11"/>
                <w:rFonts w:hint="eastAsia"/>
              </w:rPr>
              <w:t>1. 仅限室内使用，使用后再次进入房间时要注意充分通风。 2. 切勿向人畜、食物、食具喷射，如在厨房使用，请移走或覆盖暴露在外的食物、餐具及食物准备区。3. 本品属密闭容器，切勿将罐体戳破。 4. 切勿撞击。 5. 切勿倒置或在火源附近使用。6. 切勿再次充装回收。 7. 过敏者禁用，使用中有任何不良反应请及时就医。 8. 用后请洗手。9. 对鱼、家蚕有害，蚕室及其附近禁用。</w:t>
            </w:r>
          </w:p>
        </w:tc>
      </w:tr>
      <w:tr w14:paraId="6E7CC54D">
        <w:tblPrEx>
          <w:tblCellMar>
            <w:top w:w="0" w:type="dxa"/>
            <w:left w:w="0" w:type="dxa"/>
            <w:bottom w:w="0" w:type="dxa"/>
            <w:right w:w="0" w:type="dxa"/>
          </w:tblCellMar>
        </w:tblPrEx>
        <w:trPr>
          <w:wBefore w:w="0" w:type="auto"/>
          <w:tblCellSpacing w:w="0" w:type="dxa"/>
        </w:trPr>
        <w:tc>
          <w:tcPr>
            <w:tcW w:w="0" w:type="auto"/>
            <w:noWrap w:val="0"/>
            <w:vAlign w:val="center"/>
          </w:tcPr>
          <w:p w14:paraId="7A388518">
            <w:r>
              <w:rPr>
                <w:rStyle w:val="10"/>
                <w:rFonts w:hint="eastAsia"/>
              </w:rPr>
              <w:t>中毒急救措施：</w:t>
            </w:r>
            <w:r>
              <w:rPr>
                <w:rFonts w:hint="eastAsia"/>
              </w:rPr>
              <w:br w:type="textWrapping"/>
            </w:r>
            <w:r>
              <w:rPr>
                <w:rStyle w:val="11"/>
                <w:rFonts w:hint="eastAsia"/>
              </w:rPr>
              <w:t>1. 若不慎溅入眼睛，请立即用大量清水冲洗，如仍有不适请及时就医。 2. 药液不可吞服，若发生误服或吸入不适请立即携标签就医。 3. 若不慎触及皮肤，请用肥皂水清洗，并用清水冲洗干净。</w:t>
            </w:r>
          </w:p>
        </w:tc>
      </w:tr>
      <w:tr w14:paraId="71DF4ED0">
        <w:tblPrEx>
          <w:tblCellMar>
            <w:top w:w="0" w:type="dxa"/>
            <w:left w:w="0" w:type="dxa"/>
            <w:bottom w:w="0" w:type="dxa"/>
            <w:right w:w="0" w:type="dxa"/>
          </w:tblCellMar>
        </w:tblPrEx>
        <w:trPr>
          <w:wBefore w:w="0" w:type="auto"/>
          <w:tblCellSpacing w:w="0" w:type="dxa"/>
        </w:trPr>
        <w:tc>
          <w:tcPr>
            <w:tcW w:w="0" w:type="auto"/>
            <w:noWrap w:val="0"/>
            <w:vAlign w:val="center"/>
          </w:tcPr>
          <w:p w14:paraId="73EBB7BB">
            <w:r>
              <w:rPr>
                <w:rStyle w:val="10"/>
                <w:rFonts w:hint="eastAsia"/>
              </w:rPr>
              <w:t>储存和运输方法：</w:t>
            </w:r>
            <w:r>
              <w:rPr>
                <w:rFonts w:hint="eastAsia"/>
              </w:rPr>
              <w:br w:type="textWrapping"/>
            </w:r>
            <w:r>
              <w:rPr>
                <w:rStyle w:val="11"/>
                <w:rFonts w:hint="eastAsia"/>
              </w:rPr>
              <w:t>1. 请放在儿童触及不到的地方。 2. 储于阴凉、干燥处。 3. 勿与食品、饮料、粮食、饲料、种子及易燃易爆品同贮同运。 4. 本品属压力容器，内含易燃物，属易燃物品，远离火源或热源。切勿受太阳直射，切勿接近火源和电源。 5 切勿放置在温度超过50℃的地方，如阳台、厨房、浴室、汽车驾驶室。6 轻装轻卸，避免曝晒、雨淋。</w:t>
            </w:r>
          </w:p>
        </w:tc>
      </w:tr>
      <w:tr w14:paraId="6B84636C">
        <w:tblPrEx>
          <w:tblCellMar>
            <w:top w:w="0" w:type="dxa"/>
            <w:left w:w="0" w:type="dxa"/>
            <w:bottom w:w="0" w:type="dxa"/>
            <w:right w:w="0" w:type="dxa"/>
          </w:tblCellMar>
        </w:tblPrEx>
        <w:trPr>
          <w:wBefore w:w="0" w:type="auto"/>
          <w:tblCellSpacing w:w="0" w:type="dxa"/>
        </w:trPr>
        <w:tc>
          <w:tcPr>
            <w:tcW w:w="0" w:type="auto"/>
            <w:noWrap w:val="0"/>
            <w:vAlign w:val="center"/>
          </w:tcPr>
          <w:p w14:paraId="72DB3A4A">
            <w:r>
              <w:rPr>
                <w:rStyle w:val="10"/>
                <w:rFonts w:hint="eastAsia"/>
              </w:rPr>
              <w:t>质量保证期：</w:t>
            </w:r>
            <w:r>
              <w:rPr>
                <w:rStyle w:val="11"/>
                <w:rFonts w:hint="eastAsia"/>
              </w:rPr>
              <w:t>3年</w:t>
            </w:r>
          </w:p>
        </w:tc>
      </w:tr>
      <w:tr w14:paraId="1E6CF562">
        <w:tblPrEx>
          <w:tblCellMar>
            <w:top w:w="0" w:type="dxa"/>
            <w:left w:w="0" w:type="dxa"/>
            <w:bottom w:w="0" w:type="dxa"/>
            <w:right w:w="0" w:type="dxa"/>
          </w:tblCellMar>
        </w:tblPrEx>
        <w:trPr>
          <w:wBefore w:w="0" w:type="auto"/>
          <w:tblCellSpacing w:w="0" w:type="dxa"/>
        </w:trPr>
        <w:tc>
          <w:tcPr>
            <w:tcW w:w="0" w:type="auto"/>
            <w:noWrap w:val="0"/>
            <w:vAlign w:val="center"/>
          </w:tcPr>
          <w:p w14:paraId="4F6A7BBA">
            <w:r>
              <w:rPr>
                <w:rStyle w:val="10"/>
                <w:rFonts w:hint="eastAsia"/>
              </w:rPr>
              <w:t>备注：</w:t>
            </w:r>
          </w:p>
        </w:tc>
      </w:tr>
    </w:tbl>
    <w:p w14:paraId="514494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DC59C3">
        <w:tblPrEx>
          <w:tblCellMar>
            <w:top w:w="0" w:type="dxa"/>
            <w:left w:w="0" w:type="dxa"/>
            <w:bottom w:w="0" w:type="dxa"/>
            <w:right w:w="0" w:type="dxa"/>
          </w:tblCellMar>
        </w:tblPrEx>
        <w:trPr>
          <w:wBefore w:w="0" w:type="auto"/>
          <w:tblCellSpacing w:w="0" w:type="dxa"/>
        </w:trPr>
        <w:tc>
          <w:tcPr>
            <w:tcW w:w="0" w:type="auto"/>
            <w:noWrap w:val="0"/>
            <w:vAlign w:val="center"/>
          </w:tcPr>
          <w:p w14:paraId="5749A957">
            <w:r>
              <w:rPr>
                <w:rStyle w:val="10"/>
                <w:rFonts w:hint="eastAsia"/>
              </w:rPr>
              <w:t>登记证号：</w:t>
            </w:r>
            <w:r>
              <w:rPr>
                <w:rFonts w:hint="eastAsia"/>
              </w:rPr>
              <w:t>WP20210398</w:t>
            </w:r>
          </w:p>
        </w:tc>
      </w:tr>
      <w:tr w14:paraId="585E4E88">
        <w:tblPrEx>
          <w:tblCellMar>
            <w:top w:w="0" w:type="dxa"/>
            <w:left w:w="0" w:type="dxa"/>
            <w:bottom w:w="0" w:type="dxa"/>
            <w:right w:w="0" w:type="dxa"/>
          </w:tblCellMar>
        </w:tblPrEx>
        <w:trPr>
          <w:wBefore w:w="0" w:type="auto"/>
          <w:tblCellSpacing w:w="0" w:type="dxa"/>
        </w:trPr>
        <w:tc>
          <w:tcPr>
            <w:tcW w:w="0" w:type="auto"/>
            <w:noWrap w:val="0"/>
            <w:vAlign w:val="center"/>
          </w:tcPr>
          <w:p w14:paraId="5840E19F">
            <w:r>
              <w:rPr>
                <w:rStyle w:val="10"/>
                <w:rFonts w:hint="eastAsia"/>
              </w:rPr>
              <w:t>登记证持有人：</w:t>
            </w:r>
            <w:r>
              <w:rPr>
                <w:rFonts w:hint="eastAsia"/>
              </w:rPr>
              <w:t>中山榄菊日化实业有限公司</w:t>
            </w:r>
          </w:p>
        </w:tc>
      </w:tr>
      <w:tr w14:paraId="381FB7DE">
        <w:tblPrEx>
          <w:tblCellMar>
            <w:top w:w="0" w:type="dxa"/>
            <w:left w:w="0" w:type="dxa"/>
            <w:bottom w:w="0" w:type="dxa"/>
            <w:right w:w="0" w:type="dxa"/>
          </w:tblCellMar>
        </w:tblPrEx>
        <w:trPr>
          <w:wBefore w:w="0" w:type="auto"/>
          <w:tblCellSpacing w:w="0" w:type="dxa"/>
        </w:trPr>
        <w:tc>
          <w:tcPr>
            <w:tcW w:w="0" w:type="auto"/>
            <w:noWrap w:val="0"/>
            <w:vAlign w:val="center"/>
          </w:tcPr>
          <w:p w14:paraId="7731C2ED">
            <w:r>
              <w:rPr>
                <w:rStyle w:val="10"/>
                <w:rFonts w:hint="eastAsia"/>
              </w:rPr>
              <w:t>农药名称：</w:t>
            </w:r>
            <w:r>
              <w:rPr>
                <w:rFonts w:hint="eastAsia"/>
              </w:rPr>
              <w:t>驱蚊液</w:t>
            </w:r>
          </w:p>
        </w:tc>
      </w:tr>
      <w:tr w14:paraId="67DF4C6A">
        <w:tblPrEx>
          <w:tblCellMar>
            <w:top w:w="0" w:type="dxa"/>
            <w:left w:w="0" w:type="dxa"/>
            <w:bottom w:w="0" w:type="dxa"/>
            <w:right w:w="0" w:type="dxa"/>
          </w:tblCellMar>
        </w:tblPrEx>
        <w:trPr>
          <w:wBefore w:w="0" w:type="auto"/>
          <w:tblCellSpacing w:w="0" w:type="dxa"/>
        </w:trPr>
        <w:tc>
          <w:tcPr>
            <w:tcW w:w="0" w:type="auto"/>
            <w:noWrap w:val="0"/>
            <w:vAlign w:val="center"/>
          </w:tcPr>
          <w:p w14:paraId="3EB12B46">
            <w:r>
              <w:rPr>
                <w:rStyle w:val="10"/>
                <w:rFonts w:hint="eastAsia"/>
              </w:rPr>
              <w:t>剂型：</w:t>
            </w:r>
            <w:r>
              <w:rPr>
                <w:rFonts w:hint="eastAsia"/>
              </w:rPr>
              <w:t>驱蚊液</w:t>
            </w:r>
          </w:p>
        </w:tc>
      </w:tr>
      <w:tr w14:paraId="6F4098B4">
        <w:tblPrEx>
          <w:tblCellMar>
            <w:top w:w="0" w:type="dxa"/>
            <w:left w:w="0" w:type="dxa"/>
            <w:bottom w:w="0" w:type="dxa"/>
            <w:right w:w="0" w:type="dxa"/>
          </w:tblCellMar>
        </w:tblPrEx>
        <w:trPr>
          <w:wBefore w:w="0" w:type="auto"/>
          <w:tblCellSpacing w:w="0" w:type="dxa"/>
        </w:trPr>
        <w:tc>
          <w:tcPr>
            <w:tcW w:w="0" w:type="auto"/>
            <w:noWrap w:val="0"/>
            <w:vAlign w:val="center"/>
          </w:tcPr>
          <w:p w14:paraId="06DE0D7D">
            <w:r>
              <w:rPr>
                <w:rStyle w:val="10"/>
                <w:rFonts w:hint="eastAsia"/>
              </w:rPr>
              <w:t>毒性及其标识：</w:t>
            </w:r>
            <w:r>
              <w:rPr>
                <w:rFonts w:hint="eastAsia"/>
              </w:rPr>
              <w:t xml:space="preserve"> 微毒 </w:t>
            </w:r>
          </w:p>
        </w:tc>
      </w:tr>
      <w:tr w14:paraId="49FED796">
        <w:tblPrEx>
          <w:tblCellMar>
            <w:top w:w="0" w:type="dxa"/>
            <w:left w:w="0" w:type="dxa"/>
            <w:bottom w:w="0" w:type="dxa"/>
            <w:right w:w="0" w:type="dxa"/>
          </w:tblCellMar>
        </w:tblPrEx>
        <w:trPr>
          <w:wBefore w:w="0" w:type="auto"/>
          <w:tblCellSpacing w:w="0" w:type="dxa"/>
        </w:trPr>
        <w:tc>
          <w:tcPr>
            <w:tcW w:w="0" w:type="auto"/>
            <w:noWrap w:val="0"/>
            <w:vAlign w:val="center"/>
          </w:tcPr>
          <w:p w14:paraId="14EB3510">
            <w:r>
              <w:rPr>
                <w:rStyle w:val="10"/>
                <w:rFonts w:hint="eastAsia"/>
              </w:rPr>
              <w:t>总有效成分含量：</w:t>
            </w:r>
            <w:r>
              <w:rPr>
                <w:rFonts w:hint="eastAsia"/>
              </w:rPr>
              <w:t>20%</w:t>
            </w:r>
          </w:p>
        </w:tc>
      </w:tr>
      <w:tr w14:paraId="7C09DA68">
        <w:tblPrEx>
          <w:tblCellMar>
            <w:top w:w="0" w:type="dxa"/>
            <w:left w:w="0" w:type="dxa"/>
            <w:bottom w:w="0" w:type="dxa"/>
            <w:right w:w="0" w:type="dxa"/>
          </w:tblCellMar>
        </w:tblPrEx>
        <w:trPr>
          <w:wBefore w:w="0" w:type="auto"/>
          <w:tblCellSpacing w:w="0" w:type="dxa"/>
        </w:trPr>
        <w:tc>
          <w:tcPr>
            <w:tcW w:w="0" w:type="auto"/>
            <w:noWrap w:val="0"/>
            <w:vAlign w:val="center"/>
          </w:tcPr>
          <w:p w14:paraId="3A9C360E">
            <w:r>
              <w:rPr>
                <w:rFonts w:hint="eastAsia"/>
              </w:rPr>
              <w:t xml:space="preserve">有效成分及其含量： </w:t>
            </w:r>
          </w:p>
          <w:p w14:paraId="0D42C418">
            <w:r>
              <w:rPr>
                <w:rFonts w:hint="eastAsia"/>
              </w:rPr>
              <w:t xml:space="preserve">    羟哌酯20%    </w:t>
            </w:r>
          </w:p>
        </w:tc>
      </w:tr>
      <w:tr w14:paraId="48E835A6">
        <w:tblPrEx>
          <w:tblCellMar>
            <w:top w:w="0" w:type="dxa"/>
            <w:left w:w="0" w:type="dxa"/>
            <w:bottom w:w="0" w:type="dxa"/>
            <w:right w:w="0" w:type="dxa"/>
          </w:tblCellMar>
        </w:tblPrEx>
        <w:trPr>
          <w:wBefore w:w="0" w:type="auto"/>
          <w:tblCellSpacing w:w="0" w:type="dxa"/>
        </w:trPr>
        <w:tc>
          <w:tcPr>
            <w:tcW w:w="0" w:type="auto"/>
            <w:noWrap w:val="0"/>
            <w:vAlign w:val="center"/>
          </w:tcPr>
          <w:p w14:paraId="013CC5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C15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492C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8270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209C7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3293DE">
                  <w:r>
                    <w:rPr>
                      <w:rStyle w:val="11"/>
                      <w:rFonts w:hint="eastAsia"/>
                    </w:rPr>
                    <w:t>施用方式</w:t>
                  </w:r>
                </w:p>
              </w:tc>
            </w:tr>
            <w:tr w14:paraId="22E260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E4E933">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FD6F8C">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FC66C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1CF8B2">
                  <w:r>
                    <w:rPr>
                      <w:rStyle w:val="11"/>
                      <w:rFonts w:hint="eastAsia"/>
                    </w:rPr>
                    <w:t>涂抹</w:t>
                  </w:r>
                </w:p>
              </w:tc>
            </w:tr>
          </w:tbl>
          <w:p w14:paraId="715D1159">
            <w:pPr>
              <w:rPr>
                <w:rFonts w:ascii="Times New Roman" w:hAnsi="Times New Roman" w:cs="Times New Roman"/>
                <w:sz w:val="20"/>
                <w:szCs w:val="20"/>
              </w:rPr>
            </w:pPr>
          </w:p>
        </w:tc>
      </w:tr>
      <w:tr w14:paraId="40AF22ED">
        <w:tblPrEx>
          <w:tblCellMar>
            <w:top w:w="0" w:type="dxa"/>
            <w:left w:w="0" w:type="dxa"/>
            <w:bottom w:w="0" w:type="dxa"/>
            <w:right w:w="0" w:type="dxa"/>
          </w:tblCellMar>
        </w:tblPrEx>
        <w:trPr>
          <w:wBefore w:w="0" w:type="auto"/>
          <w:tblCellSpacing w:w="0" w:type="dxa"/>
        </w:trPr>
        <w:tc>
          <w:tcPr>
            <w:tcW w:w="0" w:type="auto"/>
            <w:noWrap w:val="0"/>
            <w:vAlign w:val="center"/>
          </w:tcPr>
          <w:p w14:paraId="08EC7611">
            <w:r>
              <w:rPr>
                <w:rStyle w:val="10"/>
                <w:rFonts w:hint="eastAsia"/>
              </w:rPr>
              <w:t>使用技术要求:</w:t>
            </w:r>
            <w:r>
              <w:rPr>
                <w:rFonts w:hint="eastAsia"/>
              </w:rPr>
              <w:br w:type="textWrapping"/>
            </w:r>
            <w:r>
              <w:rPr>
                <w:rStyle w:val="11"/>
                <w:rFonts w:hint="eastAsia"/>
              </w:rPr>
              <w:t>均匀喷涂于所需的裸露肌肤部位，形成保护屏障，可避免蚊子叮咬。</w:t>
            </w:r>
          </w:p>
        </w:tc>
      </w:tr>
      <w:tr w14:paraId="11CBACC5">
        <w:tblPrEx>
          <w:tblCellMar>
            <w:top w:w="0" w:type="dxa"/>
            <w:left w:w="0" w:type="dxa"/>
            <w:bottom w:w="0" w:type="dxa"/>
            <w:right w:w="0" w:type="dxa"/>
          </w:tblCellMar>
        </w:tblPrEx>
        <w:trPr>
          <w:wBefore w:w="0" w:type="auto"/>
          <w:tblCellSpacing w:w="0" w:type="dxa"/>
        </w:trPr>
        <w:tc>
          <w:tcPr>
            <w:tcW w:w="0" w:type="auto"/>
            <w:noWrap w:val="0"/>
            <w:vAlign w:val="center"/>
          </w:tcPr>
          <w:p w14:paraId="46604BDD">
            <w:r>
              <w:rPr>
                <w:rStyle w:val="10"/>
                <w:rFonts w:hint="eastAsia"/>
              </w:rPr>
              <w:t>产品性能:</w:t>
            </w:r>
            <w:r>
              <w:rPr>
                <w:rFonts w:hint="eastAsia"/>
              </w:rPr>
              <w:br w:type="textWrapping"/>
            </w:r>
            <w:r>
              <w:rPr>
                <w:rStyle w:val="11"/>
                <w:rFonts w:hint="eastAsia"/>
              </w:rPr>
              <w:t>采用羟哌酯为有效成分，有效驱避传播登革热的伊蚊，驱蚊长达8小时；温和配方，通过皮肤刺激性测试，不刺激皮肤，是居家、旅游、户外防蚊的好帮手。</w:t>
            </w:r>
          </w:p>
        </w:tc>
      </w:tr>
      <w:tr w14:paraId="52133E63">
        <w:tblPrEx>
          <w:tblCellMar>
            <w:top w:w="0" w:type="dxa"/>
            <w:left w:w="0" w:type="dxa"/>
            <w:bottom w:w="0" w:type="dxa"/>
            <w:right w:w="0" w:type="dxa"/>
          </w:tblCellMar>
        </w:tblPrEx>
        <w:trPr>
          <w:wBefore w:w="0" w:type="auto"/>
          <w:tblCellSpacing w:w="0" w:type="dxa"/>
        </w:trPr>
        <w:tc>
          <w:tcPr>
            <w:tcW w:w="0" w:type="auto"/>
            <w:noWrap w:val="0"/>
            <w:vAlign w:val="center"/>
          </w:tcPr>
          <w:p w14:paraId="55600286">
            <w:r>
              <w:rPr>
                <w:rStyle w:val="10"/>
                <w:rFonts w:hint="eastAsia"/>
              </w:rPr>
              <w:t>注意事项：</w:t>
            </w:r>
            <w:r>
              <w:rPr>
                <w:rFonts w:hint="eastAsia"/>
              </w:rPr>
              <w:br w:type="textWrapping"/>
            </w:r>
            <w:r>
              <w:rPr>
                <w:rStyle w:val="11"/>
                <w:rFonts w:hint="eastAsia"/>
              </w:rPr>
              <w:t>外用品，勿食用；避免用于眼睛、口部及其周围皮肤；有皮炎和皮肤破损者禁用；过敏者禁用；婴儿、孕妇慎用；用后及时洗手；本产品含酒精，应避火使用；使用中有任何不良反应，请携带此包装及时就医。</w:t>
            </w:r>
          </w:p>
        </w:tc>
      </w:tr>
      <w:tr w14:paraId="6B4D70BF">
        <w:tblPrEx>
          <w:tblCellMar>
            <w:top w:w="0" w:type="dxa"/>
            <w:left w:w="0" w:type="dxa"/>
            <w:bottom w:w="0" w:type="dxa"/>
            <w:right w:w="0" w:type="dxa"/>
          </w:tblCellMar>
        </w:tblPrEx>
        <w:trPr>
          <w:wBefore w:w="0" w:type="auto"/>
          <w:tblCellSpacing w:w="0" w:type="dxa"/>
        </w:trPr>
        <w:tc>
          <w:tcPr>
            <w:tcW w:w="0" w:type="auto"/>
            <w:noWrap w:val="0"/>
            <w:vAlign w:val="center"/>
          </w:tcPr>
          <w:p w14:paraId="74725AEB">
            <w:r>
              <w:rPr>
                <w:rStyle w:val="10"/>
                <w:rFonts w:hint="eastAsia"/>
              </w:rPr>
              <w:t>中毒急救措施：</w:t>
            </w:r>
            <w:r>
              <w:rPr>
                <w:rFonts w:hint="eastAsia"/>
              </w:rPr>
              <w:br w:type="textWrapping"/>
            </w:r>
            <w:r>
              <w:rPr>
                <w:rStyle w:val="11"/>
                <w:rFonts w:hint="eastAsia"/>
              </w:rPr>
              <w:t>若不慎溅入眼睛，请立即用水冲洗；若不慎误食，请大量饮水，并及时携此包装就医。</w:t>
            </w:r>
          </w:p>
        </w:tc>
      </w:tr>
      <w:tr w14:paraId="10579F9E">
        <w:tblPrEx>
          <w:tblCellMar>
            <w:top w:w="0" w:type="dxa"/>
            <w:left w:w="0" w:type="dxa"/>
            <w:bottom w:w="0" w:type="dxa"/>
            <w:right w:w="0" w:type="dxa"/>
          </w:tblCellMar>
        </w:tblPrEx>
        <w:trPr>
          <w:wBefore w:w="0" w:type="auto"/>
          <w:tblCellSpacing w:w="0" w:type="dxa"/>
        </w:trPr>
        <w:tc>
          <w:tcPr>
            <w:tcW w:w="0" w:type="auto"/>
            <w:noWrap w:val="0"/>
            <w:vAlign w:val="center"/>
          </w:tcPr>
          <w:p w14:paraId="5E35C3FB">
            <w:r>
              <w:rPr>
                <w:rStyle w:val="10"/>
                <w:rFonts w:hint="eastAsia"/>
              </w:rPr>
              <w:t>储存和运输方法：</w:t>
            </w:r>
            <w:r>
              <w:rPr>
                <w:rFonts w:hint="eastAsia"/>
              </w:rPr>
              <w:br w:type="textWrapping"/>
            </w:r>
            <w:r>
              <w:rPr>
                <w:rStyle w:val="11"/>
                <w:rFonts w:hint="eastAsia"/>
              </w:rPr>
              <w:t>1. 本产品含酒精，属易燃液体，避开火源储藏于阴凉、干燥的地方。2. 置于儿童、无关人员触及不到之处，并加锁。勿与食品、饮料、饲料、粮食等同贮同运。</w:t>
            </w:r>
          </w:p>
        </w:tc>
      </w:tr>
      <w:tr w14:paraId="3ED6F98E">
        <w:tblPrEx>
          <w:tblCellMar>
            <w:top w:w="0" w:type="dxa"/>
            <w:left w:w="0" w:type="dxa"/>
            <w:bottom w:w="0" w:type="dxa"/>
            <w:right w:w="0" w:type="dxa"/>
          </w:tblCellMar>
        </w:tblPrEx>
        <w:trPr>
          <w:wBefore w:w="0" w:type="auto"/>
          <w:tblCellSpacing w:w="0" w:type="dxa"/>
        </w:trPr>
        <w:tc>
          <w:tcPr>
            <w:tcW w:w="0" w:type="auto"/>
            <w:noWrap w:val="0"/>
            <w:vAlign w:val="center"/>
          </w:tcPr>
          <w:p w14:paraId="3001CC94">
            <w:r>
              <w:rPr>
                <w:rStyle w:val="10"/>
                <w:rFonts w:hint="eastAsia"/>
              </w:rPr>
              <w:t>质量保证期：</w:t>
            </w:r>
            <w:r>
              <w:rPr>
                <w:rStyle w:val="11"/>
                <w:rFonts w:hint="eastAsia"/>
              </w:rPr>
              <w:t>3年</w:t>
            </w:r>
          </w:p>
        </w:tc>
      </w:tr>
      <w:tr w14:paraId="6C24F8B8">
        <w:tblPrEx>
          <w:tblCellMar>
            <w:top w:w="0" w:type="dxa"/>
            <w:left w:w="0" w:type="dxa"/>
            <w:bottom w:w="0" w:type="dxa"/>
            <w:right w:w="0" w:type="dxa"/>
          </w:tblCellMar>
        </w:tblPrEx>
        <w:trPr>
          <w:wBefore w:w="0" w:type="auto"/>
          <w:tblCellSpacing w:w="0" w:type="dxa"/>
        </w:trPr>
        <w:tc>
          <w:tcPr>
            <w:tcW w:w="0" w:type="auto"/>
            <w:noWrap w:val="0"/>
            <w:vAlign w:val="center"/>
          </w:tcPr>
          <w:p w14:paraId="6662A29B">
            <w:r>
              <w:rPr>
                <w:rStyle w:val="10"/>
                <w:rFonts w:hint="eastAsia"/>
              </w:rPr>
              <w:t>备注：</w:t>
            </w:r>
          </w:p>
        </w:tc>
      </w:tr>
    </w:tbl>
    <w:p w14:paraId="05E292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E74B18">
        <w:tblPrEx>
          <w:tblCellMar>
            <w:top w:w="0" w:type="dxa"/>
            <w:left w:w="0" w:type="dxa"/>
            <w:bottom w:w="0" w:type="dxa"/>
            <w:right w:w="0" w:type="dxa"/>
          </w:tblCellMar>
        </w:tblPrEx>
        <w:trPr>
          <w:wBefore w:w="0" w:type="auto"/>
          <w:tblCellSpacing w:w="0" w:type="dxa"/>
        </w:trPr>
        <w:tc>
          <w:tcPr>
            <w:tcW w:w="0" w:type="auto"/>
            <w:noWrap w:val="0"/>
            <w:vAlign w:val="center"/>
          </w:tcPr>
          <w:p w14:paraId="34944BE5">
            <w:r>
              <w:rPr>
                <w:rStyle w:val="10"/>
                <w:rFonts w:hint="eastAsia"/>
              </w:rPr>
              <w:t>登记证号：</w:t>
            </w:r>
            <w:r>
              <w:rPr>
                <w:rFonts w:hint="eastAsia"/>
              </w:rPr>
              <w:t>WP20210400</w:t>
            </w:r>
          </w:p>
        </w:tc>
      </w:tr>
      <w:tr w14:paraId="636486F8">
        <w:tblPrEx>
          <w:tblCellMar>
            <w:top w:w="0" w:type="dxa"/>
            <w:left w:w="0" w:type="dxa"/>
            <w:bottom w:w="0" w:type="dxa"/>
            <w:right w:w="0" w:type="dxa"/>
          </w:tblCellMar>
        </w:tblPrEx>
        <w:trPr>
          <w:wBefore w:w="0" w:type="auto"/>
          <w:tblCellSpacing w:w="0" w:type="dxa"/>
        </w:trPr>
        <w:tc>
          <w:tcPr>
            <w:tcW w:w="0" w:type="auto"/>
            <w:noWrap w:val="0"/>
            <w:vAlign w:val="center"/>
          </w:tcPr>
          <w:p w14:paraId="52FDB884">
            <w:r>
              <w:rPr>
                <w:rStyle w:val="10"/>
                <w:rFonts w:hint="eastAsia"/>
              </w:rPr>
              <w:t>登记证持有人：</w:t>
            </w:r>
            <w:r>
              <w:rPr>
                <w:rFonts w:hint="eastAsia"/>
              </w:rPr>
              <w:t>中山榄菊日化实业有限公司</w:t>
            </w:r>
          </w:p>
        </w:tc>
      </w:tr>
      <w:tr w14:paraId="4786F5D6">
        <w:tblPrEx>
          <w:tblCellMar>
            <w:top w:w="0" w:type="dxa"/>
            <w:left w:w="0" w:type="dxa"/>
            <w:bottom w:w="0" w:type="dxa"/>
            <w:right w:w="0" w:type="dxa"/>
          </w:tblCellMar>
        </w:tblPrEx>
        <w:trPr>
          <w:wBefore w:w="0" w:type="auto"/>
          <w:tblCellSpacing w:w="0" w:type="dxa"/>
        </w:trPr>
        <w:tc>
          <w:tcPr>
            <w:tcW w:w="0" w:type="auto"/>
            <w:noWrap w:val="0"/>
            <w:vAlign w:val="center"/>
          </w:tcPr>
          <w:p w14:paraId="13388579">
            <w:r>
              <w:rPr>
                <w:rStyle w:val="10"/>
                <w:rFonts w:hint="eastAsia"/>
              </w:rPr>
              <w:t>农药名称：</w:t>
            </w:r>
            <w:r>
              <w:rPr>
                <w:rFonts w:hint="eastAsia"/>
              </w:rPr>
              <w:t>杀蚁饵剂</w:t>
            </w:r>
          </w:p>
        </w:tc>
      </w:tr>
      <w:tr w14:paraId="16BF088F">
        <w:tblPrEx>
          <w:tblCellMar>
            <w:top w:w="0" w:type="dxa"/>
            <w:left w:w="0" w:type="dxa"/>
            <w:bottom w:w="0" w:type="dxa"/>
            <w:right w:w="0" w:type="dxa"/>
          </w:tblCellMar>
        </w:tblPrEx>
        <w:trPr>
          <w:wBefore w:w="0" w:type="auto"/>
          <w:tblCellSpacing w:w="0" w:type="dxa"/>
        </w:trPr>
        <w:tc>
          <w:tcPr>
            <w:tcW w:w="0" w:type="auto"/>
            <w:noWrap w:val="0"/>
            <w:vAlign w:val="center"/>
          </w:tcPr>
          <w:p w14:paraId="173F3B33">
            <w:r>
              <w:rPr>
                <w:rStyle w:val="10"/>
                <w:rFonts w:hint="eastAsia"/>
              </w:rPr>
              <w:t>剂型：</w:t>
            </w:r>
            <w:r>
              <w:rPr>
                <w:rFonts w:hint="eastAsia"/>
              </w:rPr>
              <w:t>饵剂</w:t>
            </w:r>
          </w:p>
        </w:tc>
      </w:tr>
      <w:tr w14:paraId="6A36643C">
        <w:tblPrEx>
          <w:tblCellMar>
            <w:top w:w="0" w:type="dxa"/>
            <w:left w:w="0" w:type="dxa"/>
            <w:bottom w:w="0" w:type="dxa"/>
            <w:right w:w="0" w:type="dxa"/>
          </w:tblCellMar>
        </w:tblPrEx>
        <w:trPr>
          <w:wBefore w:w="0" w:type="auto"/>
          <w:tblCellSpacing w:w="0" w:type="dxa"/>
        </w:trPr>
        <w:tc>
          <w:tcPr>
            <w:tcW w:w="0" w:type="auto"/>
            <w:noWrap w:val="0"/>
            <w:vAlign w:val="center"/>
          </w:tcPr>
          <w:p w14:paraId="061CA774">
            <w:r>
              <w:rPr>
                <w:rStyle w:val="10"/>
                <w:rFonts w:hint="eastAsia"/>
              </w:rPr>
              <w:t>毒性及其标识：</w:t>
            </w:r>
            <w:r>
              <w:rPr>
                <w:rFonts w:hint="eastAsia"/>
              </w:rPr>
              <w:t xml:space="preserve"> 微毒 </w:t>
            </w:r>
          </w:p>
        </w:tc>
      </w:tr>
      <w:tr w14:paraId="6FF3418E">
        <w:tblPrEx>
          <w:tblCellMar>
            <w:top w:w="0" w:type="dxa"/>
            <w:left w:w="0" w:type="dxa"/>
            <w:bottom w:w="0" w:type="dxa"/>
            <w:right w:w="0" w:type="dxa"/>
          </w:tblCellMar>
        </w:tblPrEx>
        <w:trPr>
          <w:wBefore w:w="0" w:type="auto"/>
          <w:tblCellSpacing w:w="0" w:type="dxa"/>
        </w:trPr>
        <w:tc>
          <w:tcPr>
            <w:tcW w:w="0" w:type="auto"/>
            <w:noWrap w:val="0"/>
            <w:vAlign w:val="center"/>
          </w:tcPr>
          <w:p w14:paraId="3769070B">
            <w:r>
              <w:rPr>
                <w:rStyle w:val="10"/>
                <w:rFonts w:hint="eastAsia"/>
              </w:rPr>
              <w:t>总有效成分含量：</w:t>
            </w:r>
            <w:r>
              <w:rPr>
                <w:rFonts w:hint="eastAsia"/>
              </w:rPr>
              <w:t>0.1%</w:t>
            </w:r>
          </w:p>
        </w:tc>
      </w:tr>
      <w:tr w14:paraId="357C96EA">
        <w:tblPrEx>
          <w:tblCellMar>
            <w:top w:w="0" w:type="dxa"/>
            <w:left w:w="0" w:type="dxa"/>
            <w:bottom w:w="0" w:type="dxa"/>
            <w:right w:w="0" w:type="dxa"/>
          </w:tblCellMar>
        </w:tblPrEx>
        <w:trPr>
          <w:wBefore w:w="0" w:type="auto"/>
          <w:tblCellSpacing w:w="0" w:type="dxa"/>
        </w:trPr>
        <w:tc>
          <w:tcPr>
            <w:tcW w:w="0" w:type="auto"/>
            <w:noWrap w:val="0"/>
            <w:vAlign w:val="center"/>
          </w:tcPr>
          <w:p w14:paraId="34BBF3F9">
            <w:r>
              <w:rPr>
                <w:rFonts w:hint="eastAsia"/>
              </w:rPr>
              <w:t xml:space="preserve">有效成分及其含量： </w:t>
            </w:r>
          </w:p>
          <w:p w14:paraId="38F0CE74">
            <w:r>
              <w:rPr>
                <w:rFonts w:hint="eastAsia"/>
              </w:rPr>
              <w:t xml:space="preserve">    茚虫威0.1%    </w:t>
            </w:r>
          </w:p>
        </w:tc>
      </w:tr>
      <w:tr w14:paraId="0EBEDF86">
        <w:tblPrEx>
          <w:tblCellMar>
            <w:top w:w="0" w:type="dxa"/>
            <w:left w:w="0" w:type="dxa"/>
            <w:bottom w:w="0" w:type="dxa"/>
            <w:right w:w="0" w:type="dxa"/>
          </w:tblCellMar>
        </w:tblPrEx>
        <w:trPr>
          <w:wBefore w:w="0" w:type="auto"/>
          <w:tblCellSpacing w:w="0" w:type="dxa"/>
        </w:trPr>
        <w:tc>
          <w:tcPr>
            <w:tcW w:w="0" w:type="auto"/>
            <w:noWrap w:val="0"/>
            <w:vAlign w:val="center"/>
          </w:tcPr>
          <w:p w14:paraId="7A76E1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6130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83EED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64A9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F080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CD99AF">
                  <w:r>
                    <w:rPr>
                      <w:rStyle w:val="11"/>
                      <w:rFonts w:hint="eastAsia"/>
                    </w:rPr>
                    <w:t>施用方式</w:t>
                  </w:r>
                </w:p>
              </w:tc>
            </w:tr>
            <w:tr w14:paraId="36E3F7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B85C1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D6BA03">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50C05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CAA267">
                  <w:r>
                    <w:rPr>
                      <w:rStyle w:val="11"/>
                      <w:rFonts w:hint="eastAsia"/>
                    </w:rPr>
                    <w:t>投放</w:t>
                  </w:r>
                </w:p>
              </w:tc>
            </w:tr>
          </w:tbl>
          <w:p w14:paraId="50BA9163">
            <w:pPr>
              <w:rPr>
                <w:rFonts w:ascii="Times New Roman" w:hAnsi="Times New Roman" w:cs="Times New Roman"/>
                <w:sz w:val="20"/>
                <w:szCs w:val="20"/>
              </w:rPr>
            </w:pPr>
          </w:p>
        </w:tc>
      </w:tr>
      <w:tr w14:paraId="37610CF6">
        <w:tblPrEx>
          <w:tblCellMar>
            <w:top w:w="0" w:type="dxa"/>
            <w:left w:w="0" w:type="dxa"/>
            <w:bottom w:w="0" w:type="dxa"/>
            <w:right w:w="0" w:type="dxa"/>
          </w:tblCellMar>
        </w:tblPrEx>
        <w:trPr>
          <w:wBefore w:w="0" w:type="auto"/>
          <w:tblCellSpacing w:w="0" w:type="dxa"/>
        </w:trPr>
        <w:tc>
          <w:tcPr>
            <w:tcW w:w="0" w:type="auto"/>
            <w:noWrap w:val="0"/>
            <w:vAlign w:val="center"/>
          </w:tcPr>
          <w:p w14:paraId="29B709C4">
            <w:r>
              <w:rPr>
                <w:rStyle w:val="10"/>
                <w:rFonts w:hint="eastAsia"/>
              </w:rPr>
              <w:t>使用技术要求:</w:t>
            </w:r>
            <w:r>
              <w:rPr>
                <w:rFonts w:hint="eastAsia"/>
              </w:rPr>
              <w:br w:type="textWrapping"/>
            </w:r>
            <w:r>
              <w:rPr>
                <w:rStyle w:val="11"/>
                <w:rFonts w:hint="eastAsia"/>
              </w:rPr>
              <w:t>1、防制蚂蚁时，将饵剂投放在蚂蚁频繁出没的地方，每平米用量5克左右，如蚂蚁密度较高，每平米用量可提升至25克左右。2、根据蚁害的发生情况，一般1～2个月后再进行第二次全面防治或重点补治。</w:t>
            </w:r>
          </w:p>
        </w:tc>
      </w:tr>
      <w:tr w14:paraId="6F01C4B4">
        <w:tblPrEx>
          <w:tblCellMar>
            <w:top w:w="0" w:type="dxa"/>
            <w:left w:w="0" w:type="dxa"/>
            <w:bottom w:w="0" w:type="dxa"/>
            <w:right w:w="0" w:type="dxa"/>
          </w:tblCellMar>
        </w:tblPrEx>
        <w:trPr>
          <w:wBefore w:w="0" w:type="auto"/>
          <w:tblCellSpacing w:w="0" w:type="dxa"/>
        </w:trPr>
        <w:tc>
          <w:tcPr>
            <w:tcW w:w="0" w:type="auto"/>
            <w:noWrap w:val="0"/>
            <w:vAlign w:val="center"/>
          </w:tcPr>
          <w:p w14:paraId="66944560">
            <w:r>
              <w:rPr>
                <w:rStyle w:val="10"/>
                <w:rFonts w:hint="eastAsia"/>
              </w:rPr>
              <w:t>产品性能:</w:t>
            </w:r>
            <w:r>
              <w:rPr>
                <w:rFonts w:hint="eastAsia"/>
              </w:rPr>
              <w:br w:type="textWrapping"/>
            </w:r>
            <w:r>
              <w:rPr>
                <w:rStyle w:val="11"/>
                <w:rFonts w:hint="eastAsia"/>
              </w:rPr>
              <w:t>茚虫威为昆虫神经细胞钠离子通道抑制剂，作用于昆虫神经系统，具有触杀和胃毒作用。添加蚂蚁喜爱的天然引诱物，对蚂蚁具有极佳的引诱效果，蚂蚁搬运至巢穴后起效，达到整巢杀灭的效果。</w:t>
            </w:r>
          </w:p>
        </w:tc>
      </w:tr>
      <w:tr w14:paraId="4E6F04E0">
        <w:tblPrEx>
          <w:tblCellMar>
            <w:top w:w="0" w:type="dxa"/>
            <w:left w:w="0" w:type="dxa"/>
            <w:bottom w:w="0" w:type="dxa"/>
            <w:right w:w="0" w:type="dxa"/>
          </w:tblCellMar>
        </w:tblPrEx>
        <w:trPr>
          <w:wBefore w:w="0" w:type="auto"/>
          <w:tblCellSpacing w:w="0" w:type="dxa"/>
        </w:trPr>
        <w:tc>
          <w:tcPr>
            <w:tcW w:w="0" w:type="auto"/>
            <w:noWrap w:val="0"/>
            <w:vAlign w:val="center"/>
          </w:tcPr>
          <w:p w14:paraId="21188643">
            <w:r>
              <w:rPr>
                <w:rStyle w:val="10"/>
                <w:rFonts w:hint="eastAsia"/>
              </w:rPr>
              <w:t>注意事项：</w:t>
            </w:r>
            <w:r>
              <w:rPr>
                <w:rFonts w:hint="eastAsia"/>
              </w:rPr>
              <w:br w:type="textWrapping"/>
            </w:r>
            <w:r>
              <w:rPr>
                <w:rStyle w:val="11"/>
                <w:rFonts w:hint="eastAsia"/>
              </w:rPr>
              <w:t>仅限在室内使用，避免同气雾剂、喷射剂、烟剂等驱杀型的药物同时使用。本品不可吞服，避免儿童接触，若不慎发生误服请立即携此包装就医。若粘附皮肤，应用肥皂水清洗干净。若溅入眼睛，请立即用清水冲洗并就医。</w:t>
            </w:r>
          </w:p>
        </w:tc>
      </w:tr>
      <w:tr w14:paraId="2807281B">
        <w:tblPrEx>
          <w:tblCellMar>
            <w:top w:w="0" w:type="dxa"/>
            <w:left w:w="0" w:type="dxa"/>
            <w:bottom w:w="0" w:type="dxa"/>
            <w:right w:w="0" w:type="dxa"/>
          </w:tblCellMar>
        </w:tblPrEx>
        <w:trPr>
          <w:wBefore w:w="0" w:type="auto"/>
          <w:tblCellSpacing w:w="0" w:type="dxa"/>
        </w:trPr>
        <w:tc>
          <w:tcPr>
            <w:tcW w:w="0" w:type="auto"/>
            <w:noWrap w:val="0"/>
            <w:vAlign w:val="center"/>
          </w:tcPr>
          <w:p w14:paraId="159EC6AA">
            <w:r>
              <w:rPr>
                <w:rStyle w:val="10"/>
                <w:rFonts w:hint="eastAsia"/>
              </w:rPr>
              <w:t>中毒急救措施：</w:t>
            </w:r>
            <w:r>
              <w:rPr>
                <w:rFonts w:hint="eastAsia"/>
              </w:rPr>
              <w:br w:type="textWrapping"/>
            </w:r>
            <w:r>
              <w:rPr>
                <w:rStyle w:val="11"/>
                <w:rFonts w:hint="eastAsia"/>
              </w:rPr>
              <w:t>若药剂沾染皮肤或眼睛，请及时用清水冲洗至少15分钟。 若误食，请立即携标签就医对症治疗。</w:t>
            </w:r>
          </w:p>
        </w:tc>
      </w:tr>
      <w:tr w14:paraId="7175E3F9">
        <w:tblPrEx>
          <w:tblCellMar>
            <w:top w:w="0" w:type="dxa"/>
            <w:left w:w="0" w:type="dxa"/>
            <w:bottom w:w="0" w:type="dxa"/>
            <w:right w:w="0" w:type="dxa"/>
          </w:tblCellMar>
        </w:tblPrEx>
        <w:trPr>
          <w:wBefore w:w="0" w:type="auto"/>
          <w:tblCellSpacing w:w="0" w:type="dxa"/>
        </w:trPr>
        <w:tc>
          <w:tcPr>
            <w:tcW w:w="0" w:type="auto"/>
            <w:noWrap w:val="0"/>
            <w:vAlign w:val="center"/>
          </w:tcPr>
          <w:p w14:paraId="4D4B9E95">
            <w:r>
              <w:rPr>
                <w:rStyle w:val="10"/>
                <w:rFonts w:hint="eastAsia"/>
              </w:rPr>
              <w:t>储存和运输方法：</w:t>
            </w:r>
            <w:r>
              <w:rPr>
                <w:rFonts w:hint="eastAsia"/>
              </w:rPr>
              <w:br w:type="textWrapping"/>
            </w:r>
            <w:r>
              <w:rPr>
                <w:rStyle w:val="11"/>
                <w:rFonts w:hint="eastAsia"/>
              </w:rPr>
              <w:t>防潮防湿，存放于阴凉干燥处，不能与食品、饮料、粮食、种子、饲料等混合贮存运输。置于儿童接触不到的地方。</w:t>
            </w:r>
          </w:p>
        </w:tc>
      </w:tr>
      <w:tr w14:paraId="0ACE3B75">
        <w:tblPrEx>
          <w:tblCellMar>
            <w:top w:w="0" w:type="dxa"/>
            <w:left w:w="0" w:type="dxa"/>
            <w:bottom w:w="0" w:type="dxa"/>
            <w:right w:w="0" w:type="dxa"/>
          </w:tblCellMar>
        </w:tblPrEx>
        <w:trPr>
          <w:wBefore w:w="0" w:type="auto"/>
          <w:tblCellSpacing w:w="0" w:type="dxa"/>
        </w:trPr>
        <w:tc>
          <w:tcPr>
            <w:tcW w:w="0" w:type="auto"/>
            <w:noWrap w:val="0"/>
            <w:vAlign w:val="center"/>
          </w:tcPr>
          <w:p w14:paraId="00EB9595">
            <w:r>
              <w:rPr>
                <w:rStyle w:val="10"/>
                <w:rFonts w:hint="eastAsia"/>
              </w:rPr>
              <w:t>质量保证期：</w:t>
            </w:r>
            <w:r>
              <w:rPr>
                <w:rStyle w:val="11"/>
                <w:rFonts w:hint="eastAsia"/>
              </w:rPr>
              <w:t>2年</w:t>
            </w:r>
          </w:p>
        </w:tc>
      </w:tr>
      <w:tr w14:paraId="4D66A950">
        <w:tblPrEx>
          <w:tblCellMar>
            <w:top w:w="0" w:type="dxa"/>
            <w:left w:w="0" w:type="dxa"/>
            <w:bottom w:w="0" w:type="dxa"/>
            <w:right w:w="0" w:type="dxa"/>
          </w:tblCellMar>
        </w:tblPrEx>
        <w:trPr>
          <w:wBefore w:w="0" w:type="auto"/>
          <w:tblCellSpacing w:w="0" w:type="dxa"/>
        </w:trPr>
        <w:tc>
          <w:tcPr>
            <w:tcW w:w="0" w:type="auto"/>
            <w:noWrap w:val="0"/>
            <w:vAlign w:val="center"/>
          </w:tcPr>
          <w:p w14:paraId="309DAB71">
            <w:r>
              <w:rPr>
                <w:rStyle w:val="10"/>
                <w:rFonts w:hint="eastAsia"/>
              </w:rPr>
              <w:t>备注：</w:t>
            </w:r>
          </w:p>
        </w:tc>
      </w:tr>
    </w:tbl>
    <w:p w14:paraId="7E1F5B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F83A44">
        <w:tblPrEx>
          <w:tblCellMar>
            <w:top w:w="0" w:type="dxa"/>
            <w:left w:w="0" w:type="dxa"/>
            <w:bottom w:w="0" w:type="dxa"/>
            <w:right w:w="0" w:type="dxa"/>
          </w:tblCellMar>
        </w:tblPrEx>
        <w:trPr>
          <w:wBefore w:w="0" w:type="auto"/>
          <w:tblCellSpacing w:w="0" w:type="dxa"/>
        </w:trPr>
        <w:tc>
          <w:tcPr>
            <w:tcW w:w="0" w:type="auto"/>
            <w:noWrap w:val="0"/>
            <w:vAlign w:val="center"/>
          </w:tcPr>
          <w:p w14:paraId="7E99B51D">
            <w:r>
              <w:rPr>
                <w:rStyle w:val="10"/>
                <w:rFonts w:hint="eastAsia"/>
              </w:rPr>
              <w:t>登记证号：</w:t>
            </w:r>
            <w:r>
              <w:rPr>
                <w:rFonts w:hint="eastAsia"/>
              </w:rPr>
              <w:t>WP20210414</w:t>
            </w:r>
          </w:p>
        </w:tc>
      </w:tr>
      <w:tr w14:paraId="0C028511">
        <w:tblPrEx>
          <w:tblCellMar>
            <w:top w:w="0" w:type="dxa"/>
            <w:left w:w="0" w:type="dxa"/>
            <w:bottom w:w="0" w:type="dxa"/>
            <w:right w:w="0" w:type="dxa"/>
          </w:tblCellMar>
        </w:tblPrEx>
        <w:trPr>
          <w:wBefore w:w="0" w:type="auto"/>
          <w:tblCellSpacing w:w="0" w:type="dxa"/>
        </w:trPr>
        <w:tc>
          <w:tcPr>
            <w:tcW w:w="0" w:type="auto"/>
            <w:noWrap w:val="0"/>
            <w:vAlign w:val="center"/>
          </w:tcPr>
          <w:p w14:paraId="0A768CF5">
            <w:r>
              <w:rPr>
                <w:rStyle w:val="10"/>
                <w:rFonts w:hint="eastAsia"/>
              </w:rPr>
              <w:t>登记证持有人：</w:t>
            </w:r>
            <w:r>
              <w:rPr>
                <w:rFonts w:hint="eastAsia"/>
              </w:rPr>
              <w:t>珠海市佳弘科技有限公司</w:t>
            </w:r>
          </w:p>
        </w:tc>
      </w:tr>
      <w:tr w14:paraId="40A5606B">
        <w:tblPrEx>
          <w:tblCellMar>
            <w:top w:w="0" w:type="dxa"/>
            <w:left w:w="0" w:type="dxa"/>
            <w:bottom w:w="0" w:type="dxa"/>
            <w:right w:w="0" w:type="dxa"/>
          </w:tblCellMar>
        </w:tblPrEx>
        <w:trPr>
          <w:wBefore w:w="0" w:type="auto"/>
          <w:tblCellSpacing w:w="0" w:type="dxa"/>
        </w:trPr>
        <w:tc>
          <w:tcPr>
            <w:tcW w:w="0" w:type="auto"/>
            <w:noWrap w:val="0"/>
            <w:vAlign w:val="center"/>
          </w:tcPr>
          <w:p w14:paraId="4CA836CB">
            <w:r>
              <w:rPr>
                <w:rStyle w:val="10"/>
                <w:rFonts w:hint="eastAsia"/>
              </w:rPr>
              <w:t>农药名称：</w:t>
            </w:r>
            <w:r>
              <w:rPr>
                <w:rFonts w:hint="eastAsia"/>
              </w:rPr>
              <w:t>电热蚊香液</w:t>
            </w:r>
          </w:p>
        </w:tc>
      </w:tr>
      <w:tr w14:paraId="49AF3951">
        <w:tblPrEx>
          <w:tblCellMar>
            <w:top w:w="0" w:type="dxa"/>
            <w:left w:w="0" w:type="dxa"/>
            <w:bottom w:w="0" w:type="dxa"/>
            <w:right w:w="0" w:type="dxa"/>
          </w:tblCellMar>
        </w:tblPrEx>
        <w:trPr>
          <w:wBefore w:w="0" w:type="auto"/>
          <w:tblCellSpacing w:w="0" w:type="dxa"/>
        </w:trPr>
        <w:tc>
          <w:tcPr>
            <w:tcW w:w="0" w:type="auto"/>
            <w:noWrap w:val="0"/>
            <w:vAlign w:val="center"/>
          </w:tcPr>
          <w:p w14:paraId="349028DD">
            <w:r>
              <w:rPr>
                <w:rStyle w:val="10"/>
                <w:rFonts w:hint="eastAsia"/>
              </w:rPr>
              <w:t>剂型：</w:t>
            </w:r>
            <w:r>
              <w:rPr>
                <w:rFonts w:hint="eastAsia"/>
              </w:rPr>
              <w:t>电热香蚊液</w:t>
            </w:r>
          </w:p>
        </w:tc>
      </w:tr>
      <w:tr w14:paraId="28F9B444">
        <w:tblPrEx>
          <w:tblCellMar>
            <w:top w:w="0" w:type="dxa"/>
            <w:left w:w="0" w:type="dxa"/>
            <w:bottom w:w="0" w:type="dxa"/>
            <w:right w:w="0" w:type="dxa"/>
          </w:tblCellMar>
        </w:tblPrEx>
        <w:trPr>
          <w:wBefore w:w="0" w:type="auto"/>
          <w:tblCellSpacing w:w="0" w:type="dxa"/>
        </w:trPr>
        <w:tc>
          <w:tcPr>
            <w:tcW w:w="0" w:type="auto"/>
            <w:noWrap w:val="0"/>
            <w:vAlign w:val="center"/>
          </w:tcPr>
          <w:p w14:paraId="12774EA6">
            <w:r>
              <w:rPr>
                <w:rStyle w:val="10"/>
                <w:rFonts w:hint="eastAsia"/>
              </w:rPr>
              <w:t>毒性及其标识：</w:t>
            </w:r>
            <w:r>
              <w:rPr>
                <w:rFonts w:hint="eastAsia"/>
              </w:rPr>
              <w:t xml:space="preserve"> 微毒 </w:t>
            </w:r>
          </w:p>
        </w:tc>
      </w:tr>
      <w:tr w14:paraId="7D470366">
        <w:tblPrEx>
          <w:tblCellMar>
            <w:top w:w="0" w:type="dxa"/>
            <w:left w:w="0" w:type="dxa"/>
            <w:bottom w:w="0" w:type="dxa"/>
            <w:right w:w="0" w:type="dxa"/>
          </w:tblCellMar>
        </w:tblPrEx>
        <w:trPr>
          <w:wBefore w:w="0" w:type="auto"/>
          <w:tblCellSpacing w:w="0" w:type="dxa"/>
        </w:trPr>
        <w:tc>
          <w:tcPr>
            <w:tcW w:w="0" w:type="auto"/>
            <w:noWrap w:val="0"/>
            <w:vAlign w:val="center"/>
          </w:tcPr>
          <w:p w14:paraId="346FBE9E">
            <w:r>
              <w:rPr>
                <w:rStyle w:val="10"/>
                <w:rFonts w:hint="eastAsia"/>
              </w:rPr>
              <w:t>总有效成分含量：</w:t>
            </w:r>
            <w:r>
              <w:rPr>
                <w:rFonts w:hint="eastAsia"/>
              </w:rPr>
              <w:t>0.6%</w:t>
            </w:r>
          </w:p>
        </w:tc>
      </w:tr>
      <w:tr w14:paraId="551963D0">
        <w:tblPrEx>
          <w:tblCellMar>
            <w:top w:w="0" w:type="dxa"/>
            <w:left w:w="0" w:type="dxa"/>
            <w:bottom w:w="0" w:type="dxa"/>
            <w:right w:w="0" w:type="dxa"/>
          </w:tblCellMar>
        </w:tblPrEx>
        <w:trPr>
          <w:wBefore w:w="0" w:type="auto"/>
          <w:tblCellSpacing w:w="0" w:type="dxa"/>
        </w:trPr>
        <w:tc>
          <w:tcPr>
            <w:tcW w:w="0" w:type="auto"/>
            <w:noWrap w:val="0"/>
            <w:vAlign w:val="center"/>
          </w:tcPr>
          <w:p w14:paraId="58495E8F">
            <w:r>
              <w:rPr>
                <w:rFonts w:hint="eastAsia"/>
              </w:rPr>
              <w:t xml:space="preserve">有效成分及其含量： </w:t>
            </w:r>
          </w:p>
          <w:p w14:paraId="4637E26E">
            <w:r>
              <w:rPr>
                <w:rFonts w:hint="eastAsia"/>
              </w:rPr>
              <w:t xml:space="preserve">    氯氟醚菊酯0.6%    </w:t>
            </w:r>
          </w:p>
        </w:tc>
      </w:tr>
      <w:tr w14:paraId="7DD30B0D">
        <w:tblPrEx>
          <w:tblCellMar>
            <w:top w:w="0" w:type="dxa"/>
            <w:left w:w="0" w:type="dxa"/>
            <w:bottom w:w="0" w:type="dxa"/>
            <w:right w:w="0" w:type="dxa"/>
          </w:tblCellMar>
        </w:tblPrEx>
        <w:trPr>
          <w:wBefore w:w="0" w:type="auto"/>
          <w:tblCellSpacing w:w="0" w:type="dxa"/>
        </w:trPr>
        <w:tc>
          <w:tcPr>
            <w:tcW w:w="0" w:type="auto"/>
            <w:noWrap w:val="0"/>
            <w:vAlign w:val="center"/>
          </w:tcPr>
          <w:p w14:paraId="39690C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68AA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06856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DCB0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1B790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FB4FF2">
                  <w:r>
                    <w:rPr>
                      <w:rStyle w:val="11"/>
                      <w:rFonts w:hint="eastAsia"/>
                    </w:rPr>
                    <w:t>施用方式</w:t>
                  </w:r>
                </w:p>
              </w:tc>
            </w:tr>
            <w:tr w14:paraId="0FB6EB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2186B6">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C6579">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F50A82">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EA65E0">
                  <w:r>
                    <w:rPr>
                      <w:rStyle w:val="11"/>
                      <w:rFonts w:hint="eastAsia"/>
                    </w:rPr>
                    <w:t>电热加温</w:t>
                  </w:r>
                </w:p>
              </w:tc>
            </w:tr>
          </w:tbl>
          <w:p w14:paraId="4A1938AA">
            <w:pPr>
              <w:rPr>
                <w:rFonts w:ascii="Times New Roman" w:hAnsi="Times New Roman" w:cs="Times New Roman"/>
                <w:sz w:val="20"/>
                <w:szCs w:val="20"/>
              </w:rPr>
            </w:pPr>
          </w:p>
        </w:tc>
      </w:tr>
      <w:tr w14:paraId="53C88493">
        <w:tblPrEx>
          <w:tblCellMar>
            <w:top w:w="0" w:type="dxa"/>
            <w:left w:w="0" w:type="dxa"/>
            <w:bottom w:w="0" w:type="dxa"/>
            <w:right w:w="0" w:type="dxa"/>
          </w:tblCellMar>
        </w:tblPrEx>
        <w:trPr>
          <w:wBefore w:w="0" w:type="auto"/>
          <w:tblCellSpacing w:w="0" w:type="dxa"/>
        </w:trPr>
        <w:tc>
          <w:tcPr>
            <w:tcW w:w="0" w:type="auto"/>
            <w:noWrap w:val="0"/>
            <w:vAlign w:val="center"/>
          </w:tcPr>
          <w:p w14:paraId="43DADFAC">
            <w:r>
              <w:rPr>
                <w:rStyle w:val="10"/>
                <w:rFonts w:hint="eastAsia"/>
              </w:rPr>
              <w:t>使用技术要求:</w:t>
            </w:r>
            <w:r>
              <w:rPr>
                <w:rFonts w:hint="eastAsia"/>
              </w:rPr>
              <w:br w:type="textWrapping"/>
            </w:r>
            <w:r>
              <w:rPr>
                <w:rStyle w:val="11"/>
                <w:rFonts w:hint="eastAsia"/>
              </w:rPr>
              <w:t>1. 拧开电热蚊香液瓶盖。 2. 将液瓶向上旋入加热器。 3. 接通电源（220V），指示灯亮即表示加热器开始工作。 4. 蚊香器应置于上风向位置，使用时表面不要覆盖任何物品。 5. 不用时，只需按下开关，即停止工作，无须拔去插头。 6. 当药液用完后，请先切断电源，待冷却后更换新药液。 电热蚊香液可持续使用45天（按8小时/天计），无需每天添加或更换。</w:t>
            </w:r>
          </w:p>
        </w:tc>
      </w:tr>
      <w:tr w14:paraId="1776A3B5">
        <w:tblPrEx>
          <w:tblCellMar>
            <w:top w:w="0" w:type="dxa"/>
            <w:left w:w="0" w:type="dxa"/>
            <w:bottom w:w="0" w:type="dxa"/>
            <w:right w:w="0" w:type="dxa"/>
          </w:tblCellMar>
        </w:tblPrEx>
        <w:trPr>
          <w:wBefore w:w="0" w:type="auto"/>
          <w:tblCellSpacing w:w="0" w:type="dxa"/>
        </w:trPr>
        <w:tc>
          <w:tcPr>
            <w:tcW w:w="0" w:type="auto"/>
            <w:noWrap w:val="0"/>
            <w:vAlign w:val="center"/>
          </w:tcPr>
          <w:p w14:paraId="7650AF3A">
            <w:r>
              <w:rPr>
                <w:rStyle w:val="10"/>
                <w:rFonts w:hint="eastAsia"/>
              </w:rPr>
              <w:t>产品性能:</w:t>
            </w:r>
            <w:r>
              <w:rPr>
                <w:rFonts w:hint="eastAsia"/>
              </w:rPr>
              <w:br w:type="textWrapping"/>
            </w:r>
            <w:r>
              <w:rPr>
                <w:rStyle w:val="11"/>
                <w:rFonts w:hint="eastAsia"/>
              </w:rPr>
              <w:t>本品采用拟除虫菊酯为主要原料配制而成，具有优良的驱（杀）蚊效果。本品挥发稳定，可以提供长达300小时驱蚊保护，适合于居室、办公室、餐馆等室内场所使用。</w:t>
            </w:r>
          </w:p>
        </w:tc>
      </w:tr>
      <w:tr w14:paraId="2051C12C">
        <w:tblPrEx>
          <w:tblCellMar>
            <w:top w:w="0" w:type="dxa"/>
            <w:left w:w="0" w:type="dxa"/>
            <w:bottom w:w="0" w:type="dxa"/>
            <w:right w:w="0" w:type="dxa"/>
          </w:tblCellMar>
        </w:tblPrEx>
        <w:trPr>
          <w:wBefore w:w="0" w:type="auto"/>
          <w:tblCellSpacing w:w="0" w:type="dxa"/>
        </w:trPr>
        <w:tc>
          <w:tcPr>
            <w:tcW w:w="0" w:type="auto"/>
            <w:noWrap w:val="0"/>
            <w:vAlign w:val="center"/>
          </w:tcPr>
          <w:p w14:paraId="32257949">
            <w:r>
              <w:rPr>
                <w:rStyle w:val="10"/>
                <w:rFonts w:hint="eastAsia"/>
              </w:rPr>
              <w:t>注意事项：</w:t>
            </w:r>
            <w:r>
              <w:rPr>
                <w:rFonts w:hint="eastAsia"/>
              </w:rPr>
              <w:br w:type="textWrapping"/>
            </w:r>
            <w:r>
              <w:rPr>
                <w:rStyle w:val="11"/>
                <w:rFonts w:hint="eastAsia"/>
              </w:rPr>
              <w:t>1. 仅限室内使用，使用时注意通风；注意用电及防火安全。 2. 使用时始终保持药液瓶竖直向上，以免发生药液泄漏。 3. 请勿拆开电加热器。 4. 请勿使用旧的蚊香液加热器，请配套使用本品电热蚊香液和加热器。 5. 长期不用时，应卸下药瓶，盖上瓶盖，置阴凉处保存。 6. 置于儿童接触不到的地方，勿与食物一起存放。 7. 接触药液后请洗手；若勿食，请立即就医。 8. 使用时远离家蚕、鱼类和蜜蜂等，蚕室内及其附近禁用。 9. 过敏者禁用，使用中有任何不良反应请及时就医。 10. 孕妇和哺乳期妇女避免接触本品。</w:t>
            </w:r>
          </w:p>
        </w:tc>
      </w:tr>
      <w:tr w14:paraId="18421C3D">
        <w:tblPrEx>
          <w:tblCellMar>
            <w:top w:w="0" w:type="dxa"/>
            <w:left w:w="0" w:type="dxa"/>
            <w:bottom w:w="0" w:type="dxa"/>
            <w:right w:w="0" w:type="dxa"/>
          </w:tblCellMar>
        </w:tblPrEx>
        <w:trPr>
          <w:wBefore w:w="0" w:type="auto"/>
          <w:tblCellSpacing w:w="0" w:type="dxa"/>
        </w:trPr>
        <w:tc>
          <w:tcPr>
            <w:tcW w:w="0" w:type="auto"/>
            <w:noWrap w:val="0"/>
            <w:vAlign w:val="center"/>
          </w:tcPr>
          <w:p w14:paraId="2FBE1B2C">
            <w:r>
              <w:rPr>
                <w:rStyle w:val="10"/>
                <w:rFonts w:hint="eastAsia"/>
              </w:rPr>
              <w:t>中毒急救措施：</w:t>
            </w:r>
            <w:r>
              <w:rPr>
                <w:rFonts w:hint="eastAsia"/>
              </w:rPr>
              <w:br w:type="textWrapping"/>
            </w:r>
            <w:r>
              <w:rPr>
                <w:rStyle w:val="11"/>
                <w:rFonts w:hint="eastAsia"/>
              </w:rPr>
              <w:t>若不慎入眼，请立即用清水冲洗并立即就医。如果误食，不要催吐，立即携标签就医。使用中有任何不良反应请及时就医。</w:t>
            </w:r>
          </w:p>
        </w:tc>
      </w:tr>
      <w:tr w14:paraId="4FBC82C5">
        <w:tblPrEx>
          <w:tblCellMar>
            <w:top w:w="0" w:type="dxa"/>
            <w:left w:w="0" w:type="dxa"/>
            <w:bottom w:w="0" w:type="dxa"/>
            <w:right w:w="0" w:type="dxa"/>
          </w:tblCellMar>
        </w:tblPrEx>
        <w:trPr>
          <w:wBefore w:w="0" w:type="auto"/>
          <w:tblCellSpacing w:w="0" w:type="dxa"/>
        </w:trPr>
        <w:tc>
          <w:tcPr>
            <w:tcW w:w="0" w:type="auto"/>
            <w:noWrap w:val="0"/>
            <w:vAlign w:val="center"/>
          </w:tcPr>
          <w:p w14:paraId="4AA3CA05">
            <w:r>
              <w:rPr>
                <w:rStyle w:val="10"/>
                <w:rFonts w:hint="eastAsia"/>
              </w:rPr>
              <w:t>储存和运输方法：</w:t>
            </w:r>
            <w:r>
              <w:rPr>
                <w:rFonts w:hint="eastAsia"/>
              </w:rPr>
              <w:br w:type="textWrapping"/>
            </w:r>
            <w:r>
              <w:rPr>
                <w:rStyle w:val="11"/>
                <w:rFonts w:hint="eastAsia"/>
              </w:rPr>
              <w:t>本品应贮存在干燥、防雨、阴凉、通风地方，远离火源或热源，置于儿童、无关人员触及不到之处并加锁。产品搬运时要轻取轻放，严禁猛烈撞击，翻滚、日晒，重压和雨淋。不能与食物、粮食、饮料、饲料、种子及易燃易爆品同贮同运。</w:t>
            </w:r>
          </w:p>
        </w:tc>
      </w:tr>
      <w:tr w14:paraId="0DDB934D">
        <w:tblPrEx>
          <w:tblCellMar>
            <w:top w:w="0" w:type="dxa"/>
            <w:left w:w="0" w:type="dxa"/>
            <w:bottom w:w="0" w:type="dxa"/>
            <w:right w:w="0" w:type="dxa"/>
          </w:tblCellMar>
        </w:tblPrEx>
        <w:trPr>
          <w:wBefore w:w="0" w:type="auto"/>
          <w:tblCellSpacing w:w="0" w:type="dxa"/>
        </w:trPr>
        <w:tc>
          <w:tcPr>
            <w:tcW w:w="0" w:type="auto"/>
            <w:noWrap w:val="0"/>
            <w:vAlign w:val="center"/>
          </w:tcPr>
          <w:p w14:paraId="02F3BB51">
            <w:r>
              <w:rPr>
                <w:rStyle w:val="10"/>
                <w:rFonts w:hint="eastAsia"/>
              </w:rPr>
              <w:t>质量保证期：</w:t>
            </w:r>
            <w:r>
              <w:rPr>
                <w:rStyle w:val="11"/>
                <w:rFonts w:hint="eastAsia"/>
              </w:rPr>
              <w:t>2年</w:t>
            </w:r>
          </w:p>
        </w:tc>
      </w:tr>
      <w:tr w14:paraId="2A8CFAD6">
        <w:tblPrEx>
          <w:tblCellMar>
            <w:top w:w="0" w:type="dxa"/>
            <w:left w:w="0" w:type="dxa"/>
            <w:bottom w:w="0" w:type="dxa"/>
            <w:right w:w="0" w:type="dxa"/>
          </w:tblCellMar>
        </w:tblPrEx>
        <w:trPr>
          <w:wBefore w:w="0" w:type="auto"/>
          <w:tblCellSpacing w:w="0" w:type="dxa"/>
        </w:trPr>
        <w:tc>
          <w:tcPr>
            <w:tcW w:w="0" w:type="auto"/>
            <w:noWrap w:val="0"/>
            <w:vAlign w:val="center"/>
          </w:tcPr>
          <w:p w14:paraId="640477BF">
            <w:r>
              <w:rPr>
                <w:rStyle w:val="10"/>
                <w:rFonts w:hint="eastAsia"/>
              </w:rPr>
              <w:t>备注：</w:t>
            </w:r>
          </w:p>
        </w:tc>
      </w:tr>
    </w:tbl>
    <w:p w14:paraId="4D2C1A6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3ACFB8">
        <w:tblPrEx>
          <w:tblCellMar>
            <w:top w:w="0" w:type="dxa"/>
            <w:left w:w="0" w:type="dxa"/>
            <w:bottom w:w="0" w:type="dxa"/>
            <w:right w:w="0" w:type="dxa"/>
          </w:tblCellMar>
        </w:tblPrEx>
        <w:trPr>
          <w:wBefore w:w="0" w:type="auto"/>
          <w:tblCellSpacing w:w="0" w:type="dxa"/>
        </w:trPr>
        <w:tc>
          <w:tcPr>
            <w:tcW w:w="0" w:type="auto"/>
            <w:noWrap w:val="0"/>
            <w:vAlign w:val="center"/>
          </w:tcPr>
          <w:p w14:paraId="33798B96">
            <w:r>
              <w:rPr>
                <w:rStyle w:val="10"/>
                <w:rFonts w:hint="eastAsia"/>
              </w:rPr>
              <w:t>登记证号：</w:t>
            </w:r>
            <w:r>
              <w:rPr>
                <w:rFonts w:hint="eastAsia"/>
              </w:rPr>
              <w:t>PD20212682</w:t>
            </w:r>
          </w:p>
        </w:tc>
      </w:tr>
      <w:tr w14:paraId="34684647">
        <w:tblPrEx>
          <w:tblCellMar>
            <w:top w:w="0" w:type="dxa"/>
            <w:left w:w="0" w:type="dxa"/>
            <w:bottom w:w="0" w:type="dxa"/>
            <w:right w:w="0" w:type="dxa"/>
          </w:tblCellMar>
        </w:tblPrEx>
        <w:trPr>
          <w:wBefore w:w="0" w:type="auto"/>
          <w:tblCellSpacing w:w="0" w:type="dxa"/>
        </w:trPr>
        <w:tc>
          <w:tcPr>
            <w:tcW w:w="0" w:type="auto"/>
            <w:noWrap w:val="0"/>
            <w:vAlign w:val="center"/>
          </w:tcPr>
          <w:p w14:paraId="63E97C44">
            <w:r>
              <w:rPr>
                <w:rStyle w:val="10"/>
                <w:rFonts w:hint="eastAsia"/>
              </w:rPr>
              <w:t>登记证持有人：</w:t>
            </w:r>
            <w:r>
              <w:rPr>
                <w:rFonts w:hint="eastAsia"/>
              </w:rPr>
              <w:t>广东省佛山市盈辉作物科学有限公司</w:t>
            </w:r>
          </w:p>
        </w:tc>
      </w:tr>
      <w:tr w14:paraId="1277CBE7">
        <w:tblPrEx>
          <w:tblCellMar>
            <w:top w:w="0" w:type="dxa"/>
            <w:left w:w="0" w:type="dxa"/>
            <w:bottom w:w="0" w:type="dxa"/>
            <w:right w:w="0" w:type="dxa"/>
          </w:tblCellMar>
        </w:tblPrEx>
        <w:trPr>
          <w:wBefore w:w="0" w:type="auto"/>
          <w:tblCellSpacing w:w="0" w:type="dxa"/>
        </w:trPr>
        <w:tc>
          <w:tcPr>
            <w:tcW w:w="0" w:type="auto"/>
            <w:noWrap w:val="0"/>
            <w:vAlign w:val="center"/>
          </w:tcPr>
          <w:p w14:paraId="077C4CDA">
            <w:r>
              <w:rPr>
                <w:rStyle w:val="10"/>
                <w:rFonts w:hint="eastAsia"/>
              </w:rPr>
              <w:t>农药名称：</w:t>
            </w:r>
            <w:r>
              <w:rPr>
                <w:rFonts w:hint="eastAsia"/>
              </w:rPr>
              <w:t>啶酰·乙嘧酚</w:t>
            </w:r>
          </w:p>
        </w:tc>
      </w:tr>
      <w:tr w14:paraId="7B4B2D15">
        <w:tblPrEx>
          <w:tblCellMar>
            <w:top w:w="0" w:type="dxa"/>
            <w:left w:w="0" w:type="dxa"/>
            <w:bottom w:w="0" w:type="dxa"/>
            <w:right w:w="0" w:type="dxa"/>
          </w:tblCellMar>
        </w:tblPrEx>
        <w:trPr>
          <w:wBefore w:w="0" w:type="auto"/>
          <w:tblCellSpacing w:w="0" w:type="dxa"/>
        </w:trPr>
        <w:tc>
          <w:tcPr>
            <w:tcW w:w="0" w:type="auto"/>
            <w:noWrap w:val="0"/>
            <w:vAlign w:val="center"/>
          </w:tcPr>
          <w:p w14:paraId="21AD36D8">
            <w:r>
              <w:rPr>
                <w:rStyle w:val="10"/>
                <w:rFonts w:hint="eastAsia"/>
              </w:rPr>
              <w:t>剂型：</w:t>
            </w:r>
            <w:r>
              <w:rPr>
                <w:rFonts w:hint="eastAsia"/>
              </w:rPr>
              <w:t>悬浮剂</w:t>
            </w:r>
          </w:p>
        </w:tc>
      </w:tr>
      <w:tr w14:paraId="7EAB1EF1">
        <w:tblPrEx>
          <w:tblCellMar>
            <w:top w:w="0" w:type="dxa"/>
            <w:left w:w="0" w:type="dxa"/>
            <w:bottom w:w="0" w:type="dxa"/>
            <w:right w:w="0" w:type="dxa"/>
          </w:tblCellMar>
        </w:tblPrEx>
        <w:trPr>
          <w:wBefore w:w="0" w:type="auto"/>
          <w:tblCellSpacing w:w="0" w:type="dxa"/>
        </w:trPr>
        <w:tc>
          <w:tcPr>
            <w:tcW w:w="0" w:type="auto"/>
            <w:noWrap w:val="0"/>
            <w:vAlign w:val="center"/>
          </w:tcPr>
          <w:p w14:paraId="39C4CCCB">
            <w:r>
              <w:rPr>
                <w:rStyle w:val="10"/>
                <w:rFonts w:hint="eastAsia"/>
              </w:rPr>
              <w:t>毒性及其标识：</w:t>
            </w:r>
            <w:r>
              <w:rPr>
                <w:rFonts w:hint="eastAsia"/>
              </w:rPr>
              <w:t xml:space="preserve"> </w:t>
            </w:r>
            <w:r>
              <w:rPr>
                <w:lang/>
              </w:rPr>
              <w:drawing>
                <wp:inline distT="0" distB="0" distL="114300" distR="114300">
                  <wp:extent cx="476250" cy="323850"/>
                  <wp:effectExtent l="0" t="0" r="0" b="0"/>
                  <wp:docPr id="85" name="图片 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E27256">
        <w:tblPrEx>
          <w:tblCellMar>
            <w:top w:w="0" w:type="dxa"/>
            <w:left w:w="0" w:type="dxa"/>
            <w:bottom w:w="0" w:type="dxa"/>
            <w:right w:w="0" w:type="dxa"/>
          </w:tblCellMar>
        </w:tblPrEx>
        <w:trPr>
          <w:wBefore w:w="0" w:type="auto"/>
          <w:tblCellSpacing w:w="0" w:type="dxa"/>
        </w:trPr>
        <w:tc>
          <w:tcPr>
            <w:tcW w:w="0" w:type="auto"/>
            <w:noWrap w:val="0"/>
            <w:vAlign w:val="center"/>
          </w:tcPr>
          <w:p w14:paraId="342B6218">
            <w:r>
              <w:rPr>
                <w:rStyle w:val="10"/>
                <w:rFonts w:hint="eastAsia"/>
              </w:rPr>
              <w:t>总有效成分含量：</w:t>
            </w:r>
            <w:r>
              <w:rPr>
                <w:rFonts w:hint="eastAsia"/>
              </w:rPr>
              <w:t>41%</w:t>
            </w:r>
          </w:p>
        </w:tc>
      </w:tr>
      <w:tr w14:paraId="3B6856B1">
        <w:tblPrEx>
          <w:tblCellMar>
            <w:top w:w="0" w:type="dxa"/>
            <w:left w:w="0" w:type="dxa"/>
            <w:bottom w:w="0" w:type="dxa"/>
            <w:right w:w="0" w:type="dxa"/>
          </w:tblCellMar>
        </w:tblPrEx>
        <w:trPr>
          <w:wBefore w:w="0" w:type="auto"/>
          <w:tblCellSpacing w:w="0" w:type="dxa"/>
        </w:trPr>
        <w:tc>
          <w:tcPr>
            <w:tcW w:w="0" w:type="auto"/>
            <w:noWrap w:val="0"/>
            <w:vAlign w:val="center"/>
          </w:tcPr>
          <w:p w14:paraId="266FEBEE">
            <w:r>
              <w:rPr>
                <w:rFonts w:hint="eastAsia"/>
              </w:rPr>
              <w:t xml:space="preserve">有效成分及其含量： </w:t>
            </w:r>
          </w:p>
          <w:p w14:paraId="642BE4AB">
            <w:r>
              <w:rPr>
                <w:rFonts w:hint="eastAsia"/>
              </w:rPr>
              <w:t xml:space="preserve">    啶酰菌胺20.5%    乙嘧酚20.5%    </w:t>
            </w:r>
          </w:p>
        </w:tc>
      </w:tr>
      <w:tr w14:paraId="41DB061A">
        <w:tblPrEx>
          <w:tblCellMar>
            <w:top w:w="0" w:type="dxa"/>
            <w:left w:w="0" w:type="dxa"/>
            <w:bottom w:w="0" w:type="dxa"/>
            <w:right w:w="0" w:type="dxa"/>
          </w:tblCellMar>
        </w:tblPrEx>
        <w:trPr>
          <w:wBefore w:w="0" w:type="auto"/>
          <w:tblCellSpacing w:w="0" w:type="dxa"/>
        </w:trPr>
        <w:tc>
          <w:tcPr>
            <w:tcW w:w="0" w:type="auto"/>
            <w:noWrap w:val="0"/>
            <w:vAlign w:val="center"/>
          </w:tcPr>
          <w:p w14:paraId="3863782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BD91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8E35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F3A67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847AE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DF74C2">
                  <w:r>
                    <w:rPr>
                      <w:rStyle w:val="11"/>
                      <w:rFonts w:hint="eastAsia"/>
                    </w:rPr>
                    <w:t>施用方式</w:t>
                  </w:r>
                </w:p>
              </w:tc>
            </w:tr>
            <w:tr w14:paraId="179437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F4B716">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F49200">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2DEF8">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B31DC6">
                  <w:r>
                    <w:rPr>
                      <w:rStyle w:val="11"/>
                      <w:rFonts w:hint="eastAsia"/>
                    </w:rPr>
                    <w:t>喷雾</w:t>
                  </w:r>
                </w:p>
              </w:tc>
            </w:tr>
          </w:tbl>
          <w:p w14:paraId="63C76D5F">
            <w:pPr>
              <w:rPr>
                <w:rFonts w:ascii="Times New Roman" w:hAnsi="Times New Roman" w:cs="Times New Roman"/>
                <w:sz w:val="20"/>
                <w:szCs w:val="20"/>
              </w:rPr>
            </w:pPr>
          </w:p>
        </w:tc>
      </w:tr>
      <w:tr w14:paraId="61D80D6E">
        <w:tblPrEx>
          <w:tblCellMar>
            <w:top w:w="0" w:type="dxa"/>
            <w:left w:w="0" w:type="dxa"/>
            <w:bottom w:w="0" w:type="dxa"/>
            <w:right w:w="0" w:type="dxa"/>
          </w:tblCellMar>
        </w:tblPrEx>
        <w:trPr>
          <w:wBefore w:w="0" w:type="auto"/>
          <w:tblCellSpacing w:w="0" w:type="dxa"/>
        </w:trPr>
        <w:tc>
          <w:tcPr>
            <w:tcW w:w="0" w:type="auto"/>
            <w:noWrap w:val="0"/>
            <w:vAlign w:val="center"/>
          </w:tcPr>
          <w:p w14:paraId="36B618CC">
            <w:r>
              <w:rPr>
                <w:rStyle w:val="10"/>
                <w:rFonts w:hint="eastAsia"/>
              </w:rPr>
              <w:t>使用技术要求:</w:t>
            </w:r>
            <w:r>
              <w:rPr>
                <w:rFonts w:hint="eastAsia"/>
              </w:rPr>
              <w:br w:type="textWrapping"/>
            </w:r>
            <w:r>
              <w:rPr>
                <w:rStyle w:val="11"/>
                <w:rFonts w:hint="eastAsia"/>
              </w:rPr>
              <w:t>1.本品应于黄瓜白粉病发病前或发病初期施药，视病性连续喷2-3次，每次间隔7天左右，注意喷雾均匀周到，以确保防效。2．大风天或预计1小时内降雨，请勿施药。3．本品在黄瓜上使用时的安全间隔期为3天，每季作物最多使用3次</w:t>
            </w:r>
          </w:p>
        </w:tc>
      </w:tr>
      <w:tr w14:paraId="3DC66BF6">
        <w:tblPrEx>
          <w:tblCellMar>
            <w:top w:w="0" w:type="dxa"/>
            <w:left w:w="0" w:type="dxa"/>
            <w:bottom w:w="0" w:type="dxa"/>
            <w:right w:w="0" w:type="dxa"/>
          </w:tblCellMar>
        </w:tblPrEx>
        <w:trPr>
          <w:wBefore w:w="0" w:type="auto"/>
          <w:tblCellSpacing w:w="0" w:type="dxa"/>
        </w:trPr>
        <w:tc>
          <w:tcPr>
            <w:tcW w:w="0" w:type="auto"/>
            <w:noWrap w:val="0"/>
            <w:vAlign w:val="center"/>
          </w:tcPr>
          <w:p w14:paraId="278F9FD1">
            <w:r>
              <w:rPr>
                <w:rStyle w:val="10"/>
                <w:rFonts w:hint="eastAsia"/>
              </w:rPr>
              <w:t>产品性能:</w:t>
            </w:r>
            <w:r>
              <w:rPr>
                <w:rFonts w:hint="eastAsia"/>
              </w:rPr>
              <w:br w:type="textWrapping"/>
            </w:r>
            <w:r>
              <w:rPr>
                <w:rStyle w:val="11"/>
                <w:rFonts w:hint="eastAsia"/>
              </w:rPr>
              <w:t>本品由啶酰菌胺和乙嘧酚复配而成，既具有保护作用又具有治疗作用。可通过叶面渗透在植物中转移，该产品杀菌谱较广、杀菌活性较高、内吸性较强、持效期较长、残留较低，对黄瓜白粉病有良好的防治效果。</w:t>
            </w:r>
          </w:p>
        </w:tc>
      </w:tr>
      <w:tr w14:paraId="5A0E33D9">
        <w:tblPrEx>
          <w:tblCellMar>
            <w:top w:w="0" w:type="dxa"/>
            <w:left w:w="0" w:type="dxa"/>
            <w:bottom w:w="0" w:type="dxa"/>
            <w:right w:w="0" w:type="dxa"/>
          </w:tblCellMar>
        </w:tblPrEx>
        <w:trPr>
          <w:wBefore w:w="0" w:type="auto"/>
          <w:tblCellSpacing w:w="0" w:type="dxa"/>
        </w:trPr>
        <w:tc>
          <w:tcPr>
            <w:tcW w:w="0" w:type="auto"/>
            <w:noWrap w:val="0"/>
            <w:vAlign w:val="center"/>
          </w:tcPr>
          <w:p w14:paraId="56770E27">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避免吸入药液；施药期间不可吃东西、饮水等。施药后应及时洗手、洗脸等。2.清洗施药器具的废水不能排入河流、池塘等水源。用过的容器应妥善处理，不可做他用，也不可随意丢弃。3.本品对鱼类等水生生物有毒，远离水产养殖区、河塘等水域施药，禁止河塘等水体清洗施药器械，远离桑蚕养殖基地，在桑蚕基地施药时要设置隔离带。4.孕妇及哺乳期妇女应避免接触本品。5. 避免与氧化剂接触。</w:t>
            </w:r>
          </w:p>
        </w:tc>
      </w:tr>
      <w:tr w14:paraId="42166932">
        <w:tblPrEx>
          <w:tblCellMar>
            <w:top w:w="0" w:type="dxa"/>
            <w:left w:w="0" w:type="dxa"/>
            <w:bottom w:w="0" w:type="dxa"/>
            <w:right w:w="0" w:type="dxa"/>
          </w:tblCellMar>
        </w:tblPrEx>
        <w:trPr>
          <w:wBefore w:w="0" w:type="auto"/>
          <w:tblCellSpacing w:w="0" w:type="dxa"/>
        </w:trPr>
        <w:tc>
          <w:tcPr>
            <w:tcW w:w="0" w:type="auto"/>
            <w:noWrap w:val="0"/>
            <w:vAlign w:val="center"/>
          </w:tcPr>
          <w:p w14:paraId="7F2A8915">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对症治疗。</w:t>
            </w:r>
          </w:p>
        </w:tc>
      </w:tr>
      <w:tr w14:paraId="597A01BE">
        <w:tblPrEx>
          <w:tblCellMar>
            <w:top w:w="0" w:type="dxa"/>
            <w:left w:w="0" w:type="dxa"/>
            <w:bottom w:w="0" w:type="dxa"/>
            <w:right w:w="0" w:type="dxa"/>
          </w:tblCellMar>
        </w:tblPrEx>
        <w:trPr>
          <w:wBefore w:w="0" w:type="auto"/>
          <w:tblCellSpacing w:w="0" w:type="dxa"/>
        </w:trPr>
        <w:tc>
          <w:tcPr>
            <w:tcW w:w="0" w:type="auto"/>
            <w:noWrap w:val="0"/>
            <w:vAlign w:val="center"/>
          </w:tcPr>
          <w:p w14:paraId="56365A8B">
            <w:r>
              <w:rPr>
                <w:rStyle w:val="10"/>
                <w:rFonts w:hint="eastAsia"/>
              </w:rPr>
              <w:t>储存和运输方法：</w:t>
            </w:r>
            <w:r>
              <w:rPr>
                <w:rFonts w:hint="eastAsia"/>
              </w:rPr>
              <w:br w:type="textWrapping"/>
            </w:r>
            <w:r>
              <w:rPr>
                <w:rStyle w:val="11"/>
                <w:rFonts w:hint="eastAsia"/>
              </w:rPr>
              <w:t>贮运时应严防潮湿和日晒，保持良好通风，置于儿童、无关人员及动物接触不到的地方，并加锁保存；避免与食物、种子、粮食、饮料、饲料混放混运。</w:t>
            </w:r>
          </w:p>
        </w:tc>
      </w:tr>
      <w:tr w14:paraId="1F20F796">
        <w:tblPrEx>
          <w:tblCellMar>
            <w:top w:w="0" w:type="dxa"/>
            <w:left w:w="0" w:type="dxa"/>
            <w:bottom w:w="0" w:type="dxa"/>
            <w:right w:w="0" w:type="dxa"/>
          </w:tblCellMar>
        </w:tblPrEx>
        <w:trPr>
          <w:wBefore w:w="0" w:type="auto"/>
          <w:tblCellSpacing w:w="0" w:type="dxa"/>
        </w:trPr>
        <w:tc>
          <w:tcPr>
            <w:tcW w:w="0" w:type="auto"/>
            <w:noWrap w:val="0"/>
            <w:vAlign w:val="center"/>
          </w:tcPr>
          <w:p w14:paraId="6F3DE249">
            <w:r>
              <w:rPr>
                <w:rStyle w:val="10"/>
                <w:rFonts w:hint="eastAsia"/>
              </w:rPr>
              <w:t>质量保证期：</w:t>
            </w:r>
            <w:r>
              <w:rPr>
                <w:rStyle w:val="11"/>
                <w:rFonts w:hint="eastAsia"/>
              </w:rPr>
              <w:t>2年</w:t>
            </w:r>
          </w:p>
        </w:tc>
      </w:tr>
      <w:tr w14:paraId="2CAB9B16">
        <w:tblPrEx>
          <w:tblCellMar>
            <w:top w:w="0" w:type="dxa"/>
            <w:left w:w="0" w:type="dxa"/>
            <w:bottom w:w="0" w:type="dxa"/>
            <w:right w:w="0" w:type="dxa"/>
          </w:tblCellMar>
        </w:tblPrEx>
        <w:trPr>
          <w:wBefore w:w="0" w:type="auto"/>
          <w:tblCellSpacing w:w="0" w:type="dxa"/>
        </w:trPr>
        <w:tc>
          <w:tcPr>
            <w:tcW w:w="0" w:type="auto"/>
            <w:noWrap w:val="0"/>
            <w:vAlign w:val="center"/>
          </w:tcPr>
          <w:p w14:paraId="7FE791EF">
            <w:r>
              <w:rPr>
                <w:rStyle w:val="10"/>
                <w:rFonts w:hint="eastAsia"/>
              </w:rPr>
              <w:t>备注：</w:t>
            </w:r>
          </w:p>
        </w:tc>
      </w:tr>
    </w:tbl>
    <w:p w14:paraId="2B3FDA7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836313">
        <w:tblPrEx>
          <w:tblCellMar>
            <w:top w:w="0" w:type="dxa"/>
            <w:left w:w="0" w:type="dxa"/>
            <w:bottom w:w="0" w:type="dxa"/>
            <w:right w:w="0" w:type="dxa"/>
          </w:tblCellMar>
        </w:tblPrEx>
        <w:trPr>
          <w:wBefore w:w="0" w:type="auto"/>
          <w:tblCellSpacing w:w="0" w:type="dxa"/>
        </w:trPr>
        <w:tc>
          <w:tcPr>
            <w:tcW w:w="0" w:type="auto"/>
            <w:noWrap w:val="0"/>
            <w:vAlign w:val="center"/>
          </w:tcPr>
          <w:p w14:paraId="1E441020">
            <w:r>
              <w:rPr>
                <w:rStyle w:val="10"/>
                <w:rFonts w:hint="eastAsia"/>
              </w:rPr>
              <w:t>登记证号：</w:t>
            </w:r>
            <w:r>
              <w:rPr>
                <w:rFonts w:hint="eastAsia"/>
              </w:rPr>
              <w:t>PD20212737</w:t>
            </w:r>
          </w:p>
        </w:tc>
      </w:tr>
      <w:tr w14:paraId="4756905D">
        <w:tblPrEx>
          <w:tblCellMar>
            <w:top w:w="0" w:type="dxa"/>
            <w:left w:w="0" w:type="dxa"/>
            <w:bottom w:w="0" w:type="dxa"/>
            <w:right w:w="0" w:type="dxa"/>
          </w:tblCellMar>
        </w:tblPrEx>
        <w:trPr>
          <w:wBefore w:w="0" w:type="auto"/>
          <w:tblCellSpacing w:w="0" w:type="dxa"/>
        </w:trPr>
        <w:tc>
          <w:tcPr>
            <w:tcW w:w="0" w:type="auto"/>
            <w:noWrap w:val="0"/>
            <w:vAlign w:val="center"/>
          </w:tcPr>
          <w:p w14:paraId="4582AC52">
            <w:r>
              <w:rPr>
                <w:rStyle w:val="10"/>
                <w:rFonts w:hint="eastAsia"/>
              </w:rPr>
              <w:t>登记证持有人：</w:t>
            </w:r>
            <w:r>
              <w:rPr>
                <w:rFonts w:hint="eastAsia"/>
              </w:rPr>
              <w:t>浙江世佳科技股份有限公司</w:t>
            </w:r>
          </w:p>
        </w:tc>
      </w:tr>
      <w:tr w14:paraId="0951A136">
        <w:tblPrEx>
          <w:tblCellMar>
            <w:top w:w="0" w:type="dxa"/>
            <w:left w:w="0" w:type="dxa"/>
            <w:bottom w:w="0" w:type="dxa"/>
            <w:right w:w="0" w:type="dxa"/>
          </w:tblCellMar>
        </w:tblPrEx>
        <w:trPr>
          <w:wBefore w:w="0" w:type="auto"/>
          <w:tblCellSpacing w:w="0" w:type="dxa"/>
        </w:trPr>
        <w:tc>
          <w:tcPr>
            <w:tcW w:w="0" w:type="auto"/>
            <w:noWrap w:val="0"/>
            <w:vAlign w:val="center"/>
          </w:tcPr>
          <w:p w14:paraId="61BD6478">
            <w:r>
              <w:rPr>
                <w:rStyle w:val="10"/>
                <w:rFonts w:hint="eastAsia"/>
              </w:rPr>
              <w:t>农药名称：</w:t>
            </w:r>
            <w:r>
              <w:rPr>
                <w:rFonts w:hint="eastAsia"/>
              </w:rPr>
              <w:t>赤霉酸</w:t>
            </w:r>
          </w:p>
        </w:tc>
      </w:tr>
      <w:tr w14:paraId="46B36577">
        <w:tblPrEx>
          <w:tblCellMar>
            <w:top w:w="0" w:type="dxa"/>
            <w:left w:w="0" w:type="dxa"/>
            <w:bottom w:w="0" w:type="dxa"/>
            <w:right w:w="0" w:type="dxa"/>
          </w:tblCellMar>
        </w:tblPrEx>
        <w:trPr>
          <w:wBefore w:w="0" w:type="auto"/>
          <w:tblCellSpacing w:w="0" w:type="dxa"/>
        </w:trPr>
        <w:tc>
          <w:tcPr>
            <w:tcW w:w="0" w:type="auto"/>
            <w:noWrap w:val="0"/>
            <w:vAlign w:val="center"/>
          </w:tcPr>
          <w:p w14:paraId="402986D1">
            <w:r>
              <w:rPr>
                <w:rStyle w:val="10"/>
                <w:rFonts w:hint="eastAsia"/>
              </w:rPr>
              <w:t>剂型：</w:t>
            </w:r>
            <w:r>
              <w:rPr>
                <w:rFonts w:hint="eastAsia"/>
              </w:rPr>
              <w:t>可溶液剂</w:t>
            </w:r>
          </w:p>
        </w:tc>
      </w:tr>
      <w:tr w14:paraId="55B66DA5">
        <w:tblPrEx>
          <w:tblCellMar>
            <w:top w:w="0" w:type="dxa"/>
            <w:left w:w="0" w:type="dxa"/>
            <w:bottom w:w="0" w:type="dxa"/>
            <w:right w:w="0" w:type="dxa"/>
          </w:tblCellMar>
        </w:tblPrEx>
        <w:trPr>
          <w:wBefore w:w="0" w:type="auto"/>
          <w:tblCellSpacing w:w="0" w:type="dxa"/>
        </w:trPr>
        <w:tc>
          <w:tcPr>
            <w:tcW w:w="0" w:type="auto"/>
            <w:noWrap w:val="0"/>
            <w:vAlign w:val="center"/>
          </w:tcPr>
          <w:p w14:paraId="501D3A83">
            <w:r>
              <w:rPr>
                <w:rStyle w:val="10"/>
                <w:rFonts w:hint="eastAsia"/>
              </w:rPr>
              <w:t>毒性及其标识：</w:t>
            </w:r>
            <w:r>
              <w:rPr>
                <w:rFonts w:hint="eastAsia"/>
              </w:rPr>
              <w:t xml:space="preserve"> 微毒 </w:t>
            </w:r>
          </w:p>
        </w:tc>
      </w:tr>
      <w:tr w14:paraId="04AC0962">
        <w:tblPrEx>
          <w:tblCellMar>
            <w:top w:w="0" w:type="dxa"/>
            <w:left w:w="0" w:type="dxa"/>
            <w:bottom w:w="0" w:type="dxa"/>
            <w:right w:w="0" w:type="dxa"/>
          </w:tblCellMar>
        </w:tblPrEx>
        <w:trPr>
          <w:wBefore w:w="0" w:type="auto"/>
          <w:tblCellSpacing w:w="0" w:type="dxa"/>
        </w:trPr>
        <w:tc>
          <w:tcPr>
            <w:tcW w:w="0" w:type="auto"/>
            <w:noWrap w:val="0"/>
            <w:vAlign w:val="center"/>
          </w:tcPr>
          <w:p w14:paraId="5F5F7C42">
            <w:r>
              <w:rPr>
                <w:rStyle w:val="10"/>
                <w:rFonts w:hint="eastAsia"/>
              </w:rPr>
              <w:t>总有效成分含量：</w:t>
            </w:r>
            <w:r>
              <w:rPr>
                <w:rFonts w:hint="eastAsia"/>
              </w:rPr>
              <w:t>6%</w:t>
            </w:r>
          </w:p>
        </w:tc>
      </w:tr>
      <w:tr w14:paraId="130BAAAC">
        <w:tblPrEx>
          <w:tblCellMar>
            <w:top w:w="0" w:type="dxa"/>
            <w:left w:w="0" w:type="dxa"/>
            <w:bottom w:w="0" w:type="dxa"/>
            <w:right w:w="0" w:type="dxa"/>
          </w:tblCellMar>
        </w:tblPrEx>
        <w:trPr>
          <w:wBefore w:w="0" w:type="auto"/>
          <w:tblCellSpacing w:w="0" w:type="dxa"/>
        </w:trPr>
        <w:tc>
          <w:tcPr>
            <w:tcW w:w="0" w:type="auto"/>
            <w:noWrap w:val="0"/>
            <w:vAlign w:val="center"/>
          </w:tcPr>
          <w:p w14:paraId="21A90AA2">
            <w:r>
              <w:rPr>
                <w:rFonts w:hint="eastAsia"/>
              </w:rPr>
              <w:t xml:space="preserve">有效成分及其含量： </w:t>
            </w:r>
          </w:p>
          <w:p w14:paraId="654B6293">
            <w:r>
              <w:rPr>
                <w:rFonts w:hint="eastAsia"/>
              </w:rPr>
              <w:t xml:space="preserve">    赤霉酸6%    </w:t>
            </w:r>
          </w:p>
        </w:tc>
      </w:tr>
      <w:tr w14:paraId="191163F1">
        <w:tblPrEx>
          <w:tblCellMar>
            <w:top w:w="0" w:type="dxa"/>
            <w:left w:w="0" w:type="dxa"/>
            <w:bottom w:w="0" w:type="dxa"/>
            <w:right w:w="0" w:type="dxa"/>
          </w:tblCellMar>
        </w:tblPrEx>
        <w:trPr>
          <w:wBefore w:w="0" w:type="auto"/>
          <w:tblCellSpacing w:w="0" w:type="dxa"/>
        </w:trPr>
        <w:tc>
          <w:tcPr>
            <w:tcW w:w="0" w:type="auto"/>
            <w:noWrap w:val="0"/>
            <w:vAlign w:val="center"/>
          </w:tcPr>
          <w:p w14:paraId="61B7C0E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01D82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B7349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15D9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D5498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C41A2F">
                  <w:r>
                    <w:rPr>
                      <w:rStyle w:val="11"/>
                      <w:rFonts w:hint="eastAsia"/>
                    </w:rPr>
                    <w:t>施用方式</w:t>
                  </w:r>
                </w:p>
              </w:tc>
            </w:tr>
            <w:tr w14:paraId="07F33F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11B7E9">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D539C7">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0D24B0">
                  <w:r>
                    <w:rPr>
                      <w:rStyle w:val="11"/>
                      <w:rFonts w:hint="eastAsia"/>
                    </w:rPr>
                    <w:t>1200-2400倍液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2458C5">
                  <w:r>
                    <w:rPr>
                      <w:rStyle w:val="11"/>
                      <w:rFonts w:hint="eastAsia"/>
                    </w:rPr>
                    <w:t>浸果穗</w:t>
                  </w:r>
                </w:p>
              </w:tc>
            </w:tr>
          </w:tbl>
          <w:p w14:paraId="690ECA46">
            <w:pPr>
              <w:rPr>
                <w:rFonts w:ascii="Times New Roman" w:hAnsi="Times New Roman" w:cs="Times New Roman"/>
                <w:sz w:val="20"/>
                <w:szCs w:val="20"/>
              </w:rPr>
            </w:pPr>
          </w:p>
        </w:tc>
      </w:tr>
      <w:tr w14:paraId="5A879F4E">
        <w:tblPrEx>
          <w:tblCellMar>
            <w:top w:w="0" w:type="dxa"/>
            <w:left w:w="0" w:type="dxa"/>
            <w:bottom w:w="0" w:type="dxa"/>
            <w:right w:w="0" w:type="dxa"/>
          </w:tblCellMar>
        </w:tblPrEx>
        <w:trPr>
          <w:wBefore w:w="0" w:type="auto"/>
          <w:tblCellSpacing w:w="0" w:type="dxa"/>
        </w:trPr>
        <w:tc>
          <w:tcPr>
            <w:tcW w:w="0" w:type="auto"/>
            <w:noWrap w:val="0"/>
            <w:vAlign w:val="center"/>
          </w:tcPr>
          <w:p w14:paraId="6950864A">
            <w:r>
              <w:rPr>
                <w:rStyle w:val="10"/>
                <w:rFonts w:hint="eastAsia"/>
              </w:rPr>
              <w:t>使用技术要求:</w:t>
            </w:r>
            <w:r>
              <w:rPr>
                <w:rFonts w:hint="eastAsia"/>
              </w:rPr>
              <w:br w:type="textWrapping"/>
            </w:r>
            <w:r>
              <w:rPr>
                <w:rStyle w:val="11"/>
                <w:rFonts w:hint="eastAsia"/>
              </w:rPr>
              <w:t>1.于葡萄坐果期，浸果穗施药1次。 2.施用时气温在18℃以上为好。大风天或预计1小时内有降雨，请勿施药。</w:t>
            </w:r>
          </w:p>
        </w:tc>
      </w:tr>
      <w:tr w14:paraId="0E0053AD">
        <w:tblPrEx>
          <w:tblCellMar>
            <w:top w:w="0" w:type="dxa"/>
            <w:left w:w="0" w:type="dxa"/>
            <w:bottom w:w="0" w:type="dxa"/>
            <w:right w:w="0" w:type="dxa"/>
          </w:tblCellMar>
        </w:tblPrEx>
        <w:trPr>
          <w:wBefore w:w="0" w:type="auto"/>
          <w:tblCellSpacing w:w="0" w:type="dxa"/>
        </w:trPr>
        <w:tc>
          <w:tcPr>
            <w:tcW w:w="0" w:type="auto"/>
            <w:noWrap w:val="0"/>
            <w:vAlign w:val="center"/>
          </w:tcPr>
          <w:p w14:paraId="1911FB91">
            <w:r>
              <w:rPr>
                <w:rStyle w:val="10"/>
                <w:rFonts w:hint="eastAsia"/>
              </w:rPr>
              <w:t>产品性能:</w:t>
            </w:r>
            <w:r>
              <w:rPr>
                <w:rFonts w:hint="eastAsia"/>
              </w:rPr>
              <w:br w:type="textWrapping"/>
            </w:r>
            <w:r>
              <w:rPr>
                <w:rStyle w:val="11"/>
                <w:rFonts w:hint="eastAsia"/>
              </w:rPr>
              <w:t>赤霉酸属植物内源激素，能刺激细胞分裂和伸长。本品用于葡萄调节生长。</w:t>
            </w:r>
          </w:p>
        </w:tc>
      </w:tr>
      <w:tr w14:paraId="45357196">
        <w:tblPrEx>
          <w:tblCellMar>
            <w:top w:w="0" w:type="dxa"/>
            <w:left w:w="0" w:type="dxa"/>
            <w:bottom w:w="0" w:type="dxa"/>
            <w:right w:w="0" w:type="dxa"/>
          </w:tblCellMar>
        </w:tblPrEx>
        <w:trPr>
          <w:wBefore w:w="0" w:type="auto"/>
          <w:tblCellSpacing w:w="0" w:type="dxa"/>
        </w:trPr>
        <w:tc>
          <w:tcPr>
            <w:tcW w:w="0" w:type="auto"/>
            <w:noWrap w:val="0"/>
            <w:vAlign w:val="center"/>
          </w:tcPr>
          <w:p w14:paraId="05ACD617">
            <w:r>
              <w:rPr>
                <w:rStyle w:val="10"/>
                <w:rFonts w:hint="eastAsia"/>
              </w:rPr>
              <w:t>注意事项：</w:t>
            </w:r>
            <w:r>
              <w:rPr>
                <w:rFonts w:hint="eastAsia"/>
              </w:rPr>
              <w:br w:type="textWrapping"/>
            </w:r>
            <w:r>
              <w:rPr>
                <w:rStyle w:val="11"/>
                <w:rFonts w:hint="eastAsia"/>
              </w:rPr>
              <w:t>1. 请按照农药安全使用准则使用本品。避免药液接触皮肤、眼睛和污染衣物，避免吸入雾滴。切勿在施药现场抽烟或饮食等。2.配药和施药时，应戴手套、面罩，穿长袖衣、长裤和防水靴。3.溶液配制时，要求药品充分搅拌至完全溶解，切不可将溶液加热。本品应在使用前现配现用，稀释用水宜用冷水，不可用热水，水温超过50℃会失去活性。4.本品不宜与碱性物品混用。已经配好的水溶液不可久存，以免失去活性。5.施药后，彻底清洗防护用具，洗澡，并更换和清洗工作服。6.应依照当地法律法规妥善处理农药空包装。使用过的空包装，请用清水冲洗三次后，带离田间，妥善处理；切勿重复使用或改作其它用途。所有施药器具，用后应立即用清水或适当的洗涤剂清洗。7.5.禁止在河塘等水域清洗施药器具，避免污染水源。8.未用完的制剂应放在原包装内密封保存，切勿将本品置于饮、食容器内。9.避免孕妇及哺乳期的妇女接触。</w:t>
            </w:r>
          </w:p>
        </w:tc>
      </w:tr>
      <w:tr w14:paraId="4CA9A1C6">
        <w:tblPrEx>
          <w:tblCellMar>
            <w:top w:w="0" w:type="dxa"/>
            <w:left w:w="0" w:type="dxa"/>
            <w:bottom w:w="0" w:type="dxa"/>
            <w:right w:w="0" w:type="dxa"/>
          </w:tblCellMar>
        </w:tblPrEx>
        <w:trPr>
          <w:wBefore w:w="0" w:type="auto"/>
          <w:tblCellSpacing w:w="0" w:type="dxa"/>
        </w:trPr>
        <w:tc>
          <w:tcPr>
            <w:tcW w:w="0" w:type="auto"/>
            <w:noWrap w:val="0"/>
            <w:vAlign w:val="center"/>
          </w:tcPr>
          <w:p w14:paraId="244FE31C">
            <w:r>
              <w:rPr>
                <w:rStyle w:val="10"/>
                <w:rFonts w:hint="eastAsia"/>
              </w:rPr>
              <w:t>中毒急救措施：</w:t>
            </w:r>
            <w:r>
              <w:rPr>
                <w:rFonts w:hint="eastAsia"/>
              </w:rPr>
              <w:br w:type="textWrapping"/>
            </w:r>
            <w:r>
              <w:rPr>
                <w:rStyle w:val="11"/>
                <w:rFonts w:hint="eastAsia"/>
              </w:rPr>
              <w:t>对眼睛有刺激性，使用时避免接触眼睛。1.用药时如果感觉不适，立即停止工作，采取急救措施，并携此标签送医就诊。 2.皮肤接触：立即脱掉被污染的衣物，用大量清水冲洗被污染的皮肤,如皮肤刺激感持续，请医生诊治。再次使用前需清洗被污染的衣物。 3.眼睛溅药：立即将眼睑翻开，用大量清水冲洗至少15分钟。4.发生吸入：立即将患者转移到空气新鲜处。如果呼吸不正常或停止，实施人工呼吸。注意患者保暖和休息。立即呼叫医生或毒物控制中心。 5.误服：如果误服，立即联系医生，并出示此容器或标签。请勿引吐。</w:t>
            </w:r>
          </w:p>
        </w:tc>
      </w:tr>
      <w:tr w14:paraId="5F1BA9F3">
        <w:tblPrEx>
          <w:tblCellMar>
            <w:top w:w="0" w:type="dxa"/>
            <w:left w:w="0" w:type="dxa"/>
            <w:bottom w:w="0" w:type="dxa"/>
            <w:right w:w="0" w:type="dxa"/>
          </w:tblCellMar>
        </w:tblPrEx>
        <w:trPr>
          <w:wBefore w:w="0" w:type="auto"/>
          <w:tblCellSpacing w:w="0" w:type="dxa"/>
        </w:trPr>
        <w:tc>
          <w:tcPr>
            <w:tcW w:w="0" w:type="auto"/>
            <w:noWrap w:val="0"/>
            <w:vAlign w:val="center"/>
          </w:tcPr>
          <w:p w14:paraId="38211FD7">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 2.本品应贮藏在避光、干燥、通风处。运输时应注意避光、防高温、雨淋。 3.贮藏温度应避免低于-10℃或高于35℃。 4.产品码放高度不宜超过2米，以免损坏包装。</w:t>
            </w:r>
          </w:p>
        </w:tc>
      </w:tr>
      <w:tr w14:paraId="39B8F12A">
        <w:tblPrEx>
          <w:tblCellMar>
            <w:top w:w="0" w:type="dxa"/>
            <w:left w:w="0" w:type="dxa"/>
            <w:bottom w:w="0" w:type="dxa"/>
            <w:right w:w="0" w:type="dxa"/>
          </w:tblCellMar>
        </w:tblPrEx>
        <w:trPr>
          <w:wBefore w:w="0" w:type="auto"/>
          <w:tblCellSpacing w:w="0" w:type="dxa"/>
        </w:trPr>
        <w:tc>
          <w:tcPr>
            <w:tcW w:w="0" w:type="auto"/>
            <w:noWrap w:val="0"/>
            <w:vAlign w:val="center"/>
          </w:tcPr>
          <w:p w14:paraId="4D249004">
            <w:r>
              <w:rPr>
                <w:rStyle w:val="10"/>
                <w:rFonts w:hint="eastAsia"/>
              </w:rPr>
              <w:t>质量保证期：</w:t>
            </w:r>
            <w:r>
              <w:rPr>
                <w:rStyle w:val="11"/>
                <w:rFonts w:hint="eastAsia"/>
              </w:rPr>
              <w:t>2年</w:t>
            </w:r>
          </w:p>
        </w:tc>
      </w:tr>
      <w:tr w14:paraId="0DC810C6">
        <w:tblPrEx>
          <w:tblCellMar>
            <w:top w:w="0" w:type="dxa"/>
            <w:left w:w="0" w:type="dxa"/>
            <w:bottom w:w="0" w:type="dxa"/>
            <w:right w:w="0" w:type="dxa"/>
          </w:tblCellMar>
        </w:tblPrEx>
        <w:trPr>
          <w:wBefore w:w="0" w:type="auto"/>
          <w:tblCellSpacing w:w="0" w:type="dxa"/>
        </w:trPr>
        <w:tc>
          <w:tcPr>
            <w:tcW w:w="0" w:type="auto"/>
            <w:noWrap w:val="0"/>
            <w:vAlign w:val="center"/>
          </w:tcPr>
          <w:p w14:paraId="4159D8C0">
            <w:r>
              <w:rPr>
                <w:rStyle w:val="10"/>
                <w:rFonts w:hint="eastAsia"/>
              </w:rPr>
              <w:t>备注：</w:t>
            </w:r>
          </w:p>
        </w:tc>
      </w:tr>
    </w:tbl>
    <w:p w14:paraId="2337B79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496643">
        <w:tblPrEx>
          <w:tblCellMar>
            <w:top w:w="0" w:type="dxa"/>
            <w:left w:w="0" w:type="dxa"/>
            <w:bottom w:w="0" w:type="dxa"/>
            <w:right w:w="0" w:type="dxa"/>
          </w:tblCellMar>
        </w:tblPrEx>
        <w:trPr>
          <w:wBefore w:w="0" w:type="auto"/>
          <w:tblCellSpacing w:w="0" w:type="dxa"/>
        </w:trPr>
        <w:tc>
          <w:tcPr>
            <w:tcW w:w="0" w:type="auto"/>
            <w:noWrap w:val="0"/>
            <w:vAlign w:val="center"/>
          </w:tcPr>
          <w:p w14:paraId="5EEDDC15">
            <w:r>
              <w:rPr>
                <w:rStyle w:val="10"/>
                <w:rFonts w:hint="eastAsia"/>
              </w:rPr>
              <w:t>登记证号：</w:t>
            </w:r>
            <w:r>
              <w:rPr>
                <w:rFonts w:hint="eastAsia"/>
              </w:rPr>
              <w:t>EX20210131</w:t>
            </w:r>
          </w:p>
        </w:tc>
      </w:tr>
      <w:tr w14:paraId="068D72B4">
        <w:tblPrEx>
          <w:tblCellMar>
            <w:top w:w="0" w:type="dxa"/>
            <w:left w:w="0" w:type="dxa"/>
            <w:bottom w:w="0" w:type="dxa"/>
            <w:right w:w="0" w:type="dxa"/>
          </w:tblCellMar>
        </w:tblPrEx>
        <w:trPr>
          <w:wBefore w:w="0" w:type="auto"/>
          <w:tblCellSpacing w:w="0" w:type="dxa"/>
        </w:trPr>
        <w:tc>
          <w:tcPr>
            <w:tcW w:w="0" w:type="auto"/>
            <w:noWrap w:val="0"/>
            <w:vAlign w:val="center"/>
          </w:tcPr>
          <w:p w14:paraId="612A6EB3">
            <w:r>
              <w:rPr>
                <w:rStyle w:val="10"/>
                <w:rFonts w:hint="eastAsia"/>
              </w:rPr>
              <w:t>登记证持有人：</w:t>
            </w:r>
            <w:r>
              <w:rPr>
                <w:rFonts w:hint="eastAsia"/>
              </w:rPr>
              <w:t>江苏百灵农化有限公司</w:t>
            </w:r>
          </w:p>
        </w:tc>
      </w:tr>
      <w:tr w14:paraId="479A38E6">
        <w:tblPrEx>
          <w:tblCellMar>
            <w:top w:w="0" w:type="dxa"/>
            <w:left w:w="0" w:type="dxa"/>
            <w:bottom w:w="0" w:type="dxa"/>
            <w:right w:w="0" w:type="dxa"/>
          </w:tblCellMar>
        </w:tblPrEx>
        <w:trPr>
          <w:wBefore w:w="0" w:type="auto"/>
          <w:tblCellSpacing w:w="0" w:type="dxa"/>
        </w:trPr>
        <w:tc>
          <w:tcPr>
            <w:tcW w:w="0" w:type="auto"/>
            <w:noWrap w:val="0"/>
            <w:vAlign w:val="center"/>
          </w:tcPr>
          <w:p w14:paraId="06934618">
            <w:r>
              <w:rPr>
                <w:rStyle w:val="10"/>
                <w:rFonts w:hint="eastAsia"/>
              </w:rPr>
              <w:t>农药名称：</w:t>
            </w:r>
            <w:r>
              <w:rPr>
                <w:rFonts w:hint="eastAsia"/>
              </w:rPr>
              <w:t>阿维菌素</w:t>
            </w:r>
          </w:p>
        </w:tc>
      </w:tr>
      <w:tr w14:paraId="3C66DBEC">
        <w:tblPrEx>
          <w:tblCellMar>
            <w:top w:w="0" w:type="dxa"/>
            <w:left w:w="0" w:type="dxa"/>
            <w:bottom w:w="0" w:type="dxa"/>
            <w:right w:w="0" w:type="dxa"/>
          </w:tblCellMar>
        </w:tblPrEx>
        <w:trPr>
          <w:wBefore w:w="0" w:type="auto"/>
          <w:tblCellSpacing w:w="0" w:type="dxa"/>
        </w:trPr>
        <w:tc>
          <w:tcPr>
            <w:tcW w:w="0" w:type="auto"/>
            <w:noWrap w:val="0"/>
            <w:vAlign w:val="center"/>
          </w:tcPr>
          <w:p w14:paraId="398204D5">
            <w:r>
              <w:rPr>
                <w:rStyle w:val="10"/>
                <w:rFonts w:hint="eastAsia"/>
              </w:rPr>
              <w:t>剂型：</w:t>
            </w:r>
            <w:r>
              <w:rPr>
                <w:rFonts w:hint="eastAsia"/>
              </w:rPr>
              <w:t>乳油</w:t>
            </w:r>
          </w:p>
        </w:tc>
      </w:tr>
      <w:tr w14:paraId="11F0B282">
        <w:tblPrEx>
          <w:tblCellMar>
            <w:top w:w="0" w:type="dxa"/>
            <w:left w:w="0" w:type="dxa"/>
            <w:bottom w:w="0" w:type="dxa"/>
            <w:right w:w="0" w:type="dxa"/>
          </w:tblCellMar>
        </w:tblPrEx>
        <w:trPr>
          <w:wBefore w:w="0" w:type="auto"/>
          <w:tblCellSpacing w:w="0" w:type="dxa"/>
        </w:trPr>
        <w:tc>
          <w:tcPr>
            <w:tcW w:w="0" w:type="auto"/>
            <w:noWrap w:val="0"/>
            <w:vAlign w:val="center"/>
          </w:tcPr>
          <w:p w14:paraId="2EF06A41">
            <w:r>
              <w:rPr>
                <w:rStyle w:val="10"/>
                <w:rFonts w:hint="eastAsia"/>
              </w:rPr>
              <w:t>毒性及其标识：</w:t>
            </w:r>
            <w:r>
              <w:rPr>
                <w:rFonts w:hint="eastAsia"/>
              </w:rPr>
              <w:t xml:space="preserve"> </w:t>
            </w:r>
            <w:r>
              <w:rPr>
                <w:lang/>
              </w:rPr>
              <w:drawing>
                <wp:inline distT="0" distB="0" distL="114300" distR="114300">
                  <wp:extent cx="476250" cy="323850"/>
                  <wp:effectExtent l="0" t="0" r="0" b="0"/>
                  <wp:docPr id="86" name="图片 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5F4D23E9">
        <w:tblPrEx>
          <w:tblCellMar>
            <w:top w:w="0" w:type="dxa"/>
            <w:left w:w="0" w:type="dxa"/>
            <w:bottom w:w="0" w:type="dxa"/>
            <w:right w:w="0" w:type="dxa"/>
          </w:tblCellMar>
        </w:tblPrEx>
        <w:trPr>
          <w:wBefore w:w="0" w:type="auto"/>
          <w:tblCellSpacing w:w="0" w:type="dxa"/>
        </w:trPr>
        <w:tc>
          <w:tcPr>
            <w:tcW w:w="0" w:type="auto"/>
            <w:noWrap w:val="0"/>
            <w:vAlign w:val="center"/>
          </w:tcPr>
          <w:p w14:paraId="2D8E0B50">
            <w:r>
              <w:rPr>
                <w:rStyle w:val="10"/>
                <w:rFonts w:hint="eastAsia"/>
              </w:rPr>
              <w:t>总有效成分含量：</w:t>
            </w:r>
            <w:r>
              <w:rPr>
                <w:rFonts w:hint="eastAsia"/>
              </w:rPr>
              <w:t>38克/升</w:t>
            </w:r>
          </w:p>
        </w:tc>
      </w:tr>
      <w:tr w14:paraId="3AC873D6">
        <w:tblPrEx>
          <w:tblCellMar>
            <w:top w:w="0" w:type="dxa"/>
            <w:left w:w="0" w:type="dxa"/>
            <w:bottom w:w="0" w:type="dxa"/>
            <w:right w:w="0" w:type="dxa"/>
          </w:tblCellMar>
        </w:tblPrEx>
        <w:trPr>
          <w:wBefore w:w="0" w:type="auto"/>
          <w:tblCellSpacing w:w="0" w:type="dxa"/>
        </w:trPr>
        <w:tc>
          <w:tcPr>
            <w:tcW w:w="0" w:type="auto"/>
            <w:noWrap w:val="0"/>
            <w:vAlign w:val="center"/>
          </w:tcPr>
          <w:p w14:paraId="2AE5D378">
            <w:r>
              <w:rPr>
                <w:rFonts w:hint="eastAsia"/>
              </w:rPr>
              <w:t xml:space="preserve">有效成分及其含量： </w:t>
            </w:r>
          </w:p>
          <w:p w14:paraId="50448545">
            <w:r>
              <w:rPr>
                <w:rFonts w:hint="eastAsia"/>
              </w:rPr>
              <w:t xml:space="preserve">    </w:t>
            </w:r>
          </w:p>
        </w:tc>
      </w:tr>
      <w:tr w14:paraId="197481E7">
        <w:tblPrEx>
          <w:tblCellMar>
            <w:top w:w="0" w:type="dxa"/>
            <w:left w:w="0" w:type="dxa"/>
            <w:bottom w:w="0" w:type="dxa"/>
            <w:right w:w="0" w:type="dxa"/>
          </w:tblCellMar>
        </w:tblPrEx>
        <w:trPr>
          <w:wBefore w:w="0" w:type="auto"/>
          <w:tblCellSpacing w:w="0" w:type="dxa"/>
        </w:trPr>
        <w:tc>
          <w:tcPr>
            <w:tcW w:w="0" w:type="auto"/>
            <w:noWrap w:val="0"/>
            <w:vAlign w:val="center"/>
          </w:tcPr>
          <w:p w14:paraId="1BB0A43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1D64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0EC9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6D64B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FE6A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BB0C3C">
                  <w:r>
                    <w:rPr>
                      <w:rStyle w:val="11"/>
                      <w:rFonts w:hint="eastAsia"/>
                    </w:rPr>
                    <w:t>施用方式</w:t>
                  </w:r>
                </w:p>
              </w:tc>
            </w:tr>
          </w:tbl>
          <w:p w14:paraId="1A6B1507">
            <w:pPr>
              <w:rPr>
                <w:rFonts w:ascii="Times New Roman" w:hAnsi="Times New Roman" w:cs="Times New Roman"/>
                <w:sz w:val="20"/>
                <w:szCs w:val="20"/>
              </w:rPr>
            </w:pPr>
          </w:p>
        </w:tc>
      </w:tr>
      <w:tr w14:paraId="15825FF6">
        <w:tblPrEx>
          <w:tblCellMar>
            <w:top w:w="0" w:type="dxa"/>
            <w:left w:w="0" w:type="dxa"/>
            <w:bottom w:w="0" w:type="dxa"/>
            <w:right w:w="0" w:type="dxa"/>
          </w:tblCellMar>
        </w:tblPrEx>
        <w:trPr>
          <w:wBefore w:w="0" w:type="auto"/>
          <w:tblCellSpacing w:w="0" w:type="dxa"/>
        </w:trPr>
        <w:tc>
          <w:tcPr>
            <w:tcW w:w="0" w:type="auto"/>
            <w:noWrap w:val="0"/>
            <w:vAlign w:val="center"/>
          </w:tcPr>
          <w:p w14:paraId="2580C819">
            <w:r>
              <w:rPr>
                <w:rStyle w:val="10"/>
                <w:rFonts w:hint="eastAsia"/>
              </w:rPr>
              <w:t>使用技术要求:</w:t>
            </w:r>
            <w:r>
              <w:rPr>
                <w:rFonts w:hint="eastAsia"/>
              </w:rPr>
              <w:br w:type="textWrapping"/>
            </w:r>
          </w:p>
        </w:tc>
      </w:tr>
      <w:tr w14:paraId="7E2E3223">
        <w:tblPrEx>
          <w:tblCellMar>
            <w:top w:w="0" w:type="dxa"/>
            <w:left w:w="0" w:type="dxa"/>
            <w:bottom w:w="0" w:type="dxa"/>
            <w:right w:w="0" w:type="dxa"/>
          </w:tblCellMar>
        </w:tblPrEx>
        <w:trPr>
          <w:wBefore w:w="0" w:type="auto"/>
          <w:tblCellSpacing w:w="0" w:type="dxa"/>
        </w:trPr>
        <w:tc>
          <w:tcPr>
            <w:tcW w:w="0" w:type="auto"/>
            <w:noWrap w:val="0"/>
            <w:vAlign w:val="center"/>
          </w:tcPr>
          <w:p w14:paraId="66D4923D">
            <w:r>
              <w:rPr>
                <w:rStyle w:val="10"/>
                <w:rFonts w:hint="eastAsia"/>
              </w:rPr>
              <w:t>产品性能:</w:t>
            </w:r>
          </w:p>
        </w:tc>
      </w:tr>
      <w:tr w14:paraId="6CF11BE9">
        <w:tblPrEx>
          <w:tblCellMar>
            <w:top w:w="0" w:type="dxa"/>
            <w:left w:w="0" w:type="dxa"/>
            <w:bottom w:w="0" w:type="dxa"/>
            <w:right w:w="0" w:type="dxa"/>
          </w:tblCellMar>
        </w:tblPrEx>
        <w:trPr>
          <w:wBefore w:w="0" w:type="auto"/>
          <w:tblCellSpacing w:w="0" w:type="dxa"/>
        </w:trPr>
        <w:tc>
          <w:tcPr>
            <w:tcW w:w="0" w:type="auto"/>
            <w:noWrap w:val="0"/>
            <w:vAlign w:val="center"/>
          </w:tcPr>
          <w:p w14:paraId="1A1C1464">
            <w:r>
              <w:rPr>
                <w:rStyle w:val="10"/>
                <w:rFonts w:hint="eastAsia"/>
              </w:rPr>
              <w:t>注意事项：</w:t>
            </w:r>
          </w:p>
        </w:tc>
      </w:tr>
      <w:tr w14:paraId="402782C0">
        <w:tblPrEx>
          <w:tblCellMar>
            <w:top w:w="0" w:type="dxa"/>
            <w:left w:w="0" w:type="dxa"/>
            <w:bottom w:w="0" w:type="dxa"/>
            <w:right w:w="0" w:type="dxa"/>
          </w:tblCellMar>
        </w:tblPrEx>
        <w:trPr>
          <w:wBefore w:w="0" w:type="auto"/>
          <w:tblCellSpacing w:w="0" w:type="dxa"/>
        </w:trPr>
        <w:tc>
          <w:tcPr>
            <w:tcW w:w="0" w:type="auto"/>
            <w:noWrap w:val="0"/>
            <w:vAlign w:val="center"/>
          </w:tcPr>
          <w:p w14:paraId="4A8D1932">
            <w:r>
              <w:rPr>
                <w:rStyle w:val="10"/>
                <w:rFonts w:hint="eastAsia"/>
              </w:rPr>
              <w:t>中毒急救措施：</w:t>
            </w:r>
          </w:p>
        </w:tc>
      </w:tr>
      <w:tr w14:paraId="2E4A4AC4">
        <w:tblPrEx>
          <w:tblCellMar>
            <w:top w:w="0" w:type="dxa"/>
            <w:left w:w="0" w:type="dxa"/>
            <w:bottom w:w="0" w:type="dxa"/>
            <w:right w:w="0" w:type="dxa"/>
          </w:tblCellMar>
        </w:tblPrEx>
        <w:trPr>
          <w:wBefore w:w="0" w:type="auto"/>
          <w:tblCellSpacing w:w="0" w:type="dxa"/>
        </w:trPr>
        <w:tc>
          <w:tcPr>
            <w:tcW w:w="0" w:type="auto"/>
            <w:noWrap w:val="0"/>
            <w:vAlign w:val="center"/>
          </w:tcPr>
          <w:p w14:paraId="01D4D6B1">
            <w:r>
              <w:rPr>
                <w:rStyle w:val="10"/>
                <w:rFonts w:hint="eastAsia"/>
              </w:rPr>
              <w:t>储存和运输方法：</w:t>
            </w:r>
          </w:p>
        </w:tc>
      </w:tr>
      <w:tr w14:paraId="411700FC">
        <w:tblPrEx>
          <w:tblCellMar>
            <w:top w:w="0" w:type="dxa"/>
            <w:left w:w="0" w:type="dxa"/>
            <w:bottom w:w="0" w:type="dxa"/>
            <w:right w:w="0" w:type="dxa"/>
          </w:tblCellMar>
        </w:tblPrEx>
        <w:trPr>
          <w:wBefore w:w="0" w:type="auto"/>
          <w:tblCellSpacing w:w="0" w:type="dxa"/>
        </w:trPr>
        <w:tc>
          <w:tcPr>
            <w:tcW w:w="0" w:type="auto"/>
            <w:noWrap w:val="0"/>
            <w:vAlign w:val="center"/>
          </w:tcPr>
          <w:p w14:paraId="29445AE2">
            <w:r>
              <w:rPr>
                <w:rStyle w:val="10"/>
                <w:rFonts w:hint="eastAsia"/>
              </w:rPr>
              <w:t>质量保证期：</w:t>
            </w:r>
          </w:p>
        </w:tc>
      </w:tr>
      <w:tr w14:paraId="485795EC">
        <w:tblPrEx>
          <w:tblCellMar>
            <w:top w:w="0" w:type="dxa"/>
            <w:left w:w="0" w:type="dxa"/>
            <w:bottom w:w="0" w:type="dxa"/>
            <w:right w:w="0" w:type="dxa"/>
          </w:tblCellMar>
        </w:tblPrEx>
        <w:trPr>
          <w:wBefore w:w="0" w:type="auto"/>
          <w:tblCellSpacing w:w="0" w:type="dxa"/>
        </w:trPr>
        <w:tc>
          <w:tcPr>
            <w:tcW w:w="0" w:type="auto"/>
            <w:noWrap w:val="0"/>
            <w:vAlign w:val="center"/>
          </w:tcPr>
          <w:p w14:paraId="7FF54661">
            <w:r>
              <w:rPr>
                <w:rStyle w:val="10"/>
                <w:rFonts w:hint="eastAsia"/>
              </w:rPr>
              <w:t>备注：</w:t>
            </w:r>
          </w:p>
        </w:tc>
      </w:tr>
    </w:tbl>
    <w:p w14:paraId="705EEDB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AD4416">
        <w:tblPrEx>
          <w:tblCellMar>
            <w:top w:w="0" w:type="dxa"/>
            <w:left w:w="0" w:type="dxa"/>
            <w:bottom w:w="0" w:type="dxa"/>
            <w:right w:w="0" w:type="dxa"/>
          </w:tblCellMar>
        </w:tblPrEx>
        <w:trPr>
          <w:wBefore w:w="0" w:type="auto"/>
          <w:tblCellSpacing w:w="0" w:type="dxa"/>
        </w:trPr>
        <w:tc>
          <w:tcPr>
            <w:tcW w:w="0" w:type="auto"/>
            <w:noWrap w:val="0"/>
            <w:vAlign w:val="center"/>
          </w:tcPr>
          <w:p w14:paraId="34D7A019">
            <w:r>
              <w:rPr>
                <w:rStyle w:val="10"/>
                <w:rFonts w:hint="eastAsia"/>
              </w:rPr>
              <w:t>登记证号：</w:t>
            </w:r>
            <w:r>
              <w:rPr>
                <w:rFonts w:hint="eastAsia"/>
              </w:rPr>
              <w:t>EX20210137</w:t>
            </w:r>
          </w:p>
        </w:tc>
      </w:tr>
      <w:tr w14:paraId="55B05C20">
        <w:tblPrEx>
          <w:tblCellMar>
            <w:top w:w="0" w:type="dxa"/>
            <w:left w:w="0" w:type="dxa"/>
            <w:bottom w:w="0" w:type="dxa"/>
            <w:right w:w="0" w:type="dxa"/>
          </w:tblCellMar>
        </w:tblPrEx>
        <w:trPr>
          <w:wBefore w:w="0" w:type="auto"/>
          <w:tblCellSpacing w:w="0" w:type="dxa"/>
        </w:trPr>
        <w:tc>
          <w:tcPr>
            <w:tcW w:w="0" w:type="auto"/>
            <w:noWrap w:val="0"/>
            <w:vAlign w:val="center"/>
          </w:tcPr>
          <w:p w14:paraId="46205A3F">
            <w:r>
              <w:rPr>
                <w:rStyle w:val="10"/>
                <w:rFonts w:hint="eastAsia"/>
              </w:rPr>
              <w:t>登记证持有人：</w:t>
            </w:r>
            <w:r>
              <w:rPr>
                <w:rFonts w:hint="eastAsia"/>
              </w:rPr>
              <w:t>江苏中旗科技股份有限公司</w:t>
            </w:r>
          </w:p>
        </w:tc>
      </w:tr>
      <w:tr w14:paraId="703E4910">
        <w:tblPrEx>
          <w:tblCellMar>
            <w:top w:w="0" w:type="dxa"/>
            <w:left w:w="0" w:type="dxa"/>
            <w:bottom w:w="0" w:type="dxa"/>
            <w:right w:w="0" w:type="dxa"/>
          </w:tblCellMar>
        </w:tblPrEx>
        <w:trPr>
          <w:wBefore w:w="0" w:type="auto"/>
          <w:tblCellSpacing w:w="0" w:type="dxa"/>
        </w:trPr>
        <w:tc>
          <w:tcPr>
            <w:tcW w:w="0" w:type="auto"/>
            <w:noWrap w:val="0"/>
            <w:vAlign w:val="center"/>
          </w:tcPr>
          <w:p w14:paraId="61E42A5A">
            <w:r>
              <w:rPr>
                <w:rStyle w:val="10"/>
                <w:rFonts w:hint="eastAsia"/>
              </w:rPr>
              <w:t>农药名称：</w:t>
            </w:r>
            <w:r>
              <w:rPr>
                <w:rFonts w:hint="eastAsia"/>
              </w:rPr>
              <w:t>炔草酯</w:t>
            </w:r>
          </w:p>
        </w:tc>
      </w:tr>
      <w:tr w14:paraId="38F16AE4">
        <w:tblPrEx>
          <w:tblCellMar>
            <w:top w:w="0" w:type="dxa"/>
            <w:left w:w="0" w:type="dxa"/>
            <w:bottom w:w="0" w:type="dxa"/>
            <w:right w:w="0" w:type="dxa"/>
          </w:tblCellMar>
        </w:tblPrEx>
        <w:trPr>
          <w:wBefore w:w="0" w:type="auto"/>
          <w:tblCellSpacing w:w="0" w:type="dxa"/>
        </w:trPr>
        <w:tc>
          <w:tcPr>
            <w:tcW w:w="0" w:type="auto"/>
            <w:noWrap w:val="0"/>
            <w:vAlign w:val="center"/>
          </w:tcPr>
          <w:p w14:paraId="2569EAF7">
            <w:r>
              <w:rPr>
                <w:rStyle w:val="10"/>
                <w:rFonts w:hint="eastAsia"/>
              </w:rPr>
              <w:t>剂型：</w:t>
            </w:r>
            <w:r>
              <w:rPr>
                <w:rFonts w:hint="eastAsia"/>
              </w:rPr>
              <w:t>乳油</w:t>
            </w:r>
          </w:p>
        </w:tc>
      </w:tr>
      <w:tr w14:paraId="1441633E">
        <w:tblPrEx>
          <w:tblCellMar>
            <w:top w:w="0" w:type="dxa"/>
            <w:left w:w="0" w:type="dxa"/>
            <w:bottom w:w="0" w:type="dxa"/>
            <w:right w:w="0" w:type="dxa"/>
          </w:tblCellMar>
        </w:tblPrEx>
        <w:trPr>
          <w:wBefore w:w="0" w:type="auto"/>
          <w:tblCellSpacing w:w="0" w:type="dxa"/>
        </w:trPr>
        <w:tc>
          <w:tcPr>
            <w:tcW w:w="0" w:type="auto"/>
            <w:noWrap w:val="0"/>
            <w:vAlign w:val="center"/>
          </w:tcPr>
          <w:p w14:paraId="21C77EA7">
            <w:r>
              <w:rPr>
                <w:rStyle w:val="10"/>
                <w:rFonts w:hint="eastAsia"/>
              </w:rPr>
              <w:t>毒性及其标识：</w:t>
            </w:r>
            <w:r>
              <w:rPr>
                <w:rFonts w:hint="eastAsia"/>
              </w:rPr>
              <w:t xml:space="preserve"> </w:t>
            </w:r>
            <w:r>
              <w:rPr>
                <w:lang/>
              </w:rPr>
              <w:drawing>
                <wp:inline distT="0" distB="0" distL="114300" distR="114300">
                  <wp:extent cx="476250" cy="323850"/>
                  <wp:effectExtent l="0" t="0" r="0" b="0"/>
                  <wp:docPr id="87" name="图片 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D95BFE">
        <w:tblPrEx>
          <w:tblCellMar>
            <w:top w:w="0" w:type="dxa"/>
            <w:left w:w="0" w:type="dxa"/>
            <w:bottom w:w="0" w:type="dxa"/>
            <w:right w:w="0" w:type="dxa"/>
          </w:tblCellMar>
        </w:tblPrEx>
        <w:trPr>
          <w:wBefore w:w="0" w:type="auto"/>
          <w:tblCellSpacing w:w="0" w:type="dxa"/>
        </w:trPr>
        <w:tc>
          <w:tcPr>
            <w:tcW w:w="0" w:type="auto"/>
            <w:noWrap w:val="0"/>
            <w:vAlign w:val="center"/>
          </w:tcPr>
          <w:p w14:paraId="4D460D73">
            <w:r>
              <w:rPr>
                <w:rStyle w:val="10"/>
                <w:rFonts w:hint="eastAsia"/>
              </w:rPr>
              <w:t>总有效成分含量：</w:t>
            </w:r>
            <w:r>
              <w:rPr>
                <w:rFonts w:hint="eastAsia"/>
              </w:rPr>
              <w:t>240克/升</w:t>
            </w:r>
          </w:p>
        </w:tc>
      </w:tr>
      <w:tr w14:paraId="11BCB216">
        <w:tblPrEx>
          <w:tblCellMar>
            <w:top w:w="0" w:type="dxa"/>
            <w:left w:w="0" w:type="dxa"/>
            <w:bottom w:w="0" w:type="dxa"/>
            <w:right w:w="0" w:type="dxa"/>
          </w:tblCellMar>
        </w:tblPrEx>
        <w:trPr>
          <w:wBefore w:w="0" w:type="auto"/>
          <w:tblCellSpacing w:w="0" w:type="dxa"/>
        </w:trPr>
        <w:tc>
          <w:tcPr>
            <w:tcW w:w="0" w:type="auto"/>
            <w:noWrap w:val="0"/>
            <w:vAlign w:val="center"/>
          </w:tcPr>
          <w:p w14:paraId="59249671">
            <w:r>
              <w:rPr>
                <w:rFonts w:hint="eastAsia"/>
              </w:rPr>
              <w:t xml:space="preserve">有效成分及其含量： </w:t>
            </w:r>
          </w:p>
          <w:p w14:paraId="14331DCD">
            <w:r>
              <w:rPr>
                <w:rFonts w:hint="eastAsia"/>
              </w:rPr>
              <w:t xml:space="preserve">    </w:t>
            </w:r>
          </w:p>
        </w:tc>
      </w:tr>
      <w:tr w14:paraId="092FB6D8">
        <w:tblPrEx>
          <w:tblCellMar>
            <w:top w:w="0" w:type="dxa"/>
            <w:left w:w="0" w:type="dxa"/>
            <w:bottom w:w="0" w:type="dxa"/>
            <w:right w:w="0" w:type="dxa"/>
          </w:tblCellMar>
        </w:tblPrEx>
        <w:trPr>
          <w:wBefore w:w="0" w:type="auto"/>
          <w:tblCellSpacing w:w="0" w:type="dxa"/>
        </w:trPr>
        <w:tc>
          <w:tcPr>
            <w:tcW w:w="0" w:type="auto"/>
            <w:noWrap w:val="0"/>
            <w:vAlign w:val="center"/>
          </w:tcPr>
          <w:p w14:paraId="376674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5C98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1D5E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8F0D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3C837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A93741">
                  <w:r>
                    <w:rPr>
                      <w:rStyle w:val="11"/>
                      <w:rFonts w:hint="eastAsia"/>
                    </w:rPr>
                    <w:t>施用方式</w:t>
                  </w:r>
                </w:p>
              </w:tc>
            </w:tr>
          </w:tbl>
          <w:p w14:paraId="3D82F862">
            <w:pPr>
              <w:rPr>
                <w:rFonts w:ascii="Times New Roman" w:hAnsi="Times New Roman" w:cs="Times New Roman"/>
                <w:sz w:val="20"/>
                <w:szCs w:val="20"/>
              </w:rPr>
            </w:pPr>
          </w:p>
        </w:tc>
      </w:tr>
      <w:tr w14:paraId="301E0C08">
        <w:tblPrEx>
          <w:tblCellMar>
            <w:top w:w="0" w:type="dxa"/>
            <w:left w:w="0" w:type="dxa"/>
            <w:bottom w:w="0" w:type="dxa"/>
            <w:right w:w="0" w:type="dxa"/>
          </w:tblCellMar>
        </w:tblPrEx>
        <w:trPr>
          <w:wBefore w:w="0" w:type="auto"/>
          <w:tblCellSpacing w:w="0" w:type="dxa"/>
        </w:trPr>
        <w:tc>
          <w:tcPr>
            <w:tcW w:w="0" w:type="auto"/>
            <w:noWrap w:val="0"/>
            <w:vAlign w:val="center"/>
          </w:tcPr>
          <w:p w14:paraId="19BD2F01">
            <w:r>
              <w:rPr>
                <w:rStyle w:val="10"/>
                <w:rFonts w:hint="eastAsia"/>
              </w:rPr>
              <w:t>使用技术要求:</w:t>
            </w:r>
            <w:r>
              <w:rPr>
                <w:rFonts w:hint="eastAsia"/>
              </w:rPr>
              <w:br w:type="textWrapping"/>
            </w:r>
          </w:p>
        </w:tc>
      </w:tr>
      <w:tr w14:paraId="325929D7">
        <w:tblPrEx>
          <w:tblCellMar>
            <w:top w:w="0" w:type="dxa"/>
            <w:left w:w="0" w:type="dxa"/>
            <w:bottom w:w="0" w:type="dxa"/>
            <w:right w:w="0" w:type="dxa"/>
          </w:tblCellMar>
        </w:tblPrEx>
        <w:trPr>
          <w:wBefore w:w="0" w:type="auto"/>
          <w:tblCellSpacing w:w="0" w:type="dxa"/>
        </w:trPr>
        <w:tc>
          <w:tcPr>
            <w:tcW w:w="0" w:type="auto"/>
            <w:noWrap w:val="0"/>
            <w:vAlign w:val="center"/>
          </w:tcPr>
          <w:p w14:paraId="6E571D9C">
            <w:r>
              <w:rPr>
                <w:rStyle w:val="10"/>
                <w:rFonts w:hint="eastAsia"/>
              </w:rPr>
              <w:t>产品性能:</w:t>
            </w:r>
          </w:p>
        </w:tc>
      </w:tr>
      <w:tr w14:paraId="36BB5867">
        <w:tblPrEx>
          <w:tblCellMar>
            <w:top w:w="0" w:type="dxa"/>
            <w:left w:w="0" w:type="dxa"/>
            <w:bottom w:w="0" w:type="dxa"/>
            <w:right w:w="0" w:type="dxa"/>
          </w:tblCellMar>
        </w:tblPrEx>
        <w:trPr>
          <w:wBefore w:w="0" w:type="auto"/>
          <w:tblCellSpacing w:w="0" w:type="dxa"/>
        </w:trPr>
        <w:tc>
          <w:tcPr>
            <w:tcW w:w="0" w:type="auto"/>
            <w:noWrap w:val="0"/>
            <w:vAlign w:val="center"/>
          </w:tcPr>
          <w:p w14:paraId="72EC4864">
            <w:r>
              <w:rPr>
                <w:rStyle w:val="10"/>
                <w:rFonts w:hint="eastAsia"/>
              </w:rPr>
              <w:t>注意事项：</w:t>
            </w:r>
          </w:p>
        </w:tc>
      </w:tr>
      <w:tr w14:paraId="24543C2D">
        <w:tblPrEx>
          <w:tblCellMar>
            <w:top w:w="0" w:type="dxa"/>
            <w:left w:w="0" w:type="dxa"/>
            <w:bottom w:w="0" w:type="dxa"/>
            <w:right w:w="0" w:type="dxa"/>
          </w:tblCellMar>
        </w:tblPrEx>
        <w:trPr>
          <w:wBefore w:w="0" w:type="auto"/>
          <w:tblCellSpacing w:w="0" w:type="dxa"/>
        </w:trPr>
        <w:tc>
          <w:tcPr>
            <w:tcW w:w="0" w:type="auto"/>
            <w:noWrap w:val="0"/>
            <w:vAlign w:val="center"/>
          </w:tcPr>
          <w:p w14:paraId="00D74FA4">
            <w:r>
              <w:rPr>
                <w:rStyle w:val="10"/>
                <w:rFonts w:hint="eastAsia"/>
              </w:rPr>
              <w:t>中毒急救措施：</w:t>
            </w:r>
          </w:p>
        </w:tc>
      </w:tr>
      <w:tr w14:paraId="0EE241CA">
        <w:tblPrEx>
          <w:tblCellMar>
            <w:top w:w="0" w:type="dxa"/>
            <w:left w:w="0" w:type="dxa"/>
            <w:bottom w:w="0" w:type="dxa"/>
            <w:right w:w="0" w:type="dxa"/>
          </w:tblCellMar>
        </w:tblPrEx>
        <w:trPr>
          <w:wBefore w:w="0" w:type="auto"/>
          <w:tblCellSpacing w:w="0" w:type="dxa"/>
        </w:trPr>
        <w:tc>
          <w:tcPr>
            <w:tcW w:w="0" w:type="auto"/>
            <w:noWrap w:val="0"/>
            <w:vAlign w:val="center"/>
          </w:tcPr>
          <w:p w14:paraId="3CC6CC56">
            <w:r>
              <w:rPr>
                <w:rStyle w:val="10"/>
                <w:rFonts w:hint="eastAsia"/>
              </w:rPr>
              <w:t>储存和运输方法：</w:t>
            </w:r>
          </w:p>
        </w:tc>
      </w:tr>
      <w:tr w14:paraId="5929F3D2">
        <w:tblPrEx>
          <w:tblCellMar>
            <w:top w:w="0" w:type="dxa"/>
            <w:left w:w="0" w:type="dxa"/>
            <w:bottom w:w="0" w:type="dxa"/>
            <w:right w:w="0" w:type="dxa"/>
          </w:tblCellMar>
        </w:tblPrEx>
        <w:trPr>
          <w:wBefore w:w="0" w:type="auto"/>
          <w:tblCellSpacing w:w="0" w:type="dxa"/>
        </w:trPr>
        <w:tc>
          <w:tcPr>
            <w:tcW w:w="0" w:type="auto"/>
            <w:noWrap w:val="0"/>
            <w:vAlign w:val="center"/>
          </w:tcPr>
          <w:p w14:paraId="4DB1C59D">
            <w:r>
              <w:rPr>
                <w:rStyle w:val="10"/>
                <w:rFonts w:hint="eastAsia"/>
              </w:rPr>
              <w:t>质量保证期：</w:t>
            </w:r>
          </w:p>
        </w:tc>
      </w:tr>
      <w:tr w14:paraId="0DD7A102">
        <w:tblPrEx>
          <w:tblCellMar>
            <w:top w:w="0" w:type="dxa"/>
            <w:left w:w="0" w:type="dxa"/>
            <w:bottom w:w="0" w:type="dxa"/>
            <w:right w:w="0" w:type="dxa"/>
          </w:tblCellMar>
        </w:tblPrEx>
        <w:trPr>
          <w:wBefore w:w="0" w:type="auto"/>
          <w:tblCellSpacing w:w="0" w:type="dxa"/>
        </w:trPr>
        <w:tc>
          <w:tcPr>
            <w:tcW w:w="0" w:type="auto"/>
            <w:noWrap w:val="0"/>
            <w:vAlign w:val="center"/>
          </w:tcPr>
          <w:p w14:paraId="2AE0977D">
            <w:r>
              <w:rPr>
                <w:rStyle w:val="10"/>
                <w:rFonts w:hint="eastAsia"/>
              </w:rPr>
              <w:t>备注：</w:t>
            </w:r>
          </w:p>
        </w:tc>
      </w:tr>
    </w:tbl>
    <w:p w14:paraId="4CD2CA1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A06FDE">
        <w:tblPrEx>
          <w:tblCellMar>
            <w:top w:w="0" w:type="dxa"/>
            <w:left w:w="0" w:type="dxa"/>
            <w:bottom w:w="0" w:type="dxa"/>
            <w:right w:w="0" w:type="dxa"/>
          </w:tblCellMar>
        </w:tblPrEx>
        <w:trPr>
          <w:wBefore w:w="0" w:type="auto"/>
          <w:tblCellSpacing w:w="0" w:type="dxa"/>
        </w:trPr>
        <w:tc>
          <w:tcPr>
            <w:tcW w:w="0" w:type="auto"/>
            <w:noWrap w:val="0"/>
            <w:vAlign w:val="center"/>
          </w:tcPr>
          <w:p w14:paraId="47D0FD61">
            <w:r>
              <w:rPr>
                <w:rStyle w:val="10"/>
                <w:rFonts w:hint="eastAsia"/>
              </w:rPr>
              <w:t>登记证号：</w:t>
            </w:r>
            <w:r>
              <w:rPr>
                <w:rFonts w:hint="eastAsia"/>
              </w:rPr>
              <w:t>PD20212534</w:t>
            </w:r>
          </w:p>
        </w:tc>
      </w:tr>
      <w:tr w14:paraId="4ECF6157">
        <w:tblPrEx>
          <w:tblCellMar>
            <w:top w:w="0" w:type="dxa"/>
            <w:left w:w="0" w:type="dxa"/>
            <w:bottom w:w="0" w:type="dxa"/>
            <w:right w:w="0" w:type="dxa"/>
          </w:tblCellMar>
        </w:tblPrEx>
        <w:trPr>
          <w:wBefore w:w="0" w:type="auto"/>
          <w:tblCellSpacing w:w="0" w:type="dxa"/>
        </w:trPr>
        <w:tc>
          <w:tcPr>
            <w:tcW w:w="0" w:type="auto"/>
            <w:noWrap w:val="0"/>
            <w:vAlign w:val="center"/>
          </w:tcPr>
          <w:p w14:paraId="4F8C8E99">
            <w:r>
              <w:rPr>
                <w:rStyle w:val="10"/>
                <w:rFonts w:hint="eastAsia"/>
              </w:rPr>
              <w:t>登记证持有人：</w:t>
            </w:r>
            <w:r>
              <w:rPr>
                <w:rFonts w:hint="eastAsia"/>
              </w:rPr>
              <w:t>山东奥坤作物科学股份有限公司</w:t>
            </w:r>
          </w:p>
        </w:tc>
      </w:tr>
      <w:tr w14:paraId="775AF961">
        <w:tblPrEx>
          <w:tblCellMar>
            <w:top w:w="0" w:type="dxa"/>
            <w:left w:w="0" w:type="dxa"/>
            <w:bottom w:w="0" w:type="dxa"/>
            <w:right w:w="0" w:type="dxa"/>
          </w:tblCellMar>
        </w:tblPrEx>
        <w:trPr>
          <w:wBefore w:w="0" w:type="auto"/>
          <w:tblCellSpacing w:w="0" w:type="dxa"/>
        </w:trPr>
        <w:tc>
          <w:tcPr>
            <w:tcW w:w="0" w:type="auto"/>
            <w:noWrap w:val="0"/>
            <w:vAlign w:val="center"/>
          </w:tcPr>
          <w:p w14:paraId="78266789">
            <w:r>
              <w:rPr>
                <w:rStyle w:val="10"/>
                <w:rFonts w:hint="eastAsia"/>
              </w:rPr>
              <w:t>农药名称：</w:t>
            </w:r>
            <w:r>
              <w:rPr>
                <w:rFonts w:hint="eastAsia"/>
              </w:rPr>
              <w:t>三氯吡氧乙酸丁氧基乙酯</w:t>
            </w:r>
          </w:p>
        </w:tc>
      </w:tr>
      <w:tr w14:paraId="435FF139">
        <w:tblPrEx>
          <w:tblCellMar>
            <w:top w:w="0" w:type="dxa"/>
            <w:left w:w="0" w:type="dxa"/>
            <w:bottom w:w="0" w:type="dxa"/>
            <w:right w:w="0" w:type="dxa"/>
          </w:tblCellMar>
        </w:tblPrEx>
        <w:trPr>
          <w:wBefore w:w="0" w:type="auto"/>
          <w:tblCellSpacing w:w="0" w:type="dxa"/>
        </w:trPr>
        <w:tc>
          <w:tcPr>
            <w:tcW w:w="0" w:type="auto"/>
            <w:noWrap w:val="0"/>
            <w:vAlign w:val="center"/>
          </w:tcPr>
          <w:p w14:paraId="0B3A5CE6">
            <w:r>
              <w:rPr>
                <w:rStyle w:val="10"/>
                <w:rFonts w:hint="eastAsia"/>
              </w:rPr>
              <w:t>剂型：</w:t>
            </w:r>
            <w:r>
              <w:rPr>
                <w:rFonts w:hint="eastAsia"/>
              </w:rPr>
              <w:t>乳油</w:t>
            </w:r>
          </w:p>
        </w:tc>
      </w:tr>
      <w:tr w14:paraId="1353302F">
        <w:tblPrEx>
          <w:tblCellMar>
            <w:top w:w="0" w:type="dxa"/>
            <w:left w:w="0" w:type="dxa"/>
            <w:bottom w:w="0" w:type="dxa"/>
            <w:right w:w="0" w:type="dxa"/>
          </w:tblCellMar>
        </w:tblPrEx>
        <w:trPr>
          <w:wBefore w:w="0" w:type="auto"/>
          <w:tblCellSpacing w:w="0" w:type="dxa"/>
        </w:trPr>
        <w:tc>
          <w:tcPr>
            <w:tcW w:w="0" w:type="auto"/>
            <w:noWrap w:val="0"/>
            <w:vAlign w:val="center"/>
          </w:tcPr>
          <w:p w14:paraId="67E2A069">
            <w:r>
              <w:rPr>
                <w:rStyle w:val="10"/>
                <w:rFonts w:hint="eastAsia"/>
              </w:rPr>
              <w:t>毒性及其标识：</w:t>
            </w:r>
            <w:r>
              <w:rPr>
                <w:rFonts w:hint="eastAsia"/>
              </w:rPr>
              <w:t xml:space="preserve"> </w:t>
            </w:r>
            <w:r>
              <w:rPr>
                <w:lang/>
              </w:rPr>
              <w:drawing>
                <wp:inline distT="0" distB="0" distL="114300" distR="114300">
                  <wp:extent cx="476250" cy="323850"/>
                  <wp:effectExtent l="0" t="0" r="0" b="0"/>
                  <wp:docPr id="88" name="图片 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F7ECFE">
        <w:tblPrEx>
          <w:tblCellMar>
            <w:top w:w="0" w:type="dxa"/>
            <w:left w:w="0" w:type="dxa"/>
            <w:bottom w:w="0" w:type="dxa"/>
            <w:right w:w="0" w:type="dxa"/>
          </w:tblCellMar>
        </w:tblPrEx>
        <w:trPr>
          <w:wBefore w:w="0" w:type="auto"/>
          <w:tblCellSpacing w:w="0" w:type="dxa"/>
        </w:trPr>
        <w:tc>
          <w:tcPr>
            <w:tcW w:w="0" w:type="auto"/>
            <w:noWrap w:val="0"/>
            <w:vAlign w:val="center"/>
          </w:tcPr>
          <w:p w14:paraId="646673C3">
            <w:r>
              <w:rPr>
                <w:rStyle w:val="10"/>
                <w:rFonts w:hint="eastAsia"/>
              </w:rPr>
              <w:t>总有效成分含量：</w:t>
            </w:r>
            <w:r>
              <w:rPr>
                <w:rFonts w:hint="eastAsia"/>
              </w:rPr>
              <w:t>70%</w:t>
            </w:r>
          </w:p>
        </w:tc>
      </w:tr>
      <w:tr w14:paraId="34EE8D3C">
        <w:tblPrEx>
          <w:tblCellMar>
            <w:top w:w="0" w:type="dxa"/>
            <w:left w:w="0" w:type="dxa"/>
            <w:bottom w:w="0" w:type="dxa"/>
            <w:right w:w="0" w:type="dxa"/>
          </w:tblCellMar>
        </w:tblPrEx>
        <w:trPr>
          <w:wBefore w:w="0" w:type="auto"/>
          <w:tblCellSpacing w:w="0" w:type="dxa"/>
        </w:trPr>
        <w:tc>
          <w:tcPr>
            <w:tcW w:w="0" w:type="auto"/>
            <w:noWrap w:val="0"/>
            <w:vAlign w:val="center"/>
          </w:tcPr>
          <w:p w14:paraId="14D01DBE">
            <w:r>
              <w:rPr>
                <w:rFonts w:hint="eastAsia"/>
              </w:rPr>
              <w:t xml:space="preserve">有效成分及其含量： </w:t>
            </w:r>
          </w:p>
          <w:p w14:paraId="41EE94A9">
            <w:r>
              <w:rPr>
                <w:rFonts w:hint="eastAsia"/>
              </w:rPr>
              <w:t xml:space="preserve">    三氯吡氧乙酸丁氧基乙酯70%    </w:t>
            </w:r>
          </w:p>
        </w:tc>
      </w:tr>
      <w:tr w14:paraId="66690B9B">
        <w:tblPrEx>
          <w:tblCellMar>
            <w:top w:w="0" w:type="dxa"/>
            <w:left w:w="0" w:type="dxa"/>
            <w:bottom w:w="0" w:type="dxa"/>
            <w:right w:w="0" w:type="dxa"/>
          </w:tblCellMar>
        </w:tblPrEx>
        <w:trPr>
          <w:wBefore w:w="0" w:type="auto"/>
          <w:tblCellSpacing w:w="0" w:type="dxa"/>
        </w:trPr>
        <w:tc>
          <w:tcPr>
            <w:tcW w:w="0" w:type="auto"/>
            <w:noWrap w:val="0"/>
            <w:vAlign w:val="center"/>
          </w:tcPr>
          <w:p w14:paraId="5DC84D5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DB91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1830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C4D9A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2258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0ACA5E">
                  <w:r>
                    <w:rPr>
                      <w:rStyle w:val="11"/>
                      <w:rFonts w:hint="eastAsia"/>
                    </w:rPr>
                    <w:t>施用方式</w:t>
                  </w:r>
                </w:p>
              </w:tc>
            </w:tr>
            <w:tr w14:paraId="315E18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86CD6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79F19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42E3A3">
                  <w:r>
                    <w:rPr>
                      <w:rStyle w:val="11"/>
                      <w:rFonts w:hint="eastAsia"/>
                    </w:rPr>
                    <w:t>80-240毫升/亩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ACDA5E">
                  <w:r>
                    <w:rPr>
                      <w:rStyle w:val="11"/>
                      <w:rFonts w:hint="eastAsia"/>
                    </w:rPr>
                    <w:t>茎叶喷雾</w:t>
                  </w:r>
                </w:p>
              </w:tc>
            </w:tr>
          </w:tbl>
          <w:p w14:paraId="2E72F3EF">
            <w:pPr>
              <w:rPr>
                <w:rFonts w:ascii="Times New Roman" w:hAnsi="Times New Roman" w:cs="Times New Roman"/>
                <w:sz w:val="20"/>
                <w:szCs w:val="20"/>
              </w:rPr>
            </w:pPr>
          </w:p>
        </w:tc>
      </w:tr>
      <w:tr w14:paraId="6FA1DAC6">
        <w:tblPrEx>
          <w:tblCellMar>
            <w:top w:w="0" w:type="dxa"/>
            <w:left w:w="0" w:type="dxa"/>
            <w:bottom w:w="0" w:type="dxa"/>
            <w:right w:w="0" w:type="dxa"/>
          </w:tblCellMar>
        </w:tblPrEx>
        <w:trPr>
          <w:wBefore w:w="0" w:type="auto"/>
          <w:tblCellSpacing w:w="0" w:type="dxa"/>
        </w:trPr>
        <w:tc>
          <w:tcPr>
            <w:tcW w:w="0" w:type="auto"/>
            <w:noWrap w:val="0"/>
            <w:vAlign w:val="center"/>
          </w:tcPr>
          <w:p w14:paraId="7DE31CB4">
            <w:r>
              <w:rPr>
                <w:rStyle w:val="10"/>
                <w:rFonts w:hint="eastAsia"/>
              </w:rPr>
              <w:t>使用技术要求:</w:t>
            </w:r>
            <w:r>
              <w:rPr>
                <w:rFonts w:hint="eastAsia"/>
              </w:rPr>
              <w:br w:type="textWrapping"/>
            </w:r>
            <w:r>
              <w:rPr>
                <w:rStyle w:val="11"/>
                <w:rFonts w:hint="eastAsia"/>
              </w:rPr>
              <w:t>1.在杂草生长旺盛时期施药， 若杂草数量大且草龄较大，应选用高剂量。 2.大风天或预计6小时内降雨，请勿施药。</w:t>
            </w:r>
          </w:p>
        </w:tc>
      </w:tr>
      <w:tr w14:paraId="6E554BEA">
        <w:tblPrEx>
          <w:tblCellMar>
            <w:top w:w="0" w:type="dxa"/>
            <w:left w:w="0" w:type="dxa"/>
            <w:bottom w:w="0" w:type="dxa"/>
            <w:right w:w="0" w:type="dxa"/>
          </w:tblCellMar>
        </w:tblPrEx>
        <w:trPr>
          <w:wBefore w:w="0" w:type="auto"/>
          <w:tblCellSpacing w:w="0" w:type="dxa"/>
        </w:trPr>
        <w:tc>
          <w:tcPr>
            <w:tcW w:w="0" w:type="auto"/>
            <w:noWrap w:val="0"/>
            <w:vAlign w:val="center"/>
          </w:tcPr>
          <w:p w14:paraId="36BB7A9B">
            <w:r>
              <w:rPr>
                <w:rStyle w:val="10"/>
                <w:rFonts w:hint="eastAsia"/>
              </w:rPr>
              <w:t>产品性能:</w:t>
            </w:r>
            <w:r>
              <w:rPr>
                <w:rFonts w:hint="eastAsia"/>
              </w:rPr>
              <w:br w:type="textWrapping"/>
            </w:r>
            <w:r>
              <w:rPr>
                <w:rStyle w:val="11"/>
                <w:rFonts w:hint="eastAsia"/>
              </w:rPr>
              <w:t>本品是传导型除草剂，它能很快被叶面和根系吸收，并且传导到整株植物。对非耕地杂草、杂灌有较好的防治效果。</w:t>
            </w:r>
          </w:p>
        </w:tc>
      </w:tr>
      <w:tr w14:paraId="420A9CEF">
        <w:tblPrEx>
          <w:tblCellMar>
            <w:top w:w="0" w:type="dxa"/>
            <w:left w:w="0" w:type="dxa"/>
            <w:bottom w:w="0" w:type="dxa"/>
            <w:right w:w="0" w:type="dxa"/>
          </w:tblCellMar>
        </w:tblPrEx>
        <w:trPr>
          <w:wBefore w:w="0" w:type="auto"/>
          <w:tblCellSpacing w:w="0" w:type="dxa"/>
        </w:trPr>
        <w:tc>
          <w:tcPr>
            <w:tcW w:w="0" w:type="auto"/>
            <w:noWrap w:val="0"/>
            <w:vAlign w:val="center"/>
          </w:tcPr>
          <w:p w14:paraId="451A7434">
            <w:r>
              <w:rPr>
                <w:rStyle w:val="10"/>
                <w:rFonts w:hint="eastAsia"/>
              </w:rPr>
              <w:t>注意事项：</w:t>
            </w:r>
            <w:r>
              <w:rPr>
                <w:rFonts w:hint="eastAsia"/>
              </w:rPr>
              <w:br w:type="textWrapping"/>
            </w:r>
            <w:r>
              <w:rPr>
                <w:rStyle w:val="11"/>
                <w:rFonts w:hint="eastAsia"/>
              </w:rPr>
              <w:t>1.施药、倒灌及冲洗施药器械的废水不能排入河流、池塘等水源及其它 场所。 2.不要在雨雾或大风气候条件下施药。不要用此药剂处理作物旁边的垅 沟等区域。防止药剂飘移至非靶标植物。 3.不要施药于作为灌溉水的水渠。操作时避免污染水源，溪流，水渠等。 4.不要施药于那些有可能流入农田水体，以避免引起作物的伤害。 5.施药时应穿戴防护服和手套，避免药液接触皮肤, 眼睛或衣物，避免吸入雾液。施药期间不可吃东西和 饮水。施药后，进食前用清水和肥皂清洗手，脸，身体和衣物。6.禁止在田间道路、田埂、果树行间、休耕地、林场地等农林区域使用。 7. 用后的药瓶/罐立即销毁，废弃物应妥善处理，不可随意丢弃或做他用。 9.避免孕妇和哺乳期的妇女接触。</w:t>
            </w:r>
          </w:p>
        </w:tc>
      </w:tr>
      <w:tr w14:paraId="24547428">
        <w:tblPrEx>
          <w:tblCellMar>
            <w:top w:w="0" w:type="dxa"/>
            <w:left w:w="0" w:type="dxa"/>
            <w:bottom w:w="0" w:type="dxa"/>
            <w:right w:w="0" w:type="dxa"/>
          </w:tblCellMar>
        </w:tblPrEx>
        <w:trPr>
          <w:wBefore w:w="0" w:type="auto"/>
          <w:tblCellSpacing w:w="0" w:type="dxa"/>
        </w:trPr>
        <w:tc>
          <w:tcPr>
            <w:tcW w:w="0" w:type="auto"/>
            <w:noWrap w:val="0"/>
            <w:vAlign w:val="center"/>
          </w:tcPr>
          <w:p w14:paraId="5400242E">
            <w:r>
              <w:rPr>
                <w:rStyle w:val="10"/>
                <w:rFonts w:hint="eastAsia"/>
              </w:rPr>
              <w:t>中毒急救措施：</w:t>
            </w:r>
            <w:r>
              <w:rPr>
                <w:rFonts w:hint="eastAsia"/>
              </w:rPr>
              <w:br w:type="textWrapping"/>
            </w:r>
            <w:r>
              <w:rPr>
                <w:rStyle w:val="11"/>
                <w:rFonts w:hint="eastAsia"/>
              </w:rPr>
              <w:t>1.如溅入眼睛：清水彻底冲洗至少15分钟。若症状持续，就医。皮肤接 触后用肥皂水和清水彻底冲洗皮肤。不慎吸入，转移至空气清新处。 2.若误服，立即带标签就医诊治。 3.尚无特效解毒剂。及时就医，对症治疗。</w:t>
            </w:r>
          </w:p>
        </w:tc>
      </w:tr>
      <w:tr w14:paraId="0EF97B69">
        <w:tblPrEx>
          <w:tblCellMar>
            <w:top w:w="0" w:type="dxa"/>
            <w:left w:w="0" w:type="dxa"/>
            <w:bottom w:w="0" w:type="dxa"/>
            <w:right w:w="0" w:type="dxa"/>
          </w:tblCellMar>
        </w:tblPrEx>
        <w:trPr>
          <w:wBefore w:w="0" w:type="auto"/>
          <w:tblCellSpacing w:w="0" w:type="dxa"/>
        </w:trPr>
        <w:tc>
          <w:tcPr>
            <w:tcW w:w="0" w:type="auto"/>
            <w:noWrap w:val="0"/>
            <w:vAlign w:val="center"/>
          </w:tcPr>
          <w:p w14:paraId="7915E001">
            <w:r>
              <w:rPr>
                <w:rStyle w:val="10"/>
                <w:rFonts w:hint="eastAsia"/>
              </w:rPr>
              <w:t>储存和运输方法：</w:t>
            </w:r>
            <w:r>
              <w:rPr>
                <w:rFonts w:hint="eastAsia"/>
              </w:rPr>
              <w:br w:type="textWrapping"/>
            </w:r>
            <w:r>
              <w:rPr>
                <w:rStyle w:val="11"/>
                <w:rFonts w:hint="eastAsia"/>
              </w:rPr>
              <w:t>1.本品为易燃液体。应贮存在干燥、阴凉、通风、防雨处,防太阳直射。保持容器密封。 2.置于儿童、无关人员触及不到之处，远离火源和热源，加锁贮存，不 能与食品，饮料、粮食、饲料等贮存和运输。</w:t>
            </w:r>
          </w:p>
        </w:tc>
      </w:tr>
      <w:tr w14:paraId="5B4B2936">
        <w:tblPrEx>
          <w:tblCellMar>
            <w:top w:w="0" w:type="dxa"/>
            <w:left w:w="0" w:type="dxa"/>
            <w:bottom w:w="0" w:type="dxa"/>
            <w:right w:w="0" w:type="dxa"/>
          </w:tblCellMar>
        </w:tblPrEx>
        <w:trPr>
          <w:wBefore w:w="0" w:type="auto"/>
          <w:tblCellSpacing w:w="0" w:type="dxa"/>
        </w:trPr>
        <w:tc>
          <w:tcPr>
            <w:tcW w:w="0" w:type="auto"/>
            <w:noWrap w:val="0"/>
            <w:vAlign w:val="center"/>
          </w:tcPr>
          <w:p w14:paraId="4A372399">
            <w:r>
              <w:rPr>
                <w:rStyle w:val="10"/>
                <w:rFonts w:hint="eastAsia"/>
              </w:rPr>
              <w:t>质量保证期：</w:t>
            </w:r>
            <w:r>
              <w:rPr>
                <w:rStyle w:val="11"/>
                <w:rFonts w:hint="eastAsia"/>
              </w:rPr>
              <w:t>2年</w:t>
            </w:r>
          </w:p>
        </w:tc>
      </w:tr>
      <w:tr w14:paraId="0515E220">
        <w:tblPrEx>
          <w:tblCellMar>
            <w:top w:w="0" w:type="dxa"/>
            <w:left w:w="0" w:type="dxa"/>
            <w:bottom w:w="0" w:type="dxa"/>
            <w:right w:w="0" w:type="dxa"/>
          </w:tblCellMar>
        </w:tblPrEx>
        <w:trPr>
          <w:wBefore w:w="0" w:type="auto"/>
          <w:tblCellSpacing w:w="0" w:type="dxa"/>
        </w:trPr>
        <w:tc>
          <w:tcPr>
            <w:tcW w:w="0" w:type="auto"/>
            <w:noWrap w:val="0"/>
            <w:vAlign w:val="center"/>
          </w:tcPr>
          <w:p w14:paraId="52079EF0">
            <w:r>
              <w:rPr>
                <w:rStyle w:val="10"/>
                <w:rFonts w:hint="eastAsia"/>
              </w:rPr>
              <w:t>备注：</w:t>
            </w:r>
            <w:r>
              <w:rPr>
                <w:rFonts w:hint="eastAsia"/>
              </w:rPr>
              <w:br w:type="textWrapping"/>
            </w:r>
            <w:r>
              <w:rPr>
                <w:rStyle w:val="11"/>
                <w:rFonts w:hint="eastAsia"/>
              </w:rPr>
              <w:t>质量浓度834克/升。</w:t>
            </w:r>
          </w:p>
        </w:tc>
      </w:tr>
    </w:tbl>
    <w:p w14:paraId="7330A31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32D376">
        <w:tblPrEx>
          <w:tblCellMar>
            <w:top w:w="0" w:type="dxa"/>
            <w:left w:w="0" w:type="dxa"/>
            <w:bottom w:w="0" w:type="dxa"/>
            <w:right w:w="0" w:type="dxa"/>
          </w:tblCellMar>
        </w:tblPrEx>
        <w:trPr>
          <w:wBefore w:w="0" w:type="auto"/>
          <w:tblCellSpacing w:w="0" w:type="dxa"/>
        </w:trPr>
        <w:tc>
          <w:tcPr>
            <w:tcW w:w="0" w:type="auto"/>
            <w:noWrap w:val="0"/>
            <w:vAlign w:val="center"/>
          </w:tcPr>
          <w:p w14:paraId="740D4301">
            <w:r>
              <w:rPr>
                <w:rStyle w:val="10"/>
                <w:rFonts w:hint="eastAsia"/>
              </w:rPr>
              <w:t>登记证号：</w:t>
            </w:r>
            <w:r>
              <w:rPr>
                <w:rFonts w:hint="eastAsia"/>
              </w:rPr>
              <w:t>EX20210081</w:t>
            </w:r>
          </w:p>
        </w:tc>
      </w:tr>
      <w:tr w14:paraId="6D0AB405">
        <w:tblPrEx>
          <w:tblCellMar>
            <w:top w:w="0" w:type="dxa"/>
            <w:left w:w="0" w:type="dxa"/>
            <w:bottom w:w="0" w:type="dxa"/>
            <w:right w:w="0" w:type="dxa"/>
          </w:tblCellMar>
        </w:tblPrEx>
        <w:trPr>
          <w:wBefore w:w="0" w:type="auto"/>
          <w:tblCellSpacing w:w="0" w:type="dxa"/>
        </w:trPr>
        <w:tc>
          <w:tcPr>
            <w:tcW w:w="0" w:type="auto"/>
            <w:noWrap w:val="0"/>
            <w:vAlign w:val="center"/>
          </w:tcPr>
          <w:p w14:paraId="01A0685A">
            <w:r>
              <w:rPr>
                <w:rStyle w:val="10"/>
                <w:rFonts w:hint="eastAsia"/>
              </w:rPr>
              <w:t>登记证持有人：</w:t>
            </w:r>
            <w:r>
              <w:rPr>
                <w:rFonts w:hint="eastAsia"/>
              </w:rPr>
              <w:t>江苏省南通江山农药化工股份有限公司</w:t>
            </w:r>
          </w:p>
        </w:tc>
      </w:tr>
      <w:tr w14:paraId="0C260AB3">
        <w:tblPrEx>
          <w:tblCellMar>
            <w:top w:w="0" w:type="dxa"/>
            <w:left w:w="0" w:type="dxa"/>
            <w:bottom w:w="0" w:type="dxa"/>
            <w:right w:w="0" w:type="dxa"/>
          </w:tblCellMar>
        </w:tblPrEx>
        <w:trPr>
          <w:wBefore w:w="0" w:type="auto"/>
          <w:tblCellSpacing w:w="0" w:type="dxa"/>
        </w:trPr>
        <w:tc>
          <w:tcPr>
            <w:tcW w:w="0" w:type="auto"/>
            <w:noWrap w:val="0"/>
            <w:vAlign w:val="center"/>
          </w:tcPr>
          <w:p w14:paraId="761F96C9">
            <w:r>
              <w:rPr>
                <w:rStyle w:val="10"/>
                <w:rFonts w:hint="eastAsia"/>
              </w:rPr>
              <w:t>农药名称：</w:t>
            </w:r>
            <w:r>
              <w:rPr>
                <w:rFonts w:hint="eastAsia"/>
              </w:rPr>
              <w:t>草甘膦异丙胺盐</w:t>
            </w:r>
          </w:p>
        </w:tc>
      </w:tr>
      <w:tr w14:paraId="3B03CCC8">
        <w:tblPrEx>
          <w:tblCellMar>
            <w:top w:w="0" w:type="dxa"/>
            <w:left w:w="0" w:type="dxa"/>
            <w:bottom w:w="0" w:type="dxa"/>
            <w:right w:w="0" w:type="dxa"/>
          </w:tblCellMar>
        </w:tblPrEx>
        <w:trPr>
          <w:wBefore w:w="0" w:type="auto"/>
          <w:tblCellSpacing w:w="0" w:type="dxa"/>
        </w:trPr>
        <w:tc>
          <w:tcPr>
            <w:tcW w:w="0" w:type="auto"/>
            <w:noWrap w:val="0"/>
            <w:vAlign w:val="center"/>
          </w:tcPr>
          <w:p w14:paraId="0F2ACF2D">
            <w:r>
              <w:rPr>
                <w:rStyle w:val="10"/>
                <w:rFonts w:hint="eastAsia"/>
              </w:rPr>
              <w:t>剂型：</w:t>
            </w:r>
            <w:r>
              <w:rPr>
                <w:rFonts w:hint="eastAsia"/>
              </w:rPr>
              <w:t>可溶液剂</w:t>
            </w:r>
          </w:p>
        </w:tc>
      </w:tr>
      <w:tr w14:paraId="37960602">
        <w:tblPrEx>
          <w:tblCellMar>
            <w:top w:w="0" w:type="dxa"/>
            <w:left w:w="0" w:type="dxa"/>
            <w:bottom w:w="0" w:type="dxa"/>
            <w:right w:w="0" w:type="dxa"/>
          </w:tblCellMar>
        </w:tblPrEx>
        <w:trPr>
          <w:wBefore w:w="0" w:type="auto"/>
          <w:tblCellSpacing w:w="0" w:type="dxa"/>
        </w:trPr>
        <w:tc>
          <w:tcPr>
            <w:tcW w:w="0" w:type="auto"/>
            <w:noWrap w:val="0"/>
            <w:vAlign w:val="center"/>
          </w:tcPr>
          <w:p w14:paraId="0431421F">
            <w:r>
              <w:rPr>
                <w:rStyle w:val="10"/>
                <w:rFonts w:hint="eastAsia"/>
              </w:rPr>
              <w:t>毒性及其标识：</w:t>
            </w:r>
            <w:r>
              <w:rPr>
                <w:rFonts w:hint="eastAsia"/>
              </w:rPr>
              <w:t xml:space="preserve"> </w:t>
            </w:r>
            <w:r>
              <w:rPr>
                <w:lang/>
              </w:rPr>
              <w:drawing>
                <wp:inline distT="0" distB="0" distL="114300" distR="114300">
                  <wp:extent cx="476250" cy="323850"/>
                  <wp:effectExtent l="0" t="0" r="0" b="0"/>
                  <wp:docPr id="89" name="图片 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37B097">
        <w:tblPrEx>
          <w:tblCellMar>
            <w:top w:w="0" w:type="dxa"/>
            <w:left w:w="0" w:type="dxa"/>
            <w:bottom w:w="0" w:type="dxa"/>
            <w:right w:w="0" w:type="dxa"/>
          </w:tblCellMar>
        </w:tblPrEx>
        <w:trPr>
          <w:wBefore w:w="0" w:type="auto"/>
          <w:tblCellSpacing w:w="0" w:type="dxa"/>
        </w:trPr>
        <w:tc>
          <w:tcPr>
            <w:tcW w:w="0" w:type="auto"/>
            <w:noWrap w:val="0"/>
            <w:vAlign w:val="center"/>
          </w:tcPr>
          <w:p w14:paraId="334978DB">
            <w:r>
              <w:rPr>
                <w:rStyle w:val="10"/>
                <w:rFonts w:hint="eastAsia"/>
              </w:rPr>
              <w:t>总有效成分含量：</w:t>
            </w:r>
            <w:r>
              <w:rPr>
                <w:rFonts w:hint="eastAsia"/>
              </w:rPr>
              <w:t>450克/升</w:t>
            </w:r>
          </w:p>
        </w:tc>
      </w:tr>
      <w:tr w14:paraId="230502B4">
        <w:tblPrEx>
          <w:tblCellMar>
            <w:top w:w="0" w:type="dxa"/>
            <w:left w:w="0" w:type="dxa"/>
            <w:bottom w:w="0" w:type="dxa"/>
            <w:right w:w="0" w:type="dxa"/>
          </w:tblCellMar>
        </w:tblPrEx>
        <w:trPr>
          <w:wBefore w:w="0" w:type="auto"/>
          <w:tblCellSpacing w:w="0" w:type="dxa"/>
        </w:trPr>
        <w:tc>
          <w:tcPr>
            <w:tcW w:w="0" w:type="auto"/>
            <w:noWrap w:val="0"/>
            <w:vAlign w:val="center"/>
          </w:tcPr>
          <w:p w14:paraId="5796A75C">
            <w:r>
              <w:rPr>
                <w:rFonts w:hint="eastAsia"/>
              </w:rPr>
              <w:t xml:space="preserve">有效成分及其含量： </w:t>
            </w:r>
          </w:p>
          <w:p w14:paraId="4C96D488">
            <w:r>
              <w:rPr>
                <w:rFonts w:hint="eastAsia"/>
              </w:rPr>
              <w:t xml:space="preserve">    草甘膦450克/升    </w:t>
            </w:r>
          </w:p>
        </w:tc>
      </w:tr>
      <w:tr w14:paraId="679EA18D">
        <w:tblPrEx>
          <w:tblCellMar>
            <w:top w:w="0" w:type="dxa"/>
            <w:left w:w="0" w:type="dxa"/>
            <w:bottom w:w="0" w:type="dxa"/>
            <w:right w:w="0" w:type="dxa"/>
          </w:tblCellMar>
        </w:tblPrEx>
        <w:trPr>
          <w:wBefore w:w="0" w:type="auto"/>
          <w:tblCellSpacing w:w="0" w:type="dxa"/>
        </w:trPr>
        <w:tc>
          <w:tcPr>
            <w:tcW w:w="0" w:type="auto"/>
            <w:noWrap w:val="0"/>
            <w:vAlign w:val="center"/>
          </w:tcPr>
          <w:p w14:paraId="5F01E3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F833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2933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3333E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D98CE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E9A256">
                  <w:r>
                    <w:rPr>
                      <w:rStyle w:val="11"/>
                      <w:rFonts w:hint="eastAsia"/>
                    </w:rPr>
                    <w:t>施用方式</w:t>
                  </w:r>
                </w:p>
              </w:tc>
            </w:tr>
          </w:tbl>
          <w:p w14:paraId="2C12782F">
            <w:pPr>
              <w:rPr>
                <w:rFonts w:ascii="Times New Roman" w:hAnsi="Times New Roman" w:cs="Times New Roman"/>
                <w:sz w:val="20"/>
                <w:szCs w:val="20"/>
              </w:rPr>
            </w:pPr>
          </w:p>
        </w:tc>
      </w:tr>
      <w:tr w14:paraId="75192A92">
        <w:tblPrEx>
          <w:tblCellMar>
            <w:top w:w="0" w:type="dxa"/>
            <w:left w:w="0" w:type="dxa"/>
            <w:bottom w:w="0" w:type="dxa"/>
            <w:right w:w="0" w:type="dxa"/>
          </w:tblCellMar>
        </w:tblPrEx>
        <w:trPr>
          <w:wBefore w:w="0" w:type="auto"/>
          <w:tblCellSpacing w:w="0" w:type="dxa"/>
        </w:trPr>
        <w:tc>
          <w:tcPr>
            <w:tcW w:w="0" w:type="auto"/>
            <w:noWrap w:val="0"/>
            <w:vAlign w:val="center"/>
          </w:tcPr>
          <w:p w14:paraId="4A8F489C">
            <w:r>
              <w:rPr>
                <w:rStyle w:val="10"/>
                <w:rFonts w:hint="eastAsia"/>
              </w:rPr>
              <w:t>使用技术要求:</w:t>
            </w:r>
            <w:r>
              <w:rPr>
                <w:rFonts w:hint="eastAsia"/>
              </w:rPr>
              <w:br w:type="textWrapping"/>
            </w:r>
            <w:r>
              <w:rPr>
                <w:rStyle w:val="11"/>
                <w:rFonts w:hint="eastAsia"/>
              </w:rPr>
              <w:t xml:space="preserve">1、本品的适宜施药时期为非耕地杂草生长旺盛期，茎叶喷雾1次； 2、使用时应尽量避免药液飘移，以免对周围的作物造成危害。 </w:t>
            </w:r>
          </w:p>
        </w:tc>
      </w:tr>
      <w:tr w14:paraId="4906D197">
        <w:tblPrEx>
          <w:tblCellMar>
            <w:top w:w="0" w:type="dxa"/>
            <w:left w:w="0" w:type="dxa"/>
            <w:bottom w:w="0" w:type="dxa"/>
            <w:right w:w="0" w:type="dxa"/>
          </w:tblCellMar>
        </w:tblPrEx>
        <w:trPr>
          <w:wBefore w:w="0" w:type="auto"/>
          <w:tblCellSpacing w:w="0" w:type="dxa"/>
        </w:trPr>
        <w:tc>
          <w:tcPr>
            <w:tcW w:w="0" w:type="auto"/>
            <w:noWrap w:val="0"/>
            <w:vAlign w:val="center"/>
          </w:tcPr>
          <w:p w14:paraId="6BD19EE2">
            <w:r>
              <w:rPr>
                <w:rStyle w:val="10"/>
                <w:rFonts w:hint="eastAsia"/>
              </w:rPr>
              <w:t>产品性能:</w:t>
            </w:r>
            <w:r>
              <w:rPr>
                <w:rFonts w:hint="eastAsia"/>
              </w:rPr>
              <w:br w:type="textWrapping"/>
            </w:r>
            <w:r>
              <w:rPr>
                <w:rStyle w:val="11"/>
                <w:rFonts w:hint="eastAsia"/>
              </w:rPr>
              <w:t>本品是非选择性茎叶处理除草剂，接触绿色组织后具有杀伤作用，可被杂草绿色组织吸收，从而使杂草叶绿体失去活性。本品主要用于防除非耕地杂草。</w:t>
            </w:r>
          </w:p>
        </w:tc>
      </w:tr>
      <w:tr w14:paraId="513D9F45">
        <w:tblPrEx>
          <w:tblCellMar>
            <w:top w:w="0" w:type="dxa"/>
            <w:left w:w="0" w:type="dxa"/>
            <w:bottom w:w="0" w:type="dxa"/>
            <w:right w:w="0" w:type="dxa"/>
          </w:tblCellMar>
        </w:tblPrEx>
        <w:trPr>
          <w:wBefore w:w="0" w:type="auto"/>
          <w:tblCellSpacing w:w="0" w:type="dxa"/>
        </w:trPr>
        <w:tc>
          <w:tcPr>
            <w:tcW w:w="0" w:type="auto"/>
            <w:noWrap w:val="0"/>
            <w:vAlign w:val="center"/>
          </w:tcPr>
          <w:p w14:paraId="499177DA">
            <w:r>
              <w:rPr>
                <w:rStyle w:val="10"/>
                <w:rFonts w:hint="eastAsia"/>
              </w:rPr>
              <w:t>注意事项：</w:t>
            </w:r>
            <w:r>
              <w:rPr>
                <w:rFonts w:hint="eastAsia"/>
              </w:rPr>
              <w:br w:type="textWrapping"/>
            </w:r>
            <w:r>
              <w:rPr>
                <w:rStyle w:val="11"/>
                <w:rFonts w:hint="eastAsia"/>
              </w:rPr>
              <w:t xml:space="preserve">1、严格按照规定用药量和方法使用。 2、不可与碱性物质混用。 3、使用本产品时应穿防护服和戴手套，避免吸入药液。施药期间不可吃东西和饮水，施药后应及时洗手和洗脸。 4、用药后包装物及用过的容器应妥善处理，不可做他用，也不可随意丢弃。 5、禁止在河塘等水体中清洗施药器具。 6、蚕室及桑园附近禁用。 7、禁止在捕食性天敌放飞区域施用。 8、孕妇及哺乳期的妇女应避免接触。 </w:t>
            </w:r>
          </w:p>
        </w:tc>
      </w:tr>
      <w:tr w14:paraId="6DB4CA81">
        <w:tblPrEx>
          <w:tblCellMar>
            <w:top w:w="0" w:type="dxa"/>
            <w:left w:w="0" w:type="dxa"/>
            <w:bottom w:w="0" w:type="dxa"/>
            <w:right w:w="0" w:type="dxa"/>
          </w:tblCellMar>
        </w:tblPrEx>
        <w:trPr>
          <w:wBefore w:w="0" w:type="auto"/>
          <w:tblCellSpacing w:w="0" w:type="dxa"/>
        </w:trPr>
        <w:tc>
          <w:tcPr>
            <w:tcW w:w="0" w:type="auto"/>
            <w:noWrap w:val="0"/>
            <w:vAlign w:val="center"/>
          </w:tcPr>
          <w:p w14:paraId="419CC74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本品无特殊解毒剂。对症治疗。</w:t>
            </w:r>
          </w:p>
        </w:tc>
      </w:tr>
      <w:tr w14:paraId="1BFF3198">
        <w:tblPrEx>
          <w:tblCellMar>
            <w:top w:w="0" w:type="dxa"/>
            <w:left w:w="0" w:type="dxa"/>
            <w:bottom w:w="0" w:type="dxa"/>
            <w:right w:w="0" w:type="dxa"/>
          </w:tblCellMar>
        </w:tblPrEx>
        <w:trPr>
          <w:wBefore w:w="0" w:type="auto"/>
          <w:tblCellSpacing w:w="0" w:type="dxa"/>
        </w:trPr>
        <w:tc>
          <w:tcPr>
            <w:tcW w:w="0" w:type="auto"/>
            <w:noWrap w:val="0"/>
            <w:vAlign w:val="center"/>
          </w:tcPr>
          <w:p w14:paraId="472E4440">
            <w:r>
              <w:rPr>
                <w:rStyle w:val="10"/>
                <w:rFonts w:hint="eastAsia"/>
              </w:rPr>
              <w:t>储存和运输方法：</w:t>
            </w:r>
            <w:r>
              <w:rPr>
                <w:rFonts w:hint="eastAsia"/>
              </w:rPr>
              <w:br w:type="textWrapping"/>
            </w:r>
            <w:r>
              <w:rPr>
                <w:rStyle w:val="11"/>
                <w:rFonts w:hint="eastAsia"/>
              </w:rPr>
              <w:t>应贮存在干燥、阴凉、通风、防雨处，远离火源或热源。置于儿童触及不到之处，并加锁。勿与食品、饮料、饲料等其他商品同贮同运。确保不淋雨、不损坏、不泄漏。装卸过程中要轻搬轻放。</w:t>
            </w:r>
          </w:p>
        </w:tc>
      </w:tr>
      <w:tr w14:paraId="46D73F2F">
        <w:tblPrEx>
          <w:tblCellMar>
            <w:top w:w="0" w:type="dxa"/>
            <w:left w:w="0" w:type="dxa"/>
            <w:bottom w:w="0" w:type="dxa"/>
            <w:right w:w="0" w:type="dxa"/>
          </w:tblCellMar>
        </w:tblPrEx>
        <w:trPr>
          <w:wBefore w:w="0" w:type="auto"/>
          <w:tblCellSpacing w:w="0" w:type="dxa"/>
        </w:trPr>
        <w:tc>
          <w:tcPr>
            <w:tcW w:w="0" w:type="auto"/>
            <w:noWrap w:val="0"/>
            <w:vAlign w:val="center"/>
          </w:tcPr>
          <w:p w14:paraId="7EBEEAE0">
            <w:r>
              <w:rPr>
                <w:rStyle w:val="10"/>
                <w:rFonts w:hint="eastAsia"/>
              </w:rPr>
              <w:t>质量保证期：</w:t>
            </w:r>
            <w:r>
              <w:rPr>
                <w:rStyle w:val="11"/>
                <w:rFonts w:hint="eastAsia"/>
              </w:rPr>
              <w:t>两年</w:t>
            </w:r>
          </w:p>
        </w:tc>
      </w:tr>
      <w:tr w14:paraId="7F1FAF15">
        <w:tblPrEx>
          <w:tblCellMar>
            <w:top w:w="0" w:type="dxa"/>
            <w:left w:w="0" w:type="dxa"/>
            <w:bottom w:w="0" w:type="dxa"/>
            <w:right w:w="0" w:type="dxa"/>
          </w:tblCellMar>
        </w:tblPrEx>
        <w:trPr>
          <w:wBefore w:w="0" w:type="auto"/>
          <w:tblCellSpacing w:w="0" w:type="dxa"/>
        </w:trPr>
        <w:tc>
          <w:tcPr>
            <w:tcW w:w="0" w:type="auto"/>
            <w:noWrap w:val="0"/>
            <w:vAlign w:val="center"/>
          </w:tcPr>
          <w:p w14:paraId="4F5CFBEF">
            <w:r>
              <w:rPr>
                <w:rStyle w:val="10"/>
                <w:rFonts w:hint="eastAsia"/>
              </w:rPr>
              <w:t>备注：</w:t>
            </w:r>
          </w:p>
        </w:tc>
      </w:tr>
    </w:tbl>
    <w:p w14:paraId="7DDD04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3FAEF0">
        <w:tblPrEx>
          <w:tblCellMar>
            <w:top w:w="0" w:type="dxa"/>
            <w:left w:w="0" w:type="dxa"/>
            <w:bottom w:w="0" w:type="dxa"/>
            <w:right w:w="0" w:type="dxa"/>
          </w:tblCellMar>
        </w:tblPrEx>
        <w:trPr>
          <w:wBefore w:w="0" w:type="auto"/>
          <w:tblCellSpacing w:w="0" w:type="dxa"/>
        </w:trPr>
        <w:tc>
          <w:tcPr>
            <w:tcW w:w="0" w:type="auto"/>
            <w:noWrap w:val="0"/>
            <w:vAlign w:val="center"/>
          </w:tcPr>
          <w:p w14:paraId="687BEA2E">
            <w:r>
              <w:rPr>
                <w:rStyle w:val="10"/>
                <w:rFonts w:hint="eastAsia"/>
              </w:rPr>
              <w:t>登记证号：</w:t>
            </w:r>
            <w:r>
              <w:rPr>
                <w:rFonts w:hint="eastAsia"/>
              </w:rPr>
              <w:t>PD20212719</w:t>
            </w:r>
          </w:p>
        </w:tc>
      </w:tr>
      <w:tr w14:paraId="43EE319C">
        <w:tblPrEx>
          <w:tblCellMar>
            <w:top w:w="0" w:type="dxa"/>
            <w:left w:w="0" w:type="dxa"/>
            <w:bottom w:w="0" w:type="dxa"/>
            <w:right w:w="0" w:type="dxa"/>
          </w:tblCellMar>
        </w:tblPrEx>
        <w:trPr>
          <w:wBefore w:w="0" w:type="auto"/>
          <w:tblCellSpacing w:w="0" w:type="dxa"/>
        </w:trPr>
        <w:tc>
          <w:tcPr>
            <w:tcW w:w="0" w:type="auto"/>
            <w:noWrap w:val="0"/>
            <w:vAlign w:val="center"/>
          </w:tcPr>
          <w:p w14:paraId="5F27D4E7">
            <w:r>
              <w:rPr>
                <w:rStyle w:val="10"/>
                <w:rFonts w:hint="eastAsia"/>
              </w:rPr>
              <w:t>登记证持有人：</w:t>
            </w:r>
            <w:r>
              <w:rPr>
                <w:rFonts w:hint="eastAsia"/>
              </w:rPr>
              <w:t>山东金秋园田生物科技有限公司</w:t>
            </w:r>
          </w:p>
        </w:tc>
      </w:tr>
      <w:tr w14:paraId="4288F797">
        <w:tblPrEx>
          <w:tblCellMar>
            <w:top w:w="0" w:type="dxa"/>
            <w:left w:w="0" w:type="dxa"/>
            <w:bottom w:w="0" w:type="dxa"/>
            <w:right w:w="0" w:type="dxa"/>
          </w:tblCellMar>
        </w:tblPrEx>
        <w:trPr>
          <w:wBefore w:w="0" w:type="auto"/>
          <w:tblCellSpacing w:w="0" w:type="dxa"/>
        </w:trPr>
        <w:tc>
          <w:tcPr>
            <w:tcW w:w="0" w:type="auto"/>
            <w:noWrap w:val="0"/>
            <w:vAlign w:val="center"/>
          </w:tcPr>
          <w:p w14:paraId="431C7A67">
            <w:r>
              <w:rPr>
                <w:rStyle w:val="10"/>
                <w:rFonts w:hint="eastAsia"/>
              </w:rPr>
              <w:t>农药名称：</w:t>
            </w:r>
            <w:r>
              <w:rPr>
                <w:rFonts w:hint="eastAsia"/>
              </w:rPr>
              <w:t>精甲·噁霉灵</w:t>
            </w:r>
          </w:p>
        </w:tc>
      </w:tr>
      <w:tr w14:paraId="5C901494">
        <w:tblPrEx>
          <w:tblCellMar>
            <w:top w:w="0" w:type="dxa"/>
            <w:left w:w="0" w:type="dxa"/>
            <w:bottom w:w="0" w:type="dxa"/>
            <w:right w:w="0" w:type="dxa"/>
          </w:tblCellMar>
        </w:tblPrEx>
        <w:trPr>
          <w:wBefore w:w="0" w:type="auto"/>
          <w:tblCellSpacing w:w="0" w:type="dxa"/>
        </w:trPr>
        <w:tc>
          <w:tcPr>
            <w:tcW w:w="0" w:type="auto"/>
            <w:noWrap w:val="0"/>
            <w:vAlign w:val="center"/>
          </w:tcPr>
          <w:p w14:paraId="206C9019">
            <w:r>
              <w:rPr>
                <w:rStyle w:val="10"/>
                <w:rFonts w:hint="eastAsia"/>
              </w:rPr>
              <w:t>剂型：</w:t>
            </w:r>
            <w:r>
              <w:rPr>
                <w:rFonts w:hint="eastAsia"/>
              </w:rPr>
              <w:t>可溶粉剂</w:t>
            </w:r>
          </w:p>
        </w:tc>
      </w:tr>
      <w:tr w14:paraId="3CA10E4E">
        <w:tblPrEx>
          <w:tblCellMar>
            <w:top w:w="0" w:type="dxa"/>
            <w:left w:w="0" w:type="dxa"/>
            <w:bottom w:w="0" w:type="dxa"/>
            <w:right w:w="0" w:type="dxa"/>
          </w:tblCellMar>
        </w:tblPrEx>
        <w:trPr>
          <w:wBefore w:w="0" w:type="auto"/>
          <w:tblCellSpacing w:w="0" w:type="dxa"/>
        </w:trPr>
        <w:tc>
          <w:tcPr>
            <w:tcW w:w="0" w:type="auto"/>
            <w:noWrap w:val="0"/>
            <w:vAlign w:val="center"/>
          </w:tcPr>
          <w:p w14:paraId="61AD6B1D">
            <w:r>
              <w:rPr>
                <w:rStyle w:val="10"/>
                <w:rFonts w:hint="eastAsia"/>
              </w:rPr>
              <w:t>毒性及其标识：</w:t>
            </w:r>
            <w:r>
              <w:rPr>
                <w:rFonts w:hint="eastAsia"/>
              </w:rPr>
              <w:t xml:space="preserve"> </w:t>
            </w:r>
            <w:r>
              <w:rPr>
                <w:lang/>
              </w:rPr>
              <w:drawing>
                <wp:inline distT="0" distB="0" distL="114300" distR="114300">
                  <wp:extent cx="476250" cy="323850"/>
                  <wp:effectExtent l="0" t="0" r="0" b="0"/>
                  <wp:docPr id="90" name="图片 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B3F477">
        <w:tblPrEx>
          <w:tblCellMar>
            <w:top w:w="0" w:type="dxa"/>
            <w:left w:w="0" w:type="dxa"/>
            <w:bottom w:w="0" w:type="dxa"/>
            <w:right w:w="0" w:type="dxa"/>
          </w:tblCellMar>
        </w:tblPrEx>
        <w:trPr>
          <w:wBefore w:w="0" w:type="auto"/>
          <w:tblCellSpacing w:w="0" w:type="dxa"/>
        </w:trPr>
        <w:tc>
          <w:tcPr>
            <w:tcW w:w="0" w:type="auto"/>
            <w:noWrap w:val="0"/>
            <w:vAlign w:val="center"/>
          </w:tcPr>
          <w:p w14:paraId="673DFDC5">
            <w:r>
              <w:rPr>
                <w:rStyle w:val="10"/>
                <w:rFonts w:hint="eastAsia"/>
              </w:rPr>
              <w:t>总有效成分含量：</w:t>
            </w:r>
            <w:r>
              <w:rPr>
                <w:rFonts w:hint="eastAsia"/>
              </w:rPr>
              <w:t>0.3%</w:t>
            </w:r>
          </w:p>
        </w:tc>
      </w:tr>
      <w:tr w14:paraId="2656D11E">
        <w:tblPrEx>
          <w:tblCellMar>
            <w:top w:w="0" w:type="dxa"/>
            <w:left w:w="0" w:type="dxa"/>
            <w:bottom w:w="0" w:type="dxa"/>
            <w:right w:w="0" w:type="dxa"/>
          </w:tblCellMar>
        </w:tblPrEx>
        <w:trPr>
          <w:wBefore w:w="0" w:type="auto"/>
          <w:tblCellSpacing w:w="0" w:type="dxa"/>
        </w:trPr>
        <w:tc>
          <w:tcPr>
            <w:tcW w:w="0" w:type="auto"/>
            <w:noWrap w:val="0"/>
            <w:vAlign w:val="center"/>
          </w:tcPr>
          <w:p w14:paraId="2EE372CF">
            <w:r>
              <w:rPr>
                <w:rFonts w:hint="eastAsia"/>
              </w:rPr>
              <w:t xml:space="preserve">有效成分及其含量： </w:t>
            </w:r>
          </w:p>
          <w:p w14:paraId="52ACEE9B">
            <w:r>
              <w:rPr>
                <w:rFonts w:hint="eastAsia"/>
              </w:rPr>
              <w:t xml:space="preserve">    精甲霜灵0.05%    噁霉灵0.25%    </w:t>
            </w:r>
          </w:p>
        </w:tc>
      </w:tr>
      <w:tr w14:paraId="52937AE0">
        <w:tblPrEx>
          <w:tblCellMar>
            <w:top w:w="0" w:type="dxa"/>
            <w:left w:w="0" w:type="dxa"/>
            <w:bottom w:w="0" w:type="dxa"/>
            <w:right w:w="0" w:type="dxa"/>
          </w:tblCellMar>
        </w:tblPrEx>
        <w:trPr>
          <w:wBefore w:w="0" w:type="auto"/>
          <w:tblCellSpacing w:w="0" w:type="dxa"/>
        </w:trPr>
        <w:tc>
          <w:tcPr>
            <w:tcW w:w="0" w:type="auto"/>
            <w:noWrap w:val="0"/>
            <w:vAlign w:val="center"/>
          </w:tcPr>
          <w:p w14:paraId="0C925B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D2A6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9329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A79B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1E90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CD9C5E">
                  <w:r>
                    <w:rPr>
                      <w:rStyle w:val="11"/>
                      <w:rFonts w:hint="eastAsia"/>
                    </w:rPr>
                    <w:t>施用方式</w:t>
                  </w:r>
                </w:p>
              </w:tc>
            </w:tr>
            <w:tr w14:paraId="45DEAD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BD5F67">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E9E4AC">
                  <w:r>
                    <w:rPr>
                      <w:rStyle w:val="11"/>
                      <w:rFonts w:hint="eastAsia"/>
                    </w:rPr>
                    <w:t>猝倒病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945A7">
                  <w:r>
                    <w:rPr>
                      <w:rStyle w:val="11"/>
                      <w:rFonts w:hint="eastAsia"/>
                    </w:rPr>
                    <w:t>7-9克/平方米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72BCF3">
                  <w:r>
                    <w:rPr>
                      <w:rStyle w:val="11"/>
                      <w:rFonts w:hint="eastAsia"/>
                    </w:rPr>
                    <w:t>冲施</w:t>
                  </w:r>
                </w:p>
              </w:tc>
            </w:tr>
          </w:tbl>
          <w:p w14:paraId="66801313">
            <w:pPr>
              <w:rPr>
                <w:rFonts w:ascii="Times New Roman" w:hAnsi="Times New Roman" w:cs="Times New Roman"/>
                <w:sz w:val="20"/>
                <w:szCs w:val="20"/>
              </w:rPr>
            </w:pPr>
          </w:p>
        </w:tc>
      </w:tr>
      <w:tr w14:paraId="0DC65A8A">
        <w:tblPrEx>
          <w:tblCellMar>
            <w:top w:w="0" w:type="dxa"/>
            <w:left w:w="0" w:type="dxa"/>
            <w:bottom w:w="0" w:type="dxa"/>
            <w:right w:w="0" w:type="dxa"/>
          </w:tblCellMar>
        </w:tblPrEx>
        <w:trPr>
          <w:wBefore w:w="0" w:type="auto"/>
          <w:tblCellSpacing w:w="0" w:type="dxa"/>
        </w:trPr>
        <w:tc>
          <w:tcPr>
            <w:tcW w:w="0" w:type="auto"/>
            <w:noWrap w:val="0"/>
            <w:vAlign w:val="center"/>
          </w:tcPr>
          <w:p w14:paraId="6B090456">
            <w:r>
              <w:rPr>
                <w:rStyle w:val="10"/>
                <w:rFonts w:hint="eastAsia"/>
              </w:rPr>
              <w:t>使用技术要求:</w:t>
            </w:r>
            <w:r>
              <w:rPr>
                <w:rFonts w:hint="eastAsia"/>
              </w:rPr>
              <w:br w:type="textWrapping"/>
            </w:r>
            <w:r>
              <w:rPr>
                <w:rStyle w:val="11"/>
                <w:rFonts w:hint="eastAsia"/>
              </w:rPr>
              <w:t>本品应于辣椒苗期猝倒病发生前或发生初期随浇水冲施施药，间隔7~10天再施用一次，每季作物最多施药2次，安全间隔期为21天。</w:t>
            </w:r>
          </w:p>
        </w:tc>
      </w:tr>
      <w:tr w14:paraId="1BD68396">
        <w:tblPrEx>
          <w:tblCellMar>
            <w:top w:w="0" w:type="dxa"/>
            <w:left w:w="0" w:type="dxa"/>
            <w:bottom w:w="0" w:type="dxa"/>
            <w:right w:w="0" w:type="dxa"/>
          </w:tblCellMar>
        </w:tblPrEx>
        <w:trPr>
          <w:wBefore w:w="0" w:type="auto"/>
          <w:tblCellSpacing w:w="0" w:type="dxa"/>
        </w:trPr>
        <w:tc>
          <w:tcPr>
            <w:tcW w:w="0" w:type="auto"/>
            <w:noWrap w:val="0"/>
            <w:vAlign w:val="center"/>
          </w:tcPr>
          <w:p w14:paraId="34FB825A">
            <w:r>
              <w:rPr>
                <w:rStyle w:val="10"/>
                <w:rFonts w:hint="eastAsia"/>
              </w:rPr>
              <w:t>产品性能:</w:t>
            </w:r>
            <w:r>
              <w:rPr>
                <w:rFonts w:hint="eastAsia"/>
              </w:rPr>
              <w:br w:type="textWrapping"/>
            </w:r>
            <w:r>
              <w:rPr>
                <w:rStyle w:val="11"/>
                <w:rFonts w:hint="eastAsia"/>
              </w:rPr>
              <w:t>精甲霜灵通过干扰核糖体RNA的合成，抑制菌体蛋白质的合成，具有保护作用和治疗作用的内吸性杀菌剂，可由植物的根、茎、叶吸收。噁霉灵是广谱性杀菌剂，对多种病原真菌引起的植物病害有较高的防治效果，是内吸性土壤处理剂。两者复配可用于防治辣椒猝倒病。</w:t>
            </w:r>
          </w:p>
        </w:tc>
      </w:tr>
      <w:tr w14:paraId="1E89BCDE">
        <w:tblPrEx>
          <w:tblCellMar>
            <w:top w:w="0" w:type="dxa"/>
            <w:left w:w="0" w:type="dxa"/>
            <w:bottom w:w="0" w:type="dxa"/>
            <w:right w:w="0" w:type="dxa"/>
          </w:tblCellMar>
        </w:tblPrEx>
        <w:trPr>
          <w:wBefore w:w="0" w:type="auto"/>
          <w:tblCellSpacing w:w="0" w:type="dxa"/>
        </w:trPr>
        <w:tc>
          <w:tcPr>
            <w:tcW w:w="0" w:type="auto"/>
            <w:noWrap w:val="0"/>
            <w:vAlign w:val="center"/>
          </w:tcPr>
          <w:p w14:paraId="1BA09FCD">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用大量清水和肥皂清洗手、脸等暴露部位皮肤并更换衣物。 2. 本品对鱼类等水生生物有毒，远离水产养殖区、河塘等水体施药；禁止在河塘等水体中清洗施药器具, 清洗施药器具的水也不能排入河塘等水体。 3. 用过的容器应妥善处理，不可作他用，也不可随意丢弃。 4. 禁止儿童、孕妇及哺乳期的妇女接触。过敏者禁用，使用中有任何不良反应请及时就医。</w:t>
            </w:r>
          </w:p>
        </w:tc>
      </w:tr>
      <w:tr w14:paraId="7DE08DD8">
        <w:tblPrEx>
          <w:tblCellMar>
            <w:top w:w="0" w:type="dxa"/>
            <w:left w:w="0" w:type="dxa"/>
            <w:bottom w:w="0" w:type="dxa"/>
            <w:right w:w="0" w:type="dxa"/>
          </w:tblCellMar>
        </w:tblPrEx>
        <w:trPr>
          <w:wBefore w:w="0" w:type="auto"/>
          <w:tblCellSpacing w:w="0" w:type="dxa"/>
        </w:trPr>
        <w:tc>
          <w:tcPr>
            <w:tcW w:w="0" w:type="auto"/>
            <w:noWrap w:val="0"/>
            <w:vAlign w:val="center"/>
          </w:tcPr>
          <w:p w14:paraId="10FDD87D">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无特效解毒剂，对症治疗。 </w:t>
            </w:r>
          </w:p>
        </w:tc>
      </w:tr>
      <w:tr w14:paraId="407B98FD">
        <w:tblPrEx>
          <w:tblCellMar>
            <w:top w:w="0" w:type="dxa"/>
            <w:left w:w="0" w:type="dxa"/>
            <w:bottom w:w="0" w:type="dxa"/>
            <w:right w:w="0" w:type="dxa"/>
          </w:tblCellMar>
        </w:tblPrEx>
        <w:trPr>
          <w:wBefore w:w="0" w:type="auto"/>
          <w:tblCellSpacing w:w="0" w:type="dxa"/>
        </w:trPr>
        <w:tc>
          <w:tcPr>
            <w:tcW w:w="0" w:type="auto"/>
            <w:noWrap w:val="0"/>
            <w:vAlign w:val="center"/>
          </w:tcPr>
          <w:p w14:paraId="2F77D90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本品应贮存在干燥、阴凉、通风、防雨处，远离火源或热源。置于儿童、无关人员接触不到的地方。不得与食物、饮料、种子、饲料混放混运。</w:t>
            </w:r>
          </w:p>
        </w:tc>
      </w:tr>
      <w:tr w14:paraId="0B3D26A6">
        <w:tblPrEx>
          <w:tblCellMar>
            <w:top w:w="0" w:type="dxa"/>
            <w:left w:w="0" w:type="dxa"/>
            <w:bottom w:w="0" w:type="dxa"/>
            <w:right w:w="0" w:type="dxa"/>
          </w:tblCellMar>
        </w:tblPrEx>
        <w:trPr>
          <w:wBefore w:w="0" w:type="auto"/>
          <w:tblCellSpacing w:w="0" w:type="dxa"/>
        </w:trPr>
        <w:tc>
          <w:tcPr>
            <w:tcW w:w="0" w:type="auto"/>
            <w:noWrap w:val="0"/>
            <w:vAlign w:val="center"/>
          </w:tcPr>
          <w:p w14:paraId="1E72C84E">
            <w:r>
              <w:rPr>
                <w:rStyle w:val="10"/>
                <w:rFonts w:hint="eastAsia"/>
              </w:rPr>
              <w:t>质量保证期：</w:t>
            </w:r>
            <w:r>
              <w:rPr>
                <w:rStyle w:val="11"/>
                <w:rFonts w:hint="eastAsia"/>
              </w:rPr>
              <w:t>2年</w:t>
            </w:r>
          </w:p>
        </w:tc>
      </w:tr>
      <w:tr w14:paraId="6202E298">
        <w:tblPrEx>
          <w:tblCellMar>
            <w:top w:w="0" w:type="dxa"/>
            <w:left w:w="0" w:type="dxa"/>
            <w:bottom w:w="0" w:type="dxa"/>
            <w:right w:w="0" w:type="dxa"/>
          </w:tblCellMar>
        </w:tblPrEx>
        <w:trPr>
          <w:wBefore w:w="0" w:type="auto"/>
          <w:tblCellSpacing w:w="0" w:type="dxa"/>
        </w:trPr>
        <w:tc>
          <w:tcPr>
            <w:tcW w:w="0" w:type="auto"/>
            <w:noWrap w:val="0"/>
            <w:vAlign w:val="center"/>
          </w:tcPr>
          <w:p w14:paraId="4F3D310D">
            <w:r>
              <w:rPr>
                <w:rStyle w:val="10"/>
                <w:rFonts w:hint="eastAsia"/>
              </w:rPr>
              <w:t>备注：</w:t>
            </w:r>
          </w:p>
        </w:tc>
      </w:tr>
    </w:tbl>
    <w:p w14:paraId="3AE02C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B12AE1">
        <w:tblPrEx>
          <w:tblCellMar>
            <w:top w:w="0" w:type="dxa"/>
            <w:left w:w="0" w:type="dxa"/>
            <w:bottom w:w="0" w:type="dxa"/>
            <w:right w:w="0" w:type="dxa"/>
          </w:tblCellMar>
        </w:tblPrEx>
        <w:trPr>
          <w:wBefore w:w="0" w:type="auto"/>
          <w:tblCellSpacing w:w="0" w:type="dxa"/>
        </w:trPr>
        <w:tc>
          <w:tcPr>
            <w:tcW w:w="0" w:type="auto"/>
            <w:noWrap w:val="0"/>
            <w:vAlign w:val="center"/>
          </w:tcPr>
          <w:p w14:paraId="135501AA">
            <w:r>
              <w:rPr>
                <w:rStyle w:val="10"/>
                <w:rFonts w:hint="eastAsia"/>
              </w:rPr>
              <w:t>登记证号：</w:t>
            </w:r>
            <w:r>
              <w:rPr>
                <w:rFonts w:hint="eastAsia"/>
              </w:rPr>
              <w:t>WP20210395</w:t>
            </w:r>
          </w:p>
        </w:tc>
      </w:tr>
      <w:tr w14:paraId="1ECD2A8A">
        <w:trPr>
          <w:wBefore w:w="0" w:type="auto"/>
          <w:tblCellSpacing w:w="0" w:type="dxa"/>
        </w:trPr>
        <w:tc>
          <w:tcPr>
            <w:tcW w:w="0" w:type="auto"/>
            <w:noWrap w:val="0"/>
            <w:vAlign w:val="center"/>
          </w:tcPr>
          <w:p w14:paraId="40A1864D">
            <w:r>
              <w:rPr>
                <w:rStyle w:val="10"/>
                <w:rFonts w:hint="eastAsia"/>
              </w:rPr>
              <w:t>登记证持有人：</w:t>
            </w:r>
            <w:r>
              <w:rPr>
                <w:rFonts w:hint="eastAsia"/>
              </w:rPr>
              <w:t>中山榄菊日化实业有限公司</w:t>
            </w:r>
          </w:p>
        </w:tc>
      </w:tr>
      <w:tr w14:paraId="6717C3F6">
        <w:tblPrEx>
          <w:tblCellMar>
            <w:top w:w="0" w:type="dxa"/>
            <w:left w:w="0" w:type="dxa"/>
            <w:bottom w:w="0" w:type="dxa"/>
            <w:right w:w="0" w:type="dxa"/>
          </w:tblCellMar>
        </w:tblPrEx>
        <w:trPr>
          <w:wBefore w:w="0" w:type="auto"/>
          <w:tblCellSpacing w:w="0" w:type="dxa"/>
        </w:trPr>
        <w:tc>
          <w:tcPr>
            <w:tcW w:w="0" w:type="auto"/>
            <w:noWrap w:val="0"/>
            <w:vAlign w:val="center"/>
          </w:tcPr>
          <w:p w14:paraId="6AC29D68">
            <w:r>
              <w:rPr>
                <w:rStyle w:val="10"/>
                <w:rFonts w:hint="eastAsia"/>
              </w:rPr>
              <w:t>农药名称：</w:t>
            </w:r>
            <w:r>
              <w:rPr>
                <w:rFonts w:hint="eastAsia"/>
              </w:rPr>
              <w:t>杀蟑气雾剂</w:t>
            </w:r>
          </w:p>
        </w:tc>
      </w:tr>
      <w:tr w14:paraId="04E03B8A">
        <w:tblPrEx>
          <w:tblCellMar>
            <w:top w:w="0" w:type="dxa"/>
            <w:left w:w="0" w:type="dxa"/>
            <w:bottom w:w="0" w:type="dxa"/>
            <w:right w:w="0" w:type="dxa"/>
          </w:tblCellMar>
        </w:tblPrEx>
        <w:trPr>
          <w:wBefore w:w="0" w:type="auto"/>
          <w:tblCellSpacing w:w="0" w:type="dxa"/>
        </w:trPr>
        <w:tc>
          <w:tcPr>
            <w:tcW w:w="0" w:type="auto"/>
            <w:noWrap w:val="0"/>
            <w:vAlign w:val="center"/>
          </w:tcPr>
          <w:p w14:paraId="00D5660D">
            <w:r>
              <w:rPr>
                <w:rStyle w:val="10"/>
                <w:rFonts w:hint="eastAsia"/>
              </w:rPr>
              <w:t>剂型：</w:t>
            </w:r>
            <w:r>
              <w:rPr>
                <w:rFonts w:hint="eastAsia"/>
              </w:rPr>
              <w:t>气雾剂</w:t>
            </w:r>
          </w:p>
        </w:tc>
      </w:tr>
      <w:tr w14:paraId="5263B846">
        <w:tblPrEx>
          <w:tblCellMar>
            <w:top w:w="0" w:type="dxa"/>
            <w:left w:w="0" w:type="dxa"/>
            <w:bottom w:w="0" w:type="dxa"/>
            <w:right w:w="0" w:type="dxa"/>
          </w:tblCellMar>
        </w:tblPrEx>
        <w:trPr>
          <w:wBefore w:w="0" w:type="auto"/>
          <w:tblCellSpacing w:w="0" w:type="dxa"/>
        </w:trPr>
        <w:tc>
          <w:tcPr>
            <w:tcW w:w="0" w:type="auto"/>
            <w:noWrap w:val="0"/>
            <w:vAlign w:val="center"/>
          </w:tcPr>
          <w:p w14:paraId="52544742">
            <w:r>
              <w:rPr>
                <w:rStyle w:val="10"/>
                <w:rFonts w:hint="eastAsia"/>
              </w:rPr>
              <w:t>毒性及其标识：</w:t>
            </w:r>
            <w:r>
              <w:rPr>
                <w:rFonts w:hint="eastAsia"/>
              </w:rPr>
              <w:t xml:space="preserve"> 微毒 </w:t>
            </w:r>
          </w:p>
        </w:tc>
      </w:tr>
      <w:tr w14:paraId="3C3FF703">
        <w:tblPrEx>
          <w:tblCellMar>
            <w:top w:w="0" w:type="dxa"/>
            <w:left w:w="0" w:type="dxa"/>
            <w:bottom w:w="0" w:type="dxa"/>
            <w:right w:w="0" w:type="dxa"/>
          </w:tblCellMar>
        </w:tblPrEx>
        <w:trPr>
          <w:wBefore w:w="0" w:type="auto"/>
          <w:tblCellSpacing w:w="0" w:type="dxa"/>
        </w:trPr>
        <w:tc>
          <w:tcPr>
            <w:tcW w:w="0" w:type="auto"/>
            <w:noWrap w:val="0"/>
            <w:vAlign w:val="center"/>
          </w:tcPr>
          <w:p w14:paraId="44E486CC">
            <w:r>
              <w:rPr>
                <w:rStyle w:val="10"/>
                <w:rFonts w:hint="eastAsia"/>
              </w:rPr>
              <w:t>总有效成分含量：</w:t>
            </w:r>
            <w:r>
              <w:rPr>
                <w:rFonts w:hint="eastAsia"/>
              </w:rPr>
              <w:t>0.32%</w:t>
            </w:r>
          </w:p>
        </w:tc>
      </w:tr>
      <w:tr w14:paraId="4719B203">
        <w:tblPrEx>
          <w:tblCellMar>
            <w:top w:w="0" w:type="dxa"/>
            <w:left w:w="0" w:type="dxa"/>
            <w:bottom w:w="0" w:type="dxa"/>
            <w:right w:w="0" w:type="dxa"/>
          </w:tblCellMar>
        </w:tblPrEx>
        <w:trPr>
          <w:wBefore w:w="0" w:type="auto"/>
          <w:tblCellSpacing w:w="0" w:type="dxa"/>
        </w:trPr>
        <w:tc>
          <w:tcPr>
            <w:tcW w:w="0" w:type="auto"/>
            <w:noWrap w:val="0"/>
            <w:vAlign w:val="center"/>
          </w:tcPr>
          <w:p w14:paraId="625B6C52">
            <w:r>
              <w:rPr>
                <w:rFonts w:hint="eastAsia"/>
              </w:rPr>
              <w:t xml:space="preserve">有效成分及其含量： </w:t>
            </w:r>
          </w:p>
          <w:p w14:paraId="68D24090">
            <w:r>
              <w:rPr>
                <w:rFonts w:hint="eastAsia"/>
              </w:rPr>
              <w:t xml:space="preserve">    炔咪菊酯0.15%    右旋苯醚氰菊酯0.17%    </w:t>
            </w:r>
          </w:p>
        </w:tc>
      </w:tr>
      <w:tr w14:paraId="01F7B92C">
        <w:tblPrEx>
          <w:tblCellMar>
            <w:top w:w="0" w:type="dxa"/>
            <w:left w:w="0" w:type="dxa"/>
            <w:bottom w:w="0" w:type="dxa"/>
            <w:right w:w="0" w:type="dxa"/>
          </w:tblCellMar>
        </w:tblPrEx>
        <w:trPr>
          <w:wBefore w:w="0" w:type="auto"/>
          <w:tblCellSpacing w:w="0" w:type="dxa"/>
        </w:trPr>
        <w:tc>
          <w:tcPr>
            <w:tcW w:w="0" w:type="auto"/>
            <w:noWrap w:val="0"/>
            <w:vAlign w:val="center"/>
          </w:tcPr>
          <w:p w14:paraId="44B532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0AEC9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CBB9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AE51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11CD9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F6530D">
                  <w:r>
                    <w:rPr>
                      <w:rStyle w:val="11"/>
                      <w:rFonts w:hint="eastAsia"/>
                    </w:rPr>
                    <w:t>施用方式</w:t>
                  </w:r>
                </w:p>
              </w:tc>
            </w:tr>
            <w:tr w14:paraId="48DCBC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5CCAC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A13F59">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E8582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3C32CC">
                  <w:r>
                    <w:rPr>
                      <w:rStyle w:val="11"/>
                      <w:rFonts w:hint="eastAsia"/>
                    </w:rPr>
                    <w:t>喷雾</w:t>
                  </w:r>
                </w:p>
              </w:tc>
            </w:tr>
          </w:tbl>
          <w:p w14:paraId="686DCF2E">
            <w:pPr>
              <w:rPr>
                <w:rFonts w:ascii="Times New Roman" w:hAnsi="Times New Roman" w:cs="Times New Roman"/>
                <w:sz w:val="20"/>
                <w:szCs w:val="20"/>
              </w:rPr>
            </w:pPr>
          </w:p>
        </w:tc>
      </w:tr>
      <w:tr w14:paraId="7E8E5B1A">
        <w:tblPrEx>
          <w:tblCellMar>
            <w:top w:w="0" w:type="dxa"/>
            <w:left w:w="0" w:type="dxa"/>
            <w:bottom w:w="0" w:type="dxa"/>
            <w:right w:w="0" w:type="dxa"/>
          </w:tblCellMar>
        </w:tblPrEx>
        <w:trPr>
          <w:wBefore w:w="0" w:type="auto"/>
          <w:tblCellSpacing w:w="0" w:type="dxa"/>
        </w:trPr>
        <w:tc>
          <w:tcPr>
            <w:tcW w:w="0" w:type="auto"/>
            <w:noWrap w:val="0"/>
            <w:vAlign w:val="center"/>
          </w:tcPr>
          <w:p w14:paraId="16CD7697">
            <w:r>
              <w:rPr>
                <w:rStyle w:val="10"/>
                <w:rFonts w:hint="eastAsia"/>
              </w:rPr>
              <w:t>使用技术要求:</w:t>
            </w:r>
            <w:r>
              <w:rPr>
                <w:rFonts w:hint="eastAsia"/>
              </w:rPr>
              <w:br w:type="textWrapping"/>
            </w:r>
            <w:r>
              <w:rPr>
                <w:rStyle w:val="11"/>
                <w:rFonts w:hint="eastAsia"/>
              </w:rPr>
              <w:t>◆水基配方，使用时有泡沫属正常现象，用前请充分摇匀，罐体直立喷射。◆直接对准蟑螂或向其出没及栖息处适量喷射。◆使用后人畜立即离开房间，关闭门窗，20分钟后打开门窗，充分通风后方可再次进入房间。◆为取得更佳效果，建议使用后一个月再进行喷洒。</w:t>
            </w:r>
          </w:p>
        </w:tc>
      </w:tr>
      <w:tr w14:paraId="04256247">
        <w:tblPrEx>
          <w:tblCellMar>
            <w:top w:w="0" w:type="dxa"/>
            <w:left w:w="0" w:type="dxa"/>
            <w:bottom w:w="0" w:type="dxa"/>
            <w:right w:w="0" w:type="dxa"/>
          </w:tblCellMar>
        </w:tblPrEx>
        <w:trPr>
          <w:wBefore w:w="0" w:type="auto"/>
          <w:tblCellSpacing w:w="0" w:type="dxa"/>
        </w:trPr>
        <w:tc>
          <w:tcPr>
            <w:tcW w:w="0" w:type="auto"/>
            <w:noWrap w:val="0"/>
            <w:vAlign w:val="center"/>
          </w:tcPr>
          <w:p w14:paraId="47F10FDB">
            <w:r>
              <w:rPr>
                <w:rStyle w:val="10"/>
                <w:rFonts w:hint="eastAsia"/>
              </w:rPr>
              <w:t>产品性能:</w:t>
            </w:r>
            <w:r>
              <w:rPr>
                <w:rFonts w:hint="eastAsia"/>
              </w:rPr>
              <w:br w:type="textWrapping"/>
            </w:r>
            <w:r>
              <w:rPr>
                <w:rStyle w:val="11"/>
                <w:rFonts w:hint="eastAsia"/>
              </w:rPr>
              <w:t>◆本品采用专用杀蟑配方，可有效驱杀蟑螂。 ◆适用于家居、宾馆、办公场所 。◆直喷式防污喷盖结构，无需揭盖即可喷射，使用方便；竖起导管可精准喷射于蟑螂藏身的细小裂缝、缝隙。◆以去离子水为溶剂，喷后无油渍残留。</w:t>
            </w:r>
          </w:p>
        </w:tc>
      </w:tr>
      <w:tr w14:paraId="32FDCDF9">
        <w:tblPrEx>
          <w:tblCellMar>
            <w:top w:w="0" w:type="dxa"/>
            <w:left w:w="0" w:type="dxa"/>
            <w:bottom w:w="0" w:type="dxa"/>
            <w:right w:w="0" w:type="dxa"/>
          </w:tblCellMar>
        </w:tblPrEx>
        <w:trPr>
          <w:wBefore w:w="0" w:type="auto"/>
          <w:tblCellSpacing w:w="0" w:type="dxa"/>
        </w:trPr>
        <w:tc>
          <w:tcPr>
            <w:tcW w:w="0" w:type="auto"/>
            <w:noWrap w:val="0"/>
            <w:vAlign w:val="center"/>
          </w:tcPr>
          <w:p w14:paraId="3913392C">
            <w:r>
              <w:rPr>
                <w:rStyle w:val="10"/>
                <w:rFonts w:hint="eastAsia"/>
              </w:rPr>
              <w:t>注意事项：</w:t>
            </w:r>
            <w:r>
              <w:rPr>
                <w:rFonts w:hint="eastAsia"/>
              </w:rPr>
              <w:br w:type="textWrapping"/>
            </w:r>
            <w:r>
              <w:rPr>
                <w:rStyle w:val="11"/>
                <w:rFonts w:hint="eastAsia"/>
              </w:rPr>
              <w:t>◆请按指示使用，置于儿童接触不到的地方。 ◆切勿直接向人体、食物、宠物或煮食范围内喷射。 ◆使用前请移走或覆盖暴露在外的食物并关闭火源，切勿在同一房间使用多种气雾剂。 ◆使用后注意通风，用后洗手。勿倒置或近火使用。 ◆本品对鱼类、蜂和蚕有毒，蚕室及其附近禁用。 ◆过敏者禁用。</w:t>
            </w:r>
          </w:p>
        </w:tc>
      </w:tr>
      <w:tr w14:paraId="7CEE9F3C">
        <w:tblPrEx>
          <w:tblCellMar>
            <w:top w:w="0" w:type="dxa"/>
            <w:left w:w="0" w:type="dxa"/>
            <w:bottom w:w="0" w:type="dxa"/>
            <w:right w:w="0" w:type="dxa"/>
          </w:tblCellMar>
        </w:tblPrEx>
        <w:trPr>
          <w:wBefore w:w="0" w:type="auto"/>
          <w:tblCellSpacing w:w="0" w:type="dxa"/>
        </w:trPr>
        <w:tc>
          <w:tcPr>
            <w:tcW w:w="0" w:type="auto"/>
            <w:noWrap w:val="0"/>
            <w:vAlign w:val="center"/>
          </w:tcPr>
          <w:p w14:paraId="0FDB79A7">
            <w:r>
              <w:rPr>
                <w:rStyle w:val="10"/>
                <w:rFonts w:hint="eastAsia"/>
              </w:rPr>
              <w:t>中毒急救措施：</w:t>
            </w:r>
            <w:r>
              <w:rPr>
                <w:rFonts w:hint="eastAsia"/>
              </w:rPr>
              <w:br w:type="textWrapping"/>
            </w:r>
            <w:r>
              <w:rPr>
                <w:rStyle w:val="11"/>
                <w:rFonts w:hint="eastAsia"/>
              </w:rPr>
              <w:t>◆若不慎大量吸入，请移至空气流通处并立即就医。◆若不慎接触皮肤，请用肥皂水清洗干净。◆若不慎溅入眼睛，请立即用清水冲洗并及时就医。◆若不慎误食，请携此罐就医。</w:t>
            </w:r>
          </w:p>
        </w:tc>
      </w:tr>
      <w:tr w14:paraId="59A1A396">
        <w:tblPrEx>
          <w:tblCellMar>
            <w:top w:w="0" w:type="dxa"/>
            <w:left w:w="0" w:type="dxa"/>
            <w:bottom w:w="0" w:type="dxa"/>
            <w:right w:w="0" w:type="dxa"/>
          </w:tblCellMar>
        </w:tblPrEx>
        <w:trPr>
          <w:wBefore w:w="0" w:type="auto"/>
          <w:tblCellSpacing w:w="0" w:type="dxa"/>
        </w:trPr>
        <w:tc>
          <w:tcPr>
            <w:tcW w:w="0" w:type="auto"/>
            <w:noWrap w:val="0"/>
            <w:vAlign w:val="center"/>
          </w:tcPr>
          <w:p w14:paraId="4F6AE3C6">
            <w:r>
              <w:rPr>
                <w:rStyle w:val="10"/>
                <w:rFonts w:hint="eastAsia"/>
              </w:rPr>
              <w:t>储存和运输方法：</w:t>
            </w:r>
            <w:r>
              <w:rPr>
                <w:rFonts w:hint="eastAsia"/>
              </w:rPr>
              <w:br w:type="textWrapping"/>
            </w:r>
            <w:r>
              <w:rPr>
                <w:rStyle w:val="11"/>
                <w:rFonts w:hint="eastAsia"/>
              </w:rPr>
              <w:t>◆此为压缩气罐，内含易燃品； ◆勿受太阳直接照晒，勿在有明火或超过50℃的地方存放； ◆勿将罐强行打开、刺穿或燃烧； ◆空罐严禁再次充装，或作为它用；◆勿与食品、饮料、粮食、种子、饲料及易燃易爆品混放混运。</w:t>
            </w:r>
          </w:p>
        </w:tc>
      </w:tr>
      <w:tr w14:paraId="4F44B969">
        <w:tblPrEx>
          <w:tblCellMar>
            <w:top w:w="0" w:type="dxa"/>
            <w:left w:w="0" w:type="dxa"/>
            <w:bottom w:w="0" w:type="dxa"/>
            <w:right w:w="0" w:type="dxa"/>
          </w:tblCellMar>
        </w:tblPrEx>
        <w:trPr>
          <w:wBefore w:w="0" w:type="auto"/>
          <w:tblCellSpacing w:w="0" w:type="dxa"/>
        </w:trPr>
        <w:tc>
          <w:tcPr>
            <w:tcW w:w="0" w:type="auto"/>
            <w:noWrap w:val="0"/>
            <w:vAlign w:val="center"/>
          </w:tcPr>
          <w:p w14:paraId="6A4E1A6F">
            <w:r>
              <w:rPr>
                <w:rStyle w:val="10"/>
                <w:rFonts w:hint="eastAsia"/>
              </w:rPr>
              <w:t>质量保证期：</w:t>
            </w:r>
            <w:r>
              <w:rPr>
                <w:rStyle w:val="11"/>
                <w:rFonts w:hint="eastAsia"/>
              </w:rPr>
              <w:t>3年</w:t>
            </w:r>
          </w:p>
        </w:tc>
      </w:tr>
      <w:tr w14:paraId="3177A5B5">
        <w:tblPrEx>
          <w:tblCellMar>
            <w:top w:w="0" w:type="dxa"/>
            <w:left w:w="0" w:type="dxa"/>
            <w:bottom w:w="0" w:type="dxa"/>
            <w:right w:w="0" w:type="dxa"/>
          </w:tblCellMar>
        </w:tblPrEx>
        <w:trPr>
          <w:wBefore w:w="0" w:type="auto"/>
          <w:tblCellSpacing w:w="0" w:type="dxa"/>
        </w:trPr>
        <w:tc>
          <w:tcPr>
            <w:tcW w:w="0" w:type="auto"/>
            <w:noWrap w:val="0"/>
            <w:vAlign w:val="center"/>
          </w:tcPr>
          <w:p w14:paraId="14EA3325">
            <w:r>
              <w:rPr>
                <w:rStyle w:val="10"/>
                <w:rFonts w:hint="eastAsia"/>
              </w:rPr>
              <w:t>备注：</w:t>
            </w:r>
          </w:p>
        </w:tc>
      </w:tr>
    </w:tbl>
    <w:p w14:paraId="3A26BB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79F7A7">
        <w:tblPrEx>
          <w:tblCellMar>
            <w:top w:w="0" w:type="dxa"/>
            <w:left w:w="0" w:type="dxa"/>
            <w:bottom w:w="0" w:type="dxa"/>
            <w:right w:w="0" w:type="dxa"/>
          </w:tblCellMar>
        </w:tblPrEx>
        <w:trPr>
          <w:wBefore w:w="0" w:type="auto"/>
          <w:tblCellSpacing w:w="0" w:type="dxa"/>
        </w:trPr>
        <w:tc>
          <w:tcPr>
            <w:tcW w:w="0" w:type="auto"/>
            <w:noWrap w:val="0"/>
            <w:vAlign w:val="center"/>
          </w:tcPr>
          <w:p w14:paraId="6F8E52D3">
            <w:r>
              <w:rPr>
                <w:rStyle w:val="10"/>
                <w:rFonts w:hint="eastAsia"/>
              </w:rPr>
              <w:t>登记证号：</w:t>
            </w:r>
            <w:r>
              <w:rPr>
                <w:rFonts w:hint="eastAsia"/>
              </w:rPr>
              <w:t>PD20212581</w:t>
            </w:r>
          </w:p>
        </w:tc>
      </w:tr>
      <w:tr w14:paraId="6FE1B9D5">
        <w:tblPrEx>
          <w:tblCellMar>
            <w:top w:w="0" w:type="dxa"/>
            <w:left w:w="0" w:type="dxa"/>
            <w:bottom w:w="0" w:type="dxa"/>
            <w:right w:w="0" w:type="dxa"/>
          </w:tblCellMar>
        </w:tblPrEx>
        <w:trPr>
          <w:wBefore w:w="0" w:type="auto"/>
          <w:tblCellSpacing w:w="0" w:type="dxa"/>
        </w:trPr>
        <w:tc>
          <w:tcPr>
            <w:tcW w:w="0" w:type="auto"/>
            <w:noWrap w:val="0"/>
            <w:vAlign w:val="center"/>
          </w:tcPr>
          <w:p w14:paraId="11E2F8D4">
            <w:r>
              <w:rPr>
                <w:rStyle w:val="10"/>
                <w:rFonts w:hint="eastAsia"/>
              </w:rPr>
              <w:t>登记证持有人：</w:t>
            </w:r>
            <w:r>
              <w:rPr>
                <w:rFonts w:hint="eastAsia"/>
              </w:rPr>
              <w:t>山东玥鸣生物科技有限公司</w:t>
            </w:r>
          </w:p>
        </w:tc>
      </w:tr>
      <w:tr w14:paraId="4F6FE587">
        <w:tblPrEx>
          <w:tblCellMar>
            <w:top w:w="0" w:type="dxa"/>
            <w:left w:w="0" w:type="dxa"/>
            <w:bottom w:w="0" w:type="dxa"/>
            <w:right w:w="0" w:type="dxa"/>
          </w:tblCellMar>
        </w:tblPrEx>
        <w:trPr>
          <w:wBefore w:w="0" w:type="auto"/>
          <w:tblCellSpacing w:w="0" w:type="dxa"/>
        </w:trPr>
        <w:tc>
          <w:tcPr>
            <w:tcW w:w="0" w:type="auto"/>
            <w:noWrap w:val="0"/>
            <w:vAlign w:val="center"/>
          </w:tcPr>
          <w:p w14:paraId="0068390E">
            <w:r>
              <w:rPr>
                <w:rStyle w:val="10"/>
                <w:rFonts w:hint="eastAsia"/>
              </w:rPr>
              <w:t>农药名称：</w:t>
            </w:r>
            <w:r>
              <w:rPr>
                <w:rFonts w:hint="eastAsia"/>
              </w:rPr>
              <w:t>嘧肟·氰氟草</w:t>
            </w:r>
          </w:p>
        </w:tc>
      </w:tr>
      <w:tr w14:paraId="461680C4">
        <w:tblPrEx>
          <w:tblCellMar>
            <w:top w:w="0" w:type="dxa"/>
            <w:left w:w="0" w:type="dxa"/>
            <w:bottom w:w="0" w:type="dxa"/>
            <w:right w:w="0" w:type="dxa"/>
          </w:tblCellMar>
        </w:tblPrEx>
        <w:trPr>
          <w:wBefore w:w="0" w:type="auto"/>
          <w:tblCellSpacing w:w="0" w:type="dxa"/>
        </w:trPr>
        <w:tc>
          <w:tcPr>
            <w:tcW w:w="0" w:type="auto"/>
            <w:noWrap w:val="0"/>
            <w:vAlign w:val="center"/>
          </w:tcPr>
          <w:p w14:paraId="3D513F42">
            <w:r>
              <w:rPr>
                <w:rStyle w:val="10"/>
                <w:rFonts w:hint="eastAsia"/>
              </w:rPr>
              <w:t>剂型：</w:t>
            </w:r>
            <w:r>
              <w:rPr>
                <w:rFonts w:hint="eastAsia"/>
              </w:rPr>
              <w:t>乳油</w:t>
            </w:r>
          </w:p>
        </w:tc>
      </w:tr>
      <w:tr w14:paraId="7A1AE1D3">
        <w:tblPrEx>
          <w:tblCellMar>
            <w:top w:w="0" w:type="dxa"/>
            <w:left w:w="0" w:type="dxa"/>
            <w:bottom w:w="0" w:type="dxa"/>
            <w:right w:w="0" w:type="dxa"/>
          </w:tblCellMar>
        </w:tblPrEx>
        <w:trPr>
          <w:wBefore w:w="0" w:type="auto"/>
          <w:tblCellSpacing w:w="0" w:type="dxa"/>
        </w:trPr>
        <w:tc>
          <w:tcPr>
            <w:tcW w:w="0" w:type="auto"/>
            <w:noWrap w:val="0"/>
            <w:vAlign w:val="center"/>
          </w:tcPr>
          <w:p w14:paraId="08EE83F4">
            <w:r>
              <w:rPr>
                <w:rStyle w:val="10"/>
                <w:rFonts w:hint="eastAsia"/>
              </w:rPr>
              <w:t>毒性及其标识：</w:t>
            </w:r>
            <w:r>
              <w:rPr>
                <w:rFonts w:hint="eastAsia"/>
              </w:rPr>
              <w:t xml:space="preserve"> </w:t>
            </w:r>
            <w:r>
              <w:rPr>
                <w:lang/>
              </w:rPr>
              <w:drawing>
                <wp:inline distT="0" distB="0" distL="114300" distR="114300">
                  <wp:extent cx="476250" cy="323850"/>
                  <wp:effectExtent l="0" t="0" r="0" b="0"/>
                  <wp:docPr id="91" name="图片 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A8BC3E">
        <w:tblPrEx>
          <w:tblCellMar>
            <w:top w:w="0" w:type="dxa"/>
            <w:left w:w="0" w:type="dxa"/>
            <w:bottom w:w="0" w:type="dxa"/>
            <w:right w:w="0" w:type="dxa"/>
          </w:tblCellMar>
        </w:tblPrEx>
        <w:trPr>
          <w:wBefore w:w="0" w:type="auto"/>
          <w:tblCellSpacing w:w="0" w:type="dxa"/>
        </w:trPr>
        <w:tc>
          <w:tcPr>
            <w:tcW w:w="0" w:type="auto"/>
            <w:noWrap w:val="0"/>
            <w:vAlign w:val="center"/>
          </w:tcPr>
          <w:p w14:paraId="2A778FC6">
            <w:r>
              <w:rPr>
                <w:rStyle w:val="10"/>
                <w:rFonts w:hint="eastAsia"/>
              </w:rPr>
              <w:t>总有效成分含量：</w:t>
            </w:r>
            <w:r>
              <w:rPr>
                <w:rFonts w:hint="eastAsia"/>
              </w:rPr>
              <w:t>20%</w:t>
            </w:r>
          </w:p>
        </w:tc>
      </w:tr>
      <w:tr w14:paraId="7BA30034">
        <w:tblPrEx>
          <w:tblCellMar>
            <w:top w:w="0" w:type="dxa"/>
            <w:left w:w="0" w:type="dxa"/>
            <w:bottom w:w="0" w:type="dxa"/>
            <w:right w:w="0" w:type="dxa"/>
          </w:tblCellMar>
        </w:tblPrEx>
        <w:trPr>
          <w:wBefore w:w="0" w:type="auto"/>
          <w:tblCellSpacing w:w="0" w:type="dxa"/>
        </w:trPr>
        <w:tc>
          <w:tcPr>
            <w:tcW w:w="0" w:type="auto"/>
            <w:noWrap w:val="0"/>
            <w:vAlign w:val="center"/>
          </w:tcPr>
          <w:p w14:paraId="06E03DF6">
            <w:r>
              <w:rPr>
                <w:rFonts w:hint="eastAsia"/>
              </w:rPr>
              <w:t xml:space="preserve">有效成分及其含量： </w:t>
            </w:r>
          </w:p>
          <w:p w14:paraId="6DDA393F">
            <w:r>
              <w:rPr>
                <w:rFonts w:hint="eastAsia"/>
              </w:rPr>
              <w:t xml:space="preserve">    嘧啶肟草醚4%    氰氟草酯16%    </w:t>
            </w:r>
          </w:p>
        </w:tc>
      </w:tr>
      <w:tr w14:paraId="40E11C9E">
        <w:tblPrEx>
          <w:tblCellMar>
            <w:top w:w="0" w:type="dxa"/>
            <w:left w:w="0" w:type="dxa"/>
            <w:bottom w:w="0" w:type="dxa"/>
            <w:right w:w="0" w:type="dxa"/>
          </w:tblCellMar>
        </w:tblPrEx>
        <w:trPr>
          <w:wBefore w:w="0" w:type="auto"/>
          <w:tblCellSpacing w:w="0" w:type="dxa"/>
        </w:trPr>
        <w:tc>
          <w:tcPr>
            <w:tcW w:w="0" w:type="auto"/>
            <w:noWrap w:val="0"/>
            <w:vAlign w:val="center"/>
          </w:tcPr>
          <w:p w14:paraId="233376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7397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2889F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9C631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20FD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5C2B15">
                  <w:r>
                    <w:rPr>
                      <w:rStyle w:val="11"/>
                      <w:rFonts w:hint="eastAsia"/>
                    </w:rPr>
                    <w:t>施用方式</w:t>
                  </w:r>
                </w:p>
              </w:tc>
            </w:tr>
            <w:tr w14:paraId="4BEE46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B0539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B37CD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F24212">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EF7C24">
                  <w:r>
                    <w:rPr>
                      <w:rStyle w:val="11"/>
                      <w:rFonts w:hint="eastAsia"/>
                    </w:rPr>
                    <w:t>茎叶喷雾</w:t>
                  </w:r>
                </w:p>
              </w:tc>
            </w:tr>
          </w:tbl>
          <w:p w14:paraId="305C39C8">
            <w:pPr>
              <w:rPr>
                <w:rFonts w:ascii="Times New Roman" w:hAnsi="Times New Roman" w:cs="Times New Roman"/>
                <w:sz w:val="20"/>
                <w:szCs w:val="20"/>
              </w:rPr>
            </w:pPr>
          </w:p>
        </w:tc>
      </w:tr>
      <w:tr w14:paraId="16B7FDFA">
        <w:tblPrEx>
          <w:tblCellMar>
            <w:top w:w="0" w:type="dxa"/>
            <w:left w:w="0" w:type="dxa"/>
            <w:bottom w:w="0" w:type="dxa"/>
            <w:right w:w="0" w:type="dxa"/>
          </w:tblCellMar>
        </w:tblPrEx>
        <w:trPr>
          <w:wBefore w:w="0" w:type="auto"/>
          <w:tblCellSpacing w:w="0" w:type="dxa"/>
        </w:trPr>
        <w:tc>
          <w:tcPr>
            <w:tcW w:w="0" w:type="auto"/>
            <w:noWrap w:val="0"/>
            <w:vAlign w:val="center"/>
          </w:tcPr>
          <w:p w14:paraId="1556BB29">
            <w:r>
              <w:rPr>
                <w:rStyle w:val="10"/>
                <w:rFonts w:hint="eastAsia"/>
              </w:rPr>
              <w:t>使用技术要求:</w:t>
            </w:r>
            <w:r>
              <w:rPr>
                <w:rFonts w:hint="eastAsia"/>
              </w:rPr>
              <w:br w:type="textWrapping"/>
            </w:r>
            <w:r>
              <w:rPr>
                <w:rStyle w:val="11"/>
                <w:rFonts w:hint="eastAsia"/>
              </w:rPr>
              <w:t>1.直播水稻苗后3-5叶期，田间一年生杂草2-4叶期，茎叶喷雾施药。2. 施药前排干田水，保持田间湿润，药后1-3天复水，田内保持3-5厘米水层，勿使田水淹没水稻心叶，5-7天后恢复正常管理。 3.每季作物最多使用1次。</w:t>
            </w:r>
          </w:p>
        </w:tc>
      </w:tr>
      <w:tr w14:paraId="6B03FF99">
        <w:tblPrEx>
          <w:tblCellMar>
            <w:top w:w="0" w:type="dxa"/>
            <w:left w:w="0" w:type="dxa"/>
            <w:bottom w:w="0" w:type="dxa"/>
            <w:right w:w="0" w:type="dxa"/>
          </w:tblCellMar>
        </w:tblPrEx>
        <w:trPr>
          <w:wBefore w:w="0" w:type="auto"/>
          <w:tblCellSpacing w:w="0" w:type="dxa"/>
        </w:trPr>
        <w:tc>
          <w:tcPr>
            <w:tcW w:w="0" w:type="auto"/>
            <w:noWrap w:val="0"/>
            <w:vAlign w:val="center"/>
          </w:tcPr>
          <w:p w14:paraId="0AF61882">
            <w:r>
              <w:rPr>
                <w:rStyle w:val="10"/>
                <w:rFonts w:hint="eastAsia"/>
              </w:rPr>
              <w:t>产品性能:</w:t>
            </w:r>
            <w:r>
              <w:rPr>
                <w:rFonts w:hint="eastAsia"/>
              </w:rPr>
              <w:br w:type="textWrapping"/>
            </w:r>
            <w:r>
              <w:rPr>
                <w:rStyle w:val="11"/>
                <w:rFonts w:hint="eastAsia"/>
              </w:rPr>
              <w:t>本品为混剂，属广谱选择性芽后除草剂。用于防除水稻田禾本科、阔叶及莎草科杂草。</w:t>
            </w:r>
          </w:p>
        </w:tc>
      </w:tr>
      <w:tr w14:paraId="4A6A8A38">
        <w:tblPrEx>
          <w:tblCellMar>
            <w:top w:w="0" w:type="dxa"/>
            <w:left w:w="0" w:type="dxa"/>
            <w:bottom w:w="0" w:type="dxa"/>
            <w:right w:w="0" w:type="dxa"/>
          </w:tblCellMar>
        </w:tblPrEx>
        <w:trPr>
          <w:wBefore w:w="0" w:type="auto"/>
          <w:tblCellSpacing w:w="0" w:type="dxa"/>
        </w:trPr>
        <w:tc>
          <w:tcPr>
            <w:tcW w:w="0" w:type="auto"/>
            <w:noWrap w:val="0"/>
            <w:vAlign w:val="center"/>
          </w:tcPr>
          <w:p w14:paraId="14F9F322">
            <w:r>
              <w:rPr>
                <w:rStyle w:val="10"/>
                <w:rFonts w:hint="eastAsia"/>
              </w:rPr>
              <w:t>注意事项：</w:t>
            </w:r>
            <w:r>
              <w:rPr>
                <w:rFonts w:hint="eastAsia"/>
              </w:rPr>
              <w:br w:type="textWrapping"/>
            </w:r>
            <w:r>
              <w:rPr>
                <w:rStyle w:val="11"/>
                <w:rFonts w:hint="eastAsia"/>
              </w:rPr>
              <w:t>1. 请按照农药安全使用规范使用本品。应根据田间杂草草相及抗性等具体情况，科学合理用药。 2. 避免药剂与其它作物接触。 3. 使用本品应做好防护措施。施药期间不可饮食，施药后应及时洗手和洗脸。避免药液接触皮肤、眼睛或衣物。 4. 避免在中午高温时施药。 5. 本品对水生生物有毒，应远离水产养殖区、河塘等水体施药，禁止在河塘等水域清洗施药器具。 6. 鱼或虾蟹套养稻田禁用，施药后的田水不得直接排入水体。赤眼蜂等放飞区域禁用。 7. 用过的容器和废弃物应妥善处理，不可做他用，也不可随意丢弃。 8. 避免孕妇及哺乳期妇女接触。</w:t>
            </w:r>
          </w:p>
        </w:tc>
      </w:tr>
      <w:tr w14:paraId="35D02CA3">
        <w:tblPrEx>
          <w:tblCellMar>
            <w:top w:w="0" w:type="dxa"/>
            <w:left w:w="0" w:type="dxa"/>
            <w:bottom w:w="0" w:type="dxa"/>
            <w:right w:w="0" w:type="dxa"/>
          </w:tblCellMar>
        </w:tblPrEx>
        <w:trPr>
          <w:wBefore w:w="0" w:type="auto"/>
          <w:tblCellSpacing w:w="0" w:type="dxa"/>
        </w:trPr>
        <w:tc>
          <w:tcPr>
            <w:tcW w:w="0" w:type="auto"/>
            <w:noWrap w:val="0"/>
            <w:vAlign w:val="center"/>
          </w:tcPr>
          <w:p w14:paraId="19EA6839">
            <w:r>
              <w:rPr>
                <w:rStyle w:val="10"/>
                <w:rFonts w:hint="eastAsia"/>
              </w:rPr>
              <w:t>中毒急救措施：</w:t>
            </w:r>
            <w:r>
              <w:rPr>
                <w:rFonts w:hint="eastAsia"/>
              </w:rPr>
              <w:br w:type="textWrapping"/>
            </w:r>
            <w:r>
              <w:rPr>
                <w:rStyle w:val="11"/>
                <w:rFonts w:hint="eastAsia"/>
              </w:rPr>
              <w:t>中毒症状：本品对眼睛有刺激作用。不慎吸入，应将病人移至空气流通处。不慎接触皮肤或溅入眼睛，应用大量清水冲洗干净。误服则应立即携此标签将病人送医院诊治。本品无特殊解毒剂，请医生对症治疗。</w:t>
            </w:r>
          </w:p>
        </w:tc>
      </w:tr>
      <w:tr w14:paraId="230636B6">
        <w:tblPrEx>
          <w:tblCellMar>
            <w:top w:w="0" w:type="dxa"/>
            <w:left w:w="0" w:type="dxa"/>
            <w:bottom w:w="0" w:type="dxa"/>
            <w:right w:w="0" w:type="dxa"/>
          </w:tblCellMar>
        </w:tblPrEx>
        <w:trPr>
          <w:wBefore w:w="0" w:type="auto"/>
          <w:tblCellSpacing w:w="0" w:type="dxa"/>
        </w:trPr>
        <w:tc>
          <w:tcPr>
            <w:tcW w:w="0" w:type="auto"/>
            <w:noWrap w:val="0"/>
            <w:vAlign w:val="center"/>
          </w:tcPr>
          <w:p w14:paraId="68DD8F81">
            <w:r>
              <w:rPr>
                <w:rStyle w:val="10"/>
                <w:rFonts w:hint="eastAsia"/>
              </w:rPr>
              <w:t>储存和运输方法：</w:t>
            </w:r>
            <w:r>
              <w:rPr>
                <w:rFonts w:hint="eastAsia"/>
              </w:rPr>
              <w:br w:type="textWrapping"/>
            </w:r>
            <w:r>
              <w:rPr>
                <w:rStyle w:val="11"/>
                <w:rFonts w:hint="eastAsia"/>
              </w:rPr>
              <w:t>.本品应贮存在阴凉、干燥、通风处，防雨防湿防潮，本品属易燃液体，远离火源或热源。 2.置于儿童触及不到之处，并加锁。 3.勿与食品、饮料、饲料、粮食等商品同运同贮。 4.运输过程中要确保容器不泄漏、不倒塌、不坠落、不损坏，并按规定路线行驶。</w:t>
            </w:r>
          </w:p>
        </w:tc>
      </w:tr>
      <w:tr w14:paraId="07DEF567">
        <w:tblPrEx>
          <w:tblCellMar>
            <w:top w:w="0" w:type="dxa"/>
            <w:left w:w="0" w:type="dxa"/>
            <w:bottom w:w="0" w:type="dxa"/>
            <w:right w:w="0" w:type="dxa"/>
          </w:tblCellMar>
        </w:tblPrEx>
        <w:trPr>
          <w:wBefore w:w="0" w:type="auto"/>
          <w:tblCellSpacing w:w="0" w:type="dxa"/>
        </w:trPr>
        <w:tc>
          <w:tcPr>
            <w:tcW w:w="0" w:type="auto"/>
            <w:noWrap w:val="0"/>
            <w:vAlign w:val="center"/>
          </w:tcPr>
          <w:p w14:paraId="428EB725">
            <w:r>
              <w:rPr>
                <w:rStyle w:val="10"/>
                <w:rFonts w:hint="eastAsia"/>
              </w:rPr>
              <w:t>质量保证期：</w:t>
            </w:r>
            <w:r>
              <w:rPr>
                <w:rStyle w:val="11"/>
                <w:rFonts w:hint="eastAsia"/>
              </w:rPr>
              <w:t>2年</w:t>
            </w:r>
          </w:p>
        </w:tc>
      </w:tr>
      <w:tr w14:paraId="3D05E573">
        <w:tblPrEx>
          <w:tblCellMar>
            <w:top w:w="0" w:type="dxa"/>
            <w:left w:w="0" w:type="dxa"/>
            <w:bottom w:w="0" w:type="dxa"/>
            <w:right w:w="0" w:type="dxa"/>
          </w:tblCellMar>
        </w:tblPrEx>
        <w:trPr>
          <w:wBefore w:w="0" w:type="auto"/>
          <w:tblCellSpacing w:w="0" w:type="dxa"/>
        </w:trPr>
        <w:tc>
          <w:tcPr>
            <w:tcW w:w="0" w:type="auto"/>
            <w:noWrap w:val="0"/>
            <w:vAlign w:val="center"/>
          </w:tcPr>
          <w:p w14:paraId="352168F1">
            <w:r>
              <w:rPr>
                <w:rStyle w:val="10"/>
                <w:rFonts w:hint="eastAsia"/>
              </w:rPr>
              <w:t>备注：</w:t>
            </w:r>
          </w:p>
        </w:tc>
      </w:tr>
    </w:tbl>
    <w:p w14:paraId="7C731A9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6109DA">
        <w:tblPrEx>
          <w:tblCellMar>
            <w:top w:w="0" w:type="dxa"/>
            <w:left w:w="0" w:type="dxa"/>
            <w:bottom w:w="0" w:type="dxa"/>
            <w:right w:w="0" w:type="dxa"/>
          </w:tblCellMar>
        </w:tblPrEx>
        <w:trPr>
          <w:wBefore w:w="0" w:type="auto"/>
          <w:tblCellSpacing w:w="0" w:type="dxa"/>
        </w:trPr>
        <w:tc>
          <w:tcPr>
            <w:tcW w:w="0" w:type="auto"/>
            <w:noWrap w:val="0"/>
            <w:vAlign w:val="center"/>
          </w:tcPr>
          <w:p w14:paraId="3DAC6ABF">
            <w:r>
              <w:rPr>
                <w:rStyle w:val="10"/>
                <w:rFonts w:hint="eastAsia"/>
              </w:rPr>
              <w:t>登记证号：</w:t>
            </w:r>
            <w:r>
              <w:rPr>
                <w:rFonts w:hint="eastAsia"/>
              </w:rPr>
              <w:t>PD20212620</w:t>
            </w:r>
          </w:p>
        </w:tc>
      </w:tr>
      <w:tr w14:paraId="46FB19F4">
        <w:tblPrEx>
          <w:tblCellMar>
            <w:top w:w="0" w:type="dxa"/>
            <w:left w:w="0" w:type="dxa"/>
            <w:bottom w:w="0" w:type="dxa"/>
            <w:right w:w="0" w:type="dxa"/>
          </w:tblCellMar>
        </w:tblPrEx>
        <w:trPr>
          <w:wBefore w:w="0" w:type="auto"/>
          <w:tblCellSpacing w:w="0" w:type="dxa"/>
        </w:trPr>
        <w:tc>
          <w:tcPr>
            <w:tcW w:w="0" w:type="auto"/>
            <w:noWrap w:val="0"/>
            <w:vAlign w:val="center"/>
          </w:tcPr>
          <w:p w14:paraId="2DC78F44">
            <w:r>
              <w:rPr>
                <w:rStyle w:val="10"/>
                <w:rFonts w:hint="eastAsia"/>
              </w:rPr>
              <w:t>登记证持有人：</w:t>
            </w:r>
            <w:r>
              <w:rPr>
                <w:rFonts w:hint="eastAsia"/>
              </w:rPr>
              <w:t>浙江中山化工集团股份有限公司</w:t>
            </w:r>
          </w:p>
        </w:tc>
      </w:tr>
      <w:tr w14:paraId="33E9282C">
        <w:tblPrEx>
          <w:tblCellMar>
            <w:top w:w="0" w:type="dxa"/>
            <w:left w:w="0" w:type="dxa"/>
            <w:bottom w:w="0" w:type="dxa"/>
            <w:right w:w="0" w:type="dxa"/>
          </w:tblCellMar>
        </w:tblPrEx>
        <w:trPr>
          <w:wBefore w:w="0" w:type="auto"/>
          <w:tblCellSpacing w:w="0" w:type="dxa"/>
        </w:trPr>
        <w:tc>
          <w:tcPr>
            <w:tcW w:w="0" w:type="auto"/>
            <w:noWrap w:val="0"/>
            <w:vAlign w:val="center"/>
          </w:tcPr>
          <w:p w14:paraId="3C2A1D80">
            <w:r>
              <w:rPr>
                <w:rStyle w:val="10"/>
                <w:rFonts w:hint="eastAsia"/>
              </w:rPr>
              <w:t>农药名称：</w:t>
            </w:r>
            <w:r>
              <w:rPr>
                <w:rFonts w:hint="eastAsia"/>
              </w:rPr>
              <w:t>五氟·氯氟吡</w:t>
            </w:r>
          </w:p>
        </w:tc>
      </w:tr>
      <w:tr w14:paraId="26E3BDB1">
        <w:tblPrEx>
          <w:tblCellMar>
            <w:top w:w="0" w:type="dxa"/>
            <w:left w:w="0" w:type="dxa"/>
            <w:bottom w:w="0" w:type="dxa"/>
            <w:right w:w="0" w:type="dxa"/>
          </w:tblCellMar>
        </w:tblPrEx>
        <w:trPr>
          <w:wBefore w:w="0" w:type="auto"/>
          <w:tblCellSpacing w:w="0" w:type="dxa"/>
        </w:trPr>
        <w:tc>
          <w:tcPr>
            <w:tcW w:w="0" w:type="auto"/>
            <w:noWrap w:val="0"/>
            <w:vAlign w:val="center"/>
          </w:tcPr>
          <w:p w14:paraId="6E367B34">
            <w:r>
              <w:rPr>
                <w:rStyle w:val="10"/>
                <w:rFonts w:hint="eastAsia"/>
              </w:rPr>
              <w:t>剂型：</w:t>
            </w:r>
            <w:r>
              <w:rPr>
                <w:rFonts w:hint="eastAsia"/>
              </w:rPr>
              <w:t>可分散油悬浮剂</w:t>
            </w:r>
          </w:p>
        </w:tc>
      </w:tr>
      <w:tr w14:paraId="43A3753B">
        <w:tblPrEx>
          <w:tblCellMar>
            <w:top w:w="0" w:type="dxa"/>
            <w:left w:w="0" w:type="dxa"/>
            <w:bottom w:w="0" w:type="dxa"/>
            <w:right w:w="0" w:type="dxa"/>
          </w:tblCellMar>
        </w:tblPrEx>
        <w:trPr>
          <w:wBefore w:w="0" w:type="auto"/>
          <w:tblCellSpacing w:w="0" w:type="dxa"/>
        </w:trPr>
        <w:tc>
          <w:tcPr>
            <w:tcW w:w="0" w:type="auto"/>
            <w:noWrap w:val="0"/>
            <w:vAlign w:val="center"/>
          </w:tcPr>
          <w:p w14:paraId="3E9CE0C5">
            <w:r>
              <w:rPr>
                <w:rStyle w:val="10"/>
                <w:rFonts w:hint="eastAsia"/>
              </w:rPr>
              <w:t>毒性及其标识：</w:t>
            </w:r>
            <w:r>
              <w:rPr>
                <w:rFonts w:hint="eastAsia"/>
              </w:rPr>
              <w:t xml:space="preserve"> </w:t>
            </w:r>
            <w:r>
              <w:rPr>
                <w:lang/>
              </w:rPr>
              <w:drawing>
                <wp:inline distT="0" distB="0" distL="114300" distR="114300">
                  <wp:extent cx="476250" cy="323850"/>
                  <wp:effectExtent l="0" t="0" r="0" b="0"/>
                  <wp:docPr id="92" name="图片 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CD20F6">
        <w:tblPrEx>
          <w:tblCellMar>
            <w:top w:w="0" w:type="dxa"/>
            <w:left w:w="0" w:type="dxa"/>
            <w:bottom w:w="0" w:type="dxa"/>
            <w:right w:w="0" w:type="dxa"/>
          </w:tblCellMar>
        </w:tblPrEx>
        <w:trPr>
          <w:wBefore w:w="0" w:type="auto"/>
          <w:tblCellSpacing w:w="0" w:type="dxa"/>
        </w:trPr>
        <w:tc>
          <w:tcPr>
            <w:tcW w:w="0" w:type="auto"/>
            <w:noWrap w:val="0"/>
            <w:vAlign w:val="center"/>
          </w:tcPr>
          <w:p w14:paraId="0EB2A351">
            <w:r>
              <w:rPr>
                <w:rStyle w:val="10"/>
                <w:rFonts w:hint="eastAsia"/>
              </w:rPr>
              <w:t>总有效成分含量：</w:t>
            </w:r>
            <w:r>
              <w:rPr>
                <w:rFonts w:hint="eastAsia"/>
              </w:rPr>
              <w:t>29%</w:t>
            </w:r>
          </w:p>
        </w:tc>
      </w:tr>
      <w:tr w14:paraId="46F8413A">
        <w:tblPrEx>
          <w:tblCellMar>
            <w:top w:w="0" w:type="dxa"/>
            <w:left w:w="0" w:type="dxa"/>
            <w:bottom w:w="0" w:type="dxa"/>
            <w:right w:w="0" w:type="dxa"/>
          </w:tblCellMar>
        </w:tblPrEx>
        <w:trPr>
          <w:wBefore w:w="0" w:type="auto"/>
          <w:tblCellSpacing w:w="0" w:type="dxa"/>
        </w:trPr>
        <w:tc>
          <w:tcPr>
            <w:tcW w:w="0" w:type="auto"/>
            <w:noWrap w:val="0"/>
            <w:vAlign w:val="center"/>
          </w:tcPr>
          <w:p w14:paraId="1C5E5B8E">
            <w:r>
              <w:rPr>
                <w:rFonts w:hint="eastAsia"/>
              </w:rPr>
              <w:t xml:space="preserve">有效成分及其含量： </w:t>
            </w:r>
          </w:p>
          <w:p w14:paraId="25686996">
            <w:r>
              <w:rPr>
                <w:rFonts w:hint="eastAsia"/>
              </w:rPr>
              <w:t xml:space="preserve">    五氟磺草胺3%    氯氟吡氧乙酸异辛酯26%    </w:t>
            </w:r>
          </w:p>
        </w:tc>
      </w:tr>
      <w:tr w14:paraId="1958C91B">
        <w:tblPrEx>
          <w:tblCellMar>
            <w:top w:w="0" w:type="dxa"/>
            <w:left w:w="0" w:type="dxa"/>
            <w:bottom w:w="0" w:type="dxa"/>
            <w:right w:w="0" w:type="dxa"/>
          </w:tblCellMar>
        </w:tblPrEx>
        <w:trPr>
          <w:wBefore w:w="0" w:type="auto"/>
          <w:tblCellSpacing w:w="0" w:type="dxa"/>
        </w:trPr>
        <w:tc>
          <w:tcPr>
            <w:tcW w:w="0" w:type="auto"/>
            <w:noWrap w:val="0"/>
            <w:vAlign w:val="center"/>
          </w:tcPr>
          <w:p w14:paraId="11A756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F684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E8BD9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CE06D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661E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0404FB">
                  <w:r>
                    <w:rPr>
                      <w:rStyle w:val="11"/>
                      <w:rFonts w:hint="eastAsia"/>
                    </w:rPr>
                    <w:t>施用方式</w:t>
                  </w:r>
                </w:p>
              </w:tc>
            </w:tr>
            <w:tr w14:paraId="6226B4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8CDAE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895F9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A3858C">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8178F2">
                  <w:r>
                    <w:rPr>
                      <w:rStyle w:val="11"/>
                      <w:rFonts w:hint="eastAsia"/>
                    </w:rPr>
                    <w:t>茎叶喷雾</w:t>
                  </w:r>
                </w:p>
              </w:tc>
            </w:tr>
          </w:tbl>
          <w:p w14:paraId="597ED147">
            <w:pPr>
              <w:rPr>
                <w:rFonts w:ascii="Times New Roman" w:hAnsi="Times New Roman" w:cs="Times New Roman"/>
                <w:sz w:val="20"/>
                <w:szCs w:val="20"/>
              </w:rPr>
            </w:pPr>
          </w:p>
        </w:tc>
      </w:tr>
      <w:tr w14:paraId="6EF363B0">
        <w:tblPrEx>
          <w:tblCellMar>
            <w:top w:w="0" w:type="dxa"/>
            <w:left w:w="0" w:type="dxa"/>
            <w:bottom w:w="0" w:type="dxa"/>
            <w:right w:w="0" w:type="dxa"/>
          </w:tblCellMar>
        </w:tblPrEx>
        <w:trPr>
          <w:wBefore w:w="0" w:type="auto"/>
          <w:tblCellSpacing w:w="0" w:type="dxa"/>
        </w:trPr>
        <w:tc>
          <w:tcPr>
            <w:tcW w:w="0" w:type="auto"/>
            <w:noWrap w:val="0"/>
            <w:vAlign w:val="center"/>
          </w:tcPr>
          <w:p w14:paraId="0006168E">
            <w:r>
              <w:rPr>
                <w:rStyle w:val="10"/>
                <w:rFonts w:hint="eastAsia"/>
              </w:rPr>
              <w:t>使用技术要求:</w:t>
            </w:r>
            <w:r>
              <w:rPr>
                <w:rFonts w:hint="eastAsia"/>
              </w:rPr>
              <w:br w:type="textWrapping"/>
            </w:r>
            <w:r>
              <w:rPr>
                <w:rStyle w:val="11"/>
                <w:rFonts w:hint="eastAsia"/>
              </w:rPr>
              <w:t xml:space="preserve">1、 本品应于水稻出苗后，稗草等杂草2-3叶期，茎叶喷雾处理。施药前排干田水，使杂草茎叶2/3以上露出水面，药后24-72小时灌水，保水5-7天后正常管理。施药时及施药后1-2天内，水层不能浸没水稻秧心。 2、 每季作物使用1次。 </w:t>
            </w:r>
          </w:p>
        </w:tc>
      </w:tr>
      <w:tr w14:paraId="0C307932">
        <w:tblPrEx>
          <w:tblCellMar>
            <w:top w:w="0" w:type="dxa"/>
            <w:left w:w="0" w:type="dxa"/>
            <w:bottom w:w="0" w:type="dxa"/>
            <w:right w:w="0" w:type="dxa"/>
          </w:tblCellMar>
        </w:tblPrEx>
        <w:trPr>
          <w:wBefore w:w="0" w:type="auto"/>
          <w:tblCellSpacing w:w="0" w:type="dxa"/>
        </w:trPr>
        <w:tc>
          <w:tcPr>
            <w:tcW w:w="0" w:type="auto"/>
            <w:noWrap w:val="0"/>
            <w:vAlign w:val="center"/>
          </w:tcPr>
          <w:p w14:paraId="5C209329">
            <w:r>
              <w:rPr>
                <w:rStyle w:val="10"/>
                <w:rFonts w:hint="eastAsia"/>
              </w:rPr>
              <w:t>产品性能:</w:t>
            </w:r>
            <w:r>
              <w:rPr>
                <w:rFonts w:hint="eastAsia"/>
              </w:rPr>
              <w:br w:type="textWrapping"/>
            </w:r>
            <w:r>
              <w:rPr>
                <w:rStyle w:val="11"/>
                <w:rFonts w:hint="eastAsia"/>
              </w:rPr>
              <w:t>五氟磺草胺属磺酰胺类除草剂，抑制乙酰乳酸合成酶ALS或乙酰羟酸合成酶AHAS活性，为选择性内吸型苗前苗后处理除草剂；氯氟吡氧乙酸异辛酯属吡啶类除草剂，是内吸传导型苗后茎叶处理除草剂。两者混配可用于防治水稻田（直播）一年生杂草。</w:t>
            </w:r>
          </w:p>
        </w:tc>
      </w:tr>
      <w:tr w14:paraId="3305A13B">
        <w:tblPrEx>
          <w:tblCellMar>
            <w:top w:w="0" w:type="dxa"/>
            <w:left w:w="0" w:type="dxa"/>
            <w:bottom w:w="0" w:type="dxa"/>
            <w:right w:w="0" w:type="dxa"/>
          </w:tblCellMar>
        </w:tblPrEx>
        <w:trPr>
          <w:wBefore w:w="0" w:type="auto"/>
          <w:tblCellSpacing w:w="0" w:type="dxa"/>
        </w:trPr>
        <w:tc>
          <w:tcPr>
            <w:tcW w:w="0" w:type="auto"/>
            <w:noWrap w:val="0"/>
            <w:vAlign w:val="center"/>
          </w:tcPr>
          <w:p w14:paraId="135FA4BA">
            <w:r>
              <w:rPr>
                <w:rStyle w:val="10"/>
                <w:rFonts w:hint="eastAsia"/>
              </w:rPr>
              <w:t>注意事项：</w:t>
            </w:r>
            <w:r>
              <w:rPr>
                <w:rFonts w:hint="eastAsia"/>
              </w:rPr>
              <w:br w:type="textWrapping"/>
            </w:r>
            <w:r>
              <w:rPr>
                <w:rStyle w:val="11"/>
                <w:rFonts w:hint="eastAsia"/>
              </w:rPr>
              <w:t xml:space="preserve">（1）使用本品时避免皮肤接触及口鼻吸入，使用中不可吸烟、饮水及吃东西，使用后及时用大量清水和肥皂清洗手、脸等暴露部位皮肤并更换衣物。 （2）穿戴口罩、长衣、长裤、手套、鞋等，并时刻关注对施药人员的健康风险。 （3）本品对水生生物有毒，远离水产养殖区、河塘等水体施药，禁止在河塘等水体中清洗施药器具；鱼或虾蟹套养稻田禁用，施药后的田水不得直接排入水体。 （4）对家蚕有风险，不可使用最外围桑树上的叶片饲喂家蚕。 （5）用过的容器应妥善处理，不可做他用，也不可随意丢弃。 （6）禁止儿童、孕妇及哺乳期的妇女接触。过敏者禁用，使用中有任何不良反应请及时就医。 </w:t>
            </w:r>
          </w:p>
        </w:tc>
      </w:tr>
      <w:tr w14:paraId="4ED3FCAB">
        <w:tblPrEx>
          <w:tblCellMar>
            <w:top w:w="0" w:type="dxa"/>
            <w:left w:w="0" w:type="dxa"/>
            <w:bottom w:w="0" w:type="dxa"/>
            <w:right w:w="0" w:type="dxa"/>
          </w:tblCellMar>
        </w:tblPrEx>
        <w:trPr>
          <w:wBefore w:w="0" w:type="auto"/>
          <w:tblCellSpacing w:w="0" w:type="dxa"/>
        </w:trPr>
        <w:tc>
          <w:tcPr>
            <w:tcW w:w="0" w:type="auto"/>
            <w:noWrap w:val="0"/>
            <w:vAlign w:val="center"/>
          </w:tcPr>
          <w:p w14:paraId="415D2E69">
            <w:r>
              <w:rPr>
                <w:rStyle w:val="10"/>
                <w:rFonts w:hint="eastAsia"/>
              </w:rPr>
              <w:t>中毒急救措施：</w:t>
            </w:r>
            <w:r>
              <w:rPr>
                <w:rFonts w:hint="eastAsia"/>
              </w:rPr>
              <w:br w:type="textWrapping"/>
            </w:r>
            <w:r>
              <w:rPr>
                <w:rStyle w:val="11"/>
                <w:rFonts w:hint="eastAsia"/>
              </w:rPr>
              <w:t xml:space="preserve">中毒症状：对眼睛、皮肤有轻度刺激性。 急救措施：使用中或使用后如果感觉不适，应立即停止工作，采取急救措施，并携带标签送医院就诊。 皮肤接触：立即脱去污染衣物，用软布去除沾染农药，立即用大量清水和肥皂冲洗。眼睛接触：用流动的清水冲洗至少15分钟。吸入：立即离开施药现场，转移到空气清新处。误服：立即停止服用，用清水充分漱口后，携带农药标签到医院就诊。 </w:t>
            </w:r>
          </w:p>
        </w:tc>
      </w:tr>
      <w:tr w14:paraId="63BFE244">
        <w:tblPrEx>
          <w:tblCellMar>
            <w:top w:w="0" w:type="dxa"/>
            <w:left w:w="0" w:type="dxa"/>
            <w:bottom w:w="0" w:type="dxa"/>
            <w:right w:w="0" w:type="dxa"/>
          </w:tblCellMar>
        </w:tblPrEx>
        <w:trPr>
          <w:wBefore w:w="0" w:type="auto"/>
          <w:tblCellSpacing w:w="0" w:type="dxa"/>
        </w:trPr>
        <w:tc>
          <w:tcPr>
            <w:tcW w:w="0" w:type="auto"/>
            <w:noWrap w:val="0"/>
            <w:vAlign w:val="center"/>
          </w:tcPr>
          <w:p w14:paraId="735D196A">
            <w:r>
              <w:rPr>
                <w:rStyle w:val="10"/>
                <w:rFonts w:hint="eastAsia"/>
              </w:rPr>
              <w:t>储存和运输方法：</w:t>
            </w:r>
            <w:r>
              <w:rPr>
                <w:rFonts w:hint="eastAsia"/>
              </w:rPr>
              <w:br w:type="textWrapping"/>
            </w:r>
            <w:r>
              <w:rPr>
                <w:rStyle w:val="11"/>
                <w:rFonts w:hint="eastAsia"/>
              </w:rPr>
              <w:t>本品应贮存在干燥、阴凉、通风、防雨处，远离火源或热源，避免与氧化剂接触。置于儿童接触不到的地方。不能与食品、饮料、粮食、饲料等混合储存。</w:t>
            </w:r>
          </w:p>
        </w:tc>
      </w:tr>
      <w:tr w14:paraId="74302261">
        <w:tblPrEx>
          <w:tblCellMar>
            <w:top w:w="0" w:type="dxa"/>
            <w:left w:w="0" w:type="dxa"/>
            <w:bottom w:w="0" w:type="dxa"/>
            <w:right w:w="0" w:type="dxa"/>
          </w:tblCellMar>
        </w:tblPrEx>
        <w:trPr>
          <w:wBefore w:w="0" w:type="auto"/>
          <w:tblCellSpacing w:w="0" w:type="dxa"/>
        </w:trPr>
        <w:tc>
          <w:tcPr>
            <w:tcW w:w="0" w:type="auto"/>
            <w:noWrap w:val="0"/>
            <w:vAlign w:val="center"/>
          </w:tcPr>
          <w:p w14:paraId="60C244EC">
            <w:r>
              <w:rPr>
                <w:rStyle w:val="10"/>
                <w:rFonts w:hint="eastAsia"/>
              </w:rPr>
              <w:t>质量保证期：</w:t>
            </w:r>
            <w:r>
              <w:rPr>
                <w:rStyle w:val="11"/>
                <w:rFonts w:hint="eastAsia"/>
              </w:rPr>
              <w:t>2</w:t>
            </w:r>
          </w:p>
        </w:tc>
      </w:tr>
      <w:tr w14:paraId="63E60EAE">
        <w:tblPrEx>
          <w:tblCellMar>
            <w:top w:w="0" w:type="dxa"/>
            <w:left w:w="0" w:type="dxa"/>
            <w:bottom w:w="0" w:type="dxa"/>
            <w:right w:w="0" w:type="dxa"/>
          </w:tblCellMar>
        </w:tblPrEx>
        <w:trPr>
          <w:wBefore w:w="0" w:type="auto"/>
          <w:tblCellSpacing w:w="0" w:type="dxa"/>
        </w:trPr>
        <w:tc>
          <w:tcPr>
            <w:tcW w:w="0" w:type="auto"/>
            <w:noWrap w:val="0"/>
            <w:vAlign w:val="center"/>
          </w:tcPr>
          <w:p w14:paraId="57C9A551">
            <w:r>
              <w:rPr>
                <w:rStyle w:val="10"/>
                <w:rFonts w:hint="eastAsia"/>
              </w:rPr>
              <w:t>备注：</w:t>
            </w:r>
          </w:p>
        </w:tc>
      </w:tr>
    </w:tbl>
    <w:p w14:paraId="2A4EB12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D37F3D">
        <w:tblPrEx>
          <w:tblCellMar>
            <w:top w:w="0" w:type="dxa"/>
            <w:left w:w="0" w:type="dxa"/>
            <w:bottom w:w="0" w:type="dxa"/>
            <w:right w:w="0" w:type="dxa"/>
          </w:tblCellMar>
        </w:tblPrEx>
        <w:trPr>
          <w:wBefore w:w="0" w:type="auto"/>
          <w:tblCellSpacing w:w="0" w:type="dxa"/>
        </w:trPr>
        <w:tc>
          <w:tcPr>
            <w:tcW w:w="0" w:type="auto"/>
            <w:noWrap w:val="0"/>
            <w:vAlign w:val="center"/>
          </w:tcPr>
          <w:p w14:paraId="1D0AEC8E">
            <w:r>
              <w:rPr>
                <w:rStyle w:val="10"/>
                <w:rFonts w:hint="eastAsia"/>
              </w:rPr>
              <w:t>登记证号：</w:t>
            </w:r>
            <w:r>
              <w:rPr>
                <w:rFonts w:hint="eastAsia"/>
              </w:rPr>
              <w:t>PD20212476</w:t>
            </w:r>
          </w:p>
        </w:tc>
      </w:tr>
      <w:tr w14:paraId="50D498FA">
        <w:tblPrEx>
          <w:tblCellMar>
            <w:top w:w="0" w:type="dxa"/>
            <w:left w:w="0" w:type="dxa"/>
            <w:bottom w:w="0" w:type="dxa"/>
            <w:right w:w="0" w:type="dxa"/>
          </w:tblCellMar>
        </w:tblPrEx>
        <w:trPr>
          <w:wBefore w:w="0" w:type="auto"/>
          <w:tblCellSpacing w:w="0" w:type="dxa"/>
        </w:trPr>
        <w:tc>
          <w:tcPr>
            <w:tcW w:w="0" w:type="auto"/>
            <w:noWrap w:val="0"/>
            <w:vAlign w:val="center"/>
          </w:tcPr>
          <w:p w14:paraId="3D20239A">
            <w:r>
              <w:rPr>
                <w:rStyle w:val="10"/>
                <w:rFonts w:hint="eastAsia"/>
              </w:rPr>
              <w:t>登记证持有人：</w:t>
            </w:r>
            <w:r>
              <w:rPr>
                <w:rFonts w:hint="eastAsia"/>
              </w:rPr>
              <w:t>浙江中山化工集团股份有限公司</w:t>
            </w:r>
          </w:p>
        </w:tc>
      </w:tr>
      <w:tr w14:paraId="7249B80F">
        <w:tblPrEx>
          <w:tblCellMar>
            <w:top w:w="0" w:type="dxa"/>
            <w:left w:w="0" w:type="dxa"/>
            <w:bottom w:w="0" w:type="dxa"/>
            <w:right w:w="0" w:type="dxa"/>
          </w:tblCellMar>
        </w:tblPrEx>
        <w:trPr>
          <w:wBefore w:w="0" w:type="auto"/>
          <w:tblCellSpacing w:w="0" w:type="dxa"/>
        </w:trPr>
        <w:tc>
          <w:tcPr>
            <w:tcW w:w="0" w:type="auto"/>
            <w:noWrap w:val="0"/>
            <w:vAlign w:val="center"/>
          </w:tcPr>
          <w:p w14:paraId="41D1EF75">
            <w:r>
              <w:rPr>
                <w:rStyle w:val="10"/>
                <w:rFonts w:hint="eastAsia"/>
              </w:rPr>
              <w:t>农药名称：</w:t>
            </w:r>
            <w:r>
              <w:rPr>
                <w:rFonts w:hint="eastAsia"/>
              </w:rPr>
              <w:t>甲酰氨基嘧磺隆</w:t>
            </w:r>
          </w:p>
        </w:tc>
      </w:tr>
      <w:tr w14:paraId="54B16713">
        <w:tblPrEx>
          <w:tblCellMar>
            <w:top w:w="0" w:type="dxa"/>
            <w:left w:w="0" w:type="dxa"/>
            <w:bottom w:w="0" w:type="dxa"/>
            <w:right w:w="0" w:type="dxa"/>
          </w:tblCellMar>
        </w:tblPrEx>
        <w:trPr>
          <w:wBefore w:w="0" w:type="auto"/>
          <w:tblCellSpacing w:w="0" w:type="dxa"/>
        </w:trPr>
        <w:tc>
          <w:tcPr>
            <w:tcW w:w="0" w:type="auto"/>
            <w:noWrap w:val="0"/>
            <w:vAlign w:val="center"/>
          </w:tcPr>
          <w:p w14:paraId="01653000">
            <w:r>
              <w:rPr>
                <w:rStyle w:val="10"/>
                <w:rFonts w:hint="eastAsia"/>
              </w:rPr>
              <w:t>剂型：</w:t>
            </w:r>
            <w:r>
              <w:rPr>
                <w:rFonts w:hint="eastAsia"/>
              </w:rPr>
              <w:t>水分散粒剂</w:t>
            </w:r>
          </w:p>
        </w:tc>
      </w:tr>
      <w:tr w14:paraId="7837AE42">
        <w:tblPrEx>
          <w:tblCellMar>
            <w:top w:w="0" w:type="dxa"/>
            <w:left w:w="0" w:type="dxa"/>
            <w:bottom w:w="0" w:type="dxa"/>
            <w:right w:w="0" w:type="dxa"/>
          </w:tblCellMar>
        </w:tblPrEx>
        <w:trPr>
          <w:wBefore w:w="0" w:type="auto"/>
          <w:tblCellSpacing w:w="0" w:type="dxa"/>
        </w:trPr>
        <w:tc>
          <w:tcPr>
            <w:tcW w:w="0" w:type="auto"/>
            <w:noWrap w:val="0"/>
            <w:vAlign w:val="center"/>
          </w:tcPr>
          <w:p w14:paraId="28C4B33E">
            <w:r>
              <w:rPr>
                <w:rStyle w:val="10"/>
                <w:rFonts w:hint="eastAsia"/>
              </w:rPr>
              <w:t>毒性及其标识：</w:t>
            </w:r>
            <w:r>
              <w:rPr>
                <w:rFonts w:hint="eastAsia"/>
              </w:rPr>
              <w:t xml:space="preserve"> </w:t>
            </w:r>
            <w:r>
              <w:rPr>
                <w:lang/>
              </w:rPr>
              <w:drawing>
                <wp:inline distT="0" distB="0" distL="114300" distR="114300">
                  <wp:extent cx="476250" cy="323850"/>
                  <wp:effectExtent l="0" t="0" r="0" b="0"/>
                  <wp:docPr id="93" name="图片 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1328F6">
        <w:tblPrEx>
          <w:tblCellMar>
            <w:top w:w="0" w:type="dxa"/>
            <w:left w:w="0" w:type="dxa"/>
            <w:bottom w:w="0" w:type="dxa"/>
            <w:right w:w="0" w:type="dxa"/>
          </w:tblCellMar>
        </w:tblPrEx>
        <w:trPr>
          <w:wBefore w:w="0" w:type="auto"/>
          <w:tblCellSpacing w:w="0" w:type="dxa"/>
        </w:trPr>
        <w:tc>
          <w:tcPr>
            <w:tcW w:w="0" w:type="auto"/>
            <w:noWrap w:val="0"/>
            <w:vAlign w:val="center"/>
          </w:tcPr>
          <w:p w14:paraId="2396BAAD">
            <w:r>
              <w:rPr>
                <w:rStyle w:val="10"/>
                <w:rFonts w:hint="eastAsia"/>
              </w:rPr>
              <w:t>总有效成分含量：</w:t>
            </w:r>
            <w:r>
              <w:rPr>
                <w:rFonts w:hint="eastAsia"/>
              </w:rPr>
              <w:t>30%</w:t>
            </w:r>
          </w:p>
        </w:tc>
      </w:tr>
      <w:tr w14:paraId="318A02DB">
        <w:tblPrEx>
          <w:tblCellMar>
            <w:top w:w="0" w:type="dxa"/>
            <w:left w:w="0" w:type="dxa"/>
            <w:bottom w:w="0" w:type="dxa"/>
            <w:right w:w="0" w:type="dxa"/>
          </w:tblCellMar>
        </w:tblPrEx>
        <w:trPr>
          <w:wBefore w:w="0" w:type="auto"/>
          <w:tblCellSpacing w:w="0" w:type="dxa"/>
        </w:trPr>
        <w:tc>
          <w:tcPr>
            <w:tcW w:w="0" w:type="auto"/>
            <w:noWrap w:val="0"/>
            <w:vAlign w:val="center"/>
          </w:tcPr>
          <w:p w14:paraId="50B07F9A">
            <w:r>
              <w:rPr>
                <w:rFonts w:hint="eastAsia"/>
              </w:rPr>
              <w:t xml:space="preserve">有效成分及其含量： </w:t>
            </w:r>
          </w:p>
          <w:p w14:paraId="07FFC529">
            <w:r>
              <w:rPr>
                <w:rFonts w:hint="eastAsia"/>
              </w:rPr>
              <w:t xml:space="preserve">    甲酰氨基嘧磺隆30%    </w:t>
            </w:r>
          </w:p>
        </w:tc>
      </w:tr>
      <w:tr w14:paraId="2D79C681">
        <w:tblPrEx>
          <w:tblCellMar>
            <w:top w:w="0" w:type="dxa"/>
            <w:left w:w="0" w:type="dxa"/>
            <w:bottom w:w="0" w:type="dxa"/>
            <w:right w:w="0" w:type="dxa"/>
          </w:tblCellMar>
        </w:tblPrEx>
        <w:trPr>
          <w:wBefore w:w="0" w:type="auto"/>
          <w:tblCellSpacing w:w="0" w:type="dxa"/>
        </w:trPr>
        <w:tc>
          <w:tcPr>
            <w:tcW w:w="0" w:type="auto"/>
            <w:noWrap w:val="0"/>
            <w:vAlign w:val="center"/>
          </w:tcPr>
          <w:p w14:paraId="6E2824C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3108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17403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5CEB9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A508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E0B154">
                  <w:r>
                    <w:rPr>
                      <w:rStyle w:val="11"/>
                      <w:rFonts w:hint="eastAsia"/>
                    </w:rPr>
                    <w:t>施用方式</w:t>
                  </w:r>
                </w:p>
              </w:tc>
            </w:tr>
            <w:tr w14:paraId="6B1B2E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03FFAD">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B469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2C25CA">
                  <w:r>
                    <w:rPr>
                      <w:rStyle w:val="11"/>
                      <w:rFonts w:hint="eastAsia"/>
                    </w:rPr>
                    <w:t>9-13克/亩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087F40">
                  <w:r>
                    <w:rPr>
                      <w:rStyle w:val="11"/>
                      <w:rFonts w:hint="eastAsia"/>
                    </w:rPr>
                    <w:t>茎叶喷雾</w:t>
                  </w:r>
                </w:p>
              </w:tc>
            </w:tr>
          </w:tbl>
          <w:p w14:paraId="3B4D8699">
            <w:pPr>
              <w:rPr>
                <w:rFonts w:ascii="Times New Roman" w:hAnsi="Times New Roman" w:cs="Times New Roman"/>
                <w:sz w:val="20"/>
                <w:szCs w:val="20"/>
              </w:rPr>
            </w:pPr>
          </w:p>
        </w:tc>
      </w:tr>
      <w:tr w14:paraId="2DDF5DB3">
        <w:tblPrEx>
          <w:tblCellMar>
            <w:top w:w="0" w:type="dxa"/>
            <w:left w:w="0" w:type="dxa"/>
            <w:bottom w:w="0" w:type="dxa"/>
            <w:right w:w="0" w:type="dxa"/>
          </w:tblCellMar>
        </w:tblPrEx>
        <w:trPr>
          <w:wBefore w:w="0" w:type="auto"/>
          <w:tblCellSpacing w:w="0" w:type="dxa"/>
        </w:trPr>
        <w:tc>
          <w:tcPr>
            <w:tcW w:w="0" w:type="auto"/>
            <w:noWrap w:val="0"/>
            <w:vAlign w:val="center"/>
          </w:tcPr>
          <w:p w14:paraId="77188085">
            <w:r>
              <w:rPr>
                <w:rStyle w:val="10"/>
                <w:rFonts w:hint="eastAsia"/>
              </w:rPr>
              <w:t>使用技术要求:</w:t>
            </w:r>
            <w:r>
              <w:rPr>
                <w:rFonts w:hint="eastAsia"/>
              </w:rPr>
              <w:br w:type="textWrapping"/>
            </w:r>
            <w:r>
              <w:rPr>
                <w:rStyle w:val="11"/>
                <w:rFonts w:hint="eastAsia"/>
              </w:rPr>
              <w:t>1、应根据推荐剂量于玉米3-6叶期，杂草2-5叶期施用，兑水茎叶喷雾处理。 2、大风天或预计1小时之内有雨，请勿施药。 3、每季最多使用1次。</w:t>
            </w:r>
          </w:p>
        </w:tc>
      </w:tr>
      <w:tr w14:paraId="6B9C860C">
        <w:tblPrEx>
          <w:tblCellMar>
            <w:top w:w="0" w:type="dxa"/>
            <w:left w:w="0" w:type="dxa"/>
            <w:bottom w:w="0" w:type="dxa"/>
            <w:right w:w="0" w:type="dxa"/>
          </w:tblCellMar>
        </w:tblPrEx>
        <w:trPr>
          <w:wBefore w:w="0" w:type="auto"/>
          <w:tblCellSpacing w:w="0" w:type="dxa"/>
        </w:trPr>
        <w:tc>
          <w:tcPr>
            <w:tcW w:w="0" w:type="auto"/>
            <w:noWrap w:val="0"/>
            <w:vAlign w:val="center"/>
          </w:tcPr>
          <w:p w14:paraId="35DC9669">
            <w:r>
              <w:rPr>
                <w:rStyle w:val="10"/>
                <w:rFonts w:hint="eastAsia"/>
              </w:rPr>
              <w:t>产品性能:</w:t>
            </w:r>
            <w:r>
              <w:rPr>
                <w:rFonts w:hint="eastAsia"/>
              </w:rPr>
              <w:br w:type="textWrapping"/>
            </w:r>
            <w:r>
              <w:rPr>
                <w:rStyle w:val="11"/>
                <w:rFonts w:hint="eastAsia"/>
              </w:rPr>
              <w:t>本品是选择性玉米田苗后除草剂，对大部分的玉米区禾本科杂草和阔叶杂草均有很高的防除效果。</w:t>
            </w:r>
          </w:p>
        </w:tc>
      </w:tr>
      <w:tr w14:paraId="20B2DFC6">
        <w:tblPrEx>
          <w:tblCellMar>
            <w:top w:w="0" w:type="dxa"/>
            <w:left w:w="0" w:type="dxa"/>
            <w:bottom w:w="0" w:type="dxa"/>
            <w:right w:w="0" w:type="dxa"/>
          </w:tblCellMar>
        </w:tblPrEx>
        <w:trPr>
          <w:wBefore w:w="0" w:type="auto"/>
          <w:tblCellSpacing w:w="0" w:type="dxa"/>
        </w:trPr>
        <w:tc>
          <w:tcPr>
            <w:tcW w:w="0" w:type="auto"/>
            <w:noWrap w:val="0"/>
            <w:vAlign w:val="center"/>
          </w:tcPr>
          <w:p w14:paraId="2F58977E">
            <w:r>
              <w:rPr>
                <w:rStyle w:val="10"/>
                <w:rFonts w:hint="eastAsia"/>
              </w:rPr>
              <w:t>注意事项：</w:t>
            </w:r>
            <w:r>
              <w:rPr>
                <w:rFonts w:hint="eastAsia"/>
              </w:rPr>
              <w:br w:type="textWrapping"/>
            </w:r>
            <w:r>
              <w:rPr>
                <w:rStyle w:val="11"/>
                <w:rFonts w:hint="eastAsia"/>
              </w:rPr>
              <w:t>1、请严格按照农药安全使用准则使用本品，每季最多使用1次。本品仅用于普通杂交玉米，即硬粒型、粉质型、马齿型及半马齿型杂交玉米上使用。施用后玉米品种幼苗可能出现暂时性白化和矮化现象，但一般1～3周左右消失，最终不影响产量。禁止在爆玉米、糯玉米（蜡质型）及各种类型的玉米自交系上使用；本剂对甜玉米敏感，施用后玉米幼苗会出现严重白化、 扭曲和矮化，请勿使用。2、使用本品时使用本品时应戴防护镜、口罩、手套、护目镜、穿防护服等安全防护用品。应避免药液接触皮肤和眼睛等身体部位。3、施用时避免雾滴飘移到临近作物，以免产生药害。4、操作本品时应禁止饮食、吸烟和饮水等。5、施药后应及时洗澡，清洗防护用具和衣物等。 6、使用过的空包装应妥善处理，切勿重复使用或作他用，也不可随意丢弃。7、药品及废液严禁污染各类水域、土壤等环境；严禁在河塘清洗施药器械。8、禁止孕妇及哺乳期妇女接触本品。</w:t>
            </w:r>
          </w:p>
        </w:tc>
      </w:tr>
      <w:tr w14:paraId="12304AF4">
        <w:tblPrEx>
          <w:tblCellMar>
            <w:top w:w="0" w:type="dxa"/>
            <w:left w:w="0" w:type="dxa"/>
            <w:bottom w:w="0" w:type="dxa"/>
            <w:right w:w="0" w:type="dxa"/>
          </w:tblCellMar>
        </w:tblPrEx>
        <w:trPr>
          <w:wBefore w:w="0" w:type="auto"/>
          <w:tblCellSpacing w:w="0" w:type="dxa"/>
        </w:trPr>
        <w:tc>
          <w:tcPr>
            <w:tcW w:w="0" w:type="auto"/>
            <w:noWrap w:val="0"/>
            <w:vAlign w:val="center"/>
          </w:tcPr>
          <w:p w14:paraId="0A61BC30">
            <w:r>
              <w:rPr>
                <w:rStyle w:val="10"/>
                <w:rFonts w:hint="eastAsia"/>
              </w:rPr>
              <w:t>中毒急救措施：</w:t>
            </w:r>
            <w:r>
              <w:rPr>
                <w:rFonts w:hint="eastAsia"/>
              </w:rPr>
              <w:br w:type="textWrapping"/>
            </w:r>
            <w:r>
              <w:rPr>
                <w:rStyle w:val="11"/>
                <w:rFonts w:hint="eastAsia"/>
              </w:rPr>
              <w:t>本品属于低毒除草剂，用药时如果感觉不适，立即停止工作，采取急救措施，并携此标签送医就诊。皮肤接触：立即脱掉被污染的衣物，用大量清水冲洗被污染的皮肤，再用肥皂清洗，然后用清水冲净。如果皮肤发炎，请医生诊治。眼睛溅药：立即将眼睑翻开，用清水冲洗至少15分钟，再请医生诊治。误吸：立即将吸入者转移到空气新鲜处，注意保暖和休息，请医生诊治。误服：请勿引吐，立即携带标签，送医就诊。解毒剂：无专用解毒剂，对症治疗。</w:t>
            </w:r>
          </w:p>
        </w:tc>
      </w:tr>
      <w:tr w14:paraId="5A0B1929">
        <w:tblPrEx>
          <w:tblCellMar>
            <w:top w:w="0" w:type="dxa"/>
            <w:left w:w="0" w:type="dxa"/>
            <w:bottom w:w="0" w:type="dxa"/>
            <w:right w:w="0" w:type="dxa"/>
          </w:tblCellMar>
        </w:tblPrEx>
        <w:trPr>
          <w:wBefore w:w="0" w:type="auto"/>
          <w:tblCellSpacing w:w="0" w:type="dxa"/>
        </w:trPr>
        <w:tc>
          <w:tcPr>
            <w:tcW w:w="0" w:type="auto"/>
            <w:noWrap w:val="0"/>
            <w:vAlign w:val="center"/>
          </w:tcPr>
          <w:p w14:paraId="523B73A6">
            <w:r>
              <w:rPr>
                <w:rStyle w:val="10"/>
                <w:rFonts w:hint="eastAsia"/>
              </w:rPr>
              <w:t>储存和运输方法：</w:t>
            </w:r>
            <w:r>
              <w:rPr>
                <w:rFonts w:hint="eastAsia"/>
              </w:rPr>
              <w:br w:type="textWrapping"/>
            </w:r>
            <w:r>
              <w:rPr>
                <w:rStyle w:val="11"/>
                <w:rFonts w:hint="eastAsia"/>
              </w:rPr>
              <w:t>1.置于儿童接触不到的地方。 2.不能与食品、饮料、粮食、饲料等同贮同运，严防潮湿和日晒。 3.应贮存于通风、干燥、阴凉的库房中，远离火源或热源。</w:t>
            </w:r>
          </w:p>
        </w:tc>
      </w:tr>
      <w:tr w14:paraId="76FD4D12">
        <w:tblPrEx>
          <w:tblCellMar>
            <w:top w:w="0" w:type="dxa"/>
            <w:left w:w="0" w:type="dxa"/>
            <w:bottom w:w="0" w:type="dxa"/>
            <w:right w:w="0" w:type="dxa"/>
          </w:tblCellMar>
        </w:tblPrEx>
        <w:trPr>
          <w:wBefore w:w="0" w:type="auto"/>
          <w:tblCellSpacing w:w="0" w:type="dxa"/>
        </w:trPr>
        <w:tc>
          <w:tcPr>
            <w:tcW w:w="0" w:type="auto"/>
            <w:noWrap w:val="0"/>
            <w:vAlign w:val="center"/>
          </w:tcPr>
          <w:p w14:paraId="6C8446A3">
            <w:r>
              <w:rPr>
                <w:rStyle w:val="10"/>
                <w:rFonts w:hint="eastAsia"/>
              </w:rPr>
              <w:t>质量保证期：</w:t>
            </w:r>
            <w:r>
              <w:rPr>
                <w:rStyle w:val="11"/>
                <w:rFonts w:hint="eastAsia"/>
              </w:rPr>
              <w:t>2年</w:t>
            </w:r>
          </w:p>
        </w:tc>
      </w:tr>
      <w:tr w14:paraId="0D2BB409">
        <w:tblPrEx>
          <w:tblCellMar>
            <w:top w:w="0" w:type="dxa"/>
            <w:left w:w="0" w:type="dxa"/>
            <w:bottom w:w="0" w:type="dxa"/>
            <w:right w:w="0" w:type="dxa"/>
          </w:tblCellMar>
        </w:tblPrEx>
        <w:trPr>
          <w:wBefore w:w="0" w:type="auto"/>
          <w:tblCellSpacing w:w="0" w:type="dxa"/>
        </w:trPr>
        <w:tc>
          <w:tcPr>
            <w:tcW w:w="0" w:type="auto"/>
            <w:noWrap w:val="0"/>
            <w:vAlign w:val="center"/>
          </w:tcPr>
          <w:p w14:paraId="10E9EEF2">
            <w:r>
              <w:rPr>
                <w:rStyle w:val="10"/>
                <w:rFonts w:hint="eastAsia"/>
              </w:rPr>
              <w:t>备注：</w:t>
            </w:r>
          </w:p>
        </w:tc>
      </w:tr>
    </w:tbl>
    <w:p w14:paraId="1DBF0E1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FCA6C6">
        <w:tblPrEx>
          <w:tblCellMar>
            <w:top w:w="0" w:type="dxa"/>
            <w:left w:w="0" w:type="dxa"/>
            <w:bottom w:w="0" w:type="dxa"/>
            <w:right w:w="0" w:type="dxa"/>
          </w:tblCellMar>
        </w:tblPrEx>
        <w:trPr>
          <w:wBefore w:w="0" w:type="auto"/>
          <w:tblCellSpacing w:w="0" w:type="dxa"/>
        </w:trPr>
        <w:tc>
          <w:tcPr>
            <w:tcW w:w="0" w:type="auto"/>
            <w:noWrap w:val="0"/>
            <w:vAlign w:val="center"/>
          </w:tcPr>
          <w:p w14:paraId="3436635F">
            <w:r>
              <w:rPr>
                <w:rStyle w:val="10"/>
                <w:rFonts w:hint="eastAsia"/>
              </w:rPr>
              <w:t>登记证号：</w:t>
            </w:r>
            <w:r>
              <w:rPr>
                <w:rFonts w:hint="eastAsia"/>
              </w:rPr>
              <w:t>PD20212668</w:t>
            </w:r>
          </w:p>
        </w:tc>
      </w:tr>
      <w:tr w14:paraId="12EB3504">
        <w:tblPrEx>
          <w:tblCellMar>
            <w:top w:w="0" w:type="dxa"/>
            <w:left w:w="0" w:type="dxa"/>
            <w:bottom w:w="0" w:type="dxa"/>
            <w:right w:w="0" w:type="dxa"/>
          </w:tblCellMar>
        </w:tblPrEx>
        <w:trPr>
          <w:wBefore w:w="0" w:type="auto"/>
          <w:tblCellSpacing w:w="0" w:type="dxa"/>
        </w:trPr>
        <w:tc>
          <w:tcPr>
            <w:tcW w:w="0" w:type="auto"/>
            <w:noWrap w:val="0"/>
            <w:vAlign w:val="center"/>
          </w:tcPr>
          <w:p w14:paraId="6A242F55">
            <w:r>
              <w:rPr>
                <w:rStyle w:val="10"/>
                <w:rFonts w:hint="eastAsia"/>
              </w:rPr>
              <w:t>登记证持有人：</w:t>
            </w:r>
            <w:r>
              <w:rPr>
                <w:rFonts w:hint="eastAsia"/>
              </w:rPr>
              <w:t>顺毅股份有限公司</w:t>
            </w:r>
          </w:p>
        </w:tc>
      </w:tr>
      <w:tr w14:paraId="43245C56">
        <w:tblPrEx>
          <w:tblCellMar>
            <w:top w:w="0" w:type="dxa"/>
            <w:left w:w="0" w:type="dxa"/>
            <w:bottom w:w="0" w:type="dxa"/>
            <w:right w:w="0" w:type="dxa"/>
          </w:tblCellMar>
        </w:tblPrEx>
        <w:trPr>
          <w:wBefore w:w="0" w:type="auto"/>
          <w:tblCellSpacing w:w="0" w:type="dxa"/>
        </w:trPr>
        <w:tc>
          <w:tcPr>
            <w:tcW w:w="0" w:type="auto"/>
            <w:noWrap w:val="0"/>
            <w:vAlign w:val="center"/>
          </w:tcPr>
          <w:p w14:paraId="40D2F880">
            <w:r>
              <w:rPr>
                <w:rStyle w:val="10"/>
                <w:rFonts w:hint="eastAsia"/>
              </w:rPr>
              <w:t>农药名称：</w:t>
            </w:r>
            <w:r>
              <w:rPr>
                <w:rFonts w:hint="eastAsia"/>
              </w:rPr>
              <w:t>喹啉·噻灵</w:t>
            </w:r>
          </w:p>
        </w:tc>
      </w:tr>
      <w:tr w14:paraId="2FFC6686">
        <w:tblPrEx>
          <w:tblCellMar>
            <w:top w:w="0" w:type="dxa"/>
            <w:left w:w="0" w:type="dxa"/>
            <w:bottom w:w="0" w:type="dxa"/>
            <w:right w:w="0" w:type="dxa"/>
          </w:tblCellMar>
        </w:tblPrEx>
        <w:trPr>
          <w:wBefore w:w="0" w:type="auto"/>
          <w:tblCellSpacing w:w="0" w:type="dxa"/>
        </w:trPr>
        <w:tc>
          <w:tcPr>
            <w:tcW w:w="0" w:type="auto"/>
            <w:noWrap w:val="0"/>
            <w:vAlign w:val="center"/>
          </w:tcPr>
          <w:p w14:paraId="440809FB">
            <w:r>
              <w:rPr>
                <w:rStyle w:val="10"/>
                <w:rFonts w:hint="eastAsia"/>
              </w:rPr>
              <w:t>剂型：</w:t>
            </w:r>
            <w:r>
              <w:rPr>
                <w:rFonts w:hint="eastAsia"/>
              </w:rPr>
              <w:t>悬浮剂</w:t>
            </w:r>
          </w:p>
        </w:tc>
      </w:tr>
      <w:tr w14:paraId="6AB23A43">
        <w:tblPrEx>
          <w:tblCellMar>
            <w:top w:w="0" w:type="dxa"/>
            <w:left w:w="0" w:type="dxa"/>
            <w:bottom w:w="0" w:type="dxa"/>
            <w:right w:w="0" w:type="dxa"/>
          </w:tblCellMar>
        </w:tblPrEx>
        <w:trPr>
          <w:wBefore w:w="0" w:type="auto"/>
          <w:tblCellSpacing w:w="0" w:type="dxa"/>
        </w:trPr>
        <w:tc>
          <w:tcPr>
            <w:tcW w:w="0" w:type="auto"/>
            <w:noWrap w:val="0"/>
            <w:vAlign w:val="center"/>
          </w:tcPr>
          <w:p w14:paraId="07AE88C9">
            <w:r>
              <w:rPr>
                <w:rStyle w:val="10"/>
                <w:rFonts w:hint="eastAsia"/>
              </w:rPr>
              <w:t>毒性及其标识：</w:t>
            </w:r>
            <w:r>
              <w:rPr>
                <w:rFonts w:hint="eastAsia"/>
              </w:rPr>
              <w:t xml:space="preserve"> </w:t>
            </w:r>
            <w:r>
              <w:rPr>
                <w:lang/>
              </w:rPr>
              <w:drawing>
                <wp:inline distT="0" distB="0" distL="114300" distR="114300">
                  <wp:extent cx="476250" cy="323850"/>
                  <wp:effectExtent l="0" t="0" r="0" b="0"/>
                  <wp:docPr id="94" name="图片 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4FEE91E">
        <w:tblPrEx>
          <w:tblCellMar>
            <w:top w:w="0" w:type="dxa"/>
            <w:left w:w="0" w:type="dxa"/>
            <w:bottom w:w="0" w:type="dxa"/>
            <w:right w:w="0" w:type="dxa"/>
          </w:tblCellMar>
        </w:tblPrEx>
        <w:trPr>
          <w:wBefore w:w="0" w:type="auto"/>
          <w:tblCellSpacing w:w="0" w:type="dxa"/>
        </w:trPr>
        <w:tc>
          <w:tcPr>
            <w:tcW w:w="0" w:type="auto"/>
            <w:noWrap w:val="0"/>
            <w:vAlign w:val="center"/>
          </w:tcPr>
          <w:p w14:paraId="54B1133B">
            <w:r>
              <w:rPr>
                <w:rStyle w:val="10"/>
                <w:rFonts w:hint="eastAsia"/>
              </w:rPr>
              <w:t>总有效成分含量：</w:t>
            </w:r>
            <w:r>
              <w:rPr>
                <w:rFonts w:hint="eastAsia"/>
              </w:rPr>
              <w:t>48%</w:t>
            </w:r>
          </w:p>
        </w:tc>
      </w:tr>
      <w:tr w14:paraId="73B585DA">
        <w:tblPrEx>
          <w:tblCellMar>
            <w:top w:w="0" w:type="dxa"/>
            <w:left w:w="0" w:type="dxa"/>
            <w:bottom w:w="0" w:type="dxa"/>
            <w:right w:w="0" w:type="dxa"/>
          </w:tblCellMar>
        </w:tblPrEx>
        <w:trPr>
          <w:wBefore w:w="0" w:type="auto"/>
          <w:tblCellSpacing w:w="0" w:type="dxa"/>
        </w:trPr>
        <w:tc>
          <w:tcPr>
            <w:tcW w:w="0" w:type="auto"/>
            <w:noWrap w:val="0"/>
            <w:vAlign w:val="center"/>
          </w:tcPr>
          <w:p w14:paraId="53B7A526">
            <w:r>
              <w:rPr>
                <w:rFonts w:hint="eastAsia"/>
              </w:rPr>
              <w:t xml:space="preserve">有效成分及其含量： </w:t>
            </w:r>
          </w:p>
          <w:p w14:paraId="06E4B6C8">
            <w:r>
              <w:rPr>
                <w:rFonts w:hint="eastAsia"/>
              </w:rPr>
              <w:t xml:space="preserve">    喹啉铜32%    噻菌灵16%    </w:t>
            </w:r>
          </w:p>
        </w:tc>
      </w:tr>
      <w:tr w14:paraId="6CF7C0E8">
        <w:tblPrEx>
          <w:tblCellMar>
            <w:top w:w="0" w:type="dxa"/>
            <w:left w:w="0" w:type="dxa"/>
            <w:bottom w:w="0" w:type="dxa"/>
            <w:right w:w="0" w:type="dxa"/>
          </w:tblCellMar>
        </w:tblPrEx>
        <w:trPr>
          <w:wBefore w:w="0" w:type="auto"/>
          <w:tblCellSpacing w:w="0" w:type="dxa"/>
        </w:trPr>
        <w:tc>
          <w:tcPr>
            <w:tcW w:w="0" w:type="auto"/>
            <w:noWrap w:val="0"/>
            <w:vAlign w:val="center"/>
          </w:tcPr>
          <w:p w14:paraId="6C570E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78D7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94B43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2BE3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5B0A8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B74488">
                  <w:r>
                    <w:rPr>
                      <w:rStyle w:val="11"/>
                      <w:rFonts w:hint="eastAsia"/>
                    </w:rPr>
                    <w:t>施用方式</w:t>
                  </w:r>
                </w:p>
              </w:tc>
            </w:tr>
            <w:tr w14:paraId="2D4DC9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F912CB">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468A6F">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573934">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EE4F91">
                  <w:r>
                    <w:rPr>
                      <w:rStyle w:val="11"/>
                      <w:rFonts w:hint="eastAsia"/>
                    </w:rPr>
                    <w:t>喷雾</w:t>
                  </w:r>
                </w:p>
              </w:tc>
            </w:tr>
          </w:tbl>
          <w:p w14:paraId="54E44550">
            <w:pPr>
              <w:rPr>
                <w:rFonts w:ascii="Times New Roman" w:hAnsi="Times New Roman" w:cs="Times New Roman"/>
                <w:sz w:val="20"/>
                <w:szCs w:val="20"/>
              </w:rPr>
            </w:pPr>
          </w:p>
        </w:tc>
      </w:tr>
      <w:tr w14:paraId="4D905711">
        <w:tblPrEx>
          <w:tblCellMar>
            <w:top w:w="0" w:type="dxa"/>
            <w:left w:w="0" w:type="dxa"/>
            <w:bottom w:w="0" w:type="dxa"/>
            <w:right w:w="0" w:type="dxa"/>
          </w:tblCellMar>
        </w:tblPrEx>
        <w:trPr>
          <w:wBefore w:w="0" w:type="auto"/>
          <w:tblCellSpacing w:w="0" w:type="dxa"/>
        </w:trPr>
        <w:tc>
          <w:tcPr>
            <w:tcW w:w="0" w:type="auto"/>
            <w:noWrap w:val="0"/>
            <w:vAlign w:val="center"/>
          </w:tcPr>
          <w:p w14:paraId="4FC4DFBF">
            <w:r>
              <w:rPr>
                <w:rStyle w:val="10"/>
                <w:rFonts w:hint="eastAsia"/>
              </w:rPr>
              <w:t>使用技术要求:</w:t>
            </w:r>
            <w:r>
              <w:rPr>
                <w:rFonts w:hint="eastAsia"/>
              </w:rPr>
              <w:br w:type="textWrapping"/>
            </w:r>
            <w:r>
              <w:rPr>
                <w:rStyle w:val="11"/>
                <w:rFonts w:hint="eastAsia"/>
              </w:rPr>
              <w:t>1.施药时期：于病害发生前或发病初期施药，可施药3次，间隔7~10天。2.本品在辣椒上的安全间隔期为10天，每季最多施用3次。3.对当茬作物及后茬作物无不良影响。4.大风天或预计1小时内降雨，请勿施药。5.可与咪鲜胺、吡唑醚菌酯、氟啶胺等不同作用机制的药剂轮换使用，避免与苯醚甲环唑及多菌灵等药剂轮换使用或混用。</w:t>
            </w:r>
          </w:p>
        </w:tc>
      </w:tr>
      <w:tr w14:paraId="5782A7E9">
        <w:tblPrEx>
          <w:tblCellMar>
            <w:top w:w="0" w:type="dxa"/>
            <w:left w:w="0" w:type="dxa"/>
            <w:bottom w:w="0" w:type="dxa"/>
            <w:right w:w="0" w:type="dxa"/>
          </w:tblCellMar>
        </w:tblPrEx>
        <w:trPr>
          <w:wBefore w:w="0" w:type="auto"/>
          <w:tblCellSpacing w:w="0" w:type="dxa"/>
        </w:trPr>
        <w:tc>
          <w:tcPr>
            <w:tcW w:w="0" w:type="auto"/>
            <w:noWrap w:val="0"/>
            <w:vAlign w:val="center"/>
          </w:tcPr>
          <w:p w14:paraId="37AA8857">
            <w:r>
              <w:rPr>
                <w:rStyle w:val="10"/>
                <w:rFonts w:hint="eastAsia"/>
              </w:rPr>
              <w:t>产品性能:</w:t>
            </w:r>
            <w:r>
              <w:rPr>
                <w:rFonts w:hint="eastAsia"/>
              </w:rPr>
              <w:br w:type="textWrapping"/>
            </w:r>
            <w:r>
              <w:rPr>
                <w:rStyle w:val="11"/>
                <w:rFonts w:hint="eastAsia"/>
              </w:rPr>
              <w:t>喹啉铜对真菌、细菌性等病害具有良好的预防和治疗作用，噻菌灵具有内吸传导作用，两种成分的作用机制不同，复配在一起对于辣椒炭疽病具有良好的防效。在推荐剂量和使用方法下，对作物安全。</w:t>
            </w:r>
          </w:p>
        </w:tc>
      </w:tr>
      <w:tr w14:paraId="5BFFE994">
        <w:tblPrEx>
          <w:tblCellMar>
            <w:top w:w="0" w:type="dxa"/>
            <w:left w:w="0" w:type="dxa"/>
            <w:bottom w:w="0" w:type="dxa"/>
            <w:right w:w="0" w:type="dxa"/>
          </w:tblCellMar>
        </w:tblPrEx>
        <w:trPr>
          <w:wBefore w:w="0" w:type="auto"/>
          <w:tblCellSpacing w:w="0" w:type="dxa"/>
        </w:trPr>
        <w:tc>
          <w:tcPr>
            <w:tcW w:w="0" w:type="auto"/>
            <w:noWrap w:val="0"/>
            <w:vAlign w:val="center"/>
          </w:tcPr>
          <w:p w14:paraId="54995964">
            <w:r>
              <w:rPr>
                <w:rStyle w:val="10"/>
                <w:rFonts w:hint="eastAsia"/>
              </w:rPr>
              <w:t>注意事项：</w:t>
            </w:r>
            <w:r>
              <w:rPr>
                <w:rFonts w:hint="eastAsia"/>
              </w:rPr>
              <w:br w:type="textWrapping"/>
            </w:r>
            <w:r>
              <w:rPr>
                <w:rStyle w:val="11"/>
                <w:rFonts w:hint="eastAsia"/>
              </w:rPr>
              <w:t>1、本品应远离水产养殖区用药，禁止在河塘等水体中清洗施药器具，避免污染水源；2、使用中应注意保护鸟类和天敌等生物；3、推荐与不同作用机制的杀菌剂轮换使用，避免产生抗药性；4、 施用时若周围有桑园，最外围桑树设置为隔离带，不能用于饲养家蚕；5、施药时应穿戴好防护用具，穿戴长衣、长裤、帽子、口罩、手套等防护措施，避免药液溅到眼睛和皮肤上，全程禁止吸烟、进食。施药后要彻底清洗可能被污染的部位；6、用过的容器和废旧包装物应妥善处理，不可用作它用或随意丢弃；7、孕妇及哺乳期妇女应避免接触本品；8、不能与强酸强碱性物质混用。</w:t>
            </w:r>
          </w:p>
        </w:tc>
      </w:tr>
      <w:tr w14:paraId="663B5B59">
        <w:tblPrEx>
          <w:tblCellMar>
            <w:top w:w="0" w:type="dxa"/>
            <w:left w:w="0" w:type="dxa"/>
            <w:bottom w:w="0" w:type="dxa"/>
            <w:right w:w="0" w:type="dxa"/>
          </w:tblCellMar>
        </w:tblPrEx>
        <w:trPr>
          <w:wBefore w:w="0" w:type="auto"/>
          <w:tblCellSpacing w:w="0" w:type="dxa"/>
        </w:trPr>
        <w:tc>
          <w:tcPr>
            <w:tcW w:w="0" w:type="auto"/>
            <w:noWrap w:val="0"/>
            <w:vAlign w:val="center"/>
          </w:tcPr>
          <w:p w14:paraId="2D7702B8">
            <w:r>
              <w:rPr>
                <w:rStyle w:val="10"/>
                <w:rFonts w:hint="eastAsia"/>
              </w:rPr>
              <w:t>中毒急救措施：</w:t>
            </w:r>
            <w:r>
              <w:rPr>
                <w:rFonts w:hint="eastAsia"/>
              </w:rPr>
              <w:br w:type="textWrapping"/>
            </w:r>
            <w:r>
              <w:rPr>
                <w:rStyle w:val="11"/>
                <w:rFonts w:hint="eastAsia"/>
              </w:rPr>
              <w:t>该产品对眼睛有刺激性，使用时避免接触眼睛。 急救措施：皮肤、眼睛接触：立即用大量水清洗至少15分钟；吸入：马上把患者移至空旷处，呼吸新鲜空气，立即就医；误服：若患者清醒则可用手插入喉部使其吐出毒物，给患者饮多量的微温汤或食盐，饮服白水（蛋清3-4个，水2-3公升），或服用氧化镁10份、蛋清4个、水400份的混合物，每隔5分钟服半匙。或请携带此标签立即就医，并依据中毒情况对症治疗。</w:t>
            </w:r>
          </w:p>
        </w:tc>
      </w:tr>
      <w:tr w14:paraId="471B7C15">
        <w:tblPrEx>
          <w:tblCellMar>
            <w:top w:w="0" w:type="dxa"/>
            <w:left w:w="0" w:type="dxa"/>
            <w:bottom w:w="0" w:type="dxa"/>
            <w:right w:w="0" w:type="dxa"/>
          </w:tblCellMar>
        </w:tblPrEx>
        <w:trPr>
          <w:wBefore w:w="0" w:type="auto"/>
          <w:tblCellSpacing w:w="0" w:type="dxa"/>
        </w:trPr>
        <w:tc>
          <w:tcPr>
            <w:tcW w:w="0" w:type="auto"/>
            <w:noWrap w:val="0"/>
            <w:vAlign w:val="center"/>
          </w:tcPr>
          <w:p w14:paraId="6117F82C">
            <w:r>
              <w:rPr>
                <w:rStyle w:val="10"/>
                <w:rFonts w:hint="eastAsia"/>
              </w:rPr>
              <w:t>储存和运输方法：</w:t>
            </w:r>
            <w:r>
              <w:rPr>
                <w:rFonts w:hint="eastAsia"/>
              </w:rPr>
              <w:br w:type="textWrapping"/>
            </w:r>
            <w:r>
              <w:rPr>
                <w:rStyle w:val="11"/>
                <w:rFonts w:hint="eastAsia"/>
              </w:rPr>
              <w:t>本品应贮存在阴凉、干燥和通风处，远离热源和火源，置于儿童接触不到的地方，并加锁。贮运时，严防潮湿和日晒，不得与食品、饮料、粮食、饲料等混合储存，避免与皮肤、眼睛接触，防止由口鼻吸入。</w:t>
            </w:r>
          </w:p>
        </w:tc>
      </w:tr>
      <w:tr w14:paraId="4687BDAE">
        <w:tblPrEx>
          <w:tblCellMar>
            <w:top w:w="0" w:type="dxa"/>
            <w:left w:w="0" w:type="dxa"/>
            <w:bottom w:w="0" w:type="dxa"/>
            <w:right w:w="0" w:type="dxa"/>
          </w:tblCellMar>
        </w:tblPrEx>
        <w:trPr>
          <w:wBefore w:w="0" w:type="auto"/>
          <w:tblCellSpacing w:w="0" w:type="dxa"/>
        </w:trPr>
        <w:tc>
          <w:tcPr>
            <w:tcW w:w="0" w:type="auto"/>
            <w:noWrap w:val="0"/>
            <w:vAlign w:val="center"/>
          </w:tcPr>
          <w:p w14:paraId="1479EF1B">
            <w:r>
              <w:rPr>
                <w:rStyle w:val="10"/>
                <w:rFonts w:hint="eastAsia"/>
              </w:rPr>
              <w:t>质量保证期：</w:t>
            </w:r>
            <w:r>
              <w:rPr>
                <w:rStyle w:val="11"/>
                <w:rFonts w:hint="eastAsia"/>
              </w:rPr>
              <w:t>2年</w:t>
            </w:r>
          </w:p>
        </w:tc>
      </w:tr>
      <w:tr w14:paraId="22BCAE18">
        <w:tblPrEx>
          <w:tblCellMar>
            <w:top w:w="0" w:type="dxa"/>
            <w:left w:w="0" w:type="dxa"/>
            <w:bottom w:w="0" w:type="dxa"/>
            <w:right w:w="0" w:type="dxa"/>
          </w:tblCellMar>
        </w:tblPrEx>
        <w:trPr>
          <w:wBefore w:w="0" w:type="auto"/>
          <w:tblCellSpacing w:w="0" w:type="dxa"/>
        </w:trPr>
        <w:tc>
          <w:tcPr>
            <w:tcW w:w="0" w:type="auto"/>
            <w:noWrap w:val="0"/>
            <w:vAlign w:val="center"/>
          </w:tcPr>
          <w:p w14:paraId="6165F82A">
            <w:r>
              <w:rPr>
                <w:rStyle w:val="10"/>
                <w:rFonts w:hint="eastAsia"/>
              </w:rPr>
              <w:t>备注：</w:t>
            </w:r>
          </w:p>
        </w:tc>
      </w:tr>
    </w:tbl>
    <w:p w14:paraId="3EDF09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324B86">
        <w:tblPrEx>
          <w:tblCellMar>
            <w:top w:w="0" w:type="dxa"/>
            <w:left w:w="0" w:type="dxa"/>
            <w:bottom w:w="0" w:type="dxa"/>
            <w:right w:w="0" w:type="dxa"/>
          </w:tblCellMar>
        </w:tblPrEx>
        <w:trPr>
          <w:wBefore w:w="0" w:type="auto"/>
          <w:tblCellSpacing w:w="0" w:type="dxa"/>
        </w:trPr>
        <w:tc>
          <w:tcPr>
            <w:tcW w:w="0" w:type="auto"/>
            <w:noWrap w:val="0"/>
            <w:vAlign w:val="center"/>
          </w:tcPr>
          <w:p w14:paraId="2C8453AA">
            <w:r>
              <w:rPr>
                <w:rStyle w:val="10"/>
                <w:rFonts w:hint="eastAsia"/>
              </w:rPr>
              <w:t>登记证号：</w:t>
            </w:r>
            <w:r>
              <w:rPr>
                <w:rFonts w:hint="eastAsia"/>
              </w:rPr>
              <w:t>PD20212558</w:t>
            </w:r>
          </w:p>
        </w:tc>
      </w:tr>
      <w:tr w14:paraId="4C8C9439">
        <w:tblPrEx>
          <w:tblCellMar>
            <w:top w:w="0" w:type="dxa"/>
            <w:left w:w="0" w:type="dxa"/>
            <w:bottom w:w="0" w:type="dxa"/>
            <w:right w:w="0" w:type="dxa"/>
          </w:tblCellMar>
        </w:tblPrEx>
        <w:trPr>
          <w:wBefore w:w="0" w:type="auto"/>
          <w:tblCellSpacing w:w="0" w:type="dxa"/>
        </w:trPr>
        <w:tc>
          <w:tcPr>
            <w:tcW w:w="0" w:type="auto"/>
            <w:noWrap w:val="0"/>
            <w:vAlign w:val="center"/>
          </w:tcPr>
          <w:p w14:paraId="31F5AA30">
            <w:r>
              <w:rPr>
                <w:rStyle w:val="10"/>
                <w:rFonts w:hint="eastAsia"/>
              </w:rPr>
              <w:t>登记证持有人：</w:t>
            </w:r>
            <w:r>
              <w:rPr>
                <w:rFonts w:hint="eastAsia"/>
              </w:rPr>
              <w:t>安徽沙隆达生物科技有限公司</w:t>
            </w:r>
          </w:p>
        </w:tc>
      </w:tr>
      <w:tr w14:paraId="19F2FEF2">
        <w:tblPrEx>
          <w:tblCellMar>
            <w:top w:w="0" w:type="dxa"/>
            <w:left w:w="0" w:type="dxa"/>
            <w:bottom w:w="0" w:type="dxa"/>
            <w:right w:w="0" w:type="dxa"/>
          </w:tblCellMar>
        </w:tblPrEx>
        <w:trPr>
          <w:wBefore w:w="0" w:type="auto"/>
          <w:tblCellSpacing w:w="0" w:type="dxa"/>
        </w:trPr>
        <w:tc>
          <w:tcPr>
            <w:tcW w:w="0" w:type="auto"/>
            <w:noWrap w:val="0"/>
            <w:vAlign w:val="center"/>
          </w:tcPr>
          <w:p w14:paraId="10DFE05D">
            <w:r>
              <w:rPr>
                <w:rStyle w:val="10"/>
                <w:rFonts w:hint="eastAsia"/>
              </w:rPr>
              <w:t>农药名称：</w:t>
            </w:r>
            <w:r>
              <w:rPr>
                <w:rFonts w:hint="eastAsia"/>
              </w:rPr>
              <w:t>吡嘧·丁草胺</w:t>
            </w:r>
          </w:p>
        </w:tc>
      </w:tr>
      <w:tr w14:paraId="2B795377">
        <w:tblPrEx>
          <w:tblCellMar>
            <w:top w:w="0" w:type="dxa"/>
            <w:left w:w="0" w:type="dxa"/>
            <w:bottom w:w="0" w:type="dxa"/>
            <w:right w:w="0" w:type="dxa"/>
          </w:tblCellMar>
        </w:tblPrEx>
        <w:trPr>
          <w:wBefore w:w="0" w:type="auto"/>
          <w:tblCellSpacing w:w="0" w:type="dxa"/>
        </w:trPr>
        <w:tc>
          <w:tcPr>
            <w:tcW w:w="0" w:type="auto"/>
            <w:noWrap w:val="0"/>
            <w:vAlign w:val="center"/>
          </w:tcPr>
          <w:p w14:paraId="44E1FE63">
            <w:r>
              <w:rPr>
                <w:rStyle w:val="10"/>
                <w:rFonts w:hint="eastAsia"/>
              </w:rPr>
              <w:t>剂型：</w:t>
            </w:r>
            <w:r>
              <w:rPr>
                <w:rFonts w:hint="eastAsia"/>
              </w:rPr>
              <w:t>可分散油悬浮剂</w:t>
            </w:r>
          </w:p>
        </w:tc>
      </w:tr>
      <w:tr w14:paraId="2954BEE2">
        <w:tblPrEx>
          <w:tblCellMar>
            <w:top w:w="0" w:type="dxa"/>
            <w:left w:w="0" w:type="dxa"/>
            <w:bottom w:w="0" w:type="dxa"/>
            <w:right w:w="0" w:type="dxa"/>
          </w:tblCellMar>
        </w:tblPrEx>
        <w:trPr>
          <w:wBefore w:w="0" w:type="auto"/>
          <w:tblCellSpacing w:w="0" w:type="dxa"/>
        </w:trPr>
        <w:tc>
          <w:tcPr>
            <w:tcW w:w="0" w:type="auto"/>
            <w:noWrap w:val="0"/>
            <w:vAlign w:val="center"/>
          </w:tcPr>
          <w:p w14:paraId="4AD034B2">
            <w:r>
              <w:rPr>
                <w:rStyle w:val="10"/>
                <w:rFonts w:hint="eastAsia"/>
              </w:rPr>
              <w:t>毒性及其标识：</w:t>
            </w:r>
            <w:r>
              <w:rPr>
                <w:rFonts w:hint="eastAsia"/>
              </w:rPr>
              <w:t xml:space="preserve"> </w:t>
            </w:r>
            <w:r>
              <w:rPr>
                <w:lang/>
              </w:rPr>
              <w:drawing>
                <wp:inline distT="0" distB="0" distL="114300" distR="114300">
                  <wp:extent cx="476250" cy="323850"/>
                  <wp:effectExtent l="0" t="0" r="0" b="0"/>
                  <wp:docPr id="95" name="图片 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15DD99">
        <w:tblPrEx>
          <w:tblCellMar>
            <w:top w:w="0" w:type="dxa"/>
            <w:left w:w="0" w:type="dxa"/>
            <w:bottom w:w="0" w:type="dxa"/>
            <w:right w:w="0" w:type="dxa"/>
          </w:tblCellMar>
        </w:tblPrEx>
        <w:trPr>
          <w:wBefore w:w="0" w:type="auto"/>
          <w:tblCellSpacing w:w="0" w:type="dxa"/>
        </w:trPr>
        <w:tc>
          <w:tcPr>
            <w:tcW w:w="0" w:type="auto"/>
            <w:noWrap w:val="0"/>
            <w:vAlign w:val="center"/>
          </w:tcPr>
          <w:p w14:paraId="185D6D88">
            <w:r>
              <w:rPr>
                <w:rStyle w:val="10"/>
                <w:rFonts w:hint="eastAsia"/>
              </w:rPr>
              <w:t>总有效成分含量：</w:t>
            </w:r>
            <w:r>
              <w:rPr>
                <w:rFonts w:hint="eastAsia"/>
              </w:rPr>
              <w:t>60%</w:t>
            </w:r>
          </w:p>
        </w:tc>
      </w:tr>
      <w:tr w14:paraId="25360377">
        <w:tblPrEx>
          <w:tblCellMar>
            <w:top w:w="0" w:type="dxa"/>
            <w:left w:w="0" w:type="dxa"/>
            <w:bottom w:w="0" w:type="dxa"/>
            <w:right w:w="0" w:type="dxa"/>
          </w:tblCellMar>
        </w:tblPrEx>
        <w:trPr>
          <w:wBefore w:w="0" w:type="auto"/>
          <w:tblCellSpacing w:w="0" w:type="dxa"/>
        </w:trPr>
        <w:tc>
          <w:tcPr>
            <w:tcW w:w="0" w:type="auto"/>
            <w:noWrap w:val="0"/>
            <w:vAlign w:val="center"/>
          </w:tcPr>
          <w:p w14:paraId="4FF25ED2">
            <w:r>
              <w:rPr>
                <w:rFonts w:hint="eastAsia"/>
              </w:rPr>
              <w:t xml:space="preserve">有效成分及其含量： </w:t>
            </w:r>
          </w:p>
          <w:p w14:paraId="6BA1493F">
            <w:r>
              <w:rPr>
                <w:rFonts w:hint="eastAsia"/>
              </w:rPr>
              <w:t xml:space="preserve">    吡嘧磺隆1%    丁草胺59%    </w:t>
            </w:r>
          </w:p>
        </w:tc>
      </w:tr>
      <w:tr w14:paraId="7A739017">
        <w:tblPrEx>
          <w:tblCellMar>
            <w:top w:w="0" w:type="dxa"/>
            <w:left w:w="0" w:type="dxa"/>
            <w:bottom w:w="0" w:type="dxa"/>
            <w:right w:w="0" w:type="dxa"/>
          </w:tblCellMar>
        </w:tblPrEx>
        <w:trPr>
          <w:wBefore w:w="0" w:type="auto"/>
          <w:tblCellSpacing w:w="0" w:type="dxa"/>
        </w:trPr>
        <w:tc>
          <w:tcPr>
            <w:tcW w:w="0" w:type="auto"/>
            <w:noWrap w:val="0"/>
            <w:vAlign w:val="center"/>
          </w:tcPr>
          <w:p w14:paraId="69F7BA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765D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8C87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8DC7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9FD7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34E991">
                  <w:r>
                    <w:rPr>
                      <w:rStyle w:val="11"/>
                      <w:rFonts w:hint="eastAsia"/>
                    </w:rPr>
                    <w:t>施用方式</w:t>
                  </w:r>
                </w:p>
              </w:tc>
            </w:tr>
            <w:tr w14:paraId="530246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B5B530">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27458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A83CE5">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69DDE3">
                  <w:r>
                    <w:rPr>
                      <w:rStyle w:val="11"/>
                      <w:rFonts w:hint="eastAsia"/>
                    </w:rPr>
                    <w:t>药土法</w:t>
                  </w:r>
                </w:p>
              </w:tc>
            </w:tr>
          </w:tbl>
          <w:p w14:paraId="3F158B9A">
            <w:pPr>
              <w:rPr>
                <w:rFonts w:ascii="Times New Roman" w:hAnsi="Times New Roman" w:cs="Times New Roman"/>
                <w:sz w:val="20"/>
                <w:szCs w:val="20"/>
              </w:rPr>
            </w:pPr>
          </w:p>
        </w:tc>
      </w:tr>
      <w:tr w14:paraId="074EFA67">
        <w:tblPrEx>
          <w:tblCellMar>
            <w:top w:w="0" w:type="dxa"/>
            <w:left w:w="0" w:type="dxa"/>
            <w:bottom w:w="0" w:type="dxa"/>
            <w:right w:w="0" w:type="dxa"/>
          </w:tblCellMar>
        </w:tblPrEx>
        <w:trPr>
          <w:wBefore w:w="0" w:type="auto"/>
          <w:tblCellSpacing w:w="0" w:type="dxa"/>
        </w:trPr>
        <w:tc>
          <w:tcPr>
            <w:tcW w:w="0" w:type="auto"/>
            <w:noWrap w:val="0"/>
            <w:vAlign w:val="center"/>
          </w:tcPr>
          <w:p w14:paraId="6487FE8B">
            <w:r>
              <w:rPr>
                <w:rStyle w:val="10"/>
                <w:rFonts w:hint="eastAsia"/>
              </w:rPr>
              <w:t>使用技术要求:</w:t>
            </w:r>
            <w:r>
              <w:rPr>
                <w:rFonts w:hint="eastAsia"/>
              </w:rPr>
              <w:br w:type="textWrapping"/>
            </w:r>
            <w:r>
              <w:rPr>
                <w:rStyle w:val="11"/>
                <w:rFonts w:hint="eastAsia"/>
              </w:rPr>
              <w:t>1. 在水稻直播后5-7天，以推荐剂量采用药土法均匀撒施施药一次，药后保持田间1-2cm水层5-7天，水层勿淹没水稻心叶，以避免药害。 2. 大风天或预计1小时内降雨，请勿施药。3. 每季最多使用1次。</w:t>
            </w:r>
          </w:p>
        </w:tc>
      </w:tr>
      <w:tr w14:paraId="3B201997">
        <w:tblPrEx>
          <w:tblCellMar>
            <w:top w:w="0" w:type="dxa"/>
            <w:left w:w="0" w:type="dxa"/>
            <w:bottom w:w="0" w:type="dxa"/>
            <w:right w:w="0" w:type="dxa"/>
          </w:tblCellMar>
        </w:tblPrEx>
        <w:trPr>
          <w:wBefore w:w="0" w:type="auto"/>
          <w:tblCellSpacing w:w="0" w:type="dxa"/>
        </w:trPr>
        <w:tc>
          <w:tcPr>
            <w:tcW w:w="0" w:type="auto"/>
            <w:noWrap w:val="0"/>
            <w:vAlign w:val="center"/>
          </w:tcPr>
          <w:p w14:paraId="7ED592C4">
            <w:r>
              <w:rPr>
                <w:rStyle w:val="10"/>
                <w:rFonts w:hint="eastAsia"/>
              </w:rPr>
              <w:t>产品性能:</w:t>
            </w:r>
            <w:r>
              <w:rPr>
                <w:rFonts w:hint="eastAsia"/>
              </w:rPr>
              <w:br w:type="textWrapping"/>
            </w:r>
            <w:r>
              <w:rPr>
                <w:rStyle w:val="11"/>
                <w:rFonts w:hint="eastAsia"/>
              </w:rPr>
              <w:t>本品是由吡嘧磺隆与丁草胺两者混配而成，吡嘧磺隆属于磺酰脲类除草剂，为选择性内吸传导型除草剂，丁草胺属选择性芽前除草剂，两者混配对水稻直播田一年生杂草有较好的防治效果。</w:t>
            </w:r>
          </w:p>
        </w:tc>
      </w:tr>
      <w:tr w14:paraId="32A763AC">
        <w:tblPrEx>
          <w:tblCellMar>
            <w:top w:w="0" w:type="dxa"/>
            <w:left w:w="0" w:type="dxa"/>
            <w:bottom w:w="0" w:type="dxa"/>
            <w:right w:w="0" w:type="dxa"/>
          </w:tblCellMar>
        </w:tblPrEx>
        <w:trPr>
          <w:wBefore w:w="0" w:type="auto"/>
          <w:tblCellSpacing w:w="0" w:type="dxa"/>
        </w:trPr>
        <w:tc>
          <w:tcPr>
            <w:tcW w:w="0" w:type="auto"/>
            <w:noWrap w:val="0"/>
            <w:vAlign w:val="center"/>
          </w:tcPr>
          <w:p w14:paraId="54C68077">
            <w:r>
              <w:rPr>
                <w:rStyle w:val="10"/>
                <w:rFonts w:hint="eastAsia"/>
              </w:rPr>
              <w:t>注意事项：</w:t>
            </w:r>
            <w:r>
              <w:rPr>
                <w:rFonts w:hint="eastAsia"/>
              </w:rPr>
              <w:br w:type="textWrapping"/>
            </w:r>
            <w:r>
              <w:rPr>
                <w:rStyle w:val="11"/>
                <w:rFonts w:hint="eastAsia"/>
              </w:rPr>
              <w:t>1. 本品为可分散油悬浮剂，施药前请充分摇匀。 2. 本品对眼睛有刺激性，使用时避免接触眼睛，穿戴长衣、长裤、帽子、口罩、手套等防护措施；施药期间不可吃东西、饮水等。施药后应及时洗手、洗脸等。 3. 尽量避免在田间捕食性天敌盛期施药，减少对捕食性天敌的危害，瓢虫等天敌放飞区域禁用。 4. 避免采摘毗邻施药水稻田的桑叶用于喂蚕，降低对家蚕的危害。 5. 水产养殖区、河塘等水体附近禁用，禁止在河塘等水域清洗施药器具；鱼或虾蟹套养稻田禁用，施药后的田水不得直接排入水体。 6. 用过的容器不可做他用，也不可随意丢弃。 7. 避免孕妇及哺乳期的妇女接触本品。</w:t>
            </w:r>
          </w:p>
        </w:tc>
      </w:tr>
      <w:tr w14:paraId="092B93AC">
        <w:tblPrEx>
          <w:tblCellMar>
            <w:top w:w="0" w:type="dxa"/>
            <w:left w:w="0" w:type="dxa"/>
            <w:bottom w:w="0" w:type="dxa"/>
            <w:right w:w="0" w:type="dxa"/>
          </w:tblCellMar>
        </w:tblPrEx>
        <w:trPr>
          <w:wBefore w:w="0" w:type="auto"/>
          <w:tblCellSpacing w:w="0" w:type="dxa"/>
        </w:trPr>
        <w:tc>
          <w:tcPr>
            <w:tcW w:w="0" w:type="auto"/>
            <w:noWrap w:val="0"/>
            <w:vAlign w:val="center"/>
          </w:tcPr>
          <w:p w14:paraId="0AB80803">
            <w:r>
              <w:rPr>
                <w:rStyle w:val="10"/>
                <w:rFonts w:hint="eastAsia"/>
              </w:rPr>
              <w:t>中毒急救措施：</w:t>
            </w:r>
            <w:r>
              <w:rPr>
                <w:rFonts w:hint="eastAsia"/>
              </w:rPr>
              <w:br w:type="textWrapping"/>
            </w:r>
            <w:r>
              <w:rPr>
                <w:rStyle w:val="11"/>
                <w:rFonts w:hint="eastAsia"/>
              </w:rPr>
              <w:t>1. 皮肤接触：立即脱掉污染的衣物，用肥皂和大量清水彻底清洗污染的皮肤。2. 眼睛接触：立即分开眼睑，用清水冲洗眼至少15分钟，再请医生诊治。3. 吸入：立即将患者转移到空气新鲜处，再请医生诊治。4. 误服：立即携带标签，送医院就诊，对症治疗。5、本品无特效解毒剂，应对症治疗。</w:t>
            </w:r>
          </w:p>
        </w:tc>
      </w:tr>
      <w:tr w14:paraId="40F822C1">
        <w:tblPrEx>
          <w:tblCellMar>
            <w:top w:w="0" w:type="dxa"/>
            <w:left w:w="0" w:type="dxa"/>
            <w:bottom w:w="0" w:type="dxa"/>
            <w:right w:w="0" w:type="dxa"/>
          </w:tblCellMar>
        </w:tblPrEx>
        <w:trPr>
          <w:wBefore w:w="0" w:type="auto"/>
          <w:tblCellSpacing w:w="0" w:type="dxa"/>
        </w:trPr>
        <w:tc>
          <w:tcPr>
            <w:tcW w:w="0" w:type="auto"/>
            <w:noWrap w:val="0"/>
            <w:vAlign w:val="center"/>
          </w:tcPr>
          <w:p w14:paraId="19736B13">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勿与食品、饮料、粮食、饲料等其他商品同贮同运。</w:t>
            </w:r>
          </w:p>
        </w:tc>
      </w:tr>
      <w:tr w14:paraId="4F1C510F">
        <w:tblPrEx>
          <w:tblCellMar>
            <w:top w:w="0" w:type="dxa"/>
            <w:left w:w="0" w:type="dxa"/>
            <w:bottom w:w="0" w:type="dxa"/>
            <w:right w:w="0" w:type="dxa"/>
          </w:tblCellMar>
        </w:tblPrEx>
        <w:trPr>
          <w:wBefore w:w="0" w:type="auto"/>
          <w:tblCellSpacing w:w="0" w:type="dxa"/>
        </w:trPr>
        <w:tc>
          <w:tcPr>
            <w:tcW w:w="0" w:type="auto"/>
            <w:noWrap w:val="0"/>
            <w:vAlign w:val="center"/>
          </w:tcPr>
          <w:p w14:paraId="6DFAD756">
            <w:r>
              <w:rPr>
                <w:rStyle w:val="10"/>
                <w:rFonts w:hint="eastAsia"/>
              </w:rPr>
              <w:t>质量保证期：</w:t>
            </w:r>
            <w:r>
              <w:rPr>
                <w:rStyle w:val="11"/>
                <w:rFonts w:hint="eastAsia"/>
              </w:rPr>
              <w:t>2年</w:t>
            </w:r>
          </w:p>
        </w:tc>
      </w:tr>
      <w:tr w14:paraId="3E7D1F9A">
        <w:tblPrEx>
          <w:tblCellMar>
            <w:top w:w="0" w:type="dxa"/>
            <w:left w:w="0" w:type="dxa"/>
            <w:bottom w:w="0" w:type="dxa"/>
            <w:right w:w="0" w:type="dxa"/>
          </w:tblCellMar>
        </w:tblPrEx>
        <w:trPr>
          <w:wBefore w:w="0" w:type="auto"/>
          <w:tblCellSpacing w:w="0" w:type="dxa"/>
        </w:trPr>
        <w:tc>
          <w:tcPr>
            <w:tcW w:w="0" w:type="auto"/>
            <w:noWrap w:val="0"/>
            <w:vAlign w:val="center"/>
          </w:tcPr>
          <w:p w14:paraId="0FF8DD92">
            <w:r>
              <w:rPr>
                <w:rStyle w:val="10"/>
                <w:rFonts w:hint="eastAsia"/>
              </w:rPr>
              <w:t>备注：</w:t>
            </w:r>
          </w:p>
        </w:tc>
      </w:tr>
    </w:tbl>
    <w:p w14:paraId="0737288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060BF1">
        <w:tblPrEx>
          <w:tblCellMar>
            <w:top w:w="0" w:type="dxa"/>
            <w:left w:w="0" w:type="dxa"/>
            <w:bottom w:w="0" w:type="dxa"/>
            <w:right w:w="0" w:type="dxa"/>
          </w:tblCellMar>
        </w:tblPrEx>
        <w:trPr>
          <w:wBefore w:w="0" w:type="auto"/>
          <w:tblCellSpacing w:w="0" w:type="dxa"/>
        </w:trPr>
        <w:tc>
          <w:tcPr>
            <w:tcW w:w="0" w:type="auto"/>
            <w:noWrap w:val="0"/>
            <w:vAlign w:val="center"/>
          </w:tcPr>
          <w:p w14:paraId="75D89B46">
            <w:r>
              <w:rPr>
                <w:rStyle w:val="10"/>
                <w:rFonts w:hint="eastAsia"/>
              </w:rPr>
              <w:t>登记证号：</w:t>
            </w:r>
            <w:r>
              <w:rPr>
                <w:rFonts w:hint="eastAsia"/>
              </w:rPr>
              <w:t>PD20212576</w:t>
            </w:r>
          </w:p>
        </w:tc>
      </w:tr>
      <w:tr w14:paraId="0580E70F">
        <w:tblPrEx>
          <w:tblCellMar>
            <w:top w:w="0" w:type="dxa"/>
            <w:left w:w="0" w:type="dxa"/>
            <w:bottom w:w="0" w:type="dxa"/>
            <w:right w:w="0" w:type="dxa"/>
          </w:tblCellMar>
        </w:tblPrEx>
        <w:trPr>
          <w:wBefore w:w="0" w:type="auto"/>
          <w:tblCellSpacing w:w="0" w:type="dxa"/>
        </w:trPr>
        <w:tc>
          <w:tcPr>
            <w:tcW w:w="0" w:type="auto"/>
            <w:noWrap w:val="0"/>
            <w:vAlign w:val="center"/>
          </w:tcPr>
          <w:p w14:paraId="370E1B1C">
            <w:r>
              <w:rPr>
                <w:rStyle w:val="10"/>
                <w:rFonts w:hint="eastAsia"/>
              </w:rPr>
              <w:t>登记证持有人：</w:t>
            </w:r>
            <w:r>
              <w:rPr>
                <w:rFonts w:hint="eastAsia"/>
              </w:rPr>
              <w:t>江西众和化工有限公司</w:t>
            </w:r>
          </w:p>
        </w:tc>
      </w:tr>
      <w:tr w14:paraId="7AE49D2E">
        <w:tblPrEx>
          <w:tblCellMar>
            <w:top w:w="0" w:type="dxa"/>
            <w:left w:w="0" w:type="dxa"/>
            <w:bottom w:w="0" w:type="dxa"/>
            <w:right w:w="0" w:type="dxa"/>
          </w:tblCellMar>
        </w:tblPrEx>
        <w:trPr>
          <w:wBefore w:w="0" w:type="auto"/>
          <w:tblCellSpacing w:w="0" w:type="dxa"/>
        </w:trPr>
        <w:tc>
          <w:tcPr>
            <w:tcW w:w="0" w:type="auto"/>
            <w:noWrap w:val="0"/>
            <w:vAlign w:val="center"/>
          </w:tcPr>
          <w:p w14:paraId="37BE2582">
            <w:r>
              <w:rPr>
                <w:rStyle w:val="10"/>
                <w:rFonts w:hint="eastAsia"/>
              </w:rPr>
              <w:t>农药名称：</w:t>
            </w:r>
            <w:r>
              <w:rPr>
                <w:rFonts w:hint="eastAsia"/>
              </w:rPr>
              <w:t>2甲4氯异辛酯</w:t>
            </w:r>
          </w:p>
        </w:tc>
      </w:tr>
      <w:tr w14:paraId="594919F8">
        <w:tblPrEx>
          <w:tblCellMar>
            <w:top w:w="0" w:type="dxa"/>
            <w:left w:w="0" w:type="dxa"/>
            <w:bottom w:w="0" w:type="dxa"/>
            <w:right w:w="0" w:type="dxa"/>
          </w:tblCellMar>
        </w:tblPrEx>
        <w:trPr>
          <w:wBefore w:w="0" w:type="auto"/>
          <w:tblCellSpacing w:w="0" w:type="dxa"/>
        </w:trPr>
        <w:tc>
          <w:tcPr>
            <w:tcW w:w="0" w:type="auto"/>
            <w:noWrap w:val="0"/>
            <w:vAlign w:val="center"/>
          </w:tcPr>
          <w:p w14:paraId="65D741C8">
            <w:r>
              <w:rPr>
                <w:rStyle w:val="10"/>
                <w:rFonts w:hint="eastAsia"/>
              </w:rPr>
              <w:t>剂型：</w:t>
            </w:r>
            <w:r>
              <w:rPr>
                <w:rFonts w:hint="eastAsia"/>
              </w:rPr>
              <w:t>水乳剂</w:t>
            </w:r>
          </w:p>
        </w:tc>
      </w:tr>
      <w:tr w14:paraId="1145FCBE">
        <w:tblPrEx>
          <w:tblCellMar>
            <w:top w:w="0" w:type="dxa"/>
            <w:left w:w="0" w:type="dxa"/>
            <w:bottom w:w="0" w:type="dxa"/>
            <w:right w:w="0" w:type="dxa"/>
          </w:tblCellMar>
        </w:tblPrEx>
        <w:trPr>
          <w:wBefore w:w="0" w:type="auto"/>
          <w:tblCellSpacing w:w="0" w:type="dxa"/>
        </w:trPr>
        <w:tc>
          <w:tcPr>
            <w:tcW w:w="0" w:type="auto"/>
            <w:noWrap w:val="0"/>
            <w:vAlign w:val="center"/>
          </w:tcPr>
          <w:p w14:paraId="4C58F022">
            <w:r>
              <w:rPr>
                <w:rStyle w:val="10"/>
                <w:rFonts w:hint="eastAsia"/>
              </w:rPr>
              <w:t>毒性及其标识：</w:t>
            </w:r>
            <w:r>
              <w:rPr>
                <w:rFonts w:hint="eastAsia"/>
              </w:rPr>
              <w:t xml:space="preserve"> </w:t>
            </w:r>
            <w:r>
              <w:rPr>
                <w:lang/>
              </w:rPr>
              <w:drawing>
                <wp:inline distT="0" distB="0" distL="114300" distR="114300">
                  <wp:extent cx="476250" cy="323850"/>
                  <wp:effectExtent l="0" t="0" r="0" b="0"/>
                  <wp:docPr id="96" name="图片 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B6AEA0">
        <w:tblPrEx>
          <w:tblCellMar>
            <w:top w:w="0" w:type="dxa"/>
            <w:left w:w="0" w:type="dxa"/>
            <w:bottom w:w="0" w:type="dxa"/>
            <w:right w:w="0" w:type="dxa"/>
          </w:tblCellMar>
        </w:tblPrEx>
        <w:trPr>
          <w:wBefore w:w="0" w:type="auto"/>
          <w:tblCellSpacing w:w="0" w:type="dxa"/>
        </w:trPr>
        <w:tc>
          <w:tcPr>
            <w:tcW w:w="0" w:type="auto"/>
            <w:noWrap w:val="0"/>
            <w:vAlign w:val="center"/>
          </w:tcPr>
          <w:p w14:paraId="0C159A41">
            <w:r>
              <w:rPr>
                <w:rStyle w:val="10"/>
                <w:rFonts w:hint="eastAsia"/>
              </w:rPr>
              <w:t>总有效成分含量：</w:t>
            </w:r>
            <w:r>
              <w:rPr>
                <w:rFonts w:hint="eastAsia"/>
              </w:rPr>
              <w:t>30%</w:t>
            </w:r>
          </w:p>
        </w:tc>
      </w:tr>
      <w:tr w14:paraId="30920607">
        <w:tblPrEx>
          <w:tblCellMar>
            <w:top w:w="0" w:type="dxa"/>
            <w:left w:w="0" w:type="dxa"/>
            <w:bottom w:w="0" w:type="dxa"/>
            <w:right w:w="0" w:type="dxa"/>
          </w:tblCellMar>
        </w:tblPrEx>
        <w:trPr>
          <w:wBefore w:w="0" w:type="auto"/>
          <w:tblCellSpacing w:w="0" w:type="dxa"/>
        </w:trPr>
        <w:tc>
          <w:tcPr>
            <w:tcW w:w="0" w:type="auto"/>
            <w:noWrap w:val="0"/>
            <w:vAlign w:val="center"/>
          </w:tcPr>
          <w:p w14:paraId="6252278B">
            <w:r>
              <w:rPr>
                <w:rFonts w:hint="eastAsia"/>
              </w:rPr>
              <w:t xml:space="preserve">有效成分及其含量： </w:t>
            </w:r>
          </w:p>
          <w:p w14:paraId="769A1F7B">
            <w:r>
              <w:rPr>
                <w:rFonts w:hint="eastAsia"/>
              </w:rPr>
              <w:t xml:space="preserve">    2甲4氯异辛酯30%    </w:t>
            </w:r>
          </w:p>
        </w:tc>
      </w:tr>
      <w:tr w14:paraId="15533083">
        <w:tblPrEx>
          <w:tblCellMar>
            <w:top w:w="0" w:type="dxa"/>
            <w:left w:w="0" w:type="dxa"/>
            <w:bottom w:w="0" w:type="dxa"/>
            <w:right w:w="0" w:type="dxa"/>
          </w:tblCellMar>
        </w:tblPrEx>
        <w:trPr>
          <w:wBefore w:w="0" w:type="auto"/>
          <w:tblCellSpacing w:w="0" w:type="dxa"/>
        </w:trPr>
        <w:tc>
          <w:tcPr>
            <w:tcW w:w="0" w:type="auto"/>
            <w:noWrap w:val="0"/>
            <w:vAlign w:val="center"/>
          </w:tcPr>
          <w:p w14:paraId="17A9B5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94D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E322D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9D2A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3E4FF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2E3404">
                  <w:r>
                    <w:rPr>
                      <w:rStyle w:val="11"/>
                      <w:rFonts w:hint="eastAsia"/>
                    </w:rPr>
                    <w:t>施用方式</w:t>
                  </w:r>
                </w:p>
              </w:tc>
            </w:tr>
            <w:tr w14:paraId="0741A9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C6F39B">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F46330">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9A4A32">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E8B654">
                  <w:r>
                    <w:rPr>
                      <w:rStyle w:val="11"/>
                      <w:rFonts w:hint="eastAsia"/>
                    </w:rPr>
                    <w:t>茎叶喷雾</w:t>
                  </w:r>
                </w:p>
              </w:tc>
            </w:tr>
          </w:tbl>
          <w:p w14:paraId="1CF8C484">
            <w:pPr>
              <w:rPr>
                <w:rFonts w:ascii="Times New Roman" w:hAnsi="Times New Roman" w:cs="Times New Roman"/>
                <w:sz w:val="20"/>
                <w:szCs w:val="20"/>
              </w:rPr>
            </w:pPr>
          </w:p>
        </w:tc>
      </w:tr>
      <w:tr w14:paraId="25CF6814">
        <w:tblPrEx>
          <w:tblCellMar>
            <w:top w:w="0" w:type="dxa"/>
            <w:left w:w="0" w:type="dxa"/>
            <w:bottom w:w="0" w:type="dxa"/>
            <w:right w:w="0" w:type="dxa"/>
          </w:tblCellMar>
        </w:tblPrEx>
        <w:trPr>
          <w:wBefore w:w="0" w:type="auto"/>
          <w:tblCellSpacing w:w="0" w:type="dxa"/>
        </w:trPr>
        <w:tc>
          <w:tcPr>
            <w:tcW w:w="0" w:type="auto"/>
            <w:noWrap w:val="0"/>
            <w:vAlign w:val="center"/>
          </w:tcPr>
          <w:p w14:paraId="755B9C8B">
            <w:r>
              <w:rPr>
                <w:rStyle w:val="10"/>
                <w:rFonts w:hint="eastAsia"/>
              </w:rPr>
              <w:t>使用技术要求:</w:t>
            </w:r>
            <w:r>
              <w:rPr>
                <w:rFonts w:hint="eastAsia"/>
              </w:rPr>
              <w:br w:type="textWrapping"/>
            </w:r>
            <w:r>
              <w:rPr>
                <w:rStyle w:val="11"/>
                <w:rFonts w:hint="eastAsia"/>
              </w:rPr>
              <w:t>1. 本品是苗后叶面处理除草剂，于直播水稻3-4叶期后，田间杂草2-4叶期，茎叶喷雾施药，施药前排干田水，保持田间湿润，药后1-2天复水，保持3-5厘米水层，勿使水面淹没水稻心叶，保水5-7天后恢复正常管理。2. 每季作物最多使用1次。</w:t>
            </w:r>
          </w:p>
        </w:tc>
      </w:tr>
      <w:tr w14:paraId="7ED1ED1A">
        <w:tblPrEx>
          <w:tblCellMar>
            <w:top w:w="0" w:type="dxa"/>
            <w:left w:w="0" w:type="dxa"/>
            <w:bottom w:w="0" w:type="dxa"/>
            <w:right w:w="0" w:type="dxa"/>
          </w:tblCellMar>
        </w:tblPrEx>
        <w:trPr>
          <w:wBefore w:w="0" w:type="auto"/>
          <w:tblCellSpacing w:w="0" w:type="dxa"/>
        </w:trPr>
        <w:tc>
          <w:tcPr>
            <w:tcW w:w="0" w:type="auto"/>
            <w:noWrap w:val="0"/>
            <w:vAlign w:val="center"/>
          </w:tcPr>
          <w:p w14:paraId="7C90450B">
            <w:r>
              <w:rPr>
                <w:rStyle w:val="10"/>
                <w:rFonts w:hint="eastAsia"/>
              </w:rPr>
              <w:t>产品性能:</w:t>
            </w:r>
            <w:r>
              <w:rPr>
                <w:rFonts w:hint="eastAsia"/>
              </w:rPr>
              <w:br w:type="textWrapping"/>
            </w:r>
            <w:r>
              <w:rPr>
                <w:rStyle w:val="11"/>
                <w:rFonts w:hint="eastAsia"/>
              </w:rPr>
              <w:t>本品为苯氧羧酸类选择性激素型内吸性除草剂，具有除草活性高、渗透力强、施药后能迅速被植物吸收等特点，用于防除水稻田阔叶杂草及莎草科杂草。</w:t>
            </w:r>
          </w:p>
        </w:tc>
      </w:tr>
      <w:tr w14:paraId="1DF2061B">
        <w:tblPrEx>
          <w:tblCellMar>
            <w:top w:w="0" w:type="dxa"/>
            <w:left w:w="0" w:type="dxa"/>
            <w:bottom w:w="0" w:type="dxa"/>
            <w:right w:w="0" w:type="dxa"/>
          </w:tblCellMar>
        </w:tblPrEx>
        <w:trPr>
          <w:wBefore w:w="0" w:type="auto"/>
          <w:tblCellSpacing w:w="0" w:type="dxa"/>
        </w:trPr>
        <w:tc>
          <w:tcPr>
            <w:tcW w:w="0" w:type="auto"/>
            <w:noWrap w:val="0"/>
            <w:vAlign w:val="center"/>
          </w:tcPr>
          <w:p w14:paraId="18E3FC87">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1.本品对眼睛有刺激性，使用时避免接触眼睛，穿戴长衣、长裤、帽子、口罩、手套等防护措施。施药期间不能吃东西、饮水、吸烟等，施药后及时清洗手脸等皮肤暴露部位并更换衣物。 2.施药时避免药液漂移到周围作物上。 3. 远离水产养殖区、河塘等水体施药；禁止在河塘等水体清洗施药器具，以免污染水源。4. 蚕室和桑园附近禁用；赤眼蜂等天敌放飞区域禁用。鱼或虾蟹套养稻田禁用，施药后的田水不得直接排入水体。5.用过的容器应妥善处理，不可作他用，也不可随意丢弃，应按国家有关规定处理。 6.避免孕妇及哺乳期妇女接触本品。</w:t>
            </w:r>
          </w:p>
        </w:tc>
      </w:tr>
      <w:tr w14:paraId="1548F70A">
        <w:tblPrEx>
          <w:tblCellMar>
            <w:top w:w="0" w:type="dxa"/>
            <w:left w:w="0" w:type="dxa"/>
            <w:bottom w:w="0" w:type="dxa"/>
            <w:right w:w="0" w:type="dxa"/>
          </w:tblCellMar>
        </w:tblPrEx>
        <w:trPr>
          <w:wBefore w:w="0" w:type="auto"/>
          <w:tblCellSpacing w:w="0" w:type="dxa"/>
        </w:trPr>
        <w:tc>
          <w:tcPr>
            <w:tcW w:w="0" w:type="auto"/>
            <w:noWrap w:val="0"/>
            <w:vAlign w:val="center"/>
          </w:tcPr>
          <w:p w14:paraId="32E54685">
            <w:r>
              <w:rPr>
                <w:rStyle w:val="10"/>
                <w:rFonts w:hint="eastAsia"/>
              </w:rPr>
              <w:t>中毒急救措施：</w:t>
            </w:r>
            <w:r>
              <w:rPr>
                <w:rFonts w:hint="eastAsia"/>
              </w:rPr>
              <w:br w:type="textWrapping"/>
            </w:r>
            <w:r>
              <w:rPr>
                <w:rStyle w:val="11"/>
                <w:rFonts w:hint="eastAsia"/>
              </w:rPr>
              <w:t>中毒症状：本品对眼睛有刺激作用。 1.皮肤接触：立即脱掉被污染的衣物，用肥皂和大量清水彻底清洗受污染的皮肤。 2.眼睛溅入：立即将眼睑翻开，用清水冲洗至少15分钟。 3.吸入：立即将吸入者转移到空气清新处。 4.误服：用清水充分漱口后，立即携此标签将患者送医院就诊。</w:t>
            </w:r>
          </w:p>
        </w:tc>
      </w:tr>
      <w:tr w14:paraId="2D6F5B72">
        <w:tblPrEx>
          <w:tblCellMar>
            <w:top w:w="0" w:type="dxa"/>
            <w:left w:w="0" w:type="dxa"/>
            <w:bottom w:w="0" w:type="dxa"/>
            <w:right w:w="0" w:type="dxa"/>
          </w:tblCellMar>
        </w:tblPrEx>
        <w:trPr>
          <w:wBefore w:w="0" w:type="auto"/>
          <w:tblCellSpacing w:w="0" w:type="dxa"/>
        </w:trPr>
        <w:tc>
          <w:tcPr>
            <w:tcW w:w="0" w:type="auto"/>
            <w:noWrap w:val="0"/>
            <w:vAlign w:val="center"/>
          </w:tcPr>
          <w:p w14:paraId="27E80DFA">
            <w:r>
              <w:rPr>
                <w:rStyle w:val="10"/>
                <w:rFonts w:hint="eastAsia"/>
              </w:rPr>
              <w:t>储存和运输方法：</w:t>
            </w:r>
            <w:r>
              <w:rPr>
                <w:rFonts w:hint="eastAsia"/>
              </w:rPr>
              <w:br w:type="textWrapping"/>
            </w:r>
            <w:r>
              <w:rPr>
                <w:rStyle w:val="11"/>
                <w:rFonts w:hint="eastAsia"/>
              </w:rPr>
              <w:t>1.本品应贮存在干燥、阴凉、通风、防雨处，远离火源或热源。2. 置于儿童及动物触及不到之处，并加锁保存。3. 勿与食品、饮料、粮食、种子、饲料等其他商品同贮同运。4. 注意轻拿轻放，以免损坏包装，导致产品泄漏。</w:t>
            </w:r>
          </w:p>
        </w:tc>
      </w:tr>
      <w:tr w14:paraId="2BFAD3AD">
        <w:tblPrEx>
          <w:tblCellMar>
            <w:top w:w="0" w:type="dxa"/>
            <w:left w:w="0" w:type="dxa"/>
            <w:bottom w:w="0" w:type="dxa"/>
            <w:right w:w="0" w:type="dxa"/>
          </w:tblCellMar>
        </w:tblPrEx>
        <w:trPr>
          <w:wBefore w:w="0" w:type="auto"/>
          <w:tblCellSpacing w:w="0" w:type="dxa"/>
        </w:trPr>
        <w:tc>
          <w:tcPr>
            <w:tcW w:w="0" w:type="auto"/>
            <w:noWrap w:val="0"/>
            <w:vAlign w:val="center"/>
          </w:tcPr>
          <w:p w14:paraId="5DD90B55">
            <w:r>
              <w:rPr>
                <w:rStyle w:val="10"/>
                <w:rFonts w:hint="eastAsia"/>
              </w:rPr>
              <w:t>质量保证期：</w:t>
            </w:r>
            <w:r>
              <w:rPr>
                <w:rStyle w:val="11"/>
                <w:rFonts w:hint="eastAsia"/>
              </w:rPr>
              <w:t>2年</w:t>
            </w:r>
          </w:p>
        </w:tc>
      </w:tr>
      <w:tr w14:paraId="442E1C4F">
        <w:tblPrEx>
          <w:tblCellMar>
            <w:top w:w="0" w:type="dxa"/>
            <w:left w:w="0" w:type="dxa"/>
            <w:bottom w:w="0" w:type="dxa"/>
            <w:right w:w="0" w:type="dxa"/>
          </w:tblCellMar>
        </w:tblPrEx>
        <w:trPr>
          <w:wBefore w:w="0" w:type="auto"/>
          <w:tblCellSpacing w:w="0" w:type="dxa"/>
        </w:trPr>
        <w:tc>
          <w:tcPr>
            <w:tcW w:w="0" w:type="auto"/>
            <w:noWrap w:val="0"/>
            <w:vAlign w:val="center"/>
          </w:tcPr>
          <w:p w14:paraId="12330CD5">
            <w:r>
              <w:rPr>
                <w:rStyle w:val="10"/>
                <w:rFonts w:hint="eastAsia"/>
              </w:rPr>
              <w:t>备注：</w:t>
            </w:r>
          </w:p>
        </w:tc>
      </w:tr>
    </w:tbl>
    <w:p w14:paraId="11A8E0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3E1028">
        <w:tblPrEx>
          <w:tblCellMar>
            <w:top w:w="0" w:type="dxa"/>
            <w:left w:w="0" w:type="dxa"/>
            <w:bottom w:w="0" w:type="dxa"/>
            <w:right w:w="0" w:type="dxa"/>
          </w:tblCellMar>
        </w:tblPrEx>
        <w:trPr>
          <w:wBefore w:w="0" w:type="auto"/>
          <w:tblCellSpacing w:w="0" w:type="dxa"/>
        </w:trPr>
        <w:tc>
          <w:tcPr>
            <w:tcW w:w="0" w:type="auto"/>
            <w:noWrap w:val="0"/>
            <w:vAlign w:val="center"/>
          </w:tcPr>
          <w:p w14:paraId="17663E0B">
            <w:r>
              <w:rPr>
                <w:rStyle w:val="10"/>
                <w:rFonts w:hint="eastAsia"/>
              </w:rPr>
              <w:t>登记证号：</w:t>
            </w:r>
            <w:r>
              <w:rPr>
                <w:rFonts w:hint="eastAsia"/>
              </w:rPr>
              <w:t>PD20212459</w:t>
            </w:r>
          </w:p>
        </w:tc>
      </w:tr>
      <w:tr w14:paraId="79F0DECF">
        <w:tblPrEx>
          <w:tblCellMar>
            <w:top w:w="0" w:type="dxa"/>
            <w:left w:w="0" w:type="dxa"/>
            <w:bottom w:w="0" w:type="dxa"/>
            <w:right w:w="0" w:type="dxa"/>
          </w:tblCellMar>
        </w:tblPrEx>
        <w:trPr>
          <w:wBefore w:w="0" w:type="auto"/>
          <w:tblCellSpacing w:w="0" w:type="dxa"/>
        </w:trPr>
        <w:tc>
          <w:tcPr>
            <w:tcW w:w="0" w:type="auto"/>
            <w:noWrap w:val="0"/>
            <w:vAlign w:val="center"/>
          </w:tcPr>
          <w:p w14:paraId="03A82752">
            <w:r>
              <w:rPr>
                <w:rStyle w:val="10"/>
                <w:rFonts w:hint="eastAsia"/>
              </w:rPr>
              <w:t>登记证持有人：</w:t>
            </w:r>
            <w:r>
              <w:rPr>
                <w:rFonts w:hint="eastAsia"/>
              </w:rPr>
              <w:t>洛阳巧喜生物科技有限公司</w:t>
            </w:r>
          </w:p>
        </w:tc>
      </w:tr>
      <w:tr w14:paraId="43554463">
        <w:tblPrEx>
          <w:tblCellMar>
            <w:top w:w="0" w:type="dxa"/>
            <w:left w:w="0" w:type="dxa"/>
            <w:bottom w:w="0" w:type="dxa"/>
            <w:right w:w="0" w:type="dxa"/>
          </w:tblCellMar>
        </w:tblPrEx>
        <w:trPr>
          <w:wBefore w:w="0" w:type="auto"/>
          <w:tblCellSpacing w:w="0" w:type="dxa"/>
        </w:trPr>
        <w:tc>
          <w:tcPr>
            <w:tcW w:w="0" w:type="auto"/>
            <w:noWrap w:val="0"/>
            <w:vAlign w:val="center"/>
          </w:tcPr>
          <w:p w14:paraId="24DAF6DD">
            <w:r>
              <w:rPr>
                <w:rStyle w:val="10"/>
                <w:rFonts w:hint="eastAsia"/>
              </w:rPr>
              <w:t>农药名称：</w:t>
            </w:r>
            <w:r>
              <w:rPr>
                <w:rFonts w:hint="eastAsia"/>
              </w:rPr>
              <w:t>噻呋 ·呋虫胺</w:t>
            </w:r>
          </w:p>
        </w:tc>
      </w:tr>
      <w:tr w14:paraId="58DEBD5E">
        <w:tblPrEx>
          <w:tblCellMar>
            <w:top w:w="0" w:type="dxa"/>
            <w:left w:w="0" w:type="dxa"/>
            <w:bottom w:w="0" w:type="dxa"/>
            <w:right w:w="0" w:type="dxa"/>
          </w:tblCellMar>
        </w:tblPrEx>
        <w:trPr>
          <w:wBefore w:w="0" w:type="auto"/>
          <w:tblCellSpacing w:w="0" w:type="dxa"/>
        </w:trPr>
        <w:tc>
          <w:tcPr>
            <w:tcW w:w="0" w:type="auto"/>
            <w:noWrap w:val="0"/>
            <w:vAlign w:val="center"/>
          </w:tcPr>
          <w:p w14:paraId="71B9554A">
            <w:r>
              <w:rPr>
                <w:rStyle w:val="10"/>
                <w:rFonts w:hint="eastAsia"/>
              </w:rPr>
              <w:t>剂型：</w:t>
            </w:r>
            <w:r>
              <w:rPr>
                <w:rFonts w:hint="eastAsia"/>
              </w:rPr>
              <w:t>种子处理悬浮剂</w:t>
            </w:r>
          </w:p>
        </w:tc>
      </w:tr>
      <w:tr w14:paraId="0ACF611B">
        <w:tblPrEx>
          <w:tblCellMar>
            <w:top w:w="0" w:type="dxa"/>
            <w:left w:w="0" w:type="dxa"/>
            <w:bottom w:w="0" w:type="dxa"/>
            <w:right w:w="0" w:type="dxa"/>
          </w:tblCellMar>
        </w:tblPrEx>
        <w:trPr>
          <w:wBefore w:w="0" w:type="auto"/>
          <w:tblCellSpacing w:w="0" w:type="dxa"/>
        </w:trPr>
        <w:tc>
          <w:tcPr>
            <w:tcW w:w="0" w:type="auto"/>
            <w:noWrap w:val="0"/>
            <w:vAlign w:val="center"/>
          </w:tcPr>
          <w:p w14:paraId="36CAEE4E">
            <w:r>
              <w:rPr>
                <w:rStyle w:val="10"/>
                <w:rFonts w:hint="eastAsia"/>
              </w:rPr>
              <w:t>毒性及其标识：</w:t>
            </w:r>
            <w:r>
              <w:rPr>
                <w:rFonts w:hint="eastAsia"/>
              </w:rPr>
              <w:t xml:space="preserve"> </w:t>
            </w:r>
            <w:r>
              <w:rPr>
                <w:lang/>
              </w:rPr>
              <w:drawing>
                <wp:inline distT="0" distB="0" distL="114300" distR="114300">
                  <wp:extent cx="476250" cy="323850"/>
                  <wp:effectExtent l="0" t="0" r="0" b="0"/>
                  <wp:docPr id="97" name="图片 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6A8BAA">
        <w:tblPrEx>
          <w:tblCellMar>
            <w:top w:w="0" w:type="dxa"/>
            <w:left w:w="0" w:type="dxa"/>
            <w:bottom w:w="0" w:type="dxa"/>
            <w:right w:w="0" w:type="dxa"/>
          </w:tblCellMar>
        </w:tblPrEx>
        <w:trPr>
          <w:wBefore w:w="0" w:type="auto"/>
          <w:tblCellSpacing w:w="0" w:type="dxa"/>
        </w:trPr>
        <w:tc>
          <w:tcPr>
            <w:tcW w:w="0" w:type="auto"/>
            <w:noWrap w:val="0"/>
            <w:vAlign w:val="center"/>
          </w:tcPr>
          <w:p w14:paraId="387D84A0">
            <w:r>
              <w:rPr>
                <w:rStyle w:val="10"/>
                <w:rFonts w:hint="eastAsia"/>
              </w:rPr>
              <w:t>总有效成分含量：</w:t>
            </w:r>
            <w:r>
              <w:rPr>
                <w:rFonts w:hint="eastAsia"/>
              </w:rPr>
              <w:t>15%</w:t>
            </w:r>
          </w:p>
        </w:tc>
      </w:tr>
      <w:tr w14:paraId="7DADE811">
        <w:tblPrEx>
          <w:tblCellMar>
            <w:top w:w="0" w:type="dxa"/>
            <w:left w:w="0" w:type="dxa"/>
            <w:bottom w:w="0" w:type="dxa"/>
            <w:right w:w="0" w:type="dxa"/>
          </w:tblCellMar>
        </w:tblPrEx>
        <w:trPr>
          <w:wBefore w:w="0" w:type="auto"/>
          <w:tblCellSpacing w:w="0" w:type="dxa"/>
        </w:trPr>
        <w:tc>
          <w:tcPr>
            <w:tcW w:w="0" w:type="auto"/>
            <w:noWrap w:val="0"/>
            <w:vAlign w:val="center"/>
          </w:tcPr>
          <w:p w14:paraId="3C6D1432">
            <w:r>
              <w:rPr>
                <w:rFonts w:hint="eastAsia"/>
              </w:rPr>
              <w:t xml:space="preserve">有效成分及其含量： </w:t>
            </w:r>
          </w:p>
          <w:p w14:paraId="23F9B81C">
            <w:r>
              <w:rPr>
                <w:rFonts w:hint="eastAsia"/>
              </w:rPr>
              <w:t xml:space="preserve">    噻呋酰胺7.5%    呋虫胺7.5%    </w:t>
            </w:r>
          </w:p>
        </w:tc>
      </w:tr>
      <w:tr w14:paraId="78EF8C83">
        <w:tblPrEx>
          <w:tblCellMar>
            <w:top w:w="0" w:type="dxa"/>
            <w:left w:w="0" w:type="dxa"/>
            <w:bottom w:w="0" w:type="dxa"/>
            <w:right w:w="0" w:type="dxa"/>
          </w:tblCellMar>
        </w:tblPrEx>
        <w:trPr>
          <w:wBefore w:w="0" w:type="auto"/>
          <w:tblCellSpacing w:w="0" w:type="dxa"/>
        </w:trPr>
        <w:tc>
          <w:tcPr>
            <w:tcW w:w="0" w:type="auto"/>
            <w:noWrap w:val="0"/>
            <w:vAlign w:val="center"/>
          </w:tcPr>
          <w:p w14:paraId="4B25BA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EDF2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8468D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4A60F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B725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F373B0">
                  <w:r>
                    <w:rPr>
                      <w:rStyle w:val="11"/>
                      <w:rFonts w:hint="eastAsia"/>
                    </w:rPr>
                    <w:t>施用方式</w:t>
                  </w:r>
                </w:p>
              </w:tc>
            </w:tr>
            <w:tr w14:paraId="661906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045CC5">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4A7E92">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120FA">
                  <w:r>
                    <w:rPr>
                      <w:rStyle w:val="11"/>
                      <w:rFonts w:hint="eastAsia"/>
                    </w:rPr>
                    <w:t>3300-5000毫升/100千克种子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F34530">
                  <w:r>
                    <w:rPr>
                      <w:rStyle w:val="11"/>
                      <w:rFonts w:hint="eastAsia"/>
                    </w:rPr>
                    <w:t>种子包衣</w:t>
                  </w:r>
                </w:p>
              </w:tc>
            </w:tr>
            <w:tr w14:paraId="6F6D39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84C969">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F1ABF7">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032D2D">
                  <w:r>
                    <w:rPr>
                      <w:rStyle w:val="11"/>
                      <w:rFonts w:hint="eastAsia"/>
                    </w:rPr>
                    <w:t>3300-5000毫升/100千克种子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A54454">
                  <w:r>
                    <w:rPr>
                      <w:rStyle w:val="11"/>
                      <w:rFonts w:hint="eastAsia"/>
                    </w:rPr>
                    <w:t>种子包衣</w:t>
                  </w:r>
                </w:p>
              </w:tc>
            </w:tr>
          </w:tbl>
          <w:p w14:paraId="18A84534">
            <w:pPr>
              <w:rPr>
                <w:rFonts w:ascii="Times New Roman" w:hAnsi="Times New Roman" w:cs="Times New Roman"/>
                <w:sz w:val="20"/>
                <w:szCs w:val="20"/>
              </w:rPr>
            </w:pPr>
          </w:p>
        </w:tc>
      </w:tr>
      <w:tr w14:paraId="4F762C14">
        <w:tblPrEx>
          <w:tblCellMar>
            <w:top w:w="0" w:type="dxa"/>
            <w:left w:w="0" w:type="dxa"/>
            <w:bottom w:w="0" w:type="dxa"/>
            <w:right w:w="0" w:type="dxa"/>
          </w:tblCellMar>
        </w:tblPrEx>
        <w:trPr>
          <w:wBefore w:w="0" w:type="auto"/>
          <w:tblCellSpacing w:w="0" w:type="dxa"/>
        </w:trPr>
        <w:tc>
          <w:tcPr>
            <w:tcW w:w="0" w:type="auto"/>
            <w:noWrap w:val="0"/>
            <w:vAlign w:val="center"/>
          </w:tcPr>
          <w:p w14:paraId="54890CE8">
            <w:r>
              <w:rPr>
                <w:rStyle w:val="10"/>
                <w:rFonts w:hint="eastAsia"/>
              </w:rPr>
              <w:t>使用技术要求:</w:t>
            </w:r>
            <w:r>
              <w:rPr>
                <w:rFonts w:hint="eastAsia"/>
              </w:rPr>
              <w:br w:type="textWrapping"/>
            </w:r>
            <w:r>
              <w:rPr>
                <w:rStyle w:val="11"/>
                <w:rFonts w:hint="eastAsia"/>
              </w:rPr>
              <w:t>小麦播种前，加适量清水后，充分搅拌均匀，直到药液均匀分布到种子表面，于阴凉处晾干播种。</w:t>
            </w:r>
          </w:p>
        </w:tc>
      </w:tr>
      <w:tr w14:paraId="406A03CF">
        <w:tblPrEx>
          <w:tblCellMar>
            <w:top w:w="0" w:type="dxa"/>
            <w:left w:w="0" w:type="dxa"/>
            <w:bottom w:w="0" w:type="dxa"/>
            <w:right w:w="0" w:type="dxa"/>
          </w:tblCellMar>
        </w:tblPrEx>
        <w:trPr>
          <w:wBefore w:w="0" w:type="auto"/>
          <w:tblCellSpacing w:w="0" w:type="dxa"/>
        </w:trPr>
        <w:tc>
          <w:tcPr>
            <w:tcW w:w="0" w:type="auto"/>
            <w:noWrap w:val="0"/>
            <w:vAlign w:val="center"/>
          </w:tcPr>
          <w:p w14:paraId="566375B4">
            <w:r>
              <w:rPr>
                <w:rStyle w:val="10"/>
                <w:rFonts w:hint="eastAsia"/>
              </w:rPr>
              <w:t>产品性能:</w:t>
            </w:r>
            <w:r>
              <w:rPr>
                <w:rFonts w:hint="eastAsia"/>
              </w:rPr>
              <w:br w:type="textWrapping"/>
            </w:r>
            <w:r>
              <w:rPr>
                <w:rStyle w:val="11"/>
                <w:rFonts w:hint="eastAsia"/>
              </w:rPr>
              <w:t>噻呋酰胺为三羧酸循环中琥珀酸脱氢酶抑制剂，具较强的内吸性，植物根和叶片均可迅速吸收，再经木质部和质外体传导至整个植株。呋虫胺为新型烟碱类杀虫剂，具有较强的内吸活性，兼具触杀、胃毒作用。主要通过与烟碱乙酰胆碱受体结合，干扰昆虫神经系统正常传导，引起昆虫异常兴奋，全身痉挛、麻痹而死。两者混配后，可用于防治小麦纹枯病和小麦蚜虫。</w:t>
            </w:r>
          </w:p>
        </w:tc>
      </w:tr>
      <w:tr w14:paraId="4CDB24A2">
        <w:tblPrEx>
          <w:tblCellMar>
            <w:top w:w="0" w:type="dxa"/>
            <w:left w:w="0" w:type="dxa"/>
            <w:bottom w:w="0" w:type="dxa"/>
            <w:right w:w="0" w:type="dxa"/>
          </w:tblCellMar>
        </w:tblPrEx>
        <w:trPr>
          <w:wBefore w:w="0" w:type="auto"/>
          <w:tblCellSpacing w:w="0" w:type="dxa"/>
        </w:trPr>
        <w:tc>
          <w:tcPr>
            <w:tcW w:w="0" w:type="auto"/>
            <w:noWrap w:val="0"/>
            <w:vAlign w:val="center"/>
          </w:tcPr>
          <w:p w14:paraId="0C7694D7">
            <w:r>
              <w:rPr>
                <w:rStyle w:val="10"/>
                <w:rFonts w:hint="eastAsia"/>
              </w:rPr>
              <w:t>注意事项：</w:t>
            </w:r>
            <w:r>
              <w:rPr>
                <w:rFonts w:hint="eastAsia"/>
              </w:rPr>
              <w:br w:type="textWrapping"/>
            </w:r>
            <w:r>
              <w:rPr>
                <w:rStyle w:val="11"/>
                <w:rFonts w:hint="eastAsia"/>
              </w:rPr>
              <w:t>1、处理后的种子禁止供人畜食用，也不要与未处理的种子混合或一起存放。2、使用本品应采取相应的安全防护措施，穿长袖上衣、长裤、靴子，戴防护手套、口罩等，避免皮肤接触及口鼻吸入。使用中不可吸烟、饮水及吃东西，使用后及时用大量清水和肥皂清洗洗手、脸等暴露部位皮肤并更换衣物。3、本品对水蚤等水生生物有毒，对蜜蜂有毒，开花作物花期禁止施药，远离水产养殖区施药，禁止在河塘等水体中清洗施药器具，清洗施药器具的水也不能排入河塘等水体。鸟类保护区附近禁用；播种后立即覆土。4、用过的容器应妥善处理，不可做他用，也不可随意丢弃。5、禁止儿童、孕妇及哺乳期的妇女接触。过敏者禁用，使用中有任何不良反应请及时就医。</w:t>
            </w:r>
          </w:p>
        </w:tc>
      </w:tr>
      <w:tr w14:paraId="0442032E">
        <w:tblPrEx>
          <w:tblCellMar>
            <w:top w:w="0" w:type="dxa"/>
            <w:left w:w="0" w:type="dxa"/>
            <w:bottom w:w="0" w:type="dxa"/>
            <w:right w:w="0" w:type="dxa"/>
          </w:tblCellMar>
        </w:tblPrEx>
        <w:trPr>
          <w:wBefore w:w="0" w:type="auto"/>
          <w:tblCellSpacing w:w="0" w:type="dxa"/>
        </w:trPr>
        <w:tc>
          <w:tcPr>
            <w:tcW w:w="0" w:type="auto"/>
            <w:noWrap w:val="0"/>
            <w:vAlign w:val="center"/>
          </w:tcPr>
          <w:p w14:paraId="7BAAAED6">
            <w:r>
              <w:rPr>
                <w:rStyle w:val="10"/>
                <w:rFonts w:hint="eastAsia"/>
              </w:rPr>
              <w:t>中毒急救措施：</w:t>
            </w:r>
            <w:r>
              <w:rPr>
                <w:rFonts w:hint="eastAsia"/>
              </w:rPr>
              <w:br w:type="textWrapping"/>
            </w:r>
            <w:r>
              <w:rPr>
                <w:rStyle w:val="11"/>
                <w:rFonts w:hint="eastAsia"/>
              </w:rPr>
              <w:t>中毒症状：对眼睛有刺激性。 急救措施：使用中或使用后如果感觉不适，应立即停止工作，采取急救措施，并携带标签送医院就诊。皮肤接触：立即脱去污染的衣物，用软布去除沾染农药，用大量清水和肥皂冲洗。眼睛溅入：立即用流动清水冲洗不少于15分钟。吸入：立即离开施药现场，转移到空气清新处；呼吸有困难时，可采取人工呼吸。误食：立即停止服用，未经医生允许，切勿催吐，用清水充分漱口后，携带农药标签到医院就诊。无特效解毒剂，对症治疗。</w:t>
            </w:r>
          </w:p>
        </w:tc>
      </w:tr>
      <w:tr w14:paraId="60554EEB">
        <w:tblPrEx>
          <w:tblCellMar>
            <w:top w:w="0" w:type="dxa"/>
            <w:left w:w="0" w:type="dxa"/>
            <w:bottom w:w="0" w:type="dxa"/>
            <w:right w:w="0" w:type="dxa"/>
          </w:tblCellMar>
        </w:tblPrEx>
        <w:trPr>
          <w:wBefore w:w="0" w:type="auto"/>
          <w:tblCellSpacing w:w="0" w:type="dxa"/>
        </w:trPr>
        <w:tc>
          <w:tcPr>
            <w:tcW w:w="0" w:type="auto"/>
            <w:noWrap w:val="0"/>
            <w:vAlign w:val="center"/>
          </w:tcPr>
          <w:p w14:paraId="30C9A56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本品应贮存在干燥、阴凉、通风、防雨处，远离火源或热源。置于儿童、无关人员及动物触及不到之处，并加锁。勿与食品、饮料、粮食、饲料等其他商品同贮同运。</w:t>
            </w:r>
          </w:p>
        </w:tc>
      </w:tr>
      <w:tr w14:paraId="771FB186">
        <w:tblPrEx>
          <w:tblCellMar>
            <w:top w:w="0" w:type="dxa"/>
            <w:left w:w="0" w:type="dxa"/>
            <w:bottom w:w="0" w:type="dxa"/>
            <w:right w:w="0" w:type="dxa"/>
          </w:tblCellMar>
        </w:tblPrEx>
        <w:trPr>
          <w:wBefore w:w="0" w:type="auto"/>
          <w:tblCellSpacing w:w="0" w:type="dxa"/>
        </w:trPr>
        <w:tc>
          <w:tcPr>
            <w:tcW w:w="0" w:type="auto"/>
            <w:noWrap w:val="0"/>
            <w:vAlign w:val="center"/>
          </w:tcPr>
          <w:p w14:paraId="0C575237">
            <w:r>
              <w:rPr>
                <w:rStyle w:val="10"/>
                <w:rFonts w:hint="eastAsia"/>
              </w:rPr>
              <w:t>质量保证期：</w:t>
            </w:r>
            <w:r>
              <w:rPr>
                <w:rStyle w:val="11"/>
                <w:rFonts w:hint="eastAsia"/>
              </w:rPr>
              <w:t>2年</w:t>
            </w:r>
          </w:p>
        </w:tc>
      </w:tr>
      <w:tr w14:paraId="05C0CD6C">
        <w:tblPrEx>
          <w:tblCellMar>
            <w:top w:w="0" w:type="dxa"/>
            <w:left w:w="0" w:type="dxa"/>
            <w:bottom w:w="0" w:type="dxa"/>
            <w:right w:w="0" w:type="dxa"/>
          </w:tblCellMar>
        </w:tblPrEx>
        <w:trPr>
          <w:wBefore w:w="0" w:type="auto"/>
          <w:tblCellSpacing w:w="0" w:type="dxa"/>
        </w:trPr>
        <w:tc>
          <w:tcPr>
            <w:tcW w:w="0" w:type="auto"/>
            <w:noWrap w:val="0"/>
            <w:vAlign w:val="center"/>
          </w:tcPr>
          <w:p w14:paraId="412374B5">
            <w:r>
              <w:rPr>
                <w:rStyle w:val="10"/>
                <w:rFonts w:hint="eastAsia"/>
              </w:rPr>
              <w:t>备注：</w:t>
            </w:r>
          </w:p>
        </w:tc>
      </w:tr>
    </w:tbl>
    <w:p w14:paraId="25FE20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74B276">
        <w:tblPrEx>
          <w:tblCellMar>
            <w:top w:w="0" w:type="dxa"/>
            <w:left w:w="0" w:type="dxa"/>
            <w:bottom w:w="0" w:type="dxa"/>
            <w:right w:w="0" w:type="dxa"/>
          </w:tblCellMar>
        </w:tblPrEx>
        <w:trPr>
          <w:wBefore w:w="0" w:type="auto"/>
          <w:tblCellSpacing w:w="0" w:type="dxa"/>
        </w:trPr>
        <w:tc>
          <w:tcPr>
            <w:tcW w:w="0" w:type="auto"/>
            <w:noWrap w:val="0"/>
            <w:vAlign w:val="center"/>
          </w:tcPr>
          <w:p w14:paraId="35DA38DA">
            <w:r>
              <w:rPr>
                <w:rStyle w:val="10"/>
                <w:rFonts w:hint="eastAsia"/>
              </w:rPr>
              <w:t>登记证号：</w:t>
            </w:r>
            <w:r>
              <w:rPr>
                <w:rFonts w:hint="eastAsia"/>
              </w:rPr>
              <w:t>WP20210405</w:t>
            </w:r>
          </w:p>
        </w:tc>
      </w:tr>
      <w:tr w14:paraId="7FBE8E38">
        <w:tblPrEx>
          <w:tblCellMar>
            <w:top w:w="0" w:type="dxa"/>
            <w:left w:w="0" w:type="dxa"/>
            <w:bottom w:w="0" w:type="dxa"/>
            <w:right w:w="0" w:type="dxa"/>
          </w:tblCellMar>
        </w:tblPrEx>
        <w:trPr>
          <w:wBefore w:w="0" w:type="auto"/>
          <w:tblCellSpacing w:w="0" w:type="dxa"/>
        </w:trPr>
        <w:tc>
          <w:tcPr>
            <w:tcW w:w="0" w:type="auto"/>
            <w:noWrap w:val="0"/>
            <w:vAlign w:val="center"/>
          </w:tcPr>
          <w:p w14:paraId="56F01725">
            <w:r>
              <w:rPr>
                <w:rStyle w:val="10"/>
                <w:rFonts w:hint="eastAsia"/>
              </w:rPr>
              <w:t>登记证持有人：</w:t>
            </w:r>
            <w:r>
              <w:rPr>
                <w:rFonts w:hint="eastAsia"/>
              </w:rPr>
              <w:t>浙江迪乐化学品有限公司</w:t>
            </w:r>
          </w:p>
        </w:tc>
      </w:tr>
      <w:tr w14:paraId="37B2F431">
        <w:tblPrEx>
          <w:tblCellMar>
            <w:top w:w="0" w:type="dxa"/>
            <w:left w:w="0" w:type="dxa"/>
            <w:bottom w:w="0" w:type="dxa"/>
            <w:right w:w="0" w:type="dxa"/>
          </w:tblCellMar>
        </w:tblPrEx>
        <w:trPr>
          <w:wBefore w:w="0" w:type="auto"/>
          <w:tblCellSpacing w:w="0" w:type="dxa"/>
        </w:trPr>
        <w:tc>
          <w:tcPr>
            <w:tcW w:w="0" w:type="auto"/>
            <w:noWrap w:val="0"/>
            <w:vAlign w:val="center"/>
          </w:tcPr>
          <w:p w14:paraId="7AAADD80">
            <w:r>
              <w:rPr>
                <w:rStyle w:val="10"/>
                <w:rFonts w:hint="eastAsia"/>
              </w:rPr>
              <w:t>农药名称：</w:t>
            </w:r>
            <w:r>
              <w:rPr>
                <w:rFonts w:hint="eastAsia"/>
              </w:rPr>
              <w:t>杀蚊展膜油剂</w:t>
            </w:r>
          </w:p>
        </w:tc>
      </w:tr>
      <w:tr w14:paraId="481C4C89">
        <w:tblPrEx>
          <w:tblCellMar>
            <w:top w:w="0" w:type="dxa"/>
            <w:left w:w="0" w:type="dxa"/>
            <w:bottom w:w="0" w:type="dxa"/>
            <w:right w:w="0" w:type="dxa"/>
          </w:tblCellMar>
        </w:tblPrEx>
        <w:trPr>
          <w:wBefore w:w="0" w:type="auto"/>
          <w:tblCellSpacing w:w="0" w:type="dxa"/>
        </w:trPr>
        <w:tc>
          <w:tcPr>
            <w:tcW w:w="0" w:type="auto"/>
            <w:noWrap w:val="0"/>
            <w:vAlign w:val="center"/>
          </w:tcPr>
          <w:p w14:paraId="57882401">
            <w:r>
              <w:rPr>
                <w:rStyle w:val="10"/>
                <w:rFonts w:hint="eastAsia"/>
              </w:rPr>
              <w:t>剂型：</w:t>
            </w:r>
            <w:r>
              <w:rPr>
                <w:rFonts w:hint="eastAsia"/>
              </w:rPr>
              <w:t>展膜油剂</w:t>
            </w:r>
          </w:p>
        </w:tc>
      </w:tr>
      <w:tr w14:paraId="170275E0">
        <w:tblPrEx>
          <w:tblCellMar>
            <w:top w:w="0" w:type="dxa"/>
            <w:left w:w="0" w:type="dxa"/>
            <w:bottom w:w="0" w:type="dxa"/>
            <w:right w:w="0" w:type="dxa"/>
          </w:tblCellMar>
        </w:tblPrEx>
        <w:trPr>
          <w:wBefore w:w="0" w:type="auto"/>
          <w:tblCellSpacing w:w="0" w:type="dxa"/>
        </w:trPr>
        <w:tc>
          <w:tcPr>
            <w:tcW w:w="0" w:type="auto"/>
            <w:noWrap w:val="0"/>
            <w:vAlign w:val="center"/>
          </w:tcPr>
          <w:p w14:paraId="169A0887">
            <w:r>
              <w:rPr>
                <w:rStyle w:val="10"/>
                <w:rFonts w:hint="eastAsia"/>
              </w:rPr>
              <w:t>毒性及其标识：</w:t>
            </w:r>
            <w:r>
              <w:rPr>
                <w:rFonts w:hint="eastAsia"/>
              </w:rPr>
              <w:t xml:space="preserve"> </w:t>
            </w:r>
            <w:r>
              <w:rPr>
                <w:lang/>
              </w:rPr>
              <w:drawing>
                <wp:inline distT="0" distB="0" distL="114300" distR="114300">
                  <wp:extent cx="476250" cy="323850"/>
                  <wp:effectExtent l="0" t="0" r="0" b="0"/>
                  <wp:docPr id="98" name="图片 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E45DDB6">
        <w:tblPrEx>
          <w:tblCellMar>
            <w:top w:w="0" w:type="dxa"/>
            <w:left w:w="0" w:type="dxa"/>
            <w:bottom w:w="0" w:type="dxa"/>
            <w:right w:w="0" w:type="dxa"/>
          </w:tblCellMar>
        </w:tblPrEx>
        <w:trPr>
          <w:wBefore w:w="0" w:type="auto"/>
          <w:tblCellSpacing w:w="0" w:type="dxa"/>
        </w:trPr>
        <w:tc>
          <w:tcPr>
            <w:tcW w:w="0" w:type="auto"/>
            <w:noWrap w:val="0"/>
            <w:vAlign w:val="center"/>
          </w:tcPr>
          <w:p w14:paraId="5D6998AC">
            <w:r>
              <w:rPr>
                <w:rStyle w:val="10"/>
                <w:rFonts w:hint="eastAsia"/>
              </w:rPr>
              <w:t>总有效成分含量：</w:t>
            </w:r>
            <w:r>
              <w:rPr>
                <w:rFonts w:hint="eastAsia"/>
              </w:rPr>
              <w:t>0.9%</w:t>
            </w:r>
          </w:p>
        </w:tc>
      </w:tr>
      <w:tr w14:paraId="6ECC6229">
        <w:tblPrEx>
          <w:tblCellMar>
            <w:top w:w="0" w:type="dxa"/>
            <w:left w:w="0" w:type="dxa"/>
            <w:bottom w:w="0" w:type="dxa"/>
            <w:right w:w="0" w:type="dxa"/>
          </w:tblCellMar>
        </w:tblPrEx>
        <w:trPr>
          <w:wBefore w:w="0" w:type="auto"/>
          <w:tblCellSpacing w:w="0" w:type="dxa"/>
        </w:trPr>
        <w:tc>
          <w:tcPr>
            <w:tcW w:w="0" w:type="auto"/>
            <w:noWrap w:val="0"/>
            <w:vAlign w:val="center"/>
          </w:tcPr>
          <w:p w14:paraId="6E6ABD3B">
            <w:r>
              <w:rPr>
                <w:rFonts w:hint="eastAsia"/>
              </w:rPr>
              <w:t xml:space="preserve">有效成分及其含量： </w:t>
            </w:r>
          </w:p>
          <w:p w14:paraId="7E959736">
            <w:r>
              <w:rPr>
                <w:rFonts w:hint="eastAsia"/>
              </w:rPr>
              <w:t xml:space="preserve">    吡丙醚0.5%    噻虫嗪0.4%    </w:t>
            </w:r>
          </w:p>
        </w:tc>
      </w:tr>
      <w:tr w14:paraId="03926F9F">
        <w:tblPrEx>
          <w:tblCellMar>
            <w:top w:w="0" w:type="dxa"/>
            <w:left w:w="0" w:type="dxa"/>
            <w:bottom w:w="0" w:type="dxa"/>
            <w:right w:w="0" w:type="dxa"/>
          </w:tblCellMar>
        </w:tblPrEx>
        <w:trPr>
          <w:wBefore w:w="0" w:type="auto"/>
          <w:tblCellSpacing w:w="0" w:type="dxa"/>
        </w:trPr>
        <w:tc>
          <w:tcPr>
            <w:tcW w:w="0" w:type="auto"/>
            <w:noWrap w:val="0"/>
            <w:vAlign w:val="center"/>
          </w:tcPr>
          <w:p w14:paraId="3C799B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00E7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3FE5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B1C9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206E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E97C1A">
                  <w:r>
                    <w:rPr>
                      <w:rStyle w:val="11"/>
                      <w:rFonts w:hint="eastAsia"/>
                    </w:rPr>
                    <w:t>施用方式</w:t>
                  </w:r>
                </w:p>
              </w:tc>
            </w:tr>
            <w:tr w14:paraId="0110F9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35CAAC">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4BA2E8">
                  <w:r>
                    <w:rPr>
                      <w:rStyle w:val="11"/>
                      <w:rFonts w:hint="eastAsia"/>
                    </w:rPr>
                    <w:t>蚊(幼虫)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B4C7AA">
                  <w:r>
                    <w:rPr>
                      <w:rStyle w:val="11"/>
                      <w:rFonts w:hint="eastAsia"/>
                    </w:rPr>
                    <w:t>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6F8F65">
                  <w:r>
                    <w:rPr>
                      <w:rStyle w:val="11"/>
                      <w:rFonts w:hint="eastAsia"/>
                    </w:rPr>
                    <w:t>洒滴</w:t>
                  </w:r>
                </w:p>
              </w:tc>
            </w:tr>
          </w:tbl>
          <w:p w14:paraId="1F7EFDC6">
            <w:pPr>
              <w:rPr>
                <w:rFonts w:ascii="Times New Roman" w:hAnsi="Times New Roman" w:cs="Times New Roman"/>
                <w:sz w:val="20"/>
                <w:szCs w:val="20"/>
              </w:rPr>
            </w:pPr>
          </w:p>
        </w:tc>
      </w:tr>
      <w:tr w14:paraId="3567F7F5">
        <w:tblPrEx>
          <w:tblCellMar>
            <w:top w:w="0" w:type="dxa"/>
            <w:left w:w="0" w:type="dxa"/>
            <w:bottom w:w="0" w:type="dxa"/>
            <w:right w:w="0" w:type="dxa"/>
          </w:tblCellMar>
        </w:tblPrEx>
        <w:trPr>
          <w:wBefore w:w="0" w:type="auto"/>
          <w:tblCellSpacing w:w="0" w:type="dxa"/>
        </w:trPr>
        <w:tc>
          <w:tcPr>
            <w:tcW w:w="0" w:type="auto"/>
            <w:noWrap w:val="0"/>
            <w:vAlign w:val="center"/>
          </w:tcPr>
          <w:p w14:paraId="68AAD625">
            <w:r>
              <w:rPr>
                <w:rStyle w:val="10"/>
                <w:rFonts w:hint="eastAsia"/>
              </w:rPr>
              <w:t>使用技术要求:</w:t>
            </w:r>
            <w:r>
              <w:rPr>
                <w:rFonts w:hint="eastAsia"/>
              </w:rPr>
              <w:br w:type="textWrapping"/>
            </w:r>
            <w:r>
              <w:rPr>
                <w:rStyle w:val="11"/>
                <w:rFonts w:hint="eastAsia"/>
              </w:rPr>
              <w:t>使用时，直接将药剂按登记用药量均匀洒滴于所需处理的水体表面。</w:t>
            </w:r>
          </w:p>
        </w:tc>
      </w:tr>
      <w:tr w14:paraId="7C9CC0F0">
        <w:tblPrEx>
          <w:tblCellMar>
            <w:top w:w="0" w:type="dxa"/>
            <w:left w:w="0" w:type="dxa"/>
            <w:bottom w:w="0" w:type="dxa"/>
            <w:right w:w="0" w:type="dxa"/>
          </w:tblCellMar>
        </w:tblPrEx>
        <w:trPr>
          <w:wBefore w:w="0" w:type="auto"/>
          <w:tblCellSpacing w:w="0" w:type="dxa"/>
        </w:trPr>
        <w:tc>
          <w:tcPr>
            <w:tcW w:w="0" w:type="auto"/>
            <w:noWrap w:val="0"/>
            <w:vAlign w:val="center"/>
          </w:tcPr>
          <w:p w14:paraId="709B485F">
            <w:r>
              <w:rPr>
                <w:rStyle w:val="10"/>
                <w:rFonts w:hint="eastAsia"/>
              </w:rPr>
              <w:t>产品性能:</w:t>
            </w:r>
            <w:r>
              <w:rPr>
                <w:rFonts w:hint="eastAsia"/>
              </w:rPr>
              <w:br w:type="textWrapping"/>
            </w:r>
            <w:r>
              <w:rPr>
                <w:rStyle w:val="11"/>
                <w:rFonts w:hint="eastAsia"/>
              </w:rPr>
              <w:t>本品以吡丙醚和噻虫嗪为有效成分，用于防治蚊幼虫（孑孓），适用于蚊幼虫孳生地。</w:t>
            </w:r>
          </w:p>
        </w:tc>
      </w:tr>
      <w:tr w14:paraId="29D62839">
        <w:tblPrEx>
          <w:tblCellMar>
            <w:top w:w="0" w:type="dxa"/>
            <w:left w:w="0" w:type="dxa"/>
            <w:bottom w:w="0" w:type="dxa"/>
            <w:right w:w="0" w:type="dxa"/>
          </w:tblCellMar>
        </w:tblPrEx>
        <w:trPr>
          <w:wBefore w:w="0" w:type="auto"/>
          <w:tblCellSpacing w:w="0" w:type="dxa"/>
        </w:trPr>
        <w:tc>
          <w:tcPr>
            <w:tcW w:w="0" w:type="auto"/>
            <w:noWrap w:val="0"/>
            <w:vAlign w:val="center"/>
          </w:tcPr>
          <w:p w14:paraId="3FDC92D9">
            <w:r>
              <w:rPr>
                <w:rStyle w:val="10"/>
                <w:rFonts w:hint="eastAsia"/>
              </w:rPr>
              <w:t>注意事项：</w:t>
            </w:r>
            <w:r>
              <w:rPr>
                <w:rFonts w:hint="eastAsia"/>
              </w:rPr>
              <w:br w:type="textWrapping"/>
            </w:r>
            <w:r>
              <w:rPr>
                <w:rStyle w:val="11"/>
                <w:rFonts w:hint="eastAsia"/>
              </w:rPr>
              <w:t>1.本品供专业人士使用，使用时穿戴长衣、长裤、帽子、口罩、手套等安全防护措施，避免经口、鼻吸入，不要让药液沾染粘膜、伤口和眼睛。2．使用后，及时洗手、洗脸，清洗暴露在外的皮肤和工作服等。 3. 用过的容器应妥善处理，不可做他用，也不可以随意丢弃。4. 本品对鱼、大型溞、藻类水生生物有毒，水产养殖区，河塘等水体附近禁用。禁止在河塘等水体中清洗施药器具。5. 过敏者禁用。使用中有任何不良反应请及时就医。6. 孕妇、哺乳期妇女及过敏者应远离本品。</w:t>
            </w:r>
          </w:p>
        </w:tc>
      </w:tr>
      <w:tr w14:paraId="7DB3A806">
        <w:tblPrEx>
          <w:tblCellMar>
            <w:top w:w="0" w:type="dxa"/>
            <w:left w:w="0" w:type="dxa"/>
            <w:bottom w:w="0" w:type="dxa"/>
            <w:right w:w="0" w:type="dxa"/>
          </w:tblCellMar>
        </w:tblPrEx>
        <w:trPr>
          <w:wBefore w:w="0" w:type="auto"/>
          <w:tblCellSpacing w:w="0" w:type="dxa"/>
        </w:trPr>
        <w:tc>
          <w:tcPr>
            <w:tcW w:w="0" w:type="auto"/>
            <w:noWrap w:val="0"/>
            <w:vAlign w:val="center"/>
          </w:tcPr>
          <w:p w14:paraId="2E8736F4">
            <w:r>
              <w:rPr>
                <w:rStyle w:val="10"/>
                <w:rFonts w:hint="eastAsia"/>
              </w:rPr>
              <w:t>中毒急救措施：</w:t>
            </w:r>
            <w:r>
              <w:rPr>
                <w:rFonts w:hint="eastAsia"/>
              </w:rPr>
              <w:br w:type="textWrapping"/>
            </w:r>
            <w:r>
              <w:rPr>
                <w:rStyle w:val="11"/>
                <w:rFonts w:hint="eastAsia"/>
              </w:rPr>
              <w:t>若药剂沾染皮肤或眼睛，请及时用清水冲洗至少15分钟。若误食，请立即就医对症治疗。</w:t>
            </w:r>
          </w:p>
        </w:tc>
      </w:tr>
      <w:tr w14:paraId="2DFB3922">
        <w:tblPrEx>
          <w:tblCellMar>
            <w:top w:w="0" w:type="dxa"/>
            <w:left w:w="0" w:type="dxa"/>
            <w:bottom w:w="0" w:type="dxa"/>
            <w:right w:w="0" w:type="dxa"/>
          </w:tblCellMar>
        </w:tblPrEx>
        <w:trPr>
          <w:wBefore w:w="0" w:type="auto"/>
          <w:tblCellSpacing w:w="0" w:type="dxa"/>
        </w:trPr>
        <w:tc>
          <w:tcPr>
            <w:tcW w:w="0" w:type="auto"/>
            <w:noWrap w:val="0"/>
            <w:vAlign w:val="center"/>
          </w:tcPr>
          <w:p w14:paraId="5A3B3316">
            <w:r>
              <w:rPr>
                <w:rStyle w:val="10"/>
                <w:rFonts w:hint="eastAsia"/>
              </w:rPr>
              <w:t>储存和运输方法：</w:t>
            </w:r>
            <w:r>
              <w:rPr>
                <w:rFonts w:hint="eastAsia"/>
              </w:rPr>
              <w:br w:type="textWrapping"/>
            </w:r>
            <w:r>
              <w:rPr>
                <w:rStyle w:val="11"/>
                <w:rFonts w:hint="eastAsia"/>
              </w:rPr>
              <w:t>本品应放在干燥、阴凉、通风、避光处，远离火源或热源。置于儿童、无关人员接触不到的地方。不能与食品、饮料、粮食、饲料等混合储存和运输。运输和装卸时注意轻拿轻放，不得损坏包装。运输时防雨淋、防高温。</w:t>
            </w:r>
          </w:p>
        </w:tc>
      </w:tr>
      <w:tr w14:paraId="4B5E72F2">
        <w:tblPrEx>
          <w:tblCellMar>
            <w:top w:w="0" w:type="dxa"/>
            <w:left w:w="0" w:type="dxa"/>
            <w:bottom w:w="0" w:type="dxa"/>
            <w:right w:w="0" w:type="dxa"/>
          </w:tblCellMar>
        </w:tblPrEx>
        <w:trPr>
          <w:wBefore w:w="0" w:type="auto"/>
          <w:tblCellSpacing w:w="0" w:type="dxa"/>
        </w:trPr>
        <w:tc>
          <w:tcPr>
            <w:tcW w:w="0" w:type="auto"/>
            <w:noWrap w:val="0"/>
            <w:vAlign w:val="center"/>
          </w:tcPr>
          <w:p w14:paraId="4A9F264A">
            <w:r>
              <w:rPr>
                <w:rStyle w:val="10"/>
                <w:rFonts w:hint="eastAsia"/>
              </w:rPr>
              <w:t>质量保证期：</w:t>
            </w:r>
            <w:r>
              <w:rPr>
                <w:rStyle w:val="11"/>
                <w:rFonts w:hint="eastAsia"/>
              </w:rPr>
              <w:t>2年</w:t>
            </w:r>
          </w:p>
        </w:tc>
      </w:tr>
      <w:tr w14:paraId="05D4E77E">
        <w:tblPrEx>
          <w:tblCellMar>
            <w:top w:w="0" w:type="dxa"/>
            <w:left w:w="0" w:type="dxa"/>
            <w:bottom w:w="0" w:type="dxa"/>
            <w:right w:w="0" w:type="dxa"/>
          </w:tblCellMar>
        </w:tblPrEx>
        <w:trPr>
          <w:wBefore w:w="0" w:type="auto"/>
          <w:tblCellSpacing w:w="0" w:type="dxa"/>
        </w:trPr>
        <w:tc>
          <w:tcPr>
            <w:tcW w:w="0" w:type="auto"/>
            <w:noWrap w:val="0"/>
            <w:vAlign w:val="center"/>
          </w:tcPr>
          <w:p w14:paraId="5BDFAF63">
            <w:r>
              <w:rPr>
                <w:rStyle w:val="10"/>
                <w:rFonts w:hint="eastAsia"/>
              </w:rPr>
              <w:t>备注：</w:t>
            </w:r>
          </w:p>
        </w:tc>
      </w:tr>
    </w:tbl>
    <w:p w14:paraId="7E33035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DFB91D">
        <w:tblPrEx>
          <w:tblCellMar>
            <w:top w:w="0" w:type="dxa"/>
            <w:left w:w="0" w:type="dxa"/>
            <w:bottom w:w="0" w:type="dxa"/>
            <w:right w:w="0" w:type="dxa"/>
          </w:tblCellMar>
        </w:tblPrEx>
        <w:trPr>
          <w:wBefore w:w="0" w:type="auto"/>
          <w:tblCellSpacing w:w="0" w:type="dxa"/>
        </w:trPr>
        <w:tc>
          <w:tcPr>
            <w:tcW w:w="0" w:type="auto"/>
            <w:noWrap w:val="0"/>
            <w:vAlign w:val="center"/>
          </w:tcPr>
          <w:p w14:paraId="0158E7CB">
            <w:r>
              <w:rPr>
                <w:rStyle w:val="10"/>
                <w:rFonts w:hint="eastAsia"/>
              </w:rPr>
              <w:t>登记证号：</w:t>
            </w:r>
            <w:r>
              <w:rPr>
                <w:rFonts w:hint="eastAsia"/>
              </w:rPr>
              <w:t>PD20212513</w:t>
            </w:r>
          </w:p>
        </w:tc>
      </w:tr>
      <w:tr w14:paraId="7B6DD808">
        <w:tblPrEx>
          <w:tblCellMar>
            <w:top w:w="0" w:type="dxa"/>
            <w:left w:w="0" w:type="dxa"/>
            <w:bottom w:w="0" w:type="dxa"/>
            <w:right w:w="0" w:type="dxa"/>
          </w:tblCellMar>
        </w:tblPrEx>
        <w:trPr>
          <w:wBefore w:w="0" w:type="auto"/>
          <w:tblCellSpacing w:w="0" w:type="dxa"/>
        </w:trPr>
        <w:tc>
          <w:tcPr>
            <w:tcW w:w="0" w:type="auto"/>
            <w:noWrap w:val="0"/>
            <w:vAlign w:val="center"/>
          </w:tcPr>
          <w:p w14:paraId="42305E6F">
            <w:r>
              <w:rPr>
                <w:rStyle w:val="10"/>
                <w:rFonts w:hint="eastAsia"/>
              </w:rPr>
              <w:t>登记证持有人：</w:t>
            </w:r>
            <w:r>
              <w:rPr>
                <w:rFonts w:hint="eastAsia"/>
              </w:rPr>
              <w:t>沈阳农帝生物技术有限公司</w:t>
            </w:r>
          </w:p>
        </w:tc>
      </w:tr>
      <w:tr w14:paraId="4B8D32CD">
        <w:tblPrEx>
          <w:tblCellMar>
            <w:top w:w="0" w:type="dxa"/>
            <w:left w:w="0" w:type="dxa"/>
            <w:bottom w:w="0" w:type="dxa"/>
            <w:right w:w="0" w:type="dxa"/>
          </w:tblCellMar>
        </w:tblPrEx>
        <w:trPr>
          <w:wBefore w:w="0" w:type="auto"/>
          <w:tblCellSpacing w:w="0" w:type="dxa"/>
        </w:trPr>
        <w:tc>
          <w:tcPr>
            <w:tcW w:w="0" w:type="auto"/>
            <w:noWrap w:val="0"/>
            <w:vAlign w:val="center"/>
          </w:tcPr>
          <w:p w14:paraId="25607A33">
            <w:r>
              <w:rPr>
                <w:rStyle w:val="10"/>
                <w:rFonts w:hint="eastAsia"/>
              </w:rPr>
              <w:t>农药名称：</w:t>
            </w:r>
            <w:r>
              <w:rPr>
                <w:rFonts w:hint="eastAsia"/>
              </w:rPr>
              <w:t>硝磺草酮</w:t>
            </w:r>
          </w:p>
        </w:tc>
      </w:tr>
      <w:tr w14:paraId="74D75C86">
        <w:tblPrEx>
          <w:tblCellMar>
            <w:top w:w="0" w:type="dxa"/>
            <w:left w:w="0" w:type="dxa"/>
            <w:bottom w:w="0" w:type="dxa"/>
            <w:right w:w="0" w:type="dxa"/>
          </w:tblCellMar>
        </w:tblPrEx>
        <w:trPr>
          <w:wBefore w:w="0" w:type="auto"/>
          <w:tblCellSpacing w:w="0" w:type="dxa"/>
        </w:trPr>
        <w:tc>
          <w:tcPr>
            <w:tcW w:w="0" w:type="auto"/>
            <w:noWrap w:val="0"/>
            <w:vAlign w:val="center"/>
          </w:tcPr>
          <w:p w14:paraId="525AE64F">
            <w:r>
              <w:rPr>
                <w:rStyle w:val="10"/>
                <w:rFonts w:hint="eastAsia"/>
              </w:rPr>
              <w:t>剂型：</w:t>
            </w:r>
            <w:r>
              <w:rPr>
                <w:rFonts w:hint="eastAsia"/>
              </w:rPr>
              <w:t>水分散粒剂</w:t>
            </w:r>
          </w:p>
        </w:tc>
      </w:tr>
      <w:tr w14:paraId="31DD8476">
        <w:tblPrEx>
          <w:tblCellMar>
            <w:top w:w="0" w:type="dxa"/>
            <w:left w:w="0" w:type="dxa"/>
            <w:bottom w:w="0" w:type="dxa"/>
            <w:right w:w="0" w:type="dxa"/>
          </w:tblCellMar>
        </w:tblPrEx>
        <w:trPr>
          <w:wBefore w:w="0" w:type="auto"/>
          <w:tblCellSpacing w:w="0" w:type="dxa"/>
        </w:trPr>
        <w:tc>
          <w:tcPr>
            <w:tcW w:w="0" w:type="auto"/>
            <w:noWrap w:val="0"/>
            <w:vAlign w:val="center"/>
          </w:tcPr>
          <w:p w14:paraId="3EAD5750">
            <w:r>
              <w:rPr>
                <w:rStyle w:val="10"/>
                <w:rFonts w:hint="eastAsia"/>
              </w:rPr>
              <w:t>毒性及其标识：</w:t>
            </w:r>
            <w:r>
              <w:rPr>
                <w:rFonts w:hint="eastAsia"/>
              </w:rPr>
              <w:t xml:space="preserve"> 微毒 </w:t>
            </w:r>
          </w:p>
        </w:tc>
      </w:tr>
      <w:tr w14:paraId="18B51705">
        <w:tblPrEx>
          <w:tblCellMar>
            <w:top w:w="0" w:type="dxa"/>
            <w:left w:w="0" w:type="dxa"/>
            <w:bottom w:w="0" w:type="dxa"/>
            <w:right w:w="0" w:type="dxa"/>
          </w:tblCellMar>
        </w:tblPrEx>
        <w:trPr>
          <w:wBefore w:w="0" w:type="auto"/>
          <w:tblCellSpacing w:w="0" w:type="dxa"/>
        </w:trPr>
        <w:tc>
          <w:tcPr>
            <w:tcW w:w="0" w:type="auto"/>
            <w:noWrap w:val="0"/>
            <w:vAlign w:val="center"/>
          </w:tcPr>
          <w:p w14:paraId="24A2E4C1">
            <w:r>
              <w:rPr>
                <w:rStyle w:val="10"/>
                <w:rFonts w:hint="eastAsia"/>
              </w:rPr>
              <w:t>总有效成分含量：</w:t>
            </w:r>
            <w:r>
              <w:rPr>
                <w:rFonts w:hint="eastAsia"/>
              </w:rPr>
              <w:t>15%</w:t>
            </w:r>
          </w:p>
        </w:tc>
      </w:tr>
      <w:tr w14:paraId="6F6AEA2F">
        <w:tblPrEx>
          <w:tblCellMar>
            <w:top w:w="0" w:type="dxa"/>
            <w:left w:w="0" w:type="dxa"/>
            <w:bottom w:w="0" w:type="dxa"/>
            <w:right w:w="0" w:type="dxa"/>
          </w:tblCellMar>
        </w:tblPrEx>
        <w:trPr>
          <w:wBefore w:w="0" w:type="auto"/>
          <w:tblCellSpacing w:w="0" w:type="dxa"/>
        </w:trPr>
        <w:tc>
          <w:tcPr>
            <w:tcW w:w="0" w:type="auto"/>
            <w:noWrap w:val="0"/>
            <w:vAlign w:val="center"/>
          </w:tcPr>
          <w:p w14:paraId="0789F886">
            <w:r>
              <w:rPr>
                <w:rFonts w:hint="eastAsia"/>
              </w:rPr>
              <w:t xml:space="preserve">有效成分及其含量： </w:t>
            </w:r>
          </w:p>
          <w:p w14:paraId="4AD218D4">
            <w:r>
              <w:rPr>
                <w:rFonts w:hint="eastAsia"/>
              </w:rPr>
              <w:t xml:space="preserve">    硝磺草酮15%    </w:t>
            </w:r>
          </w:p>
        </w:tc>
      </w:tr>
      <w:tr w14:paraId="4DE2E0DA">
        <w:tblPrEx>
          <w:tblCellMar>
            <w:top w:w="0" w:type="dxa"/>
            <w:left w:w="0" w:type="dxa"/>
            <w:bottom w:w="0" w:type="dxa"/>
            <w:right w:w="0" w:type="dxa"/>
          </w:tblCellMar>
        </w:tblPrEx>
        <w:trPr>
          <w:wBefore w:w="0" w:type="auto"/>
          <w:tblCellSpacing w:w="0" w:type="dxa"/>
        </w:trPr>
        <w:tc>
          <w:tcPr>
            <w:tcW w:w="0" w:type="auto"/>
            <w:noWrap w:val="0"/>
            <w:vAlign w:val="center"/>
          </w:tcPr>
          <w:p w14:paraId="7D9001D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F868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98F2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E060D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7168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F04F9A">
                  <w:r>
                    <w:rPr>
                      <w:rStyle w:val="11"/>
                      <w:rFonts w:hint="eastAsia"/>
                    </w:rPr>
                    <w:t>施用方式</w:t>
                  </w:r>
                </w:p>
              </w:tc>
            </w:tr>
            <w:tr w14:paraId="4CE8E6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0391C1">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F59FC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86A1F0">
                  <w:r>
                    <w:rPr>
                      <w:rStyle w:val="11"/>
                      <w:rFonts w:hint="eastAsia"/>
                    </w:rPr>
                    <w:t>30-40克/亩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D2E942">
                  <w:r>
                    <w:rPr>
                      <w:rStyle w:val="11"/>
                      <w:rFonts w:hint="eastAsia"/>
                    </w:rPr>
                    <w:t>药土法</w:t>
                  </w:r>
                </w:p>
              </w:tc>
            </w:tr>
          </w:tbl>
          <w:p w14:paraId="26698035">
            <w:pPr>
              <w:rPr>
                <w:rFonts w:ascii="Times New Roman" w:hAnsi="Times New Roman" w:cs="Times New Roman"/>
                <w:sz w:val="20"/>
                <w:szCs w:val="20"/>
              </w:rPr>
            </w:pPr>
          </w:p>
        </w:tc>
      </w:tr>
      <w:tr w14:paraId="6660F044">
        <w:tblPrEx>
          <w:tblCellMar>
            <w:top w:w="0" w:type="dxa"/>
            <w:left w:w="0" w:type="dxa"/>
            <w:bottom w:w="0" w:type="dxa"/>
            <w:right w:w="0" w:type="dxa"/>
          </w:tblCellMar>
        </w:tblPrEx>
        <w:trPr>
          <w:wBefore w:w="0" w:type="auto"/>
          <w:tblCellSpacing w:w="0" w:type="dxa"/>
        </w:trPr>
        <w:tc>
          <w:tcPr>
            <w:tcW w:w="0" w:type="auto"/>
            <w:noWrap w:val="0"/>
            <w:vAlign w:val="center"/>
          </w:tcPr>
          <w:p w14:paraId="1BEA5783">
            <w:r>
              <w:rPr>
                <w:rStyle w:val="10"/>
                <w:rFonts w:hint="eastAsia"/>
              </w:rPr>
              <w:t>使用技术要求:</w:t>
            </w:r>
            <w:r>
              <w:rPr>
                <w:rFonts w:hint="eastAsia"/>
              </w:rPr>
              <w:br w:type="textWrapping"/>
            </w:r>
            <w:r>
              <w:rPr>
                <w:rStyle w:val="11"/>
                <w:rFonts w:hint="eastAsia"/>
              </w:rPr>
              <w:t>1、在水稻移栽缓苗后药土撒施一次。采用药土法每亩拌细土15公斤均匀撒施，.田间保持水层3-5厘米5-7天，水深不淹没水稻心叶，之后正常栽培管理。 2、本品每季最多使用1次。3、硝磺草酮对部分籼稻及其亲缘水稻品种安全性差，大面积推广使用前应先开展小范围试验；、水层勿淹没水稻心叶避免药害。</w:t>
            </w:r>
          </w:p>
        </w:tc>
      </w:tr>
      <w:tr w14:paraId="3F21A70B">
        <w:tblPrEx>
          <w:tblCellMar>
            <w:top w:w="0" w:type="dxa"/>
            <w:left w:w="0" w:type="dxa"/>
            <w:bottom w:w="0" w:type="dxa"/>
            <w:right w:w="0" w:type="dxa"/>
          </w:tblCellMar>
        </w:tblPrEx>
        <w:trPr>
          <w:wBefore w:w="0" w:type="auto"/>
          <w:tblCellSpacing w:w="0" w:type="dxa"/>
        </w:trPr>
        <w:tc>
          <w:tcPr>
            <w:tcW w:w="0" w:type="auto"/>
            <w:noWrap w:val="0"/>
            <w:vAlign w:val="center"/>
          </w:tcPr>
          <w:p w14:paraId="4E1CC47C">
            <w:r>
              <w:rPr>
                <w:rStyle w:val="10"/>
                <w:rFonts w:hint="eastAsia"/>
              </w:rPr>
              <w:t>产品性能:</w:t>
            </w:r>
            <w:r>
              <w:rPr>
                <w:rFonts w:hint="eastAsia"/>
              </w:rPr>
              <w:br w:type="textWrapping"/>
            </w:r>
            <w:r>
              <w:rPr>
                <w:rStyle w:val="11"/>
                <w:rFonts w:hint="eastAsia"/>
              </w:rPr>
              <w:t>本品为内吸传导型除草剂，硝磺草酮为 p-羟苯基丙酮酸双氧酶抑制剂，最终抑制类胡萝卜素合成。可用于防除移栽水稻田一年生杂草，有效防除萤蔺、异型莎草、碎米莎草、水莎草、慈姑、泽泻、雨久花、丁香蓼、鸭舌草、陌上菜、眼子菜、狼把草、稗草、千金子等莎草科杂草、阔叶杂草和禾本科杂草有较好的防效，剂量范围内对水稻安全。</w:t>
            </w:r>
          </w:p>
        </w:tc>
      </w:tr>
      <w:tr w14:paraId="67BB1015">
        <w:tblPrEx>
          <w:tblCellMar>
            <w:top w:w="0" w:type="dxa"/>
            <w:left w:w="0" w:type="dxa"/>
            <w:bottom w:w="0" w:type="dxa"/>
            <w:right w:w="0" w:type="dxa"/>
          </w:tblCellMar>
        </w:tblPrEx>
        <w:trPr>
          <w:wBefore w:w="0" w:type="auto"/>
          <w:tblCellSpacing w:w="0" w:type="dxa"/>
        </w:trPr>
        <w:tc>
          <w:tcPr>
            <w:tcW w:w="0" w:type="auto"/>
            <w:noWrap w:val="0"/>
            <w:vAlign w:val="center"/>
          </w:tcPr>
          <w:p w14:paraId="13A5D044">
            <w:r>
              <w:rPr>
                <w:rStyle w:val="10"/>
                <w:rFonts w:hint="eastAsia"/>
              </w:rPr>
              <w:t>注意事项：</w:t>
            </w:r>
            <w:r>
              <w:rPr>
                <w:rFonts w:hint="eastAsia"/>
              </w:rPr>
              <w:br w:type="textWrapping"/>
            </w:r>
            <w:r>
              <w:rPr>
                <w:rStyle w:val="11"/>
                <w:rFonts w:hint="eastAsia"/>
              </w:rPr>
              <w:t>1、本品对部分籼稻及其亲缘水稻品种安全性较差，大面积推广前应先开展小范围试验。移栽水稻缓苗不充分勿用该药。2、请勿将本品与任何有机磷类、氨基甲酸酯类杀虫剂混用或在间隔7天内使用，请勿将本品与悬浮肥料、乳油剂型的苗后茎叶处理剂混用。3、使用过的空包装，用清水冲洗三次后妥善处理，切勿重复使用或改作其他用途。所有施药器具用后应立即用清水或适当的洗涤剂清洗。未用完的制剂应放在原包装内保存，切勿将本品置于饮食容器内。4、使用本品应采取相应的安全防护措施，穿防护服，戴防护手套、口罩等，避免皮肤接触及口鼻吸入。使用中不可吸烟、饮水及吃东西，使用后及时用大量清水和肥皂清洗手、脸等暴露部位皮肤并更换衣物。5、远离水产养殖区施药，禁止在河塘等水体中清洗施药器具，清洗施药器具的水也不能排入河塘等水体。鱼或虾蟹套养的稻田禁用，施药后的田水不得直接排入水体。6、禁止儿童、孕妇及哺乳期妇女接触。过敏者禁用，使用中有任何不良反应请及时就医。</w:t>
            </w:r>
          </w:p>
        </w:tc>
      </w:tr>
      <w:tr w14:paraId="65BBBB5F">
        <w:tblPrEx>
          <w:tblCellMar>
            <w:top w:w="0" w:type="dxa"/>
            <w:left w:w="0" w:type="dxa"/>
            <w:bottom w:w="0" w:type="dxa"/>
            <w:right w:w="0" w:type="dxa"/>
          </w:tblCellMar>
        </w:tblPrEx>
        <w:trPr>
          <w:wBefore w:w="0" w:type="auto"/>
          <w:tblCellSpacing w:w="0" w:type="dxa"/>
        </w:trPr>
        <w:tc>
          <w:tcPr>
            <w:tcW w:w="0" w:type="auto"/>
            <w:noWrap w:val="0"/>
            <w:vAlign w:val="center"/>
          </w:tcPr>
          <w:p w14:paraId="3EEC9F2A">
            <w:r>
              <w:rPr>
                <w:rStyle w:val="10"/>
                <w:rFonts w:hint="eastAsia"/>
              </w:rPr>
              <w:t>中毒急救措施：</w:t>
            </w:r>
            <w:r>
              <w:rPr>
                <w:rFonts w:hint="eastAsia"/>
              </w:rPr>
              <w:br w:type="textWrapping"/>
            </w:r>
            <w:r>
              <w:rPr>
                <w:rStyle w:val="11"/>
                <w:rFonts w:hint="eastAsia"/>
              </w:rPr>
              <w:t>对眼睛、皮肤有刺激性，使用时避免接触眼睛、皮肤。不慎溅入眼睛中，立即用清水冲洗至少15分钟，仍有不适时，就医；皮肤接触时，立即用大量清水冲洗干净，并送医院诊治。 如误服，立即带标签送医院诊治，可用医用活性炭洗胃，注意防止胃容物进入呼吸道。无特殊解毒剂，请对症治疗。</w:t>
            </w:r>
          </w:p>
        </w:tc>
      </w:tr>
      <w:tr w14:paraId="05C5BBE9">
        <w:tblPrEx>
          <w:tblCellMar>
            <w:top w:w="0" w:type="dxa"/>
            <w:left w:w="0" w:type="dxa"/>
            <w:bottom w:w="0" w:type="dxa"/>
            <w:right w:w="0" w:type="dxa"/>
          </w:tblCellMar>
        </w:tblPrEx>
        <w:trPr>
          <w:wBefore w:w="0" w:type="auto"/>
          <w:tblCellSpacing w:w="0" w:type="dxa"/>
        </w:trPr>
        <w:tc>
          <w:tcPr>
            <w:tcW w:w="0" w:type="auto"/>
            <w:noWrap w:val="0"/>
            <w:vAlign w:val="center"/>
          </w:tcPr>
          <w:p w14:paraId="06AC82FE">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本品应贮存在通风、干燥的库房中。贮运时，严防潮湿和日晒，远离火源或热源。置于儿童、无关人员及动物接触不到的地方，并加锁保存。不得与食物、饮料、粮食、饲料等同贮同运。</w:t>
            </w:r>
          </w:p>
        </w:tc>
      </w:tr>
      <w:tr w14:paraId="5AD32109">
        <w:tblPrEx>
          <w:tblCellMar>
            <w:top w:w="0" w:type="dxa"/>
            <w:left w:w="0" w:type="dxa"/>
            <w:bottom w:w="0" w:type="dxa"/>
            <w:right w:w="0" w:type="dxa"/>
          </w:tblCellMar>
        </w:tblPrEx>
        <w:trPr>
          <w:wBefore w:w="0" w:type="auto"/>
          <w:tblCellSpacing w:w="0" w:type="dxa"/>
        </w:trPr>
        <w:tc>
          <w:tcPr>
            <w:tcW w:w="0" w:type="auto"/>
            <w:noWrap w:val="0"/>
            <w:vAlign w:val="center"/>
          </w:tcPr>
          <w:p w14:paraId="079A0C8C">
            <w:r>
              <w:rPr>
                <w:rStyle w:val="10"/>
                <w:rFonts w:hint="eastAsia"/>
              </w:rPr>
              <w:t>质量保证期：</w:t>
            </w:r>
            <w:r>
              <w:rPr>
                <w:rStyle w:val="11"/>
                <w:rFonts w:hint="eastAsia"/>
              </w:rPr>
              <w:t>2年</w:t>
            </w:r>
          </w:p>
        </w:tc>
      </w:tr>
      <w:tr w14:paraId="2DF6AB73">
        <w:tblPrEx>
          <w:tblCellMar>
            <w:top w:w="0" w:type="dxa"/>
            <w:left w:w="0" w:type="dxa"/>
            <w:bottom w:w="0" w:type="dxa"/>
            <w:right w:w="0" w:type="dxa"/>
          </w:tblCellMar>
        </w:tblPrEx>
        <w:trPr>
          <w:wBefore w:w="0" w:type="auto"/>
          <w:tblCellSpacing w:w="0" w:type="dxa"/>
        </w:trPr>
        <w:tc>
          <w:tcPr>
            <w:tcW w:w="0" w:type="auto"/>
            <w:noWrap w:val="0"/>
            <w:vAlign w:val="center"/>
          </w:tcPr>
          <w:p w14:paraId="31DFE93B">
            <w:r>
              <w:rPr>
                <w:rStyle w:val="10"/>
                <w:rFonts w:hint="eastAsia"/>
              </w:rPr>
              <w:t>备注：</w:t>
            </w:r>
          </w:p>
        </w:tc>
      </w:tr>
    </w:tbl>
    <w:p w14:paraId="055066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2274FD">
        <w:tblPrEx>
          <w:tblCellMar>
            <w:top w:w="0" w:type="dxa"/>
            <w:left w:w="0" w:type="dxa"/>
            <w:bottom w:w="0" w:type="dxa"/>
            <w:right w:w="0" w:type="dxa"/>
          </w:tblCellMar>
        </w:tblPrEx>
        <w:trPr>
          <w:wBefore w:w="0" w:type="auto"/>
          <w:tblCellSpacing w:w="0" w:type="dxa"/>
        </w:trPr>
        <w:tc>
          <w:tcPr>
            <w:tcW w:w="0" w:type="auto"/>
            <w:noWrap w:val="0"/>
            <w:vAlign w:val="center"/>
          </w:tcPr>
          <w:p w14:paraId="5EE4AA91">
            <w:r>
              <w:rPr>
                <w:rStyle w:val="10"/>
                <w:rFonts w:hint="eastAsia"/>
              </w:rPr>
              <w:t>登记证号：</w:t>
            </w:r>
            <w:r>
              <w:rPr>
                <w:rFonts w:hint="eastAsia"/>
              </w:rPr>
              <w:t>PD20212703</w:t>
            </w:r>
          </w:p>
        </w:tc>
      </w:tr>
      <w:tr w14:paraId="7FC7E06A">
        <w:tblPrEx>
          <w:tblCellMar>
            <w:top w:w="0" w:type="dxa"/>
            <w:left w:w="0" w:type="dxa"/>
            <w:bottom w:w="0" w:type="dxa"/>
            <w:right w:w="0" w:type="dxa"/>
          </w:tblCellMar>
        </w:tblPrEx>
        <w:trPr>
          <w:wBefore w:w="0" w:type="auto"/>
          <w:tblCellSpacing w:w="0" w:type="dxa"/>
        </w:trPr>
        <w:tc>
          <w:tcPr>
            <w:tcW w:w="0" w:type="auto"/>
            <w:noWrap w:val="0"/>
            <w:vAlign w:val="center"/>
          </w:tcPr>
          <w:p w14:paraId="415EA909">
            <w:r>
              <w:rPr>
                <w:rStyle w:val="10"/>
                <w:rFonts w:hint="eastAsia"/>
              </w:rPr>
              <w:t>登记证持有人：</w:t>
            </w:r>
            <w:r>
              <w:rPr>
                <w:rFonts w:hint="eastAsia"/>
              </w:rPr>
              <w:t>山东麒麟农化有限公司</w:t>
            </w:r>
          </w:p>
        </w:tc>
      </w:tr>
      <w:tr w14:paraId="13A21CC8">
        <w:tblPrEx>
          <w:tblCellMar>
            <w:top w:w="0" w:type="dxa"/>
            <w:left w:w="0" w:type="dxa"/>
            <w:bottom w:w="0" w:type="dxa"/>
            <w:right w:w="0" w:type="dxa"/>
          </w:tblCellMar>
        </w:tblPrEx>
        <w:trPr>
          <w:wBefore w:w="0" w:type="auto"/>
          <w:tblCellSpacing w:w="0" w:type="dxa"/>
        </w:trPr>
        <w:tc>
          <w:tcPr>
            <w:tcW w:w="0" w:type="auto"/>
            <w:noWrap w:val="0"/>
            <w:vAlign w:val="center"/>
          </w:tcPr>
          <w:p w14:paraId="7F22C8DB">
            <w:r>
              <w:rPr>
                <w:rStyle w:val="10"/>
                <w:rFonts w:hint="eastAsia"/>
              </w:rPr>
              <w:t>农药名称：</w:t>
            </w:r>
            <w:r>
              <w:rPr>
                <w:rFonts w:hint="eastAsia"/>
              </w:rPr>
              <w:t>戊唑·异菌脲</w:t>
            </w:r>
          </w:p>
        </w:tc>
      </w:tr>
      <w:tr w14:paraId="4319A319">
        <w:tblPrEx>
          <w:tblCellMar>
            <w:top w:w="0" w:type="dxa"/>
            <w:left w:w="0" w:type="dxa"/>
            <w:bottom w:w="0" w:type="dxa"/>
            <w:right w:w="0" w:type="dxa"/>
          </w:tblCellMar>
        </w:tblPrEx>
        <w:trPr>
          <w:wBefore w:w="0" w:type="auto"/>
          <w:tblCellSpacing w:w="0" w:type="dxa"/>
        </w:trPr>
        <w:tc>
          <w:tcPr>
            <w:tcW w:w="0" w:type="auto"/>
            <w:noWrap w:val="0"/>
            <w:vAlign w:val="center"/>
          </w:tcPr>
          <w:p w14:paraId="260E1E49">
            <w:r>
              <w:rPr>
                <w:rStyle w:val="10"/>
                <w:rFonts w:hint="eastAsia"/>
              </w:rPr>
              <w:t>剂型：</w:t>
            </w:r>
            <w:r>
              <w:rPr>
                <w:rFonts w:hint="eastAsia"/>
              </w:rPr>
              <w:t>悬浮剂</w:t>
            </w:r>
          </w:p>
        </w:tc>
      </w:tr>
      <w:tr w14:paraId="778AD9E0">
        <w:tblPrEx>
          <w:tblCellMar>
            <w:top w:w="0" w:type="dxa"/>
            <w:left w:w="0" w:type="dxa"/>
            <w:bottom w:w="0" w:type="dxa"/>
            <w:right w:w="0" w:type="dxa"/>
          </w:tblCellMar>
        </w:tblPrEx>
        <w:trPr>
          <w:wBefore w:w="0" w:type="auto"/>
          <w:tblCellSpacing w:w="0" w:type="dxa"/>
        </w:trPr>
        <w:tc>
          <w:tcPr>
            <w:tcW w:w="0" w:type="auto"/>
            <w:noWrap w:val="0"/>
            <w:vAlign w:val="center"/>
          </w:tcPr>
          <w:p w14:paraId="2C7FF728">
            <w:r>
              <w:rPr>
                <w:rStyle w:val="10"/>
                <w:rFonts w:hint="eastAsia"/>
              </w:rPr>
              <w:t>毒性及其标识：</w:t>
            </w:r>
            <w:r>
              <w:rPr>
                <w:rFonts w:hint="eastAsia"/>
              </w:rPr>
              <w:t xml:space="preserve"> </w:t>
            </w:r>
            <w:r>
              <w:rPr>
                <w:lang/>
              </w:rPr>
              <w:drawing>
                <wp:inline distT="0" distB="0" distL="114300" distR="114300">
                  <wp:extent cx="476250" cy="323850"/>
                  <wp:effectExtent l="0" t="0" r="0" b="0"/>
                  <wp:docPr id="99" name="图片 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D6E67F">
        <w:tblPrEx>
          <w:tblCellMar>
            <w:top w:w="0" w:type="dxa"/>
            <w:left w:w="0" w:type="dxa"/>
            <w:bottom w:w="0" w:type="dxa"/>
            <w:right w:w="0" w:type="dxa"/>
          </w:tblCellMar>
        </w:tblPrEx>
        <w:trPr>
          <w:wBefore w:w="0" w:type="auto"/>
          <w:tblCellSpacing w:w="0" w:type="dxa"/>
        </w:trPr>
        <w:tc>
          <w:tcPr>
            <w:tcW w:w="0" w:type="auto"/>
            <w:noWrap w:val="0"/>
            <w:vAlign w:val="center"/>
          </w:tcPr>
          <w:p w14:paraId="3DE6D54D">
            <w:r>
              <w:rPr>
                <w:rStyle w:val="10"/>
                <w:rFonts w:hint="eastAsia"/>
              </w:rPr>
              <w:t>总有效成分含量：</w:t>
            </w:r>
            <w:r>
              <w:rPr>
                <w:rFonts w:hint="eastAsia"/>
              </w:rPr>
              <w:t>45%</w:t>
            </w:r>
          </w:p>
        </w:tc>
      </w:tr>
      <w:tr w14:paraId="4735BD9E">
        <w:tblPrEx>
          <w:tblCellMar>
            <w:top w:w="0" w:type="dxa"/>
            <w:left w:w="0" w:type="dxa"/>
            <w:bottom w:w="0" w:type="dxa"/>
            <w:right w:w="0" w:type="dxa"/>
          </w:tblCellMar>
        </w:tblPrEx>
        <w:trPr>
          <w:wBefore w:w="0" w:type="auto"/>
          <w:tblCellSpacing w:w="0" w:type="dxa"/>
        </w:trPr>
        <w:tc>
          <w:tcPr>
            <w:tcW w:w="0" w:type="auto"/>
            <w:noWrap w:val="0"/>
            <w:vAlign w:val="center"/>
          </w:tcPr>
          <w:p w14:paraId="2D37719D">
            <w:r>
              <w:rPr>
                <w:rFonts w:hint="eastAsia"/>
              </w:rPr>
              <w:t xml:space="preserve">有效成分及其含量： </w:t>
            </w:r>
          </w:p>
          <w:p w14:paraId="24E31403">
            <w:r>
              <w:rPr>
                <w:rFonts w:hint="eastAsia"/>
              </w:rPr>
              <w:t xml:space="preserve">    戊唑醇15%    异菌脲30%    </w:t>
            </w:r>
          </w:p>
        </w:tc>
      </w:tr>
      <w:tr w14:paraId="6DBC1DD3">
        <w:tblPrEx>
          <w:tblCellMar>
            <w:top w:w="0" w:type="dxa"/>
            <w:left w:w="0" w:type="dxa"/>
            <w:bottom w:w="0" w:type="dxa"/>
            <w:right w:w="0" w:type="dxa"/>
          </w:tblCellMar>
        </w:tblPrEx>
        <w:trPr>
          <w:wBefore w:w="0" w:type="auto"/>
          <w:tblCellSpacing w:w="0" w:type="dxa"/>
        </w:trPr>
        <w:tc>
          <w:tcPr>
            <w:tcW w:w="0" w:type="auto"/>
            <w:noWrap w:val="0"/>
            <w:vAlign w:val="center"/>
          </w:tcPr>
          <w:p w14:paraId="05FD93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02E9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F08E1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5155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38DCB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74BAE7">
                  <w:r>
                    <w:rPr>
                      <w:rStyle w:val="11"/>
                      <w:rFonts w:hint="eastAsia"/>
                    </w:rPr>
                    <w:t>施用方式</w:t>
                  </w:r>
                </w:p>
              </w:tc>
            </w:tr>
            <w:tr w14:paraId="0D0CE1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8C48CEC">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A3EB1E">
                  <w:r>
                    <w:rPr>
                      <w:rStyle w:val="11"/>
                      <w:rFonts w:hint="eastAsia"/>
                    </w:rPr>
                    <w:t>斑点落叶病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13FED">
                  <w:r>
                    <w:rPr>
                      <w:rStyle w:val="11"/>
                      <w:rFonts w:hint="eastAsia"/>
                    </w:rPr>
                    <w:t>7500-9000倍液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1CD14A">
                  <w:r>
                    <w:rPr>
                      <w:rStyle w:val="11"/>
                      <w:rFonts w:hint="eastAsia"/>
                    </w:rPr>
                    <w:t>喷雾</w:t>
                  </w:r>
                </w:p>
              </w:tc>
            </w:tr>
          </w:tbl>
          <w:p w14:paraId="4675F8F6">
            <w:pPr>
              <w:rPr>
                <w:rFonts w:ascii="Times New Roman" w:hAnsi="Times New Roman" w:cs="Times New Roman"/>
                <w:sz w:val="20"/>
                <w:szCs w:val="20"/>
              </w:rPr>
            </w:pPr>
          </w:p>
        </w:tc>
      </w:tr>
      <w:tr w14:paraId="6ECE4CAF">
        <w:tblPrEx>
          <w:tblCellMar>
            <w:top w:w="0" w:type="dxa"/>
            <w:left w:w="0" w:type="dxa"/>
            <w:bottom w:w="0" w:type="dxa"/>
            <w:right w:w="0" w:type="dxa"/>
          </w:tblCellMar>
        </w:tblPrEx>
        <w:trPr>
          <w:wBefore w:w="0" w:type="auto"/>
          <w:tblCellSpacing w:w="0" w:type="dxa"/>
        </w:trPr>
        <w:tc>
          <w:tcPr>
            <w:tcW w:w="0" w:type="auto"/>
            <w:noWrap w:val="0"/>
            <w:vAlign w:val="center"/>
          </w:tcPr>
          <w:p w14:paraId="511E4EA8">
            <w:r>
              <w:rPr>
                <w:rStyle w:val="10"/>
                <w:rFonts w:hint="eastAsia"/>
              </w:rPr>
              <w:t>使用技术要求:</w:t>
            </w:r>
            <w:r>
              <w:rPr>
                <w:rFonts w:hint="eastAsia"/>
              </w:rPr>
              <w:br w:type="textWrapping"/>
            </w:r>
            <w:r>
              <w:rPr>
                <w:rStyle w:val="11"/>
                <w:rFonts w:hint="eastAsia"/>
              </w:rPr>
              <w:t>1. 在苹果树斑点落叶病发病初期施药，施药2-3次，间隔7-14天。2. 大风天或预计1小时内降雨，请勿施药。3. 本品在苹果上的安全间隔期为28天，每季最多施药3次。</w:t>
            </w:r>
          </w:p>
        </w:tc>
      </w:tr>
      <w:tr w14:paraId="580C24AC">
        <w:tblPrEx>
          <w:tblCellMar>
            <w:top w:w="0" w:type="dxa"/>
            <w:left w:w="0" w:type="dxa"/>
            <w:bottom w:w="0" w:type="dxa"/>
            <w:right w:w="0" w:type="dxa"/>
          </w:tblCellMar>
        </w:tblPrEx>
        <w:trPr>
          <w:wBefore w:w="0" w:type="auto"/>
          <w:tblCellSpacing w:w="0" w:type="dxa"/>
        </w:trPr>
        <w:tc>
          <w:tcPr>
            <w:tcW w:w="0" w:type="auto"/>
            <w:noWrap w:val="0"/>
            <w:vAlign w:val="center"/>
          </w:tcPr>
          <w:p w14:paraId="10234744">
            <w:r>
              <w:rPr>
                <w:rStyle w:val="10"/>
                <w:rFonts w:hint="eastAsia"/>
              </w:rPr>
              <w:t>产品性能:</w:t>
            </w:r>
            <w:r>
              <w:rPr>
                <w:rFonts w:hint="eastAsia"/>
              </w:rPr>
              <w:br w:type="textWrapping"/>
            </w:r>
            <w:r>
              <w:rPr>
                <w:rStyle w:val="11"/>
                <w:rFonts w:hint="eastAsia"/>
              </w:rPr>
              <w:t>本品为三唑类农药和二甲酰亚胺类农药的混剂，具有触杀、保护和治疗作用，并有较强的内吸性。通过抑制病原菌体内麦角甾醇的生物合成而杀死病菌，也可抑制病菌孢子萌发及菌丝生长，用于防治苹果树斑点落叶病。本品为三唑类农药和二甲酰亚胺类农药的混剂，具有触杀、保护和治疗作用，并有较强的内吸性。通过抑制病原菌体内麦角甾醇的生物合成而杀死病菌，也可抑制病菌孢子萌发及菌丝生长，用于防治苹果树斑点落叶病。</w:t>
            </w:r>
          </w:p>
        </w:tc>
      </w:tr>
      <w:tr w14:paraId="41E2CEB7">
        <w:tblPrEx>
          <w:tblCellMar>
            <w:top w:w="0" w:type="dxa"/>
            <w:left w:w="0" w:type="dxa"/>
            <w:bottom w:w="0" w:type="dxa"/>
            <w:right w:w="0" w:type="dxa"/>
          </w:tblCellMar>
        </w:tblPrEx>
        <w:trPr>
          <w:wBefore w:w="0" w:type="auto"/>
          <w:tblCellSpacing w:w="0" w:type="dxa"/>
        </w:trPr>
        <w:tc>
          <w:tcPr>
            <w:tcW w:w="0" w:type="auto"/>
            <w:noWrap w:val="0"/>
            <w:vAlign w:val="center"/>
          </w:tcPr>
          <w:p w14:paraId="6AAF632F">
            <w:r>
              <w:rPr>
                <w:rStyle w:val="10"/>
                <w:rFonts w:hint="eastAsia"/>
              </w:rPr>
              <w:t>注意事项：</w:t>
            </w:r>
            <w:r>
              <w:rPr>
                <w:rFonts w:hint="eastAsia"/>
              </w:rPr>
              <w:br w:type="textWrapping"/>
            </w:r>
            <w:r>
              <w:rPr>
                <w:rStyle w:val="11"/>
                <w:rFonts w:hint="eastAsia"/>
              </w:rPr>
              <w:t>1.本品不宜与碱性农药等物质混用。 2. 建议与其他作用机制不同的杀菌剂轮换使用，以延缓抗性产生。3. 使用时穿戴长衣、长裤、帽子、口罩、手套等安全防护措施。 4. 远离水产养殖区、河塘等水体施药；禁止在河塘等水体中清洗施药器具。 5. 本品对鸟类有毒，鸟类保护区禁。本品对家蚕有毒，蚕室及桑园附近禁用。天敌赤眼蜂等天敌放飞区域禁用。 6. 用药后包装物及用过的容器应妥善处理，不可做他用，也不可随意丢弃。7. 孕妇及哺乳期妇女禁止接触本品。</w:t>
            </w:r>
          </w:p>
        </w:tc>
      </w:tr>
      <w:tr w14:paraId="0B38D2E6">
        <w:tblPrEx>
          <w:tblCellMar>
            <w:top w:w="0" w:type="dxa"/>
            <w:left w:w="0" w:type="dxa"/>
            <w:bottom w:w="0" w:type="dxa"/>
            <w:right w:w="0" w:type="dxa"/>
          </w:tblCellMar>
        </w:tblPrEx>
        <w:trPr>
          <w:wBefore w:w="0" w:type="auto"/>
          <w:tblCellSpacing w:w="0" w:type="dxa"/>
        </w:trPr>
        <w:tc>
          <w:tcPr>
            <w:tcW w:w="0" w:type="auto"/>
            <w:noWrap w:val="0"/>
            <w:vAlign w:val="center"/>
          </w:tcPr>
          <w:p w14:paraId="62AC96F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掉被污染的衣物，用大量清水彻底清洗受污染的批复，如皮肤刺激感持续，请医生诊治。眼睛溅药：立即将眼睑翻开，用清水冲洗至少15分钟，再请医生诊治。不慎误服：携此标签将病人送医院诊治。</w:t>
            </w:r>
          </w:p>
        </w:tc>
      </w:tr>
      <w:tr w14:paraId="1B6ACA97">
        <w:tblPrEx>
          <w:tblCellMar>
            <w:top w:w="0" w:type="dxa"/>
            <w:left w:w="0" w:type="dxa"/>
            <w:bottom w:w="0" w:type="dxa"/>
            <w:right w:w="0" w:type="dxa"/>
          </w:tblCellMar>
        </w:tblPrEx>
        <w:trPr>
          <w:wBefore w:w="0" w:type="auto"/>
          <w:tblCellSpacing w:w="0" w:type="dxa"/>
        </w:trPr>
        <w:tc>
          <w:tcPr>
            <w:tcW w:w="0" w:type="auto"/>
            <w:noWrap w:val="0"/>
            <w:vAlign w:val="center"/>
          </w:tcPr>
          <w:p w14:paraId="7DB93F1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17712B75">
        <w:tblPrEx>
          <w:tblCellMar>
            <w:top w:w="0" w:type="dxa"/>
            <w:left w:w="0" w:type="dxa"/>
            <w:bottom w:w="0" w:type="dxa"/>
            <w:right w:w="0" w:type="dxa"/>
          </w:tblCellMar>
        </w:tblPrEx>
        <w:trPr>
          <w:wBefore w:w="0" w:type="auto"/>
          <w:tblCellSpacing w:w="0" w:type="dxa"/>
        </w:trPr>
        <w:tc>
          <w:tcPr>
            <w:tcW w:w="0" w:type="auto"/>
            <w:noWrap w:val="0"/>
            <w:vAlign w:val="center"/>
          </w:tcPr>
          <w:p w14:paraId="6881E843">
            <w:r>
              <w:rPr>
                <w:rStyle w:val="10"/>
                <w:rFonts w:hint="eastAsia"/>
              </w:rPr>
              <w:t>质量保证期：</w:t>
            </w:r>
            <w:r>
              <w:rPr>
                <w:rStyle w:val="11"/>
                <w:rFonts w:hint="eastAsia"/>
              </w:rPr>
              <w:t>2年</w:t>
            </w:r>
          </w:p>
        </w:tc>
      </w:tr>
      <w:tr w14:paraId="4D63ED7A">
        <w:tblPrEx>
          <w:tblCellMar>
            <w:top w:w="0" w:type="dxa"/>
            <w:left w:w="0" w:type="dxa"/>
            <w:bottom w:w="0" w:type="dxa"/>
            <w:right w:w="0" w:type="dxa"/>
          </w:tblCellMar>
        </w:tblPrEx>
        <w:trPr>
          <w:wBefore w:w="0" w:type="auto"/>
          <w:tblCellSpacing w:w="0" w:type="dxa"/>
        </w:trPr>
        <w:tc>
          <w:tcPr>
            <w:tcW w:w="0" w:type="auto"/>
            <w:noWrap w:val="0"/>
            <w:vAlign w:val="center"/>
          </w:tcPr>
          <w:p w14:paraId="5021824B">
            <w:r>
              <w:rPr>
                <w:rStyle w:val="10"/>
                <w:rFonts w:hint="eastAsia"/>
              </w:rPr>
              <w:t>备注：</w:t>
            </w:r>
          </w:p>
        </w:tc>
      </w:tr>
    </w:tbl>
    <w:p w14:paraId="27A75A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96E8CF">
        <w:tblPrEx>
          <w:tblCellMar>
            <w:top w:w="0" w:type="dxa"/>
            <w:left w:w="0" w:type="dxa"/>
            <w:bottom w:w="0" w:type="dxa"/>
            <w:right w:w="0" w:type="dxa"/>
          </w:tblCellMar>
        </w:tblPrEx>
        <w:trPr>
          <w:wBefore w:w="0" w:type="auto"/>
          <w:tblCellSpacing w:w="0" w:type="dxa"/>
        </w:trPr>
        <w:tc>
          <w:tcPr>
            <w:tcW w:w="0" w:type="auto"/>
            <w:noWrap w:val="0"/>
            <w:vAlign w:val="center"/>
          </w:tcPr>
          <w:p w14:paraId="12C3E930">
            <w:r>
              <w:rPr>
                <w:rStyle w:val="10"/>
                <w:rFonts w:hint="eastAsia"/>
              </w:rPr>
              <w:t>登记证号：</w:t>
            </w:r>
            <w:r>
              <w:rPr>
                <w:rFonts w:hint="eastAsia"/>
              </w:rPr>
              <w:t>PD20212382</w:t>
            </w:r>
          </w:p>
        </w:tc>
      </w:tr>
      <w:tr w14:paraId="2FABDB94">
        <w:tblPrEx>
          <w:tblCellMar>
            <w:top w:w="0" w:type="dxa"/>
            <w:left w:w="0" w:type="dxa"/>
            <w:bottom w:w="0" w:type="dxa"/>
            <w:right w:w="0" w:type="dxa"/>
          </w:tblCellMar>
        </w:tblPrEx>
        <w:trPr>
          <w:wBefore w:w="0" w:type="auto"/>
          <w:tblCellSpacing w:w="0" w:type="dxa"/>
        </w:trPr>
        <w:tc>
          <w:tcPr>
            <w:tcW w:w="0" w:type="auto"/>
            <w:noWrap w:val="0"/>
            <w:vAlign w:val="center"/>
          </w:tcPr>
          <w:p w14:paraId="2141882A">
            <w:r>
              <w:rPr>
                <w:rStyle w:val="10"/>
                <w:rFonts w:hint="eastAsia"/>
              </w:rPr>
              <w:t>登记证持有人：</w:t>
            </w:r>
            <w:r>
              <w:rPr>
                <w:rFonts w:hint="eastAsia"/>
              </w:rPr>
              <w:t>广东顾地丰生物科技有限公司</w:t>
            </w:r>
          </w:p>
        </w:tc>
      </w:tr>
      <w:tr w14:paraId="66524374">
        <w:tblPrEx>
          <w:tblCellMar>
            <w:top w:w="0" w:type="dxa"/>
            <w:left w:w="0" w:type="dxa"/>
            <w:bottom w:w="0" w:type="dxa"/>
            <w:right w:w="0" w:type="dxa"/>
          </w:tblCellMar>
        </w:tblPrEx>
        <w:trPr>
          <w:wBefore w:w="0" w:type="auto"/>
          <w:tblCellSpacing w:w="0" w:type="dxa"/>
        </w:trPr>
        <w:tc>
          <w:tcPr>
            <w:tcW w:w="0" w:type="auto"/>
            <w:noWrap w:val="0"/>
            <w:vAlign w:val="center"/>
          </w:tcPr>
          <w:p w14:paraId="5166D9E9">
            <w:r>
              <w:rPr>
                <w:rStyle w:val="10"/>
                <w:rFonts w:hint="eastAsia"/>
              </w:rPr>
              <w:t>农药名称：</w:t>
            </w:r>
            <w:r>
              <w:rPr>
                <w:rFonts w:hint="eastAsia"/>
              </w:rPr>
              <w:t>氟啶虫酰胺·联苯菊酯</w:t>
            </w:r>
          </w:p>
        </w:tc>
      </w:tr>
      <w:tr w14:paraId="5560F453">
        <w:tblPrEx>
          <w:tblCellMar>
            <w:top w:w="0" w:type="dxa"/>
            <w:left w:w="0" w:type="dxa"/>
            <w:bottom w:w="0" w:type="dxa"/>
            <w:right w:w="0" w:type="dxa"/>
          </w:tblCellMar>
        </w:tblPrEx>
        <w:trPr>
          <w:wBefore w:w="0" w:type="auto"/>
          <w:tblCellSpacing w:w="0" w:type="dxa"/>
        </w:trPr>
        <w:tc>
          <w:tcPr>
            <w:tcW w:w="0" w:type="auto"/>
            <w:noWrap w:val="0"/>
            <w:vAlign w:val="center"/>
          </w:tcPr>
          <w:p w14:paraId="06F94C73">
            <w:r>
              <w:rPr>
                <w:rStyle w:val="10"/>
                <w:rFonts w:hint="eastAsia"/>
              </w:rPr>
              <w:t>剂型：</w:t>
            </w:r>
            <w:r>
              <w:rPr>
                <w:rFonts w:hint="eastAsia"/>
              </w:rPr>
              <w:t>悬浮剂</w:t>
            </w:r>
          </w:p>
        </w:tc>
      </w:tr>
      <w:tr w14:paraId="439B129E">
        <w:tblPrEx>
          <w:tblCellMar>
            <w:top w:w="0" w:type="dxa"/>
            <w:left w:w="0" w:type="dxa"/>
            <w:bottom w:w="0" w:type="dxa"/>
            <w:right w:w="0" w:type="dxa"/>
          </w:tblCellMar>
        </w:tblPrEx>
        <w:trPr>
          <w:wBefore w:w="0" w:type="auto"/>
          <w:tblCellSpacing w:w="0" w:type="dxa"/>
        </w:trPr>
        <w:tc>
          <w:tcPr>
            <w:tcW w:w="0" w:type="auto"/>
            <w:noWrap w:val="0"/>
            <w:vAlign w:val="center"/>
          </w:tcPr>
          <w:p w14:paraId="3EF4FD7C">
            <w:r>
              <w:rPr>
                <w:rStyle w:val="10"/>
                <w:rFonts w:hint="eastAsia"/>
              </w:rPr>
              <w:t>毒性及其标识：</w:t>
            </w:r>
            <w:r>
              <w:rPr>
                <w:rFonts w:hint="eastAsia"/>
              </w:rPr>
              <w:t xml:space="preserve"> </w:t>
            </w:r>
            <w:r>
              <w:rPr>
                <w:lang/>
              </w:rPr>
              <w:drawing>
                <wp:inline distT="0" distB="0" distL="114300" distR="114300">
                  <wp:extent cx="476250" cy="323850"/>
                  <wp:effectExtent l="0" t="0" r="0" b="0"/>
                  <wp:docPr id="100" name="图片 1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88CF88">
        <w:tblPrEx>
          <w:tblCellMar>
            <w:top w:w="0" w:type="dxa"/>
            <w:left w:w="0" w:type="dxa"/>
            <w:bottom w:w="0" w:type="dxa"/>
            <w:right w:w="0" w:type="dxa"/>
          </w:tblCellMar>
        </w:tblPrEx>
        <w:trPr>
          <w:wBefore w:w="0" w:type="auto"/>
          <w:tblCellSpacing w:w="0" w:type="dxa"/>
        </w:trPr>
        <w:tc>
          <w:tcPr>
            <w:tcW w:w="0" w:type="auto"/>
            <w:noWrap w:val="0"/>
            <w:vAlign w:val="center"/>
          </w:tcPr>
          <w:p w14:paraId="57BE240E">
            <w:r>
              <w:rPr>
                <w:rStyle w:val="10"/>
                <w:rFonts w:hint="eastAsia"/>
              </w:rPr>
              <w:t>总有效成分含量：</w:t>
            </w:r>
            <w:r>
              <w:rPr>
                <w:rFonts w:hint="eastAsia"/>
              </w:rPr>
              <w:t>20%</w:t>
            </w:r>
          </w:p>
        </w:tc>
      </w:tr>
      <w:tr w14:paraId="24E11C3E">
        <w:tblPrEx>
          <w:tblCellMar>
            <w:top w:w="0" w:type="dxa"/>
            <w:left w:w="0" w:type="dxa"/>
            <w:bottom w:w="0" w:type="dxa"/>
            <w:right w:w="0" w:type="dxa"/>
          </w:tblCellMar>
        </w:tblPrEx>
        <w:trPr>
          <w:wBefore w:w="0" w:type="auto"/>
          <w:tblCellSpacing w:w="0" w:type="dxa"/>
        </w:trPr>
        <w:tc>
          <w:tcPr>
            <w:tcW w:w="0" w:type="auto"/>
            <w:noWrap w:val="0"/>
            <w:vAlign w:val="center"/>
          </w:tcPr>
          <w:p w14:paraId="6F6C5253">
            <w:r>
              <w:rPr>
                <w:rFonts w:hint="eastAsia"/>
              </w:rPr>
              <w:t xml:space="preserve">有效成分及其含量： </w:t>
            </w:r>
          </w:p>
          <w:p w14:paraId="2506B020">
            <w:r>
              <w:rPr>
                <w:rFonts w:hint="eastAsia"/>
              </w:rPr>
              <w:t xml:space="preserve">    氟啶虫酰胺10%    联苯菊酯10%    </w:t>
            </w:r>
          </w:p>
        </w:tc>
      </w:tr>
      <w:tr w14:paraId="7099484A">
        <w:tblPrEx>
          <w:tblCellMar>
            <w:top w:w="0" w:type="dxa"/>
            <w:left w:w="0" w:type="dxa"/>
            <w:bottom w:w="0" w:type="dxa"/>
            <w:right w:w="0" w:type="dxa"/>
          </w:tblCellMar>
        </w:tblPrEx>
        <w:trPr>
          <w:wBefore w:w="0" w:type="auto"/>
          <w:tblCellSpacing w:w="0" w:type="dxa"/>
        </w:trPr>
        <w:tc>
          <w:tcPr>
            <w:tcW w:w="0" w:type="auto"/>
            <w:noWrap w:val="0"/>
            <w:vAlign w:val="center"/>
          </w:tcPr>
          <w:p w14:paraId="597E32D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D400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EB89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69A8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7F77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B3661C">
                  <w:r>
                    <w:rPr>
                      <w:rStyle w:val="11"/>
                      <w:rFonts w:hint="eastAsia"/>
                    </w:rPr>
                    <w:t>施用方式</w:t>
                  </w:r>
                </w:p>
              </w:tc>
            </w:tr>
            <w:tr w14:paraId="30F18E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DE21C4">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1B71D8">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4B12FE">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5BB113">
                  <w:r>
                    <w:rPr>
                      <w:rStyle w:val="11"/>
                      <w:rFonts w:hint="eastAsia"/>
                    </w:rPr>
                    <w:t>喷雾</w:t>
                  </w:r>
                </w:p>
              </w:tc>
            </w:tr>
          </w:tbl>
          <w:p w14:paraId="0EA65007">
            <w:pPr>
              <w:rPr>
                <w:rFonts w:ascii="Times New Roman" w:hAnsi="Times New Roman" w:cs="Times New Roman"/>
                <w:sz w:val="20"/>
                <w:szCs w:val="20"/>
              </w:rPr>
            </w:pPr>
          </w:p>
        </w:tc>
      </w:tr>
      <w:tr w14:paraId="69F1D460">
        <w:tblPrEx>
          <w:tblCellMar>
            <w:top w:w="0" w:type="dxa"/>
            <w:left w:w="0" w:type="dxa"/>
            <w:bottom w:w="0" w:type="dxa"/>
            <w:right w:w="0" w:type="dxa"/>
          </w:tblCellMar>
        </w:tblPrEx>
        <w:trPr>
          <w:wBefore w:w="0" w:type="auto"/>
          <w:tblCellSpacing w:w="0" w:type="dxa"/>
        </w:trPr>
        <w:tc>
          <w:tcPr>
            <w:tcW w:w="0" w:type="auto"/>
            <w:noWrap w:val="0"/>
            <w:vAlign w:val="center"/>
          </w:tcPr>
          <w:p w14:paraId="659159E1">
            <w:r>
              <w:rPr>
                <w:rStyle w:val="10"/>
                <w:rFonts w:hint="eastAsia"/>
              </w:rPr>
              <w:t>使用技术要求:</w:t>
            </w:r>
            <w:r>
              <w:rPr>
                <w:rFonts w:hint="eastAsia"/>
              </w:rPr>
              <w:br w:type="textWrapping"/>
            </w:r>
            <w:r>
              <w:rPr>
                <w:rStyle w:val="11"/>
                <w:rFonts w:hint="eastAsia"/>
              </w:rPr>
              <w:t>1、本品于茶树茶小绿叶蝉低龄若虫始盛发期喷雾1次，注意喷雾均匀。 2、大风天或预计1小时内降雨，请勿施药。 3、本品在茶树上使用的安全间隔期为5天，每季最多使用1次。</w:t>
            </w:r>
          </w:p>
        </w:tc>
      </w:tr>
      <w:tr w14:paraId="5F505FAD">
        <w:tblPrEx>
          <w:tblCellMar>
            <w:top w:w="0" w:type="dxa"/>
            <w:left w:w="0" w:type="dxa"/>
            <w:bottom w:w="0" w:type="dxa"/>
            <w:right w:w="0" w:type="dxa"/>
          </w:tblCellMar>
        </w:tblPrEx>
        <w:trPr>
          <w:wBefore w:w="0" w:type="auto"/>
          <w:tblCellSpacing w:w="0" w:type="dxa"/>
        </w:trPr>
        <w:tc>
          <w:tcPr>
            <w:tcW w:w="0" w:type="auto"/>
            <w:noWrap w:val="0"/>
            <w:vAlign w:val="center"/>
          </w:tcPr>
          <w:p w14:paraId="0B3E946B">
            <w:r>
              <w:rPr>
                <w:rStyle w:val="10"/>
                <w:rFonts w:hint="eastAsia"/>
              </w:rPr>
              <w:t>产品性能:</w:t>
            </w:r>
            <w:r>
              <w:rPr>
                <w:rFonts w:hint="eastAsia"/>
              </w:rPr>
              <w:br w:type="textWrapping"/>
            </w:r>
            <w:r>
              <w:rPr>
                <w:rStyle w:val="11"/>
                <w:rFonts w:hint="eastAsia"/>
              </w:rPr>
              <w:t>联苯菊酯是一种高效合成拟除虫菊酯类杀虫、杀螨剂，具有触杀和胃毒作用。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二者复配可有效防治茶树茶小绿叶蝉。</w:t>
            </w:r>
          </w:p>
        </w:tc>
      </w:tr>
      <w:tr w14:paraId="2CD45EE4">
        <w:tblPrEx>
          <w:tblCellMar>
            <w:top w:w="0" w:type="dxa"/>
            <w:left w:w="0" w:type="dxa"/>
            <w:bottom w:w="0" w:type="dxa"/>
            <w:right w:w="0" w:type="dxa"/>
          </w:tblCellMar>
        </w:tblPrEx>
        <w:trPr>
          <w:wBefore w:w="0" w:type="auto"/>
          <w:tblCellSpacing w:w="0" w:type="dxa"/>
        </w:trPr>
        <w:tc>
          <w:tcPr>
            <w:tcW w:w="0" w:type="auto"/>
            <w:noWrap w:val="0"/>
            <w:vAlign w:val="center"/>
          </w:tcPr>
          <w:p w14:paraId="270A216D">
            <w:r>
              <w:rPr>
                <w:rStyle w:val="10"/>
                <w:rFonts w:hint="eastAsia"/>
              </w:rPr>
              <w:t>注意事项：</w:t>
            </w:r>
            <w:r>
              <w:rPr>
                <w:rFonts w:hint="eastAsia"/>
              </w:rPr>
              <w:br w:type="textWrapping"/>
            </w:r>
            <w:r>
              <w:rPr>
                <w:rStyle w:val="11"/>
                <w:rFonts w:hint="eastAsia"/>
              </w:rPr>
              <w:t>1、建议与其他不同作用机制的杀虫剂轮换使用，以延缓抗性产生。2、配药时应在通风处进行，操作人员需提前做好保护措施，穿着长衣长裤或长款防护服，戴好手套、面罩或护目镜等，严禁抽烟或饮食；在施药过程中，避免药液接触皮肤、眼睛和污染衣物，避免吸入药液；施药后应用肥皂和清水彻底清洗暴露在外的皮肤，并及时更换衣物。 3、水产养殖区、河塘等水体附近禁用，禁止在河塘等水域清洗施药器具。4、（周围）开花植物花期禁用，施药期间应密切关注对附近蜂群的影响；桑园及蚕室附近禁用；赤眼蜂等天敌放飞区域禁用。5、用过的容器应妥善处理，不可做他用，也不可随意丢弃。6、孕妇及哺乳期妇女避免接触本产品。</w:t>
            </w:r>
          </w:p>
        </w:tc>
      </w:tr>
      <w:tr w14:paraId="70C9F22E">
        <w:tblPrEx>
          <w:tblCellMar>
            <w:top w:w="0" w:type="dxa"/>
            <w:left w:w="0" w:type="dxa"/>
            <w:bottom w:w="0" w:type="dxa"/>
            <w:right w:w="0" w:type="dxa"/>
          </w:tblCellMar>
        </w:tblPrEx>
        <w:trPr>
          <w:wBefore w:w="0" w:type="auto"/>
          <w:tblCellSpacing w:w="0" w:type="dxa"/>
        </w:trPr>
        <w:tc>
          <w:tcPr>
            <w:tcW w:w="0" w:type="auto"/>
            <w:noWrap w:val="0"/>
            <w:vAlign w:val="center"/>
          </w:tcPr>
          <w:p w14:paraId="0338EEFD">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注意：对昏迷病人，切勿经口喂入任何东西或引吐。无专用解毒剂，对症治疗。</w:t>
            </w:r>
          </w:p>
        </w:tc>
      </w:tr>
      <w:tr w14:paraId="2AFA2765">
        <w:tblPrEx>
          <w:tblCellMar>
            <w:top w:w="0" w:type="dxa"/>
            <w:left w:w="0" w:type="dxa"/>
            <w:bottom w:w="0" w:type="dxa"/>
            <w:right w:w="0" w:type="dxa"/>
          </w:tblCellMar>
        </w:tblPrEx>
        <w:trPr>
          <w:wBefore w:w="0" w:type="auto"/>
          <w:tblCellSpacing w:w="0" w:type="dxa"/>
        </w:trPr>
        <w:tc>
          <w:tcPr>
            <w:tcW w:w="0" w:type="auto"/>
            <w:noWrap w:val="0"/>
            <w:vAlign w:val="center"/>
          </w:tcPr>
          <w:p w14:paraId="0D1C576C">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本品应贮存在干燥、阴凉、通风处，远离火源或热源。置于儿童、无关人员触及不到之处，并加锁保存。不能与食品、饮料、粮食、饲料等混合储存。</w:t>
            </w:r>
          </w:p>
        </w:tc>
      </w:tr>
      <w:tr w14:paraId="14E71F64">
        <w:tblPrEx>
          <w:tblCellMar>
            <w:top w:w="0" w:type="dxa"/>
            <w:left w:w="0" w:type="dxa"/>
            <w:bottom w:w="0" w:type="dxa"/>
            <w:right w:w="0" w:type="dxa"/>
          </w:tblCellMar>
        </w:tblPrEx>
        <w:trPr>
          <w:wBefore w:w="0" w:type="auto"/>
          <w:tblCellSpacing w:w="0" w:type="dxa"/>
        </w:trPr>
        <w:tc>
          <w:tcPr>
            <w:tcW w:w="0" w:type="auto"/>
            <w:noWrap w:val="0"/>
            <w:vAlign w:val="center"/>
          </w:tcPr>
          <w:p w14:paraId="7D6D84D0">
            <w:r>
              <w:rPr>
                <w:rStyle w:val="10"/>
                <w:rFonts w:hint="eastAsia"/>
              </w:rPr>
              <w:t>质量保证期：</w:t>
            </w:r>
            <w:r>
              <w:rPr>
                <w:rStyle w:val="11"/>
                <w:rFonts w:hint="eastAsia"/>
              </w:rPr>
              <w:t>2年</w:t>
            </w:r>
          </w:p>
        </w:tc>
      </w:tr>
      <w:tr w14:paraId="78236C3B">
        <w:tblPrEx>
          <w:tblCellMar>
            <w:top w:w="0" w:type="dxa"/>
            <w:left w:w="0" w:type="dxa"/>
            <w:bottom w:w="0" w:type="dxa"/>
            <w:right w:w="0" w:type="dxa"/>
          </w:tblCellMar>
        </w:tblPrEx>
        <w:trPr>
          <w:wBefore w:w="0" w:type="auto"/>
          <w:tblCellSpacing w:w="0" w:type="dxa"/>
        </w:trPr>
        <w:tc>
          <w:tcPr>
            <w:tcW w:w="0" w:type="auto"/>
            <w:noWrap w:val="0"/>
            <w:vAlign w:val="center"/>
          </w:tcPr>
          <w:p w14:paraId="0F3D7471">
            <w:r>
              <w:rPr>
                <w:rStyle w:val="10"/>
                <w:rFonts w:hint="eastAsia"/>
              </w:rPr>
              <w:t>备注：</w:t>
            </w:r>
          </w:p>
        </w:tc>
      </w:tr>
    </w:tbl>
    <w:p w14:paraId="536E56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C86BC5C">
        <w:tblPrEx>
          <w:tblCellMar>
            <w:top w:w="0" w:type="dxa"/>
            <w:left w:w="0" w:type="dxa"/>
            <w:bottom w:w="0" w:type="dxa"/>
            <w:right w:w="0" w:type="dxa"/>
          </w:tblCellMar>
        </w:tblPrEx>
        <w:trPr>
          <w:wBefore w:w="0" w:type="auto"/>
          <w:tblCellSpacing w:w="0" w:type="dxa"/>
        </w:trPr>
        <w:tc>
          <w:tcPr>
            <w:tcW w:w="0" w:type="auto"/>
            <w:noWrap w:val="0"/>
            <w:vAlign w:val="center"/>
          </w:tcPr>
          <w:p w14:paraId="332B5584">
            <w:r>
              <w:rPr>
                <w:rStyle w:val="10"/>
                <w:rFonts w:hint="eastAsia"/>
              </w:rPr>
              <w:t>登记证号：</w:t>
            </w:r>
            <w:r>
              <w:rPr>
                <w:rFonts w:hint="eastAsia"/>
              </w:rPr>
              <w:t>PD20212728</w:t>
            </w:r>
          </w:p>
        </w:tc>
      </w:tr>
      <w:tr w14:paraId="6CF1B014">
        <w:tblPrEx>
          <w:tblCellMar>
            <w:top w:w="0" w:type="dxa"/>
            <w:left w:w="0" w:type="dxa"/>
            <w:bottom w:w="0" w:type="dxa"/>
            <w:right w:w="0" w:type="dxa"/>
          </w:tblCellMar>
        </w:tblPrEx>
        <w:trPr>
          <w:wBefore w:w="0" w:type="auto"/>
          <w:tblCellSpacing w:w="0" w:type="dxa"/>
        </w:trPr>
        <w:tc>
          <w:tcPr>
            <w:tcW w:w="0" w:type="auto"/>
            <w:noWrap w:val="0"/>
            <w:vAlign w:val="center"/>
          </w:tcPr>
          <w:p w14:paraId="42452C9A">
            <w:r>
              <w:rPr>
                <w:rStyle w:val="10"/>
                <w:rFonts w:hint="eastAsia"/>
              </w:rPr>
              <w:t>登记证持有人：</w:t>
            </w:r>
            <w:r>
              <w:rPr>
                <w:rFonts w:hint="eastAsia"/>
              </w:rPr>
              <w:t>上海沪联生物药业（夏邑）股份有限公司</w:t>
            </w:r>
          </w:p>
        </w:tc>
      </w:tr>
      <w:tr w14:paraId="7EDE62D4">
        <w:tblPrEx>
          <w:tblCellMar>
            <w:top w:w="0" w:type="dxa"/>
            <w:left w:w="0" w:type="dxa"/>
            <w:bottom w:w="0" w:type="dxa"/>
            <w:right w:w="0" w:type="dxa"/>
          </w:tblCellMar>
        </w:tblPrEx>
        <w:trPr>
          <w:wBefore w:w="0" w:type="auto"/>
          <w:tblCellSpacing w:w="0" w:type="dxa"/>
        </w:trPr>
        <w:tc>
          <w:tcPr>
            <w:tcW w:w="0" w:type="auto"/>
            <w:noWrap w:val="0"/>
            <w:vAlign w:val="center"/>
          </w:tcPr>
          <w:p w14:paraId="0B2B9621">
            <w:r>
              <w:rPr>
                <w:rStyle w:val="10"/>
                <w:rFonts w:hint="eastAsia"/>
              </w:rPr>
              <w:t>农药名称：</w:t>
            </w:r>
            <w:r>
              <w:rPr>
                <w:rFonts w:hint="eastAsia"/>
              </w:rPr>
              <w:t>唑醚·啶酰菌</w:t>
            </w:r>
          </w:p>
        </w:tc>
      </w:tr>
      <w:tr w14:paraId="7E518833">
        <w:tblPrEx>
          <w:tblCellMar>
            <w:top w:w="0" w:type="dxa"/>
            <w:left w:w="0" w:type="dxa"/>
            <w:bottom w:w="0" w:type="dxa"/>
            <w:right w:w="0" w:type="dxa"/>
          </w:tblCellMar>
        </w:tblPrEx>
        <w:trPr>
          <w:wBefore w:w="0" w:type="auto"/>
          <w:tblCellSpacing w:w="0" w:type="dxa"/>
        </w:trPr>
        <w:tc>
          <w:tcPr>
            <w:tcW w:w="0" w:type="auto"/>
            <w:noWrap w:val="0"/>
            <w:vAlign w:val="center"/>
          </w:tcPr>
          <w:p w14:paraId="55A247BB">
            <w:r>
              <w:rPr>
                <w:rStyle w:val="10"/>
                <w:rFonts w:hint="eastAsia"/>
              </w:rPr>
              <w:t>剂型：</w:t>
            </w:r>
            <w:r>
              <w:rPr>
                <w:rFonts w:hint="eastAsia"/>
              </w:rPr>
              <w:t>水分散粒剂</w:t>
            </w:r>
          </w:p>
        </w:tc>
      </w:tr>
      <w:tr w14:paraId="162E0FF8">
        <w:tblPrEx>
          <w:tblCellMar>
            <w:top w:w="0" w:type="dxa"/>
            <w:left w:w="0" w:type="dxa"/>
            <w:bottom w:w="0" w:type="dxa"/>
            <w:right w:w="0" w:type="dxa"/>
          </w:tblCellMar>
        </w:tblPrEx>
        <w:trPr>
          <w:wBefore w:w="0" w:type="auto"/>
          <w:tblCellSpacing w:w="0" w:type="dxa"/>
        </w:trPr>
        <w:tc>
          <w:tcPr>
            <w:tcW w:w="0" w:type="auto"/>
            <w:noWrap w:val="0"/>
            <w:vAlign w:val="center"/>
          </w:tcPr>
          <w:p w14:paraId="2DE6DD1D">
            <w:r>
              <w:rPr>
                <w:rStyle w:val="10"/>
                <w:rFonts w:hint="eastAsia"/>
              </w:rPr>
              <w:t>毒性及其标识：</w:t>
            </w:r>
            <w:r>
              <w:rPr>
                <w:rFonts w:hint="eastAsia"/>
              </w:rPr>
              <w:t xml:space="preserve"> 微毒 </w:t>
            </w:r>
          </w:p>
        </w:tc>
      </w:tr>
      <w:tr w14:paraId="4A81A00C">
        <w:tblPrEx>
          <w:tblCellMar>
            <w:top w:w="0" w:type="dxa"/>
            <w:left w:w="0" w:type="dxa"/>
            <w:bottom w:w="0" w:type="dxa"/>
            <w:right w:w="0" w:type="dxa"/>
          </w:tblCellMar>
        </w:tblPrEx>
        <w:trPr>
          <w:wBefore w:w="0" w:type="auto"/>
          <w:tblCellSpacing w:w="0" w:type="dxa"/>
        </w:trPr>
        <w:tc>
          <w:tcPr>
            <w:tcW w:w="0" w:type="auto"/>
            <w:noWrap w:val="0"/>
            <w:vAlign w:val="center"/>
          </w:tcPr>
          <w:p w14:paraId="58494E13">
            <w:r>
              <w:rPr>
                <w:rStyle w:val="10"/>
                <w:rFonts w:hint="eastAsia"/>
              </w:rPr>
              <w:t>总有效成分含量：</w:t>
            </w:r>
            <w:r>
              <w:rPr>
                <w:rFonts w:hint="eastAsia"/>
              </w:rPr>
              <w:t>38%</w:t>
            </w:r>
          </w:p>
        </w:tc>
      </w:tr>
      <w:tr w14:paraId="4A8560D0">
        <w:tblPrEx>
          <w:tblCellMar>
            <w:top w:w="0" w:type="dxa"/>
            <w:left w:w="0" w:type="dxa"/>
            <w:bottom w:w="0" w:type="dxa"/>
            <w:right w:w="0" w:type="dxa"/>
          </w:tblCellMar>
        </w:tblPrEx>
        <w:trPr>
          <w:wBefore w:w="0" w:type="auto"/>
          <w:tblCellSpacing w:w="0" w:type="dxa"/>
        </w:trPr>
        <w:tc>
          <w:tcPr>
            <w:tcW w:w="0" w:type="auto"/>
            <w:noWrap w:val="0"/>
            <w:vAlign w:val="center"/>
          </w:tcPr>
          <w:p w14:paraId="15ACBA02">
            <w:r>
              <w:rPr>
                <w:rFonts w:hint="eastAsia"/>
              </w:rPr>
              <w:t xml:space="preserve">有效成分及其含量： </w:t>
            </w:r>
          </w:p>
          <w:p w14:paraId="2EABFEDA">
            <w:r>
              <w:rPr>
                <w:rFonts w:hint="eastAsia"/>
              </w:rPr>
              <w:t xml:space="preserve">    吡唑醚菌酯12.8%    啶酰菌胺25.2%    </w:t>
            </w:r>
          </w:p>
        </w:tc>
      </w:tr>
      <w:tr w14:paraId="50EDF951">
        <w:tblPrEx>
          <w:tblCellMar>
            <w:top w:w="0" w:type="dxa"/>
            <w:left w:w="0" w:type="dxa"/>
            <w:bottom w:w="0" w:type="dxa"/>
            <w:right w:w="0" w:type="dxa"/>
          </w:tblCellMar>
        </w:tblPrEx>
        <w:trPr>
          <w:wBefore w:w="0" w:type="auto"/>
          <w:tblCellSpacing w:w="0" w:type="dxa"/>
        </w:trPr>
        <w:tc>
          <w:tcPr>
            <w:tcW w:w="0" w:type="auto"/>
            <w:noWrap w:val="0"/>
            <w:vAlign w:val="center"/>
          </w:tcPr>
          <w:p w14:paraId="1015C8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F844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E966A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4491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A208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AB1116">
                  <w:r>
                    <w:rPr>
                      <w:rStyle w:val="11"/>
                      <w:rFonts w:hint="eastAsia"/>
                    </w:rPr>
                    <w:t>施用方式</w:t>
                  </w:r>
                </w:p>
              </w:tc>
            </w:tr>
            <w:tr w14:paraId="4AF283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3E8097">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CC5B4F">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54E862">
                  <w:r>
                    <w:rPr>
                      <w:rStyle w:val="11"/>
                      <w:rFonts w:hint="eastAsia"/>
                    </w:rPr>
                    <w:t>1000-1300倍液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17EDFF">
                  <w:r>
                    <w:rPr>
                      <w:rStyle w:val="11"/>
                      <w:rFonts w:hint="eastAsia"/>
                    </w:rPr>
                    <w:t>喷雾</w:t>
                  </w:r>
                </w:p>
              </w:tc>
            </w:tr>
          </w:tbl>
          <w:p w14:paraId="445FDDF0">
            <w:pPr>
              <w:rPr>
                <w:rFonts w:ascii="Times New Roman" w:hAnsi="Times New Roman" w:cs="Times New Roman"/>
                <w:sz w:val="20"/>
                <w:szCs w:val="20"/>
              </w:rPr>
            </w:pPr>
          </w:p>
        </w:tc>
      </w:tr>
      <w:tr w14:paraId="079F0385">
        <w:tblPrEx>
          <w:tblCellMar>
            <w:top w:w="0" w:type="dxa"/>
            <w:left w:w="0" w:type="dxa"/>
            <w:bottom w:w="0" w:type="dxa"/>
            <w:right w:w="0" w:type="dxa"/>
          </w:tblCellMar>
        </w:tblPrEx>
        <w:trPr>
          <w:wBefore w:w="0" w:type="auto"/>
          <w:tblCellSpacing w:w="0" w:type="dxa"/>
        </w:trPr>
        <w:tc>
          <w:tcPr>
            <w:tcW w:w="0" w:type="auto"/>
            <w:noWrap w:val="0"/>
            <w:vAlign w:val="center"/>
          </w:tcPr>
          <w:p w14:paraId="0D88D59F">
            <w:r>
              <w:rPr>
                <w:rStyle w:val="10"/>
                <w:rFonts w:hint="eastAsia"/>
              </w:rPr>
              <w:t>使用技术要求:</w:t>
            </w:r>
            <w:r>
              <w:rPr>
                <w:rFonts w:hint="eastAsia"/>
              </w:rPr>
              <w:br w:type="textWrapping"/>
            </w:r>
            <w:r>
              <w:rPr>
                <w:rStyle w:val="11"/>
                <w:rFonts w:hint="eastAsia"/>
              </w:rPr>
              <w:t>1.本品应于葡萄灰霉病发病初期施药, 可连用2-3次，间隔7-14天。2.大风天或预计1小时内有雨，请勿施药。3.本品在葡萄上的安全间隔期为14天，每季最多使用3次。</w:t>
            </w:r>
          </w:p>
        </w:tc>
      </w:tr>
      <w:tr w14:paraId="0EE5D5A8">
        <w:tblPrEx>
          <w:tblCellMar>
            <w:top w:w="0" w:type="dxa"/>
            <w:left w:w="0" w:type="dxa"/>
            <w:bottom w:w="0" w:type="dxa"/>
            <w:right w:w="0" w:type="dxa"/>
          </w:tblCellMar>
        </w:tblPrEx>
        <w:trPr>
          <w:wBefore w:w="0" w:type="auto"/>
          <w:tblCellSpacing w:w="0" w:type="dxa"/>
        </w:trPr>
        <w:tc>
          <w:tcPr>
            <w:tcW w:w="0" w:type="auto"/>
            <w:noWrap w:val="0"/>
            <w:vAlign w:val="center"/>
          </w:tcPr>
          <w:p w14:paraId="46D26E51">
            <w:r>
              <w:rPr>
                <w:rStyle w:val="10"/>
                <w:rFonts w:hint="eastAsia"/>
              </w:rPr>
              <w:t>产品性能:</w:t>
            </w:r>
            <w:r>
              <w:rPr>
                <w:rFonts w:hint="eastAsia"/>
              </w:rPr>
              <w:br w:type="textWrapping"/>
            </w:r>
            <w:r>
              <w:rPr>
                <w:rStyle w:val="11"/>
                <w:rFonts w:hint="eastAsia"/>
              </w:rPr>
              <w:t>本品由吡唑醚菌酯和啶酰菌胺复配而成。吡唑醚菌酯是一种线粒体呼吸抑制剂，具有保护、治疗和叶片渗透传导作用。啶酰菌胺抑制线粒体呼吸链中琥珀酸泛醌还原酶, 可抑制孢子萌发、芽管生长、菌丝生长等阶段，具有预防和治疗作用。按推荐剂量使用时，对葡萄灰霉病有较好的防治效果。</w:t>
            </w:r>
          </w:p>
        </w:tc>
      </w:tr>
      <w:tr w14:paraId="50D31E1B">
        <w:tblPrEx>
          <w:tblCellMar>
            <w:top w:w="0" w:type="dxa"/>
            <w:left w:w="0" w:type="dxa"/>
            <w:bottom w:w="0" w:type="dxa"/>
            <w:right w:w="0" w:type="dxa"/>
          </w:tblCellMar>
        </w:tblPrEx>
        <w:trPr>
          <w:wBefore w:w="0" w:type="auto"/>
          <w:tblCellSpacing w:w="0" w:type="dxa"/>
        </w:trPr>
        <w:tc>
          <w:tcPr>
            <w:tcW w:w="0" w:type="auto"/>
            <w:noWrap w:val="0"/>
            <w:vAlign w:val="center"/>
          </w:tcPr>
          <w:p w14:paraId="130C82A2">
            <w:r>
              <w:rPr>
                <w:rStyle w:val="10"/>
                <w:rFonts w:hint="eastAsia"/>
              </w:rPr>
              <w:t>注意事项：</w:t>
            </w:r>
            <w:r>
              <w:rPr>
                <w:rFonts w:hint="eastAsia"/>
              </w:rPr>
              <w:br w:type="textWrapping"/>
            </w:r>
            <w:r>
              <w:rPr>
                <w:rStyle w:val="11"/>
                <w:rFonts w:hint="eastAsia"/>
              </w:rPr>
              <w:t>1.发病前用低剂量，发病后用高剂量。必要时可与其他作用机理不同的杀菌剂交替使用。2.配药和施药过程中，要严格遵守《农药安全使用规定》，使用时应佩戴口罩、手套、雨衣、长筒靴等，避免吸入和皮肤接触药剂。喷药时，请不要吸烟、进食、饮水，身体不适时勿施药。3.对蜜蜂、家蚕等有毒，（周围）开花植物花期禁用；蚕室和桑园附近禁用。4.远离水产养殖区、池塘等水域施药，禁止在江河、池塘等河道内清洗施药器械，清洗的废水不得排入江河、池塘等水域。5废弃包装材料应妥善处理，不得挪作他用，不得随意丢弃。6孕妇和哺乳期妇女禁止接触。</w:t>
            </w:r>
          </w:p>
        </w:tc>
      </w:tr>
      <w:tr w14:paraId="690021E6">
        <w:tblPrEx>
          <w:tblCellMar>
            <w:top w:w="0" w:type="dxa"/>
            <w:left w:w="0" w:type="dxa"/>
            <w:bottom w:w="0" w:type="dxa"/>
            <w:right w:w="0" w:type="dxa"/>
          </w:tblCellMar>
        </w:tblPrEx>
        <w:trPr>
          <w:wBefore w:w="0" w:type="auto"/>
          <w:tblCellSpacing w:w="0" w:type="dxa"/>
        </w:trPr>
        <w:tc>
          <w:tcPr>
            <w:tcW w:w="0" w:type="auto"/>
            <w:noWrap w:val="0"/>
            <w:vAlign w:val="center"/>
          </w:tcPr>
          <w:p w14:paraId="475FDBF4">
            <w:r>
              <w:rPr>
                <w:rStyle w:val="10"/>
                <w:rFonts w:hint="eastAsia"/>
              </w:rPr>
              <w:t>中毒急救措施：</w:t>
            </w:r>
            <w:r>
              <w:rPr>
                <w:rFonts w:hint="eastAsia"/>
              </w:rPr>
              <w:br w:type="textWrapping"/>
            </w:r>
            <w:r>
              <w:rPr>
                <w:rStyle w:val="11"/>
                <w:rFonts w:hint="eastAsia"/>
              </w:rPr>
              <w:t>中毒症状：无明显中毒症状。1.若不慎药液接触皮肤，应立即用肥皂和清水彻底清洗皮肤表面；2.若不慎药液接触眼睛，应立即用清水彻底冲洗15分钟以上；3.若不慎吸入，立即将吸入者转移到空气新鲜处，请医生诊治。4.若不慎误服，请勿引吐，立即携带标签，送医就诊。无专用解毒剂，对症治疗。</w:t>
            </w:r>
          </w:p>
        </w:tc>
      </w:tr>
      <w:tr w14:paraId="2AE6B831">
        <w:tblPrEx>
          <w:tblCellMar>
            <w:top w:w="0" w:type="dxa"/>
            <w:left w:w="0" w:type="dxa"/>
            <w:bottom w:w="0" w:type="dxa"/>
            <w:right w:w="0" w:type="dxa"/>
          </w:tblCellMar>
        </w:tblPrEx>
        <w:trPr>
          <w:wBefore w:w="0" w:type="auto"/>
          <w:tblCellSpacing w:w="0" w:type="dxa"/>
        </w:trPr>
        <w:tc>
          <w:tcPr>
            <w:tcW w:w="0" w:type="auto"/>
            <w:noWrap w:val="0"/>
            <w:vAlign w:val="center"/>
          </w:tcPr>
          <w:p w14:paraId="33240ABE">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013E6765">
        <w:tblPrEx>
          <w:tblCellMar>
            <w:top w:w="0" w:type="dxa"/>
            <w:left w:w="0" w:type="dxa"/>
            <w:bottom w:w="0" w:type="dxa"/>
            <w:right w:w="0" w:type="dxa"/>
          </w:tblCellMar>
        </w:tblPrEx>
        <w:trPr>
          <w:wBefore w:w="0" w:type="auto"/>
          <w:tblCellSpacing w:w="0" w:type="dxa"/>
        </w:trPr>
        <w:tc>
          <w:tcPr>
            <w:tcW w:w="0" w:type="auto"/>
            <w:noWrap w:val="0"/>
            <w:vAlign w:val="center"/>
          </w:tcPr>
          <w:p w14:paraId="3CE918F1">
            <w:r>
              <w:rPr>
                <w:rStyle w:val="10"/>
                <w:rFonts w:hint="eastAsia"/>
              </w:rPr>
              <w:t>质量保证期：</w:t>
            </w:r>
            <w:r>
              <w:rPr>
                <w:rStyle w:val="11"/>
                <w:rFonts w:hint="eastAsia"/>
              </w:rPr>
              <w:t>2年</w:t>
            </w:r>
          </w:p>
        </w:tc>
      </w:tr>
      <w:tr w14:paraId="0ED62BB3">
        <w:tblPrEx>
          <w:tblCellMar>
            <w:top w:w="0" w:type="dxa"/>
            <w:left w:w="0" w:type="dxa"/>
            <w:bottom w:w="0" w:type="dxa"/>
            <w:right w:w="0" w:type="dxa"/>
          </w:tblCellMar>
        </w:tblPrEx>
        <w:trPr>
          <w:wBefore w:w="0" w:type="auto"/>
          <w:tblCellSpacing w:w="0" w:type="dxa"/>
        </w:trPr>
        <w:tc>
          <w:tcPr>
            <w:tcW w:w="0" w:type="auto"/>
            <w:noWrap w:val="0"/>
            <w:vAlign w:val="center"/>
          </w:tcPr>
          <w:p w14:paraId="61E95709">
            <w:r>
              <w:rPr>
                <w:rStyle w:val="10"/>
                <w:rFonts w:hint="eastAsia"/>
              </w:rPr>
              <w:t>备注：</w:t>
            </w:r>
          </w:p>
        </w:tc>
      </w:tr>
    </w:tbl>
    <w:p w14:paraId="3DCCA17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3F78CD">
        <w:tblPrEx>
          <w:tblCellMar>
            <w:top w:w="0" w:type="dxa"/>
            <w:left w:w="0" w:type="dxa"/>
            <w:bottom w:w="0" w:type="dxa"/>
            <w:right w:w="0" w:type="dxa"/>
          </w:tblCellMar>
        </w:tblPrEx>
        <w:trPr>
          <w:wBefore w:w="0" w:type="auto"/>
          <w:tblCellSpacing w:w="0" w:type="dxa"/>
        </w:trPr>
        <w:tc>
          <w:tcPr>
            <w:tcW w:w="0" w:type="auto"/>
            <w:noWrap w:val="0"/>
            <w:vAlign w:val="center"/>
          </w:tcPr>
          <w:p w14:paraId="5A63DF2C">
            <w:r>
              <w:rPr>
                <w:rStyle w:val="10"/>
                <w:rFonts w:hint="eastAsia"/>
              </w:rPr>
              <w:t>登记证号：</w:t>
            </w:r>
            <w:r>
              <w:rPr>
                <w:rFonts w:hint="eastAsia"/>
              </w:rPr>
              <w:t>PD20212650</w:t>
            </w:r>
          </w:p>
        </w:tc>
      </w:tr>
      <w:tr w14:paraId="56DB404F">
        <w:tblPrEx>
          <w:tblCellMar>
            <w:top w:w="0" w:type="dxa"/>
            <w:left w:w="0" w:type="dxa"/>
            <w:bottom w:w="0" w:type="dxa"/>
            <w:right w:w="0" w:type="dxa"/>
          </w:tblCellMar>
        </w:tblPrEx>
        <w:trPr>
          <w:wBefore w:w="0" w:type="auto"/>
          <w:tblCellSpacing w:w="0" w:type="dxa"/>
        </w:trPr>
        <w:tc>
          <w:tcPr>
            <w:tcW w:w="0" w:type="auto"/>
            <w:noWrap w:val="0"/>
            <w:vAlign w:val="center"/>
          </w:tcPr>
          <w:p w14:paraId="6B555900">
            <w:r>
              <w:rPr>
                <w:rStyle w:val="10"/>
                <w:rFonts w:hint="eastAsia"/>
              </w:rPr>
              <w:t>登记证持有人：</w:t>
            </w:r>
            <w:r>
              <w:rPr>
                <w:rFonts w:hint="eastAsia"/>
              </w:rPr>
              <w:t>天津博克百胜科技有限公司</w:t>
            </w:r>
          </w:p>
        </w:tc>
      </w:tr>
      <w:tr w14:paraId="437C4EAA">
        <w:tblPrEx>
          <w:tblCellMar>
            <w:top w:w="0" w:type="dxa"/>
            <w:left w:w="0" w:type="dxa"/>
            <w:bottom w:w="0" w:type="dxa"/>
            <w:right w:w="0" w:type="dxa"/>
          </w:tblCellMar>
        </w:tblPrEx>
        <w:trPr>
          <w:wBefore w:w="0" w:type="auto"/>
          <w:tblCellSpacing w:w="0" w:type="dxa"/>
        </w:trPr>
        <w:tc>
          <w:tcPr>
            <w:tcW w:w="0" w:type="auto"/>
            <w:noWrap w:val="0"/>
            <w:vAlign w:val="center"/>
          </w:tcPr>
          <w:p w14:paraId="556C84D3">
            <w:r>
              <w:rPr>
                <w:rStyle w:val="10"/>
                <w:rFonts w:hint="eastAsia"/>
              </w:rPr>
              <w:t>农药名称：</w:t>
            </w:r>
            <w:r>
              <w:rPr>
                <w:rFonts w:hint="eastAsia"/>
              </w:rPr>
              <w:t>氯氟吡氧乙酸异辛酯</w:t>
            </w:r>
          </w:p>
        </w:tc>
      </w:tr>
      <w:tr w14:paraId="6A4F93AE">
        <w:tblPrEx>
          <w:tblCellMar>
            <w:top w:w="0" w:type="dxa"/>
            <w:left w:w="0" w:type="dxa"/>
            <w:bottom w:w="0" w:type="dxa"/>
            <w:right w:w="0" w:type="dxa"/>
          </w:tblCellMar>
        </w:tblPrEx>
        <w:trPr>
          <w:wBefore w:w="0" w:type="auto"/>
          <w:tblCellSpacing w:w="0" w:type="dxa"/>
        </w:trPr>
        <w:tc>
          <w:tcPr>
            <w:tcW w:w="0" w:type="auto"/>
            <w:noWrap w:val="0"/>
            <w:vAlign w:val="center"/>
          </w:tcPr>
          <w:p w14:paraId="3CC131BE">
            <w:r>
              <w:rPr>
                <w:rStyle w:val="10"/>
                <w:rFonts w:hint="eastAsia"/>
              </w:rPr>
              <w:t>剂型：</w:t>
            </w:r>
            <w:r>
              <w:rPr>
                <w:rFonts w:hint="eastAsia"/>
              </w:rPr>
              <w:t>乳油</w:t>
            </w:r>
          </w:p>
        </w:tc>
      </w:tr>
      <w:tr w14:paraId="27E08D25">
        <w:tblPrEx>
          <w:tblCellMar>
            <w:top w:w="0" w:type="dxa"/>
            <w:left w:w="0" w:type="dxa"/>
            <w:bottom w:w="0" w:type="dxa"/>
            <w:right w:w="0" w:type="dxa"/>
          </w:tblCellMar>
        </w:tblPrEx>
        <w:trPr>
          <w:wBefore w:w="0" w:type="auto"/>
          <w:tblCellSpacing w:w="0" w:type="dxa"/>
        </w:trPr>
        <w:tc>
          <w:tcPr>
            <w:tcW w:w="0" w:type="auto"/>
            <w:noWrap w:val="0"/>
            <w:vAlign w:val="center"/>
          </w:tcPr>
          <w:p w14:paraId="30D0961C">
            <w:r>
              <w:rPr>
                <w:rStyle w:val="10"/>
                <w:rFonts w:hint="eastAsia"/>
              </w:rPr>
              <w:t>毒性及其标识：</w:t>
            </w:r>
            <w:r>
              <w:rPr>
                <w:rFonts w:hint="eastAsia"/>
              </w:rPr>
              <w:t xml:space="preserve"> </w:t>
            </w:r>
            <w:r>
              <w:rPr>
                <w:lang/>
              </w:rPr>
              <w:drawing>
                <wp:inline distT="0" distB="0" distL="114300" distR="114300">
                  <wp:extent cx="476250" cy="323850"/>
                  <wp:effectExtent l="0" t="0" r="0" b="0"/>
                  <wp:docPr id="101" name="图片 1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11858E">
        <w:tblPrEx>
          <w:tblCellMar>
            <w:top w:w="0" w:type="dxa"/>
            <w:left w:w="0" w:type="dxa"/>
            <w:bottom w:w="0" w:type="dxa"/>
            <w:right w:w="0" w:type="dxa"/>
          </w:tblCellMar>
        </w:tblPrEx>
        <w:trPr>
          <w:wBefore w:w="0" w:type="auto"/>
          <w:tblCellSpacing w:w="0" w:type="dxa"/>
        </w:trPr>
        <w:tc>
          <w:tcPr>
            <w:tcW w:w="0" w:type="auto"/>
            <w:noWrap w:val="0"/>
            <w:vAlign w:val="center"/>
          </w:tcPr>
          <w:p w14:paraId="756EEF4D">
            <w:r>
              <w:rPr>
                <w:rStyle w:val="10"/>
                <w:rFonts w:hint="eastAsia"/>
              </w:rPr>
              <w:t>总有效成分含量：</w:t>
            </w:r>
            <w:r>
              <w:rPr>
                <w:rFonts w:hint="eastAsia"/>
              </w:rPr>
              <w:t>288克/升</w:t>
            </w:r>
          </w:p>
        </w:tc>
      </w:tr>
      <w:tr w14:paraId="493F64A7">
        <w:tblPrEx>
          <w:tblCellMar>
            <w:top w:w="0" w:type="dxa"/>
            <w:left w:w="0" w:type="dxa"/>
            <w:bottom w:w="0" w:type="dxa"/>
            <w:right w:w="0" w:type="dxa"/>
          </w:tblCellMar>
        </w:tblPrEx>
        <w:trPr>
          <w:wBefore w:w="0" w:type="auto"/>
          <w:tblCellSpacing w:w="0" w:type="dxa"/>
        </w:trPr>
        <w:tc>
          <w:tcPr>
            <w:tcW w:w="0" w:type="auto"/>
            <w:noWrap w:val="0"/>
            <w:vAlign w:val="center"/>
          </w:tcPr>
          <w:p w14:paraId="41CFA913">
            <w:r>
              <w:rPr>
                <w:rFonts w:hint="eastAsia"/>
              </w:rPr>
              <w:t xml:space="preserve">有效成分及其含量： </w:t>
            </w:r>
          </w:p>
          <w:p w14:paraId="30E1F8ED">
            <w:r>
              <w:rPr>
                <w:rFonts w:hint="eastAsia"/>
              </w:rPr>
              <w:t xml:space="preserve">    氯氟吡氧乙酸异辛酯288克/升    </w:t>
            </w:r>
          </w:p>
        </w:tc>
      </w:tr>
      <w:tr w14:paraId="44924F0A">
        <w:tblPrEx>
          <w:tblCellMar>
            <w:top w:w="0" w:type="dxa"/>
            <w:left w:w="0" w:type="dxa"/>
            <w:bottom w:w="0" w:type="dxa"/>
            <w:right w:w="0" w:type="dxa"/>
          </w:tblCellMar>
        </w:tblPrEx>
        <w:trPr>
          <w:wBefore w:w="0" w:type="auto"/>
          <w:tblCellSpacing w:w="0" w:type="dxa"/>
        </w:trPr>
        <w:tc>
          <w:tcPr>
            <w:tcW w:w="0" w:type="auto"/>
            <w:noWrap w:val="0"/>
            <w:vAlign w:val="center"/>
          </w:tcPr>
          <w:p w14:paraId="0DEBC7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8710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1C2B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7AAC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2D16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F72994">
                  <w:r>
                    <w:rPr>
                      <w:rStyle w:val="11"/>
                      <w:rFonts w:hint="eastAsia"/>
                    </w:rPr>
                    <w:t>施用方式</w:t>
                  </w:r>
                </w:p>
              </w:tc>
            </w:tr>
            <w:tr w14:paraId="2E55BE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8B8F09">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9FA052">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6246AA">
                  <w:r>
                    <w:rPr>
                      <w:rStyle w:val="11"/>
                      <w:rFonts w:hint="eastAsia"/>
                    </w:rPr>
                    <w:t>42-50毫升/亩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34A1D6">
                  <w:r>
                    <w:rPr>
                      <w:rStyle w:val="11"/>
                      <w:rFonts w:hint="eastAsia"/>
                    </w:rPr>
                    <w:t>茎叶喷雾</w:t>
                  </w:r>
                </w:p>
              </w:tc>
            </w:tr>
          </w:tbl>
          <w:p w14:paraId="1CB7793D">
            <w:pPr>
              <w:rPr>
                <w:rFonts w:ascii="Times New Roman" w:hAnsi="Times New Roman" w:cs="Times New Roman"/>
                <w:sz w:val="20"/>
                <w:szCs w:val="20"/>
              </w:rPr>
            </w:pPr>
          </w:p>
        </w:tc>
      </w:tr>
      <w:tr w14:paraId="257FF5B1">
        <w:tblPrEx>
          <w:tblCellMar>
            <w:top w:w="0" w:type="dxa"/>
            <w:left w:w="0" w:type="dxa"/>
            <w:bottom w:w="0" w:type="dxa"/>
            <w:right w:w="0" w:type="dxa"/>
          </w:tblCellMar>
        </w:tblPrEx>
        <w:trPr>
          <w:wBefore w:w="0" w:type="auto"/>
          <w:tblCellSpacing w:w="0" w:type="dxa"/>
        </w:trPr>
        <w:tc>
          <w:tcPr>
            <w:tcW w:w="0" w:type="auto"/>
            <w:noWrap w:val="0"/>
            <w:vAlign w:val="center"/>
          </w:tcPr>
          <w:p w14:paraId="5326CC2F">
            <w:r>
              <w:rPr>
                <w:rStyle w:val="10"/>
                <w:rFonts w:hint="eastAsia"/>
              </w:rPr>
              <w:t>使用技术要求:</w:t>
            </w:r>
            <w:r>
              <w:rPr>
                <w:rFonts w:hint="eastAsia"/>
              </w:rPr>
              <w:br w:type="textWrapping"/>
            </w:r>
            <w:r>
              <w:rPr>
                <w:rStyle w:val="11"/>
                <w:rFonts w:hint="eastAsia"/>
              </w:rPr>
              <w:t>1. 于小麦3-5叶期至拔节前，田间杂草基本出齐后，一年生阔叶杂草2-4叶期，茎叶喷雾施药1次。2. 大风天或预计1小时内降雨，和气温高于28℃以上，请勿施药。3. 每季作物最多使用次数1次。</w:t>
            </w:r>
          </w:p>
        </w:tc>
      </w:tr>
      <w:tr w14:paraId="753DD818">
        <w:tblPrEx>
          <w:tblCellMar>
            <w:top w:w="0" w:type="dxa"/>
            <w:left w:w="0" w:type="dxa"/>
            <w:bottom w:w="0" w:type="dxa"/>
            <w:right w:w="0" w:type="dxa"/>
          </w:tblCellMar>
        </w:tblPrEx>
        <w:trPr>
          <w:wBefore w:w="0" w:type="auto"/>
          <w:tblCellSpacing w:w="0" w:type="dxa"/>
        </w:trPr>
        <w:tc>
          <w:tcPr>
            <w:tcW w:w="0" w:type="auto"/>
            <w:noWrap w:val="0"/>
            <w:vAlign w:val="center"/>
          </w:tcPr>
          <w:p w14:paraId="6CB845E7">
            <w:r>
              <w:rPr>
                <w:rStyle w:val="10"/>
                <w:rFonts w:hint="eastAsia"/>
              </w:rPr>
              <w:t>产品性能:</w:t>
            </w:r>
            <w:r>
              <w:rPr>
                <w:rFonts w:hint="eastAsia"/>
              </w:rPr>
              <w:br w:type="textWrapping"/>
            </w:r>
            <w:r>
              <w:rPr>
                <w:rStyle w:val="11"/>
                <w:rFonts w:hint="eastAsia"/>
              </w:rPr>
              <w:t>本品为内吸传导型苗后除草剂，适用于小麦田防除一年生阔叶杂草和藤本类杂草，如猪殃殃、水花生、泽漆、田旋花等。</w:t>
            </w:r>
          </w:p>
        </w:tc>
      </w:tr>
      <w:tr w14:paraId="3DD9D040">
        <w:tblPrEx>
          <w:tblCellMar>
            <w:top w:w="0" w:type="dxa"/>
            <w:left w:w="0" w:type="dxa"/>
            <w:bottom w:w="0" w:type="dxa"/>
            <w:right w:w="0" w:type="dxa"/>
          </w:tblCellMar>
        </w:tblPrEx>
        <w:trPr>
          <w:wBefore w:w="0" w:type="auto"/>
          <w:tblCellSpacing w:w="0" w:type="dxa"/>
        </w:trPr>
        <w:tc>
          <w:tcPr>
            <w:tcW w:w="0" w:type="auto"/>
            <w:noWrap w:val="0"/>
            <w:vAlign w:val="center"/>
          </w:tcPr>
          <w:p w14:paraId="40EA500C">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本品对眼睛有刺激性，使用时避免接触眼睛，穿戴长衣、长裤、帽子、口罩、手套等防护措施。2. 药剂应现混现兑，配好的药液要立即使用。3. 花生、大豆、棉花、油菜等阔叶作物对本品敏感，施药时应避免药液飘移到邻近作物上，以免产生药害。4. 间套或混种有阔叶作物的小麦田不能使用本品。5. 施药期间避免对周围蜂群产生影响，蜜源作物花期、蚕室和桑园附近禁用，远离水产养殖区、河塘等水体施药，禁止在河塘等水体内清洗施药器具。6. 药后应充分洗净药桶、喷头、管子等施药器具，清洗废水不能排入河流、池塘等水源。7. 用过的容器应妥善处理，不可做他用，也不可随意丢弃。8. 孕妇、哺乳期妇女及过敏者禁用。9. 不可与碱性农药等物质混用，以免影响药效。</w:t>
            </w:r>
          </w:p>
        </w:tc>
      </w:tr>
      <w:tr w14:paraId="0B121164">
        <w:tblPrEx>
          <w:tblCellMar>
            <w:top w:w="0" w:type="dxa"/>
            <w:left w:w="0" w:type="dxa"/>
            <w:bottom w:w="0" w:type="dxa"/>
            <w:right w:w="0" w:type="dxa"/>
          </w:tblCellMar>
        </w:tblPrEx>
        <w:trPr>
          <w:wBefore w:w="0" w:type="auto"/>
          <w:tblCellSpacing w:w="0" w:type="dxa"/>
        </w:trPr>
        <w:tc>
          <w:tcPr>
            <w:tcW w:w="0" w:type="auto"/>
            <w:noWrap w:val="0"/>
            <w:vAlign w:val="center"/>
          </w:tcPr>
          <w:p w14:paraId="3B749AB7">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 皮肤接触：脱去污染的衣着，立即用大量清水和肥皂冲洗。2. 眼睛溅入：立即用流动的清水冲洗不少于15分钟。3. 吸入：迅速脱离现场至空气新鲜处。保持呼吸道通畅。4. 误食：立即停止服用，用清水充分漱口后，立即携带农药标签到医院就诊。5. 本品无解毒剂，应对症治疗。</w:t>
            </w:r>
          </w:p>
        </w:tc>
      </w:tr>
      <w:tr w14:paraId="7CDC0727">
        <w:tblPrEx>
          <w:tblCellMar>
            <w:top w:w="0" w:type="dxa"/>
            <w:left w:w="0" w:type="dxa"/>
            <w:bottom w:w="0" w:type="dxa"/>
            <w:right w:w="0" w:type="dxa"/>
          </w:tblCellMar>
        </w:tblPrEx>
        <w:trPr>
          <w:wBefore w:w="0" w:type="auto"/>
          <w:tblCellSpacing w:w="0" w:type="dxa"/>
        </w:trPr>
        <w:tc>
          <w:tcPr>
            <w:tcW w:w="0" w:type="auto"/>
            <w:noWrap w:val="0"/>
            <w:vAlign w:val="center"/>
          </w:tcPr>
          <w:p w14:paraId="093132CC">
            <w:r>
              <w:rPr>
                <w:rStyle w:val="10"/>
                <w:rFonts w:hint="eastAsia"/>
              </w:rPr>
              <w:t>储存和运输方法：</w:t>
            </w:r>
            <w:r>
              <w:rPr>
                <w:rFonts w:hint="eastAsia"/>
              </w:rPr>
              <w:br w:type="textWrapping"/>
            </w:r>
            <w:r>
              <w:rPr>
                <w:rStyle w:val="11"/>
                <w:rFonts w:hint="eastAsia"/>
              </w:rPr>
              <w:t>1.本品应密封贮存在干燥、阴凉、通风、防雨处，远离火源或热源。2.本品应置于儿童、无关人员触及不到之处，并加锁。3.勿与食品、饮料、粮食、饲料等其他商品同贮同运。</w:t>
            </w:r>
          </w:p>
        </w:tc>
      </w:tr>
      <w:tr w14:paraId="28222B5B">
        <w:tblPrEx>
          <w:tblCellMar>
            <w:top w:w="0" w:type="dxa"/>
            <w:left w:w="0" w:type="dxa"/>
            <w:bottom w:w="0" w:type="dxa"/>
            <w:right w:w="0" w:type="dxa"/>
          </w:tblCellMar>
        </w:tblPrEx>
        <w:trPr>
          <w:wBefore w:w="0" w:type="auto"/>
          <w:tblCellSpacing w:w="0" w:type="dxa"/>
        </w:trPr>
        <w:tc>
          <w:tcPr>
            <w:tcW w:w="0" w:type="auto"/>
            <w:noWrap w:val="0"/>
            <w:vAlign w:val="center"/>
          </w:tcPr>
          <w:p w14:paraId="07DEEE09">
            <w:r>
              <w:rPr>
                <w:rStyle w:val="10"/>
                <w:rFonts w:hint="eastAsia"/>
              </w:rPr>
              <w:t>质量保证期：</w:t>
            </w:r>
            <w:r>
              <w:rPr>
                <w:rStyle w:val="11"/>
                <w:rFonts w:hint="eastAsia"/>
              </w:rPr>
              <w:t>2年</w:t>
            </w:r>
          </w:p>
        </w:tc>
      </w:tr>
      <w:tr w14:paraId="2DC85487">
        <w:tblPrEx>
          <w:tblCellMar>
            <w:top w:w="0" w:type="dxa"/>
            <w:left w:w="0" w:type="dxa"/>
            <w:bottom w:w="0" w:type="dxa"/>
            <w:right w:w="0" w:type="dxa"/>
          </w:tblCellMar>
        </w:tblPrEx>
        <w:trPr>
          <w:wBefore w:w="0" w:type="auto"/>
          <w:tblCellSpacing w:w="0" w:type="dxa"/>
        </w:trPr>
        <w:tc>
          <w:tcPr>
            <w:tcW w:w="0" w:type="auto"/>
            <w:noWrap w:val="0"/>
            <w:vAlign w:val="center"/>
          </w:tcPr>
          <w:p w14:paraId="4E84F092">
            <w:r>
              <w:rPr>
                <w:rStyle w:val="10"/>
                <w:rFonts w:hint="eastAsia"/>
              </w:rPr>
              <w:t>备注：</w:t>
            </w:r>
            <w:r>
              <w:rPr>
                <w:rFonts w:hint="eastAsia"/>
              </w:rPr>
              <w:br w:type="textWrapping"/>
            </w:r>
            <w:r>
              <w:rPr>
                <w:rStyle w:val="11"/>
                <w:rFonts w:hint="eastAsia"/>
              </w:rPr>
              <w:t>质量分数28.2%。</w:t>
            </w:r>
          </w:p>
        </w:tc>
      </w:tr>
    </w:tbl>
    <w:p w14:paraId="0D1F2A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ACEC09">
        <w:tblPrEx>
          <w:tblCellMar>
            <w:top w:w="0" w:type="dxa"/>
            <w:left w:w="0" w:type="dxa"/>
            <w:bottom w:w="0" w:type="dxa"/>
            <w:right w:w="0" w:type="dxa"/>
          </w:tblCellMar>
        </w:tblPrEx>
        <w:trPr>
          <w:wBefore w:w="0" w:type="auto"/>
          <w:tblCellSpacing w:w="0" w:type="dxa"/>
        </w:trPr>
        <w:tc>
          <w:tcPr>
            <w:tcW w:w="0" w:type="auto"/>
            <w:noWrap w:val="0"/>
            <w:vAlign w:val="center"/>
          </w:tcPr>
          <w:p w14:paraId="389B363B">
            <w:r>
              <w:rPr>
                <w:rStyle w:val="10"/>
                <w:rFonts w:hint="eastAsia"/>
              </w:rPr>
              <w:t>登记证号：</w:t>
            </w:r>
            <w:r>
              <w:rPr>
                <w:rFonts w:hint="eastAsia"/>
              </w:rPr>
              <w:t>PD20212662</w:t>
            </w:r>
          </w:p>
        </w:tc>
      </w:tr>
      <w:tr w14:paraId="04E975A0">
        <w:tblPrEx>
          <w:tblCellMar>
            <w:top w:w="0" w:type="dxa"/>
            <w:left w:w="0" w:type="dxa"/>
            <w:bottom w:w="0" w:type="dxa"/>
            <w:right w:w="0" w:type="dxa"/>
          </w:tblCellMar>
        </w:tblPrEx>
        <w:trPr>
          <w:wBefore w:w="0" w:type="auto"/>
          <w:tblCellSpacing w:w="0" w:type="dxa"/>
        </w:trPr>
        <w:tc>
          <w:tcPr>
            <w:tcW w:w="0" w:type="auto"/>
            <w:noWrap w:val="0"/>
            <w:vAlign w:val="center"/>
          </w:tcPr>
          <w:p w14:paraId="2331E386">
            <w:r>
              <w:rPr>
                <w:rStyle w:val="10"/>
                <w:rFonts w:hint="eastAsia"/>
              </w:rPr>
              <w:t>登记证持有人：</w:t>
            </w:r>
            <w:r>
              <w:rPr>
                <w:rFonts w:hint="eastAsia"/>
              </w:rPr>
              <w:t>山西运城绿康实业有限公司</w:t>
            </w:r>
          </w:p>
        </w:tc>
      </w:tr>
      <w:tr w14:paraId="75541F1F">
        <w:tblPrEx>
          <w:tblCellMar>
            <w:top w:w="0" w:type="dxa"/>
            <w:left w:w="0" w:type="dxa"/>
            <w:bottom w:w="0" w:type="dxa"/>
            <w:right w:w="0" w:type="dxa"/>
          </w:tblCellMar>
        </w:tblPrEx>
        <w:trPr>
          <w:wBefore w:w="0" w:type="auto"/>
          <w:tblCellSpacing w:w="0" w:type="dxa"/>
        </w:trPr>
        <w:tc>
          <w:tcPr>
            <w:tcW w:w="0" w:type="auto"/>
            <w:noWrap w:val="0"/>
            <w:vAlign w:val="center"/>
          </w:tcPr>
          <w:p w14:paraId="759F7AB3">
            <w:r>
              <w:rPr>
                <w:rStyle w:val="10"/>
                <w:rFonts w:hint="eastAsia"/>
              </w:rPr>
              <w:t>农药名称：</w:t>
            </w:r>
            <w:r>
              <w:rPr>
                <w:rFonts w:hint="eastAsia"/>
              </w:rPr>
              <w:t>春雷·喹啉铜</w:t>
            </w:r>
          </w:p>
        </w:tc>
      </w:tr>
      <w:tr w14:paraId="3E76CB77">
        <w:tblPrEx>
          <w:tblCellMar>
            <w:top w:w="0" w:type="dxa"/>
            <w:left w:w="0" w:type="dxa"/>
            <w:bottom w:w="0" w:type="dxa"/>
            <w:right w:w="0" w:type="dxa"/>
          </w:tblCellMar>
        </w:tblPrEx>
        <w:trPr>
          <w:wBefore w:w="0" w:type="auto"/>
          <w:tblCellSpacing w:w="0" w:type="dxa"/>
        </w:trPr>
        <w:tc>
          <w:tcPr>
            <w:tcW w:w="0" w:type="auto"/>
            <w:noWrap w:val="0"/>
            <w:vAlign w:val="center"/>
          </w:tcPr>
          <w:p w14:paraId="65CB015D">
            <w:r>
              <w:rPr>
                <w:rStyle w:val="10"/>
                <w:rFonts w:hint="eastAsia"/>
              </w:rPr>
              <w:t>剂型：</w:t>
            </w:r>
            <w:r>
              <w:rPr>
                <w:rFonts w:hint="eastAsia"/>
              </w:rPr>
              <w:t>悬浮剂</w:t>
            </w:r>
          </w:p>
        </w:tc>
      </w:tr>
      <w:tr w14:paraId="61D7A266">
        <w:tblPrEx>
          <w:tblCellMar>
            <w:top w:w="0" w:type="dxa"/>
            <w:left w:w="0" w:type="dxa"/>
            <w:bottom w:w="0" w:type="dxa"/>
            <w:right w:w="0" w:type="dxa"/>
          </w:tblCellMar>
        </w:tblPrEx>
        <w:trPr>
          <w:wBefore w:w="0" w:type="auto"/>
          <w:tblCellSpacing w:w="0" w:type="dxa"/>
        </w:trPr>
        <w:tc>
          <w:tcPr>
            <w:tcW w:w="0" w:type="auto"/>
            <w:noWrap w:val="0"/>
            <w:vAlign w:val="center"/>
          </w:tcPr>
          <w:p w14:paraId="2370FBC0">
            <w:r>
              <w:rPr>
                <w:rStyle w:val="10"/>
                <w:rFonts w:hint="eastAsia"/>
              </w:rPr>
              <w:t>毒性及其标识：</w:t>
            </w:r>
            <w:r>
              <w:rPr>
                <w:rFonts w:hint="eastAsia"/>
              </w:rPr>
              <w:t xml:space="preserve"> </w:t>
            </w:r>
            <w:r>
              <w:rPr>
                <w:lang/>
              </w:rPr>
              <w:drawing>
                <wp:inline distT="0" distB="0" distL="114300" distR="114300">
                  <wp:extent cx="476250" cy="323850"/>
                  <wp:effectExtent l="0" t="0" r="0" b="0"/>
                  <wp:docPr id="102" name="图片 1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5DCD440">
        <w:tblPrEx>
          <w:tblCellMar>
            <w:top w:w="0" w:type="dxa"/>
            <w:left w:w="0" w:type="dxa"/>
            <w:bottom w:w="0" w:type="dxa"/>
            <w:right w:w="0" w:type="dxa"/>
          </w:tblCellMar>
        </w:tblPrEx>
        <w:trPr>
          <w:wBefore w:w="0" w:type="auto"/>
          <w:tblCellSpacing w:w="0" w:type="dxa"/>
        </w:trPr>
        <w:tc>
          <w:tcPr>
            <w:tcW w:w="0" w:type="auto"/>
            <w:noWrap w:val="0"/>
            <w:vAlign w:val="center"/>
          </w:tcPr>
          <w:p w14:paraId="2952B5AE">
            <w:r>
              <w:rPr>
                <w:rStyle w:val="10"/>
                <w:rFonts w:hint="eastAsia"/>
              </w:rPr>
              <w:t>总有效成分含量：</w:t>
            </w:r>
            <w:r>
              <w:rPr>
                <w:rFonts w:hint="eastAsia"/>
              </w:rPr>
              <w:t>36%</w:t>
            </w:r>
          </w:p>
        </w:tc>
      </w:tr>
      <w:tr w14:paraId="40934B3B">
        <w:tblPrEx>
          <w:tblCellMar>
            <w:top w:w="0" w:type="dxa"/>
            <w:left w:w="0" w:type="dxa"/>
            <w:bottom w:w="0" w:type="dxa"/>
            <w:right w:w="0" w:type="dxa"/>
          </w:tblCellMar>
        </w:tblPrEx>
        <w:trPr>
          <w:wBefore w:w="0" w:type="auto"/>
          <w:tblCellSpacing w:w="0" w:type="dxa"/>
        </w:trPr>
        <w:tc>
          <w:tcPr>
            <w:tcW w:w="0" w:type="auto"/>
            <w:noWrap w:val="0"/>
            <w:vAlign w:val="center"/>
          </w:tcPr>
          <w:p w14:paraId="529A8C45">
            <w:r>
              <w:rPr>
                <w:rFonts w:hint="eastAsia"/>
              </w:rPr>
              <w:t xml:space="preserve">有效成分及其含量： </w:t>
            </w:r>
          </w:p>
          <w:p w14:paraId="39C51A32">
            <w:r>
              <w:rPr>
                <w:rFonts w:hint="eastAsia"/>
              </w:rPr>
              <w:t xml:space="preserve">    喹啉铜33%    春雷霉素3%    </w:t>
            </w:r>
          </w:p>
        </w:tc>
      </w:tr>
      <w:tr w14:paraId="18209278">
        <w:tblPrEx>
          <w:tblCellMar>
            <w:top w:w="0" w:type="dxa"/>
            <w:left w:w="0" w:type="dxa"/>
            <w:bottom w:w="0" w:type="dxa"/>
            <w:right w:w="0" w:type="dxa"/>
          </w:tblCellMar>
        </w:tblPrEx>
        <w:trPr>
          <w:wBefore w:w="0" w:type="auto"/>
          <w:tblCellSpacing w:w="0" w:type="dxa"/>
        </w:trPr>
        <w:tc>
          <w:tcPr>
            <w:tcW w:w="0" w:type="auto"/>
            <w:noWrap w:val="0"/>
            <w:vAlign w:val="center"/>
          </w:tcPr>
          <w:p w14:paraId="2E2196A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51AA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E236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BB6E0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394D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3C2B7D">
                  <w:r>
                    <w:rPr>
                      <w:rStyle w:val="11"/>
                      <w:rFonts w:hint="eastAsia"/>
                    </w:rPr>
                    <w:t>施用方式</w:t>
                  </w:r>
                </w:p>
              </w:tc>
            </w:tr>
            <w:tr w14:paraId="5C33A5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0127D4">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F28151">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197896">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FE260D">
                  <w:r>
                    <w:rPr>
                      <w:rStyle w:val="11"/>
                      <w:rFonts w:hint="eastAsia"/>
                    </w:rPr>
                    <w:t>喷雾</w:t>
                  </w:r>
                </w:p>
              </w:tc>
            </w:tr>
          </w:tbl>
          <w:p w14:paraId="338B0BAC">
            <w:pPr>
              <w:rPr>
                <w:rFonts w:ascii="Times New Roman" w:hAnsi="Times New Roman" w:cs="Times New Roman"/>
                <w:sz w:val="20"/>
                <w:szCs w:val="20"/>
              </w:rPr>
            </w:pPr>
          </w:p>
        </w:tc>
      </w:tr>
      <w:tr w14:paraId="697A2C8C">
        <w:tblPrEx>
          <w:tblCellMar>
            <w:top w:w="0" w:type="dxa"/>
            <w:left w:w="0" w:type="dxa"/>
            <w:bottom w:w="0" w:type="dxa"/>
            <w:right w:w="0" w:type="dxa"/>
          </w:tblCellMar>
        </w:tblPrEx>
        <w:trPr>
          <w:wBefore w:w="0" w:type="auto"/>
          <w:tblCellSpacing w:w="0" w:type="dxa"/>
        </w:trPr>
        <w:tc>
          <w:tcPr>
            <w:tcW w:w="0" w:type="auto"/>
            <w:noWrap w:val="0"/>
            <w:vAlign w:val="center"/>
          </w:tcPr>
          <w:p w14:paraId="3C0D4486">
            <w:r>
              <w:rPr>
                <w:rStyle w:val="10"/>
                <w:rFonts w:hint="eastAsia"/>
              </w:rPr>
              <w:t>使用技术要求:</w:t>
            </w:r>
            <w:r>
              <w:rPr>
                <w:rFonts w:hint="eastAsia"/>
              </w:rPr>
              <w:br w:type="textWrapping"/>
            </w:r>
            <w:r>
              <w:rPr>
                <w:rStyle w:val="11"/>
                <w:rFonts w:hint="eastAsia"/>
              </w:rPr>
              <w:t>1.柑橘溃疡病发病前或发病初期，施药2次，施药间隔期为7-15天。2.大风天或预计1小时内降雨，请勿施药。3.在柑橘树上每季作物最多使用2次，安全间隔期为21天。</w:t>
            </w:r>
          </w:p>
        </w:tc>
      </w:tr>
      <w:tr w14:paraId="6DB75099">
        <w:tblPrEx>
          <w:tblCellMar>
            <w:top w:w="0" w:type="dxa"/>
            <w:left w:w="0" w:type="dxa"/>
            <w:bottom w:w="0" w:type="dxa"/>
            <w:right w:w="0" w:type="dxa"/>
          </w:tblCellMar>
        </w:tblPrEx>
        <w:trPr>
          <w:wBefore w:w="0" w:type="auto"/>
          <w:tblCellSpacing w:w="0" w:type="dxa"/>
        </w:trPr>
        <w:tc>
          <w:tcPr>
            <w:tcW w:w="0" w:type="auto"/>
            <w:noWrap w:val="0"/>
            <w:vAlign w:val="center"/>
          </w:tcPr>
          <w:p w14:paraId="1A98EBA3">
            <w:r>
              <w:rPr>
                <w:rStyle w:val="10"/>
                <w:rFonts w:hint="eastAsia"/>
              </w:rPr>
              <w:t>产品性能:</w:t>
            </w:r>
            <w:r>
              <w:rPr>
                <w:rFonts w:hint="eastAsia"/>
              </w:rPr>
              <w:br w:type="textWrapping"/>
            </w:r>
            <w:r>
              <w:rPr>
                <w:rStyle w:val="11"/>
                <w:rFonts w:hint="eastAsia"/>
              </w:rPr>
              <w:t>本品是春雷霉素与喹啉铜的混配制剂。春雷霉素是农用抗菌素，具有较强的内吸性，该药主要干扰氨基酸的代谢酯酶系统，从而影响蛋白质的合成，抑制菌丝伸长和造成细胞颗粒化，但对孢子萌发无影响。喹啉铜是一种有机铜螯合物，对真菌、细菌性等病害具有良好预防和治疗作用。在作物表面形成一层严密的保护膜，抑制病菌萌发和侵入，从而达到防病治病的目的。本品对柑橘树溃疡病具有较好的防治效果。</w:t>
            </w:r>
          </w:p>
        </w:tc>
      </w:tr>
      <w:tr w14:paraId="56D26DCB">
        <w:tblPrEx>
          <w:tblCellMar>
            <w:top w:w="0" w:type="dxa"/>
            <w:left w:w="0" w:type="dxa"/>
            <w:bottom w:w="0" w:type="dxa"/>
            <w:right w:w="0" w:type="dxa"/>
          </w:tblCellMar>
        </w:tblPrEx>
        <w:trPr>
          <w:wBefore w:w="0" w:type="auto"/>
          <w:tblCellSpacing w:w="0" w:type="dxa"/>
        </w:trPr>
        <w:tc>
          <w:tcPr>
            <w:tcW w:w="0" w:type="auto"/>
            <w:noWrap w:val="0"/>
            <w:vAlign w:val="center"/>
          </w:tcPr>
          <w:p w14:paraId="4209DCB0">
            <w:r>
              <w:rPr>
                <w:rStyle w:val="10"/>
                <w:rFonts w:hint="eastAsia"/>
              </w:rPr>
              <w:t>注意事项：</w:t>
            </w:r>
            <w:r>
              <w:rPr>
                <w:rFonts w:hint="eastAsia"/>
              </w:rPr>
              <w:br w:type="textWrapping"/>
            </w:r>
            <w:r>
              <w:rPr>
                <w:rStyle w:val="11"/>
                <w:rFonts w:hint="eastAsia"/>
              </w:rPr>
              <w:t>1.严格按照规定用药量和方法使用。2.建议与其他作用机制不同的杀菌剂轮换使用，以延缓抗性产生。3.施药时应密切关注对周围蜂群的影响，（周围）开花植物花期禁用；鸟类保护区禁用；施用时若周围有桑园，最外围桑树设置为隔离带，不能用于饲养家蚕；赤眼蜂及瓢虫等天敌放飞区域禁用。水产养殖区、河塘等水体附近禁用，禁止在河塘等水域清洗施药器具。应避免药液流入河塘等水体中，清洗施药器械时切忌污染水源。4.使用过的施药器械，应清洗干净方可用于其它的农药。5. 使用时穿戴长衣、长裤、帽子、口罩、手套等防护措施；施药中禁止饮食、吸烟、饮水等；施药后应用肥皂和清水彻底清洗暴露在外的皮肤。6.用药后包装物及用过的容器应妥善处理，不可做他用，也不可随意丢弃。7.孕妇、哺乳期的妇女禁止接触本产品。</w:t>
            </w:r>
          </w:p>
        </w:tc>
      </w:tr>
      <w:tr w14:paraId="15F8F4FB">
        <w:tblPrEx>
          <w:tblCellMar>
            <w:top w:w="0" w:type="dxa"/>
            <w:left w:w="0" w:type="dxa"/>
            <w:bottom w:w="0" w:type="dxa"/>
            <w:right w:w="0" w:type="dxa"/>
          </w:tblCellMar>
        </w:tblPrEx>
        <w:trPr>
          <w:wBefore w:w="0" w:type="auto"/>
          <w:tblCellSpacing w:w="0" w:type="dxa"/>
        </w:trPr>
        <w:tc>
          <w:tcPr>
            <w:tcW w:w="0" w:type="auto"/>
            <w:noWrap w:val="0"/>
            <w:vAlign w:val="center"/>
          </w:tcPr>
          <w:p w14:paraId="4E54E12B">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0DEC63FC">
        <w:tblPrEx>
          <w:tblCellMar>
            <w:top w:w="0" w:type="dxa"/>
            <w:left w:w="0" w:type="dxa"/>
            <w:bottom w:w="0" w:type="dxa"/>
            <w:right w:w="0" w:type="dxa"/>
          </w:tblCellMar>
        </w:tblPrEx>
        <w:trPr>
          <w:wBefore w:w="0" w:type="auto"/>
          <w:tblCellSpacing w:w="0" w:type="dxa"/>
        </w:trPr>
        <w:tc>
          <w:tcPr>
            <w:tcW w:w="0" w:type="auto"/>
            <w:noWrap w:val="0"/>
            <w:vAlign w:val="center"/>
          </w:tcPr>
          <w:p w14:paraId="06E9FE7C">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本品应储存在干燥、阴凉、通风、防雨处，远离火源或热源。置于儿童、无关人员接触不到的地方，并加锁。不能与食品、饮料、粮食、饲料等同贮同运。在装卸、运输时应轻拿轻放。</w:t>
            </w:r>
          </w:p>
        </w:tc>
      </w:tr>
      <w:tr w14:paraId="37ECFB97">
        <w:tblPrEx>
          <w:tblCellMar>
            <w:top w:w="0" w:type="dxa"/>
            <w:left w:w="0" w:type="dxa"/>
            <w:bottom w:w="0" w:type="dxa"/>
            <w:right w:w="0" w:type="dxa"/>
          </w:tblCellMar>
        </w:tblPrEx>
        <w:trPr>
          <w:wBefore w:w="0" w:type="auto"/>
          <w:tblCellSpacing w:w="0" w:type="dxa"/>
        </w:trPr>
        <w:tc>
          <w:tcPr>
            <w:tcW w:w="0" w:type="auto"/>
            <w:noWrap w:val="0"/>
            <w:vAlign w:val="center"/>
          </w:tcPr>
          <w:p w14:paraId="1FBFBA8A">
            <w:r>
              <w:rPr>
                <w:rStyle w:val="10"/>
                <w:rFonts w:hint="eastAsia"/>
              </w:rPr>
              <w:t>质量保证期：</w:t>
            </w:r>
            <w:r>
              <w:rPr>
                <w:rStyle w:val="11"/>
                <w:rFonts w:hint="eastAsia"/>
              </w:rPr>
              <w:t>2年</w:t>
            </w:r>
          </w:p>
        </w:tc>
      </w:tr>
      <w:tr w14:paraId="32D7EC55">
        <w:tblPrEx>
          <w:tblCellMar>
            <w:top w:w="0" w:type="dxa"/>
            <w:left w:w="0" w:type="dxa"/>
            <w:bottom w:w="0" w:type="dxa"/>
            <w:right w:w="0" w:type="dxa"/>
          </w:tblCellMar>
        </w:tblPrEx>
        <w:trPr>
          <w:wBefore w:w="0" w:type="auto"/>
          <w:tblCellSpacing w:w="0" w:type="dxa"/>
        </w:trPr>
        <w:tc>
          <w:tcPr>
            <w:tcW w:w="0" w:type="auto"/>
            <w:noWrap w:val="0"/>
            <w:vAlign w:val="center"/>
          </w:tcPr>
          <w:p w14:paraId="0AAA4EFB">
            <w:r>
              <w:rPr>
                <w:rStyle w:val="10"/>
                <w:rFonts w:hint="eastAsia"/>
              </w:rPr>
              <w:t>备注：</w:t>
            </w:r>
            <w:r>
              <w:rPr>
                <w:rFonts w:hint="eastAsia"/>
              </w:rPr>
              <w:br w:type="textWrapping"/>
            </w:r>
            <w:r>
              <w:rPr>
                <w:rStyle w:val="11"/>
                <w:rFonts w:hint="eastAsia"/>
              </w:rPr>
              <w:t>春雷霉素盐酸盐3.3%。</w:t>
            </w:r>
          </w:p>
        </w:tc>
      </w:tr>
    </w:tbl>
    <w:p w14:paraId="6A22042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FA6550">
        <w:tblPrEx>
          <w:tblCellMar>
            <w:top w:w="0" w:type="dxa"/>
            <w:left w:w="0" w:type="dxa"/>
            <w:bottom w:w="0" w:type="dxa"/>
            <w:right w:w="0" w:type="dxa"/>
          </w:tblCellMar>
        </w:tblPrEx>
        <w:trPr>
          <w:wBefore w:w="0" w:type="auto"/>
          <w:tblCellSpacing w:w="0" w:type="dxa"/>
        </w:trPr>
        <w:tc>
          <w:tcPr>
            <w:tcW w:w="0" w:type="auto"/>
            <w:noWrap w:val="0"/>
            <w:vAlign w:val="center"/>
          </w:tcPr>
          <w:p w14:paraId="369D0C74">
            <w:r>
              <w:rPr>
                <w:rStyle w:val="10"/>
                <w:rFonts w:hint="eastAsia"/>
              </w:rPr>
              <w:t>登记证号：</w:t>
            </w:r>
            <w:r>
              <w:rPr>
                <w:rFonts w:hint="eastAsia"/>
              </w:rPr>
              <w:t>WP20210368</w:t>
            </w:r>
          </w:p>
        </w:tc>
      </w:tr>
      <w:tr w14:paraId="1EB4D877">
        <w:tblPrEx>
          <w:tblCellMar>
            <w:top w:w="0" w:type="dxa"/>
            <w:left w:w="0" w:type="dxa"/>
            <w:bottom w:w="0" w:type="dxa"/>
            <w:right w:w="0" w:type="dxa"/>
          </w:tblCellMar>
        </w:tblPrEx>
        <w:trPr>
          <w:wBefore w:w="0" w:type="auto"/>
          <w:tblCellSpacing w:w="0" w:type="dxa"/>
        </w:trPr>
        <w:tc>
          <w:tcPr>
            <w:tcW w:w="0" w:type="auto"/>
            <w:noWrap w:val="0"/>
            <w:vAlign w:val="center"/>
          </w:tcPr>
          <w:p w14:paraId="6CF3F71F">
            <w:r>
              <w:rPr>
                <w:rStyle w:val="10"/>
                <w:rFonts w:hint="eastAsia"/>
              </w:rPr>
              <w:t>登记证持有人：</w:t>
            </w:r>
            <w:r>
              <w:rPr>
                <w:rFonts w:hint="eastAsia"/>
              </w:rPr>
              <w:t>河南恒信农化有限公司</w:t>
            </w:r>
          </w:p>
        </w:tc>
      </w:tr>
      <w:tr w14:paraId="53E3BB5F">
        <w:tblPrEx>
          <w:tblCellMar>
            <w:top w:w="0" w:type="dxa"/>
            <w:left w:w="0" w:type="dxa"/>
            <w:bottom w:w="0" w:type="dxa"/>
            <w:right w:w="0" w:type="dxa"/>
          </w:tblCellMar>
        </w:tblPrEx>
        <w:trPr>
          <w:wBefore w:w="0" w:type="auto"/>
          <w:tblCellSpacing w:w="0" w:type="dxa"/>
        </w:trPr>
        <w:tc>
          <w:tcPr>
            <w:tcW w:w="0" w:type="auto"/>
            <w:noWrap w:val="0"/>
            <w:vAlign w:val="center"/>
          </w:tcPr>
          <w:p w14:paraId="5687F0AB">
            <w:r>
              <w:rPr>
                <w:rStyle w:val="10"/>
                <w:rFonts w:hint="eastAsia"/>
              </w:rPr>
              <w:t>农药名称：</w:t>
            </w:r>
            <w:r>
              <w:rPr>
                <w:rFonts w:hint="eastAsia"/>
              </w:rPr>
              <w:t>电热蚊香液</w:t>
            </w:r>
          </w:p>
        </w:tc>
      </w:tr>
      <w:tr w14:paraId="5322A3BF">
        <w:tblPrEx>
          <w:tblCellMar>
            <w:top w:w="0" w:type="dxa"/>
            <w:left w:w="0" w:type="dxa"/>
            <w:bottom w:w="0" w:type="dxa"/>
            <w:right w:w="0" w:type="dxa"/>
          </w:tblCellMar>
        </w:tblPrEx>
        <w:trPr>
          <w:wBefore w:w="0" w:type="auto"/>
          <w:tblCellSpacing w:w="0" w:type="dxa"/>
        </w:trPr>
        <w:tc>
          <w:tcPr>
            <w:tcW w:w="0" w:type="auto"/>
            <w:noWrap w:val="0"/>
            <w:vAlign w:val="center"/>
          </w:tcPr>
          <w:p w14:paraId="6F3D05A6">
            <w:r>
              <w:rPr>
                <w:rStyle w:val="10"/>
                <w:rFonts w:hint="eastAsia"/>
              </w:rPr>
              <w:t>剂型：</w:t>
            </w:r>
            <w:r>
              <w:rPr>
                <w:rFonts w:hint="eastAsia"/>
              </w:rPr>
              <w:t>电热香蚊液</w:t>
            </w:r>
          </w:p>
        </w:tc>
      </w:tr>
      <w:tr w14:paraId="586FD143">
        <w:tblPrEx>
          <w:tblCellMar>
            <w:top w:w="0" w:type="dxa"/>
            <w:left w:w="0" w:type="dxa"/>
            <w:bottom w:w="0" w:type="dxa"/>
            <w:right w:w="0" w:type="dxa"/>
          </w:tblCellMar>
        </w:tblPrEx>
        <w:trPr>
          <w:wBefore w:w="0" w:type="auto"/>
          <w:tblCellSpacing w:w="0" w:type="dxa"/>
        </w:trPr>
        <w:tc>
          <w:tcPr>
            <w:tcW w:w="0" w:type="auto"/>
            <w:noWrap w:val="0"/>
            <w:vAlign w:val="center"/>
          </w:tcPr>
          <w:p w14:paraId="1CFAB085">
            <w:r>
              <w:rPr>
                <w:rStyle w:val="10"/>
                <w:rFonts w:hint="eastAsia"/>
              </w:rPr>
              <w:t>毒性及其标识：</w:t>
            </w:r>
            <w:r>
              <w:rPr>
                <w:rFonts w:hint="eastAsia"/>
              </w:rPr>
              <w:t xml:space="preserve"> 微毒 </w:t>
            </w:r>
          </w:p>
        </w:tc>
      </w:tr>
      <w:tr w14:paraId="7B8F3228">
        <w:tblPrEx>
          <w:tblCellMar>
            <w:top w:w="0" w:type="dxa"/>
            <w:left w:w="0" w:type="dxa"/>
            <w:bottom w:w="0" w:type="dxa"/>
            <w:right w:w="0" w:type="dxa"/>
          </w:tblCellMar>
        </w:tblPrEx>
        <w:trPr>
          <w:wBefore w:w="0" w:type="auto"/>
          <w:tblCellSpacing w:w="0" w:type="dxa"/>
        </w:trPr>
        <w:tc>
          <w:tcPr>
            <w:tcW w:w="0" w:type="auto"/>
            <w:noWrap w:val="0"/>
            <w:vAlign w:val="center"/>
          </w:tcPr>
          <w:p w14:paraId="625F6AF3">
            <w:r>
              <w:rPr>
                <w:rStyle w:val="10"/>
                <w:rFonts w:hint="eastAsia"/>
              </w:rPr>
              <w:t>总有效成分含量：</w:t>
            </w:r>
            <w:r>
              <w:rPr>
                <w:rFonts w:hint="eastAsia"/>
              </w:rPr>
              <w:t>0.6%</w:t>
            </w:r>
          </w:p>
        </w:tc>
      </w:tr>
      <w:tr w14:paraId="2D35461E">
        <w:tblPrEx>
          <w:tblCellMar>
            <w:top w:w="0" w:type="dxa"/>
            <w:left w:w="0" w:type="dxa"/>
            <w:bottom w:w="0" w:type="dxa"/>
            <w:right w:w="0" w:type="dxa"/>
          </w:tblCellMar>
        </w:tblPrEx>
        <w:trPr>
          <w:wBefore w:w="0" w:type="auto"/>
          <w:tblCellSpacing w:w="0" w:type="dxa"/>
        </w:trPr>
        <w:tc>
          <w:tcPr>
            <w:tcW w:w="0" w:type="auto"/>
            <w:noWrap w:val="0"/>
            <w:vAlign w:val="center"/>
          </w:tcPr>
          <w:p w14:paraId="41FBDE9B">
            <w:r>
              <w:rPr>
                <w:rFonts w:hint="eastAsia"/>
              </w:rPr>
              <w:t xml:space="preserve">有效成分及其含量： </w:t>
            </w:r>
          </w:p>
          <w:p w14:paraId="70A875CE">
            <w:r>
              <w:rPr>
                <w:rFonts w:hint="eastAsia"/>
              </w:rPr>
              <w:t xml:space="preserve">    氯氟醚菊酯0.6%    </w:t>
            </w:r>
          </w:p>
        </w:tc>
      </w:tr>
      <w:tr w14:paraId="087F8243">
        <w:tblPrEx>
          <w:tblCellMar>
            <w:top w:w="0" w:type="dxa"/>
            <w:left w:w="0" w:type="dxa"/>
            <w:bottom w:w="0" w:type="dxa"/>
            <w:right w:w="0" w:type="dxa"/>
          </w:tblCellMar>
        </w:tblPrEx>
        <w:trPr>
          <w:wBefore w:w="0" w:type="auto"/>
          <w:tblCellSpacing w:w="0" w:type="dxa"/>
        </w:trPr>
        <w:tc>
          <w:tcPr>
            <w:tcW w:w="0" w:type="auto"/>
            <w:noWrap w:val="0"/>
            <w:vAlign w:val="center"/>
          </w:tcPr>
          <w:p w14:paraId="4D9635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608C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041E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D287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B0C9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0A7CB7">
                  <w:r>
                    <w:rPr>
                      <w:rStyle w:val="11"/>
                      <w:rFonts w:hint="eastAsia"/>
                    </w:rPr>
                    <w:t>施用方式</w:t>
                  </w:r>
                </w:p>
              </w:tc>
            </w:tr>
            <w:tr w14:paraId="198746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8F540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36DA02">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360B4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55B1ED">
                  <w:r>
                    <w:rPr>
                      <w:rStyle w:val="11"/>
                      <w:rFonts w:hint="eastAsia"/>
                    </w:rPr>
                    <w:t>电热加温</w:t>
                  </w:r>
                </w:p>
              </w:tc>
            </w:tr>
          </w:tbl>
          <w:p w14:paraId="61A9FB35">
            <w:pPr>
              <w:rPr>
                <w:rFonts w:ascii="Times New Roman" w:hAnsi="Times New Roman" w:cs="Times New Roman"/>
                <w:sz w:val="20"/>
                <w:szCs w:val="20"/>
              </w:rPr>
            </w:pPr>
          </w:p>
        </w:tc>
      </w:tr>
      <w:tr w14:paraId="68E8FAFC">
        <w:tblPrEx>
          <w:tblCellMar>
            <w:top w:w="0" w:type="dxa"/>
            <w:left w:w="0" w:type="dxa"/>
            <w:bottom w:w="0" w:type="dxa"/>
            <w:right w:w="0" w:type="dxa"/>
          </w:tblCellMar>
        </w:tblPrEx>
        <w:trPr>
          <w:wBefore w:w="0" w:type="auto"/>
          <w:tblCellSpacing w:w="0" w:type="dxa"/>
        </w:trPr>
        <w:tc>
          <w:tcPr>
            <w:tcW w:w="0" w:type="auto"/>
            <w:noWrap w:val="0"/>
            <w:vAlign w:val="center"/>
          </w:tcPr>
          <w:p w14:paraId="23DAE56F">
            <w:r>
              <w:rPr>
                <w:rStyle w:val="10"/>
                <w:rFonts w:hint="eastAsia"/>
              </w:rPr>
              <w:t>使用技术要求:</w:t>
            </w:r>
            <w:r>
              <w:rPr>
                <w:rFonts w:hint="eastAsia"/>
              </w:rPr>
              <w:br w:type="textWrapping"/>
            </w:r>
            <w:r>
              <w:rPr>
                <w:rStyle w:val="11"/>
                <w:rFonts w:hint="eastAsia"/>
              </w:rPr>
              <w:t>使用时拧开瓶盖，将液体瓶瓶口竖直向上旋入加热器中，按下开关，红灯亮时表示开始工作。当药液用完，请将加热器拔离插座，然后更换液瓶。使用时勿侧放或倒放蚊香液。</w:t>
            </w:r>
          </w:p>
        </w:tc>
      </w:tr>
      <w:tr w14:paraId="60D75475">
        <w:tblPrEx>
          <w:tblCellMar>
            <w:top w:w="0" w:type="dxa"/>
            <w:left w:w="0" w:type="dxa"/>
            <w:bottom w:w="0" w:type="dxa"/>
            <w:right w:w="0" w:type="dxa"/>
          </w:tblCellMar>
        </w:tblPrEx>
        <w:trPr>
          <w:wBefore w:w="0" w:type="auto"/>
          <w:tblCellSpacing w:w="0" w:type="dxa"/>
        </w:trPr>
        <w:tc>
          <w:tcPr>
            <w:tcW w:w="0" w:type="auto"/>
            <w:noWrap w:val="0"/>
            <w:vAlign w:val="center"/>
          </w:tcPr>
          <w:p w14:paraId="33CFD721">
            <w:r>
              <w:rPr>
                <w:rStyle w:val="10"/>
                <w:rFonts w:hint="eastAsia"/>
              </w:rPr>
              <w:t>产品性能:</w:t>
            </w:r>
            <w:r>
              <w:rPr>
                <w:rFonts w:hint="eastAsia"/>
              </w:rPr>
              <w:br w:type="textWrapping"/>
            </w:r>
            <w:r>
              <w:rPr>
                <w:rStyle w:val="11"/>
                <w:rFonts w:hint="eastAsia"/>
              </w:rPr>
              <w:t>本品以氯氟醚菊酯为有效成分配制而成。能够有效去除蚊，适用于家庭、宾馆等室内场所。</w:t>
            </w:r>
          </w:p>
        </w:tc>
      </w:tr>
      <w:tr w14:paraId="2ED13515">
        <w:tblPrEx>
          <w:tblCellMar>
            <w:top w:w="0" w:type="dxa"/>
            <w:left w:w="0" w:type="dxa"/>
            <w:bottom w:w="0" w:type="dxa"/>
            <w:right w:w="0" w:type="dxa"/>
          </w:tblCellMar>
        </w:tblPrEx>
        <w:trPr>
          <w:wBefore w:w="0" w:type="auto"/>
          <w:tblCellSpacing w:w="0" w:type="dxa"/>
        </w:trPr>
        <w:tc>
          <w:tcPr>
            <w:tcW w:w="0" w:type="auto"/>
            <w:noWrap w:val="0"/>
            <w:vAlign w:val="center"/>
          </w:tcPr>
          <w:p w14:paraId="004F4C6A">
            <w:r>
              <w:rPr>
                <w:rStyle w:val="10"/>
                <w:rFonts w:hint="eastAsia"/>
              </w:rPr>
              <w:t>注意事项：</w:t>
            </w:r>
            <w:r>
              <w:rPr>
                <w:rFonts w:hint="eastAsia"/>
              </w:rPr>
              <w:br w:type="textWrapping"/>
            </w:r>
            <w:r>
              <w:rPr>
                <w:rStyle w:val="11"/>
                <w:rFonts w:hint="eastAsia"/>
              </w:rPr>
              <w:t>1、本品仅限用于室内。2、使用时，请注意通风。3、使用时注意用电及防火安全。4、使用时置于儿童和动物接触不到的地方，以防误食。5、过敏者禁用，使用中有任何不良反应请及时就医。6、本品对鱼、蚕有毒，切勿污染水源，蚕室及其附近禁用。7、用过的容器应妥善处理，不可做它用，不可随意丢弃。8、避免孕妇及哺乳期妇女接触本品。</w:t>
            </w:r>
          </w:p>
        </w:tc>
      </w:tr>
      <w:tr w14:paraId="6C7C25D4">
        <w:tblPrEx>
          <w:tblCellMar>
            <w:top w:w="0" w:type="dxa"/>
            <w:left w:w="0" w:type="dxa"/>
            <w:bottom w:w="0" w:type="dxa"/>
            <w:right w:w="0" w:type="dxa"/>
          </w:tblCellMar>
        </w:tblPrEx>
        <w:trPr>
          <w:wBefore w:w="0" w:type="auto"/>
          <w:tblCellSpacing w:w="0" w:type="dxa"/>
        </w:trPr>
        <w:tc>
          <w:tcPr>
            <w:tcW w:w="0" w:type="auto"/>
            <w:noWrap w:val="0"/>
            <w:vAlign w:val="center"/>
          </w:tcPr>
          <w:p w14:paraId="0DE65AD9">
            <w:r>
              <w:rPr>
                <w:rStyle w:val="10"/>
                <w:rFonts w:hint="eastAsia"/>
              </w:rPr>
              <w:t>中毒急救措施：</w:t>
            </w:r>
            <w:r>
              <w:rPr>
                <w:rFonts w:hint="eastAsia"/>
              </w:rPr>
              <w:br w:type="textWrapping"/>
            </w:r>
            <w:r>
              <w:rPr>
                <w:rStyle w:val="11"/>
                <w:rFonts w:hint="eastAsia"/>
              </w:rPr>
              <w:t>皮肤接触：立即褪去被污染的衣物，用肥皂水与清水冲洗；眼睛溅入：立即翻开眼睑，用流动的清水冲洗；吸入：如有不适，立即移至空气清新的地方，如呼吸困难或持续不适，携此标签送医就诊；误食：不慎误食，马上停止食用，携带标签送医就诊，应对症治疗。</w:t>
            </w:r>
          </w:p>
        </w:tc>
      </w:tr>
      <w:tr w14:paraId="176BB523">
        <w:tblPrEx>
          <w:tblCellMar>
            <w:top w:w="0" w:type="dxa"/>
            <w:left w:w="0" w:type="dxa"/>
            <w:bottom w:w="0" w:type="dxa"/>
            <w:right w:w="0" w:type="dxa"/>
          </w:tblCellMar>
        </w:tblPrEx>
        <w:trPr>
          <w:wBefore w:w="0" w:type="auto"/>
          <w:tblCellSpacing w:w="0" w:type="dxa"/>
        </w:trPr>
        <w:tc>
          <w:tcPr>
            <w:tcW w:w="0" w:type="auto"/>
            <w:noWrap w:val="0"/>
            <w:vAlign w:val="center"/>
          </w:tcPr>
          <w:p w14:paraId="07523C9D">
            <w:r>
              <w:rPr>
                <w:rStyle w:val="10"/>
                <w:rFonts w:hint="eastAsia"/>
              </w:rPr>
              <w:t>储存和运输方法：</w:t>
            </w:r>
            <w:r>
              <w:rPr>
                <w:rFonts w:hint="eastAsia"/>
              </w:rPr>
              <w:br w:type="textWrapping"/>
            </w:r>
            <w:r>
              <w:rPr>
                <w:rStyle w:val="11"/>
                <w:rFonts w:hint="eastAsia"/>
              </w:rPr>
              <w:t>1、本品应贮存在干燥、阴凉、通风、防雨处，远离火源和热源。2、置于儿童接触不到的地方，并加锁。3、不能与食品、饮料、粮食、饲料等混合储存、运输。</w:t>
            </w:r>
          </w:p>
        </w:tc>
      </w:tr>
      <w:tr w14:paraId="41D89F8E">
        <w:tblPrEx>
          <w:tblCellMar>
            <w:top w:w="0" w:type="dxa"/>
            <w:left w:w="0" w:type="dxa"/>
            <w:bottom w:w="0" w:type="dxa"/>
            <w:right w:w="0" w:type="dxa"/>
          </w:tblCellMar>
        </w:tblPrEx>
        <w:trPr>
          <w:wBefore w:w="0" w:type="auto"/>
          <w:tblCellSpacing w:w="0" w:type="dxa"/>
        </w:trPr>
        <w:tc>
          <w:tcPr>
            <w:tcW w:w="0" w:type="auto"/>
            <w:noWrap w:val="0"/>
            <w:vAlign w:val="center"/>
          </w:tcPr>
          <w:p w14:paraId="30F1DEBB">
            <w:r>
              <w:rPr>
                <w:rStyle w:val="10"/>
                <w:rFonts w:hint="eastAsia"/>
              </w:rPr>
              <w:t>质量保证期：</w:t>
            </w:r>
            <w:r>
              <w:rPr>
                <w:rStyle w:val="11"/>
                <w:rFonts w:hint="eastAsia"/>
              </w:rPr>
              <w:t>2年</w:t>
            </w:r>
          </w:p>
        </w:tc>
      </w:tr>
      <w:tr w14:paraId="1CC15A2C">
        <w:tblPrEx>
          <w:tblCellMar>
            <w:top w:w="0" w:type="dxa"/>
            <w:left w:w="0" w:type="dxa"/>
            <w:bottom w:w="0" w:type="dxa"/>
            <w:right w:w="0" w:type="dxa"/>
          </w:tblCellMar>
        </w:tblPrEx>
        <w:trPr>
          <w:wBefore w:w="0" w:type="auto"/>
          <w:tblCellSpacing w:w="0" w:type="dxa"/>
        </w:trPr>
        <w:tc>
          <w:tcPr>
            <w:tcW w:w="0" w:type="auto"/>
            <w:noWrap w:val="0"/>
            <w:vAlign w:val="center"/>
          </w:tcPr>
          <w:p w14:paraId="60A73BC5">
            <w:r>
              <w:rPr>
                <w:rStyle w:val="10"/>
                <w:rFonts w:hint="eastAsia"/>
              </w:rPr>
              <w:t>备注：</w:t>
            </w:r>
          </w:p>
        </w:tc>
      </w:tr>
    </w:tbl>
    <w:p w14:paraId="7BB86B0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DA7584">
        <w:tblPrEx>
          <w:tblCellMar>
            <w:top w:w="0" w:type="dxa"/>
            <w:left w:w="0" w:type="dxa"/>
            <w:bottom w:w="0" w:type="dxa"/>
            <w:right w:w="0" w:type="dxa"/>
          </w:tblCellMar>
        </w:tblPrEx>
        <w:trPr>
          <w:wBefore w:w="0" w:type="auto"/>
          <w:tblCellSpacing w:w="0" w:type="dxa"/>
        </w:trPr>
        <w:tc>
          <w:tcPr>
            <w:tcW w:w="0" w:type="auto"/>
            <w:noWrap w:val="0"/>
            <w:vAlign w:val="center"/>
          </w:tcPr>
          <w:p w14:paraId="7E1AFA58">
            <w:r>
              <w:rPr>
                <w:rStyle w:val="10"/>
                <w:rFonts w:hint="eastAsia"/>
              </w:rPr>
              <w:t>登记证号：</w:t>
            </w:r>
            <w:r>
              <w:rPr>
                <w:rFonts w:hint="eastAsia"/>
              </w:rPr>
              <w:t>PD20212542</w:t>
            </w:r>
          </w:p>
        </w:tc>
      </w:tr>
      <w:tr w14:paraId="28565307">
        <w:tblPrEx>
          <w:tblCellMar>
            <w:top w:w="0" w:type="dxa"/>
            <w:left w:w="0" w:type="dxa"/>
            <w:bottom w:w="0" w:type="dxa"/>
            <w:right w:w="0" w:type="dxa"/>
          </w:tblCellMar>
        </w:tblPrEx>
        <w:trPr>
          <w:wBefore w:w="0" w:type="auto"/>
          <w:tblCellSpacing w:w="0" w:type="dxa"/>
        </w:trPr>
        <w:tc>
          <w:tcPr>
            <w:tcW w:w="0" w:type="auto"/>
            <w:noWrap w:val="0"/>
            <w:vAlign w:val="center"/>
          </w:tcPr>
          <w:p w14:paraId="16397CC7">
            <w:r>
              <w:rPr>
                <w:rStyle w:val="10"/>
                <w:rFonts w:hint="eastAsia"/>
              </w:rPr>
              <w:t>登记证持有人：</w:t>
            </w:r>
            <w:r>
              <w:rPr>
                <w:rFonts w:hint="eastAsia"/>
              </w:rPr>
              <w:t>山东省梁山川田化学有限公司</w:t>
            </w:r>
          </w:p>
        </w:tc>
      </w:tr>
      <w:tr w14:paraId="4DC9DD2D">
        <w:tblPrEx>
          <w:tblCellMar>
            <w:top w:w="0" w:type="dxa"/>
            <w:left w:w="0" w:type="dxa"/>
            <w:bottom w:w="0" w:type="dxa"/>
            <w:right w:w="0" w:type="dxa"/>
          </w:tblCellMar>
        </w:tblPrEx>
        <w:trPr>
          <w:wBefore w:w="0" w:type="auto"/>
          <w:tblCellSpacing w:w="0" w:type="dxa"/>
        </w:trPr>
        <w:tc>
          <w:tcPr>
            <w:tcW w:w="0" w:type="auto"/>
            <w:noWrap w:val="0"/>
            <w:vAlign w:val="center"/>
          </w:tcPr>
          <w:p w14:paraId="5B7D8847">
            <w:r>
              <w:rPr>
                <w:rStyle w:val="10"/>
                <w:rFonts w:hint="eastAsia"/>
              </w:rPr>
              <w:t>农药名称：</w:t>
            </w:r>
            <w:r>
              <w:rPr>
                <w:rFonts w:hint="eastAsia"/>
              </w:rPr>
              <w:t>草甘膦</w:t>
            </w:r>
          </w:p>
        </w:tc>
      </w:tr>
      <w:tr w14:paraId="5429254E">
        <w:tblPrEx>
          <w:tblCellMar>
            <w:top w:w="0" w:type="dxa"/>
            <w:left w:w="0" w:type="dxa"/>
            <w:bottom w:w="0" w:type="dxa"/>
            <w:right w:w="0" w:type="dxa"/>
          </w:tblCellMar>
        </w:tblPrEx>
        <w:trPr>
          <w:wBefore w:w="0" w:type="auto"/>
          <w:tblCellSpacing w:w="0" w:type="dxa"/>
        </w:trPr>
        <w:tc>
          <w:tcPr>
            <w:tcW w:w="0" w:type="auto"/>
            <w:noWrap w:val="0"/>
            <w:vAlign w:val="center"/>
          </w:tcPr>
          <w:p w14:paraId="186DA3BC">
            <w:r>
              <w:rPr>
                <w:rStyle w:val="10"/>
                <w:rFonts w:hint="eastAsia"/>
              </w:rPr>
              <w:t>剂型：</w:t>
            </w:r>
            <w:r>
              <w:rPr>
                <w:rFonts w:hint="eastAsia"/>
              </w:rPr>
              <w:t>可溶液剂</w:t>
            </w:r>
          </w:p>
        </w:tc>
      </w:tr>
      <w:tr w14:paraId="2DA7F19F">
        <w:tblPrEx>
          <w:tblCellMar>
            <w:top w:w="0" w:type="dxa"/>
            <w:left w:w="0" w:type="dxa"/>
            <w:bottom w:w="0" w:type="dxa"/>
            <w:right w:w="0" w:type="dxa"/>
          </w:tblCellMar>
        </w:tblPrEx>
        <w:trPr>
          <w:wBefore w:w="0" w:type="auto"/>
          <w:tblCellSpacing w:w="0" w:type="dxa"/>
        </w:trPr>
        <w:tc>
          <w:tcPr>
            <w:tcW w:w="0" w:type="auto"/>
            <w:noWrap w:val="0"/>
            <w:vAlign w:val="center"/>
          </w:tcPr>
          <w:p w14:paraId="28B3E402">
            <w:r>
              <w:rPr>
                <w:rStyle w:val="10"/>
                <w:rFonts w:hint="eastAsia"/>
              </w:rPr>
              <w:t>毒性及其标识：</w:t>
            </w:r>
            <w:r>
              <w:rPr>
                <w:rFonts w:hint="eastAsia"/>
              </w:rPr>
              <w:t xml:space="preserve"> </w:t>
            </w:r>
            <w:r>
              <w:rPr>
                <w:lang/>
              </w:rPr>
              <w:drawing>
                <wp:inline distT="0" distB="0" distL="114300" distR="114300">
                  <wp:extent cx="476250" cy="323850"/>
                  <wp:effectExtent l="0" t="0" r="0" b="0"/>
                  <wp:docPr id="103" name="图片 1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EF7B5EF">
        <w:tblPrEx>
          <w:tblCellMar>
            <w:top w:w="0" w:type="dxa"/>
            <w:left w:w="0" w:type="dxa"/>
            <w:bottom w:w="0" w:type="dxa"/>
            <w:right w:w="0" w:type="dxa"/>
          </w:tblCellMar>
        </w:tblPrEx>
        <w:trPr>
          <w:wBefore w:w="0" w:type="auto"/>
          <w:tblCellSpacing w:w="0" w:type="dxa"/>
        </w:trPr>
        <w:tc>
          <w:tcPr>
            <w:tcW w:w="0" w:type="auto"/>
            <w:noWrap w:val="0"/>
            <w:vAlign w:val="center"/>
          </w:tcPr>
          <w:p w14:paraId="35D10640">
            <w:r>
              <w:rPr>
                <w:rStyle w:val="10"/>
                <w:rFonts w:hint="eastAsia"/>
              </w:rPr>
              <w:t>总有效成分含量：</w:t>
            </w:r>
            <w:r>
              <w:rPr>
                <w:rFonts w:hint="eastAsia"/>
              </w:rPr>
              <w:t>35%</w:t>
            </w:r>
          </w:p>
        </w:tc>
      </w:tr>
      <w:tr w14:paraId="4D4CE158">
        <w:tblPrEx>
          <w:tblCellMar>
            <w:top w:w="0" w:type="dxa"/>
            <w:left w:w="0" w:type="dxa"/>
            <w:bottom w:w="0" w:type="dxa"/>
            <w:right w:w="0" w:type="dxa"/>
          </w:tblCellMar>
        </w:tblPrEx>
        <w:trPr>
          <w:wBefore w:w="0" w:type="auto"/>
          <w:tblCellSpacing w:w="0" w:type="dxa"/>
        </w:trPr>
        <w:tc>
          <w:tcPr>
            <w:tcW w:w="0" w:type="auto"/>
            <w:noWrap w:val="0"/>
            <w:vAlign w:val="center"/>
          </w:tcPr>
          <w:p w14:paraId="18511827">
            <w:r>
              <w:rPr>
                <w:rFonts w:hint="eastAsia"/>
              </w:rPr>
              <w:t xml:space="preserve">有效成分及其含量： </w:t>
            </w:r>
          </w:p>
          <w:p w14:paraId="2460C041">
            <w:r>
              <w:rPr>
                <w:rFonts w:hint="eastAsia"/>
              </w:rPr>
              <w:t xml:space="preserve">    草甘膦35%    </w:t>
            </w:r>
          </w:p>
        </w:tc>
      </w:tr>
      <w:tr w14:paraId="2B48B857">
        <w:tblPrEx>
          <w:tblCellMar>
            <w:top w:w="0" w:type="dxa"/>
            <w:left w:w="0" w:type="dxa"/>
            <w:bottom w:w="0" w:type="dxa"/>
            <w:right w:w="0" w:type="dxa"/>
          </w:tblCellMar>
        </w:tblPrEx>
        <w:trPr>
          <w:wBefore w:w="0" w:type="auto"/>
          <w:tblCellSpacing w:w="0" w:type="dxa"/>
        </w:trPr>
        <w:tc>
          <w:tcPr>
            <w:tcW w:w="0" w:type="auto"/>
            <w:noWrap w:val="0"/>
            <w:vAlign w:val="center"/>
          </w:tcPr>
          <w:p w14:paraId="0C20035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3DFE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3D7CB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7930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0260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840F06">
                  <w:r>
                    <w:rPr>
                      <w:rStyle w:val="11"/>
                      <w:rFonts w:hint="eastAsia"/>
                    </w:rPr>
                    <w:t>施用方式</w:t>
                  </w:r>
                </w:p>
              </w:tc>
            </w:tr>
            <w:tr w14:paraId="12D44B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10520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2FF46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923246">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942C2A">
                  <w:r>
                    <w:rPr>
                      <w:rStyle w:val="11"/>
                      <w:rFonts w:hint="eastAsia"/>
                    </w:rPr>
                    <w:t>茎叶喷雾</w:t>
                  </w:r>
                </w:p>
              </w:tc>
            </w:tr>
          </w:tbl>
          <w:p w14:paraId="58092D54">
            <w:pPr>
              <w:rPr>
                <w:rFonts w:ascii="Times New Roman" w:hAnsi="Times New Roman" w:cs="Times New Roman"/>
                <w:sz w:val="20"/>
                <w:szCs w:val="20"/>
              </w:rPr>
            </w:pPr>
          </w:p>
        </w:tc>
      </w:tr>
      <w:tr w14:paraId="435D9FDD">
        <w:tblPrEx>
          <w:tblCellMar>
            <w:top w:w="0" w:type="dxa"/>
            <w:left w:w="0" w:type="dxa"/>
            <w:bottom w:w="0" w:type="dxa"/>
            <w:right w:w="0" w:type="dxa"/>
          </w:tblCellMar>
        </w:tblPrEx>
        <w:trPr>
          <w:wBefore w:w="0" w:type="auto"/>
          <w:tblCellSpacing w:w="0" w:type="dxa"/>
        </w:trPr>
        <w:tc>
          <w:tcPr>
            <w:tcW w:w="0" w:type="auto"/>
            <w:noWrap w:val="0"/>
            <w:vAlign w:val="center"/>
          </w:tcPr>
          <w:p w14:paraId="0EC27753">
            <w:r>
              <w:rPr>
                <w:rStyle w:val="10"/>
                <w:rFonts w:hint="eastAsia"/>
              </w:rPr>
              <w:t>使用技术要求:</w:t>
            </w:r>
            <w:r>
              <w:rPr>
                <w:rFonts w:hint="eastAsia"/>
              </w:rPr>
              <w:br w:type="textWrapping"/>
            </w:r>
            <w:r>
              <w:rPr>
                <w:rStyle w:val="11"/>
                <w:rFonts w:hint="eastAsia"/>
              </w:rPr>
              <w:t>1.本品于杂草生长旺盛期茎叶喷雾施药。 2.施药时应避免药液漂移到临近敏感作物上，以防产生药害。 3. 大风天或预计1小时内降雨，请勿施药。 4.禁止在田间道路、田埂、果树行间、休耕地、林场地等农林区域使用。</w:t>
            </w:r>
            <w:r>
              <w:rPr>
                <w:rStyle w:val="11"/>
                <w:rFonts w:hint="eastAsia"/>
              </w:rPr>
              <w:t> </w:t>
            </w:r>
          </w:p>
        </w:tc>
      </w:tr>
      <w:tr w14:paraId="79145CE2">
        <w:tblPrEx>
          <w:tblCellMar>
            <w:top w:w="0" w:type="dxa"/>
            <w:left w:w="0" w:type="dxa"/>
            <w:bottom w:w="0" w:type="dxa"/>
            <w:right w:w="0" w:type="dxa"/>
          </w:tblCellMar>
        </w:tblPrEx>
        <w:trPr>
          <w:wBefore w:w="0" w:type="auto"/>
          <w:tblCellSpacing w:w="0" w:type="dxa"/>
        </w:trPr>
        <w:tc>
          <w:tcPr>
            <w:tcW w:w="0" w:type="auto"/>
            <w:noWrap w:val="0"/>
            <w:vAlign w:val="center"/>
          </w:tcPr>
          <w:p w14:paraId="7ACBE658">
            <w:r>
              <w:rPr>
                <w:rStyle w:val="10"/>
                <w:rFonts w:hint="eastAsia"/>
              </w:rPr>
              <w:t>产品性能:</w:t>
            </w:r>
            <w:r>
              <w:rPr>
                <w:rFonts w:hint="eastAsia"/>
              </w:rPr>
              <w:br w:type="textWrapping"/>
            </w:r>
            <w:r>
              <w:rPr>
                <w:rStyle w:val="11"/>
                <w:rFonts w:hint="eastAsia"/>
              </w:rPr>
              <w:t>本品系内吸传导型广谱灭生性除草剂。其作用原理主要通过抑制植物体内烯醇丙酮基莽草素磷酸合成酶，从而抑制莽草素向苯丙氨酸、酪氨酸及色氨酸的转化，使蛋白质的合成受到干扰导致植物死亡。有效成分不仅能通过叶传导到地下部分，而且在同一植株的不同分蘗间也能进行传导，对多年生深根杂草的地下组织破坏力较强。</w:t>
            </w:r>
          </w:p>
        </w:tc>
      </w:tr>
      <w:tr w14:paraId="7714B6FB">
        <w:tblPrEx>
          <w:tblCellMar>
            <w:top w:w="0" w:type="dxa"/>
            <w:left w:w="0" w:type="dxa"/>
            <w:bottom w:w="0" w:type="dxa"/>
            <w:right w:w="0" w:type="dxa"/>
          </w:tblCellMar>
        </w:tblPrEx>
        <w:trPr>
          <w:wBefore w:w="0" w:type="auto"/>
          <w:tblCellSpacing w:w="0" w:type="dxa"/>
        </w:trPr>
        <w:tc>
          <w:tcPr>
            <w:tcW w:w="0" w:type="auto"/>
            <w:noWrap w:val="0"/>
            <w:vAlign w:val="center"/>
          </w:tcPr>
          <w:p w14:paraId="02CAB6E3">
            <w:r>
              <w:rPr>
                <w:rStyle w:val="10"/>
                <w:rFonts w:hint="eastAsia"/>
              </w:rPr>
              <w:t>注意事项：</w:t>
            </w:r>
            <w:r>
              <w:rPr>
                <w:rFonts w:hint="eastAsia"/>
              </w:rPr>
              <w:br w:type="textWrapping"/>
            </w:r>
            <w:r>
              <w:rPr>
                <w:rStyle w:val="11"/>
                <w:rFonts w:hint="eastAsia"/>
              </w:rPr>
              <w:t>1.施药时应避免药液飘移到邻近作物田。 2.使用本品时应穿戴防护服、口罩和手套等防护用具，避免吸入药液。施药期间不可吃东西、喝水和吸烟等。施药后应及时洗手和洗脸等。 3.本品对家蚕有一定的环境风险，蚕室及桑园附近禁用。4.禁止在河塘等水域清洗施药器具或将清洗施药器具的废水倒入河流、池塘等水源。用过的容器要妥善处理，不可随意丢弃，也不可做他用。 5.孕妇及哺乳期妇女避免接触此药。6.避免与具有氧化性物质接触或混合。</w:t>
            </w:r>
          </w:p>
        </w:tc>
      </w:tr>
      <w:tr w14:paraId="3C242582">
        <w:tblPrEx>
          <w:tblCellMar>
            <w:top w:w="0" w:type="dxa"/>
            <w:left w:w="0" w:type="dxa"/>
            <w:bottom w:w="0" w:type="dxa"/>
            <w:right w:w="0" w:type="dxa"/>
          </w:tblCellMar>
        </w:tblPrEx>
        <w:trPr>
          <w:wBefore w:w="0" w:type="auto"/>
          <w:tblCellSpacing w:w="0" w:type="dxa"/>
        </w:trPr>
        <w:tc>
          <w:tcPr>
            <w:tcW w:w="0" w:type="auto"/>
            <w:noWrap w:val="0"/>
            <w:vAlign w:val="center"/>
          </w:tcPr>
          <w:p w14:paraId="5BC79480">
            <w:r>
              <w:rPr>
                <w:rStyle w:val="10"/>
                <w:rFonts w:hint="eastAsia"/>
              </w:rPr>
              <w:t>中毒急救措施：</w:t>
            </w:r>
            <w:r>
              <w:rPr>
                <w:rFonts w:hint="eastAsia"/>
              </w:rPr>
              <w:br w:type="textWrapping"/>
            </w:r>
            <w:r>
              <w:rPr>
                <w:rStyle w:val="11"/>
                <w:rFonts w:hint="eastAsia"/>
              </w:rPr>
              <w:t>不慎接触皮肤用肥皂和大量清水彻底清洗。溅入眼睛，用大量清水冲洗至少15分钟。误服则应立即携此标签将病人送医院诊治。紧急医疗措施：使用医用活性炭洗胃，洗胃时注意防止胃容物进入呼吸道。注意：对已昏迷病人，切勿经口喂入任何东西或引吐。无专用解毒剂，对症治疗。</w:t>
            </w:r>
          </w:p>
        </w:tc>
      </w:tr>
      <w:tr w14:paraId="35A21FEF">
        <w:tblPrEx>
          <w:tblCellMar>
            <w:top w:w="0" w:type="dxa"/>
            <w:left w:w="0" w:type="dxa"/>
            <w:bottom w:w="0" w:type="dxa"/>
            <w:right w:w="0" w:type="dxa"/>
          </w:tblCellMar>
        </w:tblPrEx>
        <w:trPr>
          <w:wBefore w:w="0" w:type="auto"/>
          <w:tblCellSpacing w:w="0" w:type="dxa"/>
        </w:trPr>
        <w:tc>
          <w:tcPr>
            <w:tcW w:w="0" w:type="auto"/>
            <w:noWrap w:val="0"/>
            <w:vAlign w:val="center"/>
          </w:tcPr>
          <w:p w14:paraId="5763D33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w:t>
            </w:r>
          </w:p>
        </w:tc>
      </w:tr>
      <w:tr w14:paraId="737B113B">
        <w:tblPrEx>
          <w:tblCellMar>
            <w:top w:w="0" w:type="dxa"/>
            <w:left w:w="0" w:type="dxa"/>
            <w:bottom w:w="0" w:type="dxa"/>
            <w:right w:w="0" w:type="dxa"/>
          </w:tblCellMar>
        </w:tblPrEx>
        <w:trPr>
          <w:wBefore w:w="0" w:type="auto"/>
          <w:tblCellSpacing w:w="0" w:type="dxa"/>
        </w:trPr>
        <w:tc>
          <w:tcPr>
            <w:tcW w:w="0" w:type="auto"/>
            <w:noWrap w:val="0"/>
            <w:vAlign w:val="center"/>
          </w:tcPr>
          <w:p w14:paraId="3E946F4B">
            <w:r>
              <w:rPr>
                <w:rStyle w:val="10"/>
                <w:rFonts w:hint="eastAsia"/>
              </w:rPr>
              <w:t>质量保证期：</w:t>
            </w:r>
            <w:r>
              <w:rPr>
                <w:rStyle w:val="11"/>
                <w:rFonts w:hint="eastAsia"/>
              </w:rPr>
              <w:t>2年</w:t>
            </w:r>
          </w:p>
        </w:tc>
      </w:tr>
      <w:tr w14:paraId="4CD04206">
        <w:tblPrEx>
          <w:tblCellMar>
            <w:top w:w="0" w:type="dxa"/>
            <w:left w:w="0" w:type="dxa"/>
            <w:bottom w:w="0" w:type="dxa"/>
            <w:right w:w="0" w:type="dxa"/>
          </w:tblCellMar>
        </w:tblPrEx>
        <w:trPr>
          <w:wBefore w:w="0" w:type="auto"/>
          <w:tblCellSpacing w:w="0" w:type="dxa"/>
        </w:trPr>
        <w:tc>
          <w:tcPr>
            <w:tcW w:w="0" w:type="auto"/>
            <w:noWrap w:val="0"/>
            <w:vAlign w:val="center"/>
          </w:tcPr>
          <w:p w14:paraId="6AF1C53D">
            <w:r>
              <w:rPr>
                <w:rStyle w:val="10"/>
                <w:rFonts w:hint="eastAsia"/>
              </w:rPr>
              <w:t>备注：</w:t>
            </w:r>
            <w:r>
              <w:rPr>
                <w:rFonts w:hint="eastAsia"/>
              </w:rPr>
              <w:br w:type="textWrapping"/>
            </w:r>
            <w:r>
              <w:rPr>
                <w:rStyle w:val="11"/>
                <w:rFonts w:hint="eastAsia"/>
              </w:rPr>
              <w:t>草甘膦钾盐43%。</w:t>
            </w:r>
          </w:p>
        </w:tc>
      </w:tr>
    </w:tbl>
    <w:p w14:paraId="6457C80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B9A0E7">
        <w:tblPrEx>
          <w:tblCellMar>
            <w:top w:w="0" w:type="dxa"/>
            <w:left w:w="0" w:type="dxa"/>
            <w:bottom w:w="0" w:type="dxa"/>
            <w:right w:w="0" w:type="dxa"/>
          </w:tblCellMar>
        </w:tblPrEx>
        <w:trPr>
          <w:wBefore w:w="0" w:type="auto"/>
          <w:tblCellSpacing w:w="0" w:type="dxa"/>
        </w:trPr>
        <w:tc>
          <w:tcPr>
            <w:tcW w:w="0" w:type="auto"/>
            <w:noWrap w:val="0"/>
            <w:vAlign w:val="center"/>
          </w:tcPr>
          <w:p w14:paraId="42B8F715">
            <w:r>
              <w:rPr>
                <w:rStyle w:val="10"/>
                <w:rFonts w:hint="eastAsia"/>
              </w:rPr>
              <w:t>登记证号：</w:t>
            </w:r>
            <w:r>
              <w:rPr>
                <w:rFonts w:hint="eastAsia"/>
              </w:rPr>
              <w:t>PD20212757</w:t>
            </w:r>
          </w:p>
        </w:tc>
      </w:tr>
      <w:tr w14:paraId="2DDD7A2B">
        <w:tblPrEx>
          <w:tblCellMar>
            <w:top w:w="0" w:type="dxa"/>
            <w:left w:w="0" w:type="dxa"/>
            <w:bottom w:w="0" w:type="dxa"/>
            <w:right w:w="0" w:type="dxa"/>
          </w:tblCellMar>
        </w:tblPrEx>
        <w:trPr>
          <w:wBefore w:w="0" w:type="auto"/>
          <w:tblCellSpacing w:w="0" w:type="dxa"/>
        </w:trPr>
        <w:tc>
          <w:tcPr>
            <w:tcW w:w="0" w:type="auto"/>
            <w:noWrap w:val="0"/>
            <w:vAlign w:val="center"/>
          </w:tcPr>
          <w:p w14:paraId="6A74D6F3">
            <w:r>
              <w:rPr>
                <w:rStyle w:val="10"/>
                <w:rFonts w:hint="eastAsia"/>
              </w:rPr>
              <w:t>登记证持有人：</w:t>
            </w:r>
            <w:r>
              <w:rPr>
                <w:rFonts w:hint="eastAsia"/>
              </w:rPr>
              <w:t>山东玥鸣生物科技有限公司</w:t>
            </w:r>
          </w:p>
        </w:tc>
      </w:tr>
      <w:tr w14:paraId="247C8FDF">
        <w:tblPrEx>
          <w:tblCellMar>
            <w:top w:w="0" w:type="dxa"/>
            <w:left w:w="0" w:type="dxa"/>
            <w:bottom w:w="0" w:type="dxa"/>
            <w:right w:w="0" w:type="dxa"/>
          </w:tblCellMar>
        </w:tblPrEx>
        <w:trPr>
          <w:wBefore w:w="0" w:type="auto"/>
          <w:tblCellSpacing w:w="0" w:type="dxa"/>
        </w:trPr>
        <w:tc>
          <w:tcPr>
            <w:tcW w:w="0" w:type="auto"/>
            <w:noWrap w:val="0"/>
            <w:vAlign w:val="center"/>
          </w:tcPr>
          <w:p w14:paraId="1BC3794C">
            <w:r>
              <w:rPr>
                <w:rStyle w:val="10"/>
                <w:rFonts w:hint="eastAsia"/>
              </w:rPr>
              <w:t>农药名称：</w:t>
            </w:r>
            <w:r>
              <w:rPr>
                <w:rFonts w:hint="eastAsia"/>
              </w:rPr>
              <w:t>28-高芸苔素内酯</w:t>
            </w:r>
          </w:p>
        </w:tc>
      </w:tr>
      <w:tr w14:paraId="6E7016DF">
        <w:tblPrEx>
          <w:tblCellMar>
            <w:top w:w="0" w:type="dxa"/>
            <w:left w:w="0" w:type="dxa"/>
            <w:bottom w:w="0" w:type="dxa"/>
            <w:right w:w="0" w:type="dxa"/>
          </w:tblCellMar>
        </w:tblPrEx>
        <w:trPr>
          <w:wBefore w:w="0" w:type="auto"/>
          <w:tblCellSpacing w:w="0" w:type="dxa"/>
        </w:trPr>
        <w:tc>
          <w:tcPr>
            <w:tcW w:w="0" w:type="auto"/>
            <w:noWrap w:val="0"/>
            <w:vAlign w:val="center"/>
          </w:tcPr>
          <w:p w14:paraId="03A3B3C4">
            <w:r>
              <w:rPr>
                <w:rStyle w:val="10"/>
                <w:rFonts w:hint="eastAsia"/>
              </w:rPr>
              <w:t>剂型：</w:t>
            </w:r>
            <w:r>
              <w:rPr>
                <w:rFonts w:hint="eastAsia"/>
              </w:rPr>
              <w:t>可溶液剂</w:t>
            </w:r>
          </w:p>
        </w:tc>
      </w:tr>
      <w:tr w14:paraId="6B6E7571">
        <w:tblPrEx>
          <w:tblCellMar>
            <w:top w:w="0" w:type="dxa"/>
            <w:left w:w="0" w:type="dxa"/>
            <w:bottom w:w="0" w:type="dxa"/>
            <w:right w:w="0" w:type="dxa"/>
          </w:tblCellMar>
        </w:tblPrEx>
        <w:trPr>
          <w:wBefore w:w="0" w:type="auto"/>
          <w:tblCellSpacing w:w="0" w:type="dxa"/>
        </w:trPr>
        <w:tc>
          <w:tcPr>
            <w:tcW w:w="0" w:type="auto"/>
            <w:noWrap w:val="0"/>
            <w:vAlign w:val="center"/>
          </w:tcPr>
          <w:p w14:paraId="0AF18AE2">
            <w:r>
              <w:rPr>
                <w:rStyle w:val="10"/>
                <w:rFonts w:hint="eastAsia"/>
              </w:rPr>
              <w:t>毒性及其标识：</w:t>
            </w:r>
            <w:r>
              <w:rPr>
                <w:rFonts w:hint="eastAsia"/>
              </w:rPr>
              <w:t xml:space="preserve"> 微毒 </w:t>
            </w:r>
          </w:p>
        </w:tc>
      </w:tr>
      <w:tr w14:paraId="4677CC8A">
        <w:tblPrEx>
          <w:tblCellMar>
            <w:top w:w="0" w:type="dxa"/>
            <w:left w:w="0" w:type="dxa"/>
            <w:bottom w:w="0" w:type="dxa"/>
            <w:right w:w="0" w:type="dxa"/>
          </w:tblCellMar>
        </w:tblPrEx>
        <w:trPr>
          <w:wBefore w:w="0" w:type="auto"/>
          <w:tblCellSpacing w:w="0" w:type="dxa"/>
        </w:trPr>
        <w:tc>
          <w:tcPr>
            <w:tcW w:w="0" w:type="auto"/>
            <w:noWrap w:val="0"/>
            <w:vAlign w:val="center"/>
          </w:tcPr>
          <w:p w14:paraId="2A66AD8C">
            <w:r>
              <w:rPr>
                <w:rStyle w:val="10"/>
                <w:rFonts w:hint="eastAsia"/>
              </w:rPr>
              <w:t>总有效成分含量：</w:t>
            </w:r>
            <w:r>
              <w:rPr>
                <w:rFonts w:hint="eastAsia"/>
              </w:rPr>
              <w:t>0.01%</w:t>
            </w:r>
          </w:p>
        </w:tc>
      </w:tr>
      <w:tr w14:paraId="7E1394A4">
        <w:tblPrEx>
          <w:tblCellMar>
            <w:top w:w="0" w:type="dxa"/>
            <w:left w:w="0" w:type="dxa"/>
            <w:bottom w:w="0" w:type="dxa"/>
            <w:right w:w="0" w:type="dxa"/>
          </w:tblCellMar>
        </w:tblPrEx>
        <w:trPr>
          <w:wBefore w:w="0" w:type="auto"/>
          <w:tblCellSpacing w:w="0" w:type="dxa"/>
        </w:trPr>
        <w:tc>
          <w:tcPr>
            <w:tcW w:w="0" w:type="auto"/>
            <w:noWrap w:val="0"/>
            <w:vAlign w:val="center"/>
          </w:tcPr>
          <w:p w14:paraId="15A071A5">
            <w:r>
              <w:rPr>
                <w:rFonts w:hint="eastAsia"/>
              </w:rPr>
              <w:t xml:space="preserve">有效成分及其含量： </w:t>
            </w:r>
          </w:p>
          <w:p w14:paraId="0B721D19">
            <w:r>
              <w:rPr>
                <w:rFonts w:hint="eastAsia"/>
              </w:rPr>
              <w:t xml:space="preserve">    28-高芸苔素内酯0.01%    </w:t>
            </w:r>
          </w:p>
        </w:tc>
      </w:tr>
      <w:tr w14:paraId="4D672E33">
        <w:tblPrEx>
          <w:tblCellMar>
            <w:top w:w="0" w:type="dxa"/>
            <w:left w:w="0" w:type="dxa"/>
            <w:bottom w:w="0" w:type="dxa"/>
            <w:right w:w="0" w:type="dxa"/>
          </w:tblCellMar>
        </w:tblPrEx>
        <w:trPr>
          <w:wBefore w:w="0" w:type="auto"/>
          <w:tblCellSpacing w:w="0" w:type="dxa"/>
        </w:trPr>
        <w:tc>
          <w:tcPr>
            <w:tcW w:w="0" w:type="auto"/>
            <w:noWrap w:val="0"/>
            <w:vAlign w:val="center"/>
          </w:tcPr>
          <w:p w14:paraId="1E48D78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7A5B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CCB8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2057B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4810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8082D1">
                  <w:r>
                    <w:rPr>
                      <w:rStyle w:val="11"/>
                      <w:rFonts w:hint="eastAsia"/>
                    </w:rPr>
                    <w:t>施用方式</w:t>
                  </w:r>
                </w:p>
              </w:tc>
            </w:tr>
            <w:tr w14:paraId="65D1B4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4A58EE">
                  <w:r>
                    <w:rPr>
                      <w:rStyle w:val="11"/>
                      <w:rFonts w:hint="eastAsia"/>
                    </w:rPr>
                    <w:t>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E0578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0B8FA2">
                  <w:r>
                    <w:rPr>
                      <w:rStyle w:val="11"/>
                      <w:rFonts w:hint="eastAsia"/>
                    </w:rPr>
                    <w:t>5000-10000倍液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C8B537">
                  <w:r>
                    <w:rPr>
                      <w:rStyle w:val="11"/>
                      <w:rFonts w:hint="eastAsia"/>
                    </w:rPr>
                    <w:t>喷雾</w:t>
                  </w:r>
                </w:p>
              </w:tc>
            </w:tr>
          </w:tbl>
          <w:p w14:paraId="2248CAA8">
            <w:pPr>
              <w:rPr>
                <w:rFonts w:ascii="Times New Roman" w:hAnsi="Times New Roman" w:cs="Times New Roman"/>
                <w:sz w:val="20"/>
                <w:szCs w:val="20"/>
              </w:rPr>
            </w:pPr>
          </w:p>
        </w:tc>
      </w:tr>
      <w:tr w14:paraId="52CBC3CA">
        <w:tblPrEx>
          <w:tblCellMar>
            <w:top w:w="0" w:type="dxa"/>
            <w:left w:w="0" w:type="dxa"/>
            <w:bottom w:w="0" w:type="dxa"/>
            <w:right w:w="0" w:type="dxa"/>
          </w:tblCellMar>
        </w:tblPrEx>
        <w:trPr>
          <w:wBefore w:w="0" w:type="auto"/>
          <w:tblCellSpacing w:w="0" w:type="dxa"/>
        </w:trPr>
        <w:tc>
          <w:tcPr>
            <w:tcW w:w="0" w:type="auto"/>
            <w:noWrap w:val="0"/>
            <w:vAlign w:val="center"/>
          </w:tcPr>
          <w:p w14:paraId="18D92968">
            <w:r>
              <w:rPr>
                <w:rStyle w:val="10"/>
                <w:rFonts w:hint="eastAsia"/>
              </w:rPr>
              <w:t>使用技术要求:</w:t>
            </w:r>
            <w:r>
              <w:rPr>
                <w:rFonts w:hint="eastAsia"/>
              </w:rPr>
              <w:br w:type="textWrapping"/>
            </w:r>
            <w:r>
              <w:rPr>
                <w:rStyle w:val="11"/>
                <w:rFonts w:hint="eastAsia"/>
              </w:rPr>
              <w:t>1.于白菜苗期、生长期各使用1次，注意喷雾均匀，最好在傍晚使用。2.大风或预计1小时内降雨天气，请勿施药。3.本品稀释后不宜放置过久，应现配现用。3.该药稀释倍数较大，用药时应将药液充分混匀，以保证药效和安全性。</w:t>
            </w:r>
          </w:p>
        </w:tc>
      </w:tr>
      <w:tr w14:paraId="2668AC73">
        <w:tblPrEx>
          <w:tblCellMar>
            <w:top w:w="0" w:type="dxa"/>
            <w:left w:w="0" w:type="dxa"/>
            <w:bottom w:w="0" w:type="dxa"/>
            <w:right w:w="0" w:type="dxa"/>
          </w:tblCellMar>
        </w:tblPrEx>
        <w:trPr>
          <w:wBefore w:w="0" w:type="auto"/>
          <w:tblCellSpacing w:w="0" w:type="dxa"/>
        </w:trPr>
        <w:tc>
          <w:tcPr>
            <w:tcW w:w="0" w:type="auto"/>
            <w:noWrap w:val="0"/>
            <w:vAlign w:val="center"/>
          </w:tcPr>
          <w:p w14:paraId="590F609D">
            <w:r>
              <w:rPr>
                <w:rStyle w:val="10"/>
                <w:rFonts w:hint="eastAsia"/>
              </w:rPr>
              <w:t>产品性能:</w:t>
            </w:r>
            <w:r>
              <w:rPr>
                <w:rFonts w:hint="eastAsia"/>
              </w:rPr>
              <w:br w:type="textWrapping"/>
            </w:r>
            <w:r>
              <w:rPr>
                <w:rStyle w:val="11"/>
                <w:rFonts w:hint="eastAsia"/>
              </w:rPr>
              <w:t>本品为激素类农药，具有使植物细胞分裂和延长的双重作用，促进根系发达，增强光合作用，提高作物叶绿素含量，促进作物对肥料的有效吸收，辅助作物劣势部分良好生长。</w:t>
            </w:r>
          </w:p>
        </w:tc>
      </w:tr>
      <w:tr w14:paraId="4C9225FE">
        <w:tblPrEx>
          <w:tblCellMar>
            <w:top w:w="0" w:type="dxa"/>
            <w:left w:w="0" w:type="dxa"/>
            <w:bottom w:w="0" w:type="dxa"/>
            <w:right w:w="0" w:type="dxa"/>
          </w:tblCellMar>
        </w:tblPrEx>
        <w:trPr>
          <w:wBefore w:w="0" w:type="auto"/>
          <w:tblCellSpacing w:w="0" w:type="dxa"/>
        </w:trPr>
        <w:tc>
          <w:tcPr>
            <w:tcW w:w="0" w:type="auto"/>
            <w:noWrap w:val="0"/>
            <w:vAlign w:val="center"/>
          </w:tcPr>
          <w:p w14:paraId="1C4FB539">
            <w:r>
              <w:rPr>
                <w:rStyle w:val="10"/>
                <w:rFonts w:hint="eastAsia"/>
              </w:rPr>
              <w:t>注意事项：</w:t>
            </w:r>
            <w:r>
              <w:rPr>
                <w:rFonts w:hint="eastAsia"/>
              </w:rPr>
              <w:br w:type="textWrapping"/>
            </w:r>
            <w:r>
              <w:rPr>
                <w:rStyle w:val="11"/>
                <w:rFonts w:hint="eastAsia"/>
              </w:rPr>
              <w:t>1.本品为激素类农药调节植物生长，应加强植物营养以便植物能更好的生长。2.操作时应戴化学安全防毒面具；穿防毒渗透工作服；戴橡胶手套等防护措施，不可吃东西、喝水和吸烟；操作完毕后应及时洗手和脸等裸露部位。3.禁止在河塘等水体中清洗施药器具。4.用过的容器应妥善处理，不可做他用，也不可随意丢弃。5.孕妇及哺乳期妇女应避免接触此药。</w:t>
            </w:r>
          </w:p>
        </w:tc>
      </w:tr>
      <w:tr w14:paraId="1026782A">
        <w:tblPrEx>
          <w:tblCellMar>
            <w:top w:w="0" w:type="dxa"/>
            <w:left w:w="0" w:type="dxa"/>
            <w:bottom w:w="0" w:type="dxa"/>
            <w:right w:w="0" w:type="dxa"/>
          </w:tblCellMar>
        </w:tblPrEx>
        <w:trPr>
          <w:wBefore w:w="0" w:type="auto"/>
          <w:tblCellSpacing w:w="0" w:type="dxa"/>
        </w:trPr>
        <w:tc>
          <w:tcPr>
            <w:tcW w:w="0" w:type="auto"/>
            <w:noWrap w:val="0"/>
            <w:vAlign w:val="center"/>
          </w:tcPr>
          <w:p w14:paraId="2A2C61BF">
            <w:r>
              <w:rPr>
                <w:rStyle w:val="10"/>
                <w:rFonts w:hint="eastAsia"/>
              </w:rPr>
              <w:t>中毒急救措施：</w:t>
            </w:r>
            <w:r>
              <w:rPr>
                <w:rFonts w:hint="eastAsia"/>
              </w:rPr>
              <w:br w:type="textWrapping"/>
            </w:r>
            <w:r>
              <w:rPr>
                <w:rStyle w:val="11"/>
                <w:rFonts w:hint="eastAsia"/>
              </w:rPr>
              <w:t>1、对眼睛有刺激性，使用时避免接触眼睛。不慎接触皮肤或溅入眼睛：立即用大量清水冲洗至少15分钟，并就医。 不慎吸入：应迅速移至空气新鲜处。呼吸困难时给输氧，呼吸停止时，进行人工呼吸并立即就医。 误食：携带本标签立即就医，立即洗胃。 对症治疗，无特效解毒剂。</w:t>
            </w:r>
          </w:p>
        </w:tc>
      </w:tr>
      <w:tr w14:paraId="69852C3A">
        <w:tblPrEx>
          <w:tblCellMar>
            <w:top w:w="0" w:type="dxa"/>
            <w:left w:w="0" w:type="dxa"/>
            <w:bottom w:w="0" w:type="dxa"/>
            <w:right w:w="0" w:type="dxa"/>
          </w:tblCellMar>
        </w:tblPrEx>
        <w:trPr>
          <w:wBefore w:w="0" w:type="auto"/>
          <w:tblCellSpacing w:w="0" w:type="dxa"/>
        </w:trPr>
        <w:tc>
          <w:tcPr>
            <w:tcW w:w="0" w:type="auto"/>
            <w:noWrap w:val="0"/>
            <w:vAlign w:val="center"/>
          </w:tcPr>
          <w:p w14:paraId="5F501705">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3、勿与食品、饮料、粮食、饲料等其他商品同贮同运。</w:t>
            </w:r>
          </w:p>
        </w:tc>
      </w:tr>
      <w:tr w14:paraId="57BD7C46">
        <w:tblPrEx>
          <w:tblCellMar>
            <w:top w:w="0" w:type="dxa"/>
            <w:left w:w="0" w:type="dxa"/>
            <w:bottom w:w="0" w:type="dxa"/>
            <w:right w:w="0" w:type="dxa"/>
          </w:tblCellMar>
        </w:tblPrEx>
        <w:trPr>
          <w:wBefore w:w="0" w:type="auto"/>
          <w:tblCellSpacing w:w="0" w:type="dxa"/>
        </w:trPr>
        <w:tc>
          <w:tcPr>
            <w:tcW w:w="0" w:type="auto"/>
            <w:noWrap w:val="0"/>
            <w:vAlign w:val="center"/>
          </w:tcPr>
          <w:p w14:paraId="430BB9CC">
            <w:r>
              <w:rPr>
                <w:rStyle w:val="10"/>
                <w:rFonts w:hint="eastAsia"/>
              </w:rPr>
              <w:t>质量保证期：</w:t>
            </w:r>
            <w:r>
              <w:rPr>
                <w:rStyle w:val="11"/>
                <w:rFonts w:hint="eastAsia"/>
              </w:rPr>
              <w:t>2年</w:t>
            </w:r>
          </w:p>
        </w:tc>
      </w:tr>
      <w:tr w14:paraId="5AEA0839">
        <w:tblPrEx>
          <w:tblCellMar>
            <w:top w:w="0" w:type="dxa"/>
            <w:left w:w="0" w:type="dxa"/>
            <w:bottom w:w="0" w:type="dxa"/>
            <w:right w:w="0" w:type="dxa"/>
          </w:tblCellMar>
        </w:tblPrEx>
        <w:trPr>
          <w:wBefore w:w="0" w:type="auto"/>
          <w:tblCellSpacing w:w="0" w:type="dxa"/>
        </w:trPr>
        <w:tc>
          <w:tcPr>
            <w:tcW w:w="0" w:type="auto"/>
            <w:noWrap w:val="0"/>
            <w:vAlign w:val="center"/>
          </w:tcPr>
          <w:p w14:paraId="18BAB83A">
            <w:r>
              <w:rPr>
                <w:rStyle w:val="10"/>
                <w:rFonts w:hint="eastAsia"/>
              </w:rPr>
              <w:t>备注：</w:t>
            </w:r>
          </w:p>
        </w:tc>
      </w:tr>
    </w:tbl>
    <w:p w14:paraId="2B1A713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632646">
        <w:tblPrEx>
          <w:tblCellMar>
            <w:top w:w="0" w:type="dxa"/>
            <w:left w:w="0" w:type="dxa"/>
            <w:bottom w:w="0" w:type="dxa"/>
            <w:right w:w="0" w:type="dxa"/>
          </w:tblCellMar>
        </w:tblPrEx>
        <w:trPr>
          <w:wBefore w:w="0" w:type="auto"/>
          <w:tblCellSpacing w:w="0" w:type="dxa"/>
        </w:trPr>
        <w:tc>
          <w:tcPr>
            <w:tcW w:w="0" w:type="auto"/>
            <w:noWrap w:val="0"/>
            <w:vAlign w:val="center"/>
          </w:tcPr>
          <w:p w14:paraId="28D86FEE">
            <w:r>
              <w:rPr>
                <w:rStyle w:val="10"/>
                <w:rFonts w:hint="eastAsia"/>
              </w:rPr>
              <w:t>登记证号：</w:t>
            </w:r>
            <w:r>
              <w:rPr>
                <w:rFonts w:hint="eastAsia"/>
              </w:rPr>
              <w:t>PD20212594</w:t>
            </w:r>
          </w:p>
        </w:tc>
      </w:tr>
      <w:tr w14:paraId="5A3B4B12">
        <w:tblPrEx>
          <w:tblCellMar>
            <w:top w:w="0" w:type="dxa"/>
            <w:left w:w="0" w:type="dxa"/>
            <w:bottom w:w="0" w:type="dxa"/>
            <w:right w:w="0" w:type="dxa"/>
          </w:tblCellMar>
        </w:tblPrEx>
        <w:trPr>
          <w:wBefore w:w="0" w:type="auto"/>
          <w:tblCellSpacing w:w="0" w:type="dxa"/>
        </w:trPr>
        <w:tc>
          <w:tcPr>
            <w:tcW w:w="0" w:type="auto"/>
            <w:noWrap w:val="0"/>
            <w:vAlign w:val="center"/>
          </w:tcPr>
          <w:p w14:paraId="449E3D4D">
            <w:r>
              <w:rPr>
                <w:rStyle w:val="10"/>
                <w:rFonts w:hint="eastAsia"/>
              </w:rPr>
              <w:t>登记证持有人：</w:t>
            </w:r>
            <w:r>
              <w:rPr>
                <w:rFonts w:hint="eastAsia"/>
              </w:rPr>
              <w:t>山东奥坤作物科学股份有限公司</w:t>
            </w:r>
          </w:p>
        </w:tc>
      </w:tr>
      <w:tr w14:paraId="29DD5363">
        <w:tblPrEx>
          <w:tblCellMar>
            <w:top w:w="0" w:type="dxa"/>
            <w:left w:w="0" w:type="dxa"/>
            <w:bottom w:w="0" w:type="dxa"/>
            <w:right w:w="0" w:type="dxa"/>
          </w:tblCellMar>
        </w:tblPrEx>
        <w:trPr>
          <w:wBefore w:w="0" w:type="auto"/>
          <w:tblCellSpacing w:w="0" w:type="dxa"/>
        </w:trPr>
        <w:tc>
          <w:tcPr>
            <w:tcW w:w="0" w:type="auto"/>
            <w:noWrap w:val="0"/>
            <w:vAlign w:val="center"/>
          </w:tcPr>
          <w:p w14:paraId="5F440B65">
            <w:r>
              <w:rPr>
                <w:rStyle w:val="10"/>
                <w:rFonts w:hint="eastAsia"/>
              </w:rPr>
              <w:t>农药名称：</w:t>
            </w:r>
            <w:r>
              <w:rPr>
                <w:rFonts w:hint="eastAsia"/>
              </w:rPr>
              <w:t>2甲·灭草松</w:t>
            </w:r>
          </w:p>
        </w:tc>
      </w:tr>
      <w:tr w14:paraId="0184CB32">
        <w:tblPrEx>
          <w:tblCellMar>
            <w:top w:w="0" w:type="dxa"/>
            <w:left w:w="0" w:type="dxa"/>
            <w:bottom w:w="0" w:type="dxa"/>
            <w:right w:w="0" w:type="dxa"/>
          </w:tblCellMar>
        </w:tblPrEx>
        <w:trPr>
          <w:wBefore w:w="0" w:type="auto"/>
          <w:tblCellSpacing w:w="0" w:type="dxa"/>
        </w:trPr>
        <w:tc>
          <w:tcPr>
            <w:tcW w:w="0" w:type="auto"/>
            <w:noWrap w:val="0"/>
            <w:vAlign w:val="center"/>
          </w:tcPr>
          <w:p w14:paraId="0586011C">
            <w:r>
              <w:rPr>
                <w:rStyle w:val="10"/>
                <w:rFonts w:hint="eastAsia"/>
              </w:rPr>
              <w:t>剂型：</w:t>
            </w:r>
            <w:r>
              <w:rPr>
                <w:rFonts w:hint="eastAsia"/>
              </w:rPr>
              <w:t>可溶液剂</w:t>
            </w:r>
          </w:p>
        </w:tc>
      </w:tr>
      <w:tr w14:paraId="0B5F8A17">
        <w:tblPrEx>
          <w:tblCellMar>
            <w:top w:w="0" w:type="dxa"/>
            <w:left w:w="0" w:type="dxa"/>
            <w:bottom w:w="0" w:type="dxa"/>
            <w:right w:w="0" w:type="dxa"/>
          </w:tblCellMar>
        </w:tblPrEx>
        <w:trPr>
          <w:wBefore w:w="0" w:type="auto"/>
          <w:tblCellSpacing w:w="0" w:type="dxa"/>
        </w:trPr>
        <w:tc>
          <w:tcPr>
            <w:tcW w:w="0" w:type="auto"/>
            <w:noWrap w:val="0"/>
            <w:vAlign w:val="center"/>
          </w:tcPr>
          <w:p w14:paraId="4E5F29FE">
            <w:r>
              <w:rPr>
                <w:rStyle w:val="10"/>
                <w:rFonts w:hint="eastAsia"/>
              </w:rPr>
              <w:t>毒性及其标识：</w:t>
            </w:r>
            <w:r>
              <w:rPr>
                <w:rFonts w:hint="eastAsia"/>
              </w:rPr>
              <w:t xml:space="preserve"> </w:t>
            </w:r>
            <w:r>
              <w:rPr>
                <w:lang/>
              </w:rPr>
              <w:drawing>
                <wp:inline distT="0" distB="0" distL="114300" distR="114300">
                  <wp:extent cx="476250" cy="323850"/>
                  <wp:effectExtent l="0" t="0" r="0" b="0"/>
                  <wp:docPr id="104" name="图片 1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28EC72">
        <w:tblPrEx>
          <w:tblCellMar>
            <w:top w:w="0" w:type="dxa"/>
            <w:left w:w="0" w:type="dxa"/>
            <w:bottom w:w="0" w:type="dxa"/>
            <w:right w:w="0" w:type="dxa"/>
          </w:tblCellMar>
        </w:tblPrEx>
        <w:trPr>
          <w:wBefore w:w="0" w:type="auto"/>
          <w:tblCellSpacing w:w="0" w:type="dxa"/>
        </w:trPr>
        <w:tc>
          <w:tcPr>
            <w:tcW w:w="0" w:type="auto"/>
            <w:noWrap w:val="0"/>
            <w:vAlign w:val="center"/>
          </w:tcPr>
          <w:p w14:paraId="07DA632D">
            <w:r>
              <w:rPr>
                <w:rStyle w:val="10"/>
                <w:rFonts w:hint="eastAsia"/>
              </w:rPr>
              <w:t>总有效成分含量：</w:t>
            </w:r>
            <w:r>
              <w:rPr>
                <w:rFonts w:hint="eastAsia"/>
              </w:rPr>
              <w:t>49%</w:t>
            </w:r>
          </w:p>
        </w:tc>
      </w:tr>
      <w:tr w14:paraId="2BA20456">
        <w:tblPrEx>
          <w:tblCellMar>
            <w:top w:w="0" w:type="dxa"/>
            <w:left w:w="0" w:type="dxa"/>
            <w:bottom w:w="0" w:type="dxa"/>
            <w:right w:w="0" w:type="dxa"/>
          </w:tblCellMar>
        </w:tblPrEx>
        <w:trPr>
          <w:wBefore w:w="0" w:type="auto"/>
          <w:tblCellSpacing w:w="0" w:type="dxa"/>
        </w:trPr>
        <w:tc>
          <w:tcPr>
            <w:tcW w:w="0" w:type="auto"/>
            <w:noWrap w:val="0"/>
            <w:vAlign w:val="center"/>
          </w:tcPr>
          <w:p w14:paraId="24BCC3CC">
            <w:r>
              <w:rPr>
                <w:rFonts w:hint="eastAsia"/>
              </w:rPr>
              <w:t xml:space="preserve">有效成分及其含量： </w:t>
            </w:r>
          </w:p>
          <w:p w14:paraId="71AFCC9B">
            <w:r>
              <w:rPr>
                <w:rFonts w:hint="eastAsia"/>
              </w:rPr>
              <w:t xml:space="preserve">    2甲4氯9%    灭草松40%    </w:t>
            </w:r>
          </w:p>
        </w:tc>
      </w:tr>
      <w:tr w14:paraId="6F3957D9">
        <w:tblPrEx>
          <w:tblCellMar>
            <w:top w:w="0" w:type="dxa"/>
            <w:left w:w="0" w:type="dxa"/>
            <w:bottom w:w="0" w:type="dxa"/>
            <w:right w:w="0" w:type="dxa"/>
          </w:tblCellMar>
        </w:tblPrEx>
        <w:trPr>
          <w:wBefore w:w="0" w:type="auto"/>
          <w:tblCellSpacing w:w="0" w:type="dxa"/>
        </w:trPr>
        <w:tc>
          <w:tcPr>
            <w:tcW w:w="0" w:type="auto"/>
            <w:noWrap w:val="0"/>
            <w:vAlign w:val="center"/>
          </w:tcPr>
          <w:p w14:paraId="26936AC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2300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2187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4664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DC85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C73DE1">
                  <w:r>
                    <w:rPr>
                      <w:rStyle w:val="11"/>
                      <w:rFonts w:hint="eastAsia"/>
                    </w:rPr>
                    <w:t>施用方式</w:t>
                  </w:r>
                </w:p>
              </w:tc>
            </w:tr>
            <w:tr w14:paraId="16A95F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289449">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A252F7">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0B7EFE">
                  <w:r>
                    <w:rPr>
                      <w:rStyle w:val="11"/>
                      <w:rFonts w:hint="eastAsia"/>
                    </w:rPr>
                    <w:t>125-150毫升/亩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898458">
                  <w:r>
                    <w:rPr>
                      <w:rStyle w:val="11"/>
                      <w:rFonts w:hint="eastAsia"/>
                    </w:rPr>
                    <w:t>茎叶喷雾</w:t>
                  </w:r>
                </w:p>
              </w:tc>
            </w:tr>
          </w:tbl>
          <w:p w14:paraId="1950B1E4">
            <w:pPr>
              <w:rPr>
                <w:rFonts w:ascii="Times New Roman" w:hAnsi="Times New Roman" w:cs="Times New Roman"/>
                <w:sz w:val="20"/>
                <w:szCs w:val="20"/>
              </w:rPr>
            </w:pPr>
          </w:p>
        </w:tc>
      </w:tr>
      <w:tr w14:paraId="37D76502">
        <w:tblPrEx>
          <w:tblCellMar>
            <w:top w:w="0" w:type="dxa"/>
            <w:left w:w="0" w:type="dxa"/>
            <w:bottom w:w="0" w:type="dxa"/>
            <w:right w:w="0" w:type="dxa"/>
          </w:tblCellMar>
        </w:tblPrEx>
        <w:trPr>
          <w:wBefore w:w="0" w:type="auto"/>
          <w:tblCellSpacing w:w="0" w:type="dxa"/>
        </w:trPr>
        <w:tc>
          <w:tcPr>
            <w:tcW w:w="0" w:type="auto"/>
            <w:noWrap w:val="0"/>
            <w:vAlign w:val="center"/>
          </w:tcPr>
          <w:p w14:paraId="0C02E532">
            <w:r>
              <w:rPr>
                <w:rStyle w:val="10"/>
                <w:rFonts w:hint="eastAsia"/>
              </w:rPr>
              <w:t>使用技术要求:</w:t>
            </w:r>
            <w:r>
              <w:rPr>
                <w:rFonts w:hint="eastAsia"/>
              </w:rPr>
              <w:br w:type="textWrapping"/>
            </w:r>
            <w:r>
              <w:rPr>
                <w:rStyle w:val="11"/>
                <w:rFonts w:hint="eastAsia"/>
              </w:rPr>
              <w:t>1. 本品是苗后叶面处理除草剂，应在杂草3-5叶生长旺盛期进行喷雾施药效果最好，确保杂草完全湿润即可发挥最大药效。2.施药前一天将田间水排干，使杂草全部露出水面，然后喷药于杂草茎叶上，施药后1-2天在灌水入田，并保持3-5厘米水层，5-7天后恢复正常管理。3、每季作物最多使用1次。</w:t>
            </w:r>
          </w:p>
        </w:tc>
      </w:tr>
      <w:tr w14:paraId="4694E908">
        <w:tblPrEx>
          <w:tblCellMar>
            <w:top w:w="0" w:type="dxa"/>
            <w:left w:w="0" w:type="dxa"/>
            <w:bottom w:w="0" w:type="dxa"/>
            <w:right w:w="0" w:type="dxa"/>
          </w:tblCellMar>
        </w:tblPrEx>
        <w:trPr>
          <w:wBefore w:w="0" w:type="auto"/>
          <w:tblCellSpacing w:w="0" w:type="dxa"/>
        </w:trPr>
        <w:tc>
          <w:tcPr>
            <w:tcW w:w="0" w:type="auto"/>
            <w:noWrap w:val="0"/>
            <w:vAlign w:val="center"/>
          </w:tcPr>
          <w:p w14:paraId="15C0882D">
            <w:r>
              <w:rPr>
                <w:rStyle w:val="10"/>
                <w:rFonts w:hint="eastAsia"/>
              </w:rPr>
              <w:t>产品性能:</w:t>
            </w:r>
            <w:r>
              <w:rPr>
                <w:rFonts w:hint="eastAsia"/>
              </w:rPr>
              <w:br w:type="textWrapping"/>
            </w:r>
            <w:r>
              <w:rPr>
                <w:rStyle w:val="11"/>
                <w:rFonts w:hint="eastAsia"/>
              </w:rPr>
              <w:t>本品是采用两种有效的莎草和阔叶除草剂经配方筛选后混制而成，对水田的恶性莎草科（特别是三棱草）及阔叶杂草有很好的防除效果。此产品是苗后茎叶处理除草剂。</w:t>
            </w:r>
          </w:p>
        </w:tc>
      </w:tr>
      <w:tr w14:paraId="7702CD7B">
        <w:tblPrEx>
          <w:tblCellMar>
            <w:top w:w="0" w:type="dxa"/>
            <w:left w:w="0" w:type="dxa"/>
            <w:bottom w:w="0" w:type="dxa"/>
            <w:right w:w="0" w:type="dxa"/>
          </w:tblCellMar>
        </w:tblPrEx>
        <w:trPr>
          <w:wBefore w:w="0" w:type="auto"/>
          <w:tblCellSpacing w:w="0" w:type="dxa"/>
        </w:trPr>
        <w:tc>
          <w:tcPr>
            <w:tcW w:w="0" w:type="auto"/>
            <w:noWrap w:val="0"/>
            <w:vAlign w:val="center"/>
          </w:tcPr>
          <w:p w14:paraId="1B87BA42">
            <w:r>
              <w:rPr>
                <w:rStyle w:val="10"/>
                <w:rFonts w:hint="eastAsia"/>
              </w:rPr>
              <w:t>注意事项：</w:t>
            </w:r>
            <w:r>
              <w:rPr>
                <w:rFonts w:hint="eastAsia"/>
              </w:rPr>
              <w:br w:type="textWrapping"/>
            </w:r>
            <w:r>
              <w:rPr>
                <w:rStyle w:val="11"/>
                <w:rFonts w:hint="eastAsia"/>
              </w:rPr>
              <w:t>1、施药时穿防护服、戴眼镜、手套等防护用品，施药期间不能吃东西、饮水、吸烟等，施药后用清水及肥皂清洗手脸等。 2、施药时避免药液漂移到敏感作物田。 3、远离水产养殖区、河塘等水体施药；禁止在河塘等水体中清洗施药器具；鱼或虾蟹套养稻田禁用，施药后的田水不得直接排入水体； 蚕室及桑园附近禁用。4、废弃物要妥善处理，不能乱丢乱放，也不能做它用。 5、避免孕妇及哺乳期的妇女接触。6、未用完的制剂应放在原包装内密闭保存，切勿将本品置于饮食容器中。</w:t>
            </w:r>
          </w:p>
        </w:tc>
      </w:tr>
      <w:tr w14:paraId="6EB4D015">
        <w:tblPrEx>
          <w:tblCellMar>
            <w:top w:w="0" w:type="dxa"/>
            <w:left w:w="0" w:type="dxa"/>
            <w:bottom w:w="0" w:type="dxa"/>
            <w:right w:w="0" w:type="dxa"/>
          </w:tblCellMar>
        </w:tblPrEx>
        <w:trPr>
          <w:wBefore w:w="0" w:type="auto"/>
          <w:tblCellSpacing w:w="0" w:type="dxa"/>
        </w:trPr>
        <w:tc>
          <w:tcPr>
            <w:tcW w:w="0" w:type="auto"/>
            <w:noWrap w:val="0"/>
            <w:vAlign w:val="center"/>
          </w:tcPr>
          <w:p w14:paraId="1AF0AF77">
            <w:r>
              <w:rPr>
                <w:rStyle w:val="10"/>
                <w:rFonts w:hint="eastAsia"/>
              </w:rPr>
              <w:t>中毒急救措施：</w:t>
            </w:r>
            <w:r>
              <w:rPr>
                <w:rFonts w:hint="eastAsia"/>
              </w:rPr>
              <w:br w:type="textWrapping"/>
            </w:r>
            <w:r>
              <w:rPr>
                <w:rStyle w:val="11"/>
                <w:rFonts w:hint="eastAsia"/>
              </w:rPr>
              <w:t>对眼睛和皮肤可能引起敏感，如接触时，立刻用大量清水洗涤沾污的皮肤；溅入眼睛中，立即用清水冲洗至少15分钟；不慎误食或吞服药液，应立即引吐及服食医用活性炭，请勿食用促进吸收本品的食物如脂肪（牛奶，蓖麻油）、酒类等。保持空气流通。若昏迷不醒，请侧卧；若停止呼吸，请使用人工呼吸措施。若感不适，应立即携此标签求医，不要拖延治疗。 医生使用去污染，口服后给清水洗胃，洗胃时应防止呕吐物吸入肺，维持生命体征。注意中枢神经系统症状。对症治疗。目前无特效解毒剂。</w:t>
            </w:r>
          </w:p>
        </w:tc>
      </w:tr>
      <w:tr w14:paraId="0EB52B73">
        <w:tblPrEx>
          <w:tblCellMar>
            <w:top w:w="0" w:type="dxa"/>
            <w:left w:w="0" w:type="dxa"/>
            <w:bottom w:w="0" w:type="dxa"/>
            <w:right w:w="0" w:type="dxa"/>
          </w:tblCellMar>
        </w:tblPrEx>
        <w:trPr>
          <w:wBefore w:w="0" w:type="auto"/>
          <w:tblCellSpacing w:w="0" w:type="dxa"/>
        </w:trPr>
        <w:tc>
          <w:tcPr>
            <w:tcW w:w="0" w:type="auto"/>
            <w:noWrap w:val="0"/>
            <w:vAlign w:val="center"/>
          </w:tcPr>
          <w:p w14:paraId="4CE4ED1A">
            <w:r>
              <w:rPr>
                <w:rStyle w:val="10"/>
                <w:rFonts w:hint="eastAsia"/>
              </w:rPr>
              <w:t>储存和运输方法：</w:t>
            </w:r>
            <w:r>
              <w:rPr>
                <w:rFonts w:hint="eastAsia"/>
              </w:rPr>
              <w:br w:type="textWrapping"/>
            </w:r>
            <w:r>
              <w:rPr>
                <w:rStyle w:val="11"/>
                <w:rFonts w:hint="eastAsia"/>
              </w:rPr>
              <w:t>1、置于儿童触及不到之处，或其他无关人员无法接触的地方，并加锁保存。2、必须密封保存于阴凉、干燥、通风处，远离火源，严防潮湿和日晒。3、请勿与食品、饲料、日用品等其他商品同贮同运。</w:t>
            </w:r>
          </w:p>
        </w:tc>
      </w:tr>
      <w:tr w14:paraId="29613611">
        <w:tblPrEx>
          <w:tblCellMar>
            <w:top w:w="0" w:type="dxa"/>
            <w:left w:w="0" w:type="dxa"/>
            <w:bottom w:w="0" w:type="dxa"/>
            <w:right w:w="0" w:type="dxa"/>
          </w:tblCellMar>
        </w:tblPrEx>
        <w:trPr>
          <w:wBefore w:w="0" w:type="auto"/>
          <w:tblCellSpacing w:w="0" w:type="dxa"/>
        </w:trPr>
        <w:tc>
          <w:tcPr>
            <w:tcW w:w="0" w:type="auto"/>
            <w:noWrap w:val="0"/>
            <w:vAlign w:val="center"/>
          </w:tcPr>
          <w:p w14:paraId="0D378C6F">
            <w:r>
              <w:rPr>
                <w:rStyle w:val="10"/>
                <w:rFonts w:hint="eastAsia"/>
              </w:rPr>
              <w:t>质量保证期：</w:t>
            </w:r>
            <w:r>
              <w:rPr>
                <w:rStyle w:val="11"/>
                <w:rFonts w:hint="eastAsia"/>
              </w:rPr>
              <w:t>2年</w:t>
            </w:r>
          </w:p>
        </w:tc>
      </w:tr>
      <w:tr w14:paraId="2BD4DC10">
        <w:tblPrEx>
          <w:tblCellMar>
            <w:top w:w="0" w:type="dxa"/>
            <w:left w:w="0" w:type="dxa"/>
            <w:bottom w:w="0" w:type="dxa"/>
            <w:right w:w="0" w:type="dxa"/>
          </w:tblCellMar>
        </w:tblPrEx>
        <w:trPr>
          <w:wBefore w:w="0" w:type="auto"/>
          <w:tblCellSpacing w:w="0" w:type="dxa"/>
        </w:trPr>
        <w:tc>
          <w:tcPr>
            <w:tcW w:w="0" w:type="auto"/>
            <w:noWrap w:val="0"/>
            <w:vAlign w:val="center"/>
          </w:tcPr>
          <w:p w14:paraId="50181A87">
            <w:r>
              <w:rPr>
                <w:rStyle w:val="10"/>
                <w:rFonts w:hint="eastAsia"/>
              </w:rPr>
              <w:t>备注：</w:t>
            </w:r>
            <w:r>
              <w:rPr>
                <w:rFonts w:hint="eastAsia"/>
              </w:rPr>
              <w:br w:type="textWrapping"/>
            </w:r>
            <w:r>
              <w:rPr>
                <w:rStyle w:val="11"/>
                <w:rFonts w:hint="eastAsia"/>
              </w:rPr>
              <w:t>2甲4氯钠10%。</w:t>
            </w:r>
          </w:p>
        </w:tc>
      </w:tr>
    </w:tbl>
    <w:p w14:paraId="49D33A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0169AC">
        <w:tblPrEx>
          <w:tblCellMar>
            <w:top w:w="0" w:type="dxa"/>
            <w:left w:w="0" w:type="dxa"/>
            <w:bottom w:w="0" w:type="dxa"/>
            <w:right w:w="0" w:type="dxa"/>
          </w:tblCellMar>
        </w:tblPrEx>
        <w:trPr>
          <w:wBefore w:w="0" w:type="auto"/>
          <w:tblCellSpacing w:w="0" w:type="dxa"/>
        </w:trPr>
        <w:tc>
          <w:tcPr>
            <w:tcW w:w="0" w:type="auto"/>
            <w:noWrap w:val="0"/>
            <w:vAlign w:val="center"/>
          </w:tcPr>
          <w:p w14:paraId="33B962FC">
            <w:r>
              <w:rPr>
                <w:rStyle w:val="10"/>
                <w:rFonts w:hint="eastAsia"/>
              </w:rPr>
              <w:t>登记证号：</w:t>
            </w:r>
            <w:r>
              <w:rPr>
                <w:rFonts w:hint="eastAsia"/>
              </w:rPr>
              <w:t>PD20212624</w:t>
            </w:r>
          </w:p>
        </w:tc>
      </w:tr>
      <w:tr w14:paraId="003AD219">
        <w:tblPrEx>
          <w:tblCellMar>
            <w:top w:w="0" w:type="dxa"/>
            <w:left w:w="0" w:type="dxa"/>
            <w:bottom w:w="0" w:type="dxa"/>
            <w:right w:w="0" w:type="dxa"/>
          </w:tblCellMar>
        </w:tblPrEx>
        <w:trPr>
          <w:wBefore w:w="0" w:type="auto"/>
          <w:tblCellSpacing w:w="0" w:type="dxa"/>
        </w:trPr>
        <w:tc>
          <w:tcPr>
            <w:tcW w:w="0" w:type="auto"/>
            <w:noWrap w:val="0"/>
            <w:vAlign w:val="center"/>
          </w:tcPr>
          <w:p w14:paraId="5F86297A">
            <w:r>
              <w:rPr>
                <w:rStyle w:val="10"/>
                <w:rFonts w:hint="eastAsia"/>
              </w:rPr>
              <w:t>登记证持有人：</w:t>
            </w:r>
            <w:r>
              <w:rPr>
                <w:rFonts w:hint="eastAsia"/>
              </w:rPr>
              <w:t>侨昌现代农业有限公司</w:t>
            </w:r>
          </w:p>
        </w:tc>
      </w:tr>
      <w:tr w14:paraId="2E0DB072">
        <w:tblPrEx>
          <w:tblCellMar>
            <w:top w:w="0" w:type="dxa"/>
            <w:left w:w="0" w:type="dxa"/>
            <w:bottom w:w="0" w:type="dxa"/>
            <w:right w:w="0" w:type="dxa"/>
          </w:tblCellMar>
        </w:tblPrEx>
        <w:trPr>
          <w:wBefore w:w="0" w:type="auto"/>
          <w:tblCellSpacing w:w="0" w:type="dxa"/>
        </w:trPr>
        <w:tc>
          <w:tcPr>
            <w:tcW w:w="0" w:type="auto"/>
            <w:noWrap w:val="0"/>
            <w:vAlign w:val="center"/>
          </w:tcPr>
          <w:p w14:paraId="333AEE78">
            <w:r>
              <w:rPr>
                <w:rStyle w:val="10"/>
                <w:rFonts w:hint="eastAsia"/>
              </w:rPr>
              <w:t>农药名称：</w:t>
            </w:r>
            <w:r>
              <w:rPr>
                <w:rFonts w:hint="eastAsia"/>
              </w:rPr>
              <w:t>精草铵膦铵盐</w:t>
            </w:r>
          </w:p>
        </w:tc>
      </w:tr>
      <w:tr w14:paraId="1D26D9FC">
        <w:tblPrEx>
          <w:tblCellMar>
            <w:top w:w="0" w:type="dxa"/>
            <w:left w:w="0" w:type="dxa"/>
            <w:bottom w:w="0" w:type="dxa"/>
            <w:right w:w="0" w:type="dxa"/>
          </w:tblCellMar>
        </w:tblPrEx>
        <w:trPr>
          <w:wBefore w:w="0" w:type="auto"/>
          <w:tblCellSpacing w:w="0" w:type="dxa"/>
        </w:trPr>
        <w:tc>
          <w:tcPr>
            <w:tcW w:w="0" w:type="auto"/>
            <w:noWrap w:val="0"/>
            <w:vAlign w:val="center"/>
          </w:tcPr>
          <w:p w14:paraId="1488556A">
            <w:r>
              <w:rPr>
                <w:rStyle w:val="10"/>
                <w:rFonts w:hint="eastAsia"/>
              </w:rPr>
              <w:t>剂型：</w:t>
            </w:r>
            <w:r>
              <w:rPr>
                <w:rFonts w:hint="eastAsia"/>
              </w:rPr>
              <w:t>可溶液剂</w:t>
            </w:r>
          </w:p>
        </w:tc>
      </w:tr>
      <w:tr w14:paraId="1774F1A6">
        <w:tblPrEx>
          <w:tblCellMar>
            <w:top w:w="0" w:type="dxa"/>
            <w:left w:w="0" w:type="dxa"/>
            <w:bottom w:w="0" w:type="dxa"/>
            <w:right w:w="0" w:type="dxa"/>
          </w:tblCellMar>
        </w:tblPrEx>
        <w:trPr>
          <w:wBefore w:w="0" w:type="auto"/>
          <w:tblCellSpacing w:w="0" w:type="dxa"/>
        </w:trPr>
        <w:tc>
          <w:tcPr>
            <w:tcW w:w="0" w:type="auto"/>
            <w:noWrap w:val="0"/>
            <w:vAlign w:val="center"/>
          </w:tcPr>
          <w:p w14:paraId="7F0740E3">
            <w:r>
              <w:rPr>
                <w:rStyle w:val="10"/>
                <w:rFonts w:hint="eastAsia"/>
              </w:rPr>
              <w:t>毒性及其标识：</w:t>
            </w:r>
            <w:r>
              <w:rPr>
                <w:rFonts w:hint="eastAsia"/>
              </w:rPr>
              <w:t xml:space="preserve"> </w:t>
            </w:r>
            <w:r>
              <w:rPr>
                <w:lang/>
              </w:rPr>
              <w:drawing>
                <wp:inline distT="0" distB="0" distL="114300" distR="114300">
                  <wp:extent cx="476250" cy="323850"/>
                  <wp:effectExtent l="0" t="0" r="0" b="0"/>
                  <wp:docPr id="105" name="图片 1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E8D1734">
        <w:tblPrEx>
          <w:tblCellMar>
            <w:top w:w="0" w:type="dxa"/>
            <w:left w:w="0" w:type="dxa"/>
            <w:bottom w:w="0" w:type="dxa"/>
            <w:right w:w="0" w:type="dxa"/>
          </w:tblCellMar>
        </w:tblPrEx>
        <w:trPr>
          <w:wBefore w:w="0" w:type="auto"/>
          <w:tblCellSpacing w:w="0" w:type="dxa"/>
        </w:trPr>
        <w:tc>
          <w:tcPr>
            <w:tcW w:w="0" w:type="auto"/>
            <w:noWrap w:val="0"/>
            <w:vAlign w:val="center"/>
          </w:tcPr>
          <w:p w14:paraId="0A49EB14">
            <w:r>
              <w:rPr>
                <w:rStyle w:val="10"/>
                <w:rFonts w:hint="eastAsia"/>
              </w:rPr>
              <w:t>总有效成分含量：</w:t>
            </w:r>
            <w:r>
              <w:rPr>
                <w:rFonts w:hint="eastAsia"/>
              </w:rPr>
              <w:t>10%</w:t>
            </w:r>
          </w:p>
        </w:tc>
      </w:tr>
      <w:tr w14:paraId="0421AADB">
        <w:tblPrEx>
          <w:tblCellMar>
            <w:top w:w="0" w:type="dxa"/>
            <w:left w:w="0" w:type="dxa"/>
            <w:bottom w:w="0" w:type="dxa"/>
            <w:right w:w="0" w:type="dxa"/>
          </w:tblCellMar>
        </w:tblPrEx>
        <w:trPr>
          <w:wBefore w:w="0" w:type="auto"/>
          <w:tblCellSpacing w:w="0" w:type="dxa"/>
        </w:trPr>
        <w:tc>
          <w:tcPr>
            <w:tcW w:w="0" w:type="auto"/>
            <w:noWrap w:val="0"/>
            <w:vAlign w:val="center"/>
          </w:tcPr>
          <w:p w14:paraId="4282DF72">
            <w:r>
              <w:rPr>
                <w:rFonts w:hint="eastAsia"/>
              </w:rPr>
              <w:t xml:space="preserve">有效成分及其含量： </w:t>
            </w:r>
          </w:p>
          <w:p w14:paraId="13409772">
            <w:r>
              <w:rPr>
                <w:rFonts w:hint="eastAsia"/>
              </w:rPr>
              <w:t xml:space="preserve">    精草铵膦10%    </w:t>
            </w:r>
          </w:p>
        </w:tc>
      </w:tr>
      <w:tr w14:paraId="44DD6633">
        <w:tblPrEx>
          <w:tblCellMar>
            <w:top w:w="0" w:type="dxa"/>
            <w:left w:w="0" w:type="dxa"/>
            <w:bottom w:w="0" w:type="dxa"/>
            <w:right w:w="0" w:type="dxa"/>
          </w:tblCellMar>
        </w:tblPrEx>
        <w:trPr>
          <w:wBefore w:w="0" w:type="auto"/>
          <w:tblCellSpacing w:w="0" w:type="dxa"/>
        </w:trPr>
        <w:tc>
          <w:tcPr>
            <w:tcW w:w="0" w:type="auto"/>
            <w:noWrap w:val="0"/>
            <w:vAlign w:val="center"/>
          </w:tcPr>
          <w:p w14:paraId="5836CD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BBEF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6DEDC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9282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D1078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14873F">
                  <w:r>
                    <w:rPr>
                      <w:rStyle w:val="11"/>
                      <w:rFonts w:hint="eastAsia"/>
                    </w:rPr>
                    <w:t>施用方式</w:t>
                  </w:r>
                </w:p>
              </w:tc>
            </w:tr>
            <w:tr w14:paraId="1F50AD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86E17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CE1DA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B0D387">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5F42C3">
                  <w:r>
                    <w:rPr>
                      <w:rStyle w:val="11"/>
                      <w:rFonts w:hint="eastAsia"/>
                    </w:rPr>
                    <w:t>茎叶喷雾</w:t>
                  </w:r>
                </w:p>
              </w:tc>
            </w:tr>
          </w:tbl>
          <w:p w14:paraId="12E01A39">
            <w:pPr>
              <w:rPr>
                <w:rFonts w:ascii="Times New Roman" w:hAnsi="Times New Roman" w:cs="Times New Roman"/>
                <w:sz w:val="20"/>
                <w:szCs w:val="20"/>
              </w:rPr>
            </w:pPr>
          </w:p>
        </w:tc>
      </w:tr>
      <w:tr w14:paraId="2379FE6E">
        <w:tblPrEx>
          <w:tblCellMar>
            <w:top w:w="0" w:type="dxa"/>
            <w:left w:w="0" w:type="dxa"/>
            <w:bottom w:w="0" w:type="dxa"/>
            <w:right w:w="0" w:type="dxa"/>
          </w:tblCellMar>
        </w:tblPrEx>
        <w:trPr>
          <w:wBefore w:w="0" w:type="auto"/>
          <w:tblCellSpacing w:w="0" w:type="dxa"/>
        </w:trPr>
        <w:tc>
          <w:tcPr>
            <w:tcW w:w="0" w:type="auto"/>
            <w:noWrap w:val="0"/>
            <w:vAlign w:val="center"/>
          </w:tcPr>
          <w:p w14:paraId="0483038B">
            <w:r>
              <w:rPr>
                <w:rStyle w:val="10"/>
                <w:rFonts w:hint="eastAsia"/>
              </w:rPr>
              <w:t>使用技术要求:</w:t>
            </w:r>
            <w:r>
              <w:rPr>
                <w:rFonts w:hint="eastAsia"/>
              </w:rPr>
              <w:br w:type="textWrapping"/>
            </w:r>
            <w:r>
              <w:rPr>
                <w:rStyle w:val="11"/>
                <w:rFonts w:hint="eastAsia"/>
              </w:rPr>
              <w:t>1、.杂草生长旺盛时期施药，每亩兑水20-30公斤，均匀茎叶喷雾。2、.大风天或预计1小时内降雨，请勿施药。3.施药时注意避免药液飘移到邻近作物。</w:t>
            </w:r>
          </w:p>
        </w:tc>
      </w:tr>
      <w:tr w14:paraId="58673611">
        <w:tblPrEx>
          <w:tblCellMar>
            <w:top w:w="0" w:type="dxa"/>
            <w:left w:w="0" w:type="dxa"/>
            <w:bottom w:w="0" w:type="dxa"/>
            <w:right w:w="0" w:type="dxa"/>
          </w:tblCellMar>
        </w:tblPrEx>
        <w:trPr>
          <w:wBefore w:w="0" w:type="auto"/>
          <w:tblCellSpacing w:w="0" w:type="dxa"/>
        </w:trPr>
        <w:tc>
          <w:tcPr>
            <w:tcW w:w="0" w:type="auto"/>
            <w:noWrap w:val="0"/>
            <w:vAlign w:val="center"/>
          </w:tcPr>
          <w:p w14:paraId="6B5BB459">
            <w:r>
              <w:rPr>
                <w:rStyle w:val="10"/>
                <w:rFonts w:hint="eastAsia"/>
              </w:rPr>
              <w:t>产品性能:</w:t>
            </w:r>
            <w:r>
              <w:rPr>
                <w:rFonts w:hint="eastAsia"/>
              </w:rPr>
              <w:br w:type="textWrapping"/>
            </w:r>
            <w:r>
              <w:rPr>
                <w:rStyle w:val="11"/>
                <w:rFonts w:hint="eastAsia"/>
              </w:rPr>
              <w:t>本品为稳定的均相液体，可有效防除非耕地杂草。</w:t>
            </w:r>
          </w:p>
        </w:tc>
      </w:tr>
      <w:tr w14:paraId="5A93EFF9">
        <w:tblPrEx>
          <w:tblCellMar>
            <w:top w:w="0" w:type="dxa"/>
            <w:left w:w="0" w:type="dxa"/>
            <w:bottom w:w="0" w:type="dxa"/>
            <w:right w:w="0" w:type="dxa"/>
          </w:tblCellMar>
        </w:tblPrEx>
        <w:trPr>
          <w:wBefore w:w="0" w:type="auto"/>
          <w:tblCellSpacing w:w="0" w:type="dxa"/>
        </w:trPr>
        <w:tc>
          <w:tcPr>
            <w:tcW w:w="0" w:type="auto"/>
            <w:noWrap w:val="0"/>
            <w:vAlign w:val="center"/>
          </w:tcPr>
          <w:p w14:paraId="68EF7C66">
            <w:r>
              <w:rPr>
                <w:rStyle w:val="10"/>
                <w:rFonts w:hint="eastAsia"/>
              </w:rPr>
              <w:t>注意事项：</w:t>
            </w:r>
            <w:r>
              <w:rPr>
                <w:rFonts w:hint="eastAsia"/>
              </w:rPr>
              <w:br w:type="textWrapping"/>
            </w:r>
            <w:r>
              <w:rPr>
                <w:rStyle w:val="11"/>
                <w:rFonts w:hint="eastAsia"/>
              </w:rPr>
              <w:t>1.使用本品时应穿防护服、戴口罩、手套等防护用具，避免吸入药液；施药期间不可吃东西、喝水、吸烟等。施药后应及时洗手、洗脸等。2.施药期间应避免对周围蜂群的影响，禁止在开花植物花期、蚕室和桑园附近使用。赤眼蜂等天敌放飞区域禁用。地下水、饮用水水源地禁用。禁止在河塘等水域内清洗施药器具或将清洗施药器具的废水倒入河流、池塘等水源。3.禁止在田间道路、田埂、果树行间、休耕地、林场林地等农林业区域使用。4.本药剂大面积灭草时，药后杂草成片干枯，应注意防治火灾发生。5.废弃物应妥善处理，不可做他用，也不可随意丢弃。6.孕妇及哺乳期妇女避免接触本品。</w:t>
            </w:r>
          </w:p>
        </w:tc>
      </w:tr>
      <w:tr w14:paraId="0D3DEB9C">
        <w:tblPrEx>
          <w:tblCellMar>
            <w:top w:w="0" w:type="dxa"/>
            <w:left w:w="0" w:type="dxa"/>
            <w:bottom w:w="0" w:type="dxa"/>
            <w:right w:w="0" w:type="dxa"/>
          </w:tblCellMar>
        </w:tblPrEx>
        <w:trPr>
          <w:wBefore w:w="0" w:type="auto"/>
          <w:tblCellSpacing w:w="0" w:type="dxa"/>
        </w:trPr>
        <w:tc>
          <w:tcPr>
            <w:tcW w:w="0" w:type="auto"/>
            <w:noWrap w:val="0"/>
            <w:vAlign w:val="center"/>
          </w:tcPr>
          <w:p w14:paraId="0573B4C9">
            <w:r>
              <w:rPr>
                <w:rStyle w:val="10"/>
                <w:rFonts w:hint="eastAsia"/>
              </w:rPr>
              <w:t>中毒急救措施：</w:t>
            </w:r>
            <w:r>
              <w:rPr>
                <w:rFonts w:hint="eastAsia"/>
              </w:rPr>
              <w:br w:type="textWrapping"/>
            </w:r>
            <w:r>
              <w:rPr>
                <w:rStyle w:val="11"/>
                <w:rFonts w:hint="eastAsia"/>
              </w:rPr>
              <w:t xml:space="preserve">皮肤接触：立即脱掉被污染的衣物，用大量清水彻底冲洗受污染皮肤，如皮肤刺激感持续，请医生诊治。 眼睛溅药：立即将眼睑翻开，用清水冲洗至少15分钟，再请医生诊治。 发生吸入：立即将吸入者转移到空气清新处，注意保暖和休息。请医生诊治。 误服：请勿引吐，及时去医院检查，对症治疗。 </w:t>
            </w:r>
          </w:p>
        </w:tc>
      </w:tr>
      <w:tr w14:paraId="312B4A03">
        <w:tblPrEx>
          <w:tblCellMar>
            <w:top w:w="0" w:type="dxa"/>
            <w:left w:w="0" w:type="dxa"/>
            <w:bottom w:w="0" w:type="dxa"/>
            <w:right w:w="0" w:type="dxa"/>
          </w:tblCellMar>
        </w:tblPrEx>
        <w:trPr>
          <w:wBefore w:w="0" w:type="auto"/>
          <w:tblCellSpacing w:w="0" w:type="dxa"/>
        </w:trPr>
        <w:tc>
          <w:tcPr>
            <w:tcW w:w="0" w:type="auto"/>
            <w:noWrap w:val="0"/>
            <w:vAlign w:val="center"/>
          </w:tcPr>
          <w:p w14:paraId="6D309E7B">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6D16629A">
        <w:tblPrEx>
          <w:tblCellMar>
            <w:top w:w="0" w:type="dxa"/>
            <w:left w:w="0" w:type="dxa"/>
            <w:bottom w:w="0" w:type="dxa"/>
            <w:right w:w="0" w:type="dxa"/>
          </w:tblCellMar>
        </w:tblPrEx>
        <w:trPr>
          <w:wBefore w:w="0" w:type="auto"/>
          <w:tblCellSpacing w:w="0" w:type="dxa"/>
        </w:trPr>
        <w:tc>
          <w:tcPr>
            <w:tcW w:w="0" w:type="auto"/>
            <w:noWrap w:val="0"/>
            <w:vAlign w:val="center"/>
          </w:tcPr>
          <w:p w14:paraId="1B984E5B">
            <w:r>
              <w:rPr>
                <w:rStyle w:val="10"/>
                <w:rFonts w:hint="eastAsia"/>
              </w:rPr>
              <w:t>质量保证期：</w:t>
            </w:r>
            <w:r>
              <w:rPr>
                <w:rStyle w:val="11"/>
                <w:rFonts w:hint="eastAsia"/>
              </w:rPr>
              <w:t>2年</w:t>
            </w:r>
          </w:p>
        </w:tc>
      </w:tr>
      <w:tr w14:paraId="01D60C96">
        <w:tblPrEx>
          <w:tblCellMar>
            <w:top w:w="0" w:type="dxa"/>
            <w:left w:w="0" w:type="dxa"/>
            <w:bottom w:w="0" w:type="dxa"/>
            <w:right w:w="0" w:type="dxa"/>
          </w:tblCellMar>
        </w:tblPrEx>
        <w:trPr>
          <w:wBefore w:w="0" w:type="auto"/>
          <w:tblCellSpacing w:w="0" w:type="dxa"/>
        </w:trPr>
        <w:tc>
          <w:tcPr>
            <w:tcW w:w="0" w:type="auto"/>
            <w:noWrap w:val="0"/>
            <w:vAlign w:val="center"/>
          </w:tcPr>
          <w:p w14:paraId="17CA6908">
            <w:r>
              <w:rPr>
                <w:rStyle w:val="10"/>
                <w:rFonts w:hint="eastAsia"/>
              </w:rPr>
              <w:t>备注：</w:t>
            </w:r>
            <w:r>
              <w:rPr>
                <w:rFonts w:hint="eastAsia"/>
              </w:rPr>
              <w:br w:type="textWrapping"/>
            </w:r>
            <w:r>
              <w:rPr>
                <w:rStyle w:val="11"/>
                <w:rFonts w:hint="eastAsia"/>
              </w:rPr>
              <w:t>精草铵膦铵盐10.9%。</w:t>
            </w:r>
          </w:p>
        </w:tc>
      </w:tr>
    </w:tbl>
    <w:p w14:paraId="3F8C31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C2E2F1">
        <w:tblPrEx>
          <w:tblCellMar>
            <w:top w:w="0" w:type="dxa"/>
            <w:left w:w="0" w:type="dxa"/>
            <w:bottom w:w="0" w:type="dxa"/>
            <w:right w:w="0" w:type="dxa"/>
          </w:tblCellMar>
        </w:tblPrEx>
        <w:trPr>
          <w:wBefore w:w="0" w:type="auto"/>
          <w:tblCellSpacing w:w="0" w:type="dxa"/>
        </w:trPr>
        <w:tc>
          <w:tcPr>
            <w:tcW w:w="0" w:type="auto"/>
            <w:noWrap w:val="0"/>
            <w:vAlign w:val="center"/>
          </w:tcPr>
          <w:p w14:paraId="008BECA7">
            <w:r>
              <w:rPr>
                <w:rStyle w:val="10"/>
                <w:rFonts w:hint="eastAsia"/>
              </w:rPr>
              <w:t>登记证号：</w:t>
            </w:r>
            <w:r>
              <w:rPr>
                <w:rFonts w:hint="eastAsia"/>
              </w:rPr>
              <w:t>PD20212701</w:t>
            </w:r>
          </w:p>
        </w:tc>
      </w:tr>
      <w:tr w14:paraId="6F0D63D2">
        <w:tblPrEx>
          <w:tblCellMar>
            <w:top w:w="0" w:type="dxa"/>
            <w:left w:w="0" w:type="dxa"/>
            <w:bottom w:w="0" w:type="dxa"/>
            <w:right w:w="0" w:type="dxa"/>
          </w:tblCellMar>
        </w:tblPrEx>
        <w:trPr>
          <w:wBefore w:w="0" w:type="auto"/>
          <w:tblCellSpacing w:w="0" w:type="dxa"/>
        </w:trPr>
        <w:tc>
          <w:tcPr>
            <w:tcW w:w="0" w:type="auto"/>
            <w:noWrap w:val="0"/>
            <w:vAlign w:val="center"/>
          </w:tcPr>
          <w:p w14:paraId="53DF3BB2">
            <w:r>
              <w:rPr>
                <w:rStyle w:val="10"/>
                <w:rFonts w:hint="eastAsia"/>
              </w:rPr>
              <w:t>登记证持有人：</w:t>
            </w:r>
            <w:r>
              <w:rPr>
                <w:rFonts w:hint="eastAsia"/>
              </w:rPr>
              <w:t>广西田园生化股份有限公司</w:t>
            </w:r>
          </w:p>
        </w:tc>
      </w:tr>
      <w:tr w14:paraId="4F4823F2">
        <w:tblPrEx>
          <w:tblCellMar>
            <w:top w:w="0" w:type="dxa"/>
            <w:left w:w="0" w:type="dxa"/>
            <w:bottom w:w="0" w:type="dxa"/>
            <w:right w:w="0" w:type="dxa"/>
          </w:tblCellMar>
        </w:tblPrEx>
        <w:trPr>
          <w:wBefore w:w="0" w:type="auto"/>
          <w:tblCellSpacing w:w="0" w:type="dxa"/>
        </w:trPr>
        <w:tc>
          <w:tcPr>
            <w:tcW w:w="0" w:type="auto"/>
            <w:noWrap w:val="0"/>
            <w:vAlign w:val="center"/>
          </w:tcPr>
          <w:p w14:paraId="383B5EE9">
            <w:r>
              <w:rPr>
                <w:rStyle w:val="10"/>
                <w:rFonts w:hint="eastAsia"/>
              </w:rPr>
              <w:t>农药名称：</w:t>
            </w:r>
            <w:r>
              <w:rPr>
                <w:rFonts w:hint="eastAsia"/>
              </w:rPr>
              <w:t>氟胺·氰霜唑</w:t>
            </w:r>
          </w:p>
        </w:tc>
      </w:tr>
      <w:tr w14:paraId="4262A2F9">
        <w:tblPrEx>
          <w:tblCellMar>
            <w:top w:w="0" w:type="dxa"/>
            <w:left w:w="0" w:type="dxa"/>
            <w:bottom w:w="0" w:type="dxa"/>
            <w:right w:w="0" w:type="dxa"/>
          </w:tblCellMar>
        </w:tblPrEx>
        <w:trPr>
          <w:wBefore w:w="0" w:type="auto"/>
          <w:tblCellSpacing w:w="0" w:type="dxa"/>
        </w:trPr>
        <w:tc>
          <w:tcPr>
            <w:tcW w:w="0" w:type="auto"/>
            <w:noWrap w:val="0"/>
            <w:vAlign w:val="center"/>
          </w:tcPr>
          <w:p w14:paraId="0CB2B2C4">
            <w:r>
              <w:rPr>
                <w:rStyle w:val="10"/>
                <w:rFonts w:hint="eastAsia"/>
              </w:rPr>
              <w:t>剂型：</w:t>
            </w:r>
            <w:r>
              <w:rPr>
                <w:rFonts w:hint="eastAsia"/>
              </w:rPr>
              <w:t>悬浮剂</w:t>
            </w:r>
          </w:p>
        </w:tc>
      </w:tr>
      <w:tr w14:paraId="08E516E3">
        <w:tblPrEx>
          <w:tblCellMar>
            <w:top w:w="0" w:type="dxa"/>
            <w:left w:w="0" w:type="dxa"/>
            <w:bottom w:w="0" w:type="dxa"/>
            <w:right w:w="0" w:type="dxa"/>
          </w:tblCellMar>
        </w:tblPrEx>
        <w:trPr>
          <w:wBefore w:w="0" w:type="auto"/>
          <w:tblCellSpacing w:w="0" w:type="dxa"/>
        </w:trPr>
        <w:tc>
          <w:tcPr>
            <w:tcW w:w="0" w:type="auto"/>
            <w:noWrap w:val="0"/>
            <w:vAlign w:val="center"/>
          </w:tcPr>
          <w:p w14:paraId="7AC8B620">
            <w:r>
              <w:rPr>
                <w:rStyle w:val="10"/>
                <w:rFonts w:hint="eastAsia"/>
              </w:rPr>
              <w:t>毒性及其标识：</w:t>
            </w:r>
            <w:r>
              <w:rPr>
                <w:rFonts w:hint="eastAsia"/>
              </w:rPr>
              <w:t xml:space="preserve"> </w:t>
            </w:r>
            <w:r>
              <w:rPr>
                <w:lang/>
              </w:rPr>
              <w:drawing>
                <wp:inline distT="0" distB="0" distL="114300" distR="114300">
                  <wp:extent cx="476250" cy="323850"/>
                  <wp:effectExtent l="0" t="0" r="0" b="0"/>
                  <wp:docPr id="106" name="图片 1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95F89F">
        <w:tblPrEx>
          <w:tblCellMar>
            <w:top w:w="0" w:type="dxa"/>
            <w:left w:w="0" w:type="dxa"/>
            <w:bottom w:w="0" w:type="dxa"/>
            <w:right w:w="0" w:type="dxa"/>
          </w:tblCellMar>
        </w:tblPrEx>
        <w:trPr>
          <w:wBefore w:w="0" w:type="auto"/>
          <w:tblCellSpacing w:w="0" w:type="dxa"/>
        </w:trPr>
        <w:tc>
          <w:tcPr>
            <w:tcW w:w="0" w:type="auto"/>
            <w:noWrap w:val="0"/>
            <w:vAlign w:val="center"/>
          </w:tcPr>
          <w:p w14:paraId="144516E1">
            <w:r>
              <w:rPr>
                <w:rStyle w:val="10"/>
                <w:rFonts w:hint="eastAsia"/>
              </w:rPr>
              <w:t>总有效成分含量：</w:t>
            </w:r>
            <w:r>
              <w:rPr>
                <w:rFonts w:hint="eastAsia"/>
              </w:rPr>
              <w:t>30%</w:t>
            </w:r>
          </w:p>
        </w:tc>
      </w:tr>
      <w:tr w14:paraId="66CEB847">
        <w:tblPrEx>
          <w:tblCellMar>
            <w:top w:w="0" w:type="dxa"/>
            <w:left w:w="0" w:type="dxa"/>
            <w:bottom w:w="0" w:type="dxa"/>
            <w:right w:w="0" w:type="dxa"/>
          </w:tblCellMar>
        </w:tblPrEx>
        <w:trPr>
          <w:wBefore w:w="0" w:type="auto"/>
          <w:tblCellSpacing w:w="0" w:type="dxa"/>
        </w:trPr>
        <w:tc>
          <w:tcPr>
            <w:tcW w:w="0" w:type="auto"/>
            <w:noWrap w:val="0"/>
            <w:vAlign w:val="center"/>
          </w:tcPr>
          <w:p w14:paraId="7BBFE28A">
            <w:r>
              <w:rPr>
                <w:rFonts w:hint="eastAsia"/>
              </w:rPr>
              <w:t xml:space="preserve">有效成分及其含量： </w:t>
            </w:r>
          </w:p>
          <w:p w14:paraId="27A80107">
            <w:r>
              <w:rPr>
                <w:rFonts w:hint="eastAsia"/>
              </w:rPr>
              <w:t xml:space="preserve">    氟啶胺25%    氰霜唑5%    </w:t>
            </w:r>
          </w:p>
        </w:tc>
      </w:tr>
      <w:tr w14:paraId="27ED379E">
        <w:tblPrEx>
          <w:tblCellMar>
            <w:top w:w="0" w:type="dxa"/>
            <w:left w:w="0" w:type="dxa"/>
            <w:bottom w:w="0" w:type="dxa"/>
            <w:right w:w="0" w:type="dxa"/>
          </w:tblCellMar>
        </w:tblPrEx>
        <w:trPr>
          <w:wBefore w:w="0" w:type="auto"/>
          <w:tblCellSpacing w:w="0" w:type="dxa"/>
        </w:trPr>
        <w:tc>
          <w:tcPr>
            <w:tcW w:w="0" w:type="auto"/>
            <w:noWrap w:val="0"/>
            <w:vAlign w:val="center"/>
          </w:tcPr>
          <w:p w14:paraId="5907C4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14E9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6845F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16BE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578CC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1073E2">
                  <w:r>
                    <w:rPr>
                      <w:rStyle w:val="11"/>
                      <w:rFonts w:hint="eastAsia"/>
                    </w:rPr>
                    <w:t>施用方式</w:t>
                  </w:r>
                </w:p>
              </w:tc>
            </w:tr>
            <w:tr w14:paraId="655B9E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F569FA">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6212B7">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BB60A0">
                  <w:r>
                    <w:rPr>
                      <w:rStyle w:val="11"/>
                      <w:rFonts w:hint="eastAsia"/>
                    </w:rPr>
                    <w:t>35-60毫升/亩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33D613">
                  <w:r>
                    <w:rPr>
                      <w:rStyle w:val="11"/>
                      <w:rFonts w:hint="eastAsia"/>
                    </w:rPr>
                    <w:t>喷雾</w:t>
                  </w:r>
                </w:p>
              </w:tc>
            </w:tr>
          </w:tbl>
          <w:p w14:paraId="1B5242B6">
            <w:pPr>
              <w:rPr>
                <w:rFonts w:ascii="Times New Roman" w:hAnsi="Times New Roman" w:cs="Times New Roman"/>
                <w:sz w:val="20"/>
                <w:szCs w:val="20"/>
              </w:rPr>
            </w:pPr>
          </w:p>
        </w:tc>
      </w:tr>
      <w:tr w14:paraId="2C009E0D">
        <w:tblPrEx>
          <w:tblCellMar>
            <w:top w:w="0" w:type="dxa"/>
            <w:left w:w="0" w:type="dxa"/>
            <w:bottom w:w="0" w:type="dxa"/>
            <w:right w:w="0" w:type="dxa"/>
          </w:tblCellMar>
        </w:tblPrEx>
        <w:trPr>
          <w:wBefore w:w="0" w:type="auto"/>
          <w:tblCellSpacing w:w="0" w:type="dxa"/>
        </w:trPr>
        <w:tc>
          <w:tcPr>
            <w:tcW w:w="0" w:type="auto"/>
            <w:noWrap w:val="0"/>
            <w:vAlign w:val="center"/>
          </w:tcPr>
          <w:p w14:paraId="7948224A">
            <w:r>
              <w:rPr>
                <w:rStyle w:val="10"/>
                <w:rFonts w:hint="eastAsia"/>
              </w:rPr>
              <w:t>使用技术要求:</w:t>
            </w:r>
            <w:r>
              <w:rPr>
                <w:rFonts w:hint="eastAsia"/>
              </w:rPr>
              <w:br w:type="textWrapping"/>
            </w:r>
            <w:r>
              <w:rPr>
                <w:rStyle w:val="11"/>
                <w:rFonts w:hint="eastAsia"/>
              </w:rPr>
              <w:t>1.在马铃薯晚疫病发病前或发病初期施药，施药2次，间隔7-10天。2.在马铃薯上最多施药2次，安全间隔期14天。3.大风天或预计1小时内有降雨，请勿用药。</w:t>
            </w:r>
          </w:p>
        </w:tc>
      </w:tr>
      <w:tr w14:paraId="214F9705">
        <w:tblPrEx>
          <w:tblCellMar>
            <w:top w:w="0" w:type="dxa"/>
            <w:left w:w="0" w:type="dxa"/>
            <w:bottom w:w="0" w:type="dxa"/>
            <w:right w:w="0" w:type="dxa"/>
          </w:tblCellMar>
        </w:tblPrEx>
        <w:trPr>
          <w:wBefore w:w="0" w:type="auto"/>
          <w:tblCellSpacing w:w="0" w:type="dxa"/>
        </w:trPr>
        <w:tc>
          <w:tcPr>
            <w:tcW w:w="0" w:type="auto"/>
            <w:noWrap w:val="0"/>
            <w:vAlign w:val="center"/>
          </w:tcPr>
          <w:p w14:paraId="7A92758D">
            <w:r>
              <w:rPr>
                <w:rStyle w:val="10"/>
                <w:rFonts w:hint="eastAsia"/>
              </w:rPr>
              <w:t>产品性能:</w:t>
            </w:r>
            <w:r>
              <w:rPr>
                <w:rFonts w:hint="eastAsia"/>
              </w:rPr>
              <w:br w:type="textWrapping"/>
            </w:r>
            <w:r>
              <w:rPr>
                <w:rStyle w:val="11"/>
                <w:rFonts w:hint="eastAsia"/>
              </w:rPr>
              <w:t>本品是氟啶胺和氰霜唑配制而成的杀菌剂，氟啶胺为吡啶类杀菌剂，对鞭毛菌类、半知菌类引起的病害有良好的防治效果；氰霜唑是氰基咪唑类杀菌剂，它能阻碍藻菌类病害的各个生长阶段。本品对马铃薯晚疫病有较好的防治效果。</w:t>
            </w:r>
          </w:p>
        </w:tc>
      </w:tr>
      <w:tr w14:paraId="6D12A5C0">
        <w:tblPrEx>
          <w:tblCellMar>
            <w:top w:w="0" w:type="dxa"/>
            <w:left w:w="0" w:type="dxa"/>
            <w:bottom w:w="0" w:type="dxa"/>
            <w:right w:w="0" w:type="dxa"/>
          </w:tblCellMar>
        </w:tblPrEx>
        <w:trPr>
          <w:wBefore w:w="0" w:type="auto"/>
          <w:tblCellSpacing w:w="0" w:type="dxa"/>
        </w:trPr>
        <w:tc>
          <w:tcPr>
            <w:tcW w:w="0" w:type="auto"/>
            <w:noWrap w:val="0"/>
            <w:vAlign w:val="center"/>
          </w:tcPr>
          <w:p w14:paraId="32454DC9">
            <w:r>
              <w:rPr>
                <w:rStyle w:val="10"/>
                <w:rFonts w:hint="eastAsia"/>
              </w:rPr>
              <w:t>注意事项：</w:t>
            </w:r>
            <w:r>
              <w:rPr>
                <w:rFonts w:hint="eastAsia"/>
              </w:rPr>
              <w:br w:type="textWrapping"/>
            </w:r>
            <w:r>
              <w:rPr>
                <w:rStyle w:val="11"/>
                <w:rFonts w:hint="eastAsia"/>
              </w:rPr>
              <w:t>1.使用时应穿戴防护用品，避免药液溅入眼睛和接触皮肤。施药期间不可吃东西和饮水。施药后应及时洗手或洗脸。2.远离水产养殖区、河塘等水体施药，禁止在河塘等水体中清洗施药器具。3.本品不能与碱性农药等物质混用。4.建议与不同作用机制的杀虫剂轮换使用。5.用过的容器应妥善处理，不要做他用，也不可随意丢弃。6.孕妇及哺乳期妇女禁止接触本品。</w:t>
            </w:r>
          </w:p>
        </w:tc>
      </w:tr>
      <w:tr w14:paraId="392D9AA1">
        <w:tblPrEx>
          <w:tblCellMar>
            <w:top w:w="0" w:type="dxa"/>
            <w:left w:w="0" w:type="dxa"/>
            <w:bottom w:w="0" w:type="dxa"/>
            <w:right w:w="0" w:type="dxa"/>
          </w:tblCellMar>
        </w:tblPrEx>
        <w:trPr>
          <w:wBefore w:w="0" w:type="auto"/>
          <w:tblCellSpacing w:w="0" w:type="dxa"/>
        </w:trPr>
        <w:tc>
          <w:tcPr>
            <w:tcW w:w="0" w:type="auto"/>
            <w:noWrap w:val="0"/>
            <w:vAlign w:val="center"/>
          </w:tcPr>
          <w:p w14:paraId="41C3D621">
            <w:r>
              <w:rPr>
                <w:rStyle w:val="10"/>
                <w:rFonts w:hint="eastAsia"/>
              </w:rPr>
              <w:t>中毒急救措施：</w:t>
            </w:r>
            <w:r>
              <w:rPr>
                <w:rFonts w:hint="eastAsia"/>
              </w:rPr>
              <w:br w:type="textWrapping"/>
            </w:r>
            <w:r>
              <w:rPr>
                <w:rStyle w:val="11"/>
                <w:rFonts w:hint="eastAsia"/>
              </w:rPr>
              <w:t>本品对眼睛有刺激性。使用中或使用后如果感觉不适，应立即停止工作，采取急救措施，并携带标签送医就诊。 1.如接触皮肤，用肥皂和大量清水彻底清洗受污的皮肤；2.如不慎吸入，应将病人移至空气流通处； 3.如溅及眼睛，用大量清水冲洗眼睛至少15分钟，严重者送医就诊； 4.如误服，立即携带标签，送医就诊，对症治疗。</w:t>
            </w:r>
          </w:p>
        </w:tc>
      </w:tr>
      <w:tr w14:paraId="194B13A2">
        <w:tblPrEx>
          <w:tblCellMar>
            <w:top w:w="0" w:type="dxa"/>
            <w:left w:w="0" w:type="dxa"/>
            <w:bottom w:w="0" w:type="dxa"/>
            <w:right w:w="0" w:type="dxa"/>
          </w:tblCellMar>
        </w:tblPrEx>
        <w:trPr>
          <w:wBefore w:w="0" w:type="auto"/>
          <w:tblCellSpacing w:w="0" w:type="dxa"/>
        </w:trPr>
        <w:tc>
          <w:tcPr>
            <w:tcW w:w="0" w:type="auto"/>
            <w:noWrap w:val="0"/>
            <w:vAlign w:val="center"/>
          </w:tcPr>
          <w:p w14:paraId="60075E7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本品应贮存在干燥、阴凉、通风、防雨处，远离火源或热源。置于儿童触及不到之处，并加锁。勿与食品、饮料、粮食、种子、饲料等同贮同运。</w:t>
            </w:r>
          </w:p>
        </w:tc>
      </w:tr>
      <w:tr w14:paraId="19A65EC2">
        <w:tblPrEx>
          <w:tblCellMar>
            <w:top w:w="0" w:type="dxa"/>
            <w:left w:w="0" w:type="dxa"/>
            <w:bottom w:w="0" w:type="dxa"/>
            <w:right w:w="0" w:type="dxa"/>
          </w:tblCellMar>
        </w:tblPrEx>
        <w:trPr>
          <w:wBefore w:w="0" w:type="auto"/>
          <w:tblCellSpacing w:w="0" w:type="dxa"/>
        </w:trPr>
        <w:tc>
          <w:tcPr>
            <w:tcW w:w="0" w:type="auto"/>
            <w:noWrap w:val="0"/>
            <w:vAlign w:val="center"/>
          </w:tcPr>
          <w:p w14:paraId="03A4F027">
            <w:r>
              <w:rPr>
                <w:rStyle w:val="10"/>
                <w:rFonts w:hint="eastAsia"/>
              </w:rPr>
              <w:t>质量保证期：</w:t>
            </w:r>
            <w:r>
              <w:rPr>
                <w:rStyle w:val="11"/>
                <w:rFonts w:hint="eastAsia"/>
              </w:rPr>
              <w:t>2年</w:t>
            </w:r>
          </w:p>
        </w:tc>
      </w:tr>
      <w:tr w14:paraId="71D3CC59">
        <w:tblPrEx>
          <w:tblCellMar>
            <w:top w:w="0" w:type="dxa"/>
            <w:left w:w="0" w:type="dxa"/>
            <w:bottom w:w="0" w:type="dxa"/>
            <w:right w:w="0" w:type="dxa"/>
          </w:tblCellMar>
        </w:tblPrEx>
        <w:trPr>
          <w:wBefore w:w="0" w:type="auto"/>
          <w:tblCellSpacing w:w="0" w:type="dxa"/>
        </w:trPr>
        <w:tc>
          <w:tcPr>
            <w:tcW w:w="0" w:type="auto"/>
            <w:noWrap w:val="0"/>
            <w:vAlign w:val="center"/>
          </w:tcPr>
          <w:p w14:paraId="11F74F7F">
            <w:r>
              <w:rPr>
                <w:rStyle w:val="10"/>
                <w:rFonts w:hint="eastAsia"/>
              </w:rPr>
              <w:t>备注：</w:t>
            </w:r>
          </w:p>
        </w:tc>
      </w:tr>
    </w:tbl>
    <w:p w14:paraId="0171A8D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EC8707">
        <w:tblPrEx>
          <w:tblCellMar>
            <w:top w:w="0" w:type="dxa"/>
            <w:left w:w="0" w:type="dxa"/>
            <w:bottom w:w="0" w:type="dxa"/>
            <w:right w:w="0" w:type="dxa"/>
          </w:tblCellMar>
        </w:tblPrEx>
        <w:trPr>
          <w:wBefore w:w="0" w:type="auto"/>
          <w:tblCellSpacing w:w="0" w:type="dxa"/>
        </w:trPr>
        <w:tc>
          <w:tcPr>
            <w:tcW w:w="0" w:type="auto"/>
            <w:noWrap w:val="0"/>
            <w:vAlign w:val="center"/>
          </w:tcPr>
          <w:p w14:paraId="2D78D25D">
            <w:r>
              <w:rPr>
                <w:rStyle w:val="10"/>
                <w:rFonts w:hint="eastAsia"/>
              </w:rPr>
              <w:t>登记证号：</w:t>
            </w:r>
            <w:r>
              <w:rPr>
                <w:rFonts w:hint="eastAsia"/>
              </w:rPr>
              <w:t>PD20212370</w:t>
            </w:r>
          </w:p>
        </w:tc>
      </w:tr>
      <w:tr w14:paraId="52B947DA">
        <w:tblPrEx>
          <w:tblCellMar>
            <w:top w:w="0" w:type="dxa"/>
            <w:left w:w="0" w:type="dxa"/>
            <w:bottom w:w="0" w:type="dxa"/>
            <w:right w:w="0" w:type="dxa"/>
          </w:tblCellMar>
        </w:tblPrEx>
        <w:trPr>
          <w:wBefore w:w="0" w:type="auto"/>
          <w:tblCellSpacing w:w="0" w:type="dxa"/>
        </w:trPr>
        <w:tc>
          <w:tcPr>
            <w:tcW w:w="0" w:type="auto"/>
            <w:noWrap w:val="0"/>
            <w:vAlign w:val="center"/>
          </w:tcPr>
          <w:p w14:paraId="2E2E2712">
            <w:r>
              <w:rPr>
                <w:rStyle w:val="10"/>
                <w:rFonts w:hint="eastAsia"/>
              </w:rPr>
              <w:t>登记证持有人：</w:t>
            </w:r>
            <w:r>
              <w:rPr>
                <w:rFonts w:hint="eastAsia"/>
              </w:rPr>
              <w:t>精典之路农业科技有限公司</w:t>
            </w:r>
          </w:p>
        </w:tc>
      </w:tr>
      <w:tr w14:paraId="43AA6CC7">
        <w:tblPrEx>
          <w:tblCellMar>
            <w:top w:w="0" w:type="dxa"/>
            <w:left w:w="0" w:type="dxa"/>
            <w:bottom w:w="0" w:type="dxa"/>
            <w:right w:w="0" w:type="dxa"/>
          </w:tblCellMar>
        </w:tblPrEx>
        <w:trPr>
          <w:wBefore w:w="0" w:type="auto"/>
          <w:tblCellSpacing w:w="0" w:type="dxa"/>
        </w:trPr>
        <w:tc>
          <w:tcPr>
            <w:tcW w:w="0" w:type="auto"/>
            <w:noWrap w:val="0"/>
            <w:vAlign w:val="center"/>
          </w:tcPr>
          <w:p w14:paraId="5F83694D">
            <w:r>
              <w:rPr>
                <w:rStyle w:val="10"/>
                <w:rFonts w:hint="eastAsia"/>
              </w:rPr>
              <w:t>农药名称：</w:t>
            </w:r>
            <w:r>
              <w:rPr>
                <w:rFonts w:hint="eastAsia"/>
              </w:rPr>
              <w:t>虫螨腈·虱螨脲</w:t>
            </w:r>
          </w:p>
        </w:tc>
      </w:tr>
      <w:tr w14:paraId="4D585994">
        <w:tblPrEx>
          <w:tblCellMar>
            <w:top w:w="0" w:type="dxa"/>
            <w:left w:w="0" w:type="dxa"/>
            <w:bottom w:w="0" w:type="dxa"/>
            <w:right w:w="0" w:type="dxa"/>
          </w:tblCellMar>
        </w:tblPrEx>
        <w:trPr>
          <w:wBefore w:w="0" w:type="auto"/>
          <w:tblCellSpacing w:w="0" w:type="dxa"/>
        </w:trPr>
        <w:tc>
          <w:tcPr>
            <w:tcW w:w="0" w:type="auto"/>
            <w:noWrap w:val="0"/>
            <w:vAlign w:val="center"/>
          </w:tcPr>
          <w:p w14:paraId="5D97498E">
            <w:r>
              <w:rPr>
                <w:rStyle w:val="10"/>
                <w:rFonts w:hint="eastAsia"/>
              </w:rPr>
              <w:t>剂型：</w:t>
            </w:r>
            <w:r>
              <w:rPr>
                <w:rFonts w:hint="eastAsia"/>
              </w:rPr>
              <w:t>悬浮剂</w:t>
            </w:r>
          </w:p>
        </w:tc>
      </w:tr>
      <w:tr w14:paraId="3F3814AF">
        <w:tblPrEx>
          <w:tblCellMar>
            <w:top w:w="0" w:type="dxa"/>
            <w:left w:w="0" w:type="dxa"/>
            <w:bottom w:w="0" w:type="dxa"/>
            <w:right w:w="0" w:type="dxa"/>
          </w:tblCellMar>
        </w:tblPrEx>
        <w:trPr>
          <w:wBefore w:w="0" w:type="auto"/>
          <w:tblCellSpacing w:w="0" w:type="dxa"/>
        </w:trPr>
        <w:tc>
          <w:tcPr>
            <w:tcW w:w="0" w:type="auto"/>
            <w:noWrap w:val="0"/>
            <w:vAlign w:val="center"/>
          </w:tcPr>
          <w:p w14:paraId="10E91E0A">
            <w:r>
              <w:rPr>
                <w:rStyle w:val="10"/>
                <w:rFonts w:hint="eastAsia"/>
              </w:rPr>
              <w:t>毒性及其标识：</w:t>
            </w:r>
            <w:r>
              <w:rPr>
                <w:rFonts w:hint="eastAsia"/>
              </w:rPr>
              <w:t xml:space="preserve"> </w:t>
            </w:r>
            <w:r>
              <w:rPr>
                <w:lang/>
              </w:rPr>
              <w:drawing>
                <wp:inline distT="0" distB="0" distL="114300" distR="114300">
                  <wp:extent cx="476250" cy="323850"/>
                  <wp:effectExtent l="0" t="0" r="0" b="0"/>
                  <wp:docPr id="107" name="图片 1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43F2DC">
        <w:tblPrEx>
          <w:tblCellMar>
            <w:top w:w="0" w:type="dxa"/>
            <w:left w:w="0" w:type="dxa"/>
            <w:bottom w:w="0" w:type="dxa"/>
            <w:right w:w="0" w:type="dxa"/>
          </w:tblCellMar>
        </w:tblPrEx>
        <w:trPr>
          <w:wBefore w:w="0" w:type="auto"/>
          <w:tblCellSpacing w:w="0" w:type="dxa"/>
        </w:trPr>
        <w:tc>
          <w:tcPr>
            <w:tcW w:w="0" w:type="auto"/>
            <w:noWrap w:val="0"/>
            <w:vAlign w:val="center"/>
          </w:tcPr>
          <w:p w14:paraId="038F3E54">
            <w:r>
              <w:rPr>
                <w:rStyle w:val="10"/>
                <w:rFonts w:hint="eastAsia"/>
              </w:rPr>
              <w:t>总有效成分含量：</w:t>
            </w:r>
            <w:r>
              <w:rPr>
                <w:rFonts w:hint="eastAsia"/>
              </w:rPr>
              <w:t>12%</w:t>
            </w:r>
          </w:p>
        </w:tc>
      </w:tr>
      <w:tr w14:paraId="331752AF">
        <w:tblPrEx>
          <w:tblCellMar>
            <w:top w:w="0" w:type="dxa"/>
            <w:left w:w="0" w:type="dxa"/>
            <w:bottom w:w="0" w:type="dxa"/>
            <w:right w:w="0" w:type="dxa"/>
          </w:tblCellMar>
        </w:tblPrEx>
        <w:trPr>
          <w:wBefore w:w="0" w:type="auto"/>
          <w:tblCellSpacing w:w="0" w:type="dxa"/>
        </w:trPr>
        <w:tc>
          <w:tcPr>
            <w:tcW w:w="0" w:type="auto"/>
            <w:noWrap w:val="0"/>
            <w:vAlign w:val="center"/>
          </w:tcPr>
          <w:p w14:paraId="30572A6B">
            <w:r>
              <w:rPr>
                <w:rFonts w:hint="eastAsia"/>
              </w:rPr>
              <w:t xml:space="preserve">有效成分及其含量： </w:t>
            </w:r>
          </w:p>
          <w:p w14:paraId="69EDC964">
            <w:r>
              <w:rPr>
                <w:rFonts w:hint="eastAsia"/>
              </w:rPr>
              <w:t xml:space="preserve">    虱螨脲2.5%    虫螨腈9.5%    </w:t>
            </w:r>
          </w:p>
        </w:tc>
      </w:tr>
      <w:tr w14:paraId="2361C3B9">
        <w:tblPrEx>
          <w:tblCellMar>
            <w:top w:w="0" w:type="dxa"/>
            <w:left w:w="0" w:type="dxa"/>
            <w:bottom w:w="0" w:type="dxa"/>
            <w:right w:w="0" w:type="dxa"/>
          </w:tblCellMar>
        </w:tblPrEx>
        <w:trPr>
          <w:wBefore w:w="0" w:type="auto"/>
          <w:tblCellSpacing w:w="0" w:type="dxa"/>
        </w:trPr>
        <w:tc>
          <w:tcPr>
            <w:tcW w:w="0" w:type="auto"/>
            <w:noWrap w:val="0"/>
            <w:vAlign w:val="center"/>
          </w:tcPr>
          <w:p w14:paraId="5C04B4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9694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26F23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5CFDA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77D31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D9ADBD">
                  <w:r>
                    <w:rPr>
                      <w:rStyle w:val="11"/>
                      <w:rFonts w:hint="eastAsia"/>
                    </w:rPr>
                    <w:t>施用方式</w:t>
                  </w:r>
                </w:p>
              </w:tc>
            </w:tr>
            <w:tr w14:paraId="0499ED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80A9DB">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E3B616">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BFEF11">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CEB355">
                  <w:r>
                    <w:rPr>
                      <w:rStyle w:val="11"/>
                      <w:rFonts w:hint="eastAsia"/>
                    </w:rPr>
                    <w:t>喷雾</w:t>
                  </w:r>
                </w:p>
              </w:tc>
            </w:tr>
          </w:tbl>
          <w:p w14:paraId="30D5943D">
            <w:pPr>
              <w:rPr>
                <w:rFonts w:ascii="Times New Roman" w:hAnsi="Times New Roman" w:cs="Times New Roman"/>
                <w:sz w:val="20"/>
                <w:szCs w:val="20"/>
              </w:rPr>
            </w:pPr>
          </w:p>
        </w:tc>
      </w:tr>
      <w:tr w14:paraId="4599EFA5">
        <w:tblPrEx>
          <w:tblCellMar>
            <w:top w:w="0" w:type="dxa"/>
            <w:left w:w="0" w:type="dxa"/>
            <w:bottom w:w="0" w:type="dxa"/>
            <w:right w:w="0" w:type="dxa"/>
          </w:tblCellMar>
        </w:tblPrEx>
        <w:trPr>
          <w:wBefore w:w="0" w:type="auto"/>
          <w:tblCellSpacing w:w="0" w:type="dxa"/>
        </w:trPr>
        <w:tc>
          <w:tcPr>
            <w:tcW w:w="0" w:type="auto"/>
            <w:noWrap w:val="0"/>
            <w:vAlign w:val="center"/>
          </w:tcPr>
          <w:p w14:paraId="31F1659B">
            <w:r>
              <w:rPr>
                <w:rStyle w:val="10"/>
                <w:rFonts w:hint="eastAsia"/>
              </w:rPr>
              <w:t>使用技术要求:</w:t>
            </w:r>
            <w:r>
              <w:rPr>
                <w:rFonts w:hint="eastAsia"/>
              </w:rPr>
              <w:br w:type="textWrapping"/>
            </w:r>
            <w:r>
              <w:rPr>
                <w:rStyle w:val="11"/>
                <w:rFonts w:hint="eastAsia"/>
              </w:rPr>
              <w:t>1.于甘蓝甜菜夜蛾低龄幼虫发生始盛期施药，对甘蓝叶片正反两面均匀喷雾。 2.在甘蓝上每季最多使用1次，安全间隔期为14天。 3.大风天或预计1小时内有雨，请勿施药。</w:t>
            </w:r>
          </w:p>
        </w:tc>
      </w:tr>
      <w:tr w14:paraId="10BFF3E0">
        <w:tblPrEx>
          <w:tblCellMar>
            <w:top w:w="0" w:type="dxa"/>
            <w:left w:w="0" w:type="dxa"/>
            <w:bottom w:w="0" w:type="dxa"/>
            <w:right w:w="0" w:type="dxa"/>
          </w:tblCellMar>
        </w:tblPrEx>
        <w:trPr>
          <w:wBefore w:w="0" w:type="auto"/>
          <w:tblCellSpacing w:w="0" w:type="dxa"/>
        </w:trPr>
        <w:tc>
          <w:tcPr>
            <w:tcW w:w="0" w:type="auto"/>
            <w:noWrap w:val="0"/>
            <w:vAlign w:val="center"/>
          </w:tcPr>
          <w:p w14:paraId="29426832">
            <w:r>
              <w:rPr>
                <w:rStyle w:val="10"/>
                <w:rFonts w:hint="eastAsia"/>
              </w:rPr>
              <w:t>产品性能:</w:t>
            </w:r>
            <w:r>
              <w:rPr>
                <w:rFonts w:hint="eastAsia"/>
              </w:rPr>
              <w:br w:type="textWrapping"/>
            </w:r>
            <w:r>
              <w:rPr>
                <w:rStyle w:val="11"/>
                <w:rFonts w:hint="eastAsia"/>
              </w:rPr>
              <w:t xml:space="preserve">本品是新型吡咯类化合物和取代脲类复配杀虫剂，具有胃毒、触杀和内吸作用，在叶面渗透性强，对甘蓝甜菜夜蛾有较好的防治效果。 </w:t>
            </w:r>
          </w:p>
        </w:tc>
      </w:tr>
      <w:tr w14:paraId="64765EDD">
        <w:tblPrEx>
          <w:tblCellMar>
            <w:top w:w="0" w:type="dxa"/>
            <w:left w:w="0" w:type="dxa"/>
            <w:bottom w:w="0" w:type="dxa"/>
            <w:right w:w="0" w:type="dxa"/>
          </w:tblCellMar>
        </w:tblPrEx>
        <w:trPr>
          <w:wBefore w:w="0" w:type="auto"/>
          <w:tblCellSpacing w:w="0" w:type="dxa"/>
        </w:trPr>
        <w:tc>
          <w:tcPr>
            <w:tcW w:w="0" w:type="auto"/>
            <w:noWrap w:val="0"/>
            <w:vAlign w:val="center"/>
          </w:tcPr>
          <w:p w14:paraId="5D3A2F22">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本品不宜与碱性农药混合使用，建议与其他不同作用机制的杀虫剂交替使用，以延缓抗性的产生。3.远离水产养殖区、河塘等水体施药；禁止在河塘等水体中清洗施药器具。4.（周围）开花植物花期禁用，施药期间应密切关注对附近蜂群的影响；赤眼蜂等天敌放飞区域禁用。桑园及蚕室附近禁用。鸟类保护区附近禁用。5.用药后包装物及用过的容器请妥善处理，不可用作他用，也不可随意丢弃。6.孕妇和哺乳期妇女禁止接触本品。</w:t>
            </w:r>
          </w:p>
        </w:tc>
      </w:tr>
      <w:tr w14:paraId="299A9C9C">
        <w:tblPrEx>
          <w:tblCellMar>
            <w:top w:w="0" w:type="dxa"/>
            <w:left w:w="0" w:type="dxa"/>
            <w:bottom w:w="0" w:type="dxa"/>
            <w:right w:w="0" w:type="dxa"/>
          </w:tblCellMar>
        </w:tblPrEx>
        <w:trPr>
          <w:wBefore w:w="0" w:type="auto"/>
          <w:tblCellSpacing w:w="0" w:type="dxa"/>
        </w:trPr>
        <w:tc>
          <w:tcPr>
            <w:tcW w:w="0" w:type="auto"/>
            <w:noWrap w:val="0"/>
            <w:vAlign w:val="center"/>
          </w:tcPr>
          <w:p w14:paraId="6E3ED540">
            <w:r>
              <w:rPr>
                <w:rStyle w:val="10"/>
                <w:rFonts w:hint="eastAsia"/>
              </w:rPr>
              <w:t>中毒急救措施：</w:t>
            </w:r>
            <w:r>
              <w:rPr>
                <w:rFonts w:hint="eastAsia"/>
              </w:rPr>
              <w:br w:type="textWrapping"/>
            </w:r>
            <w:r>
              <w:rPr>
                <w:rStyle w:val="11"/>
                <w:rFonts w:hint="eastAsia"/>
              </w:rPr>
              <w:t xml:space="preserve">本品对眼睛有刺激性。中毒症状：表现为头晕、头痛、恶心、呕吐。如皮肤接触，用肥皂和大量的清水冲洗并换洗衣物；如接触眼睛，用清水冲洗眼睛至少15分钟，仍有不适应立即就医；若误服，立即停止服用，用大量清水漱口后，立即携此标签送中毒者到医院对症治疗，不能引吐。 </w:t>
            </w:r>
          </w:p>
        </w:tc>
      </w:tr>
      <w:tr w14:paraId="4D69C541">
        <w:tblPrEx>
          <w:tblCellMar>
            <w:top w:w="0" w:type="dxa"/>
            <w:left w:w="0" w:type="dxa"/>
            <w:bottom w:w="0" w:type="dxa"/>
            <w:right w:w="0" w:type="dxa"/>
          </w:tblCellMar>
        </w:tblPrEx>
        <w:trPr>
          <w:wBefore w:w="0" w:type="auto"/>
          <w:tblCellSpacing w:w="0" w:type="dxa"/>
        </w:trPr>
        <w:tc>
          <w:tcPr>
            <w:tcW w:w="0" w:type="auto"/>
            <w:noWrap w:val="0"/>
            <w:vAlign w:val="center"/>
          </w:tcPr>
          <w:p w14:paraId="7F159417">
            <w:r>
              <w:rPr>
                <w:rStyle w:val="10"/>
                <w:rFonts w:hint="eastAsia"/>
              </w:rPr>
              <w:t>储存和运输方法：</w:t>
            </w:r>
            <w:r>
              <w:rPr>
                <w:rFonts w:hint="eastAsia"/>
              </w:rPr>
              <w:br w:type="textWrapping"/>
            </w:r>
            <w:r>
              <w:rPr>
                <w:rStyle w:val="11"/>
                <w:rFonts w:hint="eastAsia"/>
              </w:rPr>
              <w:t xml:space="preserve">本品贮存应注意阴凉、干燥、通风，远离火源或热源，不能与食品、饮料、粮食、饲料等同贮同运。置于儿童及家畜触及不到的地方，并加锁保存，以免误服。装卸运输时注意检查包装是否密封完整，轻拿轻放，不可倒置。 </w:t>
            </w:r>
          </w:p>
        </w:tc>
      </w:tr>
      <w:tr w14:paraId="5FFD394F">
        <w:tblPrEx>
          <w:tblCellMar>
            <w:top w:w="0" w:type="dxa"/>
            <w:left w:w="0" w:type="dxa"/>
            <w:bottom w:w="0" w:type="dxa"/>
            <w:right w:w="0" w:type="dxa"/>
          </w:tblCellMar>
        </w:tblPrEx>
        <w:trPr>
          <w:wBefore w:w="0" w:type="auto"/>
          <w:tblCellSpacing w:w="0" w:type="dxa"/>
        </w:trPr>
        <w:tc>
          <w:tcPr>
            <w:tcW w:w="0" w:type="auto"/>
            <w:noWrap w:val="0"/>
            <w:vAlign w:val="center"/>
          </w:tcPr>
          <w:p w14:paraId="7C3A2EFB">
            <w:r>
              <w:rPr>
                <w:rStyle w:val="10"/>
                <w:rFonts w:hint="eastAsia"/>
              </w:rPr>
              <w:t>质量保证期：</w:t>
            </w:r>
            <w:r>
              <w:rPr>
                <w:rStyle w:val="11"/>
                <w:rFonts w:hint="eastAsia"/>
              </w:rPr>
              <w:t>2年</w:t>
            </w:r>
          </w:p>
        </w:tc>
      </w:tr>
      <w:tr w14:paraId="7C239226">
        <w:tblPrEx>
          <w:tblCellMar>
            <w:top w:w="0" w:type="dxa"/>
            <w:left w:w="0" w:type="dxa"/>
            <w:bottom w:w="0" w:type="dxa"/>
            <w:right w:w="0" w:type="dxa"/>
          </w:tblCellMar>
        </w:tblPrEx>
        <w:trPr>
          <w:wBefore w:w="0" w:type="auto"/>
          <w:tblCellSpacing w:w="0" w:type="dxa"/>
        </w:trPr>
        <w:tc>
          <w:tcPr>
            <w:tcW w:w="0" w:type="auto"/>
            <w:noWrap w:val="0"/>
            <w:vAlign w:val="center"/>
          </w:tcPr>
          <w:p w14:paraId="5C71C896">
            <w:r>
              <w:rPr>
                <w:rStyle w:val="10"/>
                <w:rFonts w:hint="eastAsia"/>
              </w:rPr>
              <w:t>备注：</w:t>
            </w:r>
          </w:p>
        </w:tc>
      </w:tr>
    </w:tbl>
    <w:p w14:paraId="52DAEE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3ED645">
        <w:tblPrEx>
          <w:tblCellMar>
            <w:top w:w="0" w:type="dxa"/>
            <w:left w:w="0" w:type="dxa"/>
            <w:bottom w:w="0" w:type="dxa"/>
            <w:right w:w="0" w:type="dxa"/>
          </w:tblCellMar>
        </w:tblPrEx>
        <w:trPr>
          <w:wBefore w:w="0" w:type="auto"/>
          <w:tblCellSpacing w:w="0" w:type="dxa"/>
        </w:trPr>
        <w:tc>
          <w:tcPr>
            <w:tcW w:w="0" w:type="auto"/>
            <w:noWrap w:val="0"/>
            <w:vAlign w:val="center"/>
          </w:tcPr>
          <w:p w14:paraId="44169ECF">
            <w:r>
              <w:rPr>
                <w:rStyle w:val="10"/>
                <w:rFonts w:hint="eastAsia"/>
              </w:rPr>
              <w:t>登记证号：</w:t>
            </w:r>
            <w:r>
              <w:rPr>
                <w:rFonts w:hint="eastAsia"/>
              </w:rPr>
              <w:t>PD20212386</w:t>
            </w:r>
          </w:p>
        </w:tc>
      </w:tr>
      <w:tr w14:paraId="359CF9AD">
        <w:tblPrEx>
          <w:tblCellMar>
            <w:top w:w="0" w:type="dxa"/>
            <w:left w:w="0" w:type="dxa"/>
            <w:bottom w:w="0" w:type="dxa"/>
            <w:right w:w="0" w:type="dxa"/>
          </w:tblCellMar>
        </w:tblPrEx>
        <w:trPr>
          <w:wBefore w:w="0" w:type="auto"/>
          <w:tblCellSpacing w:w="0" w:type="dxa"/>
        </w:trPr>
        <w:tc>
          <w:tcPr>
            <w:tcW w:w="0" w:type="auto"/>
            <w:noWrap w:val="0"/>
            <w:vAlign w:val="center"/>
          </w:tcPr>
          <w:p w14:paraId="744F1B78">
            <w:r>
              <w:rPr>
                <w:rStyle w:val="10"/>
                <w:rFonts w:hint="eastAsia"/>
              </w:rPr>
              <w:t>登记证持有人：</w:t>
            </w:r>
            <w:r>
              <w:rPr>
                <w:rFonts w:hint="eastAsia"/>
              </w:rPr>
              <w:t>上海悦联生物科技有限公司</w:t>
            </w:r>
          </w:p>
        </w:tc>
      </w:tr>
      <w:tr w14:paraId="1E765D21">
        <w:tblPrEx>
          <w:tblCellMar>
            <w:top w:w="0" w:type="dxa"/>
            <w:left w:w="0" w:type="dxa"/>
            <w:bottom w:w="0" w:type="dxa"/>
            <w:right w:w="0" w:type="dxa"/>
          </w:tblCellMar>
        </w:tblPrEx>
        <w:trPr>
          <w:wBefore w:w="0" w:type="auto"/>
          <w:tblCellSpacing w:w="0" w:type="dxa"/>
        </w:trPr>
        <w:tc>
          <w:tcPr>
            <w:tcW w:w="0" w:type="auto"/>
            <w:noWrap w:val="0"/>
            <w:vAlign w:val="center"/>
          </w:tcPr>
          <w:p w14:paraId="2DD80C6F">
            <w:r>
              <w:rPr>
                <w:rStyle w:val="10"/>
                <w:rFonts w:hint="eastAsia"/>
              </w:rPr>
              <w:t>农药名称：</w:t>
            </w:r>
            <w:r>
              <w:rPr>
                <w:rFonts w:hint="eastAsia"/>
              </w:rPr>
              <w:t>噻虫嗪</w:t>
            </w:r>
          </w:p>
        </w:tc>
      </w:tr>
      <w:tr w14:paraId="1F21FBFD">
        <w:tblPrEx>
          <w:tblCellMar>
            <w:top w:w="0" w:type="dxa"/>
            <w:left w:w="0" w:type="dxa"/>
            <w:bottom w:w="0" w:type="dxa"/>
            <w:right w:w="0" w:type="dxa"/>
          </w:tblCellMar>
        </w:tblPrEx>
        <w:trPr>
          <w:wBefore w:w="0" w:type="auto"/>
          <w:tblCellSpacing w:w="0" w:type="dxa"/>
        </w:trPr>
        <w:tc>
          <w:tcPr>
            <w:tcW w:w="0" w:type="auto"/>
            <w:noWrap w:val="0"/>
            <w:vAlign w:val="center"/>
          </w:tcPr>
          <w:p w14:paraId="73F76976">
            <w:r>
              <w:rPr>
                <w:rStyle w:val="10"/>
                <w:rFonts w:hint="eastAsia"/>
              </w:rPr>
              <w:t>剂型：</w:t>
            </w:r>
            <w:r>
              <w:rPr>
                <w:rFonts w:hint="eastAsia"/>
              </w:rPr>
              <w:t>种子处理悬浮剂</w:t>
            </w:r>
          </w:p>
        </w:tc>
      </w:tr>
      <w:tr w14:paraId="65B8E132">
        <w:tblPrEx>
          <w:tblCellMar>
            <w:top w:w="0" w:type="dxa"/>
            <w:left w:w="0" w:type="dxa"/>
            <w:bottom w:w="0" w:type="dxa"/>
            <w:right w:w="0" w:type="dxa"/>
          </w:tblCellMar>
        </w:tblPrEx>
        <w:trPr>
          <w:wBefore w:w="0" w:type="auto"/>
          <w:tblCellSpacing w:w="0" w:type="dxa"/>
        </w:trPr>
        <w:tc>
          <w:tcPr>
            <w:tcW w:w="0" w:type="auto"/>
            <w:noWrap w:val="0"/>
            <w:vAlign w:val="center"/>
          </w:tcPr>
          <w:p w14:paraId="0E7D955E">
            <w:r>
              <w:rPr>
                <w:rStyle w:val="10"/>
                <w:rFonts w:hint="eastAsia"/>
              </w:rPr>
              <w:t>毒性及其标识：</w:t>
            </w:r>
            <w:r>
              <w:rPr>
                <w:rFonts w:hint="eastAsia"/>
              </w:rPr>
              <w:t xml:space="preserve"> </w:t>
            </w:r>
            <w:r>
              <w:rPr>
                <w:lang/>
              </w:rPr>
              <w:drawing>
                <wp:inline distT="0" distB="0" distL="114300" distR="114300">
                  <wp:extent cx="476250" cy="323850"/>
                  <wp:effectExtent l="0" t="0" r="0" b="0"/>
                  <wp:docPr id="108" name="图片 1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80B001">
        <w:tblPrEx>
          <w:tblCellMar>
            <w:top w:w="0" w:type="dxa"/>
            <w:left w:w="0" w:type="dxa"/>
            <w:bottom w:w="0" w:type="dxa"/>
            <w:right w:w="0" w:type="dxa"/>
          </w:tblCellMar>
        </w:tblPrEx>
        <w:trPr>
          <w:wBefore w:w="0" w:type="auto"/>
          <w:tblCellSpacing w:w="0" w:type="dxa"/>
        </w:trPr>
        <w:tc>
          <w:tcPr>
            <w:tcW w:w="0" w:type="auto"/>
            <w:noWrap w:val="0"/>
            <w:vAlign w:val="center"/>
          </w:tcPr>
          <w:p w14:paraId="5E53E9C1">
            <w:r>
              <w:rPr>
                <w:rStyle w:val="10"/>
                <w:rFonts w:hint="eastAsia"/>
              </w:rPr>
              <w:t>总有效成分含量：</w:t>
            </w:r>
            <w:r>
              <w:rPr>
                <w:rFonts w:hint="eastAsia"/>
              </w:rPr>
              <w:t>30%</w:t>
            </w:r>
          </w:p>
        </w:tc>
      </w:tr>
      <w:tr w14:paraId="303F22D2">
        <w:tblPrEx>
          <w:tblCellMar>
            <w:top w:w="0" w:type="dxa"/>
            <w:left w:w="0" w:type="dxa"/>
            <w:bottom w:w="0" w:type="dxa"/>
            <w:right w:w="0" w:type="dxa"/>
          </w:tblCellMar>
        </w:tblPrEx>
        <w:trPr>
          <w:wBefore w:w="0" w:type="auto"/>
          <w:tblCellSpacing w:w="0" w:type="dxa"/>
        </w:trPr>
        <w:tc>
          <w:tcPr>
            <w:tcW w:w="0" w:type="auto"/>
            <w:noWrap w:val="0"/>
            <w:vAlign w:val="center"/>
          </w:tcPr>
          <w:p w14:paraId="66856AE4">
            <w:r>
              <w:rPr>
                <w:rFonts w:hint="eastAsia"/>
              </w:rPr>
              <w:t xml:space="preserve">有效成分及其含量： </w:t>
            </w:r>
          </w:p>
          <w:p w14:paraId="4A342414">
            <w:r>
              <w:rPr>
                <w:rFonts w:hint="eastAsia"/>
              </w:rPr>
              <w:t xml:space="preserve">    噻虫嗪30%    </w:t>
            </w:r>
          </w:p>
        </w:tc>
      </w:tr>
      <w:tr w14:paraId="2FC74C08">
        <w:tblPrEx>
          <w:tblCellMar>
            <w:top w:w="0" w:type="dxa"/>
            <w:left w:w="0" w:type="dxa"/>
            <w:bottom w:w="0" w:type="dxa"/>
            <w:right w:w="0" w:type="dxa"/>
          </w:tblCellMar>
        </w:tblPrEx>
        <w:trPr>
          <w:wBefore w:w="0" w:type="auto"/>
          <w:tblCellSpacing w:w="0" w:type="dxa"/>
        </w:trPr>
        <w:tc>
          <w:tcPr>
            <w:tcW w:w="0" w:type="auto"/>
            <w:noWrap w:val="0"/>
            <w:vAlign w:val="center"/>
          </w:tcPr>
          <w:p w14:paraId="1346F70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39FD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BF37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68AD6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52EE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1E75A2">
                  <w:r>
                    <w:rPr>
                      <w:rStyle w:val="11"/>
                      <w:rFonts w:hint="eastAsia"/>
                    </w:rPr>
                    <w:t>施用方式</w:t>
                  </w:r>
                </w:p>
              </w:tc>
            </w:tr>
            <w:tr w14:paraId="37764E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649F98">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5579C5">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DA9597">
                  <w:r>
                    <w:rPr>
                      <w:rStyle w:val="11"/>
                      <w:rFonts w:hint="eastAsia"/>
                    </w:rPr>
                    <w:t>400-600毫升/100千克种子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C6492">
                  <w:r>
                    <w:rPr>
                      <w:rStyle w:val="11"/>
                      <w:rFonts w:hint="eastAsia"/>
                    </w:rPr>
                    <w:t>种子包衣</w:t>
                  </w:r>
                </w:p>
              </w:tc>
            </w:tr>
          </w:tbl>
          <w:p w14:paraId="161ED10B">
            <w:pPr>
              <w:rPr>
                <w:rFonts w:ascii="Times New Roman" w:hAnsi="Times New Roman" w:cs="Times New Roman"/>
                <w:sz w:val="20"/>
                <w:szCs w:val="20"/>
              </w:rPr>
            </w:pPr>
          </w:p>
        </w:tc>
      </w:tr>
      <w:tr w14:paraId="1A38271B">
        <w:tblPrEx>
          <w:tblCellMar>
            <w:top w:w="0" w:type="dxa"/>
            <w:left w:w="0" w:type="dxa"/>
            <w:bottom w:w="0" w:type="dxa"/>
            <w:right w:w="0" w:type="dxa"/>
          </w:tblCellMar>
        </w:tblPrEx>
        <w:trPr>
          <w:wBefore w:w="0" w:type="auto"/>
          <w:tblCellSpacing w:w="0" w:type="dxa"/>
        </w:trPr>
        <w:tc>
          <w:tcPr>
            <w:tcW w:w="0" w:type="auto"/>
            <w:noWrap w:val="0"/>
            <w:vAlign w:val="center"/>
          </w:tcPr>
          <w:p w14:paraId="15ADAE12">
            <w:r>
              <w:rPr>
                <w:rStyle w:val="10"/>
                <w:rFonts w:hint="eastAsia"/>
              </w:rPr>
              <w:t>使用技术要求:</w:t>
            </w:r>
            <w:r>
              <w:rPr>
                <w:rFonts w:hint="eastAsia"/>
              </w:rPr>
              <w:br w:type="textWrapping"/>
            </w:r>
            <w:r>
              <w:rPr>
                <w:rStyle w:val="11"/>
                <w:rFonts w:hint="eastAsia"/>
              </w:rPr>
              <w:t>1.本品在作物新品种上大面积应用时，必须先进行小范围的安全性试验。 2.本产品既可用于种子公司进行专业化机械包衣，也可用于农户手工包衣。所用种子均需达到国家良种标准； 3.手工包衣：根据种子量确定制剂用药量，加适量清水，混合均匀调成浆状药液，倒在种子上充分搅拌，待均匀着药后，摊开晾于通风阴凉处。机械包衣：按推荐制剂用药量加适量清水，混合均匀调成浆状药液；选用适宜的包衣机械，根据要求调整药种比进行包衣处理。配制好的药液应在24小时内使用。 4.播种时需考虑低温、大雨等不良环境影响，适时播种。</w:t>
            </w:r>
          </w:p>
        </w:tc>
      </w:tr>
      <w:tr w14:paraId="15619E83">
        <w:tblPrEx>
          <w:tblCellMar>
            <w:top w:w="0" w:type="dxa"/>
            <w:left w:w="0" w:type="dxa"/>
            <w:bottom w:w="0" w:type="dxa"/>
            <w:right w:w="0" w:type="dxa"/>
          </w:tblCellMar>
        </w:tblPrEx>
        <w:trPr>
          <w:wBefore w:w="0" w:type="auto"/>
          <w:tblCellSpacing w:w="0" w:type="dxa"/>
        </w:trPr>
        <w:tc>
          <w:tcPr>
            <w:tcW w:w="0" w:type="auto"/>
            <w:noWrap w:val="0"/>
            <w:vAlign w:val="center"/>
          </w:tcPr>
          <w:p w14:paraId="70177646">
            <w:r>
              <w:rPr>
                <w:rStyle w:val="10"/>
                <w:rFonts w:hint="eastAsia"/>
              </w:rPr>
              <w:t>产品性能:</w:t>
            </w:r>
            <w:r>
              <w:rPr>
                <w:rFonts w:hint="eastAsia"/>
              </w:rPr>
              <w:br w:type="textWrapping"/>
            </w:r>
            <w:r>
              <w:rPr>
                <w:rStyle w:val="11"/>
                <w:rFonts w:hint="eastAsia"/>
              </w:rPr>
              <w:t>本品是一种烟碱类杀虫剂，具有内吸传导性，兼具胃毒和触杀作用。用于种子处理，可被作物根迅速内吸，并传导到植株各部位，可有效防治玉米蚜虫。</w:t>
            </w:r>
          </w:p>
        </w:tc>
      </w:tr>
      <w:tr w14:paraId="0C5C4CCD">
        <w:tblPrEx>
          <w:tblCellMar>
            <w:top w:w="0" w:type="dxa"/>
            <w:left w:w="0" w:type="dxa"/>
            <w:bottom w:w="0" w:type="dxa"/>
            <w:right w:w="0" w:type="dxa"/>
          </w:tblCellMar>
        </w:tblPrEx>
        <w:trPr>
          <w:wBefore w:w="0" w:type="auto"/>
          <w:tblCellSpacing w:w="0" w:type="dxa"/>
        </w:trPr>
        <w:tc>
          <w:tcPr>
            <w:tcW w:w="0" w:type="auto"/>
            <w:noWrap w:val="0"/>
            <w:vAlign w:val="center"/>
          </w:tcPr>
          <w:p w14:paraId="477060EE">
            <w:r>
              <w:rPr>
                <w:rStyle w:val="10"/>
                <w:rFonts w:hint="eastAsia"/>
              </w:rPr>
              <w:t>注意事项：</w:t>
            </w:r>
            <w:r>
              <w:rPr>
                <w:rFonts w:hint="eastAsia"/>
              </w:rPr>
              <w:br w:type="textWrapping"/>
            </w:r>
            <w:r>
              <w:rPr>
                <w:rStyle w:val="11"/>
                <w:rFonts w:hint="eastAsia"/>
              </w:rPr>
              <w:t>1.样品要现配现用，配制和使用本品时应采取相应的安全防护措施，穿防护服，戴防护手套、口罩等。避免皮肤接触及口鼻吸入药液。使用中不可吸烟、饮水和吃东西等；使用后及时清洗手、脸等暴露部位皮肤并更换衣物。 2.处理过的种子必须放置在有明显标签的容器内。勿与食物、饲料放在一起，不得饲喂禽畜，更不得用来加工饲料或食品。 3.禁止在河塘等水体中清洗施药器具。 4..（周围）开花植物花期禁用，使用时应密切关注对附近蜂群的影响。 5.鸟类保护区附近禁用，播种后立即覆土。</w:t>
            </w:r>
            <w:r>
              <w:rPr>
                <w:rStyle w:val="11"/>
                <w:rFonts w:hint="eastAsia"/>
              </w:rPr>
              <w:t> </w:t>
            </w:r>
            <w:r>
              <w:rPr>
                <w:rStyle w:val="11"/>
                <w:rFonts w:hint="eastAsia"/>
              </w:rPr>
              <w:t xml:space="preserve"> 6.避免与具有氧化性物质接触或混合。 7.使用后的包装物应遵照农药包装废弃物回收准则的相关规定处理，不可作他用，也不可随意丢弃。 8.孕妇及哺乳期妇女禁止接触此药。</w:t>
            </w:r>
          </w:p>
        </w:tc>
      </w:tr>
      <w:tr w14:paraId="1A07A5B7">
        <w:tblPrEx>
          <w:tblCellMar>
            <w:top w:w="0" w:type="dxa"/>
            <w:left w:w="0" w:type="dxa"/>
            <w:bottom w:w="0" w:type="dxa"/>
            <w:right w:w="0" w:type="dxa"/>
          </w:tblCellMar>
        </w:tblPrEx>
        <w:trPr>
          <w:wBefore w:w="0" w:type="auto"/>
          <w:tblCellSpacing w:w="0" w:type="dxa"/>
        </w:trPr>
        <w:tc>
          <w:tcPr>
            <w:tcW w:w="0" w:type="auto"/>
            <w:noWrap w:val="0"/>
            <w:vAlign w:val="center"/>
          </w:tcPr>
          <w:p w14:paraId="35708824">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1.皮肤接触：脱去污染的衣物，用软布去除沾染农药，用大量清水和肥皂冲洗。 2.眼睛溅入：立即用流动清水冲洗不少于15分钟。 3.吸入：立即离开施药现场，转移到空气清新处。 4.误食：立即停止服用，用清水充分漱口后，立即携带标签送医院就诊。无特效解毒剂，对症治疗。</w:t>
            </w:r>
          </w:p>
        </w:tc>
      </w:tr>
      <w:tr w14:paraId="2FAE59B5">
        <w:tblPrEx>
          <w:tblCellMar>
            <w:top w:w="0" w:type="dxa"/>
            <w:left w:w="0" w:type="dxa"/>
            <w:bottom w:w="0" w:type="dxa"/>
            <w:right w:w="0" w:type="dxa"/>
          </w:tblCellMar>
        </w:tblPrEx>
        <w:trPr>
          <w:wBefore w:w="0" w:type="auto"/>
          <w:tblCellSpacing w:w="0" w:type="dxa"/>
        </w:trPr>
        <w:tc>
          <w:tcPr>
            <w:tcW w:w="0" w:type="auto"/>
            <w:noWrap w:val="0"/>
            <w:vAlign w:val="center"/>
          </w:tcPr>
          <w:p w14:paraId="2CA166D4">
            <w:r>
              <w:rPr>
                <w:rStyle w:val="10"/>
                <w:rFonts w:hint="eastAsia"/>
              </w:rPr>
              <w:t>储存和运输方法：</w:t>
            </w:r>
            <w:r>
              <w:rPr>
                <w:rFonts w:hint="eastAsia"/>
              </w:rPr>
              <w:br w:type="textWrapping"/>
            </w:r>
            <w:r>
              <w:rPr>
                <w:rStyle w:val="11"/>
                <w:rFonts w:hint="eastAsia"/>
              </w:rPr>
              <w:t>本品应当贮存在干燥、阴凉、通风、防雨处，远离火源和热源。置于儿童、无关人员及动物接触不到的地方，并加锁保存。不得与食物、种子、饲料、粮食、饮料等混合储运。</w:t>
            </w:r>
          </w:p>
        </w:tc>
      </w:tr>
      <w:tr w14:paraId="6CBCB634">
        <w:tblPrEx>
          <w:tblCellMar>
            <w:top w:w="0" w:type="dxa"/>
            <w:left w:w="0" w:type="dxa"/>
            <w:bottom w:w="0" w:type="dxa"/>
            <w:right w:w="0" w:type="dxa"/>
          </w:tblCellMar>
        </w:tblPrEx>
        <w:trPr>
          <w:wBefore w:w="0" w:type="auto"/>
          <w:tblCellSpacing w:w="0" w:type="dxa"/>
        </w:trPr>
        <w:tc>
          <w:tcPr>
            <w:tcW w:w="0" w:type="auto"/>
            <w:noWrap w:val="0"/>
            <w:vAlign w:val="center"/>
          </w:tcPr>
          <w:p w14:paraId="387E059D">
            <w:r>
              <w:rPr>
                <w:rStyle w:val="10"/>
                <w:rFonts w:hint="eastAsia"/>
              </w:rPr>
              <w:t>质量保证期：</w:t>
            </w:r>
            <w:r>
              <w:rPr>
                <w:rStyle w:val="11"/>
                <w:rFonts w:hint="eastAsia"/>
              </w:rPr>
              <w:t>2年</w:t>
            </w:r>
          </w:p>
        </w:tc>
      </w:tr>
      <w:tr w14:paraId="23CA5C1E">
        <w:tblPrEx>
          <w:tblCellMar>
            <w:top w:w="0" w:type="dxa"/>
            <w:left w:w="0" w:type="dxa"/>
            <w:bottom w:w="0" w:type="dxa"/>
            <w:right w:w="0" w:type="dxa"/>
          </w:tblCellMar>
        </w:tblPrEx>
        <w:trPr>
          <w:wBefore w:w="0" w:type="auto"/>
          <w:tblCellSpacing w:w="0" w:type="dxa"/>
        </w:trPr>
        <w:tc>
          <w:tcPr>
            <w:tcW w:w="0" w:type="auto"/>
            <w:noWrap w:val="0"/>
            <w:vAlign w:val="center"/>
          </w:tcPr>
          <w:p w14:paraId="1615A5B8">
            <w:r>
              <w:rPr>
                <w:rStyle w:val="10"/>
                <w:rFonts w:hint="eastAsia"/>
              </w:rPr>
              <w:t>备注：</w:t>
            </w:r>
            <w:r>
              <w:rPr>
                <w:rFonts w:hint="eastAsia"/>
              </w:rPr>
              <w:br w:type="textWrapping"/>
            </w:r>
            <w:r>
              <w:rPr>
                <w:rStyle w:val="11"/>
                <w:rFonts w:hint="eastAsia"/>
              </w:rPr>
              <w:t>质量浓度350克/升。</w:t>
            </w:r>
          </w:p>
        </w:tc>
      </w:tr>
    </w:tbl>
    <w:p w14:paraId="325291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F8A985">
        <w:tblPrEx>
          <w:tblCellMar>
            <w:top w:w="0" w:type="dxa"/>
            <w:left w:w="0" w:type="dxa"/>
            <w:bottom w:w="0" w:type="dxa"/>
            <w:right w:w="0" w:type="dxa"/>
          </w:tblCellMar>
        </w:tblPrEx>
        <w:trPr>
          <w:wBefore w:w="0" w:type="auto"/>
          <w:tblCellSpacing w:w="0" w:type="dxa"/>
        </w:trPr>
        <w:tc>
          <w:tcPr>
            <w:tcW w:w="0" w:type="auto"/>
            <w:noWrap w:val="0"/>
            <w:vAlign w:val="center"/>
          </w:tcPr>
          <w:p w14:paraId="2DAB3E15">
            <w:r>
              <w:rPr>
                <w:rStyle w:val="10"/>
                <w:rFonts w:hint="eastAsia"/>
              </w:rPr>
              <w:t>登记证号：</w:t>
            </w:r>
            <w:r>
              <w:rPr>
                <w:rFonts w:hint="eastAsia"/>
              </w:rPr>
              <w:t>PD20212639</w:t>
            </w:r>
          </w:p>
        </w:tc>
      </w:tr>
      <w:tr w14:paraId="54275EC8">
        <w:tblPrEx>
          <w:tblCellMar>
            <w:top w:w="0" w:type="dxa"/>
            <w:left w:w="0" w:type="dxa"/>
            <w:bottom w:w="0" w:type="dxa"/>
            <w:right w:w="0" w:type="dxa"/>
          </w:tblCellMar>
        </w:tblPrEx>
        <w:trPr>
          <w:wBefore w:w="0" w:type="auto"/>
          <w:tblCellSpacing w:w="0" w:type="dxa"/>
        </w:trPr>
        <w:tc>
          <w:tcPr>
            <w:tcW w:w="0" w:type="auto"/>
            <w:noWrap w:val="0"/>
            <w:vAlign w:val="center"/>
          </w:tcPr>
          <w:p w14:paraId="03F27E3E">
            <w:r>
              <w:rPr>
                <w:rStyle w:val="10"/>
                <w:rFonts w:hint="eastAsia"/>
              </w:rPr>
              <w:t>登记证持有人：</w:t>
            </w:r>
            <w:r>
              <w:rPr>
                <w:rFonts w:hint="eastAsia"/>
              </w:rPr>
              <w:t>河北荣威生物药业有限公司</w:t>
            </w:r>
          </w:p>
        </w:tc>
      </w:tr>
      <w:tr w14:paraId="202F790F">
        <w:tblPrEx>
          <w:tblCellMar>
            <w:top w:w="0" w:type="dxa"/>
            <w:left w:w="0" w:type="dxa"/>
            <w:bottom w:w="0" w:type="dxa"/>
            <w:right w:w="0" w:type="dxa"/>
          </w:tblCellMar>
        </w:tblPrEx>
        <w:trPr>
          <w:wBefore w:w="0" w:type="auto"/>
          <w:tblCellSpacing w:w="0" w:type="dxa"/>
        </w:trPr>
        <w:tc>
          <w:tcPr>
            <w:tcW w:w="0" w:type="auto"/>
            <w:noWrap w:val="0"/>
            <w:vAlign w:val="center"/>
          </w:tcPr>
          <w:p w14:paraId="15660C0D">
            <w:r>
              <w:rPr>
                <w:rStyle w:val="10"/>
                <w:rFonts w:hint="eastAsia"/>
              </w:rPr>
              <w:t>农药名称：</w:t>
            </w:r>
            <w:r>
              <w:rPr>
                <w:rFonts w:hint="eastAsia"/>
              </w:rPr>
              <w:t>氟草·草铵膦</w:t>
            </w:r>
          </w:p>
        </w:tc>
      </w:tr>
      <w:tr w14:paraId="62B2E39E">
        <w:tblPrEx>
          <w:tblCellMar>
            <w:top w:w="0" w:type="dxa"/>
            <w:left w:w="0" w:type="dxa"/>
            <w:bottom w:w="0" w:type="dxa"/>
            <w:right w:w="0" w:type="dxa"/>
          </w:tblCellMar>
        </w:tblPrEx>
        <w:trPr>
          <w:wBefore w:w="0" w:type="auto"/>
          <w:tblCellSpacing w:w="0" w:type="dxa"/>
        </w:trPr>
        <w:tc>
          <w:tcPr>
            <w:tcW w:w="0" w:type="auto"/>
            <w:noWrap w:val="0"/>
            <w:vAlign w:val="center"/>
          </w:tcPr>
          <w:p w14:paraId="344354DB">
            <w:r>
              <w:rPr>
                <w:rStyle w:val="10"/>
                <w:rFonts w:hint="eastAsia"/>
              </w:rPr>
              <w:t>剂型：</w:t>
            </w:r>
            <w:r>
              <w:rPr>
                <w:rFonts w:hint="eastAsia"/>
              </w:rPr>
              <w:t>悬浮剂</w:t>
            </w:r>
          </w:p>
        </w:tc>
      </w:tr>
      <w:tr w14:paraId="2FB9A471">
        <w:tblPrEx>
          <w:tblCellMar>
            <w:top w:w="0" w:type="dxa"/>
            <w:left w:w="0" w:type="dxa"/>
            <w:bottom w:w="0" w:type="dxa"/>
            <w:right w:w="0" w:type="dxa"/>
          </w:tblCellMar>
        </w:tblPrEx>
        <w:trPr>
          <w:wBefore w:w="0" w:type="auto"/>
          <w:tblCellSpacing w:w="0" w:type="dxa"/>
        </w:trPr>
        <w:tc>
          <w:tcPr>
            <w:tcW w:w="0" w:type="auto"/>
            <w:noWrap w:val="0"/>
            <w:vAlign w:val="center"/>
          </w:tcPr>
          <w:p w14:paraId="22EF9D0D">
            <w:r>
              <w:rPr>
                <w:rStyle w:val="10"/>
                <w:rFonts w:hint="eastAsia"/>
              </w:rPr>
              <w:t>毒性及其标识：</w:t>
            </w:r>
            <w:r>
              <w:rPr>
                <w:rFonts w:hint="eastAsia"/>
              </w:rPr>
              <w:t xml:space="preserve"> </w:t>
            </w:r>
            <w:r>
              <w:rPr>
                <w:lang/>
              </w:rPr>
              <w:drawing>
                <wp:inline distT="0" distB="0" distL="114300" distR="114300">
                  <wp:extent cx="476250" cy="323850"/>
                  <wp:effectExtent l="0" t="0" r="0" b="0"/>
                  <wp:docPr id="109" name="图片 1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28D0DF">
        <w:tblPrEx>
          <w:tblCellMar>
            <w:top w:w="0" w:type="dxa"/>
            <w:left w:w="0" w:type="dxa"/>
            <w:bottom w:w="0" w:type="dxa"/>
            <w:right w:w="0" w:type="dxa"/>
          </w:tblCellMar>
        </w:tblPrEx>
        <w:trPr>
          <w:wBefore w:w="0" w:type="auto"/>
          <w:tblCellSpacing w:w="0" w:type="dxa"/>
        </w:trPr>
        <w:tc>
          <w:tcPr>
            <w:tcW w:w="0" w:type="auto"/>
            <w:noWrap w:val="0"/>
            <w:vAlign w:val="center"/>
          </w:tcPr>
          <w:p w14:paraId="5414EC1C">
            <w:r>
              <w:rPr>
                <w:rStyle w:val="10"/>
                <w:rFonts w:hint="eastAsia"/>
              </w:rPr>
              <w:t>总有效成分含量：</w:t>
            </w:r>
            <w:r>
              <w:rPr>
                <w:rFonts w:hint="eastAsia"/>
              </w:rPr>
              <w:t>21%</w:t>
            </w:r>
          </w:p>
        </w:tc>
      </w:tr>
      <w:tr w14:paraId="3F42142F">
        <w:tblPrEx>
          <w:tblCellMar>
            <w:top w:w="0" w:type="dxa"/>
            <w:left w:w="0" w:type="dxa"/>
            <w:bottom w:w="0" w:type="dxa"/>
            <w:right w:w="0" w:type="dxa"/>
          </w:tblCellMar>
        </w:tblPrEx>
        <w:trPr>
          <w:wBefore w:w="0" w:type="auto"/>
          <w:tblCellSpacing w:w="0" w:type="dxa"/>
        </w:trPr>
        <w:tc>
          <w:tcPr>
            <w:tcW w:w="0" w:type="auto"/>
            <w:noWrap w:val="0"/>
            <w:vAlign w:val="center"/>
          </w:tcPr>
          <w:p w14:paraId="4A7CDE46">
            <w:r>
              <w:rPr>
                <w:rFonts w:hint="eastAsia"/>
              </w:rPr>
              <w:t xml:space="preserve">有效成分及其含量： </w:t>
            </w:r>
          </w:p>
          <w:p w14:paraId="2D46388C">
            <w:r>
              <w:rPr>
                <w:rFonts w:hint="eastAsia"/>
              </w:rPr>
              <w:t xml:space="preserve">    草铵膦20%    丙炔氟草胺1%    </w:t>
            </w:r>
          </w:p>
        </w:tc>
      </w:tr>
      <w:tr w14:paraId="7F195B65">
        <w:tblPrEx>
          <w:tblCellMar>
            <w:top w:w="0" w:type="dxa"/>
            <w:left w:w="0" w:type="dxa"/>
            <w:bottom w:w="0" w:type="dxa"/>
            <w:right w:w="0" w:type="dxa"/>
          </w:tblCellMar>
        </w:tblPrEx>
        <w:trPr>
          <w:wBefore w:w="0" w:type="auto"/>
          <w:tblCellSpacing w:w="0" w:type="dxa"/>
        </w:trPr>
        <w:tc>
          <w:tcPr>
            <w:tcW w:w="0" w:type="auto"/>
            <w:noWrap w:val="0"/>
            <w:vAlign w:val="center"/>
          </w:tcPr>
          <w:p w14:paraId="661494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9118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57EC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C3706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758D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D93AEC">
                  <w:r>
                    <w:rPr>
                      <w:rStyle w:val="11"/>
                      <w:rFonts w:hint="eastAsia"/>
                    </w:rPr>
                    <w:t>施用方式</w:t>
                  </w:r>
                </w:p>
              </w:tc>
            </w:tr>
            <w:tr w14:paraId="73C922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3E3CD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926E3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A99C81">
                  <w:r>
                    <w:rPr>
                      <w:rStyle w:val="11"/>
                      <w:rFonts w:hint="eastAsia"/>
                    </w:rPr>
                    <w:t>100-300毫升/亩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E31133">
                  <w:r>
                    <w:rPr>
                      <w:rStyle w:val="11"/>
                      <w:rFonts w:hint="eastAsia"/>
                    </w:rPr>
                    <w:t>茎叶喷雾</w:t>
                  </w:r>
                </w:p>
              </w:tc>
            </w:tr>
          </w:tbl>
          <w:p w14:paraId="705EA583">
            <w:pPr>
              <w:rPr>
                <w:rFonts w:ascii="Times New Roman" w:hAnsi="Times New Roman" w:cs="Times New Roman"/>
                <w:sz w:val="20"/>
                <w:szCs w:val="20"/>
              </w:rPr>
            </w:pPr>
          </w:p>
        </w:tc>
      </w:tr>
      <w:tr w14:paraId="0E856E53">
        <w:tblPrEx>
          <w:tblCellMar>
            <w:top w:w="0" w:type="dxa"/>
            <w:left w:w="0" w:type="dxa"/>
            <w:bottom w:w="0" w:type="dxa"/>
            <w:right w:w="0" w:type="dxa"/>
          </w:tblCellMar>
        </w:tblPrEx>
        <w:trPr>
          <w:wBefore w:w="0" w:type="auto"/>
          <w:tblCellSpacing w:w="0" w:type="dxa"/>
        </w:trPr>
        <w:tc>
          <w:tcPr>
            <w:tcW w:w="0" w:type="auto"/>
            <w:noWrap w:val="0"/>
            <w:vAlign w:val="center"/>
          </w:tcPr>
          <w:p w14:paraId="7E295F10">
            <w:r>
              <w:rPr>
                <w:rStyle w:val="10"/>
                <w:rFonts w:hint="eastAsia"/>
              </w:rPr>
              <w:t>使用技术要求:</w:t>
            </w:r>
            <w:r>
              <w:rPr>
                <w:rFonts w:hint="eastAsia"/>
              </w:rPr>
              <w:br w:type="textWrapping"/>
            </w:r>
            <w:r>
              <w:rPr>
                <w:rStyle w:val="11"/>
                <w:rFonts w:hint="eastAsia"/>
              </w:rPr>
              <w:t>1、本品于非耕地杂草生长旺盛期茎叶均匀喷雾。2、施药时，如遇草龄较大或持续干旱，请酌情增加喷药量。3、大风天或预计6小时内降雨，勿施药。4、禁止在田间道路、田埂、果树行间、休耕地、林场林地等农林业区域使用。</w:t>
            </w:r>
          </w:p>
        </w:tc>
      </w:tr>
      <w:tr w14:paraId="66AD0CF8">
        <w:tblPrEx>
          <w:tblCellMar>
            <w:top w:w="0" w:type="dxa"/>
            <w:left w:w="0" w:type="dxa"/>
            <w:bottom w:w="0" w:type="dxa"/>
            <w:right w:w="0" w:type="dxa"/>
          </w:tblCellMar>
        </w:tblPrEx>
        <w:trPr>
          <w:wBefore w:w="0" w:type="auto"/>
          <w:tblCellSpacing w:w="0" w:type="dxa"/>
        </w:trPr>
        <w:tc>
          <w:tcPr>
            <w:tcW w:w="0" w:type="auto"/>
            <w:noWrap w:val="0"/>
            <w:vAlign w:val="center"/>
          </w:tcPr>
          <w:p w14:paraId="0DCA931D">
            <w:r>
              <w:rPr>
                <w:rStyle w:val="10"/>
                <w:rFonts w:hint="eastAsia"/>
              </w:rPr>
              <w:t>产品性能:</w:t>
            </w:r>
            <w:r>
              <w:rPr>
                <w:rFonts w:hint="eastAsia"/>
              </w:rPr>
              <w:br w:type="textWrapping"/>
            </w:r>
            <w:r>
              <w:rPr>
                <w:rStyle w:val="11"/>
                <w:rFonts w:hint="eastAsia"/>
              </w:rPr>
              <w:t>本品有触杀及一定内吸性除草剂，可被植物幼芽和叶片吸收，可有效防除一年生和多年生杂草，兼有封闭作用，活性高，用量少。</w:t>
            </w:r>
          </w:p>
        </w:tc>
      </w:tr>
      <w:tr w14:paraId="382B9CE7">
        <w:tblPrEx>
          <w:tblCellMar>
            <w:top w:w="0" w:type="dxa"/>
            <w:left w:w="0" w:type="dxa"/>
            <w:bottom w:w="0" w:type="dxa"/>
            <w:right w:w="0" w:type="dxa"/>
          </w:tblCellMar>
        </w:tblPrEx>
        <w:trPr>
          <w:wBefore w:w="0" w:type="auto"/>
          <w:tblCellSpacing w:w="0" w:type="dxa"/>
        </w:trPr>
        <w:tc>
          <w:tcPr>
            <w:tcW w:w="0" w:type="auto"/>
            <w:noWrap w:val="0"/>
            <w:vAlign w:val="center"/>
          </w:tcPr>
          <w:p w14:paraId="348CAD02">
            <w:r>
              <w:rPr>
                <w:rStyle w:val="10"/>
                <w:rFonts w:hint="eastAsia"/>
              </w:rPr>
              <w:t>注意事项：</w:t>
            </w:r>
            <w:r>
              <w:rPr>
                <w:rFonts w:hint="eastAsia"/>
              </w:rPr>
              <w:br w:type="textWrapping"/>
            </w:r>
            <w:r>
              <w:rPr>
                <w:rStyle w:val="11"/>
                <w:rFonts w:hint="eastAsia"/>
              </w:rPr>
              <w:t>1、使用前请仔细阅读此标签,并严格按照标签说明使用。2、喷药时应注意风向，防止飘移到邻近敏感作物上。3、本品对蜜蜂、鱼类等水生生物、家蚕有毒，施药期间应避免对周围蜂群的影响、开花作物花期、蚕室和桑园附近禁用。4、远离水产养殖区、河塘等水体施药，禁止在河塘等水体中清洗施药器具。用过的容器应妥善处理，不可做他用，也不可随意丢弃。5、对眼睛有刺激性，使用本品时应穿戴防护服、口罩和手套等，避免吸入药液。6、施药时不可吃东西和饮水。施药后，彻底清洗器械，并立即用肥皂洗手和洗脸。7、避免孕妇及哺乳期的妇女接触本品。</w:t>
            </w:r>
          </w:p>
        </w:tc>
      </w:tr>
      <w:tr w14:paraId="1363B0CD">
        <w:tblPrEx>
          <w:tblCellMar>
            <w:top w:w="0" w:type="dxa"/>
            <w:left w:w="0" w:type="dxa"/>
            <w:bottom w:w="0" w:type="dxa"/>
            <w:right w:w="0" w:type="dxa"/>
          </w:tblCellMar>
        </w:tblPrEx>
        <w:trPr>
          <w:wBefore w:w="0" w:type="auto"/>
          <w:tblCellSpacing w:w="0" w:type="dxa"/>
        </w:trPr>
        <w:tc>
          <w:tcPr>
            <w:tcW w:w="0" w:type="auto"/>
            <w:noWrap w:val="0"/>
            <w:vAlign w:val="center"/>
          </w:tcPr>
          <w:p w14:paraId="10A99820">
            <w:r>
              <w:rPr>
                <w:rStyle w:val="10"/>
                <w:rFonts w:hint="eastAsia"/>
              </w:rPr>
              <w:t>中毒急救措施：</w:t>
            </w:r>
            <w:r>
              <w:rPr>
                <w:rFonts w:hint="eastAsia"/>
              </w:rPr>
              <w:br w:type="textWrapping"/>
            </w:r>
            <w:r>
              <w:rPr>
                <w:rStyle w:val="11"/>
                <w:rFonts w:hint="eastAsia"/>
              </w:rPr>
              <w:t>对皮肤、眼睛和上呼吸道有刺激作用，无经口中毒报道。急救措施：不慎吸入，应将病人移至空气流通处。不慎接触皮肤，应用大量清水冲洗，若溅入眼睛，应用大量清水冲洗至少15分钟；本品无特效 解毒剂，如误服，严禁引吐，应先立即用清水漱口，再携带本标签到医院诊治。</w:t>
            </w:r>
          </w:p>
        </w:tc>
      </w:tr>
      <w:tr w14:paraId="3983288B">
        <w:tblPrEx>
          <w:tblCellMar>
            <w:top w:w="0" w:type="dxa"/>
            <w:left w:w="0" w:type="dxa"/>
            <w:bottom w:w="0" w:type="dxa"/>
            <w:right w:w="0" w:type="dxa"/>
          </w:tblCellMar>
        </w:tblPrEx>
        <w:trPr>
          <w:wBefore w:w="0" w:type="auto"/>
          <w:tblCellSpacing w:w="0" w:type="dxa"/>
        </w:trPr>
        <w:tc>
          <w:tcPr>
            <w:tcW w:w="0" w:type="auto"/>
            <w:noWrap w:val="0"/>
            <w:vAlign w:val="center"/>
          </w:tcPr>
          <w:p w14:paraId="4D45AAF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3D350086">
        <w:tblPrEx>
          <w:tblCellMar>
            <w:top w:w="0" w:type="dxa"/>
            <w:left w:w="0" w:type="dxa"/>
            <w:bottom w:w="0" w:type="dxa"/>
            <w:right w:w="0" w:type="dxa"/>
          </w:tblCellMar>
        </w:tblPrEx>
        <w:trPr>
          <w:wBefore w:w="0" w:type="auto"/>
          <w:tblCellSpacing w:w="0" w:type="dxa"/>
        </w:trPr>
        <w:tc>
          <w:tcPr>
            <w:tcW w:w="0" w:type="auto"/>
            <w:noWrap w:val="0"/>
            <w:vAlign w:val="center"/>
          </w:tcPr>
          <w:p w14:paraId="296868C0">
            <w:r>
              <w:rPr>
                <w:rStyle w:val="10"/>
                <w:rFonts w:hint="eastAsia"/>
              </w:rPr>
              <w:t>质量保证期：</w:t>
            </w:r>
            <w:r>
              <w:rPr>
                <w:rStyle w:val="11"/>
                <w:rFonts w:hint="eastAsia"/>
              </w:rPr>
              <w:t>2年</w:t>
            </w:r>
          </w:p>
        </w:tc>
      </w:tr>
      <w:tr w14:paraId="3DEACE28">
        <w:tblPrEx>
          <w:tblCellMar>
            <w:top w:w="0" w:type="dxa"/>
            <w:left w:w="0" w:type="dxa"/>
            <w:bottom w:w="0" w:type="dxa"/>
            <w:right w:w="0" w:type="dxa"/>
          </w:tblCellMar>
        </w:tblPrEx>
        <w:trPr>
          <w:wBefore w:w="0" w:type="auto"/>
          <w:tblCellSpacing w:w="0" w:type="dxa"/>
        </w:trPr>
        <w:tc>
          <w:tcPr>
            <w:tcW w:w="0" w:type="auto"/>
            <w:noWrap w:val="0"/>
            <w:vAlign w:val="center"/>
          </w:tcPr>
          <w:p w14:paraId="109E3B93">
            <w:r>
              <w:rPr>
                <w:rStyle w:val="10"/>
                <w:rFonts w:hint="eastAsia"/>
              </w:rPr>
              <w:t>备注：</w:t>
            </w:r>
          </w:p>
        </w:tc>
      </w:tr>
    </w:tbl>
    <w:p w14:paraId="279C58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63485A">
        <w:tblPrEx>
          <w:tblCellMar>
            <w:top w:w="0" w:type="dxa"/>
            <w:left w:w="0" w:type="dxa"/>
            <w:bottom w:w="0" w:type="dxa"/>
            <w:right w:w="0" w:type="dxa"/>
          </w:tblCellMar>
        </w:tblPrEx>
        <w:trPr>
          <w:wBefore w:w="0" w:type="auto"/>
          <w:tblCellSpacing w:w="0" w:type="dxa"/>
        </w:trPr>
        <w:tc>
          <w:tcPr>
            <w:tcW w:w="0" w:type="auto"/>
            <w:noWrap w:val="0"/>
            <w:vAlign w:val="center"/>
          </w:tcPr>
          <w:p w14:paraId="220F8CCD">
            <w:r>
              <w:rPr>
                <w:rStyle w:val="10"/>
                <w:rFonts w:hint="eastAsia"/>
              </w:rPr>
              <w:t>登记证号：</w:t>
            </w:r>
            <w:r>
              <w:rPr>
                <w:rFonts w:hint="eastAsia"/>
              </w:rPr>
              <w:t>PD20212669</w:t>
            </w:r>
          </w:p>
        </w:tc>
      </w:tr>
      <w:tr w14:paraId="144649CD">
        <w:tblPrEx>
          <w:tblCellMar>
            <w:top w:w="0" w:type="dxa"/>
            <w:left w:w="0" w:type="dxa"/>
            <w:bottom w:w="0" w:type="dxa"/>
            <w:right w:w="0" w:type="dxa"/>
          </w:tblCellMar>
        </w:tblPrEx>
        <w:trPr>
          <w:wBefore w:w="0" w:type="auto"/>
          <w:tblCellSpacing w:w="0" w:type="dxa"/>
        </w:trPr>
        <w:tc>
          <w:tcPr>
            <w:tcW w:w="0" w:type="auto"/>
            <w:noWrap w:val="0"/>
            <w:vAlign w:val="center"/>
          </w:tcPr>
          <w:p w14:paraId="0E04B9FE">
            <w:r>
              <w:rPr>
                <w:rStyle w:val="10"/>
                <w:rFonts w:hint="eastAsia"/>
              </w:rPr>
              <w:t>登记证持有人：</w:t>
            </w:r>
            <w:r>
              <w:rPr>
                <w:rFonts w:hint="eastAsia"/>
              </w:rPr>
              <w:t>湖南新长山农业发展股份有限公司</w:t>
            </w:r>
          </w:p>
        </w:tc>
      </w:tr>
      <w:tr w14:paraId="2EC9C69C">
        <w:tblPrEx>
          <w:tblCellMar>
            <w:top w:w="0" w:type="dxa"/>
            <w:left w:w="0" w:type="dxa"/>
            <w:bottom w:w="0" w:type="dxa"/>
            <w:right w:w="0" w:type="dxa"/>
          </w:tblCellMar>
        </w:tblPrEx>
        <w:trPr>
          <w:wBefore w:w="0" w:type="auto"/>
          <w:tblCellSpacing w:w="0" w:type="dxa"/>
        </w:trPr>
        <w:tc>
          <w:tcPr>
            <w:tcW w:w="0" w:type="auto"/>
            <w:noWrap w:val="0"/>
            <w:vAlign w:val="center"/>
          </w:tcPr>
          <w:p w14:paraId="30EF89F4">
            <w:r>
              <w:rPr>
                <w:rStyle w:val="10"/>
                <w:rFonts w:hint="eastAsia"/>
              </w:rPr>
              <w:t>农药名称：</w:t>
            </w:r>
            <w:r>
              <w:rPr>
                <w:rFonts w:hint="eastAsia"/>
              </w:rPr>
              <w:t>嘧菌·噁霉灵</w:t>
            </w:r>
          </w:p>
        </w:tc>
      </w:tr>
      <w:tr w14:paraId="39E4B8C6">
        <w:tblPrEx>
          <w:tblCellMar>
            <w:top w:w="0" w:type="dxa"/>
            <w:left w:w="0" w:type="dxa"/>
            <w:bottom w:w="0" w:type="dxa"/>
            <w:right w:w="0" w:type="dxa"/>
          </w:tblCellMar>
        </w:tblPrEx>
        <w:trPr>
          <w:wBefore w:w="0" w:type="auto"/>
          <w:tblCellSpacing w:w="0" w:type="dxa"/>
        </w:trPr>
        <w:tc>
          <w:tcPr>
            <w:tcW w:w="0" w:type="auto"/>
            <w:noWrap w:val="0"/>
            <w:vAlign w:val="center"/>
          </w:tcPr>
          <w:p w14:paraId="51F4CB39">
            <w:r>
              <w:rPr>
                <w:rStyle w:val="10"/>
                <w:rFonts w:hint="eastAsia"/>
              </w:rPr>
              <w:t>剂型：</w:t>
            </w:r>
            <w:r>
              <w:rPr>
                <w:rFonts w:hint="eastAsia"/>
              </w:rPr>
              <w:t>颗粒剂</w:t>
            </w:r>
          </w:p>
        </w:tc>
      </w:tr>
      <w:tr w14:paraId="5D837CB9">
        <w:tblPrEx>
          <w:tblCellMar>
            <w:top w:w="0" w:type="dxa"/>
            <w:left w:w="0" w:type="dxa"/>
            <w:bottom w:w="0" w:type="dxa"/>
            <w:right w:w="0" w:type="dxa"/>
          </w:tblCellMar>
        </w:tblPrEx>
        <w:trPr>
          <w:wBefore w:w="0" w:type="auto"/>
          <w:tblCellSpacing w:w="0" w:type="dxa"/>
        </w:trPr>
        <w:tc>
          <w:tcPr>
            <w:tcW w:w="0" w:type="auto"/>
            <w:noWrap w:val="0"/>
            <w:vAlign w:val="center"/>
          </w:tcPr>
          <w:p w14:paraId="76798FC0">
            <w:r>
              <w:rPr>
                <w:rStyle w:val="10"/>
                <w:rFonts w:hint="eastAsia"/>
              </w:rPr>
              <w:t>毒性及其标识：</w:t>
            </w:r>
            <w:r>
              <w:rPr>
                <w:rFonts w:hint="eastAsia"/>
              </w:rPr>
              <w:t xml:space="preserve"> </w:t>
            </w:r>
            <w:r>
              <w:rPr>
                <w:lang/>
              </w:rPr>
              <w:drawing>
                <wp:inline distT="0" distB="0" distL="114300" distR="114300">
                  <wp:extent cx="476250" cy="323850"/>
                  <wp:effectExtent l="0" t="0" r="0" b="0"/>
                  <wp:docPr id="110" name="图片 1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418EE7">
        <w:tblPrEx>
          <w:tblCellMar>
            <w:top w:w="0" w:type="dxa"/>
            <w:left w:w="0" w:type="dxa"/>
            <w:bottom w:w="0" w:type="dxa"/>
            <w:right w:w="0" w:type="dxa"/>
          </w:tblCellMar>
        </w:tblPrEx>
        <w:trPr>
          <w:wBefore w:w="0" w:type="auto"/>
          <w:tblCellSpacing w:w="0" w:type="dxa"/>
        </w:trPr>
        <w:tc>
          <w:tcPr>
            <w:tcW w:w="0" w:type="auto"/>
            <w:noWrap w:val="0"/>
            <w:vAlign w:val="center"/>
          </w:tcPr>
          <w:p w14:paraId="3EC409B4">
            <w:r>
              <w:rPr>
                <w:rStyle w:val="10"/>
                <w:rFonts w:hint="eastAsia"/>
              </w:rPr>
              <w:t>总有效成分含量：</w:t>
            </w:r>
            <w:r>
              <w:rPr>
                <w:rFonts w:hint="eastAsia"/>
              </w:rPr>
              <w:t>1%</w:t>
            </w:r>
          </w:p>
        </w:tc>
      </w:tr>
      <w:tr w14:paraId="3D03ED2F">
        <w:tblPrEx>
          <w:tblCellMar>
            <w:top w:w="0" w:type="dxa"/>
            <w:left w:w="0" w:type="dxa"/>
            <w:bottom w:w="0" w:type="dxa"/>
            <w:right w:w="0" w:type="dxa"/>
          </w:tblCellMar>
        </w:tblPrEx>
        <w:trPr>
          <w:wBefore w:w="0" w:type="auto"/>
          <w:tblCellSpacing w:w="0" w:type="dxa"/>
        </w:trPr>
        <w:tc>
          <w:tcPr>
            <w:tcW w:w="0" w:type="auto"/>
            <w:noWrap w:val="0"/>
            <w:vAlign w:val="center"/>
          </w:tcPr>
          <w:p w14:paraId="33EA5F3D">
            <w:r>
              <w:rPr>
                <w:rFonts w:hint="eastAsia"/>
              </w:rPr>
              <w:t xml:space="preserve">有效成分及其含量： </w:t>
            </w:r>
          </w:p>
          <w:p w14:paraId="558D0FE1">
            <w:r>
              <w:rPr>
                <w:rFonts w:hint="eastAsia"/>
              </w:rPr>
              <w:t xml:space="preserve">    噁霉灵0.5%    嘧菌酯0.5%    </w:t>
            </w:r>
          </w:p>
        </w:tc>
      </w:tr>
      <w:tr w14:paraId="77247516">
        <w:tblPrEx>
          <w:tblCellMar>
            <w:top w:w="0" w:type="dxa"/>
            <w:left w:w="0" w:type="dxa"/>
            <w:bottom w:w="0" w:type="dxa"/>
            <w:right w:w="0" w:type="dxa"/>
          </w:tblCellMar>
        </w:tblPrEx>
        <w:trPr>
          <w:wBefore w:w="0" w:type="auto"/>
          <w:tblCellSpacing w:w="0" w:type="dxa"/>
        </w:trPr>
        <w:tc>
          <w:tcPr>
            <w:tcW w:w="0" w:type="auto"/>
            <w:noWrap w:val="0"/>
            <w:vAlign w:val="center"/>
          </w:tcPr>
          <w:p w14:paraId="185750F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A26E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D18B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089F6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89397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C9D448">
                  <w:r>
                    <w:rPr>
                      <w:rStyle w:val="11"/>
                      <w:rFonts w:hint="eastAsia"/>
                    </w:rPr>
                    <w:t>施用方式</w:t>
                  </w:r>
                </w:p>
              </w:tc>
            </w:tr>
            <w:tr w14:paraId="699AE4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12B293">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80262B">
                  <w:r>
                    <w:rPr>
                      <w:rStyle w:val="11"/>
                      <w:rFonts w:hint="eastAsia"/>
                    </w:rPr>
                    <w:t>黑痣病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EC1C68">
                  <w:r>
                    <w:rPr>
                      <w:rStyle w:val="11"/>
                      <w:rFonts w:hint="eastAsia"/>
                    </w:rPr>
                    <w:t>2.5-3千克/亩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6EC075">
                  <w:r>
                    <w:rPr>
                      <w:rStyle w:val="11"/>
                      <w:rFonts w:hint="eastAsia"/>
                    </w:rPr>
                    <w:t>沟施</w:t>
                  </w:r>
                </w:p>
              </w:tc>
            </w:tr>
          </w:tbl>
          <w:p w14:paraId="22F58313">
            <w:pPr>
              <w:rPr>
                <w:rFonts w:ascii="Times New Roman" w:hAnsi="Times New Roman" w:cs="Times New Roman"/>
                <w:sz w:val="20"/>
                <w:szCs w:val="20"/>
              </w:rPr>
            </w:pPr>
          </w:p>
        </w:tc>
      </w:tr>
      <w:tr w14:paraId="0AFDBA51">
        <w:tblPrEx>
          <w:tblCellMar>
            <w:top w:w="0" w:type="dxa"/>
            <w:left w:w="0" w:type="dxa"/>
            <w:bottom w:w="0" w:type="dxa"/>
            <w:right w:w="0" w:type="dxa"/>
          </w:tblCellMar>
        </w:tblPrEx>
        <w:trPr>
          <w:wBefore w:w="0" w:type="auto"/>
          <w:tblCellSpacing w:w="0" w:type="dxa"/>
        </w:trPr>
        <w:tc>
          <w:tcPr>
            <w:tcW w:w="0" w:type="auto"/>
            <w:noWrap w:val="0"/>
            <w:vAlign w:val="center"/>
          </w:tcPr>
          <w:p w14:paraId="41899641">
            <w:r>
              <w:rPr>
                <w:rStyle w:val="10"/>
                <w:rFonts w:hint="eastAsia"/>
              </w:rPr>
              <w:t>使用技术要求:</w:t>
            </w:r>
            <w:r>
              <w:rPr>
                <w:rFonts w:hint="eastAsia"/>
              </w:rPr>
              <w:br w:type="textWrapping"/>
            </w:r>
            <w:r>
              <w:rPr>
                <w:rStyle w:val="11"/>
                <w:rFonts w:hint="eastAsia"/>
              </w:rPr>
              <w:t>1. 在马铃薯播种或移栽前进行沟施，注意施药均匀。2.施药后应立即覆土。3.本品每季最多施药1次，安全间隔期为收获期。</w:t>
            </w:r>
          </w:p>
        </w:tc>
      </w:tr>
      <w:tr w14:paraId="54C0C0D0">
        <w:tblPrEx>
          <w:tblCellMar>
            <w:top w:w="0" w:type="dxa"/>
            <w:left w:w="0" w:type="dxa"/>
            <w:bottom w:w="0" w:type="dxa"/>
            <w:right w:w="0" w:type="dxa"/>
          </w:tblCellMar>
        </w:tblPrEx>
        <w:trPr>
          <w:wBefore w:w="0" w:type="auto"/>
          <w:tblCellSpacing w:w="0" w:type="dxa"/>
        </w:trPr>
        <w:tc>
          <w:tcPr>
            <w:tcW w:w="0" w:type="auto"/>
            <w:noWrap w:val="0"/>
            <w:vAlign w:val="center"/>
          </w:tcPr>
          <w:p w14:paraId="3A90A8F3">
            <w:r>
              <w:rPr>
                <w:rStyle w:val="10"/>
                <w:rFonts w:hint="eastAsia"/>
              </w:rPr>
              <w:t>产品性能:</w:t>
            </w:r>
            <w:r>
              <w:rPr>
                <w:rFonts w:hint="eastAsia"/>
              </w:rPr>
              <w:br w:type="textWrapping"/>
            </w:r>
            <w:r>
              <w:rPr>
                <w:rStyle w:val="11"/>
                <w:rFonts w:hint="eastAsia"/>
              </w:rPr>
              <w:t>本品是针对土传病原菌的土壤杀菌剂。能有效干扰细胞壁的形成，抑制孢子的萌发和菌丝生长作用。能被植物的根吸收及在根系内移动，避免植物根部受病原菌侵害，杀死土传病原菌。</w:t>
            </w:r>
          </w:p>
        </w:tc>
      </w:tr>
      <w:tr w14:paraId="3746C0CF">
        <w:tblPrEx>
          <w:tblCellMar>
            <w:top w:w="0" w:type="dxa"/>
            <w:left w:w="0" w:type="dxa"/>
            <w:bottom w:w="0" w:type="dxa"/>
            <w:right w:w="0" w:type="dxa"/>
          </w:tblCellMar>
        </w:tblPrEx>
        <w:trPr>
          <w:wBefore w:w="0" w:type="auto"/>
          <w:tblCellSpacing w:w="0" w:type="dxa"/>
        </w:trPr>
        <w:tc>
          <w:tcPr>
            <w:tcW w:w="0" w:type="auto"/>
            <w:noWrap w:val="0"/>
            <w:vAlign w:val="center"/>
          </w:tcPr>
          <w:p w14:paraId="75E4124F">
            <w:r>
              <w:rPr>
                <w:rStyle w:val="10"/>
                <w:rFonts w:hint="eastAsia"/>
              </w:rPr>
              <w:t>注意事项：</w:t>
            </w:r>
            <w:r>
              <w:rPr>
                <w:rFonts w:hint="eastAsia"/>
              </w:rPr>
              <w:br w:type="textWrapping"/>
            </w:r>
            <w:r>
              <w:rPr>
                <w:rStyle w:val="11"/>
                <w:rFonts w:hint="eastAsia"/>
              </w:rPr>
              <w:t>1.请按照农药安全使用准则使用本品。2.勿超剂量使用，避免药害。3.药品及废品不得污染各类水域等环境。开花植物花期禁用，桑园及蚕室附近禁用，鸟类保护区禁用。4.使用本品时应穿戴防护服和手套，因产品对眼睛有轻度刺激性，施药时务必戴防护眼镜。施药期间不可吃东西和饮水。施药后应及时洗手和洗脸。5.远离水产养殖区施药，禁止在河塘等水域清洗施药器具。6.用过的容器应妥善处理，不可做他用，也不可随意丢弃。7.孕妇及哺乳期妇女禁止接触本品。</w:t>
            </w:r>
          </w:p>
        </w:tc>
      </w:tr>
      <w:tr w14:paraId="060EE79A">
        <w:tblPrEx>
          <w:tblCellMar>
            <w:top w:w="0" w:type="dxa"/>
            <w:left w:w="0" w:type="dxa"/>
            <w:bottom w:w="0" w:type="dxa"/>
            <w:right w:w="0" w:type="dxa"/>
          </w:tblCellMar>
        </w:tblPrEx>
        <w:trPr>
          <w:wBefore w:w="0" w:type="auto"/>
          <w:tblCellSpacing w:w="0" w:type="dxa"/>
        </w:trPr>
        <w:tc>
          <w:tcPr>
            <w:tcW w:w="0" w:type="auto"/>
            <w:noWrap w:val="0"/>
            <w:vAlign w:val="center"/>
          </w:tcPr>
          <w:p w14:paraId="54CD9F8D">
            <w:r>
              <w:rPr>
                <w:rStyle w:val="10"/>
                <w:rFonts w:hint="eastAsia"/>
              </w:rPr>
              <w:t>中毒急救措施：</w:t>
            </w:r>
            <w:r>
              <w:rPr>
                <w:rFonts w:hint="eastAsia"/>
              </w:rPr>
              <w:br w:type="textWrapping"/>
            </w:r>
            <w:r>
              <w:rPr>
                <w:rStyle w:val="11"/>
                <w:rFonts w:hint="eastAsia"/>
              </w:rPr>
              <w:t>如接触皮肤，用肥皂和清水彻底清洗受污的皮肤，如溅及眼睛，用清水冲洗眼睛至少10分钟；若发生意外中毒事故应立即携标签送医对症治疗。</w:t>
            </w:r>
          </w:p>
        </w:tc>
      </w:tr>
      <w:tr w14:paraId="416EC1E5">
        <w:tblPrEx>
          <w:tblCellMar>
            <w:top w:w="0" w:type="dxa"/>
            <w:left w:w="0" w:type="dxa"/>
            <w:bottom w:w="0" w:type="dxa"/>
            <w:right w:w="0" w:type="dxa"/>
          </w:tblCellMar>
        </w:tblPrEx>
        <w:trPr>
          <w:wBefore w:w="0" w:type="auto"/>
          <w:tblCellSpacing w:w="0" w:type="dxa"/>
        </w:trPr>
        <w:tc>
          <w:tcPr>
            <w:tcW w:w="0" w:type="auto"/>
            <w:noWrap w:val="0"/>
            <w:vAlign w:val="center"/>
          </w:tcPr>
          <w:p w14:paraId="23C39036">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本品应贮存在干燥、阴凉、通风、防雨处，远离火源或热源。置于儿童、及无关人员触及不到之处，并加锁。勿与食品、饮料、粮食、饲料等其他商品同贮同运。</w:t>
            </w:r>
          </w:p>
        </w:tc>
      </w:tr>
      <w:tr w14:paraId="3C1B0CC7">
        <w:tblPrEx>
          <w:tblCellMar>
            <w:top w:w="0" w:type="dxa"/>
            <w:left w:w="0" w:type="dxa"/>
            <w:bottom w:w="0" w:type="dxa"/>
            <w:right w:w="0" w:type="dxa"/>
          </w:tblCellMar>
        </w:tblPrEx>
        <w:trPr>
          <w:wBefore w:w="0" w:type="auto"/>
          <w:tblCellSpacing w:w="0" w:type="dxa"/>
        </w:trPr>
        <w:tc>
          <w:tcPr>
            <w:tcW w:w="0" w:type="auto"/>
            <w:noWrap w:val="0"/>
            <w:vAlign w:val="center"/>
          </w:tcPr>
          <w:p w14:paraId="237068E5">
            <w:r>
              <w:rPr>
                <w:rStyle w:val="10"/>
                <w:rFonts w:hint="eastAsia"/>
              </w:rPr>
              <w:t>质量保证期：</w:t>
            </w:r>
            <w:r>
              <w:rPr>
                <w:rStyle w:val="11"/>
                <w:rFonts w:hint="eastAsia"/>
              </w:rPr>
              <w:t>2年</w:t>
            </w:r>
          </w:p>
        </w:tc>
      </w:tr>
      <w:tr w14:paraId="1F1C2121">
        <w:tblPrEx>
          <w:tblCellMar>
            <w:top w:w="0" w:type="dxa"/>
            <w:left w:w="0" w:type="dxa"/>
            <w:bottom w:w="0" w:type="dxa"/>
            <w:right w:w="0" w:type="dxa"/>
          </w:tblCellMar>
        </w:tblPrEx>
        <w:trPr>
          <w:wBefore w:w="0" w:type="auto"/>
          <w:tblCellSpacing w:w="0" w:type="dxa"/>
        </w:trPr>
        <w:tc>
          <w:tcPr>
            <w:tcW w:w="0" w:type="auto"/>
            <w:noWrap w:val="0"/>
            <w:vAlign w:val="center"/>
          </w:tcPr>
          <w:p w14:paraId="059DD50D">
            <w:r>
              <w:rPr>
                <w:rStyle w:val="10"/>
                <w:rFonts w:hint="eastAsia"/>
              </w:rPr>
              <w:t>备注：</w:t>
            </w:r>
          </w:p>
        </w:tc>
      </w:tr>
    </w:tbl>
    <w:p w14:paraId="491486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542951">
        <w:tblPrEx>
          <w:tblCellMar>
            <w:top w:w="0" w:type="dxa"/>
            <w:left w:w="0" w:type="dxa"/>
            <w:bottom w:w="0" w:type="dxa"/>
            <w:right w:w="0" w:type="dxa"/>
          </w:tblCellMar>
        </w:tblPrEx>
        <w:trPr>
          <w:wBefore w:w="0" w:type="auto"/>
          <w:tblCellSpacing w:w="0" w:type="dxa"/>
        </w:trPr>
        <w:tc>
          <w:tcPr>
            <w:tcW w:w="0" w:type="auto"/>
            <w:noWrap w:val="0"/>
            <w:vAlign w:val="center"/>
          </w:tcPr>
          <w:p w14:paraId="280507B4">
            <w:r>
              <w:rPr>
                <w:rStyle w:val="10"/>
                <w:rFonts w:hint="eastAsia"/>
              </w:rPr>
              <w:t>登记证号：</w:t>
            </w:r>
            <w:r>
              <w:rPr>
                <w:rFonts w:hint="eastAsia"/>
              </w:rPr>
              <w:t>WP20210382</w:t>
            </w:r>
          </w:p>
        </w:tc>
      </w:tr>
      <w:tr w14:paraId="4FE77BF4">
        <w:tblPrEx>
          <w:tblCellMar>
            <w:top w:w="0" w:type="dxa"/>
            <w:left w:w="0" w:type="dxa"/>
            <w:bottom w:w="0" w:type="dxa"/>
            <w:right w:w="0" w:type="dxa"/>
          </w:tblCellMar>
        </w:tblPrEx>
        <w:trPr>
          <w:wBefore w:w="0" w:type="auto"/>
          <w:tblCellSpacing w:w="0" w:type="dxa"/>
        </w:trPr>
        <w:tc>
          <w:tcPr>
            <w:tcW w:w="0" w:type="auto"/>
            <w:noWrap w:val="0"/>
            <w:vAlign w:val="center"/>
          </w:tcPr>
          <w:p w14:paraId="54F909CD">
            <w:r>
              <w:rPr>
                <w:rStyle w:val="10"/>
                <w:rFonts w:hint="eastAsia"/>
              </w:rPr>
              <w:t>登记证持有人：</w:t>
            </w:r>
            <w:r>
              <w:rPr>
                <w:rFonts w:hint="eastAsia"/>
              </w:rPr>
              <w:t>广州超威日用化学用品有限公司</w:t>
            </w:r>
          </w:p>
        </w:tc>
      </w:tr>
      <w:tr w14:paraId="60AC51D5">
        <w:tblPrEx>
          <w:tblCellMar>
            <w:top w:w="0" w:type="dxa"/>
            <w:left w:w="0" w:type="dxa"/>
            <w:bottom w:w="0" w:type="dxa"/>
            <w:right w:w="0" w:type="dxa"/>
          </w:tblCellMar>
        </w:tblPrEx>
        <w:trPr>
          <w:wBefore w:w="0" w:type="auto"/>
          <w:tblCellSpacing w:w="0" w:type="dxa"/>
        </w:trPr>
        <w:tc>
          <w:tcPr>
            <w:tcW w:w="0" w:type="auto"/>
            <w:noWrap w:val="0"/>
            <w:vAlign w:val="center"/>
          </w:tcPr>
          <w:p w14:paraId="3E0EF5F2">
            <w:r>
              <w:rPr>
                <w:rStyle w:val="10"/>
                <w:rFonts w:hint="eastAsia"/>
              </w:rPr>
              <w:t>农药名称：</w:t>
            </w:r>
            <w:r>
              <w:rPr>
                <w:rFonts w:hint="eastAsia"/>
              </w:rPr>
              <w:t>杀虫饵剂</w:t>
            </w:r>
          </w:p>
        </w:tc>
      </w:tr>
      <w:tr w14:paraId="701E0617">
        <w:tblPrEx>
          <w:tblCellMar>
            <w:top w:w="0" w:type="dxa"/>
            <w:left w:w="0" w:type="dxa"/>
            <w:bottom w:w="0" w:type="dxa"/>
            <w:right w:w="0" w:type="dxa"/>
          </w:tblCellMar>
        </w:tblPrEx>
        <w:trPr>
          <w:wBefore w:w="0" w:type="auto"/>
          <w:tblCellSpacing w:w="0" w:type="dxa"/>
        </w:trPr>
        <w:tc>
          <w:tcPr>
            <w:tcW w:w="0" w:type="auto"/>
            <w:noWrap w:val="0"/>
            <w:vAlign w:val="center"/>
          </w:tcPr>
          <w:p w14:paraId="62D0F590">
            <w:r>
              <w:rPr>
                <w:rStyle w:val="10"/>
                <w:rFonts w:hint="eastAsia"/>
              </w:rPr>
              <w:t>剂型：</w:t>
            </w:r>
            <w:r>
              <w:rPr>
                <w:rFonts w:hint="eastAsia"/>
              </w:rPr>
              <w:t>饵剂</w:t>
            </w:r>
          </w:p>
        </w:tc>
      </w:tr>
      <w:tr w14:paraId="30BCE3D5">
        <w:tblPrEx>
          <w:tblCellMar>
            <w:top w:w="0" w:type="dxa"/>
            <w:left w:w="0" w:type="dxa"/>
            <w:bottom w:w="0" w:type="dxa"/>
            <w:right w:w="0" w:type="dxa"/>
          </w:tblCellMar>
        </w:tblPrEx>
        <w:trPr>
          <w:wBefore w:w="0" w:type="auto"/>
          <w:tblCellSpacing w:w="0" w:type="dxa"/>
        </w:trPr>
        <w:tc>
          <w:tcPr>
            <w:tcW w:w="0" w:type="auto"/>
            <w:noWrap w:val="0"/>
            <w:vAlign w:val="center"/>
          </w:tcPr>
          <w:p w14:paraId="20E2BB8E">
            <w:r>
              <w:rPr>
                <w:rStyle w:val="10"/>
                <w:rFonts w:hint="eastAsia"/>
              </w:rPr>
              <w:t>毒性及其标识：</w:t>
            </w:r>
            <w:r>
              <w:rPr>
                <w:rFonts w:hint="eastAsia"/>
              </w:rPr>
              <w:t xml:space="preserve"> </w:t>
            </w:r>
            <w:r>
              <w:rPr>
                <w:lang/>
              </w:rPr>
              <w:drawing>
                <wp:inline distT="0" distB="0" distL="114300" distR="114300">
                  <wp:extent cx="476250" cy="323850"/>
                  <wp:effectExtent l="0" t="0" r="0" b="0"/>
                  <wp:docPr id="111" name="图片 1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2EBA86">
        <w:tblPrEx>
          <w:tblCellMar>
            <w:top w:w="0" w:type="dxa"/>
            <w:left w:w="0" w:type="dxa"/>
            <w:bottom w:w="0" w:type="dxa"/>
            <w:right w:w="0" w:type="dxa"/>
          </w:tblCellMar>
        </w:tblPrEx>
        <w:trPr>
          <w:wBefore w:w="0" w:type="auto"/>
          <w:tblCellSpacing w:w="0" w:type="dxa"/>
        </w:trPr>
        <w:tc>
          <w:tcPr>
            <w:tcW w:w="0" w:type="auto"/>
            <w:noWrap w:val="0"/>
            <w:vAlign w:val="center"/>
          </w:tcPr>
          <w:p w14:paraId="2AA0B705">
            <w:r>
              <w:rPr>
                <w:rStyle w:val="10"/>
                <w:rFonts w:hint="eastAsia"/>
              </w:rPr>
              <w:t>总有效成分含量：</w:t>
            </w:r>
            <w:r>
              <w:rPr>
                <w:rFonts w:hint="eastAsia"/>
              </w:rPr>
              <w:t>0.5%</w:t>
            </w:r>
          </w:p>
        </w:tc>
      </w:tr>
      <w:tr w14:paraId="66B0850C">
        <w:tblPrEx>
          <w:tblCellMar>
            <w:top w:w="0" w:type="dxa"/>
            <w:left w:w="0" w:type="dxa"/>
            <w:bottom w:w="0" w:type="dxa"/>
            <w:right w:w="0" w:type="dxa"/>
          </w:tblCellMar>
        </w:tblPrEx>
        <w:trPr>
          <w:wBefore w:w="0" w:type="auto"/>
          <w:tblCellSpacing w:w="0" w:type="dxa"/>
        </w:trPr>
        <w:tc>
          <w:tcPr>
            <w:tcW w:w="0" w:type="auto"/>
            <w:noWrap w:val="0"/>
            <w:vAlign w:val="center"/>
          </w:tcPr>
          <w:p w14:paraId="7F97EC56">
            <w:r>
              <w:rPr>
                <w:rFonts w:hint="eastAsia"/>
              </w:rPr>
              <w:t xml:space="preserve">有效成分及其含量： </w:t>
            </w:r>
          </w:p>
          <w:p w14:paraId="45630D1C">
            <w:r>
              <w:rPr>
                <w:rFonts w:hint="eastAsia"/>
              </w:rPr>
              <w:t xml:space="preserve">    茚虫威0.5%    </w:t>
            </w:r>
          </w:p>
        </w:tc>
      </w:tr>
      <w:tr w14:paraId="1FC90A65">
        <w:tblPrEx>
          <w:tblCellMar>
            <w:top w:w="0" w:type="dxa"/>
            <w:left w:w="0" w:type="dxa"/>
            <w:bottom w:w="0" w:type="dxa"/>
            <w:right w:w="0" w:type="dxa"/>
          </w:tblCellMar>
        </w:tblPrEx>
        <w:trPr>
          <w:wBefore w:w="0" w:type="auto"/>
          <w:tblCellSpacing w:w="0" w:type="dxa"/>
        </w:trPr>
        <w:tc>
          <w:tcPr>
            <w:tcW w:w="0" w:type="auto"/>
            <w:noWrap w:val="0"/>
            <w:vAlign w:val="center"/>
          </w:tcPr>
          <w:p w14:paraId="7B6967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1461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9468C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DC005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A16B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C98721">
                  <w:r>
                    <w:rPr>
                      <w:rStyle w:val="11"/>
                      <w:rFonts w:hint="eastAsia"/>
                    </w:rPr>
                    <w:t>施用方式</w:t>
                  </w:r>
                </w:p>
              </w:tc>
            </w:tr>
            <w:tr w14:paraId="3A50B1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45116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7AAFE9">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D1090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220B52">
                  <w:r>
                    <w:rPr>
                      <w:rStyle w:val="11"/>
                      <w:rFonts w:hint="eastAsia"/>
                    </w:rPr>
                    <w:t>投放</w:t>
                  </w:r>
                </w:p>
              </w:tc>
            </w:tr>
            <w:tr w14:paraId="3F880A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EFDF9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84337E">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02BDF9">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8E35F3">
                  <w:r>
                    <w:rPr>
                      <w:rStyle w:val="11"/>
                      <w:rFonts w:hint="eastAsia"/>
                    </w:rPr>
                    <w:t>投放</w:t>
                  </w:r>
                </w:p>
              </w:tc>
            </w:tr>
          </w:tbl>
          <w:p w14:paraId="3154FF74">
            <w:pPr>
              <w:rPr>
                <w:rFonts w:ascii="Times New Roman" w:hAnsi="Times New Roman" w:cs="Times New Roman"/>
                <w:sz w:val="20"/>
                <w:szCs w:val="20"/>
              </w:rPr>
            </w:pPr>
          </w:p>
        </w:tc>
      </w:tr>
      <w:tr w14:paraId="28A4F8D5">
        <w:tblPrEx>
          <w:tblCellMar>
            <w:top w:w="0" w:type="dxa"/>
            <w:left w:w="0" w:type="dxa"/>
            <w:bottom w:w="0" w:type="dxa"/>
            <w:right w:w="0" w:type="dxa"/>
          </w:tblCellMar>
        </w:tblPrEx>
        <w:trPr>
          <w:wBefore w:w="0" w:type="auto"/>
          <w:tblCellSpacing w:w="0" w:type="dxa"/>
        </w:trPr>
        <w:tc>
          <w:tcPr>
            <w:tcW w:w="0" w:type="auto"/>
            <w:noWrap w:val="0"/>
            <w:vAlign w:val="center"/>
          </w:tcPr>
          <w:p w14:paraId="6071EC90">
            <w:r>
              <w:rPr>
                <w:rStyle w:val="10"/>
                <w:rFonts w:hint="eastAsia"/>
              </w:rPr>
              <w:t>使用技术要求:</w:t>
            </w:r>
            <w:r>
              <w:rPr>
                <w:rFonts w:hint="eastAsia"/>
              </w:rPr>
              <w:br w:type="textWrapping"/>
            </w:r>
            <w:r>
              <w:rPr>
                <w:rStyle w:val="11"/>
                <w:rFonts w:hint="eastAsia"/>
              </w:rPr>
              <w:t xml:space="preserve">使用时将饵剂施药于蟑螂和蚂蚁经常出没的地方。可根据蟑螂和蚂蚁的数量和活动范围适当增加饵剂的使用量。 </w:t>
            </w:r>
          </w:p>
        </w:tc>
      </w:tr>
      <w:tr w14:paraId="70E4B076">
        <w:tblPrEx>
          <w:tblCellMar>
            <w:top w:w="0" w:type="dxa"/>
            <w:left w:w="0" w:type="dxa"/>
            <w:bottom w:w="0" w:type="dxa"/>
            <w:right w:w="0" w:type="dxa"/>
          </w:tblCellMar>
        </w:tblPrEx>
        <w:trPr>
          <w:wBefore w:w="0" w:type="auto"/>
          <w:tblCellSpacing w:w="0" w:type="dxa"/>
        </w:trPr>
        <w:tc>
          <w:tcPr>
            <w:tcW w:w="0" w:type="auto"/>
            <w:noWrap w:val="0"/>
            <w:vAlign w:val="center"/>
          </w:tcPr>
          <w:p w14:paraId="13B31230">
            <w:r>
              <w:rPr>
                <w:rStyle w:val="10"/>
                <w:rFonts w:hint="eastAsia"/>
              </w:rPr>
              <w:t>产品性能:</w:t>
            </w:r>
            <w:r>
              <w:rPr>
                <w:rFonts w:hint="eastAsia"/>
              </w:rPr>
              <w:br w:type="textWrapping"/>
            </w:r>
            <w:r>
              <w:rPr>
                <w:rStyle w:val="11"/>
                <w:rFonts w:hint="eastAsia"/>
              </w:rPr>
              <w:t>1、本品含引诱成分，能有效引诱蟑螂和蚂蚁取食并起到杀灭效果。 2、本品无刺激性气味，清洁卫生。适用于厨房、餐厅、卫生间、卧室等场所。</w:t>
            </w:r>
          </w:p>
        </w:tc>
      </w:tr>
      <w:tr w14:paraId="04FDC9A6">
        <w:tblPrEx>
          <w:tblCellMar>
            <w:top w:w="0" w:type="dxa"/>
            <w:left w:w="0" w:type="dxa"/>
            <w:bottom w:w="0" w:type="dxa"/>
            <w:right w:w="0" w:type="dxa"/>
          </w:tblCellMar>
        </w:tblPrEx>
        <w:trPr>
          <w:wBefore w:w="0" w:type="auto"/>
          <w:tblCellSpacing w:w="0" w:type="dxa"/>
        </w:trPr>
        <w:tc>
          <w:tcPr>
            <w:tcW w:w="0" w:type="auto"/>
            <w:noWrap w:val="0"/>
            <w:vAlign w:val="center"/>
          </w:tcPr>
          <w:p w14:paraId="2D7C10DF">
            <w:r>
              <w:rPr>
                <w:rStyle w:val="10"/>
                <w:rFonts w:hint="eastAsia"/>
              </w:rPr>
              <w:t>注意事项：</w:t>
            </w:r>
            <w:r>
              <w:rPr>
                <w:rFonts w:hint="eastAsia"/>
              </w:rPr>
              <w:br w:type="textWrapping"/>
            </w:r>
            <w:r>
              <w:rPr>
                <w:rStyle w:val="11"/>
                <w:rFonts w:hint="eastAsia"/>
              </w:rPr>
              <w:t xml:space="preserve">置于儿童接触不到的地方。切勿污染食品及饮用水；蚕室及其附近禁用；用后洗手。过敏者禁用；使用中有任何不良反应请及时就医。不要在饵剂周围施用其它杀虫剂以免引起蟑螂和蚂蚁的拒食。 </w:t>
            </w:r>
          </w:p>
        </w:tc>
      </w:tr>
      <w:tr w14:paraId="4DD99EDC">
        <w:tblPrEx>
          <w:tblCellMar>
            <w:top w:w="0" w:type="dxa"/>
            <w:left w:w="0" w:type="dxa"/>
            <w:bottom w:w="0" w:type="dxa"/>
            <w:right w:w="0" w:type="dxa"/>
          </w:tblCellMar>
        </w:tblPrEx>
        <w:trPr>
          <w:wBefore w:w="0" w:type="auto"/>
          <w:tblCellSpacing w:w="0" w:type="dxa"/>
        </w:trPr>
        <w:tc>
          <w:tcPr>
            <w:tcW w:w="0" w:type="auto"/>
            <w:noWrap w:val="0"/>
            <w:vAlign w:val="center"/>
          </w:tcPr>
          <w:p w14:paraId="7AB083D9">
            <w:r>
              <w:rPr>
                <w:rStyle w:val="10"/>
                <w:rFonts w:hint="eastAsia"/>
              </w:rPr>
              <w:t>中毒急救措施：</w:t>
            </w:r>
            <w:r>
              <w:rPr>
                <w:rFonts w:hint="eastAsia"/>
              </w:rPr>
              <w:br w:type="textWrapping"/>
            </w:r>
            <w:r>
              <w:rPr>
                <w:rStyle w:val="11"/>
                <w:rFonts w:hint="eastAsia"/>
              </w:rPr>
              <w:t xml:space="preserve">使用本品若不慎误食，请速携本包装就医。 </w:t>
            </w:r>
          </w:p>
        </w:tc>
      </w:tr>
      <w:tr w14:paraId="0C7CF9DF">
        <w:tblPrEx>
          <w:tblCellMar>
            <w:top w:w="0" w:type="dxa"/>
            <w:left w:w="0" w:type="dxa"/>
            <w:bottom w:w="0" w:type="dxa"/>
            <w:right w:w="0" w:type="dxa"/>
          </w:tblCellMar>
        </w:tblPrEx>
        <w:trPr>
          <w:wBefore w:w="0" w:type="auto"/>
          <w:tblCellSpacing w:w="0" w:type="dxa"/>
        </w:trPr>
        <w:tc>
          <w:tcPr>
            <w:tcW w:w="0" w:type="auto"/>
            <w:noWrap w:val="0"/>
            <w:vAlign w:val="center"/>
          </w:tcPr>
          <w:p w14:paraId="3C11B518">
            <w:r>
              <w:rPr>
                <w:rStyle w:val="10"/>
                <w:rFonts w:hint="eastAsia"/>
              </w:rPr>
              <w:t>储存和运输方法：</w:t>
            </w:r>
            <w:r>
              <w:rPr>
                <w:rFonts w:hint="eastAsia"/>
              </w:rPr>
              <w:br w:type="textWrapping"/>
            </w:r>
            <w:r>
              <w:rPr>
                <w:rStyle w:val="11"/>
                <w:rFonts w:hint="eastAsia"/>
              </w:rPr>
              <w:t>本品应贮存在干燥、阴凉、通风、防雨处。防止重压。勿与食品、种子、饲料及易燃易爆品混放。置于儿童接触不到的地方。</w:t>
            </w:r>
          </w:p>
        </w:tc>
      </w:tr>
      <w:tr w14:paraId="63E99134">
        <w:tblPrEx>
          <w:tblCellMar>
            <w:top w:w="0" w:type="dxa"/>
            <w:left w:w="0" w:type="dxa"/>
            <w:bottom w:w="0" w:type="dxa"/>
            <w:right w:w="0" w:type="dxa"/>
          </w:tblCellMar>
        </w:tblPrEx>
        <w:trPr>
          <w:wBefore w:w="0" w:type="auto"/>
          <w:tblCellSpacing w:w="0" w:type="dxa"/>
        </w:trPr>
        <w:tc>
          <w:tcPr>
            <w:tcW w:w="0" w:type="auto"/>
            <w:noWrap w:val="0"/>
            <w:vAlign w:val="center"/>
          </w:tcPr>
          <w:p w14:paraId="4A70B8C7">
            <w:r>
              <w:rPr>
                <w:rStyle w:val="10"/>
                <w:rFonts w:hint="eastAsia"/>
              </w:rPr>
              <w:t>质量保证期：</w:t>
            </w:r>
            <w:r>
              <w:rPr>
                <w:rStyle w:val="11"/>
                <w:rFonts w:hint="eastAsia"/>
              </w:rPr>
              <w:t>2年</w:t>
            </w:r>
          </w:p>
        </w:tc>
      </w:tr>
      <w:tr w14:paraId="535C4D06">
        <w:tblPrEx>
          <w:tblCellMar>
            <w:top w:w="0" w:type="dxa"/>
            <w:left w:w="0" w:type="dxa"/>
            <w:bottom w:w="0" w:type="dxa"/>
            <w:right w:w="0" w:type="dxa"/>
          </w:tblCellMar>
        </w:tblPrEx>
        <w:trPr>
          <w:wBefore w:w="0" w:type="auto"/>
          <w:tblCellSpacing w:w="0" w:type="dxa"/>
        </w:trPr>
        <w:tc>
          <w:tcPr>
            <w:tcW w:w="0" w:type="auto"/>
            <w:noWrap w:val="0"/>
            <w:vAlign w:val="center"/>
          </w:tcPr>
          <w:p w14:paraId="535B39F2">
            <w:r>
              <w:rPr>
                <w:rStyle w:val="10"/>
                <w:rFonts w:hint="eastAsia"/>
              </w:rPr>
              <w:t>备注：</w:t>
            </w:r>
          </w:p>
        </w:tc>
      </w:tr>
    </w:tbl>
    <w:p w14:paraId="43B7D4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31DDB3">
        <w:tblPrEx>
          <w:tblCellMar>
            <w:top w:w="0" w:type="dxa"/>
            <w:left w:w="0" w:type="dxa"/>
            <w:bottom w:w="0" w:type="dxa"/>
            <w:right w:w="0" w:type="dxa"/>
          </w:tblCellMar>
        </w:tblPrEx>
        <w:trPr>
          <w:wBefore w:w="0" w:type="auto"/>
          <w:tblCellSpacing w:w="0" w:type="dxa"/>
        </w:trPr>
        <w:tc>
          <w:tcPr>
            <w:tcW w:w="0" w:type="auto"/>
            <w:noWrap w:val="0"/>
            <w:vAlign w:val="center"/>
          </w:tcPr>
          <w:p w14:paraId="61D2DC0F">
            <w:r>
              <w:rPr>
                <w:rStyle w:val="10"/>
                <w:rFonts w:hint="eastAsia"/>
              </w:rPr>
              <w:t>登记证号：</w:t>
            </w:r>
            <w:r>
              <w:rPr>
                <w:rFonts w:hint="eastAsia"/>
              </w:rPr>
              <w:t>PD20212373</w:t>
            </w:r>
          </w:p>
        </w:tc>
      </w:tr>
      <w:tr w14:paraId="729B2A89">
        <w:tblPrEx>
          <w:tblCellMar>
            <w:top w:w="0" w:type="dxa"/>
            <w:left w:w="0" w:type="dxa"/>
            <w:bottom w:w="0" w:type="dxa"/>
            <w:right w:w="0" w:type="dxa"/>
          </w:tblCellMar>
        </w:tblPrEx>
        <w:trPr>
          <w:wBefore w:w="0" w:type="auto"/>
          <w:tblCellSpacing w:w="0" w:type="dxa"/>
        </w:trPr>
        <w:tc>
          <w:tcPr>
            <w:tcW w:w="0" w:type="auto"/>
            <w:noWrap w:val="0"/>
            <w:vAlign w:val="center"/>
          </w:tcPr>
          <w:p w14:paraId="2B8895F6">
            <w:r>
              <w:rPr>
                <w:rStyle w:val="10"/>
                <w:rFonts w:hint="eastAsia"/>
              </w:rPr>
              <w:t>登记证持有人：</w:t>
            </w:r>
            <w:r>
              <w:rPr>
                <w:rFonts w:hint="eastAsia"/>
              </w:rPr>
              <w:t>江苏优嘉植物保护有限公司</w:t>
            </w:r>
          </w:p>
        </w:tc>
      </w:tr>
      <w:tr w14:paraId="3A4C0FDE">
        <w:tblPrEx>
          <w:tblCellMar>
            <w:top w:w="0" w:type="dxa"/>
            <w:left w:w="0" w:type="dxa"/>
            <w:bottom w:w="0" w:type="dxa"/>
            <w:right w:w="0" w:type="dxa"/>
          </w:tblCellMar>
        </w:tblPrEx>
        <w:trPr>
          <w:wBefore w:w="0" w:type="auto"/>
          <w:tblCellSpacing w:w="0" w:type="dxa"/>
        </w:trPr>
        <w:tc>
          <w:tcPr>
            <w:tcW w:w="0" w:type="auto"/>
            <w:noWrap w:val="0"/>
            <w:vAlign w:val="center"/>
          </w:tcPr>
          <w:p w14:paraId="1D0EBD44">
            <w:r>
              <w:rPr>
                <w:rStyle w:val="10"/>
                <w:rFonts w:hint="eastAsia"/>
              </w:rPr>
              <w:t>农药名称：</w:t>
            </w:r>
            <w:r>
              <w:rPr>
                <w:rFonts w:hint="eastAsia"/>
              </w:rPr>
              <w:t>阿维·甲虫肼</w:t>
            </w:r>
          </w:p>
        </w:tc>
      </w:tr>
      <w:tr w14:paraId="38B85BF8">
        <w:tblPrEx>
          <w:tblCellMar>
            <w:top w:w="0" w:type="dxa"/>
            <w:left w:w="0" w:type="dxa"/>
            <w:bottom w:w="0" w:type="dxa"/>
            <w:right w:w="0" w:type="dxa"/>
          </w:tblCellMar>
        </w:tblPrEx>
        <w:trPr>
          <w:wBefore w:w="0" w:type="auto"/>
          <w:tblCellSpacing w:w="0" w:type="dxa"/>
        </w:trPr>
        <w:tc>
          <w:tcPr>
            <w:tcW w:w="0" w:type="auto"/>
            <w:noWrap w:val="0"/>
            <w:vAlign w:val="center"/>
          </w:tcPr>
          <w:p w14:paraId="24FDD4B3">
            <w:r>
              <w:rPr>
                <w:rStyle w:val="10"/>
                <w:rFonts w:hint="eastAsia"/>
              </w:rPr>
              <w:t>剂型：</w:t>
            </w:r>
            <w:r>
              <w:rPr>
                <w:rFonts w:hint="eastAsia"/>
              </w:rPr>
              <w:t>悬浮剂</w:t>
            </w:r>
          </w:p>
        </w:tc>
      </w:tr>
      <w:tr w14:paraId="3B711D2D">
        <w:tblPrEx>
          <w:tblCellMar>
            <w:top w:w="0" w:type="dxa"/>
            <w:left w:w="0" w:type="dxa"/>
            <w:bottom w:w="0" w:type="dxa"/>
            <w:right w:w="0" w:type="dxa"/>
          </w:tblCellMar>
        </w:tblPrEx>
        <w:trPr>
          <w:wBefore w:w="0" w:type="auto"/>
          <w:tblCellSpacing w:w="0" w:type="dxa"/>
        </w:trPr>
        <w:tc>
          <w:tcPr>
            <w:tcW w:w="0" w:type="auto"/>
            <w:noWrap w:val="0"/>
            <w:vAlign w:val="center"/>
          </w:tcPr>
          <w:p w14:paraId="369092B7">
            <w:r>
              <w:rPr>
                <w:rStyle w:val="10"/>
                <w:rFonts w:hint="eastAsia"/>
              </w:rPr>
              <w:t>毒性及其标识：</w:t>
            </w:r>
            <w:r>
              <w:rPr>
                <w:rFonts w:hint="eastAsia"/>
              </w:rPr>
              <w:t xml:space="preserve"> </w:t>
            </w:r>
            <w:r>
              <w:rPr>
                <w:lang/>
              </w:rPr>
              <w:drawing>
                <wp:inline distT="0" distB="0" distL="114300" distR="114300">
                  <wp:extent cx="476250" cy="323850"/>
                  <wp:effectExtent l="0" t="0" r="0" b="0"/>
                  <wp:docPr id="112" name="图片 1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0A84EB39">
        <w:tblPrEx>
          <w:tblCellMar>
            <w:top w:w="0" w:type="dxa"/>
            <w:left w:w="0" w:type="dxa"/>
            <w:bottom w:w="0" w:type="dxa"/>
            <w:right w:w="0" w:type="dxa"/>
          </w:tblCellMar>
        </w:tblPrEx>
        <w:trPr>
          <w:wBefore w:w="0" w:type="auto"/>
          <w:tblCellSpacing w:w="0" w:type="dxa"/>
        </w:trPr>
        <w:tc>
          <w:tcPr>
            <w:tcW w:w="0" w:type="auto"/>
            <w:noWrap w:val="0"/>
            <w:vAlign w:val="center"/>
          </w:tcPr>
          <w:p w14:paraId="01D7E1A0">
            <w:r>
              <w:rPr>
                <w:rStyle w:val="10"/>
                <w:rFonts w:hint="eastAsia"/>
              </w:rPr>
              <w:t>总有效成分含量：</w:t>
            </w:r>
            <w:r>
              <w:rPr>
                <w:rFonts w:hint="eastAsia"/>
              </w:rPr>
              <w:t>10%</w:t>
            </w:r>
          </w:p>
        </w:tc>
      </w:tr>
      <w:tr w14:paraId="54D6DF98">
        <w:tblPrEx>
          <w:tblCellMar>
            <w:top w:w="0" w:type="dxa"/>
            <w:left w:w="0" w:type="dxa"/>
            <w:bottom w:w="0" w:type="dxa"/>
            <w:right w:w="0" w:type="dxa"/>
          </w:tblCellMar>
        </w:tblPrEx>
        <w:trPr>
          <w:wBefore w:w="0" w:type="auto"/>
          <w:tblCellSpacing w:w="0" w:type="dxa"/>
        </w:trPr>
        <w:tc>
          <w:tcPr>
            <w:tcW w:w="0" w:type="auto"/>
            <w:noWrap w:val="0"/>
            <w:vAlign w:val="center"/>
          </w:tcPr>
          <w:p w14:paraId="7C4FF380">
            <w:r>
              <w:rPr>
                <w:rFonts w:hint="eastAsia"/>
              </w:rPr>
              <w:t xml:space="preserve">有效成分及其含量： </w:t>
            </w:r>
          </w:p>
          <w:p w14:paraId="38C6D3E0">
            <w:r>
              <w:rPr>
                <w:rFonts w:hint="eastAsia"/>
              </w:rPr>
              <w:t xml:space="preserve">    阿维菌素2%    甲氧虫酰肼8%    </w:t>
            </w:r>
          </w:p>
        </w:tc>
      </w:tr>
      <w:tr w14:paraId="3670819A">
        <w:tblPrEx>
          <w:tblCellMar>
            <w:top w:w="0" w:type="dxa"/>
            <w:left w:w="0" w:type="dxa"/>
            <w:bottom w:w="0" w:type="dxa"/>
            <w:right w:w="0" w:type="dxa"/>
          </w:tblCellMar>
        </w:tblPrEx>
        <w:trPr>
          <w:wBefore w:w="0" w:type="auto"/>
          <w:tblCellSpacing w:w="0" w:type="dxa"/>
        </w:trPr>
        <w:tc>
          <w:tcPr>
            <w:tcW w:w="0" w:type="auto"/>
            <w:noWrap w:val="0"/>
            <w:vAlign w:val="center"/>
          </w:tcPr>
          <w:p w14:paraId="548F03A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620F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AE7A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B7FF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4EEF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AF9F8C">
                  <w:r>
                    <w:rPr>
                      <w:rStyle w:val="11"/>
                      <w:rFonts w:hint="eastAsia"/>
                    </w:rPr>
                    <w:t>施用方式</w:t>
                  </w:r>
                </w:p>
              </w:tc>
            </w:tr>
            <w:tr w14:paraId="6878C4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E3CFC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2ECACA">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F18A8B">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C95735">
                  <w:r>
                    <w:rPr>
                      <w:rStyle w:val="11"/>
                      <w:rFonts w:hint="eastAsia"/>
                    </w:rPr>
                    <w:t>喷雾</w:t>
                  </w:r>
                </w:p>
              </w:tc>
            </w:tr>
            <w:tr w14:paraId="59A91B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10558F">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3765C4">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9EA305">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FF4F7E">
                  <w:r>
                    <w:rPr>
                      <w:rStyle w:val="11"/>
                      <w:rFonts w:hint="eastAsia"/>
                    </w:rPr>
                    <w:t>喷雾</w:t>
                  </w:r>
                </w:p>
              </w:tc>
            </w:tr>
          </w:tbl>
          <w:p w14:paraId="5E9F1FDD">
            <w:pPr>
              <w:rPr>
                <w:rFonts w:ascii="Times New Roman" w:hAnsi="Times New Roman" w:cs="Times New Roman"/>
                <w:sz w:val="20"/>
                <w:szCs w:val="20"/>
              </w:rPr>
            </w:pPr>
          </w:p>
        </w:tc>
      </w:tr>
      <w:tr w14:paraId="283905B7">
        <w:tblPrEx>
          <w:tblCellMar>
            <w:top w:w="0" w:type="dxa"/>
            <w:left w:w="0" w:type="dxa"/>
            <w:bottom w:w="0" w:type="dxa"/>
            <w:right w:w="0" w:type="dxa"/>
          </w:tblCellMar>
        </w:tblPrEx>
        <w:trPr>
          <w:wBefore w:w="0" w:type="auto"/>
          <w:tblCellSpacing w:w="0" w:type="dxa"/>
        </w:trPr>
        <w:tc>
          <w:tcPr>
            <w:tcW w:w="0" w:type="auto"/>
            <w:noWrap w:val="0"/>
            <w:vAlign w:val="center"/>
          </w:tcPr>
          <w:p w14:paraId="6F206EE8">
            <w:r>
              <w:rPr>
                <w:rStyle w:val="10"/>
                <w:rFonts w:hint="eastAsia"/>
              </w:rPr>
              <w:t>使用技术要求:</w:t>
            </w:r>
            <w:r>
              <w:rPr>
                <w:rFonts w:hint="eastAsia"/>
              </w:rPr>
              <w:br w:type="textWrapping"/>
            </w:r>
            <w:r>
              <w:rPr>
                <w:rStyle w:val="11"/>
                <w:rFonts w:hint="eastAsia"/>
              </w:rPr>
              <w:t>1.于二化螟、稻纵卷叶螟卵孵化高峰期和低龄幼虫盛发期施药，按照推荐用药量兑水均匀喷雾。2.大风天或预计1小时内降雨，请勿施药。3.本品在水稻上安全间隔期为21天，每季使用2次。</w:t>
            </w:r>
          </w:p>
        </w:tc>
      </w:tr>
      <w:tr w14:paraId="0565AF46">
        <w:tblPrEx>
          <w:tblCellMar>
            <w:top w:w="0" w:type="dxa"/>
            <w:left w:w="0" w:type="dxa"/>
            <w:bottom w:w="0" w:type="dxa"/>
            <w:right w:w="0" w:type="dxa"/>
          </w:tblCellMar>
        </w:tblPrEx>
        <w:trPr>
          <w:wBefore w:w="0" w:type="auto"/>
          <w:tblCellSpacing w:w="0" w:type="dxa"/>
        </w:trPr>
        <w:tc>
          <w:tcPr>
            <w:tcW w:w="0" w:type="auto"/>
            <w:noWrap w:val="0"/>
            <w:vAlign w:val="center"/>
          </w:tcPr>
          <w:p w14:paraId="66DA58F6">
            <w:r>
              <w:rPr>
                <w:rStyle w:val="10"/>
                <w:rFonts w:hint="eastAsia"/>
              </w:rPr>
              <w:t>产品性能:</w:t>
            </w:r>
            <w:r>
              <w:rPr>
                <w:rFonts w:hint="eastAsia"/>
              </w:rPr>
              <w:br w:type="textWrapping"/>
            </w:r>
            <w:r>
              <w:rPr>
                <w:rStyle w:val="11"/>
                <w:rFonts w:hint="eastAsia"/>
              </w:rPr>
              <w:t>本品为两种不同作用机理的有效成分阿维菌素和甲氧虫酰肼的混配制剂。具有触杀和胃毒的作用且速效高、持效期长，对防治水稻二化螟和稻纵卷叶螟有较好的效果。</w:t>
            </w:r>
          </w:p>
        </w:tc>
      </w:tr>
      <w:tr w14:paraId="59EA2997">
        <w:tblPrEx>
          <w:tblCellMar>
            <w:top w:w="0" w:type="dxa"/>
            <w:left w:w="0" w:type="dxa"/>
            <w:bottom w:w="0" w:type="dxa"/>
            <w:right w:w="0" w:type="dxa"/>
          </w:tblCellMar>
        </w:tblPrEx>
        <w:trPr>
          <w:wBefore w:w="0" w:type="auto"/>
          <w:tblCellSpacing w:w="0" w:type="dxa"/>
        </w:trPr>
        <w:tc>
          <w:tcPr>
            <w:tcW w:w="0" w:type="auto"/>
            <w:noWrap w:val="0"/>
            <w:vAlign w:val="center"/>
          </w:tcPr>
          <w:p w14:paraId="537AD3FB">
            <w:r>
              <w:rPr>
                <w:rStyle w:val="10"/>
                <w:rFonts w:hint="eastAsia"/>
              </w:rPr>
              <w:t>注意事项：</w:t>
            </w:r>
            <w:r>
              <w:rPr>
                <w:rFonts w:hint="eastAsia"/>
              </w:rPr>
              <w:br w:type="textWrapping"/>
            </w:r>
            <w:r>
              <w:rPr>
                <w:rStyle w:val="11"/>
                <w:rFonts w:hint="eastAsia"/>
              </w:rPr>
              <w:t>(1)避免与氧化剂接触；（2）大风天或预计1小时内降雨，请勿施药。(3)建议与其他作用机制不同的杀虫剂轮换使用，以延缓抗性产生。(4)配药和施药时，应穿戴防护服、胶靴和手套等劳保用品，避免药雾吸入或接触人体。施药期间不可吃东西、饮水等；施药后应及时洗手和洗脸。(5)本品对家蚕、赤眼蜂有毒，蚕室和桑园附近禁用，施药期间应避免对周围蜂群的影响，周围开花植物开花期间禁用、施药3日前告知所在地及邻近3000米以内的养蜂者、使用时应密切关注对附近蜂群的影响。远离水产养殖区、河塘等水体施药，禁止在河塘等水体中清洗施药器具。鱼或虾蟹套养稻田禁用，施药后的田水不得直接排入水体。(6)孕妇及哺乳期妇女避免接触。</w:t>
            </w:r>
          </w:p>
        </w:tc>
      </w:tr>
      <w:tr w14:paraId="1F712AAE">
        <w:tblPrEx>
          <w:tblCellMar>
            <w:top w:w="0" w:type="dxa"/>
            <w:left w:w="0" w:type="dxa"/>
            <w:bottom w:w="0" w:type="dxa"/>
            <w:right w:w="0" w:type="dxa"/>
          </w:tblCellMar>
        </w:tblPrEx>
        <w:trPr>
          <w:wBefore w:w="0" w:type="auto"/>
          <w:tblCellSpacing w:w="0" w:type="dxa"/>
        </w:trPr>
        <w:tc>
          <w:tcPr>
            <w:tcW w:w="0" w:type="auto"/>
            <w:noWrap w:val="0"/>
            <w:vAlign w:val="center"/>
          </w:tcPr>
          <w:p w14:paraId="05EB88F1">
            <w:r>
              <w:rPr>
                <w:rStyle w:val="10"/>
                <w:rFonts w:hint="eastAsia"/>
              </w:rPr>
              <w:t>中毒急救措施：</w:t>
            </w:r>
            <w:r>
              <w:rPr>
                <w:rFonts w:hint="eastAsia"/>
              </w:rPr>
              <w:br w:type="textWrapping"/>
            </w:r>
            <w:r>
              <w:rPr>
                <w:rStyle w:val="11"/>
                <w:rFonts w:hint="eastAsia"/>
              </w:rPr>
              <w:t>1．皮肤接触：立即脱掉被污染的衣物，用大量清水冲洗被污染的皮肤，再用肥皂清洗干净。2.眼睛溅药：立即将眼睑翻开，用清水冲洗至少15分钟，再请医生诊治。3.发生吸入：立即将吸入者转移到空气清新处，请医生诊治。4.误服：立即携带标签送医就诊，无专用解毒剂，对症治疗。</w:t>
            </w:r>
          </w:p>
        </w:tc>
      </w:tr>
      <w:tr w14:paraId="09131A9A">
        <w:tblPrEx>
          <w:tblCellMar>
            <w:top w:w="0" w:type="dxa"/>
            <w:left w:w="0" w:type="dxa"/>
            <w:bottom w:w="0" w:type="dxa"/>
            <w:right w:w="0" w:type="dxa"/>
          </w:tblCellMar>
        </w:tblPrEx>
        <w:trPr>
          <w:wBefore w:w="0" w:type="auto"/>
          <w:tblCellSpacing w:w="0" w:type="dxa"/>
        </w:trPr>
        <w:tc>
          <w:tcPr>
            <w:tcW w:w="0" w:type="auto"/>
            <w:noWrap w:val="0"/>
            <w:vAlign w:val="center"/>
          </w:tcPr>
          <w:p w14:paraId="168B9F49">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2．存放于儿童触及不到之处，并加锁。3．勿与食品、饮料、粮食、饲料等其他商品同贮同运。贮存或运输时堆层不得超过规定，注意轻拿轻放，以免损坏包装，导致产品泄漏。</w:t>
            </w:r>
          </w:p>
        </w:tc>
      </w:tr>
      <w:tr w14:paraId="4CEA73C0">
        <w:tblPrEx>
          <w:tblCellMar>
            <w:top w:w="0" w:type="dxa"/>
            <w:left w:w="0" w:type="dxa"/>
            <w:bottom w:w="0" w:type="dxa"/>
            <w:right w:w="0" w:type="dxa"/>
          </w:tblCellMar>
        </w:tblPrEx>
        <w:trPr>
          <w:wBefore w:w="0" w:type="auto"/>
          <w:tblCellSpacing w:w="0" w:type="dxa"/>
        </w:trPr>
        <w:tc>
          <w:tcPr>
            <w:tcW w:w="0" w:type="auto"/>
            <w:noWrap w:val="0"/>
            <w:vAlign w:val="center"/>
          </w:tcPr>
          <w:p w14:paraId="3440ACAE">
            <w:r>
              <w:rPr>
                <w:rStyle w:val="10"/>
                <w:rFonts w:hint="eastAsia"/>
              </w:rPr>
              <w:t>质量保证期：</w:t>
            </w:r>
            <w:r>
              <w:rPr>
                <w:rStyle w:val="11"/>
                <w:rFonts w:hint="eastAsia"/>
              </w:rPr>
              <w:t>2年</w:t>
            </w:r>
          </w:p>
        </w:tc>
      </w:tr>
      <w:tr w14:paraId="79557A8F">
        <w:tblPrEx>
          <w:tblCellMar>
            <w:top w:w="0" w:type="dxa"/>
            <w:left w:w="0" w:type="dxa"/>
            <w:bottom w:w="0" w:type="dxa"/>
            <w:right w:w="0" w:type="dxa"/>
          </w:tblCellMar>
        </w:tblPrEx>
        <w:trPr>
          <w:wBefore w:w="0" w:type="auto"/>
          <w:tblCellSpacing w:w="0" w:type="dxa"/>
        </w:trPr>
        <w:tc>
          <w:tcPr>
            <w:tcW w:w="0" w:type="auto"/>
            <w:noWrap w:val="0"/>
            <w:vAlign w:val="center"/>
          </w:tcPr>
          <w:p w14:paraId="24337E9B">
            <w:r>
              <w:rPr>
                <w:rStyle w:val="10"/>
                <w:rFonts w:hint="eastAsia"/>
              </w:rPr>
              <w:t>备注：</w:t>
            </w:r>
          </w:p>
        </w:tc>
      </w:tr>
    </w:tbl>
    <w:p w14:paraId="4934BA0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3390FD">
        <w:tblPrEx>
          <w:tblCellMar>
            <w:top w:w="0" w:type="dxa"/>
            <w:left w:w="0" w:type="dxa"/>
            <w:bottom w:w="0" w:type="dxa"/>
            <w:right w:w="0" w:type="dxa"/>
          </w:tblCellMar>
        </w:tblPrEx>
        <w:trPr>
          <w:wBefore w:w="0" w:type="auto"/>
          <w:tblCellSpacing w:w="0" w:type="dxa"/>
        </w:trPr>
        <w:tc>
          <w:tcPr>
            <w:tcW w:w="0" w:type="auto"/>
            <w:noWrap w:val="0"/>
            <w:vAlign w:val="center"/>
          </w:tcPr>
          <w:p w14:paraId="0038EFE8">
            <w:r>
              <w:rPr>
                <w:rStyle w:val="10"/>
                <w:rFonts w:hint="eastAsia"/>
              </w:rPr>
              <w:t>登记证号：</w:t>
            </w:r>
            <w:r>
              <w:rPr>
                <w:rFonts w:hint="eastAsia"/>
              </w:rPr>
              <w:t>PD20100652</w:t>
            </w:r>
          </w:p>
        </w:tc>
      </w:tr>
      <w:tr w14:paraId="74D11758">
        <w:tblPrEx>
          <w:tblCellMar>
            <w:top w:w="0" w:type="dxa"/>
            <w:left w:w="0" w:type="dxa"/>
            <w:bottom w:w="0" w:type="dxa"/>
            <w:right w:w="0" w:type="dxa"/>
          </w:tblCellMar>
        </w:tblPrEx>
        <w:trPr>
          <w:wBefore w:w="0" w:type="auto"/>
          <w:tblCellSpacing w:w="0" w:type="dxa"/>
        </w:trPr>
        <w:tc>
          <w:tcPr>
            <w:tcW w:w="0" w:type="auto"/>
            <w:noWrap w:val="0"/>
            <w:vAlign w:val="center"/>
          </w:tcPr>
          <w:p w14:paraId="29913392">
            <w:r>
              <w:rPr>
                <w:rStyle w:val="10"/>
                <w:rFonts w:hint="eastAsia"/>
              </w:rPr>
              <w:t>登记证持有人：</w:t>
            </w:r>
            <w:r>
              <w:rPr>
                <w:rFonts w:hint="eastAsia"/>
              </w:rPr>
              <w:t>湖北泰盛化工有限公司</w:t>
            </w:r>
          </w:p>
        </w:tc>
      </w:tr>
      <w:tr w14:paraId="2070247D">
        <w:tblPrEx>
          <w:tblCellMar>
            <w:top w:w="0" w:type="dxa"/>
            <w:left w:w="0" w:type="dxa"/>
            <w:bottom w:w="0" w:type="dxa"/>
            <w:right w:w="0" w:type="dxa"/>
          </w:tblCellMar>
        </w:tblPrEx>
        <w:trPr>
          <w:wBefore w:w="0" w:type="auto"/>
          <w:tblCellSpacing w:w="0" w:type="dxa"/>
        </w:trPr>
        <w:tc>
          <w:tcPr>
            <w:tcW w:w="0" w:type="auto"/>
            <w:noWrap w:val="0"/>
            <w:vAlign w:val="center"/>
          </w:tcPr>
          <w:p w14:paraId="065497F2">
            <w:r>
              <w:rPr>
                <w:rStyle w:val="10"/>
                <w:rFonts w:hint="eastAsia"/>
              </w:rPr>
              <w:t>农药名称：</w:t>
            </w:r>
            <w:r>
              <w:rPr>
                <w:rFonts w:hint="eastAsia"/>
              </w:rPr>
              <w:t>草甘膦异丙胺盐</w:t>
            </w:r>
          </w:p>
        </w:tc>
      </w:tr>
      <w:tr w14:paraId="21A1BB24">
        <w:tblPrEx>
          <w:tblCellMar>
            <w:top w:w="0" w:type="dxa"/>
            <w:left w:w="0" w:type="dxa"/>
            <w:bottom w:w="0" w:type="dxa"/>
            <w:right w:w="0" w:type="dxa"/>
          </w:tblCellMar>
        </w:tblPrEx>
        <w:trPr>
          <w:wBefore w:w="0" w:type="auto"/>
          <w:tblCellSpacing w:w="0" w:type="dxa"/>
        </w:trPr>
        <w:tc>
          <w:tcPr>
            <w:tcW w:w="0" w:type="auto"/>
            <w:noWrap w:val="0"/>
            <w:vAlign w:val="center"/>
          </w:tcPr>
          <w:p w14:paraId="240A11FD">
            <w:r>
              <w:rPr>
                <w:rStyle w:val="10"/>
                <w:rFonts w:hint="eastAsia"/>
              </w:rPr>
              <w:t>剂型：</w:t>
            </w:r>
            <w:r>
              <w:rPr>
                <w:rFonts w:hint="eastAsia"/>
              </w:rPr>
              <w:t>水剂</w:t>
            </w:r>
          </w:p>
        </w:tc>
      </w:tr>
      <w:tr w14:paraId="2B9AC592">
        <w:tblPrEx>
          <w:tblCellMar>
            <w:top w:w="0" w:type="dxa"/>
            <w:left w:w="0" w:type="dxa"/>
            <w:bottom w:w="0" w:type="dxa"/>
            <w:right w:w="0" w:type="dxa"/>
          </w:tblCellMar>
        </w:tblPrEx>
        <w:trPr>
          <w:wBefore w:w="0" w:type="auto"/>
          <w:tblCellSpacing w:w="0" w:type="dxa"/>
        </w:trPr>
        <w:tc>
          <w:tcPr>
            <w:tcW w:w="0" w:type="auto"/>
            <w:noWrap w:val="0"/>
            <w:vAlign w:val="center"/>
          </w:tcPr>
          <w:p w14:paraId="6E67EA88">
            <w:r>
              <w:rPr>
                <w:rStyle w:val="10"/>
                <w:rFonts w:hint="eastAsia"/>
              </w:rPr>
              <w:t>毒性及其标识：</w:t>
            </w:r>
            <w:r>
              <w:rPr>
                <w:rFonts w:hint="eastAsia"/>
              </w:rPr>
              <w:t xml:space="preserve"> </w:t>
            </w:r>
            <w:r>
              <w:rPr>
                <w:lang/>
              </w:rPr>
              <w:drawing>
                <wp:inline distT="0" distB="0" distL="114300" distR="114300">
                  <wp:extent cx="476250" cy="323850"/>
                  <wp:effectExtent l="0" t="0" r="0" b="0"/>
                  <wp:docPr id="113" name="图片 1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E8361D">
        <w:tblPrEx>
          <w:tblCellMar>
            <w:top w:w="0" w:type="dxa"/>
            <w:left w:w="0" w:type="dxa"/>
            <w:bottom w:w="0" w:type="dxa"/>
            <w:right w:w="0" w:type="dxa"/>
          </w:tblCellMar>
        </w:tblPrEx>
        <w:trPr>
          <w:wBefore w:w="0" w:type="auto"/>
          <w:tblCellSpacing w:w="0" w:type="dxa"/>
        </w:trPr>
        <w:tc>
          <w:tcPr>
            <w:tcW w:w="0" w:type="auto"/>
            <w:noWrap w:val="0"/>
            <w:vAlign w:val="center"/>
          </w:tcPr>
          <w:p w14:paraId="4C02870E">
            <w:r>
              <w:rPr>
                <w:rStyle w:val="10"/>
                <w:rFonts w:hint="eastAsia"/>
              </w:rPr>
              <w:t>总有效成分含量：</w:t>
            </w:r>
            <w:r>
              <w:rPr>
                <w:rFonts w:hint="eastAsia"/>
              </w:rPr>
              <w:t>30%</w:t>
            </w:r>
          </w:p>
        </w:tc>
      </w:tr>
      <w:tr w14:paraId="043C7410">
        <w:tblPrEx>
          <w:tblCellMar>
            <w:top w:w="0" w:type="dxa"/>
            <w:left w:w="0" w:type="dxa"/>
            <w:bottom w:w="0" w:type="dxa"/>
            <w:right w:w="0" w:type="dxa"/>
          </w:tblCellMar>
        </w:tblPrEx>
        <w:trPr>
          <w:wBefore w:w="0" w:type="auto"/>
          <w:tblCellSpacing w:w="0" w:type="dxa"/>
        </w:trPr>
        <w:tc>
          <w:tcPr>
            <w:tcW w:w="0" w:type="auto"/>
            <w:noWrap w:val="0"/>
            <w:vAlign w:val="center"/>
          </w:tcPr>
          <w:p w14:paraId="0A0DCB2B">
            <w:r>
              <w:rPr>
                <w:rFonts w:hint="eastAsia"/>
              </w:rPr>
              <w:t xml:space="preserve">有效成分及其含量： </w:t>
            </w:r>
          </w:p>
          <w:p w14:paraId="109BA9A9">
            <w:r>
              <w:rPr>
                <w:rFonts w:hint="eastAsia"/>
              </w:rPr>
              <w:t xml:space="preserve">    草甘膦30%    </w:t>
            </w:r>
          </w:p>
        </w:tc>
      </w:tr>
      <w:tr w14:paraId="75E4C040">
        <w:tblPrEx>
          <w:tblCellMar>
            <w:top w:w="0" w:type="dxa"/>
            <w:left w:w="0" w:type="dxa"/>
            <w:bottom w:w="0" w:type="dxa"/>
            <w:right w:w="0" w:type="dxa"/>
          </w:tblCellMar>
        </w:tblPrEx>
        <w:trPr>
          <w:wBefore w:w="0" w:type="auto"/>
          <w:tblCellSpacing w:w="0" w:type="dxa"/>
        </w:trPr>
        <w:tc>
          <w:tcPr>
            <w:tcW w:w="0" w:type="auto"/>
            <w:noWrap w:val="0"/>
            <w:vAlign w:val="center"/>
          </w:tcPr>
          <w:p w14:paraId="34B717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EB6F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FE68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313C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E49B0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17EEB6">
                  <w:r>
                    <w:rPr>
                      <w:rStyle w:val="11"/>
                      <w:rFonts w:hint="eastAsia"/>
                    </w:rPr>
                    <w:t>施用方式</w:t>
                  </w:r>
                </w:p>
              </w:tc>
            </w:tr>
            <w:tr w14:paraId="5E6390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4ED55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E90A7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71E7DF">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97CA99">
                  <w:r>
                    <w:rPr>
                      <w:rStyle w:val="11"/>
                      <w:rFonts w:hint="eastAsia"/>
                    </w:rPr>
                    <w:t>茎叶喷雾</w:t>
                  </w:r>
                </w:p>
              </w:tc>
            </w:tr>
            <w:tr w14:paraId="309207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A5355F">
                  <w:r>
                    <w:rPr>
                      <w:rStyle w:val="11"/>
                      <w:rFonts w:hint="eastAsia"/>
                    </w:rPr>
                    <w:t>柑橘园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73995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EA9930">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4BDD5C">
                  <w:r>
                    <w:rPr>
                      <w:rStyle w:val="11"/>
                      <w:rFonts w:hint="eastAsia"/>
                    </w:rPr>
                    <w:t>定向茎叶喷雾</w:t>
                  </w:r>
                </w:p>
              </w:tc>
            </w:tr>
          </w:tbl>
          <w:p w14:paraId="652ED450">
            <w:pPr>
              <w:rPr>
                <w:rFonts w:ascii="Times New Roman" w:hAnsi="Times New Roman" w:cs="Times New Roman"/>
                <w:sz w:val="20"/>
                <w:szCs w:val="20"/>
              </w:rPr>
            </w:pPr>
          </w:p>
        </w:tc>
      </w:tr>
      <w:tr w14:paraId="6E8795A9">
        <w:tblPrEx>
          <w:tblCellMar>
            <w:top w:w="0" w:type="dxa"/>
            <w:left w:w="0" w:type="dxa"/>
            <w:bottom w:w="0" w:type="dxa"/>
            <w:right w:w="0" w:type="dxa"/>
          </w:tblCellMar>
        </w:tblPrEx>
        <w:trPr>
          <w:wBefore w:w="0" w:type="auto"/>
          <w:tblCellSpacing w:w="0" w:type="dxa"/>
        </w:trPr>
        <w:tc>
          <w:tcPr>
            <w:tcW w:w="0" w:type="auto"/>
            <w:noWrap w:val="0"/>
            <w:vAlign w:val="center"/>
          </w:tcPr>
          <w:p w14:paraId="15659831">
            <w:r>
              <w:rPr>
                <w:rStyle w:val="10"/>
                <w:rFonts w:hint="eastAsia"/>
              </w:rPr>
              <w:t>使用技术要求:</w:t>
            </w:r>
            <w:r>
              <w:rPr>
                <w:rFonts w:hint="eastAsia"/>
              </w:rPr>
              <w:br w:type="textWrapping"/>
            </w:r>
            <w:r>
              <w:rPr>
                <w:rStyle w:val="11"/>
                <w:rFonts w:hint="eastAsia"/>
              </w:rPr>
              <w:t>1、杂草出齐后处于生长旺盛期，多在5-7叶期，兑水茎叶喷雾，一般选择 温暖晴天用药，效果优于低温天气。 2、本品为非选择性除草剂, 施药时应定向喷雾，防止药液飘移到柑橘树幼嫩茎叶及邻近的作物田，以免产生药害。 3、大风天或预计1小时内降雨，请勿施药。 4、每季最多使用1次。</w:t>
            </w:r>
          </w:p>
        </w:tc>
      </w:tr>
      <w:tr w14:paraId="5CF961A8">
        <w:tblPrEx>
          <w:tblCellMar>
            <w:top w:w="0" w:type="dxa"/>
            <w:left w:w="0" w:type="dxa"/>
            <w:bottom w:w="0" w:type="dxa"/>
            <w:right w:w="0" w:type="dxa"/>
          </w:tblCellMar>
        </w:tblPrEx>
        <w:trPr>
          <w:wBefore w:w="0" w:type="auto"/>
          <w:tblCellSpacing w:w="0" w:type="dxa"/>
        </w:trPr>
        <w:tc>
          <w:tcPr>
            <w:tcW w:w="0" w:type="auto"/>
            <w:noWrap w:val="0"/>
            <w:vAlign w:val="center"/>
          </w:tcPr>
          <w:p w14:paraId="31B9C8C3">
            <w:r>
              <w:rPr>
                <w:rStyle w:val="10"/>
                <w:rFonts w:hint="eastAsia"/>
              </w:rPr>
              <w:t>产品性能:</w:t>
            </w:r>
            <w:r>
              <w:rPr>
                <w:rFonts w:hint="eastAsia"/>
              </w:rPr>
              <w:br w:type="textWrapping"/>
            </w:r>
            <w:r>
              <w:rPr>
                <w:rStyle w:val="11"/>
                <w:rFonts w:hint="eastAsia"/>
              </w:rPr>
              <w:t>本品是一种灭生性内吸传导型除草剂。通过植物绿色部位吸收，将杂草连根杀死，对柑橘园杂草有较好的防治效果。</w:t>
            </w:r>
          </w:p>
        </w:tc>
      </w:tr>
      <w:tr w14:paraId="42F8B012">
        <w:tblPrEx>
          <w:tblCellMar>
            <w:top w:w="0" w:type="dxa"/>
            <w:left w:w="0" w:type="dxa"/>
            <w:bottom w:w="0" w:type="dxa"/>
            <w:right w:w="0" w:type="dxa"/>
          </w:tblCellMar>
        </w:tblPrEx>
        <w:trPr>
          <w:wBefore w:w="0" w:type="auto"/>
          <w:tblCellSpacing w:w="0" w:type="dxa"/>
        </w:trPr>
        <w:tc>
          <w:tcPr>
            <w:tcW w:w="0" w:type="auto"/>
            <w:noWrap w:val="0"/>
            <w:vAlign w:val="center"/>
          </w:tcPr>
          <w:p w14:paraId="4CB36183">
            <w:r>
              <w:rPr>
                <w:rStyle w:val="10"/>
                <w:rFonts w:hint="eastAsia"/>
              </w:rPr>
              <w:t>注意事项：</w:t>
            </w:r>
            <w:r>
              <w:rPr>
                <w:rFonts w:hint="eastAsia"/>
              </w:rPr>
              <w:br w:type="textWrapping"/>
            </w:r>
            <w:r>
              <w:rPr>
                <w:rStyle w:val="11"/>
                <w:rFonts w:hint="eastAsia"/>
              </w:rPr>
              <w:t>1、配制药液时应用清水，不得使用污水，混浊水，以免影响药效。 2、一般选择温暖晴天用药，效果优于低温天气。施药后5天内不能割 草、放牧、耕翻等。 3、使用时可加入适量的洗衣粉等表面活性剂，可提高除草效果。 4、草甘膦与土壤接触立即失去活性，宜作茎叶处理。 5、本品对金属制成的镀锌容器有腐化作用，易引起火灾。 6、本品低温贮存时会有结晶析出，用时应充分摇动容器，使结晶溶解， 以保证药效。 7、施药时应远离水产养殖区施药，禁止在河塘等水体中清洗施药器具，废弃物应妥善处理，不可做他用，也不可随意丢弃。 8、使用本品时应穿戴防护服、手套等，避免吸入药液；施药期间不可吃 东西、饮水等；施药后应及时洗手和洗脸等。 9、避免孕妇及哺乳期的妇女接触本品。</w:t>
            </w:r>
          </w:p>
        </w:tc>
      </w:tr>
      <w:tr w14:paraId="3B3D61AE">
        <w:tblPrEx>
          <w:tblCellMar>
            <w:top w:w="0" w:type="dxa"/>
            <w:left w:w="0" w:type="dxa"/>
            <w:bottom w:w="0" w:type="dxa"/>
            <w:right w:w="0" w:type="dxa"/>
          </w:tblCellMar>
        </w:tblPrEx>
        <w:trPr>
          <w:wBefore w:w="0" w:type="auto"/>
          <w:tblCellSpacing w:w="0" w:type="dxa"/>
        </w:trPr>
        <w:tc>
          <w:tcPr>
            <w:tcW w:w="0" w:type="auto"/>
            <w:noWrap w:val="0"/>
            <w:vAlign w:val="center"/>
          </w:tcPr>
          <w:p w14:paraId="580F4D82">
            <w:r>
              <w:rPr>
                <w:rStyle w:val="10"/>
                <w:rFonts w:hint="eastAsia"/>
              </w:rPr>
              <w:t>中毒急救措施：</w:t>
            </w:r>
            <w:r>
              <w:rPr>
                <w:rFonts w:hint="eastAsia"/>
              </w:rPr>
              <w:br w:type="textWrapping"/>
            </w:r>
            <w:r>
              <w:rPr>
                <w:rStyle w:val="11"/>
                <w:rFonts w:hint="eastAsia"/>
              </w:rPr>
              <w:t>本品对皮肤、眼睛和上呼吸道有刺激作用。 如不慎吸入，将病人移至空气流通处。不慎接触皮肤或溅入眼睛， 用大量清水冲洗至少15分钟，仍有不适者，就医。 如误服则应立即携此标签将病人送医院诊治。可用吐根糖浆诱吐，还可 在服用的活性炭泥中加入山梨醇。对症治疗，无特效解毒剂。</w:t>
            </w:r>
          </w:p>
        </w:tc>
      </w:tr>
      <w:tr w14:paraId="07E27AD6">
        <w:tblPrEx>
          <w:tblCellMar>
            <w:top w:w="0" w:type="dxa"/>
            <w:left w:w="0" w:type="dxa"/>
            <w:bottom w:w="0" w:type="dxa"/>
            <w:right w:w="0" w:type="dxa"/>
          </w:tblCellMar>
        </w:tblPrEx>
        <w:trPr>
          <w:wBefore w:w="0" w:type="auto"/>
          <w:tblCellSpacing w:w="0" w:type="dxa"/>
        </w:trPr>
        <w:tc>
          <w:tcPr>
            <w:tcW w:w="0" w:type="auto"/>
            <w:noWrap w:val="0"/>
            <w:vAlign w:val="center"/>
          </w:tcPr>
          <w:p w14:paraId="7A3F7F66">
            <w:r>
              <w:rPr>
                <w:rStyle w:val="10"/>
                <w:rFonts w:hint="eastAsia"/>
              </w:rPr>
              <w:t>储存和运输方法：</w:t>
            </w:r>
            <w:r>
              <w:rPr>
                <w:rFonts w:hint="eastAsia"/>
              </w:rPr>
              <w:br w:type="textWrapping"/>
            </w:r>
            <w:r>
              <w:rPr>
                <w:rStyle w:val="11"/>
                <w:rFonts w:hint="eastAsia"/>
              </w:rPr>
              <w:t>本品应贮存在干燥、阴凉、通风、防雨处，远离火源或热源。置于儿童 触及不到之处，并加锁。勿与食品、饮料、粮食、饲料等其他商品同贮同运。</w:t>
            </w:r>
          </w:p>
        </w:tc>
      </w:tr>
      <w:tr w14:paraId="0441E95B">
        <w:tblPrEx>
          <w:tblCellMar>
            <w:top w:w="0" w:type="dxa"/>
            <w:left w:w="0" w:type="dxa"/>
            <w:bottom w:w="0" w:type="dxa"/>
            <w:right w:w="0" w:type="dxa"/>
          </w:tblCellMar>
        </w:tblPrEx>
        <w:trPr>
          <w:wBefore w:w="0" w:type="auto"/>
          <w:tblCellSpacing w:w="0" w:type="dxa"/>
        </w:trPr>
        <w:tc>
          <w:tcPr>
            <w:tcW w:w="0" w:type="auto"/>
            <w:noWrap w:val="0"/>
            <w:vAlign w:val="center"/>
          </w:tcPr>
          <w:p w14:paraId="303B6389">
            <w:r>
              <w:rPr>
                <w:rStyle w:val="10"/>
                <w:rFonts w:hint="eastAsia"/>
              </w:rPr>
              <w:t>质量保证期：</w:t>
            </w:r>
            <w:r>
              <w:rPr>
                <w:rStyle w:val="11"/>
                <w:rFonts w:hint="eastAsia"/>
              </w:rPr>
              <w:t>2年</w:t>
            </w:r>
          </w:p>
        </w:tc>
      </w:tr>
      <w:tr w14:paraId="16F08429">
        <w:tblPrEx>
          <w:tblCellMar>
            <w:top w:w="0" w:type="dxa"/>
            <w:left w:w="0" w:type="dxa"/>
            <w:bottom w:w="0" w:type="dxa"/>
            <w:right w:w="0" w:type="dxa"/>
          </w:tblCellMar>
        </w:tblPrEx>
        <w:trPr>
          <w:wBefore w:w="0" w:type="auto"/>
          <w:tblCellSpacing w:w="0" w:type="dxa"/>
        </w:trPr>
        <w:tc>
          <w:tcPr>
            <w:tcW w:w="0" w:type="auto"/>
            <w:noWrap w:val="0"/>
            <w:vAlign w:val="center"/>
          </w:tcPr>
          <w:p w14:paraId="029A6486">
            <w:r>
              <w:rPr>
                <w:rStyle w:val="10"/>
                <w:rFonts w:hint="eastAsia"/>
              </w:rPr>
              <w:t>备注：</w:t>
            </w:r>
          </w:p>
        </w:tc>
      </w:tr>
    </w:tbl>
    <w:p w14:paraId="427F14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E00538">
        <w:tblPrEx>
          <w:tblCellMar>
            <w:top w:w="0" w:type="dxa"/>
            <w:left w:w="0" w:type="dxa"/>
            <w:bottom w:w="0" w:type="dxa"/>
            <w:right w:w="0" w:type="dxa"/>
          </w:tblCellMar>
        </w:tblPrEx>
        <w:trPr>
          <w:wBefore w:w="0" w:type="auto"/>
          <w:tblCellSpacing w:w="0" w:type="dxa"/>
        </w:trPr>
        <w:tc>
          <w:tcPr>
            <w:tcW w:w="0" w:type="auto"/>
            <w:noWrap w:val="0"/>
            <w:vAlign w:val="center"/>
          </w:tcPr>
          <w:p w14:paraId="49E91986">
            <w:r>
              <w:rPr>
                <w:rStyle w:val="10"/>
                <w:rFonts w:hint="eastAsia"/>
              </w:rPr>
              <w:t>登记证号：</w:t>
            </w:r>
            <w:r>
              <w:rPr>
                <w:rFonts w:hint="eastAsia"/>
              </w:rPr>
              <w:t>PD20200757</w:t>
            </w:r>
          </w:p>
        </w:tc>
      </w:tr>
      <w:tr w14:paraId="6507BF04">
        <w:tblPrEx>
          <w:tblCellMar>
            <w:top w:w="0" w:type="dxa"/>
            <w:left w:w="0" w:type="dxa"/>
            <w:bottom w:w="0" w:type="dxa"/>
            <w:right w:w="0" w:type="dxa"/>
          </w:tblCellMar>
        </w:tblPrEx>
        <w:trPr>
          <w:wBefore w:w="0" w:type="auto"/>
          <w:tblCellSpacing w:w="0" w:type="dxa"/>
        </w:trPr>
        <w:tc>
          <w:tcPr>
            <w:tcW w:w="0" w:type="auto"/>
            <w:noWrap w:val="0"/>
            <w:vAlign w:val="center"/>
          </w:tcPr>
          <w:p w14:paraId="3F2B8589">
            <w:r>
              <w:rPr>
                <w:rStyle w:val="10"/>
                <w:rFonts w:hint="eastAsia"/>
              </w:rPr>
              <w:t>登记证持有人：</w:t>
            </w:r>
            <w:r>
              <w:rPr>
                <w:rFonts w:hint="eastAsia"/>
              </w:rPr>
              <w:t>湖北泰盛化工有限公司</w:t>
            </w:r>
          </w:p>
        </w:tc>
      </w:tr>
      <w:tr w14:paraId="73BD88BE">
        <w:tblPrEx>
          <w:tblCellMar>
            <w:top w:w="0" w:type="dxa"/>
            <w:left w:w="0" w:type="dxa"/>
            <w:bottom w:w="0" w:type="dxa"/>
            <w:right w:w="0" w:type="dxa"/>
          </w:tblCellMar>
        </w:tblPrEx>
        <w:trPr>
          <w:wBefore w:w="0" w:type="auto"/>
          <w:tblCellSpacing w:w="0" w:type="dxa"/>
        </w:trPr>
        <w:tc>
          <w:tcPr>
            <w:tcW w:w="0" w:type="auto"/>
            <w:noWrap w:val="0"/>
            <w:vAlign w:val="center"/>
          </w:tcPr>
          <w:p w14:paraId="42AF7FEA">
            <w:r>
              <w:rPr>
                <w:rStyle w:val="10"/>
                <w:rFonts w:hint="eastAsia"/>
              </w:rPr>
              <w:t>农药名称：</w:t>
            </w:r>
            <w:r>
              <w:rPr>
                <w:rFonts w:hint="eastAsia"/>
              </w:rPr>
              <w:t>草甘膦钾盐</w:t>
            </w:r>
          </w:p>
        </w:tc>
      </w:tr>
      <w:tr w14:paraId="2706C7BB">
        <w:tblPrEx>
          <w:tblCellMar>
            <w:top w:w="0" w:type="dxa"/>
            <w:left w:w="0" w:type="dxa"/>
            <w:bottom w:w="0" w:type="dxa"/>
            <w:right w:w="0" w:type="dxa"/>
          </w:tblCellMar>
        </w:tblPrEx>
        <w:trPr>
          <w:wBefore w:w="0" w:type="auto"/>
          <w:tblCellSpacing w:w="0" w:type="dxa"/>
        </w:trPr>
        <w:tc>
          <w:tcPr>
            <w:tcW w:w="0" w:type="auto"/>
            <w:noWrap w:val="0"/>
            <w:vAlign w:val="center"/>
          </w:tcPr>
          <w:p w14:paraId="640AE90B">
            <w:r>
              <w:rPr>
                <w:rStyle w:val="10"/>
                <w:rFonts w:hint="eastAsia"/>
              </w:rPr>
              <w:t>剂型：</w:t>
            </w:r>
            <w:r>
              <w:rPr>
                <w:rFonts w:hint="eastAsia"/>
              </w:rPr>
              <w:t>可溶液剂</w:t>
            </w:r>
          </w:p>
        </w:tc>
      </w:tr>
      <w:tr w14:paraId="70239A1A">
        <w:tblPrEx>
          <w:tblCellMar>
            <w:top w:w="0" w:type="dxa"/>
            <w:left w:w="0" w:type="dxa"/>
            <w:bottom w:w="0" w:type="dxa"/>
            <w:right w:w="0" w:type="dxa"/>
          </w:tblCellMar>
        </w:tblPrEx>
        <w:trPr>
          <w:wBefore w:w="0" w:type="auto"/>
          <w:tblCellSpacing w:w="0" w:type="dxa"/>
        </w:trPr>
        <w:tc>
          <w:tcPr>
            <w:tcW w:w="0" w:type="auto"/>
            <w:noWrap w:val="0"/>
            <w:vAlign w:val="center"/>
          </w:tcPr>
          <w:p w14:paraId="41CF7331">
            <w:r>
              <w:rPr>
                <w:rStyle w:val="10"/>
                <w:rFonts w:hint="eastAsia"/>
              </w:rPr>
              <w:t>毒性及其标识：</w:t>
            </w:r>
            <w:r>
              <w:rPr>
                <w:rFonts w:hint="eastAsia"/>
              </w:rPr>
              <w:t xml:space="preserve"> 微毒 </w:t>
            </w:r>
          </w:p>
        </w:tc>
      </w:tr>
      <w:tr w14:paraId="28D7AF6F">
        <w:tblPrEx>
          <w:tblCellMar>
            <w:top w:w="0" w:type="dxa"/>
            <w:left w:w="0" w:type="dxa"/>
            <w:bottom w:w="0" w:type="dxa"/>
            <w:right w:w="0" w:type="dxa"/>
          </w:tblCellMar>
        </w:tblPrEx>
        <w:trPr>
          <w:wBefore w:w="0" w:type="auto"/>
          <w:tblCellSpacing w:w="0" w:type="dxa"/>
        </w:trPr>
        <w:tc>
          <w:tcPr>
            <w:tcW w:w="0" w:type="auto"/>
            <w:noWrap w:val="0"/>
            <w:vAlign w:val="center"/>
          </w:tcPr>
          <w:p w14:paraId="6389E84F">
            <w:r>
              <w:rPr>
                <w:rStyle w:val="10"/>
                <w:rFonts w:hint="eastAsia"/>
              </w:rPr>
              <w:t>总有效成分含量：</w:t>
            </w:r>
            <w:r>
              <w:rPr>
                <w:rFonts w:hint="eastAsia"/>
              </w:rPr>
              <w:t>41%</w:t>
            </w:r>
          </w:p>
        </w:tc>
      </w:tr>
      <w:tr w14:paraId="7756F897">
        <w:tblPrEx>
          <w:tblCellMar>
            <w:top w:w="0" w:type="dxa"/>
            <w:left w:w="0" w:type="dxa"/>
            <w:bottom w:w="0" w:type="dxa"/>
            <w:right w:w="0" w:type="dxa"/>
          </w:tblCellMar>
        </w:tblPrEx>
        <w:trPr>
          <w:wBefore w:w="0" w:type="auto"/>
          <w:tblCellSpacing w:w="0" w:type="dxa"/>
        </w:trPr>
        <w:tc>
          <w:tcPr>
            <w:tcW w:w="0" w:type="auto"/>
            <w:noWrap w:val="0"/>
            <w:vAlign w:val="center"/>
          </w:tcPr>
          <w:p w14:paraId="6EFE16C4">
            <w:r>
              <w:rPr>
                <w:rFonts w:hint="eastAsia"/>
              </w:rPr>
              <w:t xml:space="preserve">有效成分及其含量： </w:t>
            </w:r>
          </w:p>
          <w:p w14:paraId="1A11E65F">
            <w:r>
              <w:rPr>
                <w:rFonts w:hint="eastAsia"/>
              </w:rPr>
              <w:t xml:space="preserve">    草甘膦41%    </w:t>
            </w:r>
          </w:p>
        </w:tc>
      </w:tr>
      <w:tr w14:paraId="4BAB7258">
        <w:tblPrEx>
          <w:tblCellMar>
            <w:top w:w="0" w:type="dxa"/>
            <w:left w:w="0" w:type="dxa"/>
            <w:bottom w:w="0" w:type="dxa"/>
            <w:right w:w="0" w:type="dxa"/>
          </w:tblCellMar>
        </w:tblPrEx>
        <w:trPr>
          <w:wBefore w:w="0" w:type="auto"/>
          <w:tblCellSpacing w:w="0" w:type="dxa"/>
        </w:trPr>
        <w:tc>
          <w:tcPr>
            <w:tcW w:w="0" w:type="auto"/>
            <w:noWrap w:val="0"/>
            <w:vAlign w:val="center"/>
          </w:tcPr>
          <w:p w14:paraId="2E6666D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5C10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6AC0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7FEB4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B33B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3F1A54">
                  <w:r>
                    <w:rPr>
                      <w:rStyle w:val="11"/>
                      <w:rFonts w:hint="eastAsia"/>
                    </w:rPr>
                    <w:t>施用方式</w:t>
                  </w:r>
                </w:p>
              </w:tc>
            </w:tr>
            <w:tr w14:paraId="08C408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AD33B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9D6BD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B27C7B">
                  <w:r>
                    <w:rPr>
                      <w:rStyle w:val="11"/>
                      <w:rFonts w:hint="eastAsia"/>
                    </w:rPr>
                    <w:t>170-330毫升/亩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3BDEA2">
                  <w:r>
                    <w:rPr>
                      <w:rStyle w:val="11"/>
                      <w:rFonts w:hint="eastAsia"/>
                    </w:rPr>
                    <w:t>茎叶喷雾</w:t>
                  </w:r>
                </w:p>
              </w:tc>
            </w:tr>
          </w:tbl>
          <w:p w14:paraId="5516B79A">
            <w:pPr>
              <w:rPr>
                <w:rFonts w:ascii="Times New Roman" w:hAnsi="Times New Roman" w:cs="Times New Roman"/>
                <w:sz w:val="20"/>
                <w:szCs w:val="20"/>
              </w:rPr>
            </w:pPr>
          </w:p>
        </w:tc>
      </w:tr>
      <w:tr w14:paraId="37921F7F">
        <w:tblPrEx>
          <w:tblCellMar>
            <w:top w:w="0" w:type="dxa"/>
            <w:left w:w="0" w:type="dxa"/>
            <w:bottom w:w="0" w:type="dxa"/>
            <w:right w:w="0" w:type="dxa"/>
          </w:tblCellMar>
        </w:tblPrEx>
        <w:trPr>
          <w:wBefore w:w="0" w:type="auto"/>
          <w:tblCellSpacing w:w="0" w:type="dxa"/>
        </w:trPr>
        <w:tc>
          <w:tcPr>
            <w:tcW w:w="0" w:type="auto"/>
            <w:noWrap w:val="0"/>
            <w:vAlign w:val="center"/>
          </w:tcPr>
          <w:p w14:paraId="2CDB5DD3">
            <w:r>
              <w:rPr>
                <w:rStyle w:val="10"/>
                <w:rFonts w:hint="eastAsia"/>
              </w:rPr>
              <w:t>使用技术要求:</w:t>
            </w:r>
            <w:r>
              <w:rPr>
                <w:rFonts w:hint="eastAsia"/>
              </w:rPr>
              <w:br w:type="textWrapping"/>
            </w:r>
            <w:r>
              <w:rPr>
                <w:rStyle w:val="11"/>
                <w:rFonts w:hint="eastAsia"/>
              </w:rPr>
              <w:t>1. 为达到好的防治效果，最好在杂草生长旺盛期施药。杂草的高度低于15厘米时效果最好。用清水稀释。每亩兑水30-60公斤，均匀定向茎叶喷雾。 2. 避免药液喷到作物绿色部位，b避免飘移到邻近作物田造成药害。温暖晴天用药效果优于低温天气，大风天或预计1小时内降雨，请勿施药。 3. 本品每季最多使用1次。</w:t>
            </w:r>
          </w:p>
        </w:tc>
      </w:tr>
      <w:tr w14:paraId="0F8F2E87">
        <w:tblPrEx>
          <w:tblCellMar>
            <w:top w:w="0" w:type="dxa"/>
            <w:left w:w="0" w:type="dxa"/>
            <w:bottom w:w="0" w:type="dxa"/>
            <w:right w:w="0" w:type="dxa"/>
          </w:tblCellMar>
        </w:tblPrEx>
        <w:trPr>
          <w:wBefore w:w="0" w:type="auto"/>
          <w:tblCellSpacing w:w="0" w:type="dxa"/>
        </w:trPr>
        <w:tc>
          <w:tcPr>
            <w:tcW w:w="0" w:type="auto"/>
            <w:noWrap w:val="0"/>
            <w:vAlign w:val="center"/>
          </w:tcPr>
          <w:p w14:paraId="672E82B4">
            <w:r>
              <w:rPr>
                <w:rStyle w:val="10"/>
                <w:rFonts w:hint="eastAsia"/>
              </w:rPr>
              <w:t>产品性能:</w:t>
            </w:r>
            <w:r>
              <w:rPr>
                <w:rFonts w:hint="eastAsia"/>
              </w:rPr>
              <w:br w:type="textWrapping"/>
            </w:r>
            <w:r>
              <w:rPr>
                <w:rStyle w:val="11"/>
                <w:rFonts w:hint="eastAsia"/>
              </w:rPr>
              <w:t>本品系内吸传导型广谱灭生性除草剂。其作用原理主要通过抑制植物体内烯醇丙酮基莽草素磷酸合成酶，从而抑制莽草素向苯丙氨酸、酪氨酸及色氨酸的转化，使蛋白质的合成受到干扰导致植物死亡，不仅能通过叶传导到地下部分，而且在同一植株的不同分蘗间也能进行传导，对多年生深根杂草的地下组织破坏力很强。本产品对40多科的植物有防除作用，包括单子叶和双子叶、一年生和多年生杂草。</w:t>
            </w:r>
          </w:p>
        </w:tc>
      </w:tr>
      <w:tr w14:paraId="7F4FFDD9">
        <w:tblPrEx>
          <w:tblCellMar>
            <w:top w:w="0" w:type="dxa"/>
            <w:left w:w="0" w:type="dxa"/>
            <w:bottom w:w="0" w:type="dxa"/>
            <w:right w:w="0" w:type="dxa"/>
          </w:tblCellMar>
        </w:tblPrEx>
        <w:trPr>
          <w:wBefore w:w="0" w:type="auto"/>
          <w:tblCellSpacing w:w="0" w:type="dxa"/>
        </w:trPr>
        <w:tc>
          <w:tcPr>
            <w:tcW w:w="0" w:type="auto"/>
            <w:noWrap w:val="0"/>
            <w:vAlign w:val="center"/>
          </w:tcPr>
          <w:p w14:paraId="03B0CC15">
            <w:r>
              <w:rPr>
                <w:rStyle w:val="10"/>
                <w:rFonts w:hint="eastAsia"/>
              </w:rPr>
              <w:t>注意事项：</w:t>
            </w:r>
            <w:r>
              <w:rPr>
                <w:rFonts w:hint="eastAsia"/>
              </w:rPr>
              <w:br w:type="textWrapping"/>
            </w:r>
            <w:r>
              <w:rPr>
                <w:rStyle w:val="11"/>
                <w:rFonts w:hint="eastAsia"/>
              </w:rPr>
              <w:t>1. 请遵照农药安全使用准则使用本品，避免药液接触皮肤、眼睛和污染衣物，避免吸入雾滴。切勿在施药现场抽烟或饮食。在饮水、进食和抽烟前，应先洗手、洗脸。2. 稀释和操作时，应穿长袖衣、长裤、靴子，戴面罩和手套。3. 施药后，彻底清洗防护用具，洗澡，并更换和清洗工作服。4. 使用过的空包装，用清水冲洗三次，切勿重复使用或改作其他用途。所有施药器具，用后应立即用清水或适当的洗涤剂清洗，不可随意丢弃。5. 本品对蜂鸟鱼蚕等生物有毒，施药期间应避免对周围蜂群的影响，蜜源作物花期、蚕室和桑园附近禁用，鸟类活动区附近禁用，远离水产养殖区施药，禁止在河塘等水体中清洗施药器具。鸟类保护区附近禁用，施药后立即覆土。6. 未用完的制剂应放在原包装内密封保存，切勿将本品置于饮、食容器内。7. 孕妇及哺乳期妇女避免接触此药。8. 本品施药5天内勿割草、放牧、翻地等。9. 本品不可用铁器存放，并且不能使用无镶衬的铁质喷雾器喷雾。</w:t>
            </w:r>
          </w:p>
        </w:tc>
      </w:tr>
      <w:tr w14:paraId="7E70B2D2">
        <w:tblPrEx>
          <w:tblCellMar>
            <w:top w:w="0" w:type="dxa"/>
            <w:left w:w="0" w:type="dxa"/>
            <w:bottom w:w="0" w:type="dxa"/>
            <w:right w:w="0" w:type="dxa"/>
          </w:tblCellMar>
        </w:tblPrEx>
        <w:trPr>
          <w:wBefore w:w="0" w:type="auto"/>
          <w:tblCellSpacing w:w="0" w:type="dxa"/>
        </w:trPr>
        <w:tc>
          <w:tcPr>
            <w:tcW w:w="0" w:type="auto"/>
            <w:noWrap w:val="0"/>
            <w:vAlign w:val="center"/>
          </w:tcPr>
          <w:p w14:paraId="51FB5D61">
            <w:r>
              <w:rPr>
                <w:rStyle w:val="10"/>
                <w:rFonts w:hint="eastAsia"/>
              </w:rPr>
              <w:t>中毒急救措施：</w:t>
            </w:r>
            <w:r>
              <w:rPr>
                <w:rFonts w:hint="eastAsia"/>
              </w:rPr>
              <w:br w:type="textWrapping"/>
            </w:r>
            <w:r>
              <w:rPr>
                <w:rStyle w:val="11"/>
                <w:rFonts w:hint="eastAsia"/>
              </w:rPr>
              <w:t>用药时如果感觉不适，立即停止工作。不慎吸入，应将病人移至空气流通处，如果吸入者停止呼吸，需要进行人工呼吸。注意保暖和休息，请医生治疗。不慎接触皮肤用肥皂和大量清水彻底清洗。溅入眼睛，用大量清水冲洗至少15分钟。误服则应立即携此标签将病人送医院诊治。紧急医疗措施：使用医用活性炭洗胃，洗胃时注意防止胃容物进入呼吸道。注意：对昏迷病人，切勿经口喂入任何东西或引吐。解毒剂：无专用解毒剂，对症治疗。</w:t>
            </w:r>
          </w:p>
        </w:tc>
      </w:tr>
      <w:tr w14:paraId="2E6B27A8">
        <w:tblPrEx>
          <w:tblCellMar>
            <w:top w:w="0" w:type="dxa"/>
            <w:left w:w="0" w:type="dxa"/>
            <w:bottom w:w="0" w:type="dxa"/>
            <w:right w:w="0" w:type="dxa"/>
          </w:tblCellMar>
        </w:tblPrEx>
        <w:trPr>
          <w:wBefore w:w="0" w:type="auto"/>
          <w:tblCellSpacing w:w="0" w:type="dxa"/>
        </w:trPr>
        <w:tc>
          <w:tcPr>
            <w:tcW w:w="0" w:type="auto"/>
            <w:noWrap w:val="0"/>
            <w:vAlign w:val="center"/>
          </w:tcPr>
          <w:p w14:paraId="5E6D25F3">
            <w:r>
              <w:rPr>
                <w:rStyle w:val="10"/>
                <w:rFonts w:hint="eastAsia"/>
              </w:rPr>
              <w:t>储存和运输方法：</w:t>
            </w:r>
            <w:r>
              <w:rPr>
                <w:rFonts w:hint="eastAsia"/>
              </w:rPr>
              <w:br w:type="textWrapping"/>
            </w:r>
            <w:r>
              <w:rPr>
                <w:rStyle w:val="11"/>
                <w:rFonts w:hint="eastAsia"/>
              </w:rPr>
              <w:t>本品不得贮存于金属容器内，应贮存在干燥、阴凉、通风防雨处，远离火源或热源。置于儿童触及不到之处，并加锁。勿与食品、饮料、粮食、饲料等同贮同运。</w:t>
            </w:r>
          </w:p>
        </w:tc>
      </w:tr>
      <w:tr w14:paraId="5B61E8F4">
        <w:tblPrEx>
          <w:tblCellMar>
            <w:top w:w="0" w:type="dxa"/>
            <w:left w:w="0" w:type="dxa"/>
            <w:bottom w:w="0" w:type="dxa"/>
            <w:right w:w="0" w:type="dxa"/>
          </w:tblCellMar>
        </w:tblPrEx>
        <w:trPr>
          <w:wBefore w:w="0" w:type="auto"/>
          <w:tblCellSpacing w:w="0" w:type="dxa"/>
        </w:trPr>
        <w:tc>
          <w:tcPr>
            <w:tcW w:w="0" w:type="auto"/>
            <w:noWrap w:val="0"/>
            <w:vAlign w:val="center"/>
          </w:tcPr>
          <w:p w14:paraId="6A2417E5">
            <w:r>
              <w:rPr>
                <w:rStyle w:val="10"/>
                <w:rFonts w:hint="eastAsia"/>
              </w:rPr>
              <w:t>质量保证期：</w:t>
            </w:r>
            <w:r>
              <w:rPr>
                <w:rStyle w:val="11"/>
                <w:rFonts w:hint="eastAsia"/>
              </w:rPr>
              <w:t>2年</w:t>
            </w:r>
          </w:p>
        </w:tc>
      </w:tr>
      <w:tr w14:paraId="512ADD73">
        <w:tblPrEx>
          <w:tblCellMar>
            <w:top w:w="0" w:type="dxa"/>
            <w:left w:w="0" w:type="dxa"/>
            <w:bottom w:w="0" w:type="dxa"/>
            <w:right w:w="0" w:type="dxa"/>
          </w:tblCellMar>
        </w:tblPrEx>
        <w:trPr>
          <w:wBefore w:w="0" w:type="auto"/>
          <w:tblCellSpacing w:w="0" w:type="dxa"/>
        </w:trPr>
        <w:tc>
          <w:tcPr>
            <w:tcW w:w="0" w:type="auto"/>
            <w:noWrap w:val="0"/>
            <w:vAlign w:val="center"/>
          </w:tcPr>
          <w:p w14:paraId="5D16CD3D">
            <w:r>
              <w:rPr>
                <w:rStyle w:val="10"/>
                <w:rFonts w:hint="eastAsia"/>
              </w:rPr>
              <w:t>备注：</w:t>
            </w:r>
            <w:r>
              <w:rPr>
                <w:rFonts w:hint="eastAsia"/>
              </w:rPr>
              <w:br w:type="textWrapping"/>
            </w:r>
            <w:r>
              <w:rPr>
                <w:rStyle w:val="11"/>
                <w:rFonts w:hint="eastAsia"/>
              </w:rPr>
              <w:t>草甘膦钾盐50%；草甘膦钾盐质量浓度662克/升。</w:t>
            </w:r>
          </w:p>
        </w:tc>
      </w:tr>
    </w:tbl>
    <w:p w14:paraId="3A6ADF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A4C15E">
        <w:tblPrEx>
          <w:tblCellMar>
            <w:top w:w="0" w:type="dxa"/>
            <w:left w:w="0" w:type="dxa"/>
            <w:bottom w:w="0" w:type="dxa"/>
            <w:right w:w="0" w:type="dxa"/>
          </w:tblCellMar>
        </w:tblPrEx>
        <w:trPr>
          <w:wBefore w:w="0" w:type="auto"/>
          <w:tblCellSpacing w:w="0" w:type="dxa"/>
        </w:trPr>
        <w:tc>
          <w:tcPr>
            <w:tcW w:w="0" w:type="auto"/>
            <w:noWrap w:val="0"/>
            <w:vAlign w:val="center"/>
          </w:tcPr>
          <w:p w14:paraId="33D99E40">
            <w:r>
              <w:rPr>
                <w:rStyle w:val="10"/>
                <w:rFonts w:hint="eastAsia"/>
              </w:rPr>
              <w:t>登记证号：</w:t>
            </w:r>
            <w:r>
              <w:rPr>
                <w:rFonts w:hint="eastAsia"/>
              </w:rPr>
              <w:t>WP20210378</w:t>
            </w:r>
          </w:p>
        </w:tc>
      </w:tr>
      <w:tr w14:paraId="19F51ACF">
        <w:tblPrEx>
          <w:tblCellMar>
            <w:top w:w="0" w:type="dxa"/>
            <w:left w:w="0" w:type="dxa"/>
            <w:bottom w:w="0" w:type="dxa"/>
            <w:right w:w="0" w:type="dxa"/>
          </w:tblCellMar>
        </w:tblPrEx>
        <w:trPr>
          <w:wBefore w:w="0" w:type="auto"/>
          <w:tblCellSpacing w:w="0" w:type="dxa"/>
        </w:trPr>
        <w:tc>
          <w:tcPr>
            <w:tcW w:w="0" w:type="auto"/>
            <w:noWrap w:val="0"/>
            <w:vAlign w:val="center"/>
          </w:tcPr>
          <w:p w14:paraId="1044BA2F">
            <w:r>
              <w:rPr>
                <w:rStyle w:val="10"/>
                <w:rFonts w:hint="eastAsia"/>
              </w:rPr>
              <w:t>登记证持有人：</w:t>
            </w:r>
            <w:r>
              <w:rPr>
                <w:rFonts w:hint="eastAsia"/>
              </w:rPr>
              <w:t>广州超威日用化学用品有限公司</w:t>
            </w:r>
          </w:p>
        </w:tc>
      </w:tr>
      <w:tr w14:paraId="38348A71">
        <w:tblPrEx>
          <w:tblCellMar>
            <w:top w:w="0" w:type="dxa"/>
            <w:left w:w="0" w:type="dxa"/>
            <w:bottom w:w="0" w:type="dxa"/>
            <w:right w:w="0" w:type="dxa"/>
          </w:tblCellMar>
        </w:tblPrEx>
        <w:trPr>
          <w:wBefore w:w="0" w:type="auto"/>
          <w:tblCellSpacing w:w="0" w:type="dxa"/>
        </w:trPr>
        <w:tc>
          <w:tcPr>
            <w:tcW w:w="0" w:type="auto"/>
            <w:noWrap w:val="0"/>
            <w:vAlign w:val="center"/>
          </w:tcPr>
          <w:p w14:paraId="7FDDA6FE">
            <w:r>
              <w:rPr>
                <w:rStyle w:val="10"/>
                <w:rFonts w:hint="eastAsia"/>
              </w:rPr>
              <w:t>农药名称：</w:t>
            </w:r>
            <w:r>
              <w:rPr>
                <w:rFonts w:hint="eastAsia"/>
              </w:rPr>
              <w:t>杀虫烟剂</w:t>
            </w:r>
          </w:p>
        </w:tc>
      </w:tr>
      <w:tr w14:paraId="217B1384">
        <w:tblPrEx>
          <w:tblCellMar>
            <w:top w:w="0" w:type="dxa"/>
            <w:left w:w="0" w:type="dxa"/>
            <w:bottom w:w="0" w:type="dxa"/>
            <w:right w:w="0" w:type="dxa"/>
          </w:tblCellMar>
        </w:tblPrEx>
        <w:trPr>
          <w:wBefore w:w="0" w:type="auto"/>
          <w:tblCellSpacing w:w="0" w:type="dxa"/>
        </w:trPr>
        <w:tc>
          <w:tcPr>
            <w:tcW w:w="0" w:type="auto"/>
            <w:noWrap w:val="0"/>
            <w:vAlign w:val="center"/>
          </w:tcPr>
          <w:p w14:paraId="4C86ED9B">
            <w:r>
              <w:rPr>
                <w:rStyle w:val="10"/>
                <w:rFonts w:hint="eastAsia"/>
              </w:rPr>
              <w:t>剂型：</w:t>
            </w:r>
            <w:r>
              <w:rPr>
                <w:rFonts w:hint="eastAsia"/>
              </w:rPr>
              <w:t>烟剂</w:t>
            </w:r>
          </w:p>
        </w:tc>
      </w:tr>
      <w:tr w14:paraId="3B9C57EF">
        <w:tblPrEx>
          <w:tblCellMar>
            <w:top w:w="0" w:type="dxa"/>
            <w:left w:w="0" w:type="dxa"/>
            <w:bottom w:w="0" w:type="dxa"/>
            <w:right w:w="0" w:type="dxa"/>
          </w:tblCellMar>
        </w:tblPrEx>
        <w:trPr>
          <w:wBefore w:w="0" w:type="auto"/>
          <w:tblCellSpacing w:w="0" w:type="dxa"/>
        </w:trPr>
        <w:tc>
          <w:tcPr>
            <w:tcW w:w="0" w:type="auto"/>
            <w:noWrap w:val="0"/>
            <w:vAlign w:val="center"/>
          </w:tcPr>
          <w:p w14:paraId="7AACE51C">
            <w:r>
              <w:rPr>
                <w:rStyle w:val="10"/>
                <w:rFonts w:hint="eastAsia"/>
              </w:rPr>
              <w:t>毒性及其标识：</w:t>
            </w:r>
            <w:r>
              <w:rPr>
                <w:rFonts w:hint="eastAsia"/>
              </w:rPr>
              <w:t xml:space="preserve"> 微毒 </w:t>
            </w:r>
          </w:p>
        </w:tc>
      </w:tr>
      <w:tr w14:paraId="545CB3AC">
        <w:tblPrEx>
          <w:tblCellMar>
            <w:top w:w="0" w:type="dxa"/>
            <w:left w:w="0" w:type="dxa"/>
            <w:bottom w:w="0" w:type="dxa"/>
            <w:right w:w="0" w:type="dxa"/>
          </w:tblCellMar>
        </w:tblPrEx>
        <w:trPr>
          <w:wBefore w:w="0" w:type="auto"/>
          <w:tblCellSpacing w:w="0" w:type="dxa"/>
        </w:trPr>
        <w:tc>
          <w:tcPr>
            <w:tcW w:w="0" w:type="auto"/>
            <w:noWrap w:val="0"/>
            <w:vAlign w:val="center"/>
          </w:tcPr>
          <w:p w14:paraId="22842DDC">
            <w:r>
              <w:rPr>
                <w:rStyle w:val="10"/>
                <w:rFonts w:hint="eastAsia"/>
              </w:rPr>
              <w:t>总有效成分含量：</w:t>
            </w:r>
            <w:r>
              <w:rPr>
                <w:rFonts w:hint="eastAsia"/>
              </w:rPr>
              <w:t>6.5%</w:t>
            </w:r>
          </w:p>
        </w:tc>
      </w:tr>
      <w:tr w14:paraId="4ABA3AB2">
        <w:tblPrEx>
          <w:tblCellMar>
            <w:top w:w="0" w:type="dxa"/>
            <w:left w:w="0" w:type="dxa"/>
            <w:bottom w:w="0" w:type="dxa"/>
            <w:right w:w="0" w:type="dxa"/>
          </w:tblCellMar>
        </w:tblPrEx>
        <w:trPr>
          <w:wBefore w:w="0" w:type="auto"/>
          <w:tblCellSpacing w:w="0" w:type="dxa"/>
        </w:trPr>
        <w:tc>
          <w:tcPr>
            <w:tcW w:w="0" w:type="auto"/>
            <w:noWrap w:val="0"/>
            <w:vAlign w:val="center"/>
          </w:tcPr>
          <w:p w14:paraId="38532F96">
            <w:r>
              <w:rPr>
                <w:rFonts w:hint="eastAsia"/>
              </w:rPr>
              <w:t xml:space="preserve">有效成分及其含量： </w:t>
            </w:r>
          </w:p>
          <w:p w14:paraId="350B8F8A">
            <w:r>
              <w:rPr>
                <w:rFonts w:hint="eastAsia"/>
              </w:rPr>
              <w:t xml:space="preserve">    右旋苯醚氰菊酯6.5%    </w:t>
            </w:r>
          </w:p>
        </w:tc>
      </w:tr>
      <w:tr w14:paraId="52CD479F">
        <w:tblPrEx>
          <w:tblCellMar>
            <w:top w:w="0" w:type="dxa"/>
            <w:left w:w="0" w:type="dxa"/>
            <w:bottom w:w="0" w:type="dxa"/>
            <w:right w:w="0" w:type="dxa"/>
          </w:tblCellMar>
        </w:tblPrEx>
        <w:trPr>
          <w:wBefore w:w="0" w:type="auto"/>
          <w:tblCellSpacing w:w="0" w:type="dxa"/>
        </w:trPr>
        <w:tc>
          <w:tcPr>
            <w:tcW w:w="0" w:type="auto"/>
            <w:noWrap w:val="0"/>
            <w:vAlign w:val="center"/>
          </w:tcPr>
          <w:p w14:paraId="301F7B8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34F3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B8CA8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E743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401D4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8C6A24">
                  <w:r>
                    <w:rPr>
                      <w:rStyle w:val="11"/>
                      <w:rFonts w:hint="eastAsia"/>
                    </w:rPr>
                    <w:t>施用方式</w:t>
                  </w:r>
                </w:p>
              </w:tc>
            </w:tr>
            <w:tr w14:paraId="098788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C03E34">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7D1734">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27B8D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B0D132">
                  <w:r>
                    <w:rPr>
                      <w:rStyle w:val="11"/>
                      <w:rFonts w:hint="eastAsia"/>
                    </w:rPr>
                    <w:t>加水发烟</w:t>
                  </w:r>
                </w:p>
              </w:tc>
            </w:tr>
            <w:tr w14:paraId="276E25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771C2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2829F5">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29313">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9DEA93">
                  <w:r>
                    <w:rPr>
                      <w:rStyle w:val="11"/>
                      <w:rFonts w:hint="eastAsia"/>
                    </w:rPr>
                    <w:t>加水发烟</w:t>
                  </w:r>
                </w:p>
              </w:tc>
            </w:tr>
            <w:tr w14:paraId="2270A8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3709B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6CA067">
                  <w:r>
                    <w:rPr>
                      <w:rStyle w:val="11"/>
                      <w:rFonts w:hint="eastAsia"/>
                    </w:rPr>
                    <w:t>螨</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708DF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95B80">
                  <w:r>
                    <w:rPr>
                      <w:rStyle w:val="11"/>
                      <w:rFonts w:hint="eastAsia"/>
                    </w:rPr>
                    <w:t>加水发烟</w:t>
                  </w:r>
                </w:p>
              </w:tc>
            </w:tr>
          </w:tbl>
          <w:p w14:paraId="62687A33">
            <w:pPr>
              <w:rPr>
                <w:rFonts w:ascii="Times New Roman" w:hAnsi="Times New Roman" w:cs="Times New Roman"/>
                <w:sz w:val="20"/>
                <w:szCs w:val="20"/>
              </w:rPr>
            </w:pPr>
          </w:p>
        </w:tc>
      </w:tr>
      <w:tr w14:paraId="5F1E5555">
        <w:tblPrEx>
          <w:tblCellMar>
            <w:top w:w="0" w:type="dxa"/>
            <w:left w:w="0" w:type="dxa"/>
            <w:bottom w:w="0" w:type="dxa"/>
            <w:right w:w="0" w:type="dxa"/>
          </w:tblCellMar>
        </w:tblPrEx>
        <w:trPr>
          <w:wBefore w:w="0" w:type="auto"/>
          <w:tblCellSpacing w:w="0" w:type="dxa"/>
        </w:trPr>
        <w:tc>
          <w:tcPr>
            <w:tcW w:w="0" w:type="auto"/>
            <w:noWrap w:val="0"/>
            <w:vAlign w:val="center"/>
          </w:tcPr>
          <w:p w14:paraId="0571F045">
            <w:r>
              <w:rPr>
                <w:rStyle w:val="10"/>
                <w:rFonts w:hint="eastAsia"/>
              </w:rPr>
              <w:t>使用技术要求:</w:t>
            </w:r>
            <w:r>
              <w:rPr>
                <w:rFonts w:hint="eastAsia"/>
              </w:rPr>
              <w:br w:type="textWrapping"/>
            </w:r>
            <w:r>
              <w:rPr>
                <w:rStyle w:val="11"/>
                <w:rFonts w:hint="eastAsia"/>
              </w:rPr>
              <w:t>1、关闭门窗，并将鱼缸移出室外。打开橱柜门、抽屉、洗涤池盖，以便烟雾充分进入。2、打开包装内铝箔袋，取出圆铁罐；3、加入清水至底部指示位置，将铁罐薄膜封口朝上，扣上环形塑料盖，置于房间中央；约1min后罐内释放出烟雾；4、使用时关闭门窗，人员务必在烟雾发出前离开房间，2小时后返回并打开门窗通风，待空气充分流通后人员方可进入房间。使用后务必清洁打扫家居环境。5、为保持杀蟑效果，建议2-4周后再施药一次。</w:t>
            </w:r>
          </w:p>
        </w:tc>
      </w:tr>
      <w:tr w14:paraId="615F48EF">
        <w:tblPrEx>
          <w:tblCellMar>
            <w:top w:w="0" w:type="dxa"/>
            <w:left w:w="0" w:type="dxa"/>
            <w:bottom w:w="0" w:type="dxa"/>
            <w:right w:w="0" w:type="dxa"/>
          </w:tblCellMar>
        </w:tblPrEx>
        <w:trPr>
          <w:wBefore w:w="0" w:type="auto"/>
          <w:tblCellSpacing w:w="0" w:type="dxa"/>
        </w:trPr>
        <w:tc>
          <w:tcPr>
            <w:tcW w:w="0" w:type="auto"/>
            <w:noWrap w:val="0"/>
            <w:vAlign w:val="center"/>
          </w:tcPr>
          <w:p w14:paraId="0A011515">
            <w:r>
              <w:rPr>
                <w:rStyle w:val="10"/>
                <w:rFonts w:hint="eastAsia"/>
              </w:rPr>
              <w:t>产品性能:</w:t>
            </w:r>
            <w:r>
              <w:rPr>
                <w:rFonts w:hint="eastAsia"/>
              </w:rPr>
              <w:br w:type="textWrapping"/>
            </w:r>
            <w:r>
              <w:rPr>
                <w:rStyle w:val="11"/>
                <w:rFonts w:hint="eastAsia"/>
              </w:rPr>
              <w:t>本品以右旋苯醚氰菊酯为有效成分，有效驱杀蚊、蝇、蟑、螨、跳蚤。</w:t>
            </w:r>
          </w:p>
        </w:tc>
      </w:tr>
      <w:tr w14:paraId="4C1A4F68">
        <w:tblPrEx>
          <w:tblCellMar>
            <w:top w:w="0" w:type="dxa"/>
            <w:left w:w="0" w:type="dxa"/>
            <w:bottom w:w="0" w:type="dxa"/>
            <w:right w:w="0" w:type="dxa"/>
          </w:tblCellMar>
        </w:tblPrEx>
        <w:trPr>
          <w:wBefore w:w="0" w:type="auto"/>
          <w:tblCellSpacing w:w="0" w:type="dxa"/>
        </w:trPr>
        <w:tc>
          <w:tcPr>
            <w:tcW w:w="0" w:type="auto"/>
            <w:noWrap w:val="0"/>
            <w:vAlign w:val="center"/>
          </w:tcPr>
          <w:p w14:paraId="1FD5C74D">
            <w:r>
              <w:rPr>
                <w:rStyle w:val="10"/>
                <w:rFonts w:hint="eastAsia"/>
              </w:rPr>
              <w:t>注意事项：</w:t>
            </w:r>
            <w:r>
              <w:rPr>
                <w:rFonts w:hint="eastAsia"/>
              </w:rPr>
              <w:br w:type="textWrapping"/>
            </w:r>
            <w:r>
              <w:rPr>
                <w:rStyle w:val="11"/>
                <w:rFonts w:hint="eastAsia"/>
              </w:rPr>
              <w:t>1.使用前封闭食物及餐具等，放置在儿童接触不到的地方。 2.本品对家蚕、蜜蜂、鱼类及水生生物有毒，远离蚕室、桑园、蜂室使用。 3. 拆封后尽快使用，以免失效。 4.使用过的容器应妥善处理，不可做他用，也不可随意丢弃。 5.过敏者禁用，使用中如有任何不适请携产品包装就医。 6.产品使用中罐体温度很高，请勿直接用手触摸，以免烫伤。 7.本品为发烟制剂，使用过程中可能造成烟雾报警器感应。 8.孕妇及哺乳期妇女禁止接触本品。</w:t>
            </w:r>
          </w:p>
        </w:tc>
      </w:tr>
      <w:tr w14:paraId="1C9FCA92">
        <w:tblPrEx>
          <w:tblCellMar>
            <w:top w:w="0" w:type="dxa"/>
            <w:left w:w="0" w:type="dxa"/>
            <w:bottom w:w="0" w:type="dxa"/>
            <w:right w:w="0" w:type="dxa"/>
          </w:tblCellMar>
        </w:tblPrEx>
        <w:trPr>
          <w:wBefore w:w="0" w:type="auto"/>
          <w:tblCellSpacing w:w="0" w:type="dxa"/>
        </w:trPr>
        <w:tc>
          <w:tcPr>
            <w:tcW w:w="0" w:type="auto"/>
            <w:noWrap w:val="0"/>
            <w:vAlign w:val="center"/>
          </w:tcPr>
          <w:p w14:paraId="24809597">
            <w:r>
              <w:rPr>
                <w:rStyle w:val="10"/>
                <w:rFonts w:hint="eastAsia"/>
              </w:rPr>
              <w:t>中毒急救措施：</w:t>
            </w:r>
            <w:r>
              <w:rPr>
                <w:rFonts w:hint="eastAsia"/>
              </w:rPr>
              <w:br w:type="textWrapping"/>
            </w:r>
            <w:r>
              <w:rPr>
                <w:rStyle w:val="11"/>
                <w:rFonts w:hint="eastAsia"/>
              </w:rPr>
              <w:t xml:space="preserve">不慎吸入引起不适，请立即到空气流通处并就医；如误食，请速携本标签就医。吸入时无特殊解毒剂，可对症治疗；大量吞服时可洗胃，不能催吐；皮肤接触时用大量流动清水和肥皂冲洗。眼睛接触时立即用流动清水冲洗不少于15分钟。 </w:t>
            </w:r>
          </w:p>
        </w:tc>
      </w:tr>
      <w:tr w14:paraId="14A10B76">
        <w:tblPrEx>
          <w:tblCellMar>
            <w:top w:w="0" w:type="dxa"/>
            <w:left w:w="0" w:type="dxa"/>
            <w:bottom w:w="0" w:type="dxa"/>
            <w:right w:w="0" w:type="dxa"/>
          </w:tblCellMar>
        </w:tblPrEx>
        <w:trPr>
          <w:wBefore w:w="0" w:type="auto"/>
          <w:tblCellSpacing w:w="0" w:type="dxa"/>
        </w:trPr>
        <w:tc>
          <w:tcPr>
            <w:tcW w:w="0" w:type="auto"/>
            <w:noWrap w:val="0"/>
            <w:vAlign w:val="center"/>
          </w:tcPr>
          <w:p w14:paraId="444CD27E">
            <w:r>
              <w:rPr>
                <w:rStyle w:val="10"/>
                <w:rFonts w:hint="eastAsia"/>
              </w:rPr>
              <w:t>储存和运输方法：</w:t>
            </w:r>
            <w:r>
              <w:rPr>
                <w:rFonts w:hint="eastAsia"/>
              </w:rPr>
              <w:br w:type="textWrapping"/>
            </w:r>
            <w:r>
              <w:rPr>
                <w:rStyle w:val="11"/>
                <w:rFonts w:hint="eastAsia"/>
              </w:rPr>
              <w:t>1.贮存在通风干燥的库房中，严防潮湿和日晒。 2.置于儿童和宠物接触不到的地方。 3.勿与食品、饮料、饲料和粮食等其他商品同贮同运。 4.避免与皮肤、眼睛接触，防止由口鼻吸入。5. 轻装轻放。</w:t>
            </w:r>
          </w:p>
        </w:tc>
      </w:tr>
      <w:tr w14:paraId="00E0A2C6">
        <w:tblPrEx>
          <w:tblCellMar>
            <w:top w:w="0" w:type="dxa"/>
            <w:left w:w="0" w:type="dxa"/>
            <w:bottom w:w="0" w:type="dxa"/>
            <w:right w:w="0" w:type="dxa"/>
          </w:tblCellMar>
        </w:tblPrEx>
        <w:trPr>
          <w:wBefore w:w="0" w:type="auto"/>
          <w:tblCellSpacing w:w="0" w:type="dxa"/>
        </w:trPr>
        <w:tc>
          <w:tcPr>
            <w:tcW w:w="0" w:type="auto"/>
            <w:noWrap w:val="0"/>
            <w:vAlign w:val="center"/>
          </w:tcPr>
          <w:p w14:paraId="71582D71">
            <w:r>
              <w:rPr>
                <w:rStyle w:val="10"/>
                <w:rFonts w:hint="eastAsia"/>
              </w:rPr>
              <w:t>质量保证期：</w:t>
            </w:r>
            <w:r>
              <w:rPr>
                <w:rStyle w:val="11"/>
                <w:rFonts w:hint="eastAsia"/>
              </w:rPr>
              <w:t>2年</w:t>
            </w:r>
          </w:p>
        </w:tc>
      </w:tr>
      <w:tr w14:paraId="2D8D9F89">
        <w:tblPrEx>
          <w:tblCellMar>
            <w:top w:w="0" w:type="dxa"/>
            <w:left w:w="0" w:type="dxa"/>
            <w:bottom w:w="0" w:type="dxa"/>
            <w:right w:w="0" w:type="dxa"/>
          </w:tblCellMar>
        </w:tblPrEx>
        <w:trPr>
          <w:wBefore w:w="0" w:type="auto"/>
          <w:tblCellSpacing w:w="0" w:type="dxa"/>
        </w:trPr>
        <w:tc>
          <w:tcPr>
            <w:tcW w:w="0" w:type="auto"/>
            <w:noWrap w:val="0"/>
            <w:vAlign w:val="center"/>
          </w:tcPr>
          <w:p w14:paraId="733A8377">
            <w:r>
              <w:rPr>
                <w:rStyle w:val="10"/>
                <w:rFonts w:hint="eastAsia"/>
              </w:rPr>
              <w:t>备注：</w:t>
            </w:r>
          </w:p>
        </w:tc>
      </w:tr>
    </w:tbl>
    <w:p w14:paraId="1F462F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2663FB">
        <w:tblPrEx>
          <w:tblCellMar>
            <w:top w:w="0" w:type="dxa"/>
            <w:left w:w="0" w:type="dxa"/>
            <w:bottom w:w="0" w:type="dxa"/>
            <w:right w:w="0" w:type="dxa"/>
          </w:tblCellMar>
        </w:tblPrEx>
        <w:trPr>
          <w:wBefore w:w="0" w:type="auto"/>
          <w:tblCellSpacing w:w="0" w:type="dxa"/>
        </w:trPr>
        <w:tc>
          <w:tcPr>
            <w:tcW w:w="0" w:type="auto"/>
            <w:noWrap w:val="0"/>
            <w:vAlign w:val="center"/>
          </w:tcPr>
          <w:p w14:paraId="02326ED9">
            <w:r>
              <w:rPr>
                <w:rStyle w:val="10"/>
                <w:rFonts w:hint="eastAsia"/>
              </w:rPr>
              <w:t>登记证号：</w:t>
            </w:r>
            <w:r>
              <w:rPr>
                <w:rFonts w:hint="eastAsia"/>
              </w:rPr>
              <w:t>PD20212732</w:t>
            </w:r>
          </w:p>
        </w:tc>
      </w:tr>
      <w:tr w14:paraId="4E50F3AC">
        <w:tblPrEx>
          <w:tblCellMar>
            <w:top w:w="0" w:type="dxa"/>
            <w:left w:w="0" w:type="dxa"/>
            <w:bottom w:w="0" w:type="dxa"/>
            <w:right w:w="0" w:type="dxa"/>
          </w:tblCellMar>
        </w:tblPrEx>
        <w:trPr>
          <w:wBefore w:w="0" w:type="auto"/>
          <w:tblCellSpacing w:w="0" w:type="dxa"/>
        </w:trPr>
        <w:tc>
          <w:tcPr>
            <w:tcW w:w="0" w:type="auto"/>
            <w:noWrap w:val="0"/>
            <w:vAlign w:val="center"/>
          </w:tcPr>
          <w:p w14:paraId="13A34522">
            <w:r>
              <w:rPr>
                <w:rStyle w:val="10"/>
                <w:rFonts w:hint="eastAsia"/>
              </w:rPr>
              <w:t>登记证持有人：</w:t>
            </w:r>
            <w:r>
              <w:rPr>
                <w:rFonts w:hint="eastAsia"/>
              </w:rPr>
              <w:t>绍兴东湖高科股份有限公司</w:t>
            </w:r>
          </w:p>
        </w:tc>
      </w:tr>
      <w:tr w14:paraId="244E9B45">
        <w:tblPrEx>
          <w:tblCellMar>
            <w:top w:w="0" w:type="dxa"/>
            <w:left w:w="0" w:type="dxa"/>
            <w:bottom w:w="0" w:type="dxa"/>
            <w:right w:w="0" w:type="dxa"/>
          </w:tblCellMar>
        </w:tblPrEx>
        <w:trPr>
          <w:wBefore w:w="0" w:type="auto"/>
          <w:tblCellSpacing w:w="0" w:type="dxa"/>
        </w:trPr>
        <w:tc>
          <w:tcPr>
            <w:tcW w:w="0" w:type="auto"/>
            <w:noWrap w:val="0"/>
            <w:vAlign w:val="center"/>
          </w:tcPr>
          <w:p w14:paraId="4554B3AC">
            <w:r>
              <w:rPr>
                <w:rStyle w:val="10"/>
                <w:rFonts w:hint="eastAsia"/>
              </w:rPr>
              <w:t>农药名称：</w:t>
            </w:r>
            <w:r>
              <w:rPr>
                <w:rFonts w:hint="eastAsia"/>
              </w:rPr>
              <w:t>乙烯利</w:t>
            </w:r>
          </w:p>
        </w:tc>
      </w:tr>
      <w:tr w14:paraId="10DF4EFA">
        <w:tblPrEx>
          <w:tblCellMar>
            <w:top w:w="0" w:type="dxa"/>
            <w:left w:w="0" w:type="dxa"/>
            <w:bottom w:w="0" w:type="dxa"/>
            <w:right w:w="0" w:type="dxa"/>
          </w:tblCellMar>
        </w:tblPrEx>
        <w:trPr>
          <w:wBefore w:w="0" w:type="auto"/>
          <w:tblCellSpacing w:w="0" w:type="dxa"/>
        </w:trPr>
        <w:tc>
          <w:tcPr>
            <w:tcW w:w="0" w:type="auto"/>
            <w:noWrap w:val="0"/>
            <w:vAlign w:val="center"/>
          </w:tcPr>
          <w:p w14:paraId="0762CF76">
            <w:r>
              <w:rPr>
                <w:rStyle w:val="10"/>
                <w:rFonts w:hint="eastAsia"/>
              </w:rPr>
              <w:t>剂型：</w:t>
            </w:r>
            <w:r>
              <w:rPr>
                <w:rFonts w:hint="eastAsia"/>
              </w:rPr>
              <w:t>可溶粉剂</w:t>
            </w:r>
          </w:p>
        </w:tc>
      </w:tr>
      <w:tr w14:paraId="549179DC">
        <w:tblPrEx>
          <w:tblCellMar>
            <w:top w:w="0" w:type="dxa"/>
            <w:left w:w="0" w:type="dxa"/>
            <w:bottom w:w="0" w:type="dxa"/>
            <w:right w:w="0" w:type="dxa"/>
          </w:tblCellMar>
        </w:tblPrEx>
        <w:trPr>
          <w:wBefore w:w="0" w:type="auto"/>
          <w:tblCellSpacing w:w="0" w:type="dxa"/>
        </w:trPr>
        <w:tc>
          <w:tcPr>
            <w:tcW w:w="0" w:type="auto"/>
            <w:noWrap w:val="0"/>
            <w:vAlign w:val="center"/>
          </w:tcPr>
          <w:p w14:paraId="47533DB0">
            <w:r>
              <w:rPr>
                <w:rStyle w:val="10"/>
                <w:rFonts w:hint="eastAsia"/>
              </w:rPr>
              <w:t>毒性及其标识：</w:t>
            </w:r>
            <w:r>
              <w:rPr>
                <w:rFonts w:hint="eastAsia"/>
              </w:rPr>
              <w:t xml:space="preserve"> </w:t>
            </w:r>
            <w:r>
              <w:rPr>
                <w:lang/>
              </w:rPr>
              <w:drawing>
                <wp:inline distT="0" distB="0" distL="114300" distR="114300">
                  <wp:extent cx="476250" cy="323850"/>
                  <wp:effectExtent l="0" t="0" r="0" b="0"/>
                  <wp:docPr id="114" name="图片 1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4AC79D">
        <w:tblPrEx>
          <w:tblCellMar>
            <w:top w:w="0" w:type="dxa"/>
            <w:left w:w="0" w:type="dxa"/>
            <w:bottom w:w="0" w:type="dxa"/>
            <w:right w:w="0" w:type="dxa"/>
          </w:tblCellMar>
        </w:tblPrEx>
        <w:trPr>
          <w:wBefore w:w="0" w:type="auto"/>
          <w:tblCellSpacing w:w="0" w:type="dxa"/>
        </w:trPr>
        <w:tc>
          <w:tcPr>
            <w:tcW w:w="0" w:type="auto"/>
            <w:noWrap w:val="0"/>
            <w:vAlign w:val="center"/>
          </w:tcPr>
          <w:p w14:paraId="32CA580E">
            <w:r>
              <w:rPr>
                <w:rStyle w:val="10"/>
                <w:rFonts w:hint="eastAsia"/>
              </w:rPr>
              <w:t>总有效成分含量：</w:t>
            </w:r>
            <w:r>
              <w:rPr>
                <w:rFonts w:hint="eastAsia"/>
              </w:rPr>
              <w:t>85%</w:t>
            </w:r>
          </w:p>
        </w:tc>
      </w:tr>
      <w:tr w14:paraId="24DFFAA6">
        <w:tblPrEx>
          <w:tblCellMar>
            <w:top w:w="0" w:type="dxa"/>
            <w:left w:w="0" w:type="dxa"/>
            <w:bottom w:w="0" w:type="dxa"/>
            <w:right w:w="0" w:type="dxa"/>
          </w:tblCellMar>
        </w:tblPrEx>
        <w:trPr>
          <w:wBefore w:w="0" w:type="auto"/>
          <w:tblCellSpacing w:w="0" w:type="dxa"/>
        </w:trPr>
        <w:tc>
          <w:tcPr>
            <w:tcW w:w="0" w:type="auto"/>
            <w:noWrap w:val="0"/>
            <w:vAlign w:val="center"/>
          </w:tcPr>
          <w:p w14:paraId="57B28A05">
            <w:r>
              <w:rPr>
                <w:rFonts w:hint="eastAsia"/>
              </w:rPr>
              <w:t xml:space="preserve">有效成分及其含量： </w:t>
            </w:r>
          </w:p>
          <w:p w14:paraId="7D4BF1E6">
            <w:r>
              <w:rPr>
                <w:rFonts w:hint="eastAsia"/>
              </w:rPr>
              <w:t xml:space="preserve">    乙烯利85%    </w:t>
            </w:r>
          </w:p>
        </w:tc>
      </w:tr>
      <w:tr w14:paraId="4B0C1100">
        <w:tblPrEx>
          <w:tblCellMar>
            <w:top w:w="0" w:type="dxa"/>
            <w:left w:w="0" w:type="dxa"/>
            <w:bottom w:w="0" w:type="dxa"/>
            <w:right w:w="0" w:type="dxa"/>
          </w:tblCellMar>
        </w:tblPrEx>
        <w:trPr>
          <w:wBefore w:w="0" w:type="auto"/>
          <w:tblCellSpacing w:w="0" w:type="dxa"/>
        </w:trPr>
        <w:tc>
          <w:tcPr>
            <w:tcW w:w="0" w:type="auto"/>
            <w:noWrap w:val="0"/>
            <w:vAlign w:val="center"/>
          </w:tcPr>
          <w:p w14:paraId="3DCCF4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B040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D2DF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58FDC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7A7F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62DFB1">
                  <w:r>
                    <w:rPr>
                      <w:rStyle w:val="11"/>
                      <w:rFonts w:hint="eastAsia"/>
                    </w:rPr>
                    <w:t>施用方式</w:t>
                  </w:r>
                </w:p>
              </w:tc>
            </w:tr>
            <w:tr w14:paraId="02E7BF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90D979">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4A73B5">
                  <w:r>
                    <w:rPr>
                      <w:rStyle w:val="11"/>
                      <w:rFonts w:hint="eastAsia"/>
                    </w:rPr>
                    <w:t>催熟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51DCD">
                  <w:r>
                    <w:rPr>
                      <w:rStyle w:val="11"/>
                      <w:rFonts w:hint="eastAsia"/>
                    </w:rPr>
                    <w:t>700-1000 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98C5DE">
                  <w:r>
                    <w:rPr>
                      <w:rStyle w:val="11"/>
                      <w:rFonts w:hint="eastAsia"/>
                    </w:rPr>
                    <w:t>喷雾</w:t>
                  </w:r>
                </w:p>
              </w:tc>
            </w:tr>
          </w:tbl>
          <w:p w14:paraId="4B96F95E">
            <w:pPr>
              <w:rPr>
                <w:rFonts w:ascii="Times New Roman" w:hAnsi="Times New Roman" w:cs="Times New Roman"/>
                <w:sz w:val="20"/>
                <w:szCs w:val="20"/>
              </w:rPr>
            </w:pPr>
          </w:p>
        </w:tc>
      </w:tr>
      <w:tr w14:paraId="30995D9F">
        <w:tblPrEx>
          <w:tblCellMar>
            <w:top w:w="0" w:type="dxa"/>
            <w:left w:w="0" w:type="dxa"/>
            <w:bottom w:w="0" w:type="dxa"/>
            <w:right w:w="0" w:type="dxa"/>
          </w:tblCellMar>
        </w:tblPrEx>
        <w:trPr>
          <w:wBefore w:w="0" w:type="auto"/>
          <w:tblCellSpacing w:w="0" w:type="dxa"/>
        </w:trPr>
        <w:tc>
          <w:tcPr>
            <w:tcW w:w="0" w:type="auto"/>
            <w:noWrap w:val="0"/>
            <w:vAlign w:val="center"/>
          </w:tcPr>
          <w:p w14:paraId="45839F1D">
            <w:r>
              <w:rPr>
                <w:rStyle w:val="10"/>
                <w:rFonts w:hint="eastAsia"/>
              </w:rPr>
              <w:t>使用技术要求:</w:t>
            </w:r>
            <w:r>
              <w:rPr>
                <w:rFonts w:hint="eastAsia"/>
              </w:rPr>
              <w:br w:type="textWrapping"/>
            </w:r>
            <w:r>
              <w:rPr>
                <w:rStyle w:val="11"/>
                <w:rFonts w:hint="eastAsia"/>
              </w:rPr>
              <w:t>1.应于棉花自然吐絮率达40%-50%时喷雾施药1次。2. 在棉花上的安全间隔期为7天，每季作物施用1次。3. 均匀施药，预计6小时内降雨，请勿施药。</w:t>
            </w:r>
          </w:p>
        </w:tc>
      </w:tr>
      <w:tr w14:paraId="44BC5104">
        <w:tblPrEx>
          <w:tblCellMar>
            <w:top w:w="0" w:type="dxa"/>
            <w:left w:w="0" w:type="dxa"/>
            <w:bottom w:w="0" w:type="dxa"/>
            <w:right w:w="0" w:type="dxa"/>
          </w:tblCellMar>
        </w:tblPrEx>
        <w:trPr>
          <w:wBefore w:w="0" w:type="auto"/>
          <w:tblCellSpacing w:w="0" w:type="dxa"/>
        </w:trPr>
        <w:tc>
          <w:tcPr>
            <w:tcW w:w="0" w:type="auto"/>
            <w:noWrap w:val="0"/>
            <w:vAlign w:val="center"/>
          </w:tcPr>
          <w:p w14:paraId="38C6C4BD">
            <w:r>
              <w:rPr>
                <w:rStyle w:val="10"/>
                <w:rFonts w:hint="eastAsia"/>
              </w:rPr>
              <w:t>产品性能:</w:t>
            </w:r>
            <w:r>
              <w:rPr>
                <w:rFonts w:hint="eastAsia"/>
              </w:rPr>
              <w:br w:type="textWrapping"/>
            </w:r>
            <w:r>
              <w:rPr>
                <w:rStyle w:val="11"/>
                <w:rFonts w:hint="eastAsia"/>
              </w:rPr>
              <w:t>乙烯利是促进成熟的植物生长调节剂。在酸介质中十分稳定，乙烯利经由植物的叶片、树皮、果实或种子进入植物体内，然后传导到起作用的部位，便释放出乙烯，能起内源激素乙烯所起的生理功能。可用于调节植物生长周期，改善质量。</w:t>
            </w:r>
          </w:p>
        </w:tc>
      </w:tr>
      <w:tr w14:paraId="3362192C">
        <w:tblPrEx>
          <w:tblCellMar>
            <w:top w:w="0" w:type="dxa"/>
            <w:left w:w="0" w:type="dxa"/>
            <w:bottom w:w="0" w:type="dxa"/>
            <w:right w:w="0" w:type="dxa"/>
          </w:tblCellMar>
        </w:tblPrEx>
        <w:trPr>
          <w:wBefore w:w="0" w:type="auto"/>
          <w:tblCellSpacing w:w="0" w:type="dxa"/>
        </w:trPr>
        <w:tc>
          <w:tcPr>
            <w:tcW w:w="0" w:type="auto"/>
            <w:noWrap w:val="0"/>
            <w:vAlign w:val="center"/>
          </w:tcPr>
          <w:p w14:paraId="0EFDCDD1">
            <w:r>
              <w:rPr>
                <w:rStyle w:val="10"/>
                <w:rFonts w:hint="eastAsia"/>
              </w:rPr>
              <w:t>注意事项：</w:t>
            </w:r>
            <w:r>
              <w:rPr>
                <w:rFonts w:hint="eastAsia"/>
              </w:rPr>
              <w:br w:type="textWrapping"/>
            </w:r>
            <w:r>
              <w:rPr>
                <w:rStyle w:val="11"/>
                <w:rFonts w:hint="eastAsia"/>
              </w:rPr>
              <w:t>1. 按农药安全使用准则及标签说明使用本品，严格控制施药剂量。2. 本品对眼睛有刺激性，使用时避免接触眼睛，穿戴长衣、长裤、帽子、口罩、手套等防护措施。使用中不可吸烟、饮水及吃东西；使用后及时清洗手、脸等暴露部位的皮肤并更换衣物。3. 本品对鸟类、家蚕有风险，鸟类保护区附近慎用，蚕室和桑园附近禁用，禁止采摘最外围桑叶饲喂家蚕。4. 不得与碱性物质、化肥混用。5. 请勿将制剂弃于池塘、河溪和湖泊等，以免污染水源；远离水产养殖区、河塘等水体施药，禁止在河塘等水体中清洗施药器具，清洗器具的废水不能排入河流、池塘等水源。6. 用过的容器要妥善处理，不可作他用，也不可随意丢弃。7. 孕妇及哺乳期妇女禁止接触本品。</w:t>
            </w:r>
          </w:p>
        </w:tc>
      </w:tr>
      <w:tr w14:paraId="4ADD9894">
        <w:tblPrEx>
          <w:tblCellMar>
            <w:top w:w="0" w:type="dxa"/>
            <w:left w:w="0" w:type="dxa"/>
            <w:bottom w:w="0" w:type="dxa"/>
            <w:right w:w="0" w:type="dxa"/>
          </w:tblCellMar>
        </w:tblPrEx>
        <w:trPr>
          <w:wBefore w:w="0" w:type="auto"/>
          <w:tblCellSpacing w:w="0" w:type="dxa"/>
        </w:trPr>
        <w:tc>
          <w:tcPr>
            <w:tcW w:w="0" w:type="auto"/>
            <w:noWrap w:val="0"/>
            <w:vAlign w:val="center"/>
          </w:tcPr>
          <w:p w14:paraId="0C2D8E24">
            <w:r>
              <w:rPr>
                <w:rStyle w:val="10"/>
                <w:rFonts w:hint="eastAsia"/>
              </w:rPr>
              <w:t>中毒急救措施：</w:t>
            </w:r>
            <w:r>
              <w:rPr>
                <w:rFonts w:hint="eastAsia"/>
              </w:rPr>
              <w:br w:type="textWrapping"/>
            </w:r>
            <w:r>
              <w:rPr>
                <w:rStyle w:val="11"/>
                <w:rFonts w:hint="eastAsia"/>
              </w:rPr>
              <w:t>本品对眼睛有刺激作用，使用中或使用后如果感觉不适，应立即停止工作，采取急救措施，并携带标签送医院就诊。皮肤接触：立即脱去被污染的衣物，用肥皂和大量清水冲洗皮肤暴露部位，若皮肤刺激感持续，立即送医就诊。眼睛溅入：立即翻开眼睑，用清水冲洗至少15分钟，并请医生诊治。吸入：立即将吸入者转移到空气清新处，若症状持续，立即送医就诊。误服：立即停止服用，并携带农药标签到医院就诊。注意：对昏迷病人，切勿经口喂入任何东西。</w:t>
            </w:r>
          </w:p>
        </w:tc>
      </w:tr>
      <w:tr w14:paraId="353A8B70">
        <w:tblPrEx>
          <w:tblCellMar>
            <w:top w:w="0" w:type="dxa"/>
            <w:left w:w="0" w:type="dxa"/>
            <w:bottom w:w="0" w:type="dxa"/>
            <w:right w:w="0" w:type="dxa"/>
          </w:tblCellMar>
        </w:tblPrEx>
        <w:trPr>
          <w:wBefore w:w="0" w:type="auto"/>
          <w:tblCellSpacing w:w="0" w:type="dxa"/>
        </w:trPr>
        <w:tc>
          <w:tcPr>
            <w:tcW w:w="0" w:type="auto"/>
            <w:noWrap w:val="0"/>
            <w:vAlign w:val="center"/>
          </w:tcPr>
          <w:p w14:paraId="01D9433C">
            <w:r>
              <w:rPr>
                <w:rStyle w:val="10"/>
                <w:rFonts w:hint="eastAsia"/>
              </w:rPr>
              <w:t>储存和运输方法：</w:t>
            </w:r>
            <w:r>
              <w:rPr>
                <w:rFonts w:hint="eastAsia"/>
              </w:rPr>
              <w:br w:type="textWrapping"/>
            </w:r>
            <w:r>
              <w:rPr>
                <w:rStyle w:val="11"/>
                <w:rFonts w:hint="eastAsia"/>
              </w:rPr>
              <w:t>本品应贮存在干燥、阴凉、通风、防雨处，远离火源或热源，注意不要损坏包装。置于儿童、无关人员及动物接触不到的地方，并加锁保存。勿与食品、饮料、饲料和粮食等其他商品同贮同运。</w:t>
            </w:r>
          </w:p>
        </w:tc>
      </w:tr>
      <w:tr w14:paraId="26DF733C">
        <w:tblPrEx>
          <w:tblCellMar>
            <w:top w:w="0" w:type="dxa"/>
            <w:left w:w="0" w:type="dxa"/>
            <w:bottom w:w="0" w:type="dxa"/>
            <w:right w:w="0" w:type="dxa"/>
          </w:tblCellMar>
        </w:tblPrEx>
        <w:trPr>
          <w:wBefore w:w="0" w:type="auto"/>
          <w:tblCellSpacing w:w="0" w:type="dxa"/>
        </w:trPr>
        <w:tc>
          <w:tcPr>
            <w:tcW w:w="0" w:type="auto"/>
            <w:noWrap w:val="0"/>
            <w:vAlign w:val="center"/>
          </w:tcPr>
          <w:p w14:paraId="51E7A8B1">
            <w:r>
              <w:rPr>
                <w:rStyle w:val="10"/>
                <w:rFonts w:hint="eastAsia"/>
              </w:rPr>
              <w:t>质量保证期：</w:t>
            </w:r>
            <w:r>
              <w:rPr>
                <w:rStyle w:val="11"/>
                <w:rFonts w:hint="eastAsia"/>
              </w:rPr>
              <w:t>2年</w:t>
            </w:r>
          </w:p>
        </w:tc>
      </w:tr>
      <w:tr w14:paraId="0399E077">
        <w:tblPrEx>
          <w:tblCellMar>
            <w:top w:w="0" w:type="dxa"/>
            <w:left w:w="0" w:type="dxa"/>
            <w:bottom w:w="0" w:type="dxa"/>
            <w:right w:w="0" w:type="dxa"/>
          </w:tblCellMar>
        </w:tblPrEx>
        <w:trPr>
          <w:wBefore w:w="0" w:type="auto"/>
          <w:tblCellSpacing w:w="0" w:type="dxa"/>
        </w:trPr>
        <w:tc>
          <w:tcPr>
            <w:tcW w:w="0" w:type="auto"/>
            <w:noWrap w:val="0"/>
            <w:vAlign w:val="center"/>
          </w:tcPr>
          <w:p w14:paraId="2B609F34">
            <w:r>
              <w:rPr>
                <w:rStyle w:val="10"/>
                <w:rFonts w:hint="eastAsia"/>
              </w:rPr>
              <w:t>备注：</w:t>
            </w:r>
          </w:p>
        </w:tc>
      </w:tr>
    </w:tbl>
    <w:p w14:paraId="547C7FD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48FEE8">
        <w:tblPrEx>
          <w:tblCellMar>
            <w:top w:w="0" w:type="dxa"/>
            <w:left w:w="0" w:type="dxa"/>
            <w:bottom w:w="0" w:type="dxa"/>
            <w:right w:w="0" w:type="dxa"/>
          </w:tblCellMar>
        </w:tblPrEx>
        <w:trPr>
          <w:wBefore w:w="0" w:type="auto"/>
          <w:tblCellSpacing w:w="0" w:type="dxa"/>
        </w:trPr>
        <w:tc>
          <w:tcPr>
            <w:tcW w:w="0" w:type="auto"/>
            <w:noWrap w:val="0"/>
            <w:vAlign w:val="center"/>
          </w:tcPr>
          <w:p w14:paraId="5B4DEF02">
            <w:r>
              <w:rPr>
                <w:rStyle w:val="10"/>
                <w:rFonts w:hint="eastAsia"/>
              </w:rPr>
              <w:t>登记证号：</w:t>
            </w:r>
            <w:r>
              <w:rPr>
                <w:rFonts w:hint="eastAsia"/>
              </w:rPr>
              <w:t>PD20212361</w:t>
            </w:r>
          </w:p>
        </w:tc>
      </w:tr>
      <w:tr w14:paraId="4B9919BC">
        <w:tblPrEx>
          <w:tblCellMar>
            <w:top w:w="0" w:type="dxa"/>
            <w:left w:w="0" w:type="dxa"/>
            <w:bottom w:w="0" w:type="dxa"/>
            <w:right w:w="0" w:type="dxa"/>
          </w:tblCellMar>
        </w:tblPrEx>
        <w:trPr>
          <w:wBefore w:w="0" w:type="auto"/>
          <w:tblCellSpacing w:w="0" w:type="dxa"/>
        </w:trPr>
        <w:tc>
          <w:tcPr>
            <w:tcW w:w="0" w:type="auto"/>
            <w:noWrap w:val="0"/>
            <w:vAlign w:val="center"/>
          </w:tcPr>
          <w:p w14:paraId="65F52F60">
            <w:r>
              <w:rPr>
                <w:rStyle w:val="10"/>
                <w:rFonts w:hint="eastAsia"/>
              </w:rPr>
              <w:t>登记证持有人：</w:t>
            </w:r>
            <w:r>
              <w:rPr>
                <w:rFonts w:hint="eastAsia"/>
              </w:rPr>
              <w:t>郑州郑氏化工产品有限公司</w:t>
            </w:r>
          </w:p>
        </w:tc>
      </w:tr>
      <w:tr w14:paraId="234AE365">
        <w:tblPrEx>
          <w:tblCellMar>
            <w:top w:w="0" w:type="dxa"/>
            <w:left w:w="0" w:type="dxa"/>
            <w:bottom w:w="0" w:type="dxa"/>
            <w:right w:w="0" w:type="dxa"/>
          </w:tblCellMar>
        </w:tblPrEx>
        <w:trPr>
          <w:wBefore w:w="0" w:type="auto"/>
          <w:tblCellSpacing w:w="0" w:type="dxa"/>
        </w:trPr>
        <w:tc>
          <w:tcPr>
            <w:tcW w:w="0" w:type="auto"/>
            <w:noWrap w:val="0"/>
            <w:vAlign w:val="center"/>
          </w:tcPr>
          <w:p w14:paraId="2FF4C052">
            <w:r>
              <w:rPr>
                <w:rStyle w:val="10"/>
                <w:rFonts w:hint="eastAsia"/>
              </w:rPr>
              <w:t>农药名称：</w:t>
            </w:r>
            <w:r>
              <w:rPr>
                <w:rFonts w:hint="eastAsia"/>
              </w:rPr>
              <w:t>噻虫嗪</w:t>
            </w:r>
          </w:p>
        </w:tc>
      </w:tr>
      <w:tr w14:paraId="701D408F">
        <w:tblPrEx>
          <w:tblCellMar>
            <w:top w:w="0" w:type="dxa"/>
            <w:left w:w="0" w:type="dxa"/>
            <w:bottom w:w="0" w:type="dxa"/>
            <w:right w:w="0" w:type="dxa"/>
          </w:tblCellMar>
        </w:tblPrEx>
        <w:trPr>
          <w:wBefore w:w="0" w:type="auto"/>
          <w:tblCellSpacing w:w="0" w:type="dxa"/>
        </w:trPr>
        <w:tc>
          <w:tcPr>
            <w:tcW w:w="0" w:type="auto"/>
            <w:noWrap w:val="0"/>
            <w:vAlign w:val="center"/>
          </w:tcPr>
          <w:p w14:paraId="6166C3DC">
            <w:r>
              <w:rPr>
                <w:rStyle w:val="10"/>
                <w:rFonts w:hint="eastAsia"/>
              </w:rPr>
              <w:t>剂型：</w:t>
            </w:r>
            <w:r>
              <w:rPr>
                <w:rFonts w:hint="eastAsia"/>
              </w:rPr>
              <w:t>颗粒剂</w:t>
            </w:r>
          </w:p>
        </w:tc>
      </w:tr>
      <w:tr w14:paraId="0CD9CE29">
        <w:tblPrEx>
          <w:tblCellMar>
            <w:top w:w="0" w:type="dxa"/>
            <w:left w:w="0" w:type="dxa"/>
            <w:bottom w:w="0" w:type="dxa"/>
            <w:right w:w="0" w:type="dxa"/>
          </w:tblCellMar>
        </w:tblPrEx>
        <w:trPr>
          <w:wBefore w:w="0" w:type="auto"/>
          <w:tblCellSpacing w:w="0" w:type="dxa"/>
        </w:trPr>
        <w:tc>
          <w:tcPr>
            <w:tcW w:w="0" w:type="auto"/>
            <w:noWrap w:val="0"/>
            <w:vAlign w:val="center"/>
          </w:tcPr>
          <w:p w14:paraId="28DDDA37">
            <w:r>
              <w:rPr>
                <w:rStyle w:val="10"/>
                <w:rFonts w:hint="eastAsia"/>
              </w:rPr>
              <w:t>毒性及其标识：</w:t>
            </w:r>
            <w:r>
              <w:rPr>
                <w:rFonts w:hint="eastAsia"/>
              </w:rPr>
              <w:t xml:space="preserve"> </w:t>
            </w:r>
            <w:r>
              <w:rPr>
                <w:lang/>
              </w:rPr>
              <w:drawing>
                <wp:inline distT="0" distB="0" distL="114300" distR="114300">
                  <wp:extent cx="476250" cy="323850"/>
                  <wp:effectExtent l="0" t="0" r="0" b="0"/>
                  <wp:docPr id="115" name="图片 1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AD1639">
        <w:tblPrEx>
          <w:tblCellMar>
            <w:top w:w="0" w:type="dxa"/>
            <w:left w:w="0" w:type="dxa"/>
            <w:bottom w:w="0" w:type="dxa"/>
            <w:right w:w="0" w:type="dxa"/>
          </w:tblCellMar>
        </w:tblPrEx>
        <w:trPr>
          <w:wBefore w:w="0" w:type="auto"/>
          <w:tblCellSpacing w:w="0" w:type="dxa"/>
        </w:trPr>
        <w:tc>
          <w:tcPr>
            <w:tcW w:w="0" w:type="auto"/>
            <w:noWrap w:val="0"/>
            <w:vAlign w:val="center"/>
          </w:tcPr>
          <w:p w14:paraId="51AFD8B7">
            <w:r>
              <w:rPr>
                <w:rStyle w:val="10"/>
                <w:rFonts w:hint="eastAsia"/>
              </w:rPr>
              <w:t>总有效成分含量：</w:t>
            </w:r>
            <w:r>
              <w:rPr>
                <w:rFonts w:hint="eastAsia"/>
              </w:rPr>
              <w:t>0.12%</w:t>
            </w:r>
          </w:p>
        </w:tc>
      </w:tr>
      <w:tr w14:paraId="6D67C4B9">
        <w:tblPrEx>
          <w:tblCellMar>
            <w:top w:w="0" w:type="dxa"/>
            <w:left w:w="0" w:type="dxa"/>
            <w:bottom w:w="0" w:type="dxa"/>
            <w:right w:w="0" w:type="dxa"/>
          </w:tblCellMar>
        </w:tblPrEx>
        <w:trPr>
          <w:wBefore w:w="0" w:type="auto"/>
          <w:tblCellSpacing w:w="0" w:type="dxa"/>
        </w:trPr>
        <w:tc>
          <w:tcPr>
            <w:tcW w:w="0" w:type="auto"/>
            <w:noWrap w:val="0"/>
            <w:vAlign w:val="center"/>
          </w:tcPr>
          <w:p w14:paraId="5534C236">
            <w:r>
              <w:rPr>
                <w:rFonts w:hint="eastAsia"/>
              </w:rPr>
              <w:t xml:space="preserve">有效成分及其含量： </w:t>
            </w:r>
          </w:p>
          <w:p w14:paraId="4F29A2B6">
            <w:r>
              <w:rPr>
                <w:rFonts w:hint="eastAsia"/>
              </w:rPr>
              <w:t xml:space="preserve">    噻虫嗪0.12%    </w:t>
            </w:r>
          </w:p>
        </w:tc>
      </w:tr>
      <w:tr w14:paraId="59ACFFAB">
        <w:tblPrEx>
          <w:tblCellMar>
            <w:top w:w="0" w:type="dxa"/>
            <w:left w:w="0" w:type="dxa"/>
            <w:bottom w:w="0" w:type="dxa"/>
            <w:right w:w="0" w:type="dxa"/>
          </w:tblCellMar>
        </w:tblPrEx>
        <w:trPr>
          <w:wBefore w:w="0" w:type="auto"/>
          <w:tblCellSpacing w:w="0" w:type="dxa"/>
        </w:trPr>
        <w:tc>
          <w:tcPr>
            <w:tcW w:w="0" w:type="auto"/>
            <w:noWrap w:val="0"/>
            <w:vAlign w:val="center"/>
          </w:tcPr>
          <w:p w14:paraId="553876C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01D2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C505B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9FC8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79BE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BAE523">
                  <w:r>
                    <w:rPr>
                      <w:rStyle w:val="11"/>
                      <w:rFonts w:hint="eastAsia"/>
                    </w:rPr>
                    <w:t>施用方式</w:t>
                  </w:r>
                </w:p>
              </w:tc>
            </w:tr>
            <w:tr w14:paraId="2B1FA5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9D331E">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772871">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486F2C">
                  <w:r>
                    <w:rPr>
                      <w:rStyle w:val="11"/>
                      <w:rFonts w:hint="eastAsia"/>
                    </w:rPr>
                    <w:t>26.7-33.3千克/亩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848185">
                  <w:r>
                    <w:rPr>
                      <w:rStyle w:val="11"/>
                      <w:rFonts w:hint="eastAsia"/>
                    </w:rPr>
                    <w:t>撒施</w:t>
                  </w:r>
                </w:p>
              </w:tc>
            </w:tr>
          </w:tbl>
          <w:p w14:paraId="3BD21E1E">
            <w:pPr>
              <w:rPr>
                <w:rFonts w:ascii="Times New Roman" w:hAnsi="Times New Roman" w:cs="Times New Roman"/>
                <w:sz w:val="20"/>
                <w:szCs w:val="20"/>
              </w:rPr>
            </w:pPr>
          </w:p>
        </w:tc>
      </w:tr>
      <w:tr w14:paraId="16A0B9EF">
        <w:tblPrEx>
          <w:tblCellMar>
            <w:top w:w="0" w:type="dxa"/>
            <w:left w:w="0" w:type="dxa"/>
            <w:bottom w:w="0" w:type="dxa"/>
            <w:right w:w="0" w:type="dxa"/>
          </w:tblCellMar>
        </w:tblPrEx>
        <w:trPr>
          <w:wBefore w:w="0" w:type="auto"/>
          <w:tblCellSpacing w:w="0" w:type="dxa"/>
        </w:trPr>
        <w:tc>
          <w:tcPr>
            <w:tcW w:w="0" w:type="auto"/>
            <w:noWrap w:val="0"/>
            <w:vAlign w:val="center"/>
          </w:tcPr>
          <w:p w14:paraId="7A1B5842">
            <w:r>
              <w:rPr>
                <w:rStyle w:val="10"/>
                <w:rFonts w:hint="eastAsia"/>
              </w:rPr>
              <w:t>使用技术要求:</w:t>
            </w:r>
            <w:r>
              <w:rPr>
                <w:rFonts w:hint="eastAsia"/>
              </w:rPr>
              <w:br w:type="textWrapping"/>
            </w:r>
            <w:r>
              <w:rPr>
                <w:rStyle w:val="11"/>
                <w:rFonts w:hint="eastAsia"/>
              </w:rPr>
              <w:t>1.于小麦播种前，将药剂均匀撒施于地表。 2.大风天气或预计1小时内有降雨时请勿施药。</w:t>
            </w:r>
          </w:p>
        </w:tc>
      </w:tr>
      <w:tr w14:paraId="6613E47A">
        <w:tblPrEx>
          <w:tblCellMar>
            <w:top w:w="0" w:type="dxa"/>
            <w:left w:w="0" w:type="dxa"/>
            <w:bottom w:w="0" w:type="dxa"/>
            <w:right w:w="0" w:type="dxa"/>
          </w:tblCellMar>
        </w:tblPrEx>
        <w:trPr>
          <w:wBefore w:w="0" w:type="auto"/>
          <w:tblCellSpacing w:w="0" w:type="dxa"/>
        </w:trPr>
        <w:tc>
          <w:tcPr>
            <w:tcW w:w="0" w:type="auto"/>
            <w:noWrap w:val="0"/>
            <w:vAlign w:val="center"/>
          </w:tcPr>
          <w:p w14:paraId="753BF364">
            <w:r>
              <w:rPr>
                <w:rStyle w:val="10"/>
                <w:rFonts w:hint="eastAsia"/>
              </w:rPr>
              <w:t>产品性能:</w:t>
            </w:r>
            <w:r>
              <w:rPr>
                <w:rFonts w:hint="eastAsia"/>
              </w:rPr>
              <w:br w:type="textWrapping"/>
            </w:r>
            <w:r>
              <w:rPr>
                <w:rStyle w:val="11"/>
                <w:rFonts w:hint="eastAsia"/>
              </w:rPr>
              <w:t>噻虫嗪是新烟碱类杀虫剂，具有胃毒、触杀和内吸性，其作用机理是抑制昆虫中枢神经系统烟酸乙酰胆碱酯酶受体，进而阻断昆虫中枢神经系统的正常传导，造成害虫麻痹死亡。</w:t>
            </w:r>
          </w:p>
        </w:tc>
      </w:tr>
      <w:tr w14:paraId="24C4A2FB">
        <w:tblPrEx>
          <w:tblCellMar>
            <w:top w:w="0" w:type="dxa"/>
            <w:left w:w="0" w:type="dxa"/>
            <w:bottom w:w="0" w:type="dxa"/>
            <w:right w:w="0" w:type="dxa"/>
          </w:tblCellMar>
        </w:tblPrEx>
        <w:trPr>
          <w:wBefore w:w="0" w:type="auto"/>
          <w:tblCellSpacing w:w="0" w:type="dxa"/>
        </w:trPr>
        <w:tc>
          <w:tcPr>
            <w:tcW w:w="0" w:type="auto"/>
            <w:noWrap w:val="0"/>
            <w:vAlign w:val="center"/>
          </w:tcPr>
          <w:p w14:paraId="441B1FF7">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本品对眼睛有刺激性，使用时避免接触眼睛，穿戴长衣、长裤、帽子、口罩、手套等防护措施。避免皮肤接触及口鼻吸入，切勿吸烟或饮食。使用后及时洗手。 2. 禁止在河塘等水体中清洗施药器具，避免药液污染水源地。 3. （周围）开花植物花期禁用，使用时应密切关注对附近蜂群的影响。 4. 用过的容器或废弃包装应妥善处理，切勿他用或随意丢弃。 5. 建议与其他作用机制不同的杀虫剂合理轮换使用。 6. 禁止孕妇、哺乳期妇女及过敏者接触本品。</w:t>
            </w:r>
          </w:p>
        </w:tc>
      </w:tr>
      <w:tr w14:paraId="21564DC0">
        <w:tblPrEx>
          <w:tblCellMar>
            <w:top w:w="0" w:type="dxa"/>
            <w:left w:w="0" w:type="dxa"/>
            <w:bottom w:w="0" w:type="dxa"/>
            <w:right w:w="0" w:type="dxa"/>
          </w:tblCellMar>
        </w:tblPrEx>
        <w:trPr>
          <w:wBefore w:w="0" w:type="auto"/>
          <w:tblCellSpacing w:w="0" w:type="dxa"/>
        </w:trPr>
        <w:tc>
          <w:tcPr>
            <w:tcW w:w="0" w:type="auto"/>
            <w:noWrap w:val="0"/>
            <w:vAlign w:val="center"/>
          </w:tcPr>
          <w:p w14:paraId="67415853">
            <w:r>
              <w:rPr>
                <w:rStyle w:val="10"/>
                <w:rFonts w:hint="eastAsia"/>
              </w:rPr>
              <w:t>中毒急救措施：</w:t>
            </w:r>
            <w:r>
              <w:rPr>
                <w:rFonts w:hint="eastAsia"/>
              </w:rPr>
              <w:br w:type="textWrapping"/>
            </w:r>
            <w:r>
              <w:rPr>
                <w:rStyle w:val="11"/>
                <w:rFonts w:hint="eastAsia"/>
              </w:rPr>
              <w:t>中毒症状：无典型中毒症状。 急救措施：如不慎溅入眼睛或接触皮肤，应立即用大量清水冲洗至少15分钟；如不慎吸入，应立即转移至空气流通处；如不慎误服，立即携此标签送医对症治疗。</w:t>
            </w:r>
          </w:p>
        </w:tc>
      </w:tr>
      <w:tr w14:paraId="716EDC10">
        <w:tblPrEx>
          <w:tblCellMar>
            <w:top w:w="0" w:type="dxa"/>
            <w:left w:w="0" w:type="dxa"/>
            <w:bottom w:w="0" w:type="dxa"/>
            <w:right w:w="0" w:type="dxa"/>
          </w:tblCellMar>
        </w:tblPrEx>
        <w:trPr>
          <w:wBefore w:w="0" w:type="auto"/>
          <w:tblCellSpacing w:w="0" w:type="dxa"/>
        </w:trPr>
        <w:tc>
          <w:tcPr>
            <w:tcW w:w="0" w:type="auto"/>
            <w:noWrap w:val="0"/>
            <w:vAlign w:val="center"/>
          </w:tcPr>
          <w:p w14:paraId="7EE9C137">
            <w:r>
              <w:rPr>
                <w:rStyle w:val="10"/>
                <w:rFonts w:hint="eastAsia"/>
              </w:rPr>
              <w:t>储存和运输方法：</w:t>
            </w:r>
            <w:r>
              <w:rPr>
                <w:rFonts w:hint="eastAsia"/>
              </w:rPr>
              <w:br w:type="textWrapping"/>
            </w:r>
            <w:r>
              <w:rPr>
                <w:rStyle w:val="11"/>
                <w:rFonts w:hint="eastAsia"/>
              </w:rPr>
              <w:t>1. 本品应贮存于阴凉、干燥、通风、防雨处，远离火源及热源。 2. 本品应远离家禽，不能与食品、饮料、饲料和粮食等同贮同运。 3. 本品应贮存于儿童触及不到的地方并加锁保存。</w:t>
            </w:r>
          </w:p>
        </w:tc>
      </w:tr>
      <w:tr w14:paraId="32AFCFF4">
        <w:tblPrEx>
          <w:tblCellMar>
            <w:top w:w="0" w:type="dxa"/>
            <w:left w:w="0" w:type="dxa"/>
            <w:bottom w:w="0" w:type="dxa"/>
            <w:right w:w="0" w:type="dxa"/>
          </w:tblCellMar>
        </w:tblPrEx>
        <w:trPr>
          <w:wBefore w:w="0" w:type="auto"/>
          <w:tblCellSpacing w:w="0" w:type="dxa"/>
        </w:trPr>
        <w:tc>
          <w:tcPr>
            <w:tcW w:w="0" w:type="auto"/>
            <w:noWrap w:val="0"/>
            <w:vAlign w:val="center"/>
          </w:tcPr>
          <w:p w14:paraId="12B56981">
            <w:r>
              <w:rPr>
                <w:rStyle w:val="10"/>
                <w:rFonts w:hint="eastAsia"/>
              </w:rPr>
              <w:t>质量保证期：</w:t>
            </w:r>
            <w:r>
              <w:rPr>
                <w:rStyle w:val="11"/>
                <w:rFonts w:hint="eastAsia"/>
              </w:rPr>
              <w:t>2年</w:t>
            </w:r>
          </w:p>
        </w:tc>
      </w:tr>
      <w:tr w14:paraId="6841F6AC">
        <w:tblPrEx>
          <w:tblCellMar>
            <w:top w:w="0" w:type="dxa"/>
            <w:left w:w="0" w:type="dxa"/>
            <w:bottom w:w="0" w:type="dxa"/>
            <w:right w:w="0" w:type="dxa"/>
          </w:tblCellMar>
        </w:tblPrEx>
        <w:trPr>
          <w:wBefore w:w="0" w:type="auto"/>
          <w:tblCellSpacing w:w="0" w:type="dxa"/>
        </w:trPr>
        <w:tc>
          <w:tcPr>
            <w:tcW w:w="0" w:type="auto"/>
            <w:noWrap w:val="0"/>
            <w:vAlign w:val="center"/>
          </w:tcPr>
          <w:p w14:paraId="684509E4">
            <w:r>
              <w:rPr>
                <w:rStyle w:val="10"/>
                <w:rFonts w:hint="eastAsia"/>
              </w:rPr>
              <w:t>备注：</w:t>
            </w:r>
          </w:p>
        </w:tc>
      </w:tr>
    </w:tbl>
    <w:p w14:paraId="7621DDF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C2706F">
        <w:tblPrEx>
          <w:tblCellMar>
            <w:top w:w="0" w:type="dxa"/>
            <w:left w:w="0" w:type="dxa"/>
            <w:bottom w:w="0" w:type="dxa"/>
            <w:right w:w="0" w:type="dxa"/>
          </w:tblCellMar>
        </w:tblPrEx>
        <w:trPr>
          <w:wBefore w:w="0" w:type="auto"/>
          <w:tblCellSpacing w:w="0" w:type="dxa"/>
        </w:trPr>
        <w:tc>
          <w:tcPr>
            <w:tcW w:w="0" w:type="auto"/>
            <w:noWrap w:val="0"/>
            <w:vAlign w:val="center"/>
          </w:tcPr>
          <w:p w14:paraId="2944A4E5">
            <w:r>
              <w:rPr>
                <w:rStyle w:val="10"/>
                <w:rFonts w:hint="eastAsia"/>
              </w:rPr>
              <w:t>登记证号：</w:t>
            </w:r>
            <w:r>
              <w:rPr>
                <w:rFonts w:hint="eastAsia"/>
              </w:rPr>
              <w:t>PD20212492</w:t>
            </w:r>
          </w:p>
        </w:tc>
      </w:tr>
      <w:tr w14:paraId="317CE358">
        <w:tblPrEx>
          <w:tblCellMar>
            <w:top w:w="0" w:type="dxa"/>
            <w:left w:w="0" w:type="dxa"/>
            <w:bottom w:w="0" w:type="dxa"/>
            <w:right w:w="0" w:type="dxa"/>
          </w:tblCellMar>
        </w:tblPrEx>
        <w:trPr>
          <w:wBefore w:w="0" w:type="auto"/>
          <w:tblCellSpacing w:w="0" w:type="dxa"/>
        </w:trPr>
        <w:tc>
          <w:tcPr>
            <w:tcW w:w="0" w:type="auto"/>
            <w:noWrap w:val="0"/>
            <w:vAlign w:val="center"/>
          </w:tcPr>
          <w:p w14:paraId="7E9ADCD1">
            <w:r>
              <w:rPr>
                <w:rStyle w:val="10"/>
                <w:rFonts w:hint="eastAsia"/>
              </w:rPr>
              <w:t>登记证持有人：</w:t>
            </w:r>
            <w:r>
              <w:rPr>
                <w:rFonts w:hint="eastAsia"/>
              </w:rPr>
              <w:t>山东省绿士农药有限公司</w:t>
            </w:r>
          </w:p>
        </w:tc>
      </w:tr>
      <w:tr w14:paraId="121BD241">
        <w:tblPrEx>
          <w:tblCellMar>
            <w:top w:w="0" w:type="dxa"/>
            <w:left w:w="0" w:type="dxa"/>
            <w:bottom w:w="0" w:type="dxa"/>
            <w:right w:w="0" w:type="dxa"/>
          </w:tblCellMar>
        </w:tblPrEx>
        <w:trPr>
          <w:wBefore w:w="0" w:type="auto"/>
          <w:tblCellSpacing w:w="0" w:type="dxa"/>
        </w:trPr>
        <w:tc>
          <w:tcPr>
            <w:tcW w:w="0" w:type="auto"/>
            <w:noWrap w:val="0"/>
            <w:vAlign w:val="center"/>
          </w:tcPr>
          <w:p w14:paraId="29FBD478">
            <w:r>
              <w:rPr>
                <w:rStyle w:val="10"/>
                <w:rFonts w:hint="eastAsia"/>
              </w:rPr>
              <w:t>农药名称：</w:t>
            </w:r>
            <w:r>
              <w:rPr>
                <w:rFonts w:hint="eastAsia"/>
              </w:rPr>
              <w:t>环嗪酮</w:t>
            </w:r>
          </w:p>
        </w:tc>
      </w:tr>
      <w:tr w14:paraId="7231602D">
        <w:tblPrEx>
          <w:tblCellMar>
            <w:top w:w="0" w:type="dxa"/>
            <w:left w:w="0" w:type="dxa"/>
            <w:bottom w:w="0" w:type="dxa"/>
            <w:right w:w="0" w:type="dxa"/>
          </w:tblCellMar>
        </w:tblPrEx>
        <w:trPr>
          <w:wBefore w:w="0" w:type="auto"/>
          <w:tblCellSpacing w:w="0" w:type="dxa"/>
        </w:trPr>
        <w:tc>
          <w:tcPr>
            <w:tcW w:w="0" w:type="auto"/>
            <w:noWrap w:val="0"/>
            <w:vAlign w:val="center"/>
          </w:tcPr>
          <w:p w14:paraId="6B4E168F">
            <w:r>
              <w:rPr>
                <w:rStyle w:val="10"/>
                <w:rFonts w:hint="eastAsia"/>
              </w:rPr>
              <w:t>剂型：</w:t>
            </w:r>
            <w:r>
              <w:rPr>
                <w:rFonts w:hint="eastAsia"/>
              </w:rPr>
              <w:t>颗粒剂</w:t>
            </w:r>
          </w:p>
        </w:tc>
      </w:tr>
      <w:tr w14:paraId="0E7C8962">
        <w:tblPrEx>
          <w:tblCellMar>
            <w:top w:w="0" w:type="dxa"/>
            <w:left w:w="0" w:type="dxa"/>
            <w:bottom w:w="0" w:type="dxa"/>
            <w:right w:w="0" w:type="dxa"/>
          </w:tblCellMar>
        </w:tblPrEx>
        <w:trPr>
          <w:wBefore w:w="0" w:type="auto"/>
          <w:tblCellSpacing w:w="0" w:type="dxa"/>
        </w:trPr>
        <w:tc>
          <w:tcPr>
            <w:tcW w:w="0" w:type="auto"/>
            <w:noWrap w:val="0"/>
            <w:vAlign w:val="center"/>
          </w:tcPr>
          <w:p w14:paraId="5657064F">
            <w:r>
              <w:rPr>
                <w:rStyle w:val="10"/>
                <w:rFonts w:hint="eastAsia"/>
              </w:rPr>
              <w:t>毒性及其标识：</w:t>
            </w:r>
            <w:r>
              <w:rPr>
                <w:rFonts w:hint="eastAsia"/>
              </w:rPr>
              <w:t xml:space="preserve"> 微毒 </w:t>
            </w:r>
          </w:p>
        </w:tc>
      </w:tr>
      <w:tr w14:paraId="38779C8E">
        <w:tblPrEx>
          <w:tblCellMar>
            <w:top w:w="0" w:type="dxa"/>
            <w:left w:w="0" w:type="dxa"/>
            <w:bottom w:w="0" w:type="dxa"/>
            <w:right w:w="0" w:type="dxa"/>
          </w:tblCellMar>
        </w:tblPrEx>
        <w:trPr>
          <w:wBefore w:w="0" w:type="auto"/>
          <w:tblCellSpacing w:w="0" w:type="dxa"/>
        </w:trPr>
        <w:tc>
          <w:tcPr>
            <w:tcW w:w="0" w:type="auto"/>
            <w:noWrap w:val="0"/>
            <w:vAlign w:val="center"/>
          </w:tcPr>
          <w:p w14:paraId="162BBA11">
            <w:r>
              <w:rPr>
                <w:rStyle w:val="10"/>
                <w:rFonts w:hint="eastAsia"/>
              </w:rPr>
              <w:t>总有效成分含量：</w:t>
            </w:r>
            <w:r>
              <w:rPr>
                <w:rFonts w:hint="eastAsia"/>
              </w:rPr>
              <w:t>5%</w:t>
            </w:r>
          </w:p>
        </w:tc>
      </w:tr>
      <w:tr w14:paraId="46F544CA">
        <w:tblPrEx>
          <w:tblCellMar>
            <w:top w:w="0" w:type="dxa"/>
            <w:left w:w="0" w:type="dxa"/>
            <w:bottom w:w="0" w:type="dxa"/>
            <w:right w:w="0" w:type="dxa"/>
          </w:tblCellMar>
        </w:tblPrEx>
        <w:trPr>
          <w:wBefore w:w="0" w:type="auto"/>
          <w:tblCellSpacing w:w="0" w:type="dxa"/>
        </w:trPr>
        <w:tc>
          <w:tcPr>
            <w:tcW w:w="0" w:type="auto"/>
            <w:noWrap w:val="0"/>
            <w:vAlign w:val="center"/>
          </w:tcPr>
          <w:p w14:paraId="1331C92E">
            <w:r>
              <w:rPr>
                <w:rFonts w:hint="eastAsia"/>
              </w:rPr>
              <w:t xml:space="preserve">有效成分及其含量： </w:t>
            </w:r>
          </w:p>
          <w:p w14:paraId="4CE6FA5B">
            <w:r>
              <w:rPr>
                <w:rFonts w:hint="eastAsia"/>
              </w:rPr>
              <w:t xml:space="preserve">    环嗪酮5%    </w:t>
            </w:r>
          </w:p>
        </w:tc>
      </w:tr>
      <w:tr w14:paraId="6972EB82">
        <w:tblPrEx>
          <w:tblCellMar>
            <w:top w:w="0" w:type="dxa"/>
            <w:left w:w="0" w:type="dxa"/>
            <w:bottom w:w="0" w:type="dxa"/>
            <w:right w:w="0" w:type="dxa"/>
          </w:tblCellMar>
        </w:tblPrEx>
        <w:trPr>
          <w:wBefore w:w="0" w:type="auto"/>
          <w:tblCellSpacing w:w="0" w:type="dxa"/>
        </w:trPr>
        <w:tc>
          <w:tcPr>
            <w:tcW w:w="0" w:type="auto"/>
            <w:noWrap w:val="0"/>
            <w:vAlign w:val="center"/>
          </w:tcPr>
          <w:p w14:paraId="61DA62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0F9A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20FA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71EC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9730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C0B05E">
                  <w:r>
                    <w:rPr>
                      <w:rStyle w:val="11"/>
                      <w:rFonts w:hint="eastAsia"/>
                    </w:rPr>
                    <w:t>施用方式</w:t>
                  </w:r>
                </w:p>
              </w:tc>
            </w:tr>
            <w:tr w14:paraId="6DEACF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FDA127">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BE3A42">
                  <w:r>
                    <w:rPr>
                      <w:rStyle w:val="11"/>
                      <w:rFonts w:hint="eastAsia"/>
                    </w:rPr>
                    <w:t>杂灌</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C7BF4E">
                  <w:r>
                    <w:rPr>
                      <w:rStyle w:val="11"/>
                      <w:rFonts w:hint="eastAsia"/>
                    </w:rPr>
                    <w:t>2500-3000克/亩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85D72D">
                  <w:r>
                    <w:rPr>
                      <w:rStyle w:val="11"/>
                      <w:rFonts w:hint="eastAsia"/>
                    </w:rPr>
                    <w:t>撒施</w:t>
                  </w:r>
                </w:p>
              </w:tc>
            </w:tr>
            <w:tr w14:paraId="21D9B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58713A">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1A331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F65815">
                  <w:r>
                    <w:rPr>
                      <w:rStyle w:val="11"/>
                      <w:rFonts w:hint="eastAsia"/>
                    </w:rPr>
                    <w:t>1500-2500克/亩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B781E5">
                  <w:r>
                    <w:rPr>
                      <w:rStyle w:val="11"/>
                      <w:rFonts w:hint="eastAsia"/>
                    </w:rPr>
                    <w:t>撒施</w:t>
                  </w:r>
                </w:p>
              </w:tc>
            </w:tr>
          </w:tbl>
          <w:p w14:paraId="3FC91791">
            <w:pPr>
              <w:rPr>
                <w:rFonts w:ascii="Times New Roman" w:hAnsi="Times New Roman" w:cs="Times New Roman"/>
                <w:sz w:val="20"/>
                <w:szCs w:val="20"/>
              </w:rPr>
            </w:pPr>
          </w:p>
        </w:tc>
      </w:tr>
      <w:tr w14:paraId="5CAD0C0C">
        <w:tblPrEx>
          <w:tblCellMar>
            <w:top w:w="0" w:type="dxa"/>
            <w:left w:w="0" w:type="dxa"/>
            <w:bottom w:w="0" w:type="dxa"/>
            <w:right w:w="0" w:type="dxa"/>
          </w:tblCellMar>
        </w:tblPrEx>
        <w:trPr>
          <w:wBefore w:w="0" w:type="auto"/>
          <w:tblCellSpacing w:w="0" w:type="dxa"/>
        </w:trPr>
        <w:tc>
          <w:tcPr>
            <w:tcW w:w="0" w:type="auto"/>
            <w:noWrap w:val="0"/>
            <w:vAlign w:val="center"/>
          </w:tcPr>
          <w:p w14:paraId="20B59FDA">
            <w:r>
              <w:rPr>
                <w:rStyle w:val="10"/>
                <w:rFonts w:hint="eastAsia"/>
              </w:rPr>
              <w:t>使用技术要求:</w:t>
            </w:r>
            <w:r>
              <w:rPr>
                <w:rFonts w:hint="eastAsia"/>
              </w:rPr>
              <w:br w:type="textWrapping"/>
            </w:r>
            <w:r>
              <w:rPr>
                <w:rStyle w:val="11"/>
                <w:rFonts w:hint="eastAsia"/>
              </w:rPr>
              <w:t>1.防治森林防火道杂草，于杂草生长旺盛期，直接均匀撒施施药。防治森林防火道杂灌，于灌木生长旺盛期，直接均匀撒施施药。施用方法是直接撒施，每季只用药一次。 2. 施药时尽可能做到均匀，最好在雨前施用。</w:t>
            </w:r>
          </w:p>
        </w:tc>
      </w:tr>
      <w:tr w14:paraId="36AE5B6F">
        <w:tblPrEx>
          <w:tblCellMar>
            <w:top w:w="0" w:type="dxa"/>
            <w:left w:w="0" w:type="dxa"/>
            <w:bottom w:w="0" w:type="dxa"/>
            <w:right w:w="0" w:type="dxa"/>
          </w:tblCellMar>
        </w:tblPrEx>
        <w:trPr>
          <w:wBefore w:w="0" w:type="auto"/>
          <w:tblCellSpacing w:w="0" w:type="dxa"/>
        </w:trPr>
        <w:tc>
          <w:tcPr>
            <w:tcW w:w="0" w:type="auto"/>
            <w:noWrap w:val="0"/>
            <w:vAlign w:val="center"/>
          </w:tcPr>
          <w:p w14:paraId="7B384C31">
            <w:r>
              <w:rPr>
                <w:rStyle w:val="10"/>
                <w:rFonts w:hint="eastAsia"/>
              </w:rPr>
              <w:t>产品性能:</w:t>
            </w:r>
            <w:r>
              <w:rPr>
                <w:rFonts w:hint="eastAsia"/>
              </w:rPr>
              <w:br w:type="textWrapping"/>
            </w:r>
            <w:r>
              <w:rPr>
                <w:rStyle w:val="11"/>
                <w:rFonts w:hint="eastAsia"/>
              </w:rPr>
              <w:t>本品为林用除草剂，主要抑制植物的光合作用，使代谢紊乱，导致死亡。植物根系和叶面都能吸收环嗪酮，主要通过木质部运输。进入土壤后能被土壤微生物分解。主要用于开辟森林防火道。</w:t>
            </w:r>
          </w:p>
        </w:tc>
      </w:tr>
      <w:tr w14:paraId="687CDB7F">
        <w:tblPrEx>
          <w:tblCellMar>
            <w:top w:w="0" w:type="dxa"/>
            <w:left w:w="0" w:type="dxa"/>
            <w:bottom w:w="0" w:type="dxa"/>
            <w:right w:w="0" w:type="dxa"/>
          </w:tblCellMar>
        </w:tblPrEx>
        <w:trPr>
          <w:wBefore w:w="0" w:type="auto"/>
          <w:tblCellSpacing w:w="0" w:type="dxa"/>
        </w:trPr>
        <w:tc>
          <w:tcPr>
            <w:tcW w:w="0" w:type="auto"/>
            <w:noWrap w:val="0"/>
            <w:vAlign w:val="center"/>
          </w:tcPr>
          <w:p w14:paraId="62A5C667">
            <w:r>
              <w:rPr>
                <w:rStyle w:val="10"/>
                <w:rFonts w:hint="eastAsia"/>
              </w:rPr>
              <w:t>注意事项：</w:t>
            </w:r>
            <w:r>
              <w:rPr>
                <w:rFonts w:hint="eastAsia"/>
              </w:rPr>
              <w:br w:type="textWrapping"/>
            </w:r>
            <w:r>
              <w:rPr>
                <w:rStyle w:val="11"/>
                <w:rFonts w:hint="eastAsia"/>
              </w:rPr>
              <w:t>1. 本品对眼睛有刺激性，使用时避免接触眼睛，开启包装物及施药时施药人员穿戴长衣、长裤、帽子、口罩、手套等防护措施。避免与口眼及皮肤接触；喷药时不要吸烟或饮食，工作完毕后，应清洗手及裸露的皮肤。2. 本品药效的发挥与降雨有密切关系，最好在雨季前用药。如果施药后15天不降雨，应想法在施药处浇水，否则药效较差。3. 本品忌在暴雨前使用，导致药剂被雨水冲走。4. 远离水产养殖区、河塘等水体施药；禁止在河塘等水体中清洗施药器具； 地下水、饮用水水源地禁用。5. 孕妇及哺乳期妇女禁止接触本品。6. 用过的容器应妥善处理，不可做他用，也不可随意丢弃。</w:t>
            </w:r>
          </w:p>
        </w:tc>
      </w:tr>
      <w:tr w14:paraId="30189A5E">
        <w:tblPrEx>
          <w:tblCellMar>
            <w:top w:w="0" w:type="dxa"/>
            <w:left w:w="0" w:type="dxa"/>
            <w:bottom w:w="0" w:type="dxa"/>
            <w:right w:w="0" w:type="dxa"/>
          </w:tblCellMar>
        </w:tblPrEx>
        <w:trPr>
          <w:wBefore w:w="0" w:type="auto"/>
          <w:tblCellSpacing w:w="0" w:type="dxa"/>
        </w:trPr>
        <w:tc>
          <w:tcPr>
            <w:tcW w:w="0" w:type="auto"/>
            <w:noWrap w:val="0"/>
            <w:vAlign w:val="center"/>
          </w:tcPr>
          <w:p w14:paraId="7C415BBB">
            <w:r>
              <w:rPr>
                <w:rStyle w:val="10"/>
                <w:rFonts w:hint="eastAsia"/>
              </w:rPr>
              <w:t>中毒急救措施：</w:t>
            </w:r>
            <w:r>
              <w:rPr>
                <w:rFonts w:hint="eastAsia"/>
              </w:rPr>
              <w:br w:type="textWrapping"/>
            </w:r>
            <w:r>
              <w:rPr>
                <w:rStyle w:val="11"/>
                <w:rFonts w:hint="eastAsia"/>
              </w:rPr>
              <w:t>1. 吸入后：提供新鲜空气；如有症状求助医生。皮肤接触后：立即用水和肥皂清洗，并彻冲洗干净。眼睛接触后：使眼睛打开流水冲洗几分钟，如有持续的症状，求助医生。2. 如误服应立即催吐。呕吐停止后服用活性炭，如果还没有腹泻，可在炭泥中加入山梨醇。失水和电解质严重紊乱时需要补充口服液或静脉液，对症治疗无解毒剂。</w:t>
            </w:r>
          </w:p>
        </w:tc>
      </w:tr>
      <w:tr w14:paraId="384C5F77">
        <w:tblPrEx>
          <w:tblCellMar>
            <w:top w:w="0" w:type="dxa"/>
            <w:left w:w="0" w:type="dxa"/>
            <w:bottom w:w="0" w:type="dxa"/>
            <w:right w:w="0" w:type="dxa"/>
          </w:tblCellMar>
        </w:tblPrEx>
        <w:trPr>
          <w:wBefore w:w="0" w:type="auto"/>
          <w:tblCellSpacing w:w="0" w:type="dxa"/>
        </w:trPr>
        <w:tc>
          <w:tcPr>
            <w:tcW w:w="0" w:type="auto"/>
            <w:noWrap w:val="0"/>
            <w:vAlign w:val="center"/>
          </w:tcPr>
          <w:p w14:paraId="30A7CAE0">
            <w:r>
              <w:rPr>
                <w:rStyle w:val="10"/>
                <w:rFonts w:hint="eastAsia"/>
              </w:rPr>
              <w:t>储存和运输方法：</w:t>
            </w:r>
            <w:r>
              <w:rPr>
                <w:rFonts w:hint="eastAsia"/>
              </w:rPr>
              <w:br w:type="textWrapping"/>
            </w:r>
            <w:r>
              <w:rPr>
                <w:rStyle w:val="11"/>
                <w:rFonts w:hint="eastAsia"/>
              </w:rPr>
              <w:t>1. 包装件应贮存在通风、干燥的仓库中。 2. 贮运时，严防潮湿和日晒，不能与食品、饮料、粮食、饲料等混合储运，置于儿童及无关人员接触不到的地方，并加锁保存。搬运及运输过程中，轻拿轻放，运输过程中严禁雨淋，避免烈日直晒。</w:t>
            </w:r>
          </w:p>
        </w:tc>
      </w:tr>
      <w:tr w14:paraId="3F4DF9C6">
        <w:tblPrEx>
          <w:tblCellMar>
            <w:top w:w="0" w:type="dxa"/>
            <w:left w:w="0" w:type="dxa"/>
            <w:bottom w:w="0" w:type="dxa"/>
            <w:right w:w="0" w:type="dxa"/>
          </w:tblCellMar>
        </w:tblPrEx>
        <w:trPr>
          <w:wBefore w:w="0" w:type="auto"/>
          <w:tblCellSpacing w:w="0" w:type="dxa"/>
        </w:trPr>
        <w:tc>
          <w:tcPr>
            <w:tcW w:w="0" w:type="auto"/>
            <w:noWrap w:val="0"/>
            <w:vAlign w:val="center"/>
          </w:tcPr>
          <w:p w14:paraId="271B0BDB">
            <w:r>
              <w:rPr>
                <w:rStyle w:val="10"/>
                <w:rFonts w:hint="eastAsia"/>
              </w:rPr>
              <w:t>质量保证期：</w:t>
            </w:r>
            <w:r>
              <w:rPr>
                <w:rStyle w:val="11"/>
                <w:rFonts w:hint="eastAsia"/>
              </w:rPr>
              <w:t>2年</w:t>
            </w:r>
          </w:p>
        </w:tc>
      </w:tr>
      <w:tr w14:paraId="0BC43F5E">
        <w:tblPrEx>
          <w:tblCellMar>
            <w:top w:w="0" w:type="dxa"/>
            <w:left w:w="0" w:type="dxa"/>
            <w:bottom w:w="0" w:type="dxa"/>
            <w:right w:w="0" w:type="dxa"/>
          </w:tblCellMar>
        </w:tblPrEx>
        <w:trPr>
          <w:wBefore w:w="0" w:type="auto"/>
          <w:tblCellSpacing w:w="0" w:type="dxa"/>
        </w:trPr>
        <w:tc>
          <w:tcPr>
            <w:tcW w:w="0" w:type="auto"/>
            <w:noWrap w:val="0"/>
            <w:vAlign w:val="center"/>
          </w:tcPr>
          <w:p w14:paraId="22D0D8DD">
            <w:r>
              <w:rPr>
                <w:rStyle w:val="10"/>
                <w:rFonts w:hint="eastAsia"/>
              </w:rPr>
              <w:t>备注：</w:t>
            </w:r>
          </w:p>
        </w:tc>
      </w:tr>
    </w:tbl>
    <w:p w14:paraId="76FD1E6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7FC21A">
        <w:tblPrEx>
          <w:tblCellMar>
            <w:top w:w="0" w:type="dxa"/>
            <w:left w:w="0" w:type="dxa"/>
            <w:bottom w:w="0" w:type="dxa"/>
            <w:right w:w="0" w:type="dxa"/>
          </w:tblCellMar>
        </w:tblPrEx>
        <w:trPr>
          <w:wBefore w:w="0" w:type="auto"/>
          <w:tblCellSpacing w:w="0" w:type="dxa"/>
        </w:trPr>
        <w:tc>
          <w:tcPr>
            <w:tcW w:w="0" w:type="auto"/>
            <w:noWrap w:val="0"/>
            <w:vAlign w:val="center"/>
          </w:tcPr>
          <w:p w14:paraId="17F341BD">
            <w:r>
              <w:rPr>
                <w:rStyle w:val="10"/>
                <w:rFonts w:hint="eastAsia"/>
              </w:rPr>
              <w:t>登记证号：</w:t>
            </w:r>
            <w:r>
              <w:rPr>
                <w:rFonts w:hint="eastAsia"/>
              </w:rPr>
              <w:t>PD20212531</w:t>
            </w:r>
          </w:p>
        </w:tc>
      </w:tr>
      <w:tr w14:paraId="16F18E5B">
        <w:tblPrEx>
          <w:tblCellMar>
            <w:top w:w="0" w:type="dxa"/>
            <w:left w:w="0" w:type="dxa"/>
            <w:bottom w:w="0" w:type="dxa"/>
            <w:right w:w="0" w:type="dxa"/>
          </w:tblCellMar>
        </w:tblPrEx>
        <w:trPr>
          <w:wBefore w:w="0" w:type="auto"/>
          <w:tblCellSpacing w:w="0" w:type="dxa"/>
        </w:trPr>
        <w:tc>
          <w:tcPr>
            <w:tcW w:w="0" w:type="auto"/>
            <w:noWrap w:val="0"/>
            <w:vAlign w:val="center"/>
          </w:tcPr>
          <w:p w14:paraId="0C18AAC5">
            <w:r>
              <w:rPr>
                <w:rStyle w:val="10"/>
                <w:rFonts w:hint="eastAsia"/>
              </w:rPr>
              <w:t>登记证持有人：</w:t>
            </w:r>
            <w:r>
              <w:rPr>
                <w:rFonts w:hint="eastAsia"/>
              </w:rPr>
              <w:t>江苏东宝农化股份有限公司</w:t>
            </w:r>
          </w:p>
        </w:tc>
      </w:tr>
      <w:tr w14:paraId="2AD6F078">
        <w:tblPrEx>
          <w:tblCellMar>
            <w:top w:w="0" w:type="dxa"/>
            <w:left w:w="0" w:type="dxa"/>
            <w:bottom w:w="0" w:type="dxa"/>
            <w:right w:w="0" w:type="dxa"/>
          </w:tblCellMar>
        </w:tblPrEx>
        <w:trPr>
          <w:wBefore w:w="0" w:type="auto"/>
          <w:tblCellSpacing w:w="0" w:type="dxa"/>
        </w:trPr>
        <w:tc>
          <w:tcPr>
            <w:tcW w:w="0" w:type="auto"/>
            <w:noWrap w:val="0"/>
            <w:vAlign w:val="center"/>
          </w:tcPr>
          <w:p w14:paraId="2EA8779A">
            <w:r>
              <w:rPr>
                <w:rStyle w:val="10"/>
                <w:rFonts w:hint="eastAsia"/>
              </w:rPr>
              <w:t>农药名称：</w:t>
            </w:r>
            <w:r>
              <w:rPr>
                <w:rFonts w:hint="eastAsia"/>
              </w:rPr>
              <w:t>2甲4氯异辛酯</w:t>
            </w:r>
          </w:p>
        </w:tc>
      </w:tr>
      <w:tr w14:paraId="70DCA166">
        <w:tblPrEx>
          <w:tblCellMar>
            <w:top w:w="0" w:type="dxa"/>
            <w:left w:w="0" w:type="dxa"/>
            <w:bottom w:w="0" w:type="dxa"/>
            <w:right w:w="0" w:type="dxa"/>
          </w:tblCellMar>
        </w:tblPrEx>
        <w:trPr>
          <w:wBefore w:w="0" w:type="auto"/>
          <w:tblCellSpacing w:w="0" w:type="dxa"/>
        </w:trPr>
        <w:tc>
          <w:tcPr>
            <w:tcW w:w="0" w:type="auto"/>
            <w:noWrap w:val="0"/>
            <w:vAlign w:val="center"/>
          </w:tcPr>
          <w:p w14:paraId="3B12494B">
            <w:r>
              <w:rPr>
                <w:rStyle w:val="10"/>
                <w:rFonts w:hint="eastAsia"/>
              </w:rPr>
              <w:t>剂型：</w:t>
            </w:r>
            <w:r>
              <w:rPr>
                <w:rFonts w:hint="eastAsia"/>
              </w:rPr>
              <w:t>乳油</w:t>
            </w:r>
          </w:p>
        </w:tc>
      </w:tr>
      <w:tr w14:paraId="0714C87E">
        <w:tblPrEx>
          <w:tblCellMar>
            <w:top w:w="0" w:type="dxa"/>
            <w:left w:w="0" w:type="dxa"/>
            <w:bottom w:w="0" w:type="dxa"/>
            <w:right w:w="0" w:type="dxa"/>
          </w:tblCellMar>
        </w:tblPrEx>
        <w:trPr>
          <w:wBefore w:w="0" w:type="auto"/>
          <w:tblCellSpacing w:w="0" w:type="dxa"/>
        </w:trPr>
        <w:tc>
          <w:tcPr>
            <w:tcW w:w="0" w:type="auto"/>
            <w:noWrap w:val="0"/>
            <w:vAlign w:val="center"/>
          </w:tcPr>
          <w:p w14:paraId="118A5650">
            <w:r>
              <w:rPr>
                <w:rStyle w:val="10"/>
                <w:rFonts w:hint="eastAsia"/>
              </w:rPr>
              <w:t>毒性及其标识：</w:t>
            </w:r>
            <w:r>
              <w:rPr>
                <w:rFonts w:hint="eastAsia"/>
              </w:rPr>
              <w:t xml:space="preserve"> </w:t>
            </w:r>
            <w:r>
              <w:rPr>
                <w:lang/>
              </w:rPr>
              <w:drawing>
                <wp:inline distT="0" distB="0" distL="114300" distR="114300">
                  <wp:extent cx="476250" cy="323850"/>
                  <wp:effectExtent l="0" t="0" r="0" b="0"/>
                  <wp:docPr id="116" name="图片 1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DBA3E3">
        <w:tblPrEx>
          <w:tblCellMar>
            <w:top w:w="0" w:type="dxa"/>
            <w:left w:w="0" w:type="dxa"/>
            <w:bottom w:w="0" w:type="dxa"/>
            <w:right w:w="0" w:type="dxa"/>
          </w:tblCellMar>
        </w:tblPrEx>
        <w:trPr>
          <w:wBefore w:w="0" w:type="auto"/>
          <w:tblCellSpacing w:w="0" w:type="dxa"/>
        </w:trPr>
        <w:tc>
          <w:tcPr>
            <w:tcW w:w="0" w:type="auto"/>
            <w:noWrap w:val="0"/>
            <w:vAlign w:val="center"/>
          </w:tcPr>
          <w:p w14:paraId="765B803B">
            <w:r>
              <w:rPr>
                <w:rStyle w:val="10"/>
                <w:rFonts w:hint="eastAsia"/>
              </w:rPr>
              <w:t>总有效成分含量：</w:t>
            </w:r>
            <w:r>
              <w:rPr>
                <w:rFonts w:hint="eastAsia"/>
              </w:rPr>
              <w:t>85%</w:t>
            </w:r>
          </w:p>
        </w:tc>
      </w:tr>
      <w:tr w14:paraId="074BB250">
        <w:tblPrEx>
          <w:tblCellMar>
            <w:top w:w="0" w:type="dxa"/>
            <w:left w:w="0" w:type="dxa"/>
            <w:bottom w:w="0" w:type="dxa"/>
            <w:right w:w="0" w:type="dxa"/>
          </w:tblCellMar>
        </w:tblPrEx>
        <w:trPr>
          <w:wBefore w:w="0" w:type="auto"/>
          <w:tblCellSpacing w:w="0" w:type="dxa"/>
        </w:trPr>
        <w:tc>
          <w:tcPr>
            <w:tcW w:w="0" w:type="auto"/>
            <w:noWrap w:val="0"/>
            <w:vAlign w:val="center"/>
          </w:tcPr>
          <w:p w14:paraId="53A52436">
            <w:r>
              <w:rPr>
                <w:rFonts w:hint="eastAsia"/>
              </w:rPr>
              <w:t xml:space="preserve">有效成分及其含量： </w:t>
            </w:r>
          </w:p>
          <w:p w14:paraId="0D0993F8">
            <w:r>
              <w:rPr>
                <w:rFonts w:hint="eastAsia"/>
              </w:rPr>
              <w:t xml:space="preserve">    2甲4氯异辛酯85%    </w:t>
            </w:r>
          </w:p>
        </w:tc>
      </w:tr>
      <w:tr w14:paraId="62C64A73">
        <w:tblPrEx>
          <w:tblCellMar>
            <w:top w:w="0" w:type="dxa"/>
            <w:left w:w="0" w:type="dxa"/>
            <w:bottom w:w="0" w:type="dxa"/>
            <w:right w:w="0" w:type="dxa"/>
          </w:tblCellMar>
        </w:tblPrEx>
        <w:trPr>
          <w:wBefore w:w="0" w:type="auto"/>
          <w:tblCellSpacing w:w="0" w:type="dxa"/>
        </w:trPr>
        <w:tc>
          <w:tcPr>
            <w:tcW w:w="0" w:type="auto"/>
            <w:noWrap w:val="0"/>
            <w:vAlign w:val="center"/>
          </w:tcPr>
          <w:p w14:paraId="41C251F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2201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1E06B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BE2F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90EB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1DCFF6">
                  <w:r>
                    <w:rPr>
                      <w:rStyle w:val="11"/>
                      <w:rFonts w:hint="eastAsia"/>
                    </w:rPr>
                    <w:t>施用方式</w:t>
                  </w:r>
                </w:p>
              </w:tc>
            </w:tr>
            <w:tr w14:paraId="6BCB5C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9FDD67">
                  <w:r>
                    <w:rPr>
                      <w:rStyle w:val="11"/>
                      <w:rFonts w:hint="eastAsia"/>
                    </w:rPr>
                    <w:t>春小麦田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7A70A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881F73">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0964FF">
                  <w:r>
                    <w:rPr>
                      <w:rStyle w:val="11"/>
                      <w:rFonts w:hint="eastAsia"/>
                    </w:rPr>
                    <w:t>茎叶喷雾</w:t>
                  </w:r>
                </w:p>
              </w:tc>
            </w:tr>
          </w:tbl>
          <w:p w14:paraId="68331024">
            <w:pPr>
              <w:rPr>
                <w:rFonts w:ascii="Times New Roman" w:hAnsi="Times New Roman" w:cs="Times New Roman"/>
                <w:sz w:val="20"/>
                <w:szCs w:val="20"/>
              </w:rPr>
            </w:pPr>
          </w:p>
        </w:tc>
      </w:tr>
      <w:tr w14:paraId="18C307FE">
        <w:tblPrEx>
          <w:tblCellMar>
            <w:top w:w="0" w:type="dxa"/>
            <w:left w:w="0" w:type="dxa"/>
            <w:bottom w:w="0" w:type="dxa"/>
            <w:right w:w="0" w:type="dxa"/>
          </w:tblCellMar>
        </w:tblPrEx>
        <w:trPr>
          <w:wBefore w:w="0" w:type="auto"/>
          <w:tblCellSpacing w:w="0" w:type="dxa"/>
        </w:trPr>
        <w:tc>
          <w:tcPr>
            <w:tcW w:w="0" w:type="auto"/>
            <w:noWrap w:val="0"/>
            <w:vAlign w:val="center"/>
          </w:tcPr>
          <w:p w14:paraId="71927C6C">
            <w:r>
              <w:rPr>
                <w:rStyle w:val="10"/>
                <w:rFonts w:hint="eastAsia"/>
              </w:rPr>
              <w:t>使用技术要求:</w:t>
            </w:r>
            <w:r>
              <w:rPr>
                <w:rFonts w:hint="eastAsia"/>
              </w:rPr>
              <w:br w:type="textWrapping"/>
            </w:r>
            <w:r>
              <w:rPr>
                <w:rStyle w:val="11"/>
                <w:rFonts w:hint="eastAsia"/>
              </w:rPr>
              <w:t>1. 本品应于春小麦分蘖期至拔节前，杂草2-4叶期时施药，茎叶喷雾施药。 2. 大风天或预计1小时内有雨，请勿施药。 3. 每季作物最多使用次数为1次。</w:t>
            </w:r>
          </w:p>
        </w:tc>
      </w:tr>
      <w:tr w14:paraId="71DDA261">
        <w:tblPrEx>
          <w:tblCellMar>
            <w:top w:w="0" w:type="dxa"/>
            <w:left w:w="0" w:type="dxa"/>
            <w:bottom w:w="0" w:type="dxa"/>
            <w:right w:w="0" w:type="dxa"/>
          </w:tblCellMar>
        </w:tblPrEx>
        <w:trPr>
          <w:wBefore w:w="0" w:type="auto"/>
          <w:tblCellSpacing w:w="0" w:type="dxa"/>
        </w:trPr>
        <w:tc>
          <w:tcPr>
            <w:tcW w:w="0" w:type="auto"/>
            <w:noWrap w:val="0"/>
            <w:vAlign w:val="center"/>
          </w:tcPr>
          <w:p w14:paraId="4BA083F0">
            <w:r>
              <w:rPr>
                <w:rStyle w:val="10"/>
                <w:rFonts w:hint="eastAsia"/>
              </w:rPr>
              <w:t>产品性能:</w:t>
            </w:r>
            <w:r>
              <w:rPr>
                <w:rFonts w:hint="eastAsia"/>
              </w:rPr>
              <w:br w:type="textWrapping"/>
            </w:r>
            <w:r>
              <w:rPr>
                <w:rStyle w:val="11"/>
                <w:rFonts w:hint="eastAsia"/>
              </w:rPr>
              <w:t>本品是苯氧羧酸类选择性除草剂，具有较强的内吸传导性，能穿过角质层和细胞膜，迅速传导至杂草各个部位，最后致全株死亡。本品可用于防除麦田荠菜、猪殃殃、播娘蒿、野油菜、泽漆、繁缕、萹蓄、藜、田旋花、小蓟等多种阔叶杂草。</w:t>
            </w:r>
          </w:p>
        </w:tc>
      </w:tr>
      <w:tr w14:paraId="3F0FA95F">
        <w:tblPrEx>
          <w:tblCellMar>
            <w:top w:w="0" w:type="dxa"/>
            <w:left w:w="0" w:type="dxa"/>
            <w:bottom w:w="0" w:type="dxa"/>
            <w:right w:w="0" w:type="dxa"/>
          </w:tblCellMar>
        </w:tblPrEx>
        <w:trPr>
          <w:wBefore w:w="0" w:type="auto"/>
          <w:tblCellSpacing w:w="0" w:type="dxa"/>
        </w:trPr>
        <w:tc>
          <w:tcPr>
            <w:tcW w:w="0" w:type="auto"/>
            <w:noWrap w:val="0"/>
            <w:vAlign w:val="center"/>
          </w:tcPr>
          <w:p w14:paraId="37176DE8">
            <w:r>
              <w:rPr>
                <w:rStyle w:val="10"/>
                <w:rFonts w:hint="eastAsia"/>
              </w:rPr>
              <w:t>注意事项：</w:t>
            </w:r>
            <w:r>
              <w:rPr>
                <w:rFonts w:hint="eastAsia"/>
              </w:rPr>
              <w:br w:type="textWrapping"/>
            </w:r>
            <w:r>
              <w:rPr>
                <w:rStyle w:val="11"/>
                <w:rFonts w:hint="eastAsia"/>
              </w:rPr>
              <w:t>1. 本品加热可以导致爆炸，跟可燃物接触能导致火灾。与皮肤、眼睛接触有刺激。2.请按照农药安全使用准则使用本品。本品对眼睛有刺激性，使用时避免接触眼睛，穿戴长衣、长裤、帽子、口罩、手套等防护措施。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w:t>
            </w:r>
          </w:p>
        </w:tc>
      </w:tr>
      <w:tr w14:paraId="2913CE47">
        <w:tblPrEx>
          <w:tblCellMar>
            <w:top w:w="0" w:type="dxa"/>
            <w:left w:w="0" w:type="dxa"/>
            <w:bottom w:w="0" w:type="dxa"/>
            <w:right w:w="0" w:type="dxa"/>
          </w:tblCellMar>
        </w:tblPrEx>
        <w:trPr>
          <w:wBefore w:w="0" w:type="auto"/>
          <w:tblCellSpacing w:w="0" w:type="dxa"/>
        </w:trPr>
        <w:tc>
          <w:tcPr>
            <w:tcW w:w="0" w:type="auto"/>
            <w:noWrap w:val="0"/>
            <w:vAlign w:val="center"/>
          </w:tcPr>
          <w:p w14:paraId="74C34216">
            <w:r>
              <w:rPr>
                <w:rStyle w:val="10"/>
                <w:rFonts w:hint="eastAsia"/>
              </w:rPr>
              <w:t>中毒急救措施：</w:t>
            </w:r>
            <w:r>
              <w:rPr>
                <w:rFonts w:hint="eastAsia"/>
              </w:rPr>
              <w:br w:type="textWrapping"/>
            </w:r>
            <w:r>
              <w:rPr>
                <w:rStyle w:val="11"/>
                <w:rFonts w:hint="eastAsia"/>
              </w:rPr>
              <w:t>按标签推荐方法使用，一旦发生中毒，请对症治疗。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6A13D268">
        <w:tblPrEx>
          <w:tblCellMar>
            <w:top w:w="0" w:type="dxa"/>
            <w:left w:w="0" w:type="dxa"/>
            <w:bottom w:w="0" w:type="dxa"/>
            <w:right w:w="0" w:type="dxa"/>
          </w:tblCellMar>
        </w:tblPrEx>
        <w:trPr>
          <w:wBefore w:w="0" w:type="auto"/>
          <w:tblCellSpacing w:w="0" w:type="dxa"/>
        </w:trPr>
        <w:tc>
          <w:tcPr>
            <w:tcW w:w="0" w:type="auto"/>
            <w:noWrap w:val="0"/>
            <w:vAlign w:val="center"/>
          </w:tcPr>
          <w:p w14:paraId="31B45D26">
            <w:r>
              <w:rPr>
                <w:rStyle w:val="10"/>
                <w:rFonts w:hint="eastAsia"/>
              </w:rPr>
              <w:t>储存和运输方法：</w:t>
            </w:r>
            <w:r>
              <w:rPr>
                <w:rFonts w:hint="eastAsia"/>
              </w:rPr>
              <w:br w:type="textWrapping"/>
            </w:r>
            <w:r>
              <w:rPr>
                <w:rStyle w:val="11"/>
                <w:rFonts w:hint="eastAsia"/>
              </w:rPr>
              <w:t>1. 本品应贮存于通风、阴凉、干燥处。远离火源或热源。置于儿童、无关人员触及不到之处，并加锁。2、运输时，严防雨淋、日晒，不能与食品、饮料、粮食、饲料等物品同贮同运，避免与皮肤接触，防止由口鼻吸入。</w:t>
            </w:r>
          </w:p>
        </w:tc>
      </w:tr>
      <w:tr w14:paraId="3B00C34F">
        <w:tblPrEx>
          <w:tblCellMar>
            <w:top w:w="0" w:type="dxa"/>
            <w:left w:w="0" w:type="dxa"/>
            <w:bottom w:w="0" w:type="dxa"/>
            <w:right w:w="0" w:type="dxa"/>
          </w:tblCellMar>
        </w:tblPrEx>
        <w:trPr>
          <w:wBefore w:w="0" w:type="auto"/>
          <w:tblCellSpacing w:w="0" w:type="dxa"/>
        </w:trPr>
        <w:tc>
          <w:tcPr>
            <w:tcW w:w="0" w:type="auto"/>
            <w:noWrap w:val="0"/>
            <w:vAlign w:val="center"/>
          </w:tcPr>
          <w:p w14:paraId="61A49A6D">
            <w:r>
              <w:rPr>
                <w:rStyle w:val="10"/>
                <w:rFonts w:hint="eastAsia"/>
              </w:rPr>
              <w:t>质量保证期：</w:t>
            </w:r>
            <w:r>
              <w:rPr>
                <w:rStyle w:val="11"/>
                <w:rFonts w:hint="eastAsia"/>
              </w:rPr>
              <w:t>2年</w:t>
            </w:r>
          </w:p>
        </w:tc>
      </w:tr>
      <w:tr w14:paraId="1C87BDE5">
        <w:tblPrEx>
          <w:tblCellMar>
            <w:top w:w="0" w:type="dxa"/>
            <w:left w:w="0" w:type="dxa"/>
            <w:bottom w:w="0" w:type="dxa"/>
            <w:right w:w="0" w:type="dxa"/>
          </w:tblCellMar>
        </w:tblPrEx>
        <w:trPr>
          <w:wBefore w:w="0" w:type="auto"/>
          <w:tblCellSpacing w:w="0" w:type="dxa"/>
        </w:trPr>
        <w:tc>
          <w:tcPr>
            <w:tcW w:w="0" w:type="auto"/>
            <w:noWrap w:val="0"/>
            <w:vAlign w:val="center"/>
          </w:tcPr>
          <w:p w14:paraId="6AD30E24">
            <w:r>
              <w:rPr>
                <w:rStyle w:val="10"/>
                <w:rFonts w:hint="eastAsia"/>
              </w:rPr>
              <w:t>备注：</w:t>
            </w:r>
          </w:p>
        </w:tc>
      </w:tr>
    </w:tbl>
    <w:p w14:paraId="6C03FD4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20F077">
        <w:tblPrEx>
          <w:tblCellMar>
            <w:top w:w="0" w:type="dxa"/>
            <w:left w:w="0" w:type="dxa"/>
            <w:bottom w:w="0" w:type="dxa"/>
            <w:right w:w="0" w:type="dxa"/>
          </w:tblCellMar>
        </w:tblPrEx>
        <w:trPr>
          <w:wBefore w:w="0" w:type="auto"/>
          <w:tblCellSpacing w:w="0" w:type="dxa"/>
        </w:trPr>
        <w:tc>
          <w:tcPr>
            <w:tcW w:w="0" w:type="auto"/>
            <w:noWrap w:val="0"/>
            <w:vAlign w:val="center"/>
          </w:tcPr>
          <w:p w14:paraId="0593CC57">
            <w:r>
              <w:rPr>
                <w:rStyle w:val="10"/>
                <w:rFonts w:hint="eastAsia"/>
              </w:rPr>
              <w:t>登记证号：</w:t>
            </w:r>
            <w:r>
              <w:rPr>
                <w:rFonts w:hint="eastAsia"/>
              </w:rPr>
              <w:t>PD20212713</w:t>
            </w:r>
          </w:p>
        </w:tc>
      </w:tr>
      <w:tr w14:paraId="35F6A474">
        <w:tblPrEx>
          <w:tblCellMar>
            <w:top w:w="0" w:type="dxa"/>
            <w:left w:w="0" w:type="dxa"/>
            <w:bottom w:w="0" w:type="dxa"/>
            <w:right w:w="0" w:type="dxa"/>
          </w:tblCellMar>
        </w:tblPrEx>
        <w:trPr>
          <w:wBefore w:w="0" w:type="auto"/>
          <w:tblCellSpacing w:w="0" w:type="dxa"/>
        </w:trPr>
        <w:tc>
          <w:tcPr>
            <w:tcW w:w="0" w:type="auto"/>
            <w:noWrap w:val="0"/>
            <w:vAlign w:val="center"/>
          </w:tcPr>
          <w:p w14:paraId="5BF9F1B4">
            <w:r>
              <w:rPr>
                <w:rStyle w:val="10"/>
                <w:rFonts w:hint="eastAsia"/>
              </w:rPr>
              <w:t>登记证持有人：</w:t>
            </w:r>
            <w:r>
              <w:rPr>
                <w:rFonts w:hint="eastAsia"/>
              </w:rPr>
              <w:t>河南常见生物科技有限公司</w:t>
            </w:r>
          </w:p>
        </w:tc>
      </w:tr>
      <w:tr w14:paraId="774ACE0B">
        <w:tblPrEx>
          <w:tblCellMar>
            <w:top w:w="0" w:type="dxa"/>
            <w:left w:w="0" w:type="dxa"/>
            <w:bottom w:w="0" w:type="dxa"/>
            <w:right w:w="0" w:type="dxa"/>
          </w:tblCellMar>
        </w:tblPrEx>
        <w:trPr>
          <w:wBefore w:w="0" w:type="auto"/>
          <w:tblCellSpacing w:w="0" w:type="dxa"/>
        </w:trPr>
        <w:tc>
          <w:tcPr>
            <w:tcW w:w="0" w:type="auto"/>
            <w:noWrap w:val="0"/>
            <w:vAlign w:val="center"/>
          </w:tcPr>
          <w:p w14:paraId="4B9A4448">
            <w:r>
              <w:rPr>
                <w:rStyle w:val="10"/>
                <w:rFonts w:hint="eastAsia"/>
              </w:rPr>
              <w:t>农药名称：</w:t>
            </w:r>
            <w:r>
              <w:rPr>
                <w:rFonts w:hint="eastAsia"/>
              </w:rPr>
              <w:t>咯菌腈·精甲霜·噻呋</w:t>
            </w:r>
          </w:p>
        </w:tc>
      </w:tr>
      <w:tr w14:paraId="2C39B269">
        <w:tblPrEx>
          <w:tblCellMar>
            <w:top w:w="0" w:type="dxa"/>
            <w:left w:w="0" w:type="dxa"/>
            <w:bottom w:w="0" w:type="dxa"/>
            <w:right w:w="0" w:type="dxa"/>
          </w:tblCellMar>
        </w:tblPrEx>
        <w:trPr>
          <w:wBefore w:w="0" w:type="auto"/>
          <w:tblCellSpacing w:w="0" w:type="dxa"/>
        </w:trPr>
        <w:tc>
          <w:tcPr>
            <w:tcW w:w="0" w:type="auto"/>
            <w:noWrap w:val="0"/>
            <w:vAlign w:val="center"/>
          </w:tcPr>
          <w:p w14:paraId="15E6915A">
            <w:r>
              <w:rPr>
                <w:rStyle w:val="10"/>
                <w:rFonts w:hint="eastAsia"/>
              </w:rPr>
              <w:t>剂型：</w:t>
            </w:r>
            <w:r>
              <w:rPr>
                <w:rFonts w:hint="eastAsia"/>
              </w:rPr>
              <w:t>种子处理悬浮剂</w:t>
            </w:r>
          </w:p>
        </w:tc>
      </w:tr>
      <w:tr w14:paraId="352D9DAA">
        <w:tblPrEx>
          <w:tblCellMar>
            <w:top w:w="0" w:type="dxa"/>
            <w:left w:w="0" w:type="dxa"/>
            <w:bottom w:w="0" w:type="dxa"/>
            <w:right w:w="0" w:type="dxa"/>
          </w:tblCellMar>
        </w:tblPrEx>
        <w:trPr>
          <w:wBefore w:w="0" w:type="auto"/>
          <w:tblCellSpacing w:w="0" w:type="dxa"/>
        </w:trPr>
        <w:tc>
          <w:tcPr>
            <w:tcW w:w="0" w:type="auto"/>
            <w:noWrap w:val="0"/>
            <w:vAlign w:val="center"/>
          </w:tcPr>
          <w:p w14:paraId="7DA223AC">
            <w:r>
              <w:rPr>
                <w:rStyle w:val="10"/>
                <w:rFonts w:hint="eastAsia"/>
              </w:rPr>
              <w:t>毒性及其标识：</w:t>
            </w:r>
            <w:r>
              <w:rPr>
                <w:rFonts w:hint="eastAsia"/>
              </w:rPr>
              <w:t xml:space="preserve"> </w:t>
            </w:r>
            <w:r>
              <w:rPr>
                <w:lang/>
              </w:rPr>
              <w:drawing>
                <wp:inline distT="0" distB="0" distL="114300" distR="114300">
                  <wp:extent cx="476250" cy="323850"/>
                  <wp:effectExtent l="0" t="0" r="0" b="0"/>
                  <wp:docPr id="117" name="图片 1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C4E15F7">
        <w:tblPrEx>
          <w:tblCellMar>
            <w:top w:w="0" w:type="dxa"/>
            <w:left w:w="0" w:type="dxa"/>
            <w:bottom w:w="0" w:type="dxa"/>
            <w:right w:w="0" w:type="dxa"/>
          </w:tblCellMar>
        </w:tblPrEx>
        <w:trPr>
          <w:wBefore w:w="0" w:type="auto"/>
          <w:tblCellSpacing w:w="0" w:type="dxa"/>
        </w:trPr>
        <w:tc>
          <w:tcPr>
            <w:tcW w:w="0" w:type="auto"/>
            <w:noWrap w:val="0"/>
            <w:vAlign w:val="center"/>
          </w:tcPr>
          <w:p w14:paraId="6F5384A2">
            <w:r>
              <w:rPr>
                <w:rStyle w:val="10"/>
                <w:rFonts w:hint="eastAsia"/>
              </w:rPr>
              <w:t>总有效成分含量：</w:t>
            </w:r>
            <w:r>
              <w:rPr>
                <w:rFonts w:hint="eastAsia"/>
              </w:rPr>
              <w:t>15%</w:t>
            </w:r>
          </w:p>
        </w:tc>
      </w:tr>
      <w:tr w14:paraId="789FE350">
        <w:tblPrEx>
          <w:tblCellMar>
            <w:top w:w="0" w:type="dxa"/>
            <w:left w:w="0" w:type="dxa"/>
            <w:bottom w:w="0" w:type="dxa"/>
            <w:right w:w="0" w:type="dxa"/>
          </w:tblCellMar>
        </w:tblPrEx>
        <w:trPr>
          <w:wBefore w:w="0" w:type="auto"/>
          <w:tblCellSpacing w:w="0" w:type="dxa"/>
        </w:trPr>
        <w:tc>
          <w:tcPr>
            <w:tcW w:w="0" w:type="auto"/>
            <w:noWrap w:val="0"/>
            <w:vAlign w:val="center"/>
          </w:tcPr>
          <w:p w14:paraId="3524B20D">
            <w:r>
              <w:rPr>
                <w:rFonts w:hint="eastAsia"/>
              </w:rPr>
              <w:t xml:space="preserve">有效成分及其含量： </w:t>
            </w:r>
          </w:p>
          <w:p w14:paraId="51EFD0B5">
            <w:r>
              <w:rPr>
                <w:rFonts w:hint="eastAsia"/>
              </w:rPr>
              <w:t xml:space="preserve">    咯菌腈2.5%    精甲霜灵5%    噻呋酰胺7.5%    </w:t>
            </w:r>
          </w:p>
        </w:tc>
      </w:tr>
      <w:tr w14:paraId="15B7E94F">
        <w:tblPrEx>
          <w:tblCellMar>
            <w:top w:w="0" w:type="dxa"/>
            <w:left w:w="0" w:type="dxa"/>
            <w:bottom w:w="0" w:type="dxa"/>
            <w:right w:w="0" w:type="dxa"/>
          </w:tblCellMar>
        </w:tblPrEx>
        <w:trPr>
          <w:wBefore w:w="0" w:type="auto"/>
          <w:tblCellSpacing w:w="0" w:type="dxa"/>
        </w:trPr>
        <w:tc>
          <w:tcPr>
            <w:tcW w:w="0" w:type="auto"/>
            <w:noWrap w:val="0"/>
            <w:vAlign w:val="center"/>
          </w:tcPr>
          <w:p w14:paraId="075AAF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C19D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E6CC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C830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9B63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FA98A1">
                  <w:r>
                    <w:rPr>
                      <w:rStyle w:val="11"/>
                      <w:rFonts w:hint="eastAsia"/>
                    </w:rPr>
                    <w:t>施用方式</w:t>
                  </w:r>
                </w:p>
              </w:tc>
            </w:tr>
            <w:tr w14:paraId="795FE1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12C5D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096E7E">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C3CB48">
                  <w:r>
                    <w:rPr>
                      <w:rStyle w:val="11"/>
                      <w:rFonts w:hint="eastAsia"/>
                    </w:rPr>
                    <w:t>300-400毫升/100千克种子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F7A5BE">
                  <w:r>
                    <w:rPr>
                      <w:rStyle w:val="11"/>
                      <w:rFonts w:hint="eastAsia"/>
                    </w:rPr>
                    <w:t>种子包衣</w:t>
                  </w:r>
                </w:p>
              </w:tc>
            </w:tr>
            <w:tr w14:paraId="7B6AA5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47AAAC">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89071">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A53C78">
                  <w:r>
                    <w:rPr>
                      <w:rStyle w:val="11"/>
                      <w:rFonts w:hint="eastAsia"/>
                    </w:rPr>
                    <w:t>300-400毫升/100千克种子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D7942A">
                  <w:r>
                    <w:rPr>
                      <w:rStyle w:val="11"/>
                      <w:rFonts w:hint="eastAsia"/>
                    </w:rPr>
                    <w:t>种子包衣</w:t>
                  </w:r>
                </w:p>
              </w:tc>
            </w:tr>
          </w:tbl>
          <w:p w14:paraId="0E084564">
            <w:pPr>
              <w:rPr>
                <w:rFonts w:ascii="Times New Roman" w:hAnsi="Times New Roman" w:cs="Times New Roman"/>
                <w:sz w:val="20"/>
                <w:szCs w:val="20"/>
              </w:rPr>
            </w:pPr>
          </w:p>
        </w:tc>
      </w:tr>
      <w:tr w14:paraId="6DF8FC59">
        <w:tblPrEx>
          <w:tblCellMar>
            <w:top w:w="0" w:type="dxa"/>
            <w:left w:w="0" w:type="dxa"/>
            <w:bottom w:w="0" w:type="dxa"/>
            <w:right w:w="0" w:type="dxa"/>
          </w:tblCellMar>
        </w:tblPrEx>
        <w:trPr>
          <w:wBefore w:w="0" w:type="auto"/>
          <w:tblCellSpacing w:w="0" w:type="dxa"/>
        </w:trPr>
        <w:tc>
          <w:tcPr>
            <w:tcW w:w="0" w:type="auto"/>
            <w:noWrap w:val="0"/>
            <w:vAlign w:val="center"/>
          </w:tcPr>
          <w:p w14:paraId="192EB5FB">
            <w:r>
              <w:rPr>
                <w:rStyle w:val="10"/>
                <w:rFonts w:hint="eastAsia"/>
              </w:rPr>
              <w:t>使用技术要求:</w:t>
            </w:r>
            <w:r>
              <w:rPr>
                <w:rFonts w:hint="eastAsia"/>
              </w:rPr>
              <w:br w:type="textWrapping"/>
            </w:r>
            <w:r>
              <w:rPr>
                <w:rStyle w:val="11"/>
                <w:rFonts w:hint="eastAsia"/>
              </w:rPr>
              <w:t>1. 建议使用前摇匀。于花生播种前种子包衣处理，施药1次。种子包衣时按推荐用药量，加适量清水稀释，将药液与种子充分搅拌，直到药液均匀分布到种子表面，晾干。2. 用于包衣的种子应为经过精选的优质种子。3. 包衣后的种子应及时播种。</w:t>
            </w:r>
          </w:p>
        </w:tc>
      </w:tr>
      <w:tr w14:paraId="522F6B7D">
        <w:tblPrEx>
          <w:tblCellMar>
            <w:top w:w="0" w:type="dxa"/>
            <w:left w:w="0" w:type="dxa"/>
            <w:bottom w:w="0" w:type="dxa"/>
            <w:right w:w="0" w:type="dxa"/>
          </w:tblCellMar>
        </w:tblPrEx>
        <w:trPr>
          <w:wBefore w:w="0" w:type="auto"/>
          <w:tblCellSpacing w:w="0" w:type="dxa"/>
        </w:trPr>
        <w:tc>
          <w:tcPr>
            <w:tcW w:w="0" w:type="auto"/>
            <w:noWrap w:val="0"/>
            <w:vAlign w:val="center"/>
          </w:tcPr>
          <w:p w14:paraId="0B3C8615">
            <w:r>
              <w:rPr>
                <w:rStyle w:val="10"/>
                <w:rFonts w:hint="eastAsia"/>
              </w:rPr>
              <w:t>产品性能:</w:t>
            </w:r>
            <w:r>
              <w:rPr>
                <w:rFonts w:hint="eastAsia"/>
              </w:rPr>
              <w:br w:type="textWrapping"/>
            </w:r>
            <w:r>
              <w:rPr>
                <w:rStyle w:val="11"/>
                <w:rFonts w:hint="eastAsia"/>
              </w:rPr>
              <w:t>精甲霜灵是内吸性苯胺类化合物，有保护和治疗作用的内吸性杀菌剂，对防治花生根腐病有较好防效。咯菌腈是非内吸苯吡咯类化合物，作为种子处理剂用于防治作物的种传及土传病害。噻呋酰胺具有内吸传导性和长持效性，是琥珀酸酯脱氢酶抑制剂，对担子菌纲真菌引起白绢病等有效。本品采用精甲霜灵、咯菌腈、噻呋酰胺三元复配，用于种子包衣处理，杀菌谱广且持效期长，可有效防治花生根腐病和白绢病。</w:t>
            </w:r>
          </w:p>
        </w:tc>
      </w:tr>
      <w:tr w14:paraId="302FBDBA">
        <w:tblPrEx>
          <w:tblCellMar>
            <w:top w:w="0" w:type="dxa"/>
            <w:left w:w="0" w:type="dxa"/>
            <w:bottom w:w="0" w:type="dxa"/>
            <w:right w:w="0" w:type="dxa"/>
          </w:tblCellMar>
        </w:tblPrEx>
        <w:trPr>
          <w:wBefore w:w="0" w:type="auto"/>
          <w:tblCellSpacing w:w="0" w:type="dxa"/>
        </w:trPr>
        <w:tc>
          <w:tcPr>
            <w:tcW w:w="0" w:type="auto"/>
            <w:noWrap w:val="0"/>
            <w:vAlign w:val="center"/>
          </w:tcPr>
          <w:p w14:paraId="668C71D9">
            <w:r>
              <w:rPr>
                <w:rStyle w:val="10"/>
                <w:rFonts w:hint="eastAsia"/>
              </w:rPr>
              <w:t>注意事项：</w:t>
            </w:r>
            <w:r>
              <w:rPr>
                <w:rFonts w:hint="eastAsia"/>
              </w:rPr>
              <w:br w:type="textWrapping"/>
            </w:r>
            <w:r>
              <w:rPr>
                <w:rStyle w:val="11"/>
                <w:rFonts w:hint="eastAsia"/>
              </w:rPr>
              <w:t>1. 配药和种子处理应在通风处进行。2. 本品对眼睛有刺激性，使用时避免接触眼睛，穿戴长衣、长裤、帽子、口罩、手套等防护措施。避免皮肤接触及口鼻吸入药液。使用期间不可吃东西和饮水，使用后应及时洗手和洗脸。3. 本品对鸟类、蜜蜂有毒，应在室内拌种、晾干，鸟类保护区附近禁用，播种后立即覆土；开花植物花期禁用，赤眼蜂等天敌放飞区域禁用。远离水产养殖区、河塘等水体施药，禁止在河塘等水域中清洗施药器具。4. 用过的容器应妥善处理，不可做他用，也不可随意丢弃。5. 孕妇及哺乳期妇女应避免接触本品。6. 避免与氧化剂接触。</w:t>
            </w:r>
          </w:p>
        </w:tc>
      </w:tr>
      <w:tr w14:paraId="4DADCBB3">
        <w:tblPrEx>
          <w:tblCellMar>
            <w:top w:w="0" w:type="dxa"/>
            <w:left w:w="0" w:type="dxa"/>
            <w:bottom w:w="0" w:type="dxa"/>
            <w:right w:w="0" w:type="dxa"/>
          </w:tblCellMar>
        </w:tblPrEx>
        <w:trPr>
          <w:wBefore w:w="0" w:type="auto"/>
          <w:tblCellSpacing w:w="0" w:type="dxa"/>
        </w:trPr>
        <w:tc>
          <w:tcPr>
            <w:tcW w:w="0" w:type="auto"/>
            <w:noWrap w:val="0"/>
            <w:vAlign w:val="center"/>
          </w:tcPr>
          <w:p w14:paraId="05BF1025">
            <w:r>
              <w:rPr>
                <w:rStyle w:val="10"/>
                <w:rFonts w:hint="eastAsia"/>
              </w:rPr>
              <w:t>中毒急救措施：</w:t>
            </w:r>
            <w:r>
              <w:rPr>
                <w:rFonts w:hint="eastAsia"/>
              </w:rPr>
              <w:br w:type="textWrapping"/>
            </w:r>
            <w:r>
              <w:rPr>
                <w:rStyle w:val="11"/>
                <w:rFonts w:hint="eastAsia"/>
              </w:rPr>
              <w:t>中毒症状：恶心、呕吐、头痛。按标签推荐方法使用，一旦发生中毒，请对症治疗。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6412E95A">
        <w:tblPrEx>
          <w:tblCellMar>
            <w:top w:w="0" w:type="dxa"/>
            <w:left w:w="0" w:type="dxa"/>
            <w:bottom w:w="0" w:type="dxa"/>
            <w:right w:w="0" w:type="dxa"/>
          </w:tblCellMar>
        </w:tblPrEx>
        <w:trPr>
          <w:wBefore w:w="0" w:type="auto"/>
          <w:tblCellSpacing w:w="0" w:type="dxa"/>
        </w:trPr>
        <w:tc>
          <w:tcPr>
            <w:tcW w:w="0" w:type="auto"/>
            <w:noWrap w:val="0"/>
            <w:vAlign w:val="center"/>
          </w:tcPr>
          <w:p w14:paraId="7C666F5D">
            <w:r>
              <w:rPr>
                <w:rStyle w:val="10"/>
                <w:rFonts w:hint="eastAsia"/>
              </w:rPr>
              <w:t>储存和运输方法：</w:t>
            </w:r>
            <w:r>
              <w:rPr>
                <w:rFonts w:hint="eastAsia"/>
              </w:rPr>
              <w:br w:type="textWrapping"/>
            </w:r>
            <w:r>
              <w:rPr>
                <w:rStyle w:val="11"/>
                <w:rFonts w:hint="eastAsia"/>
              </w:rPr>
              <w:t>1. 本品应贮存于通风、阴凉、干燥处。远离火源或热源。置于儿童触及不到之处，并加锁。2. 运输时，严防雨淋、日晒，不能与食品、饮料、粮食、饲料等物品同贮同运，避免与皮肤接触，防止由口鼻吸入。</w:t>
            </w:r>
          </w:p>
        </w:tc>
      </w:tr>
      <w:tr w14:paraId="4A213390">
        <w:tblPrEx>
          <w:tblCellMar>
            <w:top w:w="0" w:type="dxa"/>
            <w:left w:w="0" w:type="dxa"/>
            <w:bottom w:w="0" w:type="dxa"/>
            <w:right w:w="0" w:type="dxa"/>
          </w:tblCellMar>
        </w:tblPrEx>
        <w:trPr>
          <w:wBefore w:w="0" w:type="auto"/>
          <w:tblCellSpacing w:w="0" w:type="dxa"/>
        </w:trPr>
        <w:tc>
          <w:tcPr>
            <w:tcW w:w="0" w:type="auto"/>
            <w:noWrap w:val="0"/>
            <w:vAlign w:val="center"/>
          </w:tcPr>
          <w:p w14:paraId="0F7CF089">
            <w:r>
              <w:rPr>
                <w:rStyle w:val="10"/>
                <w:rFonts w:hint="eastAsia"/>
              </w:rPr>
              <w:t>质量保证期：</w:t>
            </w:r>
            <w:r>
              <w:rPr>
                <w:rStyle w:val="11"/>
                <w:rFonts w:hint="eastAsia"/>
              </w:rPr>
              <w:t>2年</w:t>
            </w:r>
          </w:p>
        </w:tc>
      </w:tr>
      <w:tr w14:paraId="76B4C744">
        <w:tblPrEx>
          <w:tblCellMar>
            <w:top w:w="0" w:type="dxa"/>
            <w:left w:w="0" w:type="dxa"/>
            <w:bottom w:w="0" w:type="dxa"/>
            <w:right w:w="0" w:type="dxa"/>
          </w:tblCellMar>
        </w:tblPrEx>
        <w:trPr>
          <w:wBefore w:w="0" w:type="auto"/>
          <w:tblCellSpacing w:w="0" w:type="dxa"/>
        </w:trPr>
        <w:tc>
          <w:tcPr>
            <w:tcW w:w="0" w:type="auto"/>
            <w:noWrap w:val="0"/>
            <w:vAlign w:val="center"/>
          </w:tcPr>
          <w:p w14:paraId="60FDC2EC">
            <w:r>
              <w:rPr>
                <w:rStyle w:val="10"/>
                <w:rFonts w:hint="eastAsia"/>
              </w:rPr>
              <w:t>备注：</w:t>
            </w:r>
          </w:p>
        </w:tc>
      </w:tr>
    </w:tbl>
    <w:p w14:paraId="20E9B5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FFB8A8">
        <w:tblPrEx>
          <w:tblCellMar>
            <w:top w:w="0" w:type="dxa"/>
            <w:left w:w="0" w:type="dxa"/>
            <w:bottom w:w="0" w:type="dxa"/>
            <w:right w:w="0" w:type="dxa"/>
          </w:tblCellMar>
        </w:tblPrEx>
        <w:trPr>
          <w:wBefore w:w="0" w:type="auto"/>
          <w:tblCellSpacing w:w="0" w:type="dxa"/>
        </w:trPr>
        <w:tc>
          <w:tcPr>
            <w:tcW w:w="0" w:type="auto"/>
            <w:noWrap w:val="0"/>
            <w:vAlign w:val="center"/>
          </w:tcPr>
          <w:p w14:paraId="501DB989">
            <w:r>
              <w:rPr>
                <w:rStyle w:val="10"/>
                <w:rFonts w:hint="eastAsia"/>
              </w:rPr>
              <w:t>登记证号：</w:t>
            </w:r>
            <w:r>
              <w:rPr>
                <w:rFonts w:hint="eastAsia"/>
              </w:rPr>
              <w:t>PD20212610</w:t>
            </w:r>
          </w:p>
        </w:tc>
      </w:tr>
      <w:tr w14:paraId="4E3DD383">
        <w:tblPrEx>
          <w:tblCellMar>
            <w:top w:w="0" w:type="dxa"/>
            <w:left w:w="0" w:type="dxa"/>
            <w:bottom w:w="0" w:type="dxa"/>
            <w:right w:w="0" w:type="dxa"/>
          </w:tblCellMar>
        </w:tblPrEx>
        <w:trPr>
          <w:wBefore w:w="0" w:type="auto"/>
          <w:tblCellSpacing w:w="0" w:type="dxa"/>
        </w:trPr>
        <w:tc>
          <w:tcPr>
            <w:tcW w:w="0" w:type="auto"/>
            <w:noWrap w:val="0"/>
            <w:vAlign w:val="center"/>
          </w:tcPr>
          <w:p w14:paraId="1DBF3941">
            <w:r>
              <w:rPr>
                <w:rStyle w:val="10"/>
                <w:rFonts w:hint="eastAsia"/>
              </w:rPr>
              <w:t>登记证持有人：</w:t>
            </w:r>
            <w:r>
              <w:rPr>
                <w:rFonts w:hint="eastAsia"/>
              </w:rPr>
              <w:t>广西农喜作物科学有限公司</w:t>
            </w:r>
          </w:p>
        </w:tc>
      </w:tr>
      <w:tr w14:paraId="20778577">
        <w:tblPrEx>
          <w:tblCellMar>
            <w:top w:w="0" w:type="dxa"/>
            <w:left w:w="0" w:type="dxa"/>
            <w:bottom w:w="0" w:type="dxa"/>
            <w:right w:w="0" w:type="dxa"/>
          </w:tblCellMar>
        </w:tblPrEx>
        <w:trPr>
          <w:wBefore w:w="0" w:type="auto"/>
          <w:tblCellSpacing w:w="0" w:type="dxa"/>
        </w:trPr>
        <w:tc>
          <w:tcPr>
            <w:tcW w:w="0" w:type="auto"/>
            <w:noWrap w:val="0"/>
            <w:vAlign w:val="center"/>
          </w:tcPr>
          <w:p w14:paraId="3F63FD28">
            <w:r>
              <w:rPr>
                <w:rStyle w:val="10"/>
                <w:rFonts w:hint="eastAsia"/>
              </w:rPr>
              <w:t>农药名称：</w:t>
            </w:r>
            <w:r>
              <w:rPr>
                <w:rFonts w:hint="eastAsia"/>
              </w:rPr>
              <w:t>草铵膦</w:t>
            </w:r>
          </w:p>
        </w:tc>
      </w:tr>
      <w:tr w14:paraId="206D5DDB">
        <w:tblPrEx>
          <w:tblCellMar>
            <w:top w:w="0" w:type="dxa"/>
            <w:left w:w="0" w:type="dxa"/>
            <w:bottom w:w="0" w:type="dxa"/>
            <w:right w:w="0" w:type="dxa"/>
          </w:tblCellMar>
        </w:tblPrEx>
        <w:trPr>
          <w:wBefore w:w="0" w:type="auto"/>
          <w:tblCellSpacing w:w="0" w:type="dxa"/>
        </w:trPr>
        <w:tc>
          <w:tcPr>
            <w:tcW w:w="0" w:type="auto"/>
            <w:noWrap w:val="0"/>
            <w:vAlign w:val="center"/>
          </w:tcPr>
          <w:p w14:paraId="483E517E">
            <w:r>
              <w:rPr>
                <w:rStyle w:val="10"/>
                <w:rFonts w:hint="eastAsia"/>
              </w:rPr>
              <w:t>剂型：</w:t>
            </w:r>
            <w:r>
              <w:rPr>
                <w:rFonts w:hint="eastAsia"/>
              </w:rPr>
              <w:t>可溶液剂</w:t>
            </w:r>
          </w:p>
        </w:tc>
      </w:tr>
      <w:tr w14:paraId="7E4C7E8F">
        <w:tblPrEx>
          <w:tblCellMar>
            <w:top w:w="0" w:type="dxa"/>
            <w:left w:w="0" w:type="dxa"/>
            <w:bottom w:w="0" w:type="dxa"/>
            <w:right w:w="0" w:type="dxa"/>
          </w:tblCellMar>
        </w:tblPrEx>
        <w:trPr>
          <w:wBefore w:w="0" w:type="auto"/>
          <w:tblCellSpacing w:w="0" w:type="dxa"/>
        </w:trPr>
        <w:tc>
          <w:tcPr>
            <w:tcW w:w="0" w:type="auto"/>
            <w:noWrap w:val="0"/>
            <w:vAlign w:val="center"/>
          </w:tcPr>
          <w:p w14:paraId="4308125F">
            <w:r>
              <w:rPr>
                <w:rStyle w:val="10"/>
                <w:rFonts w:hint="eastAsia"/>
              </w:rPr>
              <w:t>毒性及其标识：</w:t>
            </w:r>
            <w:r>
              <w:rPr>
                <w:rFonts w:hint="eastAsia"/>
              </w:rPr>
              <w:t xml:space="preserve"> </w:t>
            </w:r>
            <w:r>
              <w:rPr>
                <w:lang/>
              </w:rPr>
              <w:drawing>
                <wp:inline distT="0" distB="0" distL="114300" distR="114300">
                  <wp:extent cx="476250" cy="323850"/>
                  <wp:effectExtent l="0" t="0" r="0" b="0"/>
                  <wp:docPr id="118" name="图片 1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D163B29">
        <w:tblPrEx>
          <w:tblCellMar>
            <w:top w:w="0" w:type="dxa"/>
            <w:left w:w="0" w:type="dxa"/>
            <w:bottom w:w="0" w:type="dxa"/>
            <w:right w:w="0" w:type="dxa"/>
          </w:tblCellMar>
        </w:tblPrEx>
        <w:trPr>
          <w:wBefore w:w="0" w:type="auto"/>
          <w:tblCellSpacing w:w="0" w:type="dxa"/>
        </w:trPr>
        <w:tc>
          <w:tcPr>
            <w:tcW w:w="0" w:type="auto"/>
            <w:noWrap w:val="0"/>
            <w:vAlign w:val="center"/>
          </w:tcPr>
          <w:p w14:paraId="756A0B49">
            <w:r>
              <w:rPr>
                <w:rStyle w:val="10"/>
                <w:rFonts w:hint="eastAsia"/>
              </w:rPr>
              <w:t>总有效成分含量：</w:t>
            </w:r>
            <w:r>
              <w:rPr>
                <w:rFonts w:hint="eastAsia"/>
              </w:rPr>
              <w:t>200克/升</w:t>
            </w:r>
          </w:p>
        </w:tc>
      </w:tr>
      <w:tr w14:paraId="76E43CBC">
        <w:tblPrEx>
          <w:tblCellMar>
            <w:top w:w="0" w:type="dxa"/>
            <w:left w:w="0" w:type="dxa"/>
            <w:bottom w:w="0" w:type="dxa"/>
            <w:right w:w="0" w:type="dxa"/>
          </w:tblCellMar>
        </w:tblPrEx>
        <w:trPr>
          <w:wBefore w:w="0" w:type="auto"/>
          <w:tblCellSpacing w:w="0" w:type="dxa"/>
        </w:trPr>
        <w:tc>
          <w:tcPr>
            <w:tcW w:w="0" w:type="auto"/>
            <w:noWrap w:val="0"/>
            <w:vAlign w:val="center"/>
          </w:tcPr>
          <w:p w14:paraId="1D48AFED">
            <w:r>
              <w:rPr>
                <w:rFonts w:hint="eastAsia"/>
              </w:rPr>
              <w:t xml:space="preserve">有效成分及其含量： </w:t>
            </w:r>
          </w:p>
          <w:p w14:paraId="7D9304C1">
            <w:r>
              <w:rPr>
                <w:rFonts w:hint="eastAsia"/>
              </w:rPr>
              <w:t xml:space="preserve">    草铵膦200克/升    </w:t>
            </w:r>
          </w:p>
        </w:tc>
      </w:tr>
      <w:tr w14:paraId="281C6651">
        <w:tblPrEx>
          <w:tblCellMar>
            <w:top w:w="0" w:type="dxa"/>
            <w:left w:w="0" w:type="dxa"/>
            <w:bottom w:w="0" w:type="dxa"/>
            <w:right w:w="0" w:type="dxa"/>
          </w:tblCellMar>
        </w:tblPrEx>
        <w:trPr>
          <w:wBefore w:w="0" w:type="auto"/>
          <w:tblCellSpacing w:w="0" w:type="dxa"/>
        </w:trPr>
        <w:tc>
          <w:tcPr>
            <w:tcW w:w="0" w:type="auto"/>
            <w:noWrap w:val="0"/>
            <w:vAlign w:val="center"/>
          </w:tcPr>
          <w:p w14:paraId="25013E6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8588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0B326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B1CE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4D52B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FE32CA">
                  <w:r>
                    <w:rPr>
                      <w:rStyle w:val="11"/>
                      <w:rFonts w:hint="eastAsia"/>
                    </w:rPr>
                    <w:t>施用方式</w:t>
                  </w:r>
                </w:p>
              </w:tc>
            </w:tr>
            <w:tr w14:paraId="132ABF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BAA1E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CCACB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11A386">
                  <w:r>
                    <w:rPr>
                      <w:rStyle w:val="11"/>
                      <w:rFonts w:hint="eastAsia"/>
                    </w:rPr>
                    <w:t>400-500毫升/亩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D85D00">
                  <w:r>
                    <w:rPr>
                      <w:rStyle w:val="11"/>
                      <w:rFonts w:hint="eastAsia"/>
                    </w:rPr>
                    <w:t>茎叶喷雾</w:t>
                  </w:r>
                </w:p>
              </w:tc>
            </w:tr>
          </w:tbl>
          <w:p w14:paraId="3915126F">
            <w:pPr>
              <w:rPr>
                <w:rFonts w:ascii="Times New Roman" w:hAnsi="Times New Roman" w:cs="Times New Roman"/>
                <w:sz w:val="20"/>
                <w:szCs w:val="20"/>
              </w:rPr>
            </w:pPr>
          </w:p>
        </w:tc>
      </w:tr>
      <w:tr w14:paraId="4D6D2365">
        <w:tblPrEx>
          <w:tblCellMar>
            <w:top w:w="0" w:type="dxa"/>
            <w:left w:w="0" w:type="dxa"/>
            <w:bottom w:w="0" w:type="dxa"/>
            <w:right w:w="0" w:type="dxa"/>
          </w:tblCellMar>
        </w:tblPrEx>
        <w:trPr>
          <w:wBefore w:w="0" w:type="auto"/>
          <w:tblCellSpacing w:w="0" w:type="dxa"/>
        </w:trPr>
        <w:tc>
          <w:tcPr>
            <w:tcW w:w="0" w:type="auto"/>
            <w:noWrap w:val="0"/>
            <w:vAlign w:val="center"/>
          </w:tcPr>
          <w:p w14:paraId="53117A91">
            <w:r>
              <w:rPr>
                <w:rStyle w:val="10"/>
                <w:rFonts w:hint="eastAsia"/>
              </w:rPr>
              <w:t>使用技术要求:</w:t>
            </w:r>
            <w:r>
              <w:rPr>
                <w:rFonts w:hint="eastAsia"/>
              </w:rPr>
              <w:br w:type="textWrapping"/>
            </w:r>
            <w:r>
              <w:rPr>
                <w:rStyle w:val="11"/>
                <w:rFonts w:hint="eastAsia"/>
              </w:rPr>
              <w:t>1、在杂草生长旺期进行茎叶喷雾，避免飘移药害。 大风天或预计1小时之内降雨，请勿使用。 2、每季作物最多使用1次。3、禁止在田间道路、田埂、果树行间、休耕地、林场林地等农林业区域使用。</w:t>
            </w:r>
          </w:p>
        </w:tc>
      </w:tr>
      <w:tr w14:paraId="59F5EDD4">
        <w:tblPrEx>
          <w:tblCellMar>
            <w:top w:w="0" w:type="dxa"/>
            <w:left w:w="0" w:type="dxa"/>
            <w:bottom w:w="0" w:type="dxa"/>
            <w:right w:w="0" w:type="dxa"/>
          </w:tblCellMar>
        </w:tblPrEx>
        <w:trPr>
          <w:wBefore w:w="0" w:type="auto"/>
          <w:tblCellSpacing w:w="0" w:type="dxa"/>
        </w:trPr>
        <w:tc>
          <w:tcPr>
            <w:tcW w:w="0" w:type="auto"/>
            <w:noWrap w:val="0"/>
            <w:vAlign w:val="center"/>
          </w:tcPr>
          <w:p w14:paraId="56F5832E">
            <w:r>
              <w:rPr>
                <w:rStyle w:val="10"/>
                <w:rFonts w:hint="eastAsia"/>
              </w:rPr>
              <w:t>产品性能:</w:t>
            </w:r>
            <w:r>
              <w:rPr>
                <w:rFonts w:hint="eastAsia"/>
              </w:rPr>
              <w:br w:type="textWrapping"/>
            </w:r>
            <w:r>
              <w:rPr>
                <w:rStyle w:val="11"/>
                <w:rFonts w:hint="eastAsia"/>
              </w:rPr>
              <w:t>本品是一种内吸兼触杀型非选择性除草剂，属于谷氨酰胺合成抑制剂，施药后短时间内可以导致植物体内氮代谢紊乱及铵的过量积累、叶绿体解体，从而光合作用受抑制，最终导致杂草死亡。活性较高、除草速度较快、杀草谱较广，对非耕地的杂草有较好防效。</w:t>
            </w:r>
          </w:p>
        </w:tc>
      </w:tr>
      <w:tr w14:paraId="4CB02F55">
        <w:tblPrEx>
          <w:tblCellMar>
            <w:top w:w="0" w:type="dxa"/>
            <w:left w:w="0" w:type="dxa"/>
            <w:bottom w:w="0" w:type="dxa"/>
            <w:right w:w="0" w:type="dxa"/>
          </w:tblCellMar>
        </w:tblPrEx>
        <w:trPr>
          <w:wBefore w:w="0" w:type="auto"/>
          <w:tblCellSpacing w:w="0" w:type="dxa"/>
        </w:trPr>
        <w:tc>
          <w:tcPr>
            <w:tcW w:w="0" w:type="auto"/>
            <w:noWrap w:val="0"/>
            <w:vAlign w:val="center"/>
          </w:tcPr>
          <w:p w14:paraId="76FACA57">
            <w:r>
              <w:rPr>
                <w:rStyle w:val="10"/>
                <w:rFonts w:hint="eastAsia"/>
              </w:rPr>
              <w:t>注意事项：</w:t>
            </w:r>
            <w:r>
              <w:rPr>
                <w:rFonts w:hint="eastAsia"/>
              </w:rPr>
              <w:br w:type="textWrapping"/>
            </w:r>
            <w:r>
              <w:rPr>
                <w:rStyle w:val="11"/>
                <w:rFonts w:hint="eastAsia"/>
              </w:rPr>
              <w:t>1、本品遇土钝化，配制药液时应使用清水，禁止使用浑浊的河水或沟渠水配药。2、使用前请务必仔细阅读此标签，并严格按照标签说明使用，预计1小时内降雨，请勿施药。3、远离水产养殖区施药，禁止在河塘等水体中清洗施药器具。鸟类保护区附近禁用；（周围）开花植物花期禁用；桑园及蚕室附近禁用；赤眼蜂等天敌放飞区域禁用。4、用过的容器应妥善处理，不可做他用，也不可随意丢弃。5、使用本品务必做好防护措施，穿戴长衣长裤、帽子、口罩、手套、鞋等，避免吸入药液。施药期间不可吃东西和饮水等，施药后，彻底清洗器械，并立即用肥皂洗手和洗脸、更衣等。6、孕妇及哺乳期的妇女避免接触本品。7、严格按照推荐方法使用、操作和贮藏本品，使用时请咨询当地农业技术部门。</w:t>
            </w:r>
          </w:p>
        </w:tc>
      </w:tr>
      <w:tr w14:paraId="338AA2A3">
        <w:tblPrEx>
          <w:tblCellMar>
            <w:top w:w="0" w:type="dxa"/>
            <w:left w:w="0" w:type="dxa"/>
            <w:bottom w:w="0" w:type="dxa"/>
            <w:right w:w="0" w:type="dxa"/>
          </w:tblCellMar>
        </w:tblPrEx>
        <w:trPr>
          <w:wBefore w:w="0" w:type="auto"/>
          <w:tblCellSpacing w:w="0" w:type="dxa"/>
        </w:trPr>
        <w:tc>
          <w:tcPr>
            <w:tcW w:w="0" w:type="auto"/>
            <w:noWrap w:val="0"/>
            <w:vAlign w:val="center"/>
          </w:tcPr>
          <w:p w14:paraId="10C0023E">
            <w:r>
              <w:rPr>
                <w:rStyle w:val="10"/>
                <w:rFonts w:hint="eastAsia"/>
              </w:rPr>
              <w:t>中毒急救措施：</w:t>
            </w:r>
            <w:r>
              <w:rPr>
                <w:rFonts w:hint="eastAsia"/>
              </w:rPr>
              <w:br w:type="textWrapping"/>
            </w:r>
            <w:r>
              <w:rPr>
                <w:rStyle w:val="11"/>
                <w:rFonts w:hint="eastAsia"/>
              </w:rPr>
              <w:t>中毒症状：本品对眼睛的刺激性，使用时避免药液接触眼睛。 中毒急救： 1、若不慎吸入，应立即将病人移至空气流通处； 2、若不慎接触皮肤，立即脱去污染的衣物，用大量清水和肥皂冲洗干净； 3、若溅入眼睛，立即翻开眼睑，用大量清水冲洗至少15分钟，仍有不适，就医； 4、若误服，严禁引吐，应先立即用清水漱口，再携带本标签到医院诊治，无特效解毒剂。</w:t>
            </w:r>
          </w:p>
        </w:tc>
      </w:tr>
      <w:tr w14:paraId="73FB3C88">
        <w:tblPrEx>
          <w:tblCellMar>
            <w:top w:w="0" w:type="dxa"/>
            <w:left w:w="0" w:type="dxa"/>
            <w:bottom w:w="0" w:type="dxa"/>
            <w:right w:w="0" w:type="dxa"/>
          </w:tblCellMar>
        </w:tblPrEx>
        <w:trPr>
          <w:wBefore w:w="0" w:type="auto"/>
          <w:tblCellSpacing w:w="0" w:type="dxa"/>
        </w:trPr>
        <w:tc>
          <w:tcPr>
            <w:tcW w:w="0" w:type="auto"/>
            <w:noWrap w:val="0"/>
            <w:vAlign w:val="center"/>
          </w:tcPr>
          <w:p w14:paraId="36AFFDA8">
            <w:r>
              <w:rPr>
                <w:rStyle w:val="10"/>
                <w:rFonts w:hint="eastAsia"/>
              </w:rPr>
              <w:t>储存和运输方法：</w:t>
            </w:r>
            <w:r>
              <w:rPr>
                <w:rFonts w:hint="eastAsia"/>
              </w:rPr>
              <w:br w:type="textWrapping"/>
            </w:r>
            <w:r>
              <w:rPr>
                <w:rStyle w:val="11"/>
                <w:rFonts w:hint="eastAsia"/>
              </w:rPr>
              <w:t>1.本品贮存在干燥、阴凉、通风、防雨处，远离火源或热源。 2、置于儿童及无关人员触及不到的地方，并加锁保存。 3、不能与食品、饮料、粮食、饲料等其他商品同贮同运。</w:t>
            </w:r>
          </w:p>
        </w:tc>
      </w:tr>
      <w:tr w14:paraId="2A02CC70">
        <w:tblPrEx>
          <w:tblCellMar>
            <w:top w:w="0" w:type="dxa"/>
            <w:left w:w="0" w:type="dxa"/>
            <w:bottom w:w="0" w:type="dxa"/>
            <w:right w:w="0" w:type="dxa"/>
          </w:tblCellMar>
        </w:tblPrEx>
        <w:trPr>
          <w:wBefore w:w="0" w:type="auto"/>
          <w:tblCellSpacing w:w="0" w:type="dxa"/>
        </w:trPr>
        <w:tc>
          <w:tcPr>
            <w:tcW w:w="0" w:type="auto"/>
            <w:noWrap w:val="0"/>
            <w:vAlign w:val="center"/>
          </w:tcPr>
          <w:p w14:paraId="463A93D4">
            <w:r>
              <w:rPr>
                <w:rStyle w:val="10"/>
                <w:rFonts w:hint="eastAsia"/>
              </w:rPr>
              <w:t>质量保证期：</w:t>
            </w:r>
            <w:r>
              <w:rPr>
                <w:rStyle w:val="11"/>
                <w:rFonts w:hint="eastAsia"/>
              </w:rPr>
              <w:t>2年</w:t>
            </w:r>
          </w:p>
        </w:tc>
      </w:tr>
      <w:tr w14:paraId="26A5D17E">
        <w:tblPrEx>
          <w:tblCellMar>
            <w:top w:w="0" w:type="dxa"/>
            <w:left w:w="0" w:type="dxa"/>
            <w:bottom w:w="0" w:type="dxa"/>
            <w:right w:w="0" w:type="dxa"/>
          </w:tblCellMar>
        </w:tblPrEx>
        <w:trPr>
          <w:wBefore w:w="0" w:type="auto"/>
          <w:tblCellSpacing w:w="0" w:type="dxa"/>
        </w:trPr>
        <w:tc>
          <w:tcPr>
            <w:tcW w:w="0" w:type="auto"/>
            <w:noWrap w:val="0"/>
            <w:vAlign w:val="center"/>
          </w:tcPr>
          <w:p w14:paraId="5FA327A9">
            <w:r>
              <w:rPr>
                <w:rStyle w:val="10"/>
                <w:rFonts w:hint="eastAsia"/>
              </w:rPr>
              <w:t>备注：</w:t>
            </w:r>
            <w:r>
              <w:rPr>
                <w:rFonts w:hint="eastAsia"/>
              </w:rPr>
              <w:br w:type="textWrapping"/>
            </w:r>
            <w:r>
              <w:rPr>
                <w:rStyle w:val="11"/>
                <w:rFonts w:hint="eastAsia"/>
              </w:rPr>
              <w:t>质量分数18%。</w:t>
            </w:r>
          </w:p>
        </w:tc>
      </w:tr>
    </w:tbl>
    <w:p w14:paraId="5D2CA6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BC7A58">
        <w:tblPrEx>
          <w:tblCellMar>
            <w:top w:w="0" w:type="dxa"/>
            <w:left w:w="0" w:type="dxa"/>
            <w:bottom w:w="0" w:type="dxa"/>
            <w:right w:w="0" w:type="dxa"/>
          </w:tblCellMar>
        </w:tblPrEx>
        <w:trPr>
          <w:wBefore w:w="0" w:type="auto"/>
          <w:tblCellSpacing w:w="0" w:type="dxa"/>
        </w:trPr>
        <w:tc>
          <w:tcPr>
            <w:tcW w:w="0" w:type="auto"/>
            <w:noWrap w:val="0"/>
            <w:vAlign w:val="center"/>
          </w:tcPr>
          <w:p w14:paraId="4ACC890D">
            <w:r>
              <w:rPr>
                <w:rStyle w:val="10"/>
                <w:rFonts w:hint="eastAsia"/>
              </w:rPr>
              <w:t>登记证号：</w:t>
            </w:r>
            <w:r>
              <w:rPr>
                <w:rFonts w:hint="eastAsia"/>
              </w:rPr>
              <w:t>PD20212537</w:t>
            </w:r>
          </w:p>
        </w:tc>
      </w:tr>
      <w:tr w14:paraId="2E0377C2">
        <w:tblPrEx>
          <w:tblCellMar>
            <w:top w:w="0" w:type="dxa"/>
            <w:left w:w="0" w:type="dxa"/>
            <w:bottom w:w="0" w:type="dxa"/>
            <w:right w:w="0" w:type="dxa"/>
          </w:tblCellMar>
        </w:tblPrEx>
        <w:trPr>
          <w:wBefore w:w="0" w:type="auto"/>
          <w:tblCellSpacing w:w="0" w:type="dxa"/>
        </w:trPr>
        <w:tc>
          <w:tcPr>
            <w:tcW w:w="0" w:type="auto"/>
            <w:noWrap w:val="0"/>
            <w:vAlign w:val="center"/>
          </w:tcPr>
          <w:p w14:paraId="403DA3E5">
            <w:r>
              <w:rPr>
                <w:rStyle w:val="10"/>
                <w:rFonts w:hint="eastAsia"/>
              </w:rPr>
              <w:t>登记证持有人：</w:t>
            </w:r>
            <w:r>
              <w:rPr>
                <w:rFonts w:hint="eastAsia"/>
              </w:rPr>
              <w:t>江苏省南通江山农药化工股份有限公司</w:t>
            </w:r>
          </w:p>
        </w:tc>
      </w:tr>
      <w:tr w14:paraId="0DF62009">
        <w:tblPrEx>
          <w:tblCellMar>
            <w:top w:w="0" w:type="dxa"/>
            <w:left w:w="0" w:type="dxa"/>
            <w:bottom w:w="0" w:type="dxa"/>
            <w:right w:w="0" w:type="dxa"/>
          </w:tblCellMar>
        </w:tblPrEx>
        <w:trPr>
          <w:wBefore w:w="0" w:type="auto"/>
          <w:tblCellSpacing w:w="0" w:type="dxa"/>
        </w:trPr>
        <w:tc>
          <w:tcPr>
            <w:tcW w:w="0" w:type="auto"/>
            <w:noWrap w:val="0"/>
            <w:vAlign w:val="center"/>
          </w:tcPr>
          <w:p w14:paraId="7475B576">
            <w:r>
              <w:rPr>
                <w:rStyle w:val="10"/>
                <w:rFonts w:hint="eastAsia"/>
              </w:rPr>
              <w:t>农药名称：</w:t>
            </w:r>
            <w:r>
              <w:rPr>
                <w:rFonts w:hint="eastAsia"/>
              </w:rPr>
              <w:t>唑啉草酯</w:t>
            </w:r>
          </w:p>
        </w:tc>
      </w:tr>
      <w:tr w14:paraId="3A169C0B">
        <w:tblPrEx>
          <w:tblCellMar>
            <w:top w:w="0" w:type="dxa"/>
            <w:left w:w="0" w:type="dxa"/>
            <w:bottom w:w="0" w:type="dxa"/>
            <w:right w:w="0" w:type="dxa"/>
          </w:tblCellMar>
        </w:tblPrEx>
        <w:trPr>
          <w:wBefore w:w="0" w:type="auto"/>
          <w:tblCellSpacing w:w="0" w:type="dxa"/>
        </w:trPr>
        <w:tc>
          <w:tcPr>
            <w:tcW w:w="0" w:type="auto"/>
            <w:noWrap w:val="0"/>
            <w:vAlign w:val="center"/>
          </w:tcPr>
          <w:p w14:paraId="60677FCD">
            <w:r>
              <w:rPr>
                <w:rStyle w:val="10"/>
                <w:rFonts w:hint="eastAsia"/>
              </w:rPr>
              <w:t>剂型：</w:t>
            </w:r>
            <w:r>
              <w:rPr>
                <w:rFonts w:hint="eastAsia"/>
              </w:rPr>
              <w:t>乳油</w:t>
            </w:r>
          </w:p>
        </w:tc>
      </w:tr>
      <w:tr w14:paraId="73BF200C">
        <w:tblPrEx>
          <w:tblCellMar>
            <w:top w:w="0" w:type="dxa"/>
            <w:left w:w="0" w:type="dxa"/>
            <w:bottom w:w="0" w:type="dxa"/>
            <w:right w:w="0" w:type="dxa"/>
          </w:tblCellMar>
        </w:tblPrEx>
        <w:trPr>
          <w:wBefore w:w="0" w:type="auto"/>
          <w:tblCellSpacing w:w="0" w:type="dxa"/>
        </w:trPr>
        <w:tc>
          <w:tcPr>
            <w:tcW w:w="0" w:type="auto"/>
            <w:noWrap w:val="0"/>
            <w:vAlign w:val="center"/>
          </w:tcPr>
          <w:p w14:paraId="319EACC8">
            <w:r>
              <w:rPr>
                <w:rStyle w:val="10"/>
                <w:rFonts w:hint="eastAsia"/>
              </w:rPr>
              <w:t>毒性及其标识：</w:t>
            </w:r>
            <w:r>
              <w:rPr>
                <w:rFonts w:hint="eastAsia"/>
              </w:rPr>
              <w:t xml:space="preserve"> </w:t>
            </w:r>
            <w:r>
              <w:rPr>
                <w:lang/>
              </w:rPr>
              <w:drawing>
                <wp:inline distT="0" distB="0" distL="114300" distR="114300">
                  <wp:extent cx="476250" cy="323850"/>
                  <wp:effectExtent l="0" t="0" r="0" b="0"/>
                  <wp:docPr id="119" name="图片 1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A67E98">
        <w:tblPrEx>
          <w:tblCellMar>
            <w:top w:w="0" w:type="dxa"/>
            <w:left w:w="0" w:type="dxa"/>
            <w:bottom w:w="0" w:type="dxa"/>
            <w:right w:w="0" w:type="dxa"/>
          </w:tblCellMar>
        </w:tblPrEx>
        <w:trPr>
          <w:wBefore w:w="0" w:type="auto"/>
          <w:tblCellSpacing w:w="0" w:type="dxa"/>
        </w:trPr>
        <w:tc>
          <w:tcPr>
            <w:tcW w:w="0" w:type="auto"/>
            <w:noWrap w:val="0"/>
            <w:vAlign w:val="center"/>
          </w:tcPr>
          <w:p w14:paraId="7292C5FA">
            <w:r>
              <w:rPr>
                <w:rStyle w:val="10"/>
                <w:rFonts w:hint="eastAsia"/>
              </w:rPr>
              <w:t>总有效成分含量：</w:t>
            </w:r>
            <w:r>
              <w:rPr>
                <w:rFonts w:hint="eastAsia"/>
              </w:rPr>
              <w:t>10%</w:t>
            </w:r>
          </w:p>
        </w:tc>
      </w:tr>
      <w:tr w14:paraId="7EB263C6">
        <w:tblPrEx>
          <w:tblCellMar>
            <w:top w:w="0" w:type="dxa"/>
            <w:left w:w="0" w:type="dxa"/>
            <w:bottom w:w="0" w:type="dxa"/>
            <w:right w:w="0" w:type="dxa"/>
          </w:tblCellMar>
        </w:tblPrEx>
        <w:trPr>
          <w:wBefore w:w="0" w:type="auto"/>
          <w:tblCellSpacing w:w="0" w:type="dxa"/>
        </w:trPr>
        <w:tc>
          <w:tcPr>
            <w:tcW w:w="0" w:type="auto"/>
            <w:noWrap w:val="0"/>
            <w:vAlign w:val="center"/>
          </w:tcPr>
          <w:p w14:paraId="03BDAB8B">
            <w:r>
              <w:rPr>
                <w:rFonts w:hint="eastAsia"/>
              </w:rPr>
              <w:t xml:space="preserve">有效成分及其含量： </w:t>
            </w:r>
          </w:p>
          <w:p w14:paraId="453D26E3">
            <w:r>
              <w:rPr>
                <w:rFonts w:hint="eastAsia"/>
              </w:rPr>
              <w:t xml:space="preserve">    唑啉草酯10%    </w:t>
            </w:r>
          </w:p>
        </w:tc>
      </w:tr>
      <w:tr w14:paraId="523DED5F">
        <w:tblPrEx>
          <w:tblCellMar>
            <w:top w:w="0" w:type="dxa"/>
            <w:left w:w="0" w:type="dxa"/>
            <w:bottom w:w="0" w:type="dxa"/>
            <w:right w:w="0" w:type="dxa"/>
          </w:tblCellMar>
        </w:tblPrEx>
        <w:trPr>
          <w:wBefore w:w="0" w:type="auto"/>
          <w:tblCellSpacing w:w="0" w:type="dxa"/>
        </w:trPr>
        <w:tc>
          <w:tcPr>
            <w:tcW w:w="0" w:type="auto"/>
            <w:noWrap w:val="0"/>
            <w:vAlign w:val="center"/>
          </w:tcPr>
          <w:p w14:paraId="5386462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13E1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7503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36984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AA4C1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2A5D5A">
                  <w:r>
                    <w:rPr>
                      <w:rStyle w:val="11"/>
                      <w:rFonts w:hint="eastAsia"/>
                    </w:rPr>
                    <w:t>施用方式</w:t>
                  </w:r>
                </w:p>
              </w:tc>
            </w:tr>
            <w:tr w14:paraId="0E12EC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5598F8">
                  <w:r>
                    <w:rPr>
                      <w:rStyle w:val="11"/>
                      <w:rFonts w:hint="eastAsia"/>
                    </w:rPr>
                    <w:t>春小麦田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2AA3A4">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9D37A4">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34B976">
                  <w:r>
                    <w:rPr>
                      <w:rStyle w:val="11"/>
                      <w:rFonts w:hint="eastAsia"/>
                    </w:rPr>
                    <w:t>茎叶喷雾</w:t>
                  </w:r>
                </w:p>
              </w:tc>
            </w:tr>
          </w:tbl>
          <w:p w14:paraId="2A3B30F6">
            <w:pPr>
              <w:rPr>
                <w:rFonts w:ascii="Times New Roman" w:hAnsi="Times New Roman" w:cs="Times New Roman"/>
                <w:sz w:val="20"/>
                <w:szCs w:val="20"/>
              </w:rPr>
            </w:pPr>
          </w:p>
        </w:tc>
      </w:tr>
      <w:tr w14:paraId="1BDF862F">
        <w:tblPrEx>
          <w:tblCellMar>
            <w:top w:w="0" w:type="dxa"/>
            <w:left w:w="0" w:type="dxa"/>
            <w:bottom w:w="0" w:type="dxa"/>
            <w:right w:w="0" w:type="dxa"/>
          </w:tblCellMar>
        </w:tblPrEx>
        <w:trPr>
          <w:wBefore w:w="0" w:type="auto"/>
          <w:tblCellSpacing w:w="0" w:type="dxa"/>
        </w:trPr>
        <w:tc>
          <w:tcPr>
            <w:tcW w:w="0" w:type="auto"/>
            <w:noWrap w:val="0"/>
            <w:vAlign w:val="center"/>
          </w:tcPr>
          <w:p w14:paraId="235F4D0C">
            <w:r>
              <w:rPr>
                <w:rStyle w:val="10"/>
                <w:rFonts w:hint="eastAsia"/>
              </w:rPr>
              <w:t>使用技术要求:</w:t>
            </w:r>
            <w:r>
              <w:rPr>
                <w:rFonts w:hint="eastAsia"/>
              </w:rPr>
              <w:br w:type="textWrapping"/>
            </w:r>
            <w:r>
              <w:rPr>
                <w:rStyle w:val="11"/>
                <w:rFonts w:hint="eastAsia"/>
              </w:rPr>
              <w:t>1. 于小麦3-5期，一年生禾本科杂草3-5叶期，每亩兑水30kg升均匀喷雾。 2. 严格按推荐剂量，田间喷液量要均匀一致，严禁重喷、多喷和漏喷。 3. 大风天或预计1小时内有降雨，请勿施药。避免在极端气候，田间积水，小麦生长不良或遭受涝害、冻害、旱害、盐碱害、病害等胁迫条件下使用，否则可能影响药效或导致作物药害。 4. 每季最多使用一次。</w:t>
            </w:r>
          </w:p>
        </w:tc>
      </w:tr>
      <w:tr w14:paraId="0A656AF0">
        <w:tblPrEx>
          <w:tblCellMar>
            <w:top w:w="0" w:type="dxa"/>
            <w:left w:w="0" w:type="dxa"/>
            <w:bottom w:w="0" w:type="dxa"/>
            <w:right w:w="0" w:type="dxa"/>
          </w:tblCellMar>
        </w:tblPrEx>
        <w:trPr>
          <w:wBefore w:w="0" w:type="auto"/>
          <w:tblCellSpacing w:w="0" w:type="dxa"/>
        </w:trPr>
        <w:tc>
          <w:tcPr>
            <w:tcW w:w="0" w:type="auto"/>
            <w:noWrap w:val="0"/>
            <w:vAlign w:val="center"/>
          </w:tcPr>
          <w:p w14:paraId="2DEC59D5">
            <w:r>
              <w:rPr>
                <w:rStyle w:val="10"/>
                <w:rFonts w:hint="eastAsia"/>
              </w:rPr>
              <w:t>产品性能:</w:t>
            </w:r>
            <w:r>
              <w:rPr>
                <w:rFonts w:hint="eastAsia"/>
              </w:rPr>
              <w:br w:type="textWrapping"/>
            </w:r>
            <w:r>
              <w:rPr>
                <w:rStyle w:val="11"/>
                <w:rFonts w:hint="eastAsia"/>
              </w:rPr>
              <w:t>本品属新苯基吡唑啉类除草剂，具有内吸传导性，通过乙酰辅酶A羧化酶（ACC）抑制剂，造成脂肪酸合成受阻，使细胞生长分裂停止，细胞膜含脂结构破坏，导致杂草死亡。</w:t>
            </w:r>
          </w:p>
        </w:tc>
      </w:tr>
      <w:tr w14:paraId="06E3FCC3">
        <w:tblPrEx>
          <w:tblCellMar>
            <w:top w:w="0" w:type="dxa"/>
            <w:left w:w="0" w:type="dxa"/>
            <w:bottom w:w="0" w:type="dxa"/>
            <w:right w:w="0" w:type="dxa"/>
          </w:tblCellMar>
        </w:tblPrEx>
        <w:trPr>
          <w:wBefore w:w="0" w:type="auto"/>
          <w:tblCellSpacing w:w="0" w:type="dxa"/>
        </w:trPr>
        <w:tc>
          <w:tcPr>
            <w:tcW w:w="0" w:type="auto"/>
            <w:noWrap w:val="0"/>
            <w:vAlign w:val="center"/>
          </w:tcPr>
          <w:p w14:paraId="1E85A8D1">
            <w:r>
              <w:rPr>
                <w:rStyle w:val="10"/>
                <w:rFonts w:hint="eastAsia"/>
              </w:rPr>
              <w:t>注意事项：</w:t>
            </w:r>
            <w:r>
              <w:rPr>
                <w:rFonts w:hint="eastAsia"/>
              </w:rPr>
              <w:br w:type="textWrapping"/>
            </w:r>
            <w:r>
              <w:rPr>
                <w:rStyle w:val="11"/>
                <w:rFonts w:hint="eastAsia"/>
              </w:rPr>
              <w:t>1.严格按照农药安全使用准则使用本品。避免药液接触皮肤、眼睛和污染衣物，避免吸入雾滴。 2.配药时，应带手套、面罩，穿长补袖衣、长裤和防水靴。喷药时，应穿长袖衣、长裤和防水靴。施药后，彻底清洗防护用具，洗澡，并更换和清洗工作服。 3.避免与其他具有氧化性物质接触或混合使用。 4.避免药液漂移到邻近作物田；施药后仔细清洗喷雾器，避免药物残留造成玉米、高粱及其他敏感作物药害。 5.本品对鱼类、大型溞等水生生物有毒，远离水产养殖区、河塘等水体施药，禁止在河塘等水域中清洗施药器具，避免影响鱼类和污染水源。 6.植物花期禁用，在蚕室及桑园附近禁用，天敌放飞区禁用。 7.使用过的空包装，应妥善处理，切勿重复使用或改作其它用途。未用完的制剂应放在原包装内密封保存，切勿将本品置于饮、食容器内。 8.孕妇及哺乳期妇女避免接触。 9.使用中有任何不良反应，请及时就医。</w:t>
            </w:r>
          </w:p>
        </w:tc>
      </w:tr>
      <w:tr w14:paraId="43AFBBDD">
        <w:tblPrEx>
          <w:tblCellMar>
            <w:top w:w="0" w:type="dxa"/>
            <w:left w:w="0" w:type="dxa"/>
            <w:bottom w:w="0" w:type="dxa"/>
            <w:right w:w="0" w:type="dxa"/>
          </w:tblCellMar>
        </w:tblPrEx>
        <w:trPr>
          <w:wBefore w:w="0" w:type="auto"/>
          <w:tblCellSpacing w:w="0" w:type="dxa"/>
        </w:trPr>
        <w:tc>
          <w:tcPr>
            <w:tcW w:w="0" w:type="auto"/>
            <w:noWrap w:val="0"/>
            <w:vAlign w:val="center"/>
          </w:tcPr>
          <w:p w14:paraId="62A8568E">
            <w:r>
              <w:rPr>
                <w:rStyle w:val="10"/>
                <w:rFonts w:hint="eastAsia"/>
              </w:rPr>
              <w:t>中毒急救措施：</w:t>
            </w:r>
            <w:r>
              <w:rPr>
                <w:rFonts w:hint="eastAsia"/>
              </w:rPr>
              <w:br w:type="textWrapping"/>
            </w:r>
            <w:r>
              <w:rPr>
                <w:rStyle w:val="11"/>
                <w:rFonts w:hint="eastAsia"/>
              </w:rPr>
              <w:t>中毒症状：根据动物试验可能造成眼刺激和皮肤刺激。用药时如果感觉不适，立即停止工作，采取急救措施，并携此标签送医就诊。 急救措施：1、皮肤接触：立即脱掉被污染的衣物，用大量清水冲洗被污染的皮肤，如皮肤刺激感持续，请医生诊治。2、眼睛接触：立即将眼睑翻开，用大量清水冲洗眼至少15分钟，再请医生诊治。3、发生吸入：将患者转移到空气新鲜处。4、误服：立即携带标签，送医院就诊。请勿引吐。5、解毒剂：本品无特效解毒剂，应对症治疗。</w:t>
            </w:r>
          </w:p>
        </w:tc>
      </w:tr>
      <w:tr w14:paraId="6C37C26E">
        <w:tblPrEx>
          <w:tblCellMar>
            <w:top w:w="0" w:type="dxa"/>
            <w:left w:w="0" w:type="dxa"/>
            <w:bottom w:w="0" w:type="dxa"/>
            <w:right w:w="0" w:type="dxa"/>
          </w:tblCellMar>
        </w:tblPrEx>
        <w:trPr>
          <w:wBefore w:w="0" w:type="auto"/>
          <w:tblCellSpacing w:w="0" w:type="dxa"/>
        </w:trPr>
        <w:tc>
          <w:tcPr>
            <w:tcW w:w="0" w:type="auto"/>
            <w:noWrap w:val="0"/>
            <w:vAlign w:val="center"/>
          </w:tcPr>
          <w:p w14:paraId="4EBC1D04">
            <w:r>
              <w:rPr>
                <w:rStyle w:val="10"/>
                <w:rFonts w:hint="eastAsia"/>
              </w:rPr>
              <w:t>储存和运输方法：</w:t>
            </w:r>
            <w:r>
              <w:rPr>
                <w:rFonts w:hint="eastAsia"/>
              </w:rPr>
              <w:br w:type="textWrapping"/>
            </w:r>
            <w:r>
              <w:rPr>
                <w:rStyle w:val="11"/>
                <w:rFonts w:hint="eastAsia"/>
              </w:rPr>
              <w:t>应贮存在干燥、阴凉、通风、防雨处，远离火源或热源。置于儿童触及不到之处，并加锁。勿与食品、饮料、饲料等其他商品同贮同运。确保不淋雨、不损坏、不泄漏。装卸过程中要轻搬轻放。</w:t>
            </w:r>
          </w:p>
        </w:tc>
      </w:tr>
      <w:tr w14:paraId="6B4999D0">
        <w:tblPrEx>
          <w:tblCellMar>
            <w:top w:w="0" w:type="dxa"/>
            <w:left w:w="0" w:type="dxa"/>
            <w:bottom w:w="0" w:type="dxa"/>
            <w:right w:w="0" w:type="dxa"/>
          </w:tblCellMar>
        </w:tblPrEx>
        <w:trPr>
          <w:wBefore w:w="0" w:type="auto"/>
          <w:tblCellSpacing w:w="0" w:type="dxa"/>
        </w:trPr>
        <w:tc>
          <w:tcPr>
            <w:tcW w:w="0" w:type="auto"/>
            <w:noWrap w:val="0"/>
            <w:vAlign w:val="center"/>
          </w:tcPr>
          <w:p w14:paraId="09DF23DC">
            <w:r>
              <w:rPr>
                <w:rStyle w:val="10"/>
                <w:rFonts w:hint="eastAsia"/>
              </w:rPr>
              <w:t>质量保证期：</w:t>
            </w:r>
            <w:r>
              <w:rPr>
                <w:rStyle w:val="11"/>
                <w:rFonts w:hint="eastAsia"/>
              </w:rPr>
              <w:t>2年</w:t>
            </w:r>
          </w:p>
        </w:tc>
      </w:tr>
      <w:tr w14:paraId="417E5406">
        <w:tblPrEx>
          <w:tblCellMar>
            <w:top w:w="0" w:type="dxa"/>
            <w:left w:w="0" w:type="dxa"/>
            <w:bottom w:w="0" w:type="dxa"/>
            <w:right w:w="0" w:type="dxa"/>
          </w:tblCellMar>
        </w:tblPrEx>
        <w:trPr>
          <w:wBefore w:w="0" w:type="auto"/>
          <w:tblCellSpacing w:w="0" w:type="dxa"/>
        </w:trPr>
        <w:tc>
          <w:tcPr>
            <w:tcW w:w="0" w:type="auto"/>
            <w:noWrap w:val="0"/>
            <w:vAlign w:val="center"/>
          </w:tcPr>
          <w:p w14:paraId="630F2C80">
            <w:r>
              <w:rPr>
                <w:rStyle w:val="10"/>
                <w:rFonts w:hint="eastAsia"/>
              </w:rPr>
              <w:t>备注：</w:t>
            </w:r>
          </w:p>
        </w:tc>
      </w:tr>
    </w:tbl>
    <w:p w14:paraId="5645D5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20FAF6">
        <w:tblPrEx>
          <w:tblCellMar>
            <w:top w:w="0" w:type="dxa"/>
            <w:left w:w="0" w:type="dxa"/>
            <w:bottom w:w="0" w:type="dxa"/>
            <w:right w:w="0" w:type="dxa"/>
          </w:tblCellMar>
        </w:tblPrEx>
        <w:trPr>
          <w:wBefore w:w="0" w:type="auto"/>
          <w:tblCellSpacing w:w="0" w:type="dxa"/>
        </w:trPr>
        <w:tc>
          <w:tcPr>
            <w:tcW w:w="0" w:type="auto"/>
            <w:noWrap w:val="0"/>
            <w:vAlign w:val="center"/>
          </w:tcPr>
          <w:p w14:paraId="5737BA9F">
            <w:r>
              <w:rPr>
                <w:rStyle w:val="10"/>
                <w:rFonts w:hint="eastAsia"/>
              </w:rPr>
              <w:t>登记证号：</w:t>
            </w:r>
            <w:r>
              <w:rPr>
                <w:rFonts w:hint="eastAsia"/>
              </w:rPr>
              <w:t>PD20212608</w:t>
            </w:r>
          </w:p>
        </w:tc>
      </w:tr>
      <w:tr w14:paraId="348FCB73">
        <w:tblPrEx>
          <w:tblCellMar>
            <w:top w:w="0" w:type="dxa"/>
            <w:left w:w="0" w:type="dxa"/>
            <w:bottom w:w="0" w:type="dxa"/>
            <w:right w:w="0" w:type="dxa"/>
          </w:tblCellMar>
        </w:tblPrEx>
        <w:trPr>
          <w:wBefore w:w="0" w:type="auto"/>
          <w:tblCellSpacing w:w="0" w:type="dxa"/>
        </w:trPr>
        <w:tc>
          <w:tcPr>
            <w:tcW w:w="0" w:type="auto"/>
            <w:noWrap w:val="0"/>
            <w:vAlign w:val="center"/>
          </w:tcPr>
          <w:p w14:paraId="1D0B2ABE">
            <w:r>
              <w:rPr>
                <w:rStyle w:val="10"/>
                <w:rFonts w:hint="eastAsia"/>
              </w:rPr>
              <w:t>登记证持有人：</w:t>
            </w:r>
            <w:r>
              <w:rPr>
                <w:rFonts w:hint="eastAsia"/>
              </w:rPr>
              <w:t>湖北泰盛化工有限公司</w:t>
            </w:r>
          </w:p>
        </w:tc>
      </w:tr>
      <w:tr w14:paraId="611B0A4E">
        <w:tblPrEx>
          <w:tblCellMar>
            <w:top w:w="0" w:type="dxa"/>
            <w:left w:w="0" w:type="dxa"/>
            <w:bottom w:w="0" w:type="dxa"/>
            <w:right w:w="0" w:type="dxa"/>
          </w:tblCellMar>
        </w:tblPrEx>
        <w:trPr>
          <w:wBefore w:w="0" w:type="auto"/>
          <w:tblCellSpacing w:w="0" w:type="dxa"/>
        </w:trPr>
        <w:tc>
          <w:tcPr>
            <w:tcW w:w="0" w:type="auto"/>
            <w:noWrap w:val="0"/>
            <w:vAlign w:val="center"/>
          </w:tcPr>
          <w:p w14:paraId="3EA02FCD">
            <w:r>
              <w:rPr>
                <w:rStyle w:val="10"/>
                <w:rFonts w:hint="eastAsia"/>
              </w:rPr>
              <w:t>农药名称：</w:t>
            </w:r>
            <w:r>
              <w:rPr>
                <w:rFonts w:hint="eastAsia"/>
              </w:rPr>
              <w:t>草甘膦二甲胺盐</w:t>
            </w:r>
          </w:p>
        </w:tc>
      </w:tr>
      <w:tr w14:paraId="3671E8EC">
        <w:tblPrEx>
          <w:tblCellMar>
            <w:top w:w="0" w:type="dxa"/>
            <w:left w:w="0" w:type="dxa"/>
            <w:bottom w:w="0" w:type="dxa"/>
            <w:right w:w="0" w:type="dxa"/>
          </w:tblCellMar>
        </w:tblPrEx>
        <w:trPr>
          <w:wBefore w:w="0" w:type="auto"/>
          <w:tblCellSpacing w:w="0" w:type="dxa"/>
        </w:trPr>
        <w:tc>
          <w:tcPr>
            <w:tcW w:w="0" w:type="auto"/>
            <w:noWrap w:val="0"/>
            <w:vAlign w:val="center"/>
          </w:tcPr>
          <w:p w14:paraId="5B60D78D">
            <w:r>
              <w:rPr>
                <w:rStyle w:val="10"/>
                <w:rFonts w:hint="eastAsia"/>
              </w:rPr>
              <w:t>剂型：</w:t>
            </w:r>
            <w:r>
              <w:rPr>
                <w:rFonts w:hint="eastAsia"/>
              </w:rPr>
              <w:t>可溶液剂</w:t>
            </w:r>
          </w:p>
        </w:tc>
      </w:tr>
      <w:tr w14:paraId="49134785">
        <w:tblPrEx>
          <w:tblCellMar>
            <w:top w:w="0" w:type="dxa"/>
            <w:left w:w="0" w:type="dxa"/>
            <w:bottom w:w="0" w:type="dxa"/>
            <w:right w:w="0" w:type="dxa"/>
          </w:tblCellMar>
        </w:tblPrEx>
        <w:trPr>
          <w:wBefore w:w="0" w:type="auto"/>
          <w:tblCellSpacing w:w="0" w:type="dxa"/>
        </w:trPr>
        <w:tc>
          <w:tcPr>
            <w:tcW w:w="0" w:type="auto"/>
            <w:noWrap w:val="0"/>
            <w:vAlign w:val="center"/>
          </w:tcPr>
          <w:p w14:paraId="4EB02DAD">
            <w:r>
              <w:rPr>
                <w:rStyle w:val="10"/>
                <w:rFonts w:hint="eastAsia"/>
              </w:rPr>
              <w:t>毒性及其标识：</w:t>
            </w:r>
            <w:r>
              <w:rPr>
                <w:rFonts w:hint="eastAsia"/>
              </w:rPr>
              <w:t xml:space="preserve"> 微毒 </w:t>
            </w:r>
          </w:p>
        </w:tc>
      </w:tr>
      <w:tr w14:paraId="6C66B50B">
        <w:tblPrEx>
          <w:tblCellMar>
            <w:top w:w="0" w:type="dxa"/>
            <w:left w:w="0" w:type="dxa"/>
            <w:bottom w:w="0" w:type="dxa"/>
            <w:right w:w="0" w:type="dxa"/>
          </w:tblCellMar>
        </w:tblPrEx>
        <w:trPr>
          <w:wBefore w:w="0" w:type="auto"/>
          <w:tblCellSpacing w:w="0" w:type="dxa"/>
        </w:trPr>
        <w:tc>
          <w:tcPr>
            <w:tcW w:w="0" w:type="auto"/>
            <w:noWrap w:val="0"/>
            <w:vAlign w:val="center"/>
          </w:tcPr>
          <w:p w14:paraId="02188597">
            <w:r>
              <w:rPr>
                <w:rStyle w:val="10"/>
                <w:rFonts w:hint="eastAsia"/>
              </w:rPr>
              <w:t>总有效成分含量：</w:t>
            </w:r>
            <w:r>
              <w:rPr>
                <w:rFonts w:hint="eastAsia"/>
              </w:rPr>
              <w:t>30%</w:t>
            </w:r>
          </w:p>
        </w:tc>
      </w:tr>
      <w:tr w14:paraId="74C40825">
        <w:tblPrEx>
          <w:tblCellMar>
            <w:top w:w="0" w:type="dxa"/>
            <w:left w:w="0" w:type="dxa"/>
            <w:bottom w:w="0" w:type="dxa"/>
            <w:right w:w="0" w:type="dxa"/>
          </w:tblCellMar>
        </w:tblPrEx>
        <w:trPr>
          <w:wBefore w:w="0" w:type="auto"/>
          <w:tblCellSpacing w:w="0" w:type="dxa"/>
        </w:trPr>
        <w:tc>
          <w:tcPr>
            <w:tcW w:w="0" w:type="auto"/>
            <w:noWrap w:val="0"/>
            <w:vAlign w:val="center"/>
          </w:tcPr>
          <w:p w14:paraId="6EB97048">
            <w:r>
              <w:rPr>
                <w:rFonts w:hint="eastAsia"/>
              </w:rPr>
              <w:t xml:space="preserve">有效成分及其含量： </w:t>
            </w:r>
          </w:p>
          <w:p w14:paraId="3B2A596D">
            <w:r>
              <w:rPr>
                <w:rFonts w:hint="eastAsia"/>
              </w:rPr>
              <w:t xml:space="preserve">    草甘膦30%    </w:t>
            </w:r>
          </w:p>
        </w:tc>
      </w:tr>
      <w:tr w14:paraId="59B0382A">
        <w:tblPrEx>
          <w:tblCellMar>
            <w:top w:w="0" w:type="dxa"/>
            <w:left w:w="0" w:type="dxa"/>
            <w:bottom w:w="0" w:type="dxa"/>
            <w:right w:w="0" w:type="dxa"/>
          </w:tblCellMar>
        </w:tblPrEx>
        <w:trPr>
          <w:wBefore w:w="0" w:type="auto"/>
          <w:tblCellSpacing w:w="0" w:type="dxa"/>
        </w:trPr>
        <w:tc>
          <w:tcPr>
            <w:tcW w:w="0" w:type="auto"/>
            <w:noWrap w:val="0"/>
            <w:vAlign w:val="center"/>
          </w:tcPr>
          <w:p w14:paraId="1911C02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A422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E7FF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E15D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93070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7F4A9C">
                  <w:r>
                    <w:rPr>
                      <w:rStyle w:val="11"/>
                      <w:rFonts w:hint="eastAsia"/>
                    </w:rPr>
                    <w:t>施用方式</w:t>
                  </w:r>
                </w:p>
              </w:tc>
            </w:tr>
            <w:tr w14:paraId="279754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9752C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654CA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CA200D">
                  <w:r>
                    <w:rPr>
                      <w:rStyle w:val="11"/>
                      <w:rFonts w:hint="eastAsia"/>
                    </w:rPr>
                    <w:t>250-450毫升/亩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A583D7">
                  <w:r>
                    <w:rPr>
                      <w:rStyle w:val="11"/>
                      <w:rFonts w:hint="eastAsia"/>
                    </w:rPr>
                    <w:t>茎叶喷雾</w:t>
                  </w:r>
                </w:p>
              </w:tc>
            </w:tr>
          </w:tbl>
          <w:p w14:paraId="734E2FC8">
            <w:pPr>
              <w:rPr>
                <w:rFonts w:ascii="Times New Roman" w:hAnsi="Times New Roman" w:cs="Times New Roman"/>
                <w:sz w:val="20"/>
                <w:szCs w:val="20"/>
              </w:rPr>
            </w:pPr>
          </w:p>
        </w:tc>
      </w:tr>
      <w:tr w14:paraId="267D578B">
        <w:tblPrEx>
          <w:tblCellMar>
            <w:top w:w="0" w:type="dxa"/>
            <w:left w:w="0" w:type="dxa"/>
            <w:bottom w:w="0" w:type="dxa"/>
            <w:right w:w="0" w:type="dxa"/>
          </w:tblCellMar>
        </w:tblPrEx>
        <w:trPr>
          <w:wBefore w:w="0" w:type="auto"/>
          <w:tblCellSpacing w:w="0" w:type="dxa"/>
        </w:trPr>
        <w:tc>
          <w:tcPr>
            <w:tcW w:w="0" w:type="auto"/>
            <w:noWrap w:val="0"/>
            <w:vAlign w:val="center"/>
          </w:tcPr>
          <w:p w14:paraId="2C2EE55E">
            <w:r>
              <w:rPr>
                <w:rStyle w:val="10"/>
                <w:rFonts w:hint="eastAsia"/>
              </w:rPr>
              <w:t>使用技术要求:</w:t>
            </w:r>
            <w:r>
              <w:rPr>
                <w:rFonts w:hint="eastAsia"/>
              </w:rPr>
              <w:br w:type="textWrapping"/>
            </w:r>
            <w:r>
              <w:rPr>
                <w:rStyle w:val="11"/>
                <w:rFonts w:hint="eastAsia"/>
              </w:rPr>
              <w:t>1、施药的最佳时期为杂草的营养生长旺盛期，注意均匀茎叶喷雾。 2、选择晴好天气，按防治作物、用药量、使用方法，根据杂草的株高，调节喷头高度，喷雾时勿接触作物绿色部分，以免产生药害。 3、如施药后4小时内下雨，会影响药效，应酌情补喷。注意避免飘移药害。4、禁止在田间道路、田埂、果树行间、休耕地、林场林地等农林业区域使用。</w:t>
            </w:r>
          </w:p>
        </w:tc>
      </w:tr>
      <w:tr w14:paraId="23351417">
        <w:tblPrEx>
          <w:tblCellMar>
            <w:top w:w="0" w:type="dxa"/>
            <w:left w:w="0" w:type="dxa"/>
            <w:bottom w:w="0" w:type="dxa"/>
            <w:right w:w="0" w:type="dxa"/>
          </w:tblCellMar>
        </w:tblPrEx>
        <w:trPr>
          <w:wBefore w:w="0" w:type="auto"/>
          <w:tblCellSpacing w:w="0" w:type="dxa"/>
        </w:trPr>
        <w:tc>
          <w:tcPr>
            <w:tcW w:w="0" w:type="auto"/>
            <w:noWrap w:val="0"/>
            <w:vAlign w:val="center"/>
          </w:tcPr>
          <w:p w14:paraId="0539A691">
            <w:r>
              <w:rPr>
                <w:rStyle w:val="10"/>
                <w:rFonts w:hint="eastAsia"/>
              </w:rPr>
              <w:t>产品性能:</w:t>
            </w:r>
            <w:r>
              <w:rPr>
                <w:rFonts w:hint="eastAsia"/>
              </w:rPr>
              <w:br w:type="textWrapping"/>
            </w:r>
            <w:r>
              <w:rPr>
                <w:rStyle w:val="11"/>
                <w:rFonts w:hint="eastAsia"/>
              </w:rPr>
              <w:t>本品为内吸传导型灭生性除草剂。主要抑制植物体内的烯醇丙酮基莽草素磷酸合成酶，从而抑制莽草素向苯丙氨酸、酪氨酸及色氯酯的转化，使蛋白合成受到干扰，导致植物死亡，可有效防除非耕地杂草。</w:t>
            </w:r>
          </w:p>
        </w:tc>
      </w:tr>
      <w:tr w14:paraId="6DC910B0">
        <w:tblPrEx>
          <w:tblCellMar>
            <w:top w:w="0" w:type="dxa"/>
            <w:left w:w="0" w:type="dxa"/>
            <w:bottom w:w="0" w:type="dxa"/>
            <w:right w:w="0" w:type="dxa"/>
          </w:tblCellMar>
        </w:tblPrEx>
        <w:trPr>
          <w:wBefore w:w="0" w:type="auto"/>
          <w:tblCellSpacing w:w="0" w:type="dxa"/>
        </w:trPr>
        <w:tc>
          <w:tcPr>
            <w:tcW w:w="0" w:type="auto"/>
            <w:noWrap w:val="0"/>
            <w:vAlign w:val="center"/>
          </w:tcPr>
          <w:p w14:paraId="7C2F7B73">
            <w:r>
              <w:rPr>
                <w:rStyle w:val="10"/>
                <w:rFonts w:hint="eastAsia"/>
              </w:rPr>
              <w:t>注意事项：</w:t>
            </w:r>
            <w:r>
              <w:rPr>
                <w:rFonts w:hint="eastAsia"/>
              </w:rPr>
              <w:br w:type="textWrapping"/>
            </w:r>
            <w:r>
              <w:rPr>
                <w:rStyle w:val="11"/>
                <w:rFonts w:hint="eastAsia"/>
              </w:rPr>
              <w:t>1、本品应避免与氧化剂接触。 2、本品为非选择性除草剂，施药时避免药液飘移到邻近的作物田。 3、药液用清水稀释，不得使用污水、混浊水，以免降低药效。 4、施用本品后3天内勿割草、放牧和翻地。 5、使用本品大面积灭草时，药后杂草与灌木成片干枯，应注意火灾发生。 6、本品对铁、镁、铝等金属有轻微腐蚀性，应使用塑料等非金属容器贮放。 7、使用本品应采取相应的安全防护措施，穿防护靴，戴防护手套、口罩等，避免皮肤接触及口鼻吸入。使用中不可吸烟、饮水及吃东西，使用后及时用大量清水和肥皂清洗手、脸等暴露部分皮肤并更换衣物。 8、本品对蜜蜂、鱼类等水生生物、家蚕有毒，施药期间应避免对周围蜂群的影响、开花植物花期、蚕室和桑园附近禁用，可将最外围桑树作为隔离带，不可使用最外围桑树上的叶片饲喂家蚕。远离水产养殖区施药，禁止在河塘等水体中清洗施药器具。9、用过的容器应妥善处理，不可做它用，也不可随意丢弃。 10、禁止儿童、孕妇及哺乳期的妇女接触。过敏者禁用，使用中有任何不良反应请及时就医。</w:t>
            </w:r>
          </w:p>
        </w:tc>
      </w:tr>
      <w:tr w14:paraId="4FE576FE">
        <w:tblPrEx>
          <w:tblCellMar>
            <w:top w:w="0" w:type="dxa"/>
            <w:left w:w="0" w:type="dxa"/>
            <w:bottom w:w="0" w:type="dxa"/>
            <w:right w:w="0" w:type="dxa"/>
          </w:tblCellMar>
        </w:tblPrEx>
        <w:trPr>
          <w:wBefore w:w="0" w:type="auto"/>
          <w:tblCellSpacing w:w="0" w:type="dxa"/>
        </w:trPr>
        <w:tc>
          <w:tcPr>
            <w:tcW w:w="0" w:type="auto"/>
            <w:noWrap w:val="0"/>
            <w:vAlign w:val="center"/>
          </w:tcPr>
          <w:p w14:paraId="104EB58B">
            <w:r>
              <w:rPr>
                <w:rStyle w:val="10"/>
                <w:rFonts w:hint="eastAsia"/>
              </w:rPr>
              <w:t>中毒急救措施：</w:t>
            </w:r>
            <w:r>
              <w:rPr>
                <w:rFonts w:hint="eastAsia"/>
              </w:rPr>
              <w:br w:type="textWrapping"/>
            </w:r>
            <w:r>
              <w:rPr>
                <w:rStyle w:val="11"/>
                <w:rFonts w:hint="eastAsia"/>
              </w:rPr>
              <w:t>中毒症状：对眼睛有刺激作用。 急救措施：使用中或使用后如果感觉不适，应立即停止工作，采取急救措施，并携带标签送医院就诊。眼睛接触：提起眼睑，用流动清水冲洗至少15分钟，如仍不适，请就医治疗。皮肤接触：脱掉污染衣物，用软布去除污染农药，用大量清水和肥皂冲洗。吸入：立即离开施药现场，转移到空气新鲜处。误服：立即停止服用，用清水充分漱口后，立即携带标签到医院就诊。</w:t>
            </w:r>
          </w:p>
        </w:tc>
      </w:tr>
      <w:tr w14:paraId="7286D7C5">
        <w:tblPrEx>
          <w:tblCellMar>
            <w:top w:w="0" w:type="dxa"/>
            <w:left w:w="0" w:type="dxa"/>
            <w:bottom w:w="0" w:type="dxa"/>
            <w:right w:w="0" w:type="dxa"/>
          </w:tblCellMar>
        </w:tblPrEx>
        <w:trPr>
          <w:wBefore w:w="0" w:type="auto"/>
          <w:tblCellSpacing w:w="0" w:type="dxa"/>
        </w:trPr>
        <w:tc>
          <w:tcPr>
            <w:tcW w:w="0" w:type="auto"/>
            <w:noWrap w:val="0"/>
            <w:vAlign w:val="center"/>
          </w:tcPr>
          <w:p w14:paraId="57FAD8A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本品应贮存在干燥、阴凉、通风、防雨处，远离火源或热源。置于儿童、无关人员及动物接触不到的地方，并加锁保存。勿与食品、种子、饲料、粮食等同贮同运。</w:t>
            </w:r>
          </w:p>
        </w:tc>
      </w:tr>
      <w:tr w14:paraId="598C6B59">
        <w:tblPrEx>
          <w:tblCellMar>
            <w:top w:w="0" w:type="dxa"/>
            <w:left w:w="0" w:type="dxa"/>
            <w:bottom w:w="0" w:type="dxa"/>
            <w:right w:w="0" w:type="dxa"/>
          </w:tblCellMar>
        </w:tblPrEx>
        <w:trPr>
          <w:wBefore w:w="0" w:type="auto"/>
          <w:tblCellSpacing w:w="0" w:type="dxa"/>
        </w:trPr>
        <w:tc>
          <w:tcPr>
            <w:tcW w:w="0" w:type="auto"/>
            <w:noWrap w:val="0"/>
            <w:vAlign w:val="center"/>
          </w:tcPr>
          <w:p w14:paraId="0C9BCEA4">
            <w:r>
              <w:rPr>
                <w:rStyle w:val="10"/>
                <w:rFonts w:hint="eastAsia"/>
              </w:rPr>
              <w:t>质量保证期：</w:t>
            </w:r>
            <w:r>
              <w:rPr>
                <w:rStyle w:val="11"/>
                <w:rFonts w:hint="eastAsia"/>
              </w:rPr>
              <w:t>2年</w:t>
            </w:r>
          </w:p>
        </w:tc>
      </w:tr>
      <w:tr w14:paraId="34F50C5B">
        <w:tblPrEx>
          <w:tblCellMar>
            <w:top w:w="0" w:type="dxa"/>
            <w:left w:w="0" w:type="dxa"/>
            <w:bottom w:w="0" w:type="dxa"/>
            <w:right w:w="0" w:type="dxa"/>
          </w:tblCellMar>
        </w:tblPrEx>
        <w:trPr>
          <w:wBefore w:w="0" w:type="auto"/>
          <w:tblCellSpacing w:w="0" w:type="dxa"/>
        </w:trPr>
        <w:tc>
          <w:tcPr>
            <w:tcW w:w="0" w:type="auto"/>
            <w:noWrap w:val="0"/>
            <w:vAlign w:val="center"/>
          </w:tcPr>
          <w:p w14:paraId="31050846">
            <w:r>
              <w:rPr>
                <w:rStyle w:val="10"/>
                <w:rFonts w:hint="eastAsia"/>
              </w:rPr>
              <w:t>备注：</w:t>
            </w:r>
            <w:r>
              <w:rPr>
                <w:rFonts w:hint="eastAsia"/>
              </w:rPr>
              <w:br w:type="textWrapping"/>
            </w:r>
            <w:r>
              <w:rPr>
                <w:rStyle w:val="11"/>
                <w:rFonts w:hint="eastAsia"/>
              </w:rPr>
              <w:t>草甘膦二甲胺盐38%。</w:t>
            </w:r>
          </w:p>
        </w:tc>
      </w:tr>
    </w:tbl>
    <w:p w14:paraId="785268F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4D0B70">
        <w:tblPrEx>
          <w:tblCellMar>
            <w:top w:w="0" w:type="dxa"/>
            <w:left w:w="0" w:type="dxa"/>
            <w:bottom w:w="0" w:type="dxa"/>
            <w:right w:w="0" w:type="dxa"/>
          </w:tblCellMar>
        </w:tblPrEx>
        <w:trPr>
          <w:wBefore w:w="0" w:type="auto"/>
          <w:tblCellSpacing w:w="0" w:type="dxa"/>
        </w:trPr>
        <w:tc>
          <w:tcPr>
            <w:tcW w:w="0" w:type="auto"/>
            <w:noWrap w:val="0"/>
            <w:vAlign w:val="center"/>
          </w:tcPr>
          <w:p w14:paraId="51E81052">
            <w:r>
              <w:rPr>
                <w:rStyle w:val="10"/>
                <w:rFonts w:hint="eastAsia"/>
              </w:rPr>
              <w:t>登记证号：</w:t>
            </w:r>
            <w:r>
              <w:rPr>
                <w:rFonts w:hint="eastAsia"/>
              </w:rPr>
              <w:t>PD20212765</w:t>
            </w:r>
          </w:p>
        </w:tc>
      </w:tr>
      <w:tr w14:paraId="2ECEBB24">
        <w:tblPrEx>
          <w:tblCellMar>
            <w:top w:w="0" w:type="dxa"/>
            <w:left w:w="0" w:type="dxa"/>
            <w:bottom w:w="0" w:type="dxa"/>
            <w:right w:w="0" w:type="dxa"/>
          </w:tblCellMar>
        </w:tblPrEx>
        <w:trPr>
          <w:wBefore w:w="0" w:type="auto"/>
          <w:tblCellSpacing w:w="0" w:type="dxa"/>
        </w:trPr>
        <w:tc>
          <w:tcPr>
            <w:tcW w:w="0" w:type="auto"/>
            <w:noWrap w:val="0"/>
            <w:vAlign w:val="center"/>
          </w:tcPr>
          <w:p w14:paraId="117386DB">
            <w:r>
              <w:rPr>
                <w:rStyle w:val="10"/>
                <w:rFonts w:hint="eastAsia"/>
              </w:rPr>
              <w:t>登记证持有人：</w:t>
            </w:r>
            <w:r>
              <w:rPr>
                <w:rFonts w:hint="eastAsia"/>
              </w:rPr>
              <w:t>孟州农达生化制品有限公司</w:t>
            </w:r>
          </w:p>
        </w:tc>
      </w:tr>
      <w:tr w14:paraId="59C1B4B7">
        <w:tblPrEx>
          <w:tblCellMar>
            <w:top w:w="0" w:type="dxa"/>
            <w:left w:w="0" w:type="dxa"/>
            <w:bottom w:w="0" w:type="dxa"/>
            <w:right w:w="0" w:type="dxa"/>
          </w:tblCellMar>
        </w:tblPrEx>
        <w:trPr>
          <w:wBefore w:w="0" w:type="auto"/>
          <w:tblCellSpacing w:w="0" w:type="dxa"/>
        </w:trPr>
        <w:tc>
          <w:tcPr>
            <w:tcW w:w="0" w:type="auto"/>
            <w:noWrap w:val="0"/>
            <w:vAlign w:val="center"/>
          </w:tcPr>
          <w:p w14:paraId="5136BA50">
            <w:r>
              <w:rPr>
                <w:rStyle w:val="10"/>
                <w:rFonts w:hint="eastAsia"/>
              </w:rPr>
              <w:t>农药名称：</w:t>
            </w:r>
            <w:r>
              <w:rPr>
                <w:rFonts w:hint="eastAsia"/>
              </w:rPr>
              <w:t>S-诱抗素</w:t>
            </w:r>
          </w:p>
        </w:tc>
      </w:tr>
      <w:tr w14:paraId="52BE3B26">
        <w:tblPrEx>
          <w:tblCellMar>
            <w:top w:w="0" w:type="dxa"/>
            <w:left w:w="0" w:type="dxa"/>
            <w:bottom w:w="0" w:type="dxa"/>
            <w:right w:w="0" w:type="dxa"/>
          </w:tblCellMar>
        </w:tblPrEx>
        <w:trPr>
          <w:wBefore w:w="0" w:type="auto"/>
          <w:tblCellSpacing w:w="0" w:type="dxa"/>
        </w:trPr>
        <w:tc>
          <w:tcPr>
            <w:tcW w:w="0" w:type="auto"/>
            <w:noWrap w:val="0"/>
            <w:vAlign w:val="center"/>
          </w:tcPr>
          <w:p w14:paraId="1827D9A3">
            <w:r>
              <w:rPr>
                <w:rStyle w:val="10"/>
                <w:rFonts w:hint="eastAsia"/>
              </w:rPr>
              <w:t>剂型：</w:t>
            </w:r>
            <w:r>
              <w:rPr>
                <w:rFonts w:hint="eastAsia"/>
              </w:rPr>
              <w:t>可溶液剂</w:t>
            </w:r>
          </w:p>
        </w:tc>
      </w:tr>
      <w:tr w14:paraId="4D8AEB2E">
        <w:tblPrEx>
          <w:tblCellMar>
            <w:top w:w="0" w:type="dxa"/>
            <w:left w:w="0" w:type="dxa"/>
            <w:bottom w:w="0" w:type="dxa"/>
            <w:right w:w="0" w:type="dxa"/>
          </w:tblCellMar>
        </w:tblPrEx>
        <w:trPr>
          <w:wBefore w:w="0" w:type="auto"/>
          <w:tblCellSpacing w:w="0" w:type="dxa"/>
        </w:trPr>
        <w:tc>
          <w:tcPr>
            <w:tcW w:w="0" w:type="auto"/>
            <w:noWrap w:val="0"/>
            <w:vAlign w:val="center"/>
          </w:tcPr>
          <w:p w14:paraId="63A291CB">
            <w:r>
              <w:rPr>
                <w:rStyle w:val="10"/>
                <w:rFonts w:hint="eastAsia"/>
              </w:rPr>
              <w:t>毒性及其标识：</w:t>
            </w:r>
            <w:r>
              <w:rPr>
                <w:rFonts w:hint="eastAsia"/>
              </w:rPr>
              <w:t xml:space="preserve"> </w:t>
            </w:r>
            <w:r>
              <w:rPr>
                <w:lang/>
              </w:rPr>
              <w:drawing>
                <wp:inline distT="0" distB="0" distL="114300" distR="114300">
                  <wp:extent cx="476250" cy="323850"/>
                  <wp:effectExtent l="0" t="0" r="0" b="0"/>
                  <wp:docPr id="120" name="图片 1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5AF64B3">
        <w:tblPrEx>
          <w:tblCellMar>
            <w:top w:w="0" w:type="dxa"/>
            <w:left w:w="0" w:type="dxa"/>
            <w:bottom w:w="0" w:type="dxa"/>
            <w:right w:w="0" w:type="dxa"/>
          </w:tblCellMar>
        </w:tblPrEx>
        <w:trPr>
          <w:wBefore w:w="0" w:type="auto"/>
          <w:tblCellSpacing w:w="0" w:type="dxa"/>
        </w:trPr>
        <w:tc>
          <w:tcPr>
            <w:tcW w:w="0" w:type="auto"/>
            <w:noWrap w:val="0"/>
            <w:vAlign w:val="center"/>
          </w:tcPr>
          <w:p w14:paraId="0CF136C7">
            <w:r>
              <w:rPr>
                <w:rStyle w:val="10"/>
                <w:rFonts w:hint="eastAsia"/>
              </w:rPr>
              <w:t>总有效成分含量：</w:t>
            </w:r>
            <w:r>
              <w:rPr>
                <w:rFonts w:hint="eastAsia"/>
              </w:rPr>
              <w:t>5%</w:t>
            </w:r>
          </w:p>
        </w:tc>
      </w:tr>
      <w:tr w14:paraId="233953C3">
        <w:tblPrEx>
          <w:tblCellMar>
            <w:top w:w="0" w:type="dxa"/>
            <w:left w:w="0" w:type="dxa"/>
            <w:bottom w:w="0" w:type="dxa"/>
            <w:right w:w="0" w:type="dxa"/>
          </w:tblCellMar>
        </w:tblPrEx>
        <w:trPr>
          <w:wBefore w:w="0" w:type="auto"/>
          <w:tblCellSpacing w:w="0" w:type="dxa"/>
        </w:trPr>
        <w:tc>
          <w:tcPr>
            <w:tcW w:w="0" w:type="auto"/>
            <w:noWrap w:val="0"/>
            <w:vAlign w:val="center"/>
          </w:tcPr>
          <w:p w14:paraId="06C5A559">
            <w:r>
              <w:rPr>
                <w:rFonts w:hint="eastAsia"/>
              </w:rPr>
              <w:t xml:space="preserve">有效成分及其含量： </w:t>
            </w:r>
          </w:p>
          <w:p w14:paraId="0A69F872">
            <w:r>
              <w:rPr>
                <w:rFonts w:hint="eastAsia"/>
              </w:rPr>
              <w:t xml:space="preserve">    S-诱抗素5%    </w:t>
            </w:r>
          </w:p>
        </w:tc>
      </w:tr>
      <w:tr w14:paraId="6395DB17">
        <w:tblPrEx>
          <w:tblCellMar>
            <w:top w:w="0" w:type="dxa"/>
            <w:left w:w="0" w:type="dxa"/>
            <w:bottom w:w="0" w:type="dxa"/>
            <w:right w:w="0" w:type="dxa"/>
          </w:tblCellMar>
        </w:tblPrEx>
        <w:trPr>
          <w:wBefore w:w="0" w:type="auto"/>
          <w:tblCellSpacing w:w="0" w:type="dxa"/>
        </w:trPr>
        <w:tc>
          <w:tcPr>
            <w:tcW w:w="0" w:type="auto"/>
            <w:noWrap w:val="0"/>
            <w:vAlign w:val="center"/>
          </w:tcPr>
          <w:p w14:paraId="23A152C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DE2D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DDD3F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0130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4809E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4251E7">
                  <w:r>
                    <w:rPr>
                      <w:rStyle w:val="11"/>
                      <w:rFonts w:hint="eastAsia"/>
                    </w:rPr>
                    <w:t>施用方式</w:t>
                  </w:r>
                </w:p>
              </w:tc>
            </w:tr>
            <w:tr w14:paraId="2391AA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4D9533">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29A42F">
                  <w:r>
                    <w:rPr>
                      <w:rStyle w:val="11"/>
                      <w:rFonts w:hint="eastAsia"/>
                    </w:rPr>
                    <w:t>促进着色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CF37B9">
                  <w:r>
                    <w:rPr>
                      <w:rStyle w:val="11"/>
                      <w:rFonts w:hint="eastAsia"/>
                    </w:rPr>
                    <w:t>170-250倍液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204AC9">
                  <w:r>
                    <w:rPr>
                      <w:rStyle w:val="11"/>
                      <w:rFonts w:hint="eastAsia"/>
                    </w:rPr>
                    <w:t>喷雾</w:t>
                  </w:r>
                </w:p>
              </w:tc>
            </w:tr>
          </w:tbl>
          <w:p w14:paraId="7160BA53">
            <w:pPr>
              <w:rPr>
                <w:rFonts w:ascii="Times New Roman" w:hAnsi="Times New Roman" w:cs="Times New Roman"/>
                <w:sz w:val="20"/>
                <w:szCs w:val="20"/>
              </w:rPr>
            </w:pPr>
          </w:p>
        </w:tc>
      </w:tr>
      <w:tr w14:paraId="4A153E32">
        <w:tblPrEx>
          <w:tblCellMar>
            <w:top w:w="0" w:type="dxa"/>
            <w:left w:w="0" w:type="dxa"/>
            <w:bottom w:w="0" w:type="dxa"/>
            <w:right w:w="0" w:type="dxa"/>
          </w:tblCellMar>
        </w:tblPrEx>
        <w:trPr>
          <w:wBefore w:w="0" w:type="auto"/>
          <w:tblCellSpacing w:w="0" w:type="dxa"/>
        </w:trPr>
        <w:tc>
          <w:tcPr>
            <w:tcW w:w="0" w:type="auto"/>
            <w:noWrap w:val="0"/>
            <w:vAlign w:val="center"/>
          </w:tcPr>
          <w:p w14:paraId="646180F8">
            <w:r>
              <w:rPr>
                <w:rStyle w:val="10"/>
                <w:rFonts w:hint="eastAsia"/>
              </w:rPr>
              <w:t>使用技术要求:</w:t>
            </w:r>
            <w:r>
              <w:rPr>
                <w:rFonts w:hint="eastAsia"/>
              </w:rPr>
              <w:br w:type="textWrapping"/>
            </w:r>
            <w:r>
              <w:rPr>
                <w:rStyle w:val="11"/>
                <w:rFonts w:hint="eastAsia"/>
              </w:rPr>
              <w:t>1.于葡萄转色初期施药1次，果穗均匀喷雾，果粒均匀附着且不滴水。2.注意保证施药均匀避免药害。请勿喷洒到葡萄叶片和枝干上。3.大风天或预计1小时内降雨，请勿施药。</w:t>
            </w:r>
          </w:p>
        </w:tc>
      </w:tr>
      <w:tr w14:paraId="2D6C53AA">
        <w:tblPrEx>
          <w:tblCellMar>
            <w:top w:w="0" w:type="dxa"/>
            <w:left w:w="0" w:type="dxa"/>
            <w:bottom w:w="0" w:type="dxa"/>
            <w:right w:w="0" w:type="dxa"/>
          </w:tblCellMar>
        </w:tblPrEx>
        <w:trPr>
          <w:wBefore w:w="0" w:type="auto"/>
          <w:tblCellSpacing w:w="0" w:type="dxa"/>
        </w:trPr>
        <w:tc>
          <w:tcPr>
            <w:tcW w:w="0" w:type="auto"/>
            <w:noWrap w:val="0"/>
            <w:vAlign w:val="center"/>
          </w:tcPr>
          <w:p w14:paraId="55F7673E">
            <w:r>
              <w:rPr>
                <w:rStyle w:val="10"/>
                <w:rFonts w:hint="eastAsia"/>
              </w:rPr>
              <w:t>产品性能:</w:t>
            </w:r>
            <w:r>
              <w:rPr>
                <w:rFonts w:hint="eastAsia"/>
              </w:rPr>
              <w:br w:type="textWrapping"/>
            </w:r>
            <w:r>
              <w:rPr>
                <w:rStyle w:val="11"/>
                <w:rFonts w:hint="eastAsia"/>
              </w:rPr>
              <w:t>S-诱抗素能协调植物生长，提高植物生长素质，增强植物光合作用，促进葡萄着色。</w:t>
            </w:r>
          </w:p>
        </w:tc>
      </w:tr>
      <w:tr w14:paraId="5ED9920C">
        <w:tblPrEx>
          <w:tblCellMar>
            <w:top w:w="0" w:type="dxa"/>
            <w:left w:w="0" w:type="dxa"/>
            <w:bottom w:w="0" w:type="dxa"/>
            <w:right w:w="0" w:type="dxa"/>
          </w:tblCellMar>
        </w:tblPrEx>
        <w:trPr>
          <w:wBefore w:w="0" w:type="auto"/>
          <w:tblCellSpacing w:w="0" w:type="dxa"/>
        </w:trPr>
        <w:tc>
          <w:tcPr>
            <w:tcW w:w="0" w:type="auto"/>
            <w:noWrap w:val="0"/>
            <w:vAlign w:val="center"/>
          </w:tcPr>
          <w:p w14:paraId="21F08F89">
            <w:r>
              <w:rPr>
                <w:rStyle w:val="10"/>
                <w:rFonts w:hint="eastAsia"/>
              </w:rPr>
              <w:t>注意事项：</w:t>
            </w:r>
            <w:r>
              <w:rPr>
                <w:rFonts w:hint="eastAsia"/>
              </w:rPr>
              <w:br w:type="textWrapping"/>
            </w:r>
            <w:r>
              <w:rPr>
                <w:rStyle w:val="11"/>
                <w:rFonts w:hint="eastAsia"/>
              </w:rPr>
              <w:t>1.避免与其他强碱性物质混用。2.使用时应穿长衣长裤、靴子，戴帽子、护目镜、口罩、手套等防护用具；施药期间不可吃东西、饮水、吸烟等；施药后应及时洗手、洗脸并洗涤施药时穿着的衣物。3.禁止在河塘等水体中清洗施药器具。</w:t>
            </w:r>
            <w:r>
              <w:rPr>
                <w:rStyle w:val="11"/>
                <w:rFonts w:hint="eastAsia"/>
              </w:rPr>
              <w:t> </w:t>
            </w:r>
            <w:r>
              <w:rPr>
                <w:rStyle w:val="11"/>
                <w:rFonts w:hint="eastAsia"/>
              </w:rPr>
              <w:t>4.注意避光保存，开启包装后最好一次性用完，配制好的水溶液不易久 存，现配现用，不可用热水，水温超过50℃会失去活性。5.用过的容器妥善处理，不可作他用，也不可以随意丢弃。6.禁止孕妇及哺乳期妇女接触。</w:t>
            </w:r>
          </w:p>
        </w:tc>
      </w:tr>
      <w:tr w14:paraId="51F00A54">
        <w:tblPrEx>
          <w:tblCellMar>
            <w:top w:w="0" w:type="dxa"/>
            <w:left w:w="0" w:type="dxa"/>
            <w:bottom w:w="0" w:type="dxa"/>
            <w:right w:w="0" w:type="dxa"/>
          </w:tblCellMar>
        </w:tblPrEx>
        <w:trPr>
          <w:wBefore w:w="0" w:type="auto"/>
          <w:tblCellSpacing w:w="0" w:type="dxa"/>
        </w:trPr>
        <w:tc>
          <w:tcPr>
            <w:tcW w:w="0" w:type="auto"/>
            <w:noWrap w:val="0"/>
            <w:vAlign w:val="center"/>
          </w:tcPr>
          <w:p w14:paraId="142252CC">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1.皮肤接触：脱去污染的衣物，立即用大量清水和肥皂冲洗。2.眼睛溅入：立即用流动清水冲洗不少于15分钟。3.吸入：立即离开施药现场，转移到空气清新处。4.误食：立即停止服用，用清水充分漱口后，请勿引吐，立即携带农药标签到医院就诊。 </w:t>
            </w:r>
          </w:p>
        </w:tc>
      </w:tr>
      <w:tr w14:paraId="065046E2">
        <w:tblPrEx>
          <w:tblCellMar>
            <w:top w:w="0" w:type="dxa"/>
            <w:left w:w="0" w:type="dxa"/>
            <w:bottom w:w="0" w:type="dxa"/>
            <w:right w:w="0" w:type="dxa"/>
          </w:tblCellMar>
        </w:tblPrEx>
        <w:trPr>
          <w:wBefore w:w="0" w:type="auto"/>
          <w:tblCellSpacing w:w="0" w:type="dxa"/>
        </w:trPr>
        <w:tc>
          <w:tcPr>
            <w:tcW w:w="0" w:type="auto"/>
            <w:noWrap w:val="0"/>
            <w:vAlign w:val="center"/>
          </w:tcPr>
          <w:p w14:paraId="3FCE24E6">
            <w:r>
              <w:rPr>
                <w:rStyle w:val="10"/>
                <w:rFonts w:hint="eastAsia"/>
              </w:rPr>
              <w:t>储存和运输方法：</w:t>
            </w:r>
            <w:r>
              <w:rPr>
                <w:rFonts w:hint="eastAsia"/>
              </w:rPr>
              <w:br w:type="textWrapping"/>
            </w:r>
            <w:r>
              <w:rPr>
                <w:rStyle w:val="11"/>
                <w:rFonts w:hint="eastAsia"/>
              </w:rPr>
              <w:t>1.本品为易燃液体。应贮存在阴凉、干燥、通风、防雨处，不可倒置。2.应当置于儿童、无关人员及动物接触不到的地方，并加锁保存。 3.勿与食品、饮料、粮食、种子、饲料等同贮同运。4.运输过程中要防晒、防雨淋；确保容器不泄露、不倒塌、不坠落、不损坏，并按规定路线行驶。专用车辆运输。</w:t>
            </w:r>
          </w:p>
        </w:tc>
      </w:tr>
      <w:tr w14:paraId="4282E3A9">
        <w:tblPrEx>
          <w:tblCellMar>
            <w:top w:w="0" w:type="dxa"/>
            <w:left w:w="0" w:type="dxa"/>
            <w:bottom w:w="0" w:type="dxa"/>
            <w:right w:w="0" w:type="dxa"/>
          </w:tblCellMar>
        </w:tblPrEx>
        <w:trPr>
          <w:wBefore w:w="0" w:type="auto"/>
          <w:tblCellSpacing w:w="0" w:type="dxa"/>
        </w:trPr>
        <w:tc>
          <w:tcPr>
            <w:tcW w:w="0" w:type="auto"/>
            <w:noWrap w:val="0"/>
            <w:vAlign w:val="center"/>
          </w:tcPr>
          <w:p w14:paraId="7E9E2DD4">
            <w:r>
              <w:rPr>
                <w:rStyle w:val="10"/>
                <w:rFonts w:hint="eastAsia"/>
              </w:rPr>
              <w:t>质量保证期：</w:t>
            </w:r>
            <w:r>
              <w:rPr>
                <w:rStyle w:val="11"/>
                <w:rFonts w:hint="eastAsia"/>
              </w:rPr>
              <w:t>2年</w:t>
            </w:r>
          </w:p>
        </w:tc>
      </w:tr>
      <w:tr w14:paraId="68BD83B3">
        <w:tblPrEx>
          <w:tblCellMar>
            <w:top w:w="0" w:type="dxa"/>
            <w:left w:w="0" w:type="dxa"/>
            <w:bottom w:w="0" w:type="dxa"/>
            <w:right w:w="0" w:type="dxa"/>
          </w:tblCellMar>
        </w:tblPrEx>
        <w:trPr>
          <w:wBefore w:w="0" w:type="auto"/>
          <w:tblCellSpacing w:w="0" w:type="dxa"/>
        </w:trPr>
        <w:tc>
          <w:tcPr>
            <w:tcW w:w="0" w:type="auto"/>
            <w:noWrap w:val="0"/>
            <w:vAlign w:val="center"/>
          </w:tcPr>
          <w:p w14:paraId="25AD2AB3">
            <w:r>
              <w:rPr>
                <w:rStyle w:val="10"/>
                <w:rFonts w:hint="eastAsia"/>
              </w:rPr>
              <w:t>备注：</w:t>
            </w:r>
          </w:p>
        </w:tc>
      </w:tr>
    </w:tbl>
    <w:p w14:paraId="304A929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50432A">
        <w:tblPrEx>
          <w:tblCellMar>
            <w:top w:w="0" w:type="dxa"/>
            <w:left w:w="0" w:type="dxa"/>
            <w:bottom w:w="0" w:type="dxa"/>
            <w:right w:w="0" w:type="dxa"/>
          </w:tblCellMar>
        </w:tblPrEx>
        <w:trPr>
          <w:wBefore w:w="0" w:type="auto"/>
          <w:tblCellSpacing w:w="0" w:type="dxa"/>
        </w:trPr>
        <w:tc>
          <w:tcPr>
            <w:tcW w:w="0" w:type="auto"/>
            <w:noWrap w:val="0"/>
            <w:vAlign w:val="center"/>
          </w:tcPr>
          <w:p w14:paraId="5B514CEE">
            <w:r>
              <w:rPr>
                <w:rStyle w:val="10"/>
                <w:rFonts w:hint="eastAsia"/>
              </w:rPr>
              <w:t>登记证号：</w:t>
            </w:r>
            <w:r>
              <w:rPr>
                <w:rFonts w:hint="eastAsia"/>
              </w:rPr>
              <w:t>PD20212496</w:t>
            </w:r>
          </w:p>
        </w:tc>
      </w:tr>
      <w:tr w14:paraId="0C464054">
        <w:tblPrEx>
          <w:tblCellMar>
            <w:top w:w="0" w:type="dxa"/>
            <w:left w:w="0" w:type="dxa"/>
            <w:bottom w:w="0" w:type="dxa"/>
            <w:right w:w="0" w:type="dxa"/>
          </w:tblCellMar>
        </w:tblPrEx>
        <w:trPr>
          <w:wBefore w:w="0" w:type="auto"/>
          <w:tblCellSpacing w:w="0" w:type="dxa"/>
        </w:trPr>
        <w:tc>
          <w:tcPr>
            <w:tcW w:w="0" w:type="auto"/>
            <w:noWrap w:val="0"/>
            <w:vAlign w:val="center"/>
          </w:tcPr>
          <w:p w14:paraId="56756466">
            <w:r>
              <w:rPr>
                <w:rStyle w:val="10"/>
                <w:rFonts w:hint="eastAsia"/>
              </w:rPr>
              <w:t>登记证持有人：</w:t>
            </w:r>
            <w:r>
              <w:rPr>
                <w:rFonts w:hint="eastAsia"/>
              </w:rPr>
              <w:t>永农生物科学有限公司</w:t>
            </w:r>
          </w:p>
        </w:tc>
      </w:tr>
      <w:tr w14:paraId="79C709E7">
        <w:tblPrEx>
          <w:tblCellMar>
            <w:top w:w="0" w:type="dxa"/>
            <w:left w:w="0" w:type="dxa"/>
            <w:bottom w:w="0" w:type="dxa"/>
            <w:right w:w="0" w:type="dxa"/>
          </w:tblCellMar>
        </w:tblPrEx>
        <w:trPr>
          <w:wBefore w:w="0" w:type="auto"/>
          <w:tblCellSpacing w:w="0" w:type="dxa"/>
        </w:trPr>
        <w:tc>
          <w:tcPr>
            <w:tcW w:w="0" w:type="auto"/>
            <w:noWrap w:val="0"/>
            <w:vAlign w:val="center"/>
          </w:tcPr>
          <w:p w14:paraId="5CB1C1A6">
            <w:r>
              <w:rPr>
                <w:rStyle w:val="10"/>
                <w:rFonts w:hint="eastAsia"/>
              </w:rPr>
              <w:t>农药名称：</w:t>
            </w:r>
            <w:r>
              <w:rPr>
                <w:rFonts w:hint="eastAsia"/>
              </w:rPr>
              <w:t>精草铵膦</w:t>
            </w:r>
          </w:p>
        </w:tc>
      </w:tr>
      <w:tr w14:paraId="1221B088">
        <w:tblPrEx>
          <w:tblCellMar>
            <w:top w:w="0" w:type="dxa"/>
            <w:left w:w="0" w:type="dxa"/>
            <w:bottom w:w="0" w:type="dxa"/>
            <w:right w:w="0" w:type="dxa"/>
          </w:tblCellMar>
        </w:tblPrEx>
        <w:trPr>
          <w:wBefore w:w="0" w:type="auto"/>
          <w:tblCellSpacing w:w="0" w:type="dxa"/>
        </w:trPr>
        <w:tc>
          <w:tcPr>
            <w:tcW w:w="0" w:type="auto"/>
            <w:noWrap w:val="0"/>
            <w:vAlign w:val="center"/>
          </w:tcPr>
          <w:p w14:paraId="3B61099A">
            <w:r>
              <w:rPr>
                <w:rStyle w:val="10"/>
                <w:rFonts w:hint="eastAsia"/>
              </w:rPr>
              <w:t>剂型：</w:t>
            </w:r>
            <w:r>
              <w:rPr>
                <w:rFonts w:hint="eastAsia"/>
              </w:rPr>
              <w:t>可溶液剂</w:t>
            </w:r>
          </w:p>
        </w:tc>
      </w:tr>
      <w:tr w14:paraId="794EDBFF">
        <w:tblPrEx>
          <w:tblCellMar>
            <w:top w:w="0" w:type="dxa"/>
            <w:left w:w="0" w:type="dxa"/>
            <w:bottom w:w="0" w:type="dxa"/>
            <w:right w:w="0" w:type="dxa"/>
          </w:tblCellMar>
        </w:tblPrEx>
        <w:trPr>
          <w:wBefore w:w="0" w:type="auto"/>
          <w:tblCellSpacing w:w="0" w:type="dxa"/>
        </w:trPr>
        <w:tc>
          <w:tcPr>
            <w:tcW w:w="0" w:type="auto"/>
            <w:noWrap w:val="0"/>
            <w:vAlign w:val="center"/>
          </w:tcPr>
          <w:p w14:paraId="7AF22301">
            <w:r>
              <w:rPr>
                <w:rStyle w:val="10"/>
                <w:rFonts w:hint="eastAsia"/>
              </w:rPr>
              <w:t>毒性及其标识：</w:t>
            </w:r>
            <w:r>
              <w:rPr>
                <w:rFonts w:hint="eastAsia"/>
              </w:rPr>
              <w:t xml:space="preserve"> </w:t>
            </w:r>
            <w:r>
              <w:rPr>
                <w:lang/>
              </w:rPr>
              <w:drawing>
                <wp:inline distT="0" distB="0" distL="114300" distR="114300">
                  <wp:extent cx="476250" cy="323850"/>
                  <wp:effectExtent l="0" t="0" r="0" b="0"/>
                  <wp:docPr id="121" name="图片 1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9288E6">
        <w:tblPrEx>
          <w:tblCellMar>
            <w:top w:w="0" w:type="dxa"/>
            <w:left w:w="0" w:type="dxa"/>
            <w:bottom w:w="0" w:type="dxa"/>
            <w:right w:w="0" w:type="dxa"/>
          </w:tblCellMar>
        </w:tblPrEx>
        <w:trPr>
          <w:wBefore w:w="0" w:type="auto"/>
          <w:tblCellSpacing w:w="0" w:type="dxa"/>
        </w:trPr>
        <w:tc>
          <w:tcPr>
            <w:tcW w:w="0" w:type="auto"/>
            <w:noWrap w:val="0"/>
            <w:vAlign w:val="center"/>
          </w:tcPr>
          <w:p w14:paraId="33DBBA70">
            <w:r>
              <w:rPr>
                <w:rStyle w:val="10"/>
                <w:rFonts w:hint="eastAsia"/>
              </w:rPr>
              <w:t>总有效成分含量：</w:t>
            </w:r>
            <w:r>
              <w:rPr>
                <w:rFonts w:hint="eastAsia"/>
              </w:rPr>
              <w:t>20%</w:t>
            </w:r>
          </w:p>
        </w:tc>
      </w:tr>
      <w:tr w14:paraId="5F16E3F4">
        <w:tblPrEx>
          <w:tblCellMar>
            <w:top w:w="0" w:type="dxa"/>
            <w:left w:w="0" w:type="dxa"/>
            <w:bottom w:w="0" w:type="dxa"/>
            <w:right w:w="0" w:type="dxa"/>
          </w:tblCellMar>
        </w:tblPrEx>
        <w:trPr>
          <w:wBefore w:w="0" w:type="auto"/>
          <w:tblCellSpacing w:w="0" w:type="dxa"/>
        </w:trPr>
        <w:tc>
          <w:tcPr>
            <w:tcW w:w="0" w:type="auto"/>
            <w:noWrap w:val="0"/>
            <w:vAlign w:val="center"/>
          </w:tcPr>
          <w:p w14:paraId="310B5B19">
            <w:r>
              <w:rPr>
                <w:rFonts w:hint="eastAsia"/>
              </w:rPr>
              <w:t xml:space="preserve">有效成分及其含量： </w:t>
            </w:r>
          </w:p>
          <w:p w14:paraId="39F8F700">
            <w:r>
              <w:rPr>
                <w:rFonts w:hint="eastAsia"/>
              </w:rPr>
              <w:t xml:space="preserve">    精草铵膦20%    </w:t>
            </w:r>
          </w:p>
        </w:tc>
      </w:tr>
      <w:tr w14:paraId="559614B6">
        <w:tblPrEx>
          <w:tblCellMar>
            <w:top w:w="0" w:type="dxa"/>
            <w:left w:w="0" w:type="dxa"/>
            <w:bottom w:w="0" w:type="dxa"/>
            <w:right w:w="0" w:type="dxa"/>
          </w:tblCellMar>
        </w:tblPrEx>
        <w:trPr>
          <w:wBefore w:w="0" w:type="auto"/>
          <w:tblCellSpacing w:w="0" w:type="dxa"/>
        </w:trPr>
        <w:tc>
          <w:tcPr>
            <w:tcW w:w="0" w:type="auto"/>
            <w:noWrap w:val="0"/>
            <w:vAlign w:val="center"/>
          </w:tcPr>
          <w:p w14:paraId="2E85BE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C218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6933D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ED22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BDF39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FF09DB">
                  <w:r>
                    <w:rPr>
                      <w:rStyle w:val="11"/>
                      <w:rFonts w:hint="eastAsia"/>
                    </w:rPr>
                    <w:t>施用方式</w:t>
                  </w:r>
                </w:p>
              </w:tc>
            </w:tr>
            <w:tr w14:paraId="0861CE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A70C7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74551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39E1D6">
                  <w:r>
                    <w:rPr>
                      <w:rStyle w:val="11"/>
                      <w:rFonts w:hint="eastAsia"/>
                    </w:rPr>
                    <w:t>100-200毫升/亩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8BDC3B">
                  <w:r>
                    <w:rPr>
                      <w:rStyle w:val="11"/>
                      <w:rFonts w:hint="eastAsia"/>
                    </w:rPr>
                    <w:t>茎叶喷雾</w:t>
                  </w:r>
                </w:p>
              </w:tc>
            </w:tr>
          </w:tbl>
          <w:p w14:paraId="313AC5CB">
            <w:pPr>
              <w:rPr>
                <w:rFonts w:ascii="Times New Roman" w:hAnsi="Times New Roman" w:cs="Times New Roman"/>
                <w:sz w:val="20"/>
                <w:szCs w:val="20"/>
              </w:rPr>
            </w:pPr>
          </w:p>
        </w:tc>
      </w:tr>
      <w:tr w14:paraId="219373F2">
        <w:tblPrEx>
          <w:tblCellMar>
            <w:top w:w="0" w:type="dxa"/>
            <w:left w:w="0" w:type="dxa"/>
            <w:bottom w:w="0" w:type="dxa"/>
            <w:right w:w="0" w:type="dxa"/>
          </w:tblCellMar>
        </w:tblPrEx>
        <w:trPr>
          <w:wBefore w:w="0" w:type="auto"/>
          <w:tblCellSpacing w:w="0" w:type="dxa"/>
        </w:trPr>
        <w:tc>
          <w:tcPr>
            <w:tcW w:w="0" w:type="auto"/>
            <w:noWrap w:val="0"/>
            <w:vAlign w:val="center"/>
          </w:tcPr>
          <w:p w14:paraId="38E02A7B">
            <w:r>
              <w:rPr>
                <w:rStyle w:val="10"/>
                <w:rFonts w:hint="eastAsia"/>
              </w:rPr>
              <w:t>使用技术要求:</w:t>
            </w:r>
            <w:r>
              <w:rPr>
                <w:rFonts w:hint="eastAsia"/>
              </w:rPr>
              <w:br w:type="textWrapping"/>
            </w:r>
            <w:r>
              <w:rPr>
                <w:rStyle w:val="11"/>
                <w:rFonts w:hint="eastAsia"/>
              </w:rPr>
              <w:t>1.于杂草生长旺盛期，每亩兑水30-50公斤，均匀茎叶喷雾1次。2.大风天或预计1小时内有雨，请勿施药。3.禁止在田间道路、田埂、果树行间、休耕地、林场林地等农林业区域使用。</w:t>
            </w:r>
          </w:p>
        </w:tc>
      </w:tr>
      <w:tr w14:paraId="6BDBCE85">
        <w:tblPrEx>
          <w:tblCellMar>
            <w:top w:w="0" w:type="dxa"/>
            <w:left w:w="0" w:type="dxa"/>
            <w:bottom w:w="0" w:type="dxa"/>
            <w:right w:w="0" w:type="dxa"/>
          </w:tblCellMar>
        </w:tblPrEx>
        <w:trPr>
          <w:wBefore w:w="0" w:type="auto"/>
          <w:tblCellSpacing w:w="0" w:type="dxa"/>
        </w:trPr>
        <w:tc>
          <w:tcPr>
            <w:tcW w:w="0" w:type="auto"/>
            <w:noWrap w:val="0"/>
            <w:vAlign w:val="center"/>
          </w:tcPr>
          <w:p w14:paraId="07C70324">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药后短时间内，植物体内铵代谢陷于紊乱，细胞毒剂铵离子在植物体内累积，与此同时，光合作用被抑制，达到除草目的，适用于防除非耕地杂草。</w:t>
            </w:r>
          </w:p>
        </w:tc>
      </w:tr>
      <w:tr w14:paraId="7A12046A">
        <w:tblPrEx>
          <w:tblCellMar>
            <w:top w:w="0" w:type="dxa"/>
            <w:left w:w="0" w:type="dxa"/>
            <w:bottom w:w="0" w:type="dxa"/>
            <w:right w:w="0" w:type="dxa"/>
          </w:tblCellMar>
        </w:tblPrEx>
        <w:trPr>
          <w:wBefore w:w="0" w:type="auto"/>
          <w:tblCellSpacing w:w="0" w:type="dxa"/>
        </w:trPr>
        <w:tc>
          <w:tcPr>
            <w:tcW w:w="0" w:type="auto"/>
            <w:noWrap w:val="0"/>
            <w:vAlign w:val="center"/>
          </w:tcPr>
          <w:p w14:paraId="14B5CA9B">
            <w:r>
              <w:rPr>
                <w:rStyle w:val="10"/>
                <w:rFonts w:hint="eastAsia"/>
              </w:rPr>
              <w:t>注意事项：</w:t>
            </w:r>
            <w:r>
              <w:rPr>
                <w:rFonts w:hint="eastAsia"/>
              </w:rPr>
              <w:br w:type="textWrapping"/>
            </w:r>
            <w:r>
              <w:rPr>
                <w:rStyle w:val="11"/>
                <w:rFonts w:hint="eastAsia"/>
              </w:rPr>
              <w:t>1.使用时需均匀全面喷雾，喷湿喷透，施药时喷头上应加装保护罩，避免药液飘移到临近作物。具体施用时，需在当地农技植保部门指导下使用。2.本品遇土钝化，因此在稀释和配制本品药液时，应使用清水，禁止用浑浊的河水或沟渠水配药，以最大限度地提高除草的效果。3.施药时请戴上口罩、手套，穿长衣裤等，不能吃东西、喝水、吸烟等；施药完毕请立即用肥皂水清洗手和脸。4.刚施药后的区域防止人畜进入；容器的洗涤用水和残留农药不得流入河流、鱼塘等水域。水产养殖区、河塘等水体附近禁用，禁止在河塘等水体清洗施药器具。蚕室及桑园附近禁用。5.孕妇及哺乳期的妇女避免接触此药。6.用过的容器应妥善处理，不可做它用，也不可随意丢弃。7、使用中有任何不良反应请及时携标签就医。8、与中等氧化剂（高锰酸钾）和还原剂（铁粉）均具有化学不相容性，避免接触。</w:t>
            </w:r>
          </w:p>
        </w:tc>
      </w:tr>
      <w:tr w14:paraId="0B6A80B6">
        <w:tblPrEx>
          <w:tblCellMar>
            <w:top w:w="0" w:type="dxa"/>
            <w:left w:w="0" w:type="dxa"/>
            <w:bottom w:w="0" w:type="dxa"/>
            <w:right w:w="0" w:type="dxa"/>
          </w:tblCellMar>
        </w:tblPrEx>
        <w:trPr>
          <w:wBefore w:w="0" w:type="auto"/>
          <w:tblCellSpacing w:w="0" w:type="dxa"/>
        </w:trPr>
        <w:tc>
          <w:tcPr>
            <w:tcW w:w="0" w:type="auto"/>
            <w:noWrap w:val="0"/>
            <w:vAlign w:val="center"/>
          </w:tcPr>
          <w:p w14:paraId="7C5E8443">
            <w:r>
              <w:rPr>
                <w:rStyle w:val="10"/>
                <w:rFonts w:hint="eastAsia"/>
              </w:rPr>
              <w:t>中毒急救措施：</w:t>
            </w:r>
            <w:r>
              <w:rPr>
                <w:rFonts w:hint="eastAsia"/>
              </w:rPr>
              <w:br w:type="textWrapping"/>
            </w:r>
            <w:r>
              <w:rPr>
                <w:rStyle w:val="11"/>
                <w:rFonts w:hint="eastAsia"/>
              </w:rPr>
              <w:t>中毒症状：本品对皮肤和眼睛有刺激作用。如不慎接触皮肤，应立即用大量清水冲洗；若溅到眼睛中，立即用大量清水冲洗至少15分钟，严重时就医；不慎吸入，应将病人立即移至空气清新处；如不慎误服，立即引吐，并携本标签及时把病人送往医院对症治疗。本品无特效解毒剂。</w:t>
            </w:r>
          </w:p>
        </w:tc>
      </w:tr>
      <w:tr w14:paraId="73B9BDDF">
        <w:tblPrEx>
          <w:tblCellMar>
            <w:top w:w="0" w:type="dxa"/>
            <w:left w:w="0" w:type="dxa"/>
            <w:bottom w:w="0" w:type="dxa"/>
            <w:right w:w="0" w:type="dxa"/>
          </w:tblCellMar>
        </w:tblPrEx>
        <w:trPr>
          <w:wBefore w:w="0" w:type="auto"/>
          <w:tblCellSpacing w:w="0" w:type="dxa"/>
        </w:trPr>
        <w:tc>
          <w:tcPr>
            <w:tcW w:w="0" w:type="auto"/>
            <w:noWrap w:val="0"/>
            <w:vAlign w:val="center"/>
          </w:tcPr>
          <w:p w14:paraId="06F56C2E">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本品应贮存在阴凉、干燥、通风、防雨处，远离火源和热源。置于儿童、无关人员或动物触及不到之处，并加锁。勿与食品、饮料、粮食、饲料等物品同贮同运。</w:t>
            </w:r>
          </w:p>
        </w:tc>
      </w:tr>
      <w:tr w14:paraId="45673D6E">
        <w:tblPrEx>
          <w:tblCellMar>
            <w:top w:w="0" w:type="dxa"/>
            <w:left w:w="0" w:type="dxa"/>
            <w:bottom w:w="0" w:type="dxa"/>
            <w:right w:w="0" w:type="dxa"/>
          </w:tblCellMar>
        </w:tblPrEx>
        <w:trPr>
          <w:wBefore w:w="0" w:type="auto"/>
          <w:tblCellSpacing w:w="0" w:type="dxa"/>
        </w:trPr>
        <w:tc>
          <w:tcPr>
            <w:tcW w:w="0" w:type="auto"/>
            <w:noWrap w:val="0"/>
            <w:vAlign w:val="center"/>
          </w:tcPr>
          <w:p w14:paraId="03768013">
            <w:r>
              <w:rPr>
                <w:rStyle w:val="10"/>
                <w:rFonts w:hint="eastAsia"/>
              </w:rPr>
              <w:t>质量保证期：</w:t>
            </w:r>
            <w:r>
              <w:rPr>
                <w:rStyle w:val="11"/>
                <w:rFonts w:hint="eastAsia"/>
              </w:rPr>
              <w:t>2年</w:t>
            </w:r>
          </w:p>
        </w:tc>
      </w:tr>
      <w:tr w14:paraId="590E1B55">
        <w:tblPrEx>
          <w:tblCellMar>
            <w:top w:w="0" w:type="dxa"/>
            <w:left w:w="0" w:type="dxa"/>
            <w:bottom w:w="0" w:type="dxa"/>
            <w:right w:w="0" w:type="dxa"/>
          </w:tblCellMar>
        </w:tblPrEx>
        <w:trPr>
          <w:wBefore w:w="0" w:type="auto"/>
          <w:tblCellSpacing w:w="0" w:type="dxa"/>
        </w:trPr>
        <w:tc>
          <w:tcPr>
            <w:tcW w:w="0" w:type="auto"/>
            <w:noWrap w:val="0"/>
            <w:vAlign w:val="center"/>
          </w:tcPr>
          <w:p w14:paraId="481775A5">
            <w:r>
              <w:rPr>
                <w:rStyle w:val="10"/>
                <w:rFonts w:hint="eastAsia"/>
              </w:rPr>
              <w:t>备注：</w:t>
            </w:r>
            <w:r>
              <w:rPr>
                <w:rFonts w:hint="eastAsia"/>
              </w:rPr>
              <w:br w:type="textWrapping"/>
            </w:r>
            <w:r>
              <w:rPr>
                <w:rStyle w:val="11"/>
                <w:rFonts w:hint="eastAsia"/>
              </w:rPr>
              <w:t>精草铵膦铵盐21.8%。</w:t>
            </w:r>
          </w:p>
        </w:tc>
      </w:tr>
    </w:tbl>
    <w:p w14:paraId="533828A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79C1C1">
        <w:tblPrEx>
          <w:tblCellMar>
            <w:top w:w="0" w:type="dxa"/>
            <w:left w:w="0" w:type="dxa"/>
            <w:bottom w:w="0" w:type="dxa"/>
            <w:right w:w="0" w:type="dxa"/>
          </w:tblCellMar>
        </w:tblPrEx>
        <w:trPr>
          <w:wBefore w:w="0" w:type="auto"/>
          <w:tblCellSpacing w:w="0" w:type="dxa"/>
        </w:trPr>
        <w:tc>
          <w:tcPr>
            <w:tcW w:w="0" w:type="auto"/>
            <w:noWrap w:val="0"/>
            <w:vAlign w:val="center"/>
          </w:tcPr>
          <w:p w14:paraId="4C8E056A">
            <w:r>
              <w:rPr>
                <w:rStyle w:val="10"/>
                <w:rFonts w:hint="eastAsia"/>
              </w:rPr>
              <w:t>登记证号：</w:t>
            </w:r>
            <w:r>
              <w:rPr>
                <w:rFonts w:hint="eastAsia"/>
              </w:rPr>
              <w:t>PD20132145</w:t>
            </w:r>
          </w:p>
        </w:tc>
      </w:tr>
      <w:tr w14:paraId="57447E61">
        <w:tblPrEx>
          <w:tblCellMar>
            <w:top w:w="0" w:type="dxa"/>
            <w:left w:w="0" w:type="dxa"/>
            <w:bottom w:w="0" w:type="dxa"/>
            <w:right w:w="0" w:type="dxa"/>
          </w:tblCellMar>
        </w:tblPrEx>
        <w:trPr>
          <w:wBefore w:w="0" w:type="auto"/>
          <w:tblCellSpacing w:w="0" w:type="dxa"/>
        </w:trPr>
        <w:tc>
          <w:tcPr>
            <w:tcW w:w="0" w:type="auto"/>
            <w:noWrap w:val="0"/>
            <w:vAlign w:val="center"/>
          </w:tcPr>
          <w:p w14:paraId="74990DD5">
            <w:r>
              <w:rPr>
                <w:rStyle w:val="10"/>
                <w:rFonts w:hint="eastAsia"/>
              </w:rPr>
              <w:t>登记证持有人：</w:t>
            </w:r>
            <w:r>
              <w:rPr>
                <w:rFonts w:hint="eastAsia"/>
              </w:rPr>
              <w:t>吉林省长春市长双农药有限公司</w:t>
            </w:r>
          </w:p>
        </w:tc>
      </w:tr>
      <w:tr w14:paraId="6AB58B27">
        <w:tblPrEx>
          <w:tblCellMar>
            <w:top w:w="0" w:type="dxa"/>
            <w:left w:w="0" w:type="dxa"/>
            <w:bottom w:w="0" w:type="dxa"/>
            <w:right w:w="0" w:type="dxa"/>
          </w:tblCellMar>
        </w:tblPrEx>
        <w:trPr>
          <w:wBefore w:w="0" w:type="auto"/>
          <w:tblCellSpacing w:w="0" w:type="dxa"/>
        </w:trPr>
        <w:tc>
          <w:tcPr>
            <w:tcW w:w="0" w:type="auto"/>
            <w:noWrap w:val="0"/>
            <w:vAlign w:val="center"/>
          </w:tcPr>
          <w:p w14:paraId="044D979B">
            <w:r>
              <w:rPr>
                <w:rStyle w:val="10"/>
                <w:rFonts w:hint="eastAsia"/>
              </w:rPr>
              <w:t>农药名称：</w:t>
            </w:r>
            <w:r>
              <w:rPr>
                <w:rFonts w:hint="eastAsia"/>
              </w:rPr>
              <w:t>精甲·噁霉灵</w:t>
            </w:r>
          </w:p>
        </w:tc>
      </w:tr>
      <w:tr w14:paraId="4B22552A">
        <w:tblPrEx>
          <w:tblCellMar>
            <w:top w:w="0" w:type="dxa"/>
            <w:left w:w="0" w:type="dxa"/>
            <w:bottom w:w="0" w:type="dxa"/>
            <w:right w:w="0" w:type="dxa"/>
          </w:tblCellMar>
        </w:tblPrEx>
        <w:trPr>
          <w:wBefore w:w="0" w:type="auto"/>
          <w:tblCellSpacing w:w="0" w:type="dxa"/>
        </w:trPr>
        <w:tc>
          <w:tcPr>
            <w:tcW w:w="0" w:type="auto"/>
            <w:noWrap w:val="0"/>
            <w:vAlign w:val="center"/>
          </w:tcPr>
          <w:p w14:paraId="3A41ECED">
            <w:r>
              <w:rPr>
                <w:rStyle w:val="10"/>
                <w:rFonts w:hint="eastAsia"/>
              </w:rPr>
              <w:t>剂型：</w:t>
            </w:r>
            <w:r>
              <w:rPr>
                <w:rFonts w:hint="eastAsia"/>
              </w:rPr>
              <w:t>水剂</w:t>
            </w:r>
          </w:p>
        </w:tc>
      </w:tr>
      <w:tr w14:paraId="3F03126F">
        <w:tblPrEx>
          <w:tblCellMar>
            <w:top w:w="0" w:type="dxa"/>
            <w:left w:w="0" w:type="dxa"/>
            <w:bottom w:w="0" w:type="dxa"/>
            <w:right w:w="0" w:type="dxa"/>
          </w:tblCellMar>
        </w:tblPrEx>
        <w:trPr>
          <w:wBefore w:w="0" w:type="auto"/>
          <w:tblCellSpacing w:w="0" w:type="dxa"/>
        </w:trPr>
        <w:tc>
          <w:tcPr>
            <w:tcW w:w="0" w:type="auto"/>
            <w:noWrap w:val="0"/>
            <w:vAlign w:val="center"/>
          </w:tcPr>
          <w:p w14:paraId="7DF29630">
            <w:r>
              <w:rPr>
                <w:rStyle w:val="10"/>
                <w:rFonts w:hint="eastAsia"/>
              </w:rPr>
              <w:t>毒性及其标识：</w:t>
            </w:r>
            <w:r>
              <w:rPr>
                <w:rFonts w:hint="eastAsia"/>
              </w:rPr>
              <w:t xml:space="preserve"> </w:t>
            </w:r>
            <w:r>
              <w:rPr>
                <w:lang/>
              </w:rPr>
              <w:drawing>
                <wp:inline distT="0" distB="0" distL="114300" distR="114300">
                  <wp:extent cx="476250" cy="323850"/>
                  <wp:effectExtent l="0" t="0" r="0" b="0"/>
                  <wp:docPr id="122" name="图片 1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8746FF">
        <w:tblPrEx>
          <w:tblCellMar>
            <w:top w:w="0" w:type="dxa"/>
            <w:left w:w="0" w:type="dxa"/>
            <w:bottom w:w="0" w:type="dxa"/>
            <w:right w:w="0" w:type="dxa"/>
          </w:tblCellMar>
        </w:tblPrEx>
        <w:trPr>
          <w:wBefore w:w="0" w:type="auto"/>
          <w:tblCellSpacing w:w="0" w:type="dxa"/>
        </w:trPr>
        <w:tc>
          <w:tcPr>
            <w:tcW w:w="0" w:type="auto"/>
            <w:noWrap w:val="0"/>
            <w:vAlign w:val="center"/>
          </w:tcPr>
          <w:p w14:paraId="00A6C236">
            <w:r>
              <w:rPr>
                <w:rStyle w:val="10"/>
                <w:rFonts w:hint="eastAsia"/>
              </w:rPr>
              <w:t>总有效成分含量：</w:t>
            </w:r>
            <w:r>
              <w:rPr>
                <w:rFonts w:hint="eastAsia"/>
              </w:rPr>
              <w:t>30%</w:t>
            </w:r>
          </w:p>
        </w:tc>
      </w:tr>
      <w:tr w14:paraId="66F4B328">
        <w:tblPrEx>
          <w:tblCellMar>
            <w:top w:w="0" w:type="dxa"/>
            <w:left w:w="0" w:type="dxa"/>
            <w:bottom w:w="0" w:type="dxa"/>
            <w:right w:w="0" w:type="dxa"/>
          </w:tblCellMar>
        </w:tblPrEx>
        <w:trPr>
          <w:wBefore w:w="0" w:type="auto"/>
          <w:tblCellSpacing w:w="0" w:type="dxa"/>
        </w:trPr>
        <w:tc>
          <w:tcPr>
            <w:tcW w:w="0" w:type="auto"/>
            <w:noWrap w:val="0"/>
            <w:vAlign w:val="center"/>
          </w:tcPr>
          <w:p w14:paraId="7256D7BC">
            <w:r>
              <w:rPr>
                <w:rFonts w:hint="eastAsia"/>
              </w:rPr>
              <w:t xml:space="preserve">有效成分及其含量： </w:t>
            </w:r>
          </w:p>
          <w:p w14:paraId="78CCBBFC">
            <w:r>
              <w:rPr>
                <w:rFonts w:hint="eastAsia"/>
              </w:rPr>
              <w:t xml:space="preserve">    噁霉灵25%    精甲霜灵5%    </w:t>
            </w:r>
          </w:p>
        </w:tc>
      </w:tr>
      <w:tr w14:paraId="2B301EEE">
        <w:tblPrEx>
          <w:tblCellMar>
            <w:top w:w="0" w:type="dxa"/>
            <w:left w:w="0" w:type="dxa"/>
            <w:bottom w:w="0" w:type="dxa"/>
            <w:right w:w="0" w:type="dxa"/>
          </w:tblCellMar>
        </w:tblPrEx>
        <w:trPr>
          <w:wBefore w:w="0" w:type="auto"/>
          <w:tblCellSpacing w:w="0" w:type="dxa"/>
        </w:trPr>
        <w:tc>
          <w:tcPr>
            <w:tcW w:w="0" w:type="auto"/>
            <w:noWrap w:val="0"/>
            <w:vAlign w:val="center"/>
          </w:tcPr>
          <w:p w14:paraId="2B47B11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3B09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E0054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CF4CA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C45D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CA1C7A">
                  <w:r>
                    <w:rPr>
                      <w:rStyle w:val="11"/>
                      <w:rFonts w:hint="eastAsia"/>
                    </w:rPr>
                    <w:t>施用方式</w:t>
                  </w:r>
                </w:p>
              </w:tc>
            </w:tr>
            <w:tr w14:paraId="036826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2BE706">
                  <w:r>
                    <w:rPr>
                      <w:rStyle w:val="11"/>
                      <w:rFonts w:hint="eastAsia"/>
                    </w:rPr>
                    <w:t>水稻苗床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8B30FF">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4E21ED">
                  <w:r>
                    <w:rPr>
                      <w:rStyle w:val="11"/>
                      <w:rFonts w:hint="eastAsia"/>
                    </w:rPr>
                    <w:t>1.2-1.6毫升/平方米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94906">
                  <w:r>
                    <w:rPr>
                      <w:rStyle w:val="11"/>
                      <w:rFonts w:hint="eastAsia"/>
                    </w:rPr>
                    <w:t>喷雾</w:t>
                  </w:r>
                </w:p>
              </w:tc>
            </w:tr>
          </w:tbl>
          <w:p w14:paraId="4BB6FE5F">
            <w:pPr>
              <w:rPr>
                <w:rFonts w:ascii="Times New Roman" w:hAnsi="Times New Roman" w:cs="Times New Roman"/>
                <w:sz w:val="20"/>
                <w:szCs w:val="20"/>
              </w:rPr>
            </w:pPr>
          </w:p>
        </w:tc>
      </w:tr>
      <w:tr w14:paraId="5BCE365B">
        <w:tblPrEx>
          <w:tblCellMar>
            <w:top w:w="0" w:type="dxa"/>
            <w:left w:w="0" w:type="dxa"/>
            <w:bottom w:w="0" w:type="dxa"/>
            <w:right w:w="0" w:type="dxa"/>
          </w:tblCellMar>
        </w:tblPrEx>
        <w:trPr>
          <w:wBefore w:w="0" w:type="auto"/>
          <w:tblCellSpacing w:w="0" w:type="dxa"/>
        </w:trPr>
        <w:tc>
          <w:tcPr>
            <w:tcW w:w="0" w:type="auto"/>
            <w:noWrap w:val="0"/>
            <w:vAlign w:val="center"/>
          </w:tcPr>
          <w:p w14:paraId="36619313">
            <w:r>
              <w:rPr>
                <w:rStyle w:val="10"/>
                <w:rFonts w:hint="eastAsia"/>
              </w:rPr>
              <w:t>使用技术要求:</w:t>
            </w:r>
            <w:r>
              <w:rPr>
                <w:rFonts w:hint="eastAsia"/>
              </w:rPr>
              <w:br w:type="textWrapping"/>
            </w:r>
            <w:r>
              <w:rPr>
                <w:rStyle w:val="11"/>
                <w:rFonts w:hint="eastAsia"/>
              </w:rPr>
              <w:t xml:space="preserve">于水稻育苗播种前喷淋床面，用于床土消毒，或在秧苗一叶一心期喷淋。每季作物最多使用1次。防治水稻（苗床）立枯病、烂秧病，制剂用药量1.2~1.6毫升/平方米 </w:t>
            </w:r>
          </w:p>
        </w:tc>
      </w:tr>
      <w:tr w14:paraId="0404327D">
        <w:tblPrEx>
          <w:tblCellMar>
            <w:top w:w="0" w:type="dxa"/>
            <w:left w:w="0" w:type="dxa"/>
            <w:bottom w:w="0" w:type="dxa"/>
            <w:right w:w="0" w:type="dxa"/>
          </w:tblCellMar>
        </w:tblPrEx>
        <w:trPr>
          <w:wBefore w:w="0" w:type="auto"/>
          <w:tblCellSpacing w:w="0" w:type="dxa"/>
        </w:trPr>
        <w:tc>
          <w:tcPr>
            <w:tcW w:w="0" w:type="auto"/>
            <w:noWrap w:val="0"/>
            <w:vAlign w:val="center"/>
          </w:tcPr>
          <w:p w14:paraId="7537BD5F">
            <w:r>
              <w:rPr>
                <w:rStyle w:val="10"/>
                <w:rFonts w:hint="eastAsia"/>
              </w:rPr>
              <w:t>产品性能:</w:t>
            </w:r>
            <w:r>
              <w:rPr>
                <w:rFonts w:hint="eastAsia"/>
              </w:rPr>
              <w:br w:type="textWrapping"/>
            </w:r>
            <w:r>
              <w:rPr>
                <w:rStyle w:val="11"/>
                <w:rFonts w:hint="eastAsia"/>
              </w:rPr>
              <w:t>本产品是一种土壤杀菌剂，主要用于防治水稻苗期立枯病、烂秧病，发病期使用具有一定的治疗效果。</w:t>
            </w:r>
          </w:p>
        </w:tc>
      </w:tr>
      <w:tr w14:paraId="5BB0F7D4">
        <w:tblPrEx>
          <w:tblCellMar>
            <w:top w:w="0" w:type="dxa"/>
            <w:left w:w="0" w:type="dxa"/>
            <w:bottom w:w="0" w:type="dxa"/>
            <w:right w:w="0" w:type="dxa"/>
          </w:tblCellMar>
        </w:tblPrEx>
        <w:trPr>
          <w:wBefore w:w="0" w:type="auto"/>
          <w:tblCellSpacing w:w="0" w:type="dxa"/>
        </w:trPr>
        <w:tc>
          <w:tcPr>
            <w:tcW w:w="0" w:type="auto"/>
            <w:noWrap w:val="0"/>
            <w:vAlign w:val="center"/>
          </w:tcPr>
          <w:p w14:paraId="56692637">
            <w:r>
              <w:rPr>
                <w:rStyle w:val="10"/>
                <w:rFonts w:hint="eastAsia"/>
              </w:rPr>
              <w:t>注意事项：</w:t>
            </w:r>
            <w:r>
              <w:rPr>
                <w:rFonts w:hint="eastAsia"/>
              </w:rPr>
              <w:br w:type="textWrapping"/>
            </w:r>
            <w:r>
              <w:rPr>
                <w:rStyle w:val="11"/>
                <w:rFonts w:hint="eastAsia"/>
              </w:rPr>
              <w:t>1. 使用本品应采取相应的安全防护措施，穿戴帽子、口罩、长衣、长裤、手套、鞋等，避免皮肤接触及口鼻吸入。使用中不可吸烟、饮水及吃东西，使用后及时用大量清水和肥皂清洗手、脸等暴露部位皮肤并更换衣物。 2.本品为酸性，不可与碱性农药等物质混用。 3.本品使用时，避免与眼睛、皮肤接触，开盖时勿对向人体。 4. 远离水产养殖区、河塘等水体施药，禁止在河塘等水体中清洗施药器具。鱼或虾蟹套养稻田禁用，施药后的田水不得直接排入水体。 5. 赤眼蜂等天敌放飞区禁用。鸟类保护区附近禁用。(周围)开花植物花期禁用，使用时应密切关注对附近蜂群的影响。蚕室及桑园附近禁用。 6.孕妇及哺乳期妇女避免接触此药。 7.用过的容器应妥善处理，不可做他用，不可随意丢弃。 8. 本品属极易燃液体。应避免与氧化剂接触。</w:t>
            </w:r>
          </w:p>
        </w:tc>
      </w:tr>
      <w:tr w14:paraId="04D40C32">
        <w:tblPrEx>
          <w:tblCellMar>
            <w:top w:w="0" w:type="dxa"/>
            <w:left w:w="0" w:type="dxa"/>
            <w:bottom w:w="0" w:type="dxa"/>
            <w:right w:w="0" w:type="dxa"/>
          </w:tblCellMar>
        </w:tblPrEx>
        <w:trPr>
          <w:wBefore w:w="0" w:type="auto"/>
          <w:tblCellSpacing w:w="0" w:type="dxa"/>
        </w:trPr>
        <w:tc>
          <w:tcPr>
            <w:tcW w:w="0" w:type="auto"/>
            <w:noWrap w:val="0"/>
            <w:vAlign w:val="center"/>
          </w:tcPr>
          <w:p w14:paraId="7CCDA942">
            <w:r>
              <w:rPr>
                <w:rStyle w:val="10"/>
                <w:rFonts w:hint="eastAsia"/>
              </w:rPr>
              <w:t>中毒急救措施：</w:t>
            </w:r>
            <w:r>
              <w:rPr>
                <w:rFonts w:hint="eastAsia"/>
              </w:rPr>
              <w:br w:type="textWrapping"/>
            </w:r>
            <w:r>
              <w:rPr>
                <w:rStyle w:val="11"/>
                <w:rFonts w:hint="eastAsia"/>
              </w:rPr>
              <w:t>误服者可引起口腔及消化道刺激性症状，如恶心、咳嗽等。不慎吸入，应将病人移至空气流通处。不慎接触皮肤或溅入眼睛，应用大量清水冲洗至少15分钟。若误服可服用活性炭催吐并及时携标签送到医院治疗。</w:t>
            </w:r>
          </w:p>
        </w:tc>
      </w:tr>
      <w:tr w14:paraId="58B8CF4A">
        <w:tblPrEx>
          <w:tblCellMar>
            <w:top w:w="0" w:type="dxa"/>
            <w:left w:w="0" w:type="dxa"/>
            <w:bottom w:w="0" w:type="dxa"/>
            <w:right w:w="0" w:type="dxa"/>
          </w:tblCellMar>
        </w:tblPrEx>
        <w:trPr>
          <w:wBefore w:w="0" w:type="auto"/>
          <w:tblCellSpacing w:w="0" w:type="dxa"/>
        </w:trPr>
        <w:tc>
          <w:tcPr>
            <w:tcW w:w="0" w:type="auto"/>
            <w:noWrap w:val="0"/>
            <w:vAlign w:val="center"/>
          </w:tcPr>
          <w:p w14:paraId="3A25127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本品应贮存在干燥、阴凉、通风、防雨处，远离火源或热源。置于儿童、无关人员触及不到之处，并加锁。勿与食物、饮料、饲料等其他商品同贮同运。装卸农药时，应轻拿轻放，严防碰撞、外溢、破损。</w:t>
            </w:r>
          </w:p>
        </w:tc>
      </w:tr>
      <w:tr w14:paraId="5094FBD9">
        <w:tblPrEx>
          <w:tblCellMar>
            <w:top w:w="0" w:type="dxa"/>
            <w:left w:w="0" w:type="dxa"/>
            <w:bottom w:w="0" w:type="dxa"/>
            <w:right w:w="0" w:type="dxa"/>
          </w:tblCellMar>
        </w:tblPrEx>
        <w:trPr>
          <w:wBefore w:w="0" w:type="auto"/>
          <w:tblCellSpacing w:w="0" w:type="dxa"/>
        </w:trPr>
        <w:tc>
          <w:tcPr>
            <w:tcW w:w="0" w:type="auto"/>
            <w:noWrap w:val="0"/>
            <w:vAlign w:val="center"/>
          </w:tcPr>
          <w:p w14:paraId="63530637">
            <w:r>
              <w:rPr>
                <w:rStyle w:val="10"/>
                <w:rFonts w:hint="eastAsia"/>
              </w:rPr>
              <w:t>质量保证期：</w:t>
            </w:r>
            <w:r>
              <w:rPr>
                <w:rStyle w:val="11"/>
                <w:rFonts w:hint="eastAsia"/>
              </w:rPr>
              <w:t>2年</w:t>
            </w:r>
          </w:p>
        </w:tc>
      </w:tr>
      <w:tr w14:paraId="3AB32110">
        <w:tblPrEx>
          <w:tblCellMar>
            <w:top w:w="0" w:type="dxa"/>
            <w:left w:w="0" w:type="dxa"/>
            <w:bottom w:w="0" w:type="dxa"/>
            <w:right w:w="0" w:type="dxa"/>
          </w:tblCellMar>
        </w:tblPrEx>
        <w:trPr>
          <w:wBefore w:w="0" w:type="auto"/>
          <w:tblCellSpacing w:w="0" w:type="dxa"/>
        </w:trPr>
        <w:tc>
          <w:tcPr>
            <w:tcW w:w="0" w:type="auto"/>
            <w:noWrap w:val="0"/>
            <w:vAlign w:val="center"/>
          </w:tcPr>
          <w:p w14:paraId="68AE482F">
            <w:r>
              <w:rPr>
                <w:rStyle w:val="10"/>
                <w:rFonts w:hint="eastAsia"/>
              </w:rPr>
              <w:t>备注：</w:t>
            </w:r>
          </w:p>
        </w:tc>
      </w:tr>
    </w:tbl>
    <w:p w14:paraId="1C3768C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B73B21">
        <w:tblPrEx>
          <w:tblCellMar>
            <w:top w:w="0" w:type="dxa"/>
            <w:left w:w="0" w:type="dxa"/>
            <w:bottom w:w="0" w:type="dxa"/>
            <w:right w:w="0" w:type="dxa"/>
          </w:tblCellMar>
        </w:tblPrEx>
        <w:trPr>
          <w:wBefore w:w="0" w:type="auto"/>
          <w:tblCellSpacing w:w="0" w:type="dxa"/>
        </w:trPr>
        <w:tc>
          <w:tcPr>
            <w:tcW w:w="0" w:type="auto"/>
            <w:noWrap w:val="0"/>
            <w:vAlign w:val="center"/>
          </w:tcPr>
          <w:p w14:paraId="18C24EAB">
            <w:r>
              <w:rPr>
                <w:rStyle w:val="10"/>
                <w:rFonts w:hint="eastAsia"/>
              </w:rPr>
              <w:t>登记证号：</w:t>
            </w:r>
            <w:r>
              <w:rPr>
                <w:rFonts w:hint="eastAsia"/>
              </w:rPr>
              <w:t>EX20210044</w:t>
            </w:r>
          </w:p>
        </w:tc>
      </w:tr>
      <w:tr w14:paraId="1F1D5C9B">
        <w:tblPrEx>
          <w:tblCellMar>
            <w:top w:w="0" w:type="dxa"/>
            <w:left w:w="0" w:type="dxa"/>
            <w:bottom w:w="0" w:type="dxa"/>
            <w:right w:w="0" w:type="dxa"/>
          </w:tblCellMar>
        </w:tblPrEx>
        <w:trPr>
          <w:wBefore w:w="0" w:type="auto"/>
          <w:tblCellSpacing w:w="0" w:type="dxa"/>
        </w:trPr>
        <w:tc>
          <w:tcPr>
            <w:tcW w:w="0" w:type="auto"/>
            <w:noWrap w:val="0"/>
            <w:vAlign w:val="center"/>
          </w:tcPr>
          <w:p w14:paraId="5085E557">
            <w:r>
              <w:rPr>
                <w:rStyle w:val="10"/>
                <w:rFonts w:hint="eastAsia"/>
              </w:rPr>
              <w:t>登记证持有人：</w:t>
            </w:r>
            <w:r>
              <w:rPr>
                <w:rFonts w:hint="eastAsia"/>
              </w:rPr>
              <w:t>迈克斯（如东）化工有限公司</w:t>
            </w:r>
          </w:p>
        </w:tc>
      </w:tr>
      <w:tr w14:paraId="05A3866B">
        <w:tblPrEx>
          <w:tblCellMar>
            <w:top w:w="0" w:type="dxa"/>
            <w:left w:w="0" w:type="dxa"/>
            <w:bottom w:w="0" w:type="dxa"/>
            <w:right w:w="0" w:type="dxa"/>
          </w:tblCellMar>
        </w:tblPrEx>
        <w:trPr>
          <w:wBefore w:w="0" w:type="auto"/>
          <w:tblCellSpacing w:w="0" w:type="dxa"/>
        </w:trPr>
        <w:tc>
          <w:tcPr>
            <w:tcW w:w="0" w:type="auto"/>
            <w:noWrap w:val="0"/>
            <w:vAlign w:val="center"/>
          </w:tcPr>
          <w:p w14:paraId="0870B5A7">
            <w:r>
              <w:rPr>
                <w:rStyle w:val="10"/>
                <w:rFonts w:hint="eastAsia"/>
              </w:rPr>
              <w:t>农药名称：</w:t>
            </w:r>
            <w:r>
              <w:rPr>
                <w:rFonts w:hint="eastAsia"/>
              </w:rPr>
              <w:t>丙炔氟草胺</w:t>
            </w:r>
          </w:p>
        </w:tc>
      </w:tr>
      <w:tr w14:paraId="36BEA68D">
        <w:tblPrEx>
          <w:tblCellMar>
            <w:top w:w="0" w:type="dxa"/>
            <w:left w:w="0" w:type="dxa"/>
            <w:bottom w:w="0" w:type="dxa"/>
            <w:right w:w="0" w:type="dxa"/>
          </w:tblCellMar>
        </w:tblPrEx>
        <w:trPr>
          <w:wBefore w:w="0" w:type="auto"/>
          <w:tblCellSpacing w:w="0" w:type="dxa"/>
        </w:trPr>
        <w:tc>
          <w:tcPr>
            <w:tcW w:w="0" w:type="auto"/>
            <w:noWrap w:val="0"/>
            <w:vAlign w:val="center"/>
          </w:tcPr>
          <w:p w14:paraId="439CD354">
            <w:r>
              <w:rPr>
                <w:rStyle w:val="10"/>
                <w:rFonts w:hint="eastAsia"/>
              </w:rPr>
              <w:t>剂型：</w:t>
            </w:r>
            <w:r>
              <w:rPr>
                <w:rFonts w:hint="eastAsia"/>
              </w:rPr>
              <w:t>原药</w:t>
            </w:r>
          </w:p>
        </w:tc>
      </w:tr>
      <w:tr w14:paraId="2FC2A8A8">
        <w:tblPrEx>
          <w:tblCellMar>
            <w:top w:w="0" w:type="dxa"/>
            <w:left w:w="0" w:type="dxa"/>
            <w:bottom w:w="0" w:type="dxa"/>
            <w:right w:w="0" w:type="dxa"/>
          </w:tblCellMar>
        </w:tblPrEx>
        <w:trPr>
          <w:wBefore w:w="0" w:type="auto"/>
          <w:tblCellSpacing w:w="0" w:type="dxa"/>
        </w:trPr>
        <w:tc>
          <w:tcPr>
            <w:tcW w:w="0" w:type="auto"/>
            <w:noWrap w:val="0"/>
            <w:vAlign w:val="center"/>
          </w:tcPr>
          <w:p w14:paraId="2F0BF966">
            <w:r>
              <w:rPr>
                <w:rStyle w:val="10"/>
                <w:rFonts w:hint="eastAsia"/>
              </w:rPr>
              <w:t>毒性及其标识：</w:t>
            </w:r>
            <w:r>
              <w:rPr>
                <w:rFonts w:hint="eastAsia"/>
              </w:rPr>
              <w:t xml:space="preserve"> </w:t>
            </w:r>
            <w:r>
              <w:rPr>
                <w:lang/>
              </w:rPr>
              <w:drawing>
                <wp:inline distT="0" distB="0" distL="114300" distR="114300">
                  <wp:extent cx="476250" cy="323850"/>
                  <wp:effectExtent l="0" t="0" r="0" b="0"/>
                  <wp:docPr id="123" name="图片 1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88027A">
        <w:tblPrEx>
          <w:tblCellMar>
            <w:top w:w="0" w:type="dxa"/>
            <w:left w:w="0" w:type="dxa"/>
            <w:bottom w:w="0" w:type="dxa"/>
            <w:right w:w="0" w:type="dxa"/>
          </w:tblCellMar>
        </w:tblPrEx>
        <w:trPr>
          <w:wBefore w:w="0" w:type="auto"/>
          <w:tblCellSpacing w:w="0" w:type="dxa"/>
        </w:trPr>
        <w:tc>
          <w:tcPr>
            <w:tcW w:w="0" w:type="auto"/>
            <w:noWrap w:val="0"/>
            <w:vAlign w:val="center"/>
          </w:tcPr>
          <w:p w14:paraId="4E0E75B2">
            <w:r>
              <w:rPr>
                <w:rStyle w:val="10"/>
                <w:rFonts w:hint="eastAsia"/>
              </w:rPr>
              <w:t>总有效成分含量：</w:t>
            </w:r>
            <w:r>
              <w:rPr>
                <w:rFonts w:hint="eastAsia"/>
              </w:rPr>
              <w:t>98%</w:t>
            </w:r>
          </w:p>
        </w:tc>
      </w:tr>
      <w:tr w14:paraId="725E417E">
        <w:tblPrEx>
          <w:tblCellMar>
            <w:top w:w="0" w:type="dxa"/>
            <w:left w:w="0" w:type="dxa"/>
            <w:bottom w:w="0" w:type="dxa"/>
            <w:right w:w="0" w:type="dxa"/>
          </w:tblCellMar>
        </w:tblPrEx>
        <w:trPr>
          <w:wBefore w:w="0" w:type="auto"/>
          <w:tblCellSpacing w:w="0" w:type="dxa"/>
        </w:trPr>
        <w:tc>
          <w:tcPr>
            <w:tcW w:w="0" w:type="auto"/>
            <w:noWrap w:val="0"/>
            <w:vAlign w:val="center"/>
          </w:tcPr>
          <w:p w14:paraId="32BA09F3">
            <w:r>
              <w:rPr>
                <w:rFonts w:hint="eastAsia"/>
              </w:rPr>
              <w:t xml:space="preserve">有效成分及其含量： </w:t>
            </w:r>
          </w:p>
          <w:p w14:paraId="149DE057">
            <w:r>
              <w:rPr>
                <w:rFonts w:hint="eastAsia"/>
              </w:rPr>
              <w:t xml:space="preserve">    丙炔氟草胺98%    </w:t>
            </w:r>
          </w:p>
        </w:tc>
      </w:tr>
      <w:tr w14:paraId="54E8E2C6">
        <w:tblPrEx>
          <w:tblCellMar>
            <w:top w:w="0" w:type="dxa"/>
            <w:left w:w="0" w:type="dxa"/>
            <w:bottom w:w="0" w:type="dxa"/>
            <w:right w:w="0" w:type="dxa"/>
          </w:tblCellMar>
        </w:tblPrEx>
        <w:trPr>
          <w:wBefore w:w="0" w:type="auto"/>
          <w:tblCellSpacing w:w="0" w:type="dxa"/>
        </w:trPr>
        <w:tc>
          <w:tcPr>
            <w:tcW w:w="0" w:type="auto"/>
            <w:noWrap w:val="0"/>
            <w:vAlign w:val="center"/>
          </w:tcPr>
          <w:p w14:paraId="1CAAFF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A3DE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A3F3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307F2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F3DBE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FA89C3">
                  <w:r>
                    <w:rPr>
                      <w:rStyle w:val="11"/>
                      <w:rFonts w:hint="eastAsia"/>
                    </w:rPr>
                    <w:t>施用方式</w:t>
                  </w:r>
                </w:p>
              </w:tc>
            </w:tr>
          </w:tbl>
          <w:p w14:paraId="4C0EDE88">
            <w:pPr>
              <w:rPr>
                <w:rFonts w:ascii="Times New Roman" w:hAnsi="Times New Roman" w:cs="Times New Roman"/>
                <w:sz w:val="20"/>
                <w:szCs w:val="20"/>
              </w:rPr>
            </w:pPr>
          </w:p>
        </w:tc>
      </w:tr>
      <w:tr w14:paraId="3CD28E77">
        <w:tblPrEx>
          <w:tblCellMar>
            <w:top w:w="0" w:type="dxa"/>
            <w:left w:w="0" w:type="dxa"/>
            <w:bottom w:w="0" w:type="dxa"/>
            <w:right w:w="0" w:type="dxa"/>
          </w:tblCellMar>
        </w:tblPrEx>
        <w:trPr>
          <w:wBefore w:w="0" w:type="auto"/>
          <w:tblCellSpacing w:w="0" w:type="dxa"/>
        </w:trPr>
        <w:tc>
          <w:tcPr>
            <w:tcW w:w="0" w:type="auto"/>
            <w:noWrap w:val="0"/>
            <w:vAlign w:val="center"/>
          </w:tcPr>
          <w:p w14:paraId="4ABBC0B2">
            <w:r>
              <w:rPr>
                <w:rStyle w:val="10"/>
                <w:rFonts w:hint="eastAsia"/>
              </w:rPr>
              <w:t>使用技术要求:</w:t>
            </w:r>
            <w:r>
              <w:rPr>
                <w:rFonts w:hint="eastAsia"/>
              </w:rPr>
              <w:br w:type="textWrapping"/>
            </w:r>
            <w:r>
              <w:rPr>
                <w:rStyle w:val="11"/>
                <w:rFonts w:hint="eastAsia"/>
              </w:rPr>
              <w:t>/</w:t>
            </w:r>
          </w:p>
        </w:tc>
      </w:tr>
      <w:tr w14:paraId="12441A63">
        <w:tblPrEx>
          <w:tblCellMar>
            <w:top w:w="0" w:type="dxa"/>
            <w:left w:w="0" w:type="dxa"/>
            <w:bottom w:w="0" w:type="dxa"/>
            <w:right w:w="0" w:type="dxa"/>
          </w:tblCellMar>
        </w:tblPrEx>
        <w:trPr>
          <w:wBefore w:w="0" w:type="auto"/>
          <w:tblCellSpacing w:w="0" w:type="dxa"/>
        </w:trPr>
        <w:tc>
          <w:tcPr>
            <w:tcW w:w="0" w:type="auto"/>
            <w:noWrap w:val="0"/>
            <w:vAlign w:val="center"/>
          </w:tcPr>
          <w:p w14:paraId="2C740369">
            <w:r>
              <w:rPr>
                <w:rStyle w:val="10"/>
                <w:rFonts w:hint="eastAsia"/>
              </w:rPr>
              <w:t>产品性能:</w:t>
            </w:r>
            <w:r>
              <w:rPr>
                <w:rFonts w:hint="eastAsia"/>
              </w:rPr>
              <w:br w:type="textWrapping"/>
            </w:r>
            <w:r>
              <w:rPr>
                <w:rStyle w:val="11"/>
                <w:rFonts w:hint="eastAsia"/>
              </w:rPr>
              <w:t>/</w:t>
            </w:r>
          </w:p>
        </w:tc>
      </w:tr>
      <w:tr w14:paraId="4422A075">
        <w:tblPrEx>
          <w:tblCellMar>
            <w:top w:w="0" w:type="dxa"/>
            <w:left w:w="0" w:type="dxa"/>
            <w:bottom w:w="0" w:type="dxa"/>
            <w:right w:w="0" w:type="dxa"/>
          </w:tblCellMar>
        </w:tblPrEx>
        <w:trPr>
          <w:wBefore w:w="0" w:type="auto"/>
          <w:tblCellSpacing w:w="0" w:type="dxa"/>
        </w:trPr>
        <w:tc>
          <w:tcPr>
            <w:tcW w:w="0" w:type="auto"/>
            <w:noWrap w:val="0"/>
            <w:vAlign w:val="center"/>
          </w:tcPr>
          <w:p w14:paraId="7923B10B">
            <w:r>
              <w:rPr>
                <w:rStyle w:val="10"/>
                <w:rFonts w:hint="eastAsia"/>
              </w:rPr>
              <w:t>注意事项：</w:t>
            </w:r>
            <w:r>
              <w:rPr>
                <w:rFonts w:hint="eastAsia"/>
              </w:rPr>
              <w:br w:type="textWrapping"/>
            </w:r>
            <w:r>
              <w:rPr>
                <w:rStyle w:val="11"/>
                <w:rFonts w:hint="eastAsia"/>
              </w:rPr>
              <w:t>/</w:t>
            </w:r>
          </w:p>
        </w:tc>
      </w:tr>
      <w:tr w14:paraId="0817AA28">
        <w:tblPrEx>
          <w:tblCellMar>
            <w:top w:w="0" w:type="dxa"/>
            <w:left w:w="0" w:type="dxa"/>
            <w:bottom w:w="0" w:type="dxa"/>
            <w:right w:w="0" w:type="dxa"/>
          </w:tblCellMar>
        </w:tblPrEx>
        <w:trPr>
          <w:wBefore w:w="0" w:type="auto"/>
          <w:tblCellSpacing w:w="0" w:type="dxa"/>
        </w:trPr>
        <w:tc>
          <w:tcPr>
            <w:tcW w:w="0" w:type="auto"/>
            <w:noWrap w:val="0"/>
            <w:vAlign w:val="center"/>
          </w:tcPr>
          <w:p w14:paraId="37CE2161">
            <w:r>
              <w:rPr>
                <w:rStyle w:val="10"/>
                <w:rFonts w:hint="eastAsia"/>
              </w:rPr>
              <w:t>中毒急救措施：</w:t>
            </w:r>
            <w:r>
              <w:rPr>
                <w:rFonts w:hint="eastAsia"/>
              </w:rPr>
              <w:br w:type="textWrapping"/>
            </w:r>
            <w:r>
              <w:rPr>
                <w:rStyle w:val="11"/>
                <w:rFonts w:hint="eastAsia"/>
              </w:rPr>
              <w:t>/</w:t>
            </w:r>
          </w:p>
        </w:tc>
      </w:tr>
      <w:tr w14:paraId="69022A62">
        <w:tblPrEx>
          <w:tblCellMar>
            <w:top w:w="0" w:type="dxa"/>
            <w:left w:w="0" w:type="dxa"/>
            <w:bottom w:w="0" w:type="dxa"/>
            <w:right w:w="0" w:type="dxa"/>
          </w:tblCellMar>
        </w:tblPrEx>
        <w:trPr>
          <w:wBefore w:w="0" w:type="auto"/>
          <w:tblCellSpacing w:w="0" w:type="dxa"/>
        </w:trPr>
        <w:tc>
          <w:tcPr>
            <w:tcW w:w="0" w:type="auto"/>
            <w:noWrap w:val="0"/>
            <w:vAlign w:val="center"/>
          </w:tcPr>
          <w:p w14:paraId="73EE07CA">
            <w:r>
              <w:rPr>
                <w:rStyle w:val="10"/>
                <w:rFonts w:hint="eastAsia"/>
              </w:rPr>
              <w:t>储存和运输方法：</w:t>
            </w:r>
            <w:r>
              <w:rPr>
                <w:rFonts w:hint="eastAsia"/>
              </w:rPr>
              <w:br w:type="textWrapping"/>
            </w:r>
            <w:r>
              <w:rPr>
                <w:rStyle w:val="11"/>
                <w:rFonts w:hint="eastAsia"/>
              </w:rPr>
              <w:t>/</w:t>
            </w:r>
          </w:p>
        </w:tc>
      </w:tr>
      <w:tr w14:paraId="466EA9F1">
        <w:tblPrEx>
          <w:tblCellMar>
            <w:top w:w="0" w:type="dxa"/>
            <w:left w:w="0" w:type="dxa"/>
            <w:bottom w:w="0" w:type="dxa"/>
            <w:right w:w="0" w:type="dxa"/>
          </w:tblCellMar>
        </w:tblPrEx>
        <w:trPr>
          <w:wBefore w:w="0" w:type="auto"/>
          <w:tblCellSpacing w:w="0" w:type="dxa"/>
        </w:trPr>
        <w:tc>
          <w:tcPr>
            <w:tcW w:w="0" w:type="auto"/>
            <w:noWrap w:val="0"/>
            <w:vAlign w:val="center"/>
          </w:tcPr>
          <w:p w14:paraId="72614774">
            <w:r>
              <w:rPr>
                <w:rStyle w:val="10"/>
                <w:rFonts w:hint="eastAsia"/>
              </w:rPr>
              <w:t>质量保证期：</w:t>
            </w:r>
            <w:r>
              <w:rPr>
                <w:rStyle w:val="11"/>
                <w:rFonts w:hint="eastAsia"/>
              </w:rPr>
              <w:t>/</w:t>
            </w:r>
          </w:p>
        </w:tc>
      </w:tr>
      <w:tr w14:paraId="3B8A0407">
        <w:tblPrEx>
          <w:tblCellMar>
            <w:top w:w="0" w:type="dxa"/>
            <w:left w:w="0" w:type="dxa"/>
            <w:bottom w:w="0" w:type="dxa"/>
            <w:right w:w="0" w:type="dxa"/>
          </w:tblCellMar>
        </w:tblPrEx>
        <w:trPr>
          <w:wBefore w:w="0" w:type="auto"/>
          <w:tblCellSpacing w:w="0" w:type="dxa"/>
        </w:trPr>
        <w:tc>
          <w:tcPr>
            <w:tcW w:w="0" w:type="auto"/>
            <w:noWrap w:val="0"/>
            <w:vAlign w:val="center"/>
          </w:tcPr>
          <w:p w14:paraId="589E59AD">
            <w:r>
              <w:rPr>
                <w:rStyle w:val="10"/>
                <w:rFonts w:hint="eastAsia"/>
              </w:rPr>
              <w:t>备注：</w:t>
            </w:r>
          </w:p>
        </w:tc>
      </w:tr>
    </w:tbl>
    <w:p w14:paraId="5A0259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CB4C76">
        <w:tblPrEx>
          <w:tblCellMar>
            <w:top w:w="0" w:type="dxa"/>
            <w:left w:w="0" w:type="dxa"/>
            <w:bottom w:w="0" w:type="dxa"/>
            <w:right w:w="0" w:type="dxa"/>
          </w:tblCellMar>
        </w:tblPrEx>
        <w:trPr>
          <w:wBefore w:w="0" w:type="auto"/>
          <w:tblCellSpacing w:w="0" w:type="dxa"/>
        </w:trPr>
        <w:tc>
          <w:tcPr>
            <w:tcW w:w="0" w:type="auto"/>
            <w:noWrap w:val="0"/>
            <w:vAlign w:val="center"/>
          </w:tcPr>
          <w:p w14:paraId="0E90B187">
            <w:r>
              <w:rPr>
                <w:rStyle w:val="10"/>
                <w:rFonts w:hint="eastAsia"/>
              </w:rPr>
              <w:t>登记证号：</w:t>
            </w:r>
            <w:r>
              <w:rPr>
                <w:rFonts w:hint="eastAsia"/>
              </w:rPr>
              <w:t>PD20181694</w:t>
            </w:r>
          </w:p>
        </w:tc>
      </w:tr>
      <w:tr w14:paraId="5BB4281C">
        <w:tblPrEx>
          <w:tblCellMar>
            <w:top w:w="0" w:type="dxa"/>
            <w:left w:w="0" w:type="dxa"/>
            <w:bottom w:w="0" w:type="dxa"/>
            <w:right w:w="0" w:type="dxa"/>
          </w:tblCellMar>
        </w:tblPrEx>
        <w:trPr>
          <w:wBefore w:w="0" w:type="auto"/>
          <w:tblCellSpacing w:w="0" w:type="dxa"/>
        </w:trPr>
        <w:tc>
          <w:tcPr>
            <w:tcW w:w="0" w:type="auto"/>
            <w:noWrap w:val="0"/>
            <w:vAlign w:val="center"/>
          </w:tcPr>
          <w:p w14:paraId="2D30ACD5">
            <w:r>
              <w:rPr>
                <w:rStyle w:val="10"/>
                <w:rFonts w:hint="eastAsia"/>
              </w:rPr>
              <w:t>登记证持有人：</w:t>
            </w:r>
            <w:r>
              <w:rPr>
                <w:rFonts w:hint="eastAsia"/>
              </w:rPr>
              <w:t>江苏省南京红太阳生物化学有限责任公司</w:t>
            </w:r>
          </w:p>
        </w:tc>
      </w:tr>
      <w:tr w14:paraId="48A25DF2">
        <w:tblPrEx>
          <w:tblCellMar>
            <w:top w:w="0" w:type="dxa"/>
            <w:left w:w="0" w:type="dxa"/>
            <w:bottom w:w="0" w:type="dxa"/>
            <w:right w:w="0" w:type="dxa"/>
          </w:tblCellMar>
        </w:tblPrEx>
        <w:trPr>
          <w:wBefore w:w="0" w:type="auto"/>
          <w:tblCellSpacing w:w="0" w:type="dxa"/>
        </w:trPr>
        <w:tc>
          <w:tcPr>
            <w:tcW w:w="0" w:type="auto"/>
            <w:noWrap w:val="0"/>
            <w:vAlign w:val="center"/>
          </w:tcPr>
          <w:p w14:paraId="7B169895">
            <w:r>
              <w:rPr>
                <w:rStyle w:val="10"/>
                <w:rFonts w:hint="eastAsia"/>
              </w:rPr>
              <w:t>农药名称：</w:t>
            </w:r>
            <w:r>
              <w:rPr>
                <w:rFonts w:hint="eastAsia"/>
              </w:rPr>
              <w:t>敌草快二氯盐</w:t>
            </w:r>
          </w:p>
        </w:tc>
      </w:tr>
      <w:tr w14:paraId="5920B19F">
        <w:tblPrEx>
          <w:tblCellMar>
            <w:top w:w="0" w:type="dxa"/>
            <w:left w:w="0" w:type="dxa"/>
            <w:bottom w:w="0" w:type="dxa"/>
            <w:right w:w="0" w:type="dxa"/>
          </w:tblCellMar>
        </w:tblPrEx>
        <w:trPr>
          <w:wBefore w:w="0" w:type="auto"/>
          <w:tblCellSpacing w:w="0" w:type="dxa"/>
        </w:trPr>
        <w:tc>
          <w:tcPr>
            <w:tcW w:w="0" w:type="auto"/>
            <w:noWrap w:val="0"/>
            <w:vAlign w:val="center"/>
          </w:tcPr>
          <w:p w14:paraId="4947D6AD">
            <w:r>
              <w:rPr>
                <w:rStyle w:val="10"/>
                <w:rFonts w:hint="eastAsia"/>
              </w:rPr>
              <w:t>剂型：</w:t>
            </w:r>
            <w:r>
              <w:rPr>
                <w:rFonts w:hint="eastAsia"/>
              </w:rPr>
              <w:t>母药</w:t>
            </w:r>
          </w:p>
        </w:tc>
      </w:tr>
      <w:tr w14:paraId="2129AD89">
        <w:tblPrEx>
          <w:tblCellMar>
            <w:top w:w="0" w:type="dxa"/>
            <w:left w:w="0" w:type="dxa"/>
            <w:bottom w:w="0" w:type="dxa"/>
            <w:right w:w="0" w:type="dxa"/>
          </w:tblCellMar>
        </w:tblPrEx>
        <w:trPr>
          <w:wBefore w:w="0" w:type="auto"/>
          <w:tblCellSpacing w:w="0" w:type="dxa"/>
        </w:trPr>
        <w:tc>
          <w:tcPr>
            <w:tcW w:w="0" w:type="auto"/>
            <w:noWrap w:val="0"/>
            <w:vAlign w:val="center"/>
          </w:tcPr>
          <w:p w14:paraId="6CF69DF5">
            <w:r>
              <w:rPr>
                <w:rStyle w:val="10"/>
                <w:rFonts w:hint="eastAsia"/>
              </w:rPr>
              <w:t>毒性及其标识：</w:t>
            </w:r>
            <w:r>
              <w:rPr>
                <w:rFonts w:hint="eastAsia"/>
              </w:rPr>
              <w:t xml:space="preserve"> </w:t>
            </w:r>
            <w:r>
              <w:rPr>
                <w:lang/>
              </w:rPr>
              <w:drawing>
                <wp:inline distT="0" distB="0" distL="114300" distR="114300">
                  <wp:extent cx="476250" cy="323850"/>
                  <wp:effectExtent l="0" t="0" r="0" b="0"/>
                  <wp:docPr id="124" name="图片 1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FE90FE">
        <w:tblPrEx>
          <w:tblCellMar>
            <w:top w:w="0" w:type="dxa"/>
            <w:left w:w="0" w:type="dxa"/>
            <w:bottom w:w="0" w:type="dxa"/>
            <w:right w:w="0" w:type="dxa"/>
          </w:tblCellMar>
        </w:tblPrEx>
        <w:trPr>
          <w:wBefore w:w="0" w:type="auto"/>
          <w:tblCellSpacing w:w="0" w:type="dxa"/>
        </w:trPr>
        <w:tc>
          <w:tcPr>
            <w:tcW w:w="0" w:type="auto"/>
            <w:noWrap w:val="0"/>
            <w:vAlign w:val="center"/>
          </w:tcPr>
          <w:p w14:paraId="31F392FB">
            <w:r>
              <w:rPr>
                <w:rStyle w:val="10"/>
                <w:rFonts w:hint="eastAsia"/>
              </w:rPr>
              <w:t>总有效成分含量：</w:t>
            </w:r>
            <w:r>
              <w:rPr>
                <w:rFonts w:hint="eastAsia"/>
              </w:rPr>
              <w:t>42%</w:t>
            </w:r>
          </w:p>
        </w:tc>
      </w:tr>
      <w:tr w14:paraId="086956B7">
        <w:tblPrEx>
          <w:tblCellMar>
            <w:top w:w="0" w:type="dxa"/>
            <w:left w:w="0" w:type="dxa"/>
            <w:bottom w:w="0" w:type="dxa"/>
            <w:right w:w="0" w:type="dxa"/>
          </w:tblCellMar>
        </w:tblPrEx>
        <w:trPr>
          <w:wBefore w:w="0" w:type="auto"/>
          <w:tblCellSpacing w:w="0" w:type="dxa"/>
        </w:trPr>
        <w:tc>
          <w:tcPr>
            <w:tcW w:w="0" w:type="auto"/>
            <w:noWrap w:val="0"/>
            <w:vAlign w:val="center"/>
          </w:tcPr>
          <w:p w14:paraId="76FEDD94">
            <w:r>
              <w:rPr>
                <w:rFonts w:hint="eastAsia"/>
              </w:rPr>
              <w:t xml:space="preserve">有效成分及其含量： </w:t>
            </w:r>
          </w:p>
          <w:p w14:paraId="648D4A23">
            <w:r>
              <w:rPr>
                <w:rFonts w:hint="eastAsia"/>
              </w:rPr>
              <w:t xml:space="preserve">    敌草快二氯盐42%    </w:t>
            </w:r>
          </w:p>
        </w:tc>
      </w:tr>
      <w:tr w14:paraId="11F2FF2F">
        <w:tblPrEx>
          <w:tblCellMar>
            <w:top w:w="0" w:type="dxa"/>
            <w:left w:w="0" w:type="dxa"/>
            <w:bottom w:w="0" w:type="dxa"/>
            <w:right w:w="0" w:type="dxa"/>
          </w:tblCellMar>
        </w:tblPrEx>
        <w:trPr>
          <w:wBefore w:w="0" w:type="auto"/>
          <w:tblCellSpacing w:w="0" w:type="dxa"/>
        </w:trPr>
        <w:tc>
          <w:tcPr>
            <w:tcW w:w="0" w:type="auto"/>
            <w:noWrap w:val="0"/>
            <w:vAlign w:val="center"/>
          </w:tcPr>
          <w:p w14:paraId="2F05967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1E82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AAAFB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8CD1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F0B3F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961A52">
                  <w:r>
                    <w:rPr>
                      <w:rStyle w:val="11"/>
                      <w:rFonts w:hint="eastAsia"/>
                    </w:rPr>
                    <w:t>施用方式</w:t>
                  </w:r>
                </w:p>
              </w:tc>
            </w:tr>
          </w:tbl>
          <w:p w14:paraId="4B59F69B">
            <w:pPr>
              <w:rPr>
                <w:rFonts w:ascii="Times New Roman" w:hAnsi="Times New Roman" w:cs="Times New Roman"/>
                <w:sz w:val="20"/>
                <w:szCs w:val="20"/>
              </w:rPr>
            </w:pPr>
          </w:p>
        </w:tc>
      </w:tr>
      <w:tr w14:paraId="6307F573">
        <w:tblPrEx>
          <w:tblCellMar>
            <w:top w:w="0" w:type="dxa"/>
            <w:left w:w="0" w:type="dxa"/>
            <w:bottom w:w="0" w:type="dxa"/>
            <w:right w:w="0" w:type="dxa"/>
          </w:tblCellMar>
        </w:tblPrEx>
        <w:trPr>
          <w:wBefore w:w="0" w:type="auto"/>
          <w:tblCellSpacing w:w="0" w:type="dxa"/>
        </w:trPr>
        <w:tc>
          <w:tcPr>
            <w:tcW w:w="0" w:type="auto"/>
            <w:noWrap w:val="0"/>
            <w:vAlign w:val="center"/>
          </w:tcPr>
          <w:p w14:paraId="7862841B">
            <w:r>
              <w:rPr>
                <w:rStyle w:val="10"/>
                <w:rFonts w:hint="eastAsia"/>
              </w:rPr>
              <w:t>使用技术要求:</w:t>
            </w:r>
            <w:r>
              <w:rPr>
                <w:rFonts w:hint="eastAsia"/>
              </w:rPr>
              <w:br w:type="textWrapping"/>
            </w:r>
            <w:r>
              <w:rPr>
                <w:rStyle w:val="11"/>
                <w:rFonts w:hint="eastAsia"/>
              </w:rPr>
              <w:t>本品是农药制剂加工的原材料，不得用于农作物或者其他场所。</w:t>
            </w:r>
          </w:p>
        </w:tc>
      </w:tr>
      <w:tr w14:paraId="261AEB4C">
        <w:tblPrEx>
          <w:tblCellMar>
            <w:top w:w="0" w:type="dxa"/>
            <w:left w:w="0" w:type="dxa"/>
            <w:bottom w:w="0" w:type="dxa"/>
            <w:right w:w="0" w:type="dxa"/>
          </w:tblCellMar>
        </w:tblPrEx>
        <w:trPr>
          <w:wBefore w:w="0" w:type="auto"/>
          <w:tblCellSpacing w:w="0" w:type="dxa"/>
        </w:trPr>
        <w:tc>
          <w:tcPr>
            <w:tcW w:w="0" w:type="auto"/>
            <w:noWrap w:val="0"/>
            <w:vAlign w:val="center"/>
          </w:tcPr>
          <w:p w14:paraId="6BAC6304">
            <w:r>
              <w:rPr>
                <w:rStyle w:val="10"/>
                <w:rFonts w:hint="eastAsia"/>
              </w:rPr>
              <w:t>产品性能:</w:t>
            </w:r>
            <w:r>
              <w:rPr>
                <w:rFonts w:hint="eastAsia"/>
              </w:rPr>
              <w:br w:type="textWrapping"/>
            </w:r>
            <w:r>
              <w:rPr>
                <w:rStyle w:val="11"/>
                <w:rFonts w:hint="eastAsia"/>
              </w:rPr>
              <w:t>本品为吡啶阳离子非选择性触杀型除草剂，稍具传导性，可被植物绿色组织迅速吸收，与土壤接触后很快失去活性。本品是农药制剂加工的原材料，不得用于农作物或者其他场所。</w:t>
            </w:r>
          </w:p>
        </w:tc>
      </w:tr>
      <w:tr w14:paraId="66E8DD34">
        <w:tblPrEx>
          <w:tblCellMar>
            <w:top w:w="0" w:type="dxa"/>
            <w:left w:w="0" w:type="dxa"/>
            <w:bottom w:w="0" w:type="dxa"/>
            <w:right w:w="0" w:type="dxa"/>
          </w:tblCellMar>
        </w:tblPrEx>
        <w:trPr>
          <w:wBefore w:w="0" w:type="auto"/>
          <w:tblCellSpacing w:w="0" w:type="dxa"/>
        </w:trPr>
        <w:tc>
          <w:tcPr>
            <w:tcW w:w="0" w:type="auto"/>
            <w:noWrap w:val="0"/>
            <w:vAlign w:val="center"/>
          </w:tcPr>
          <w:p w14:paraId="72B7A738">
            <w:r>
              <w:rPr>
                <w:rStyle w:val="10"/>
                <w:rFonts w:hint="eastAsia"/>
              </w:rPr>
              <w:t>注意事项：</w:t>
            </w:r>
            <w:r>
              <w:rPr>
                <w:rFonts w:hint="eastAsia"/>
              </w:rPr>
              <w:br w:type="textWrapping"/>
            </w:r>
            <w:r>
              <w:rPr>
                <w:rStyle w:val="11"/>
                <w:rFonts w:hint="eastAsia"/>
              </w:rPr>
              <w:t>1. 加工时要注意安全防护，配戴口罩、手套，穿防护服。工作后及时用肥皂和水洗净手脸。 2. 加工过程中产生的污水要集中排放到污水池中处理，不可污染池塘、养蜂场、蚕园等地。 3. 本品为除草剂，加工生产线为专用生产线，不可与其它产品生产装置混用。加工时，避免污染附近的作物浇灌水和作物地中，以防产生药害。 4. 儿童，孕期、哺乳期妇女禁止接触农药。 5. 使用后空桶不能用来存放食品、粮食、饲料，回收处理后可用于本产品的包装。 6. 加工车间应保持清洁整齐，注意防火，防止泄露。泄漏处理：用两倍于泄漏的农药的吸收性物料如砂子、土或锯木屑盖住泄漏物，用扫帚清除。 7. 灭火措施：一旦失火，使用喷水、抗醇泡沫、二氧化碳。本品燃烧后形成浓密的黑烟，因此在救火时应穿戴全套防护服和自吸式空气呼吸器，如用水灭火，应收集冲洗液，避免冲洗液进入下水道或附近水源。 8. 用过的容器应妥善处理，不可做它用，也不可随意丢弃。</w:t>
            </w:r>
          </w:p>
        </w:tc>
      </w:tr>
      <w:tr w14:paraId="38237BA1">
        <w:tblPrEx>
          <w:tblCellMar>
            <w:top w:w="0" w:type="dxa"/>
            <w:left w:w="0" w:type="dxa"/>
            <w:bottom w:w="0" w:type="dxa"/>
            <w:right w:w="0" w:type="dxa"/>
          </w:tblCellMar>
        </w:tblPrEx>
        <w:trPr>
          <w:wBefore w:w="0" w:type="auto"/>
          <w:tblCellSpacing w:w="0" w:type="dxa"/>
        </w:trPr>
        <w:tc>
          <w:tcPr>
            <w:tcW w:w="0" w:type="auto"/>
            <w:noWrap w:val="0"/>
            <w:vAlign w:val="center"/>
          </w:tcPr>
          <w:p w14:paraId="3CCA51DA">
            <w:r>
              <w:rPr>
                <w:rStyle w:val="10"/>
                <w:rFonts w:hint="eastAsia"/>
              </w:rPr>
              <w:t>中毒急救措施：</w:t>
            </w:r>
            <w:r>
              <w:rPr>
                <w:rFonts w:hint="eastAsia"/>
              </w:rPr>
              <w:br w:type="textWrapping"/>
            </w:r>
            <w:r>
              <w:rPr>
                <w:rStyle w:val="11"/>
                <w:rFonts w:hint="eastAsia"/>
              </w:rPr>
              <w:t>中毒症状：恶心、呕吐、腹痛、腹泻以及口、咽喉部疼痛。无面部和皮肤防护使用时可引起手指甲变形基鼻出血，如经口吞服后果非常严重，有致死性。开始口、咽部立即有烧灼感，恶心、呕吐、胃疼、胸闷，呼吸时伴有泡沫。如皮肤和眼睛接触该药时，要用大量清水冲洗至少15分钟。不慎吸入，应立即将病人移至空气清新处。本品无特殊解毒剂。误服立即携此标签将病人送医院救治。中毒可催吐，活性炭调水让病人喝下，应同时服用合适的泻药，如甘露糖醇，必要时可吸氧并用血液灌流或血液透析治疗，但切忌用抗凝血剂等。当肾功能受损时，最好进行腹膜透析，并特别注意保护病人的水及电解质的平衡，并请医生对症治疗。</w:t>
            </w:r>
          </w:p>
        </w:tc>
      </w:tr>
      <w:tr w14:paraId="7A626BB1">
        <w:tblPrEx>
          <w:tblCellMar>
            <w:top w:w="0" w:type="dxa"/>
            <w:left w:w="0" w:type="dxa"/>
            <w:bottom w:w="0" w:type="dxa"/>
            <w:right w:w="0" w:type="dxa"/>
          </w:tblCellMar>
        </w:tblPrEx>
        <w:trPr>
          <w:wBefore w:w="0" w:type="auto"/>
          <w:tblCellSpacing w:w="0" w:type="dxa"/>
        </w:trPr>
        <w:tc>
          <w:tcPr>
            <w:tcW w:w="0" w:type="auto"/>
            <w:noWrap w:val="0"/>
            <w:vAlign w:val="center"/>
          </w:tcPr>
          <w:p w14:paraId="0033F324">
            <w:r>
              <w:rPr>
                <w:rStyle w:val="10"/>
                <w:rFonts w:hint="eastAsia"/>
              </w:rPr>
              <w:t>储存和运输方法：</w:t>
            </w:r>
            <w:r>
              <w:rPr>
                <w:rFonts w:hint="eastAsia"/>
              </w:rPr>
              <w:br w:type="textWrapping"/>
            </w:r>
            <w:r>
              <w:rPr>
                <w:rStyle w:val="11"/>
                <w:rFonts w:hint="eastAsia"/>
              </w:rPr>
              <w:t>本品宜保存于通风、阴凉、干燥库房中。远离火源或热源。贮运时，严防潮湿和日晒，不能与食品、饮料、粮食、饲料等物品同贮同运。避免与皮肤、眼睛接触，防止由口鼻吸入。贮存于儿童接触不到的地方并加锁。贮运过程中严防泄漏。</w:t>
            </w:r>
          </w:p>
        </w:tc>
      </w:tr>
      <w:tr w14:paraId="64C8F06B">
        <w:tblPrEx>
          <w:tblCellMar>
            <w:top w:w="0" w:type="dxa"/>
            <w:left w:w="0" w:type="dxa"/>
            <w:bottom w:w="0" w:type="dxa"/>
            <w:right w:w="0" w:type="dxa"/>
          </w:tblCellMar>
        </w:tblPrEx>
        <w:trPr>
          <w:wBefore w:w="0" w:type="auto"/>
          <w:tblCellSpacing w:w="0" w:type="dxa"/>
        </w:trPr>
        <w:tc>
          <w:tcPr>
            <w:tcW w:w="0" w:type="auto"/>
            <w:noWrap w:val="0"/>
            <w:vAlign w:val="center"/>
          </w:tcPr>
          <w:p w14:paraId="688E9060">
            <w:r>
              <w:rPr>
                <w:rStyle w:val="10"/>
                <w:rFonts w:hint="eastAsia"/>
              </w:rPr>
              <w:t>质量保证期：</w:t>
            </w:r>
            <w:r>
              <w:rPr>
                <w:rStyle w:val="11"/>
                <w:rFonts w:hint="eastAsia"/>
              </w:rPr>
              <w:t>2年</w:t>
            </w:r>
          </w:p>
        </w:tc>
      </w:tr>
      <w:tr w14:paraId="65226648">
        <w:tblPrEx>
          <w:tblCellMar>
            <w:top w:w="0" w:type="dxa"/>
            <w:left w:w="0" w:type="dxa"/>
            <w:bottom w:w="0" w:type="dxa"/>
            <w:right w:w="0" w:type="dxa"/>
          </w:tblCellMar>
        </w:tblPrEx>
        <w:trPr>
          <w:wBefore w:w="0" w:type="auto"/>
          <w:tblCellSpacing w:w="0" w:type="dxa"/>
        </w:trPr>
        <w:tc>
          <w:tcPr>
            <w:tcW w:w="0" w:type="auto"/>
            <w:noWrap w:val="0"/>
            <w:vAlign w:val="center"/>
          </w:tcPr>
          <w:p w14:paraId="7756F636">
            <w:r>
              <w:rPr>
                <w:rStyle w:val="10"/>
                <w:rFonts w:hint="eastAsia"/>
              </w:rPr>
              <w:t>备注：</w:t>
            </w:r>
          </w:p>
        </w:tc>
      </w:tr>
    </w:tbl>
    <w:p w14:paraId="27D388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3295EA">
        <w:tblPrEx>
          <w:tblCellMar>
            <w:top w:w="0" w:type="dxa"/>
            <w:left w:w="0" w:type="dxa"/>
            <w:bottom w:w="0" w:type="dxa"/>
            <w:right w:w="0" w:type="dxa"/>
          </w:tblCellMar>
        </w:tblPrEx>
        <w:trPr>
          <w:wBefore w:w="0" w:type="auto"/>
          <w:tblCellSpacing w:w="0" w:type="dxa"/>
        </w:trPr>
        <w:tc>
          <w:tcPr>
            <w:tcW w:w="0" w:type="auto"/>
            <w:noWrap w:val="0"/>
            <w:vAlign w:val="center"/>
          </w:tcPr>
          <w:p w14:paraId="6C1EAE15">
            <w:r>
              <w:rPr>
                <w:rStyle w:val="10"/>
                <w:rFonts w:hint="eastAsia"/>
              </w:rPr>
              <w:t>登记证号：</w:t>
            </w:r>
            <w:r>
              <w:rPr>
                <w:rFonts w:hint="eastAsia"/>
              </w:rPr>
              <w:t>PD20131957</w:t>
            </w:r>
          </w:p>
        </w:tc>
      </w:tr>
      <w:tr w14:paraId="678344BF">
        <w:tblPrEx>
          <w:tblCellMar>
            <w:top w:w="0" w:type="dxa"/>
            <w:left w:w="0" w:type="dxa"/>
            <w:bottom w:w="0" w:type="dxa"/>
            <w:right w:w="0" w:type="dxa"/>
          </w:tblCellMar>
        </w:tblPrEx>
        <w:trPr>
          <w:wBefore w:w="0" w:type="auto"/>
          <w:tblCellSpacing w:w="0" w:type="dxa"/>
        </w:trPr>
        <w:tc>
          <w:tcPr>
            <w:tcW w:w="0" w:type="auto"/>
            <w:noWrap w:val="0"/>
            <w:vAlign w:val="center"/>
          </w:tcPr>
          <w:p w14:paraId="6672AF76">
            <w:r>
              <w:rPr>
                <w:rStyle w:val="10"/>
                <w:rFonts w:hint="eastAsia"/>
              </w:rPr>
              <w:t>登记证持有人：</w:t>
            </w:r>
            <w:r>
              <w:rPr>
                <w:rFonts w:hint="eastAsia"/>
              </w:rPr>
              <w:t>四川利尔作物科学有限公司</w:t>
            </w:r>
          </w:p>
        </w:tc>
      </w:tr>
      <w:tr w14:paraId="7FBD58B6">
        <w:tblPrEx>
          <w:tblCellMar>
            <w:top w:w="0" w:type="dxa"/>
            <w:left w:w="0" w:type="dxa"/>
            <w:bottom w:w="0" w:type="dxa"/>
            <w:right w:w="0" w:type="dxa"/>
          </w:tblCellMar>
        </w:tblPrEx>
        <w:trPr>
          <w:wBefore w:w="0" w:type="auto"/>
          <w:tblCellSpacing w:w="0" w:type="dxa"/>
        </w:trPr>
        <w:tc>
          <w:tcPr>
            <w:tcW w:w="0" w:type="auto"/>
            <w:noWrap w:val="0"/>
            <w:vAlign w:val="center"/>
          </w:tcPr>
          <w:p w14:paraId="487FEA85">
            <w:r>
              <w:rPr>
                <w:rStyle w:val="10"/>
                <w:rFonts w:hint="eastAsia"/>
              </w:rPr>
              <w:t>农药名称：</w:t>
            </w:r>
            <w:r>
              <w:rPr>
                <w:rFonts w:hint="eastAsia"/>
              </w:rPr>
              <w:t>甲氰菊酯</w:t>
            </w:r>
          </w:p>
        </w:tc>
      </w:tr>
      <w:tr w14:paraId="35EFBE39">
        <w:tblPrEx>
          <w:tblCellMar>
            <w:top w:w="0" w:type="dxa"/>
            <w:left w:w="0" w:type="dxa"/>
            <w:bottom w:w="0" w:type="dxa"/>
            <w:right w:w="0" w:type="dxa"/>
          </w:tblCellMar>
        </w:tblPrEx>
        <w:trPr>
          <w:wBefore w:w="0" w:type="auto"/>
          <w:tblCellSpacing w:w="0" w:type="dxa"/>
        </w:trPr>
        <w:tc>
          <w:tcPr>
            <w:tcW w:w="0" w:type="auto"/>
            <w:noWrap w:val="0"/>
            <w:vAlign w:val="center"/>
          </w:tcPr>
          <w:p w14:paraId="150DD196">
            <w:r>
              <w:rPr>
                <w:rStyle w:val="10"/>
                <w:rFonts w:hint="eastAsia"/>
              </w:rPr>
              <w:t>剂型：</w:t>
            </w:r>
            <w:r>
              <w:rPr>
                <w:rFonts w:hint="eastAsia"/>
              </w:rPr>
              <w:t>乳油</w:t>
            </w:r>
          </w:p>
        </w:tc>
      </w:tr>
      <w:tr w14:paraId="0450D19B">
        <w:tblPrEx>
          <w:tblCellMar>
            <w:top w:w="0" w:type="dxa"/>
            <w:left w:w="0" w:type="dxa"/>
            <w:bottom w:w="0" w:type="dxa"/>
            <w:right w:w="0" w:type="dxa"/>
          </w:tblCellMar>
        </w:tblPrEx>
        <w:trPr>
          <w:wBefore w:w="0" w:type="auto"/>
          <w:tblCellSpacing w:w="0" w:type="dxa"/>
        </w:trPr>
        <w:tc>
          <w:tcPr>
            <w:tcW w:w="0" w:type="auto"/>
            <w:noWrap w:val="0"/>
            <w:vAlign w:val="center"/>
          </w:tcPr>
          <w:p w14:paraId="1856BD09">
            <w:r>
              <w:rPr>
                <w:rStyle w:val="10"/>
                <w:rFonts w:hint="eastAsia"/>
              </w:rPr>
              <w:t>毒性及其标识：</w:t>
            </w:r>
            <w:r>
              <w:rPr>
                <w:rFonts w:hint="eastAsia"/>
              </w:rPr>
              <w:t xml:space="preserve"> </w:t>
            </w:r>
            <w:r>
              <w:rPr>
                <w:lang/>
              </w:rPr>
              <w:drawing>
                <wp:inline distT="0" distB="0" distL="114300" distR="114300">
                  <wp:extent cx="476250" cy="323850"/>
                  <wp:effectExtent l="0" t="0" r="0" b="0"/>
                  <wp:docPr id="125" name="图片 125"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2884C434">
        <w:tblPrEx>
          <w:tblCellMar>
            <w:top w:w="0" w:type="dxa"/>
            <w:left w:w="0" w:type="dxa"/>
            <w:bottom w:w="0" w:type="dxa"/>
            <w:right w:w="0" w:type="dxa"/>
          </w:tblCellMar>
        </w:tblPrEx>
        <w:trPr>
          <w:wBefore w:w="0" w:type="auto"/>
          <w:tblCellSpacing w:w="0" w:type="dxa"/>
        </w:trPr>
        <w:tc>
          <w:tcPr>
            <w:tcW w:w="0" w:type="auto"/>
            <w:noWrap w:val="0"/>
            <w:vAlign w:val="center"/>
          </w:tcPr>
          <w:p w14:paraId="1DF11FDA">
            <w:r>
              <w:rPr>
                <w:rStyle w:val="10"/>
                <w:rFonts w:hint="eastAsia"/>
              </w:rPr>
              <w:t>总有效成分含量：</w:t>
            </w:r>
            <w:r>
              <w:rPr>
                <w:rFonts w:hint="eastAsia"/>
              </w:rPr>
              <w:t>20%</w:t>
            </w:r>
          </w:p>
        </w:tc>
      </w:tr>
      <w:tr w14:paraId="4E553B27">
        <w:tblPrEx>
          <w:tblCellMar>
            <w:top w:w="0" w:type="dxa"/>
            <w:left w:w="0" w:type="dxa"/>
            <w:bottom w:w="0" w:type="dxa"/>
            <w:right w:w="0" w:type="dxa"/>
          </w:tblCellMar>
        </w:tblPrEx>
        <w:trPr>
          <w:wBefore w:w="0" w:type="auto"/>
          <w:tblCellSpacing w:w="0" w:type="dxa"/>
        </w:trPr>
        <w:tc>
          <w:tcPr>
            <w:tcW w:w="0" w:type="auto"/>
            <w:noWrap w:val="0"/>
            <w:vAlign w:val="center"/>
          </w:tcPr>
          <w:p w14:paraId="1D88BB20">
            <w:r>
              <w:rPr>
                <w:rFonts w:hint="eastAsia"/>
              </w:rPr>
              <w:t xml:space="preserve">有效成分及其含量： </w:t>
            </w:r>
          </w:p>
          <w:p w14:paraId="515092B8">
            <w:r>
              <w:rPr>
                <w:rFonts w:hint="eastAsia"/>
              </w:rPr>
              <w:t xml:space="preserve">    甲氰菊酯20%    </w:t>
            </w:r>
          </w:p>
        </w:tc>
      </w:tr>
      <w:tr w14:paraId="761D5ACE">
        <w:tblPrEx>
          <w:tblCellMar>
            <w:top w:w="0" w:type="dxa"/>
            <w:left w:w="0" w:type="dxa"/>
            <w:bottom w:w="0" w:type="dxa"/>
            <w:right w:w="0" w:type="dxa"/>
          </w:tblCellMar>
        </w:tblPrEx>
        <w:trPr>
          <w:wBefore w:w="0" w:type="auto"/>
          <w:tblCellSpacing w:w="0" w:type="dxa"/>
        </w:trPr>
        <w:tc>
          <w:tcPr>
            <w:tcW w:w="0" w:type="auto"/>
            <w:noWrap w:val="0"/>
            <w:vAlign w:val="center"/>
          </w:tcPr>
          <w:p w14:paraId="740EE3B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A5B8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61A3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0AD3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727E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E1BBDB">
                  <w:r>
                    <w:rPr>
                      <w:rStyle w:val="11"/>
                      <w:rFonts w:hint="eastAsia"/>
                    </w:rPr>
                    <w:t>施用方式</w:t>
                  </w:r>
                </w:p>
              </w:tc>
            </w:tr>
            <w:tr w14:paraId="69FFA6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CB472F">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8287D3">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AB42E1">
                  <w:r>
                    <w:rPr>
                      <w:rStyle w:val="11"/>
                      <w:rFonts w:hint="eastAsia"/>
                    </w:rPr>
                    <w:t>1300-4000倍液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B4754F">
                  <w:r>
                    <w:rPr>
                      <w:rStyle w:val="11"/>
                      <w:rFonts w:hint="eastAsia"/>
                    </w:rPr>
                    <w:t>喷雾</w:t>
                  </w:r>
                </w:p>
              </w:tc>
            </w:tr>
          </w:tbl>
          <w:p w14:paraId="7A282A2E">
            <w:pPr>
              <w:rPr>
                <w:rFonts w:ascii="Times New Roman" w:hAnsi="Times New Roman" w:cs="Times New Roman"/>
                <w:sz w:val="20"/>
                <w:szCs w:val="20"/>
              </w:rPr>
            </w:pPr>
          </w:p>
        </w:tc>
      </w:tr>
      <w:tr w14:paraId="32A766EB">
        <w:tblPrEx>
          <w:tblCellMar>
            <w:top w:w="0" w:type="dxa"/>
            <w:left w:w="0" w:type="dxa"/>
            <w:bottom w:w="0" w:type="dxa"/>
            <w:right w:w="0" w:type="dxa"/>
          </w:tblCellMar>
        </w:tblPrEx>
        <w:trPr>
          <w:wBefore w:w="0" w:type="auto"/>
          <w:tblCellSpacing w:w="0" w:type="dxa"/>
        </w:trPr>
        <w:tc>
          <w:tcPr>
            <w:tcW w:w="0" w:type="auto"/>
            <w:noWrap w:val="0"/>
            <w:vAlign w:val="center"/>
          </w:tcPr>
          <w:p w14:paraId="6ECE140A">
            <w:r>
              <w:rPr>
                <w:rStyle w:val="10"/>
                <w:rFonts w:hint="eastAsia"/>
              </w:rPr>
              <w:t>使用技术要求:</w:t>
            </w:r>
            <w:r>
              <w:rPr>
                <w:rFonts w:hint="eastAsia"/>
              </w:rPr>
              <w:br w:type="textWrapping"/>
            </w:r>
            <w:r>
              <w:rPr>
                <w:rStyle w:val="11"/>
                <w:rFonts w:hint="eastAsia"/>
              </w:rPr>
              <w:t>/</w:t>
            </w:r>
          </w:p>
        </w:tc>
      </w:tr>
      <w:tr w14:paraId="2558D3AF">
        <w:tblPrEx>
          <w:tblCellMar>
            <w:top w:w="0" w:type="dxa"/>
            <w:left w:w="0" w:type="dxa"/>
            <w:bottom w:w="0" w:type="dxa"/>
            <w:right w:w="0" w:type="dxa"/>
          </w:tblCellMar>
        </w:tblPrEx>
        <w:trPr>
          <w:wBefore w:w="0" w:type="auto"/>
          <w:tblCellSpacing w:w="0" w:type="dxa"/>
        </w:trPr>
        <w:tc>
          <w:tcPr>
            <w:tcW w:w="0" w:type="auto"/>
            <w:noWrap w:val="0"/>
            <w:vAlign w:val="center"/>
          </w:tcPr>
          <w:p w14:paraId="458A6A24">
            <w:r>
              <w:rPr>
                <w:rStyle w:val="10"/>
                <w:rFonts w:hint="eastAsia"/>
              </w:rPr>
              <w:t>产品性能:</w:t>
            </w:r>
            <w:r>
              <w:rPr>
                <w:rFonts w:hint="eastAsia"/>
              </w:rPr>
              <w:br w:type="textWrapping"/>
            </w:r>
            <w:r>
              <w:rPr>
                <w:rStyle w:val="11"/>
                <w:rFonts w:hint="eastAsia"/>
              </w:rPr>
              <w:t>/</w:t>
            </w:r>
          </w:p>
        </w:tc>
      </w:tr>
      <w:tr w14:paraId="0AFEFE24">
        <w:tblPrEx>
          <w:tblCellMar>
            <w:top w:w="0" w:type="dxa"/>
            <w:left w:w="0" w:type="dxa"/>
            <w:bottom w:w="0" w:type="dxa"/>
            <w:right w:w="0" w:type="dxa"/>
          </w:tblCellMar>
        </w:tblPrEx>
        <w:trPr>
          <w:wBefore w:w="0" w:type="auto"/>
          <w:tblCellSpacing w:w="0" w:type="dxa"/>
        </w:trPr>
        <w:tc>
          <w:tcPr>
            <w:tcW w:w="0" w:type="auto"/>
            <w:noWrap w:val="0"/>
            <w:vAlign w:val="center"/>
          </w:tcPr>
          <w:p w14:paraId="592EFE4C">
            <w:r>
              <w:rPr>
                <w:rStyle w:val="10"/>
                <w:rFonts w:hint="eastAsia"/>
              </w:rPr>
              <w:t>注意事项：</w:t>
            </w:r>
            <w:r>
              <w:rPr>
                <w:rFonts w:hint="eastAsia"/>
              </w:rPr>
              <w:br w:type="textWrapping"/>
            </w:r>
            <w:r>
              <w:rPr>
                <w:rStyle w:val="11"/>
                <w:rFonts w:hint="eastAsia"/>
              </w:rPr>
              <w:t>/</w:t>
            </w:r>
          </w:p>
        </w:tc>
      </w:tr>
      <w:tr w14:paraId="007F446F">
        <w:tblPrEx>
          <w:tblCellMar>
            <w:top w:w="0" w:type="dxa"/>
            <w:left w:w="0" w:type="dxa"/>
            <w:bottom w:w="0" w:type="dxa"/>
            <w:right w:w="0" w:type="dxa"/>
          </w:tblCellMar>
        </w:tblPrEx>
        <w:trPr>
          <w:wBefore w:w="0" w:type="auto"/>
          <w:tblCellSpacing w:w="0" w:type="dxa"/>
        </w:trPr>
        <w:tc>
          <w:tcPr>
            <w:tcW w:w="0" w:type="auto"/>
            <w:noWrap w:val="0"/>
            <w:vAlign w:val="center"/>
          </w:tcPr>
          <w:p w14:paraId="7EC88CCB">
            <w:r>
              <w:rPr>
                <w:rStyle w:val="10"/>
                <w:rFonts w:hint="eastAsia"/>
              </w:rPr>
              <w:t>中毒急救措施：</w:t>
            </w:r>
            <w:r>
              <w:rPr>
                <w:rFonts w:hint="eastAsia"/>
              </w:rPr>
              <w:br w:type="textWrapping"/>
            </w:r>
            <w:r>
              <w:rPr>
                <w:rStyle w:val="11"/>
                <w:rFonts w:hint="eastAsia"/>
              </w:rPr>
              <w:t>/</w:t>
            </w:r>
          </w:p>
        </w:tc>
      </w:tr>
      <w:tr w14:paraId="3FC2A440">
        <w:tblPrEx>
          <w:tblCellMar>
            <w:top w:w="0" w:type="dxa"/>
            <w:left w:w="0" w:type="dxa"/>
            <w:bottom w:w="0" w:type="dxa"/>
            <w:right w:w="0" w:type="dxa"/>
          </w:tblCellMar>
        </w:tblPrEx>
        <w:trPr>
          <w:wBefore w:w="0" w:type="auto"/>
          <w:tblCellSpacing w:w="0" w:type="dxa"/>
        </w:trPr>
        <w:tc>
          <w:tcPr>
            <w:tcW w:w="0" w:type="auto"/>
            <w:noWrap w:val="0"/>
            <w:vAlign w:val="center"/>
          </w:tcPr>
          <w:p w14:paraId="617C8907">
            <w:r>
              <w:rPr>
                <w:rStyle w:val="10"/>
                <w:rFonts w:hint="eastAsia"/>
              </w:rPr>
              <w:t>储存和运输方法：</w:t>
            </w:r>
            <w:r>
              <w:rPr>
                <w:rFonts w:hint="eastAsia"/>
              </w:rPr>
              <w:br w:type="textWrapping"/>
            </w:r>
            <w:r>
              <w:rPr>
                <w:rStyle w:val="11"/>
                <w:rFonts w:hint="eastAsia"/>
              </w:rPr>
              <w:t>/</w:t>
            </w:r>
          </w:p>
        </w:tc>
      </w:tr>
      <w:tr w14:paraId="5A682791">
        <w:tblPrEx>
          <w:tblCellMar>
            <w:top w:w="0" w:type="dxa"/>
            <w:left w:w="0" w:type="dxa"/>
            <w:bottom w:w="0" w:type="dxa"/>
            <w:right w:w="0" w:type="dxa"/>
          </w:tblCellMar>
        </w:tblPrEx>
        <w:trPr>
          <w:wBefore w:w="0" w:type="auto"/>
          <w:tblCellSpacing w:w="0" w:type="dxa"/>
        </w:trPr>
        <w:tc>
          <w:tcPr>
            <w:tcW w:w="0" w:type="auto"/>
            <w:noWrap w:val="0"/>
            <w:vAlign w:val="center"/>
          </w:tcPr>
          <w:p w14:paraId="446C3F60">
            <w:r>
              <w:rPr>
                <w:rStyle w:val="10"/>
                <w:rFonts w:hint="eastAsia"/>
              </w:rPr>
              <w:t>质量保证期：</w:t>
            </w:r>
            <w:r>
              <w:rPr>
                <w:rStyle w:val="11"/>
                <w:rFonts w:hint="eastAsia"/>
              </w:rPr>
              <w:t>/</w:t>
            </w:r>
          </w:p>
        </w:tc>
      </w:tr>
      <w:tr w14:paraId="09314449">
        <w:tblPrEx>
          <w:tblCellMar>
            <w:top w:w="0" w:type="dxa"/>
            <w:left w:w="0" w:type="dxa"/>
            <w:bottom w:w="0" w:type="dxa"/>
            <w:right w:w="0" w:type="dxa"/>
          </w:tblCellMar>
        </w:tblPrEx>
        <w:trPr>
          <w:wBefore w:w="0" w:type="auto"/>
          <w:tblCellSpacing w:w="0" w:type="dxa"/>
        </w:trPr>
        <w:tc>
          <w:tcPr>
            <w:tcW w:w="0" w:type="auto"/>
            <w:noWrap w:val="0"/>
            <w:vAlign w:val="center"/>
          </w:tcPr>
          <w:p w14:paraId="12288570">
            <w:r>
              <w:rPr>
                <w:rStyle w:val="10"/>
                <w:rFonts w:hint="eastAsia"/>
              </w:rPr>
              <w:t>备注：</w:t>
            </w:r>
          </w:p>
        </w:tc>
      </w:tr>
    </w:tbl>
    <w:p w14:paraId="7034C2F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2E3923">
        <w:tblPrEx>
          <w:tblCellMar>
            <w:top w:w="0" w:type="dxa"/>
            <w:left w:w="0" w:type="dxa"/>
            <w:bottom w:w="0" w:type="dxa"/>
            <w:right w:w="0" w:type="dxa"/>
          </w:tblCellMar>
        </w:tblPrEx>
        <w:trPr>
          <w:wBefore w:w="0" w:type="auto"/>
          <w:tblCellSpacing w:w="0" w:type="dxa"/>
        </w:trPr>
        <w:tc>
          <w:tcPr>
            <w:tcW w:w="0" w:type="auto"/>
            <w:noWrap w:val="0"/>
            <w:vAlign w:val="center"/>
          </w:tcPr>
          <w:p w14:paraId="42F7CDE1">
            <w:r>
              <w:rPr>
                <w:rStyle w:val="10"/>
                <w:rFonts w:hint="eastAsia"/>
              </w:rPr>
              <w:t>登记证号：</w:t>
            </w:r>
            <w:r>
              <w:rPr>
                <w:rFonts w:hint="eastAsia"/>
              </w:rPr>
              <w:t>WP20210374</w:t>
            </w:r>
          </w:p>
        </w:tc>
      </w:tr>
      <w:tr w14:paraId="466A4BBA">
        <w:tblPrEx>
          <w:tblCellMar>
            <w:top w:w="0" w:type="dxa"/>
            <w:left w:w="0" w:type="dxa"/>
            <w:bottom w:w="0" w:type="dxa"/>
            <w:right w:w="0" w:type="dxa"/>
          </w:tblCellMar>
        </w:tblPrEx>
        <w:trPr>
          <w:wBefore w:w="0" w:type="auto"/>
          <w:tblCellSpacing w:w="0" w:type="dxa"/>
        </w:trPr>
        <w:tc>
          <w:tcPr>
            <w:tcW w:w="0" w:type="auto"/>
            <w:noWrap w:val="0"/>
            <w:vAlign w:val="center"/>
          </w:tcPr>
          <w:p w14:paraId="1300E597">
            <w:r>
              <w:rPr>
                <w:rStyle w:val="10"/>
                <w:rFonts w:hint="eastAsia"/>
              </w:rPr>
              <w:t>登记证持有人：</w:t>
            </w:r>
            <w:r>
              <w:rPr>
                <w:rFonts w:hint="eastAsia"/>
              </w:rPr>
              <w:t>江苏功成生物科技有限公司</w:t>
            </w:r>
          </w:p>
        </w:tc>
      </w:tr>
      <w:tr w14:paraId="3E3ECD37">
        <w:tblPrEx>
          <w:tblCellMar>
            <w:top w:w="0" w:type="dxa"/>
            <w:left w:w="0" w:type="dxa"/>
            <w:bottom w:w="0" w:type="dxa"/>
            <w:right w:w="0" w:type="dxa"/>
          </w:tblCellMar>
        </w:tblPrEx>
        <w:trPr>
          <w:wBefore w:w="0" w:type="auto"/>
          <w:tblCellSpacing w:w="0" w:type="dxa"/>
        </w:trPr>
        <w:tc>
          <w:tcPr>
            <w:tcW w:w="0" w:type="auto"/>
            <w:noWrap w:val="0"/>
            <w:vAlign w:val="center"/>
          </w:tcPr>
          <w:p w14:paraId="65052585">
            <w:r>
              <w:rPr>
                <w:rStyle w:val="10"/>
                <w:rFonts w:hint="eastAsia"/>
              </w:rPr>
              <w:t>农药名称：</w:t>
            </w:r>
            <w:r>
              <w:rPr>
                <w:rFonts w:hint="eastAsia"/>
              </w:rPr>
              <w:t>呋虫胺</w:t>
            </w:r>
          </w:p>
        </w:tc>
      </w:tr>
      <w:tr w14:paraId="256CF667">
        <w:tblPrEx>
          <w:tblCellMar>
            <w:top w:w="0" w:type="dxa"/>
            <w:left w:w="0" w:type="dxa"/>
            <w:bottom w:w="0" w:type="dxa"/>
            <w:right w:w="0" w:type="dxa"/>
          </w:tblCellMar>
        </w:tblPrEx>
        <w:trPr>
          <w:wBefore w:w="0" w:type="auto"/>
          <w:tblCellSpacing w:w="0" w:type="dxa"/>
        </w:trPr>
        <w:tc>
          <w:tcPr>
            <w:tcW w:w="0" w:type="auto"/>
            <w:noWrap w:val="0"/>
            <w:vAlign w:val="center"/>
          </w:tcPr>
          <w:p w14:paraId="7C6233B5">
            <w:r>
              <w:rPr>
                <w:rStyle w:val="10"/>
                <w:rFonts w:hint="eastAsia"/>
              </w:rPr>
              <w:t>剂型：</w:t>
            </w:r>
            <w:r>
              <w:rPr>
                <w:rFonts w:hint="eastAsia"/>
              </w:rPr>
              <w:t>浓饵剂</w:t>
            </w:r>
          </w:p>
        </w:tc>
      </w:tr>
      <w:tr w14:paraId="4629E847">
        <w:tblPrEx>
          <w:tblCellMar>
            <w:top w:w="0" w:type="dxa"/>
            <w:left w:w="0" w:type="dxa"/>
            <w:bottom w:w="0" w:type="dxa"/>
            <w:right w:w="0" w:type="dxa"/>
          </w:tblCellMar>
        </w:tblPrEx>
        <w:trPr>
          <w:wBefore w:w="0" w:type="auto"/>
          <w:tblCellSpacing w:w="0" w:type="dxa"/>
        </w:trPr>
        <w:tc>
          <w:tcPr>
            <w:tcW w:w="0" w:type="auto"/>
            <w:noWrap w:val="0"/>
            <w:vAlign w:val="center"/>
          </w:tcPr>
          <w:p w14:paraId="75020912">
            <w:r>
              <w:rPr>
                <w:rStyle w:val="10"/>
                <w:rFonts w:hint="eastAsia"/>
              </w:rPr>
              <w:t>毒性及其标识：</w:t>
            </w:r>
            <w:r>
              <w:rPr>
                <w:rFonts w:hint="eastAsia"/>
              </w:rPr>
              <w:t xml:space="preserve"> </w:t>
            </w:r>
            <w:r>
              <w:rPr>
                <w:lang/>
              </w:rPr>
              <w:drawing>
                <wp:inline distT="0" distB="0" distL="114300" distR="114300">
                  <wp:extent cx="476250" cy="323850"/>
                  <wp:effectExtent l="0" t="0" r="0" b="0"/>
                  <wp:docPr id="126" name="图片 1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A384C4">
        <w:tblPrEx>
          <w:tblCellMar>
            <w:top w:w="0" w:type="dxa"/>
            <w:left w:w="0" w:type="dxa"/>
            <w:bottom w:w="0" w:type="dxa"/>
            <w:right w:w="0" w:type="dxa"/>
          </w:tblCellMar>
        </w:tblPrEx>
        <w:trPr>
          <w:wBefore w:w="0" w:type="auto"/>
          <w:tblCellSpacing w:w="0" w:type="dxa"/>
        </w:trPr>
        <w:tc>
          <w:tcPr>
            <w:tcW w:w="0" w:type="auto"/>
            <w:noWrap w:val="0"/>
            <w:vAlign w:val="center"/>
          </w:tcPr>
          <w:p w14:paraId="2237CEDF">
            <w:r>
              <w:rPr>
                <w:rStyle w:val="10"/>
                <w:rFonts w:hint="eastAsia"/>
              </w:rPr>
              <w:t>总有效成分含量：</w:t>
            </w:r>
            <w:r>
              <w:rPr>
                <w:rFonts w:hint="eastAsia"/>
              </w:rPr>
              <w:t>10%</w:t>
            </w:r>
          </w:p>
        </w:tc>
      </w:tr>
      <w:tr w14:paraId="2398C8D8">
        <w:tblPrEx>
          <w:tblCellMar>
            <w:top w:w="0" w:type="dxa"/>
            <w:left w:w="0" w:type="dxa"/>
            <w:bottom w:w="0" w:type="dxa"/>
            <w:right w:w="0" w:type="dxa"/>
          </w:tblCellMar>
        </w:tblPrEx>
        <w:trPr>
          <w:wBefore w:w="0" w:type="auto"/>
          <w:tblCellSpacing w:w="0" w:type="dxa"/>
        </w:trPr>
        <w:tc>
          <w:tcPr>
            <w:tcW w:w="0" w:type="auto"/>
            <w:noWrap w:val="0"/>
            <w:vAlign w:val="center"/>
          </w:tcPr>
          <w:p w14:paraId="6EC837BA">
            <w:r>
              <w:rPr>
                <w:rFonts w:hint="eastAsia"/>
              </w:rPr>
              <w:t xml:space="preserve">有效成分及其含量： </w:t>
            </w:r>
          </w:p>
          <w:p w14:paraId="47F23C45">
            <w:r>
              <w:rPr>
                <w:rFonts w:hint="eastAsia"/>
              </w:rPr>
              <w:t xml:space="preserve">    呋虫胺10%    </w:t>
            </w:r>
          </w:p>
        </w:tc>
      </w:tr>
      <w:tr w14:paraId="0285FBBB">
        <w:tblPrEx>
          <w:tblCellMar>
            <w:top w:w="0" w:type="dxa"/>
            <w:left w:w="0" w:type="dxa"/>
            <w:bottom w:w="0" w:type="dxa"/>
            <w:right w:w="0" w:type="dxa"/>
          </w:tblCellMar>
        </w:tblPrEx>
        <w:trPr>
          <w:wBefore w:w="0" w:type="auto"/>
          <w:tblCellSpacing w:w="0" w:type="dxa"/>
        </w:trPr>
        <w:tc>
          <w:tcPr>
            <w:tcW w:w="0" w:type="auto"/>
            <w:noWrap w:val="0"/>
            <w:vAlign w:val="center"/>
          </w:tcPr>
          <w:p w14:paraId="5D2D1F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8376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8920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ED19B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617ED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DDFE4C">
                  <w:r>
                    <w:rPr>
                      <w:rStyle w:val="11"/>
                      <w:rFonts w:hint="eastAsia"/>
                    </w:rPr>
                    <w:t>施用方式</w:t>
                  </w:r>
                </w:p>
              </w:tc>
            </w:tr>
            <w:tr w14:paraId="029974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223A7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429609">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0F973B">
                  <w:r>
                    <w:rPr>
                      <w:rStyle w:val="11"/>
                      <w:rFonts w:hint="eastAsia"/>
                    </w:rPr>
                    <w:t>0.2克/平方米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C25B86">
                  <w:r>
                    <w:rPr>
                      <w:rStyle w:val="11"/>
                      <w:rFonts w:hint="eastAsia"/>
                    </w:rPr>
                    <w:t>喷洒</w:t>
                  </w:r>
                </w:p>
              </w:tc>
            </w:tr>
          </w:tbl>
          <w:p w14:paraId="7F79552A">
            <w:pPr>
              <w:rPr>
                <w:rFonts w:ascii="Times New Roman" w:hAnsi="Times New Roman" w:cs="Times New Roman"/>
                <w:sz w:val="20"/>
                <w:szCs w:val="20"/>
              </w:rPr>
            </w:pPr>
          </w:p>
        </w:tc>
      </w:tr>
      <w:tr w14:paraId="751C2861">
        <w:tblPrEx>
          <w:tblCellMar>
            <w:top w:w="0" w:type="dxa"/>
            <w:left w:w="0" w:type="dxa"/>
            <w:bottom w:w="0" w:type="dxa"/>
            <w:right w:w="0" w:type="dxa"/>
          </w:tblCellMar>
        </w:tblPrEx>
        <w:trPr>
          <w:wBefore w:w="0" w:type="auto"/>
          <w:tblCellSpacing w:w="0" w:type="dxa"/>
        </w:trPr>
        <w:tc>
          <w:tcPr>
            <w:tcW w:w="0" w:type="auto"/>
            <w:noWrap w:val="0"/>
            <w:vAlign w:val="center"/>
          </w:tcPr>
          <w:p w14:paraId="0AD13136">
            <w:r>
              <w:rPr>
                <w:rStyle w:val="10"/>
                <w:rFonts w:hint="eastAsia"/>
              </w:rPr>
              <w:t>使用技术要求:</w:t>
            </w:r>
            <w:r>
              <w:rPr>
                <w:rFonts w:hint="eastAsia"/>
              </w:rPr>
              <w:br w:type="textWrapping"/>
            </w:r>
            <w:r>
              <w:rPr>
                <w:rStyle w:val="11"/>
                <w:rFonts w:hint="eastAsia"/>
              </w:rPr>
              <w:t>1. 按0.2克/平方米制剂用药量，兑水稀释使用。根据需处理表面吸水量的不同，合理调整兑水稀释倍数。 2. 在蝇密度较低场所：按照推荐剂量兑水稀释40倍，定点喷洒。即将本品25克兑水1升进行稀释搅拌均匀，将药液均匀喷洒在苍蝇喜欢活动或栖息的场所，如墙壁、柱子、窗户等区域（每个喷洒点、片面积为0.2-1平方米）。 3 .在蝇密度较高场所：兑水稀释250倍，全面喷洒。即将本品4克兑水1升进行稀释搅拌均匀，将药液全面均匀喷洒在苍蝇喜欢活动的物体表面，如墙壁、立柱、顶棚、地面等区域，每平方米稀释液用量为50毫升。</w:t>
            </w:r>
          </w:p>
        </w:tc>
      </w:tr>
      <w:tr w14:paraId="5D51B507">
        <w:tblPrEx>
          <w:tblCellMar>
            <w:top w:w="0" w:type="dxa"/>
            <w:left w:w="0" w:type="dxa"/>
            <w:bottom w:w="0" w:type="dxa"/>
            <w:right w:w="0" w:type="dxa"/>
          </w:tblCellMar>
        </w:tblPrEx>
        <w:trPr>
          <w:wBefore w:w="0" w:type="auto"/>
          <w:tblCellSpacing w:w="0" w:type="dxa"/>
        </w:trPr>
        <w:tc>
          <w:tcPr>
            <w:tcW w:w="0" w:type="auto"/>
            <w:noWrap w:val="0"/>
            <w:vAlign w:val="center"/>
          </w:tcPr>
          <w:p w14:paraId="477633B3">
            <w:r>
              <w:rPr>
                <w:rStyle w:val="10"/>
                <w:rFonts w:hint="eastAsia"/>
              </w:rPr>
              <w:t>产品性能:</w:t>
            </w:r>
            <w:r>
              <w:rPr>
                <w:rFonts w:hint="eastAsia"/>
              </w:rPr>
              <w:br w:type="textWrapping"/>
            </w:r>
            <w:r>
              <w:rPr>
                <w:rStyle w:val="11"/>
                <w:rFonts w:hint="eastAsia"/>
              </w:rPr>
              <w:t>本品以呋虫胺为有效成分，对蝇具有较强的胃毒和触杀作用，能有效引诱蝇摄食进而杀灭。适用于农贸市场、食品饮料加工场、餐馆、酒店等室内场所使用。</w:t>
            </w:r>
          </w:p>
        </w:tc>
      </w:tr>
      <w:tr w14:paraId="18B076CF">
        <w:tblPrEx>
          <w:tblCellMar>
            <w:top w:w="0" w:type="dxa"/>
            <w:left w:w="0" w:type="dxa"/>
            <w:bottom w:w="0" w:type="dxa"/>
            <w:right w:w="0" w:type="dxa"/>
          </w:tblCellMar>
        </w:tblPrEx>
        <w:trPr>
          <w:wBefore w:w="0" w:type="auto"/>
          <w:tblCellSpacing w:w="0" w:type="dxa"/>
        </w:trPr>
        <w:tc>
          <w:tcPr>
            <w:tcW w:w="0" w:type="auto"/>
            <w:noWrap w:val="0"/>
            <w:vAlign w:val="center"/>
          </w:tcPr>
          <w:p w14:paraId="29EE64BF">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本品对眼睛有刺激性，使用时避免接触眼睛，穿戴长衣、长裤、帽子、口罩、手套等防护措施。避免药剂吸入或接触人体。施药期间不可吃东西和饮水。喷药后及时脱下工作服，用肥皂水冲洗裸露部位皮肤。 2. 仅用于室内。使用前请将暴露在施药区域的食物、餐具等物品移走或覆盖。切勿向人体、食物喷洒。 3. 本品对蜜蜂、鱼类、家蚕有毒，养蚕室、养蜂室、水产养殖区及其附近禁用。 4. 本品应现配现用，加水稀释后不可久置。 5. 用过的包装物应妥善处理，不可做它用，也不可随意丢弃。 6. 敏感体质人士、孕妇及哺乳期妇女请远离本品及施药场所。过敏者禁用。使用中有任何不良反应，请及时就医。</w:t>
            </w:r>
          </w:p>
        </w:tc>
      </w:tr>
      <w:tr w14:paraId="2D0D8186">
        <w:tblPrEx>
          <w:tblCellMar>
            <w:top w:w="0" w:type="dxa"/>
            <w:left w:w="0" w:type="dxa"/>
            <w:bottom w:w="0" w:type="dxa"/>
            <w:right w:w="0" w:type="dxa"/>
          </w:tblCellMar>
        </w:tblPrEx>
        <w:trPr>
          <w:wBefore w:w="0" w:type="auto"/>
          <w:tblCellSpacing w:w="0" w:type="dxa"/>
        </w:trPr>
        <w:tc>
          <w:tcPr>
            <w:tcW w:w="0" w:type="auto"/>
            <w:noWrap w:val="0"/>
            <w:vAlign w:val="center"/>
          </w:tcPr>
          <w:p w14:paraId="05494EC3">
            <w:r>
              <w:rPr>
                <w:rStyle w:val="10"/>
                <w:rFonts w:hint="eastAsia"/>
              </w:rPr>
              <w:t>中毒急救措施：</w:t>
            </w:r>
            <w:r>
              <w:rPr>
                <w:rFonts w:hint="eastAsia"/>
              </w:rPr>
              <w:br w:type="textWrapping"/>
            </w:r>
            <w:r>
              <w:rPr>
                <w:rStyle w:val="11"/>
                <w:rFonts w:hint="eastAsia"/>
              </w:rPr>
              <w:t>·若药剂沾染皮肤或眼睛，请即用大量清水冲洗至少15分钟。·若不慎吸入，请立即转移至空气清新处。·若发生误食、中毒或使用中有任何不良反应，请立即携标签就医，对症治疗。</w:t>
            </w:r>
          </w:p>
        </w:tc>
      </w:tr>
      <w:tr w14:paraId="1738A404">
        <w:tblPrEx>
          <w:tblCellMar>
            <w:top w:w="0" w:type="dxa"/>
            <w:left w:w="0" w:type="dxa"/>
            <w:bottom w:w="0" w:type="dxa"/>
            <w:right w:w="0" w:type="dxa"/>
          </w:tblCellMar>
        </w:tblPrEx>
        <w:trPr>
          <w:wBefore w:w="0" w:type="auto"/>
          <w:tblCellSpacing w:w="0" w:type="dxa"/>
        </w:trPr>
        <w:tc>
          <w:tcPr>
            <w:tcW w:w="0" w:type="auto"/>
            <w:noWrap w:val="0"/>
            <w:vAlign w:val="center"/>
          </w:tcPr>
          <w:p w14:paraId="0E560BA1">
            <w:r>
              <w:rPr>
                <w:rStyle w:val="10"/>
                <w:rFonts w:hint="eastAsia"/>
              </w:rPr>
              <w:t>储存和运输方法：</w:t>
            </w:r>
            <w:r>
              <w:rPr>
                <w:rFonts w:hint="eastAsia"/>
              </w:rPr>
              <w:br w:type="textWrapping"/>
            </w:r>
            <w:r>
              <w:rPr>
                <w:rStyle w:val="11"/>
                <w:rFonts w:hint="eastAsia"/>
              </w:rPr>
              <w:t>1. 本品应贮存于阴凉、干燥、通风、避光处，远离火源或热源存放。 2. 应置于儿童、无关人员及宠物触及不到之处，并加锁。 3. 运输时，请防雨淋、高温，注意轻拿轻放，不得损坏包装。 4. 请勿与食品、饮料、种子、饲料、粮食等其它商品同贮同运。</w:t>
            </w:r>
          </w:p>
        </w:tc>
      </w:tr>
      <w:tr w14:paraId="63F7B706">
        <w:tblPrEx>
          <w:tblCellMar>
            <w:top w:w="0" w:type="dxa"/>
            <w:left w:w="0" w:type="dxa"/>
            <w:bottom w:w="0" w:type="dxa"/>
            <w:right w:w="0" w:type="dxa"/>
          </w:tblCellMar>
        </w:tblPrEx>
        <w:trPr>
          <w:wBefore w:w="0" w:type="auto"/>
          <w:tblCellSpacing w:w="0" w:type="dxa"/>
        </w:trPr>
        <w:tc>
          <w:tcPr>
            <w:tcW w:w="0" w:type="auto"/>
            <w:noWrap w:val="0"/>
            <w:vAlign w:val="center"/>
          </w:tcPr>
          <w:p w14:paraId="12F2F010">
            <w:r>
              <w:rPr>
                <w:rStyle w:val="10"/>
                <w:rFonts w:hint="eastAsia"/>
              </w:rPr>
              <w:t>质量保证期：</w:t>
            </w:r>
            <w:r>
              <w:rPr>
                <w:rStyle w:val="11"/>
                <w:rFonts w:hint="eastAsia"/>
              </w:rPr>
              <w:t>2年</w:t>
            </w:r>
          </w:p>
        </w:tc>
      </w:tr>
      <w:tr w14:paraId="400F424D">
        <w:tblPrEx>
          <w:tblCellMar>
            <w:top w:w="0" w:type="dxa"/>
            <w:left w:w="0" w:type="dxa"/>
            <w:bottom w:w="0" w:type="dxa"/>
            <w:right w:w="0" w:type="dxa"/>
          </w:tblCellMar>
        </w:tblPrEx>
        <w:trPr>
          <w:wBefore w:w="0" w:type="auto"/>
          <w:tblCellSpacing w:w="0" w:type="dxa"/>
        </w:trPr>
        <w:tc>
          <w:tcPr>
            <w:tcW w:w="0" w:type="auto"/>
            <w:noWrap w:val="0"/>
            <w:vAlign w:val="center"/>
          </w:tcPr>
          <w:p w14:paraId="12AFC5A8">
            <w:r>
              <w:rPr>
                <w:rStyle w:val="10"/>
                <w:rFonts w:hint="eastAsia"/>
              </w:rPr>
              <w:t>备注：</w:t>
            </w:r>
          </w:p>
        </w:tc>
      </w:tr>
    </w:tbl>
    <w:p w14:paraId="1E7002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F3B823">
        <w:tblPrEx>
          <w:tblCellMar>
            <w:top w:w="0" w:type="dxa"/>
            <w:left w:w="0" w:type="dxa"/>
            <w:bottom w:w="0" w:type="dxa"/>
            <w:right w:w="0" w:type="dxa"/>
          </w:tblCellMar>
        </w:tblPrEx>
        <w:trPr>
          <w:wBefore w:w="0" w:type="auto"/>
          <w:tblCellSpacing w:w="0" w:type="dxa"/>
        </w:trPr>
        <w:tc>
          <w:tcPr>
            <w:tcW w:w="0" w:type="auto"/>
            <w:noWrap w:val="0"/>
            <w:vAlign w:val="center"/>
          </w:tcPr>
          <w:p w14:paraId="56BBF893">
            <w:r>
              <w:rPr>
                <w:rStyle w:val="10"/>
                <w:rFonts w:hint="eastAsia"/>
              </w:rPr>
              <w:t>登记证号：</w:t>
            </w:r>
            <w:r>
              <w:rPr>
                <w:rFonts w:hint="eastAsia"/>
              </w:rPr>
              <w:t>PD20212495</w:t>
            </w:r>
          </w:p>
        </w:tc>
      </w:tr>
      <w:tr w14:paraId="3F17BD72">
        <w:tblPrEx>
          <w:tblCellMar>
            <w:top w:w="0" w:type="dxa"/>
            <w:left w:w="0" w:type="dxa"/>
            <w:bottom w:w="0" w:type="dxa"/>
            <w:right w:w="0" w:type="dxa"/>
          </w:tblCellMar>
        </w:tblPrEx>
        <w:trPr>
          <w:wBefore w:w="0" w:type="auto"/>
          <w:tblCellSpacing w:w="0" w:type="dxa"/>
        </w:trPr>
        <w:tc>
          <w:tcPr>
            <w:tcW w:w="0" w:type="auto"/>
            <w:noWrap w:val="0"/>
            <w:vAlign w:val="center"/>
          </w:tcPr>
          <w:p w14:paraId="3118C269">
            <w:r>
              <w:rPr>
                <w:rStyle w:val="10"/>
                <w:rFonts w:hint="eastAsia"/>
              </w:rPr>
              <w:t>登记证持有人：</w:t>
            </w:r>
            <w:r>
              <w:rPr>
                <w:rFonts w:hint="eastAsia"/>
              </w:rPr>
              <w:t>江苏中旗科技股份有限公司</w:t>
            </w:r>
          </w:p>
        </w:tc>
      </w:tr>
      <w:tr w14:paraId="36D5F4F5">
        <w:tblPrEx>
          <w:tblCellMar>
            <w:top w:w="0" w:type="dxa"/>
            <w:left w:w="0" w:type="dxa"/>
            <w:bottom w:w="0" w:type="dxa"/>
            <w:right w:w="0" w:type="dxa"/>
          </w:tblCellMar>
        </w:tblPrEx>
        <w:trPr>
          <w:wBefore w:w="0" w:type="auto"/>
          <w:tblCellSpacing w:w="0" w:type="dxa"/>
        </w:trPr>
        <w:tc>
          <w:tcPr>
            <w:tcW w:w="0" w:type="auto"/>
            <w:noWrap w:val="0"/>
            <w:vAlign w:val="center"/>
          </w:tcPr>
          <w:p w14:paraId="508AF02C">
            <w:r>
              <w:rPr>
                <w:rStyle w:val="10"/>
                <w:rFonts w:hint="eastAsia"/>
              </w:rPr>
              <w:t>农药名称：</w:t>
            </w:r>
            <w:r>
              <w:rPr>
                <w:rFonts w:hint="eastAsia"/>
              </w:rPr>
              <w:t>草甘·氯氟吡</w:t>
            </w:r>
          </w:p>
        </w:tc>
      </w:tr>
      <w:tr w14:paraId="38CFB4F0">
        <w:tblPrEx>
          <w:tblCellMar>
            <w:top w:w="0" w:type="dxa"/>
            <w:left w:w="0" w:type="dxa"/>
            <w:bottom w:w="0" w:type="dxa"/>
            <w:right w:w="0" w:type="dxa"/>
          </w:tblCellMar>
        </w:tblPrEx>
        <w:trPr>
          <w:wBefore w:w="0" w:type="auto"/>
          <w:tblCellSpacing w:w="0" w:type="dxa"/>
        </w:trPr>
        <w:tc>
          <w:tcPr>
            <w:tcW w:w="0" w:type="auto"/>
            <w:noWrap w:val="0"/>
            <w:vAlign w:val="center"/>
          </w:tcPr>
          <w:p w14:paraId="6552F25A">
            <w:r>
              <w:rPr>
                <w:rStyle w:val="10"/>
                <w:rFonts w:hint="eastAsia"/>
              </w:rPr>
              <w:t>剂型：</w:t>
            </w:r>
            <w:r>
              <w:rPr>
                <w:rFonts w:hint="eastAsia"/>
              </w:rPr>
              <w:t>可湿性粉剂</w:t>
            </w:r>
          </w:p>
        </w:tc>
      </w:tr>
      <w:tr w14:paraId="4F514541">
        <w:tblPrEx>
          <w:tblCellMar>
            <w:top w:w="0" w:type="dxa"/>
            <w:left w:w="0" w:type="dxa"/>
            <w:bottom w:w="0" w:type="dxa"/>
            <w:right w:w="0" w:type="dxa"/>
          </w:tblCellMar>
        </w:tblPrEx>
        <w:trPr>
          <w:wBefore w:w="0" w:type="auto"/>
          <w:tblCellSpacing w:w="0" w:type="dxa"/>
        </w:trPr>
        <w:tc>
          <w:tcPr>
            <w:tcW w:w="0" w:type="auto"/>
            <w:noWrap w:val="0"/>
            <w:vAlign w:val="center"/>
          </w:tcPr>
          <w:p w14:paraId="13717B84">
            <w:r>
              <w:rPr>
                <w:rStyle w:val="10"/>
                <w:rFonts w:hint="eastAsia"/>
              </w:rPr>
              <w:t>毒性及其标识：</w:t>
            </w:r>
            <w:r>
              <w:rPr>
                <w:rFonts w:hint="eastAsia"/>
              </w:rPr>
              <w:t xml:space="preserve"> </w:t>
            </w:r>
            <w:r>
              <w:rPr>
                <w:lang/>
              </w:rPr>
              <w:drawing>
                <wp:inline distT="0" distB="0" distL="114300" distR="114300">
                  <wp:extent cx="476250" cy="323850"/>
                  <wp:effectExtent l="0" t="0" r="0" b="0"/>
                  <wp:docPr id="127" name="图片 1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061C08">
        <w:tblPrEx>
          <w:tblCellMar>
            <w:top w:w="0" w:type="dxa"/>
            <w:left w:w="0" w:type="dxa"/>
            <w:bottom w:w="0" w:type="dxa"/>
            <w:right w:w="0" w:type="dxa"/>
          </w:tblCellMar>
        </w:tblPrEx>
        <w:trPr>
          <w:wBefore w:w="0" w:type="auto"/>
          <w:tblCellSpacing w:w="0" w:type="dxa"/>
        </w:trPr>
        <w:tc>
          <w:tcPr>
            <w:tcW w:w="0" w:type="auto"/>
            <w:noWrap w:val="0"/>
            <w:vAlign w:val="center"/>
          </w:tcPr>
          <w:p w14:paraId="6D215E32">
            <w:r>
              <w:rPr>
                <w:rStyle w:val="10"/>
                <w:rFonts w:hint="eastAsia"/>
              </w:rPr>
              <w:t>总有效成分含量：</w:t>
            </w:r>
            <w:r>
              <w:rPr>
                <w:rFonts w:hint="eastAsia"/>
              </w:rPr>
              <w:t>61.5%</w:t>
            </w:r>
          </w:p>
        </w:tc>
      </w:tr>
      <w:tr w14:paraId="262509A6">
        <w:tblPrEx>
          <w:tblCellMar>
            <w:top w:w="0" w:type="dxa"/>
            <w:left w:w="0" w:type="dxa"/>
            <w:bottom w:w="0" w:type="dxa"/>
            <w:right w:w="0" w:type="dxa"/>
          </w:tblCellMar>
        </w:tblPrEx>
        <w:trPr>
          <w:wBefore w:w="0" w:type="auto"/>
          <w:tblCellSpacing w:w="0" w:type="dxa"/>
        </w:trPr>
        <w:tc>
          <w:tcPr>
            <w:tcW w:w="0" w:type="auto"/>
            <w:noWrap w:val="0"/>
            <w:vAlign w:val="center"/>
          </w:tcPr>
          <w:p w14:paraId="1B857429">
            <w:r>
              <w:rPr>
                <w:rFonts w:hint="eastAsia"/>
              </w:rPr>
              <w:t xml:space="preserve">有效成分及其含量： </w:t>
            </w:r>
          </w:p>
          <w:p w14:paraId="77A6FC49">
            <w:r>
              <w:rPr>
                <w:rFonts w:hint="eastAsia"/>
              </w:rPr>
              <w:t xml:space="preserve">    草甘膦50%    氯氟吡氧乙酸异辛酯11.5%    </w:t>
            </w:r>
          </w:p>
        </w:tc>
      </w:tr>
      <w:tr w14:paraId="6EA824A2">
        <w:tblPrEx>
          <w:tblCellMar>
            <w:top w:w="0" w:type="dxa"/>
            <w:left w:w="0" w:type="dxa"/>
            <w:bottom w:w="0" w:type="dxa"/>
            <w:right w:w="0" w:type="dxa"/>
          </w:tblCellMar>
        </w:tblPrEx>
        <w:trPr>
          <w:wBefore w:w="0" w:type="auto"/>
          <w:tblCellSpacing w:w="0" w:type="dxa"/>
        </w:trPr>
        <w:tc>
          <w:tcPr>
            <w:tcW w:w="0" w:type="auto"/>
            <w:noWrap w:val="0"/>
            <w:vAlign w:val="center"/>
          </w:tcPr>
          <w:p w14:paraId="2EF92A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B48D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482F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716B0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F2A91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E3112C">
                  <w:r>
                    <w:rPr>
                      <w:rStyle w:val="11"/>
                      <w:rFonts w:hint="eastAsia"/>
                    </w:rPr>
                    <w:t>施用方式</w:t>
                  </w:r>
                </w:p>
              </w:tc>
            </w:tr>
            <w:tr w14:paraId="4269D2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82A75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A0331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AFA979">
                  <w:r>
                    <w:rPr>
                      <w:rStyle w:val="11"/>
                      <w:rFonts w:hint="eastAsia"/>
                    </w:rPr>
                    <w:t>100-200克/亩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0FCC07">
                  <w:r>
                    <w:rPr>
                      <w:rStyle w:val="11"/>
                      <w:rFonts w:hint="eastAsia"/>
                    </w:rPr>
                    <w:t>喷雾</w:t>
                  </w:r>
                </w:p>
              </w:tc>
            </w:tr>
          </w:tbl>
          <w:p w14:paraId="1A82713D">
            <w:pPr>
              <w:rPr>
                <w:rFonts w:ascii="Times New Roman" w:hAnsi="Times New Roman" w:cs="Times New Roman"/>
                <w:sz w:val="20"/>
                <w:szCs w:val="20"/>
              </w:rPr>
            </w:pPr>
          </w:p>
        </w:tc>
      </w:tr>
      <w:tr w14:paraId="2C7BDEDD">
        <w:tblPrEx>
          <w:tblCellMar>
            <w:top w:w="0" w:type="dxa"/>
            <w:left w:w="0" w:type="dxa"/>
            <w:bottom w:w="0" w:type="dxa"/>
            <w:right w:w="0" w:type="dxa"/>
          </w:tblCellMar>
        </w:tblPrEx>
        <w:trPr>
          <w:wBefore w:w="0" w:type="auto"/>
          <w:tblCellSpacing w:w="0" w:type="dxa"/>
        </w:trPr>
        <w:tc>
          <w:tcPr>
            <w:tcW w:w="0" w:type="auto"/>
            <w:noWrap w:val="0"/>
            <w:vAlign w:val="center"/>
          </w:tcPr>
          <w:p w14:paraId="0662D2AF">
            <w:r>
              <w:rPr>
                <w:rStyle w:val="10"/>
                <w:rFonts w:hint="eastAsia"/>
              </w:rPr>
              <w:t>使用技术要求:</w:t>
            </w:r>
            <w:r>
              <w:rPr>
                <w:rFonts w:hint="eastAsia"/>
              </w:rPr>
              <w:br w:type="textWrapping"/>
            </w:r>
            <w:r>
              <w:rPr>
                <w:rStyle w:val="11"/>
                <w:rFonts w:hint="eastAsia"/>
              </w:rPr>
              <w:t>1. 于非耕地杂草旺盛生长期茎叶喷雾施药1次，每亩兑水30-50千克，均匀喷雾于杂草茎叶表面。2. 大风天或预计1小时内降雨，请勿施药。3. 禁止在田间道路、田埂、果树行间、休耕地、林场地等农林区域使用。</w:t>
            </w:r>
          </w:p>
        </w:tc>
      </w:tr>
      <w:tr w14:paraId="3CF23D8E">
        <w:tblPrEx>
          <w:tblCellMar>
            <w:top w:w="0" w:type="dxa"/>
            <w:left w:w="0" w:type="dxa"/>
            <w:bottom w:w="0" w:type="dxa"/>
            <w:right w:w="0" w:type="dxa"/>
          </w:tblCellMar>
        </w:tblPrEx>
        <w:trPr>
          <w:wBefore w:w="0" w:type="auto"/>
          <w:tblCellSpacing w:w="0" w:type="dxa"/>
        </w:trPr>
        <w:tc>
          <w:tcPr>
            <w:tcW w:w="0" w:type="auto"/>
            <w:noWrap w:val="0"/>
            <w:vAlign w:val="center"/>
          </w:tcPr>
          <w:p w14:paraId="0EAC1293">
            <w:r>
              <w:rPr>
                <w:rStyle w:val="10"/>
                <w:rFonts w:hint="eastAsia"/>
              </w:rPr>
              <w:t>产品性能:</w:t>
            </w:r>
            <w:r>
              <w:rPr>
                <w:rFonts w:hint="eastAsia"/>
              </w:rPr>
              <w:br w:type="textWrapping"/>
            </w:r>
            <w:r>
              <w:rPr>
                <w:rStyle w:val="11"/>
                <w:rFonts w:hint="eastAsia"/>
              </w:rPr>
              <w:t>本品为内吸传导型广谱灭生性除草剂，具有杀草谱广的特点。</w:t>
            </w:r>
          </w:p>
        </w:tc>
      </w:tr>
      <w:tr w14:paraId="5B2E818D">
        <w:tblPrEx>
          <w:tblCellMar>
            <w:top w:w="0" w:type="dxa"/>
            <w:left w:w="0" w:type="dxa"/>
            <w:bottom w:w="0" w:type="dxa"/>
            <w:right w:w="0" w:type="dxa"/>
          </w:tblCellMar>
        </w:tblPrEx>
        <w:trPr>
          <w:wBefore w:w="0" w:type="auto"/>
          <w:tblCellSpacing w:w="0" w:type="dxa"/>
        </w:trPr>
        <w:tc>
          <w:tcPr>
            <w:tcW w:w="0" w:type="auto"/>
            <w:noWrap w:val="0"/>
            <w:vAlign w:val="center"/>
          </w:tcPr>
          <w:p w14:paraId="2514F89C">
            <w:r>
              <w:rPr>
                <w:rStyle w:val="10"/>
                <w:rFonts w:hint="eastAsia"/>
              </w:rPr>
              <w:t>注意事项：</w:t>
            </w:r>
            <w:r>
              <w:rPr>
                <w:rFonts w:hint="eastAsia"/>
              </w:rPr>
              <w:br w:type="textWrapping"/>
            </w:r>
            <w:r>
              <w:rPr>
                <w:rStyle w:val="11"/>
                <w:rFonts w:hint="eastAsia"/>
              </w:rPr>
              <w:t>1. 对恶性、草龄大的杂草用推荐剂量的高剂量。用药时均匀全面喷雾，避免药液飘移到临近作物上。2. 本品遇土钝化，在稀释和配制本品药液时，应使用清水，禁止用浑浊的河水或沟渠水配药，以最大限度地提高除草的效果。3. 喷药时要遵守国家《农药安全使用规定》手册。本品对眼睛有刺激性，使用时避免接触眼睛，穿戴长衣、长裤、帽子、口罩、手套等防护措施。施药时不得进食、喝水、吸烟。施药后要及时清洗。避免药液接触皮肤、眼睛和污染衣物，避免吸入雾滴。4. 配药时，应戴防渗手套和面罩，穿长袖衣、长裤和靴子。5. 施药后，彻底清洗防护用具，洗澡，并更换和清洗工作服。6. 使用过的空包装，用清水冲洗三次后妥善处理，切勿重复使用或改作其它用途或丢弃。所有施药器具，用后应立即用清水或适当的洗涤剂清洗。7. 未用完的制剂应放在原包装内密封保存，切勿将本品置于饮、食容器内。8. 禁止在河塘等水域中清洗施药器具，勿将药剂及废液弃于池塘、河流、湖泊中，以免污染水源。9. 施药期间应避免对周围蜂群的影响。赤眼蜂等天敌放飞区禁用。周围开花植物花期、蚕室和桑园附近禁用。10. 孕妇及哺乳期妇女应该避免接触本品。</w:t>
            </w:r>
          </w:p>
        </w:tc>
      </w:tr>
      <w:tr w14:paraId="00A3A1E9">
        <w:tblPrEx>
          <w:tblCellMar>
            <w:top w:w="0" w:type="dxa"/>
            <w:left w:w="0" w:type="dxa"/>
            <w:bottom w:w="0" w:type="dxa"/>
            <w:right w:w="0" w:type="dxa"/>
          </w:tblCellMar>
        </w:tblPrEx>
        <w:trPr>
          <w:wBefore w:w="0" w:type="auto"/>
          <w:tblCellSpacing w:w="0" w:type="dxa"/>
        </w:trPr>
        <w:tc>
          <w:tcPr>
            <w:tcW w:w="0" w:type="auto"/>
            <w:noWrap w:val="0"/>
            <w:vAlign w:val="center"/>
          </w:tcPr>
          <w:p w14:paraId="572DC53B">
            <w:r>
              <w:rPr>
                <w:rStyle w:val="10"/>
                <w:rFonts w:hint="eastAsia"/>
              </w:rPr>
              <w:t>中毒急救措施：</w:t>
            </w:r>
            <w:r>
              <w:rPr>
                <w:rFonts w:hint="eastAsia"/>
              </w:rPr>
              <w:br w:type="textWrapping"/>
            </w:r>
            <w:r>
              <w:rPr>
                <w:rStyle w:val="11"/>
                <w:rFonts w:hint="eastAsia"/>
              </w:rPr>
              <w:t>中毒症状：头昏、乏力、恶心、呕吐，根据动物试验可能造成轻度眼刺激。1.皮肤接触：立即脱掉被污染的衣物，用大量清水冲洗被污染的皮肤，再用肥皂清洗，然后用清水冲净。2.眼睛溅药：立刻用大量清水冲洗至少15 分钟。如配戴隐形眼镜，先冲洗1-2分钟后再摘掉眼镜冲洗。携此标签去医院诊治。3.发生吸入：立即将吸入者转移到空气新鲜处，请尽快就医诊治。4.误服：立即携带标签，送医就诊。5.解毒剂：无专用解毒剂，对症治疗。</w:t>
            </w:r>
          </w:p>
        </w:tc>
      </w:tr>
      <w:tr w14:paraId="52C2ED95">
        <w:tblPrEx>
          <w:tblCellMar>
            <w:top w:w="0" w:type="dxa"/>
            <w:left w:w="0" w:type="dxa"/>
            <w:bottom w:w="0" w:type="dxa"/>
            <w:right w:w="0" w:type="dxa"/>
          </w:tblCellMar>
        </w:tblPrEx>
        <w:trPr>
          <w:wBefore w:w="0" w:type="auto"/>
          <w:tblCellSpacing w:w="0" w:type="dxa"/>
        </w:trPr>
        <w:tc>
          <w:tcPr>
            <w:tcW w:w="0" w:type="auto"/>
            <w:noWrap w:val="0"/>
            <w:vAlign w:val="center"/>
          </w:tcPr>
          <w:p w14:paraId="1AE614CF">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混合储存。运输前应先检查包装容器是否完整、密封，运输过程中要确保容器不泄漏、不倒塌、不坠落、不损坏。运输途中应防曝晒、雨淋，防高温。</w:t>
            </w:r>
          </w:p>
        </w:tc>
      </w:tr>
      <w:tr w14:paraId="618CD3DA">
        <w:tblPrEx>
          <w:tblCellMar>
            <w:top w:w="0" w:type="dxa"/>
            <w:left w:w="0" w:type="dxa"/>
            <w:bottom w:w="0" w:type="dxa"/>
            <w:right w:w="0" w:type="dxa"/>
          </w:tblCellMar>
        </w:tblPrEx>
        <w:trPr>
          <w:wBefore w:w="0" w:type="auto"/>
          <w:tblCellSpacing w:w="0" w:type="dxa"/>
        </w:trPr>
        <w:tc>
          <w:tcPr>
            <w:tcW w:w="0" w:type="auto"/>
            <w:noWrap w:val="0"/>
            <w:vAlign w:val="center"/>
          </w:tcPr>
          <w:p w14:paraId="58AFCFE6">
            <w:r>
              <w:rPr>
                <w:rStyle w:val="10"/>
                <w:rFonts w:hint="eastAsia"/>
              </w:rPr>
              <w:t>质量保证期：</w:t>
            </w:r>
            <w:r>
              <w:rPr>
                <w:rStyle w:val="11"/>
                <w:rFonts w:hint="eastAsia"/>
              </w:rPr>
              <w:t>2年</w:t>
            </w:r>
          </w:p>
        </w:tc>
      </w:tr>
      <w:tr w14:paraId="31140A57">
        <w:tblPrEx>
          <w:tblCellMar>
            <w:top w:w="0" w:type="dxa"/>
            <w:left w:w="0" w:type="dxa"/>
            <w:bottom w:w="0" w:type="dxa"/>
            <w:right w:w="0" w:type="dxa"/>
          </w:tblCellMar>
        </w:tblPrEx>
        <w:trPr>
          <w:wBefore w:w="0" w:type="auto"/>
          <w:tblCellSpacing w:w="0" w:type="dxa"/>
        </w:trPr>
        <w:tc>
          <w:tcPr>
            <w:tcW w:w="0" w:type="auto"/>
            <w:noWrap w:val="0"/>
            <w:vAlign w:val="center"/>
          </w:tcPr>
          <w:p w14:paraId="5DF550B2">
            <w:r>
              <w:rPr>
                <w:rStyle w:val="10"/>
                <w:rFonts w:hint="eastAsia"/>
              </w:rPr>
              <w:t>备注：</w:t>
            </w:r>
            <w:r>
              <w:rPr>
                <w:rFonts w:hint="eastAsia"/>
              </w:rPr>
              <w:br w:type="textWrapping"/>
            </w:r>
            <w:r>
              <w:rPr>
                <w:rStyle w:val="11"/>
                <w:rFonts w:hint="eastAsia"/>
              </w:rPr>
              <w:t>草甘膦铵盐55%。</w:t>
            </w:r>
          </w:p>
        </w:tc>
      </w:tr>
    </w:tbl>
    <w:p w14:paraId="10907F7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7A79DE">
        <w:tblPrEx>
          <w:tblCellMar>
            <w:top w:w="0" w:type="dxa"/>
            <w:left w:w="0" w:type="dxa"/>
            <w:bottom w:w="0" w:type="dxa"/>
            <w:right w:w="0" w:type="dxa"/>
          </w:tblCellMar>
        </w:tblPrEx>
        <w:trPr>
          <w:wBefore w:w="0" w:type="auto"/>
          <w:tblCellSpacing w:w="0" w:type="dxa"/>
        </w:trPr>
        <w:tc>
          <w:tcPr>
            <w:tcW w:w="0" w:type="auto"/>
            <w:noWrap w:val="0"/>
            <w:vAlign w:val="center"/>
          </w:tcPr>
          <w:p w14:paraId="1B3FD45E">
            <w:r>
              <w:rPr>
                <w:rStyle w:val="10"/>
                <w:rFonts w:hint="eastAsia"/>
              </w:rPr>
              <w:t>登记证号：</w:t>
            </w:r>
            <w:r>
              <w:rPr>
                <w:rFonts w:hint="eastAsia"/>
              </w:rPr>
              <w:t>PD20212611</w:t>
            </w:r>
          </w:p>
        </w:tc>
      </w:tr>
      <w:tr w14:paraId="6FF12F77">
        <w:tblPrEx>
          <w:tblCellMar>
            <w:top w:w="0" w:type="dxa"/>
            <w:left w:w="0" w:type="dxa"/>
            <w:bottom w:w="0" w:type="dxa"/>
            <w:right w:w="0" w:type="dxa"/>
          </w:tblCellMar>
        </w:tblPrEx>
        <w:trPr>
          <w:wBefore w:w="0" w:type="auto"/>
          <w:tblCellSpacing w:w="0" w:type="dxa"/>
        </w:trPr>
        <w:tc>
          <w:tcPr>
            <w:tcW w:w="0" w:type="auto"/>
            <w:noWrap w:val="0"/>
            <w:vAlign w:val="center"/>
          </w:tcPr>
          <w:p w14:paraId="740E37B2">
            <w:r>
              <w:rPr>
                <w:rStyle w:val="10"/>
                <w:rFonts w:hint="eastAsia"/>
              </w:rPr>
              <w:t>登记证持有人：</w:t>
            </w:r>
            <w:r>
              <w:rPr>
                <w:rFonts w:hint="eastAsia"/>
              </w:rPr>
              <w:t>东莞市瑞德丰生物科技有限公司</w:t>
            </w:r>
          </w:p>
        </w:tc>
      </w:tr>
      <w:tr w14:paraId="6D8383F1">
        <w:tblPrEx>
          <w:tblCellMar>
            <w:top w:w="0" w:type="dxa"/>
            <w:left w:w="0" w:type="dxa"/>
            <w:bottom w:w="0" w:type="dxa"/>
            <w:right w:w="0" w:type="dxa"/>
          </w:tblCellMar>
        </w:tblPrEx>
        <w:trPr>
          <w:wBefore w:w="0" w:type="auto"/>
          <w:tblCellSpacing w:w="0" w:type="dxa"/>
        </w:trPr>
        <w:tc>
          <w:tcPr>
            <w:tcW w:w="0" w:type="auto"/>
            <w:noWrap w:val="0"/>
            <w:vAlign w:val="center"/>
          </w:tcPr>
          <w:p w14:paraId="1482F4B2">
            <w:r>
              <w:rPr>
                <w:rStyle w:val="10"/>
                <w:rFonts w:hint="eastAsia"/>
              </w:rPr>
              <w:t>农药名称：</w:t>
            </w:r>
            <w:r>
              <w:rPr>
                <w:rFonts w:hint="eastAsia"/>
              </w:rPr>
              <w:t>烟嘧·莠去津</w:t>
            </w:r>
          </w:p>
        </w:tc>
      </w:tr>
      <w:tr w14:paraId="17FB28A2">
        <w:tblPrEx>
          <w:tblCellMar>
            <w:top w:w="0" w:type="dxa"/>
            <w:left w:w="0" w:type="dxa"/>
            <w:bottom w:w="0" w:type="dxa"/>
            <w:right w:w="0" w:type="dxa"/>
          </w:tblCellMar>
        </w:tblPrEx>
        <w:trPr>
          <w:wBefore w:w="0" w:type="auto"/>
          <w:tblCellSpacing w:w="0" w:type="dxa"/>
        </w:trPr>
        <w:tc>
          <w:tcPr>
            <w:tcW w:w="0" w:type="auto"/>
            <w:noWrap w:val="0"/>
            <w:vAlign w:val="center"/>
          </w:tcPr>
          <w:p w14:paraId="45FD29EB">
            <w:r>
              <w:rPr>
                <w:rStyle w:val="10"/>
                <w:rFonts w:hint="eastAsia"/>
              </w:rPr>
              <w:t>剂型：</w:t>
            </w:r>
            <w:r>
              <w:rPr>
                <w:rFonts w:hint="eastAsia"/>
              </w:rPr>
              <w:t>可分散油悬浮剂</w:t>
            </w:r>
          </w:p>
        </w:tc>
      </w:tr>
      <w:tr w14:paraId="084B5C5A">
        <w:tblPrEx>
          <w:tblCellMar>
            <w:top w:w="0" w:type="dxa"/>
            <w:left w:w="0" w:type="dxa"/>
            <w:bottom w:w="0" w:type="dxa"/>
            <w:right w:w="0" w:type="dxa"/>
          </w:tblCellMar>
        </w:tblPrEx>
        <w:trPr>
          <w:wBefore w:w="0" w:type="auto"/>
          <w:tblCellSpacing w:w="0" w:type="dxa"/>
        </w:trPr>
        <w:tc>
          <w:tcPr>
            <w:tcW w:w="0" w:type="auto"/>
            <w:noWrap w:val="0"/>
            <w:vAlign w:val="center"/>
          </w:tcPr>
          <w:p w14:paraId="422B7821">
            <w:r>
              <w:rPr>
                <w:rStyle w:val="10"/>
                <w:rFonts w:hint="eastAsia"/>
              </w:rPr>
              <w:t>毒性及其标识：</w:t>
            </w:r>
            <w:r>
              <w:rPr>
                <w:rFonts w:hint="eastAsia"/>
              </w:rPr>
              <w:t xml:space="preserve"> </w:t>
            </w:r>
            <w:r>
              <w:rPr>
                <w:lang/>
              </w:rPr>
              <w:drawing>
                <wp:inline distT="0" distB="0" distL="114300" distR="114300">
                  <wp:extent cx="476250" cy="323850"/>
                  <wp:effectExtent l="0" t="0" r="0" b="0"/>
                  <wp:docPr id="128" name="图片 1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4B7F1FA">
        <w:tblPrEx>
          <w:tblCellMar>
            <w:top w:w="0" w:type="dxa"/>
            <w:left w:w="0" w:type="dxa"/>
            <w:bottom w:w="0" w:type="dxa"/>
            <w:right w:w="0" w:type="dxa"/>
          </w:tblCellMar>
        </w:tblPrEx>
        <w:trPr>
          <w:wBefore w:w="0" w:type="auto"/>
          <w:tblCellSpacing w:w="0" w:type="dxa"/>
        </w:trPr>
        <w:tc>
          <w:tcPr>
            <w:tcW w:w="0" w:type="auto"/>
            <w:noWrap w:val="0"/>
            <w:vAlign w:val="center"/>
          </w:tcPr>
          <w:p w14:paraId="697B1738">
            <w:r>
              <w:rPr>
                <w:rStyle w:val="10"/>
                <w:rFonts w:hint="eastAsia"/>
              </w:rPr>
              <w:t>总有效成分含量：</w:t>
            </w:r>
            <w:r>
              <w:rPr>
                <w:rFonts w:hint="eastAsia"/>
              </w:rPr>
              <w:t>23%</w:t>
            </w:r>
          </w:p>
        </w:tc>
      </w:tr>
      <w:tr w14:paraId="748983FC">
        <w:tblPrEx>
          <w:tblCellMar>
            <w:top w:w="0" w:type="dxa"/>
            <w:left w:w="0" w:type="dxa"/>
            <w:bottom w:w="0" w:type="dxa"/>
            <w:right w:w="0" w:type="dxa"/>
          </w:tblCellMar>
        </w:tblPrEx>
        <w:trPr>
          <w:wBefore w:w="0" w:type="auto"/>
          <w:tblCellSpacing w:w="0" w:type="dxa"/>
        </w:trPr>
        <w:tc>
          <w:tcPr>
            <w:tcW w:w="0" w:type="auto"/>
            <w:noWrap w:val="0"/>
            <w:vAlign w:val="center"/>
          </w:tcPr>
          <w:p w14:paraId="02188F5D">
            <w:r>
              <w:rPr>
                <w:rFonts w:hint="eastAsia"/>
              </w:rPr>
              <w:t xml:space="preserve">有效成分及其含量： </w:t>
            </w:r>
          </w:p>
          <w:p w14:paraId="33396C54">
            <w:r>
              <w:rPr>
                <w:rFonts w:hint="eastAsia"/>
              </w:rPr>
              <w:t xml:space="preserve">    烟嘧磺隆3%    莠去津20%    </w:t>
            </w:r>
          </w:p>
        </w:tc>
      </w:tr>
      <w:tr w14:paraId="202D31A8">
        <w:tblPrEx>
          <w:tblCellMar>
            <w:top w:w="0" w:type="dxa"/>
            <w:left w:w="0" w:type="dxa"/>
            <w:bottom w:w="0" w:type="dxa"/>
            <w:right w:w="0" w:type="dxa"/>
          </w:tblCellMar>
        </w:tblPrEx>
        <w:trPr>
          <w:wBefore w:w="0" w:type="auto"/>
          <w:tblCellSpacing w:w="0" w:type="dxa"/>
        </w:trPr>
        <w:tc>
          <w:tcPr>
            <w:tcW w:w="0" w:type="auto"/>
            <w:noWrap w:val="0"/>
            <w:vAlign w:val="center"/>
          </w:tcPr>
          <w:p w14:paraId="47E1829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98B8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E5EA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F02B5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5E2F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F1C11B">
                  <w:r>
                    <w:rPr>
                      <w:rStyle w:val="11"/>
                      <w:rFonts w:hint="eastAsia"/>
                    </w:rPr>
                    <w:t>施用方式</w:t>
                  </w:r>
                </w:p>
              </w:tc>
            </w:tr>
            <w:tr w14:paraId="3CF5A3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1F2D2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A412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9CD3A9">
                  <w:r>
                    <w:rPr>
                      <w:rStyle w:val="11"/>
                      <w:rFonts w:hint="eastAsia"/>
                    </w:rPr>
                    <w:t>90-130毫升/亩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62D7E8">
                  <w:r>
                    <w:rPr>
                      <w:rStyle w:val="11"/>
                      <w:rFonts w:hint="eastAsia"/>
                    </w:rPr>
                    <w:t>茎叶喷雾</w:t>
                  </w:r>
                </w:p>
              </w:tc>
            </w:tr>
          </w:tbl>
          <w:p w14:paraId="036CE9D6">
            <w:pPr>
              <w:rPr>
                <w:rFonts w:ascii="Times New Roman" w:hAnsi="Times New Roman" w:cs="Times New Roman"/>
                <w:sz w:val="20"/>
                <w:szCs w:val="20"/>
              </w:rPr>
            </w:pPr>
          </w:p>
        </w:tc>
      </w:tr>
      <w:tr w14:paraId="13706ECA">
        <w:tblPrEx>
          <w:tblCellMar>
            <w:top w:w="0" w:type="dxa"/>
            <w:left w:w="0" w:type="dxa"/>
            <w:bottom w:w="0" w:type="dxa"/>
            <w:right w:w="0" w:type="dxa"/>
          </w:tblCellMar>
        </w:tblPrEx>
        <w:trPr>
          <w:wBefore w:w="0" w:type="auto"/>
          <w:tblCellSpacing w:w="0" w:type="dxa"/>
        </w:trPr>
        <w:tc>
          <w:tcPr>
            <w:tcW w:w="0" w:type="auto"/>
            <w:noWrap w:val="0"/>
            <w:vAlign w:val="center"/>
          </w:tcPr>
          <w:p w14:paraId="7257758D">
            <w:r>
              <w:rPr>
                <w:rStyle w:val="10"/>
                <w:rFonts w:hint="eastAsia"/>
              </w:rPr>
              <w:t>使用技术要求:</w:t>
            </w:r>
            <w:r>
              <w:rPr>
                <w:rFonts w:hint="eastAsia"/>
              </w:rPr>
              <w:br w:type="textWrapping"/>
            </w:r>
            <w:r>
              <w:rPr>
                <w:rStyle w:val="11"/>
                <w:rFonts w:hint="eastAsia"/>
              </w:rPr>
              <w:t>1.建议在玉米3-5叶期，杂草2-4叶期进行茎叶喷雾；每季最多使用1次。2.施药时要尽量避免将药液喷洒到玉米喇叭口中以及玉米心叶；3.避免中午或气温较高时用药；4. 药剂用药前摇匀且配成母液，施药要做到药量准确、喷药均匀，风力3级以上时停止用药，以防药液飘移到附近农田，危害作物；5.喷药时严禁重喷漏喷，注意安全作业。</w:t>
            </w:r>
          </w:p>
        </w:tc>
      </w:tr>
      <w:tr w14:paraId="62A75E4C">
        <w:tblPrEx>
          <w:tblCellMar>
            <w:top w:w="0" w:type="dxa"/>
            <w:left w:w="0" w:type="dxa"/>
            <w:bottom w:w="0" w:type="dxa"/>
            <w:right w:w="0" w:type="dxa"/>
          </w:tblCellMar>
        </w:tblPrEx>
        <w:trPr>
          <w:wBefore w:w="0" w:type="auto"/>
          <w:tblCellSpacing w:w="0" w:type="dxa"/>
        </w:trPr>
        <w:tc>
          <w:tcPr>
            <w:tcW w:w="0" w:type="auto"/>
            <w:noWrap w:val="0"/>
            <w:vAlign w:val="center"/>
          </w:tcPr>
          <w:p w14:paraId="3EE89D58">
            <w:r>
              <w:rPr>
                <w:rStyle w:val="10"/>
                <w:rFonts w:hint="eastAsia"/>
              </w:rPr>
              <w:t>产品性能:</w:t>
            </w:r>
            <w:r>
              <w:rPr>
                <w:rFonts w:hint="eastAsia"/>
              </w:rPr>
              <w:br w:type="textWrapping"/>
            </w:r>
            <w:r>
              <w:rPr>
                <w:rStyle w:val="11"/>
                <w:rFonts w:hint="eastAsia"/>
              </w:rPr>
              <w:t>本品是磺酰脲类和三氮类除草剂复配，为玉米田专用的苗后茎叶处理除草剂，能有效防除玉米田中的多种一年生杂草。施药后药剂可被杂草茎、叶和根迅速吸收并传导，杂草吸收后即停止生长并逐渐死亡。</w:t>
            </w:r>
          </w:p>
        </w:tc>
      </w:tr>
      <w:tr w14:paraId="629B38BF">
        <w:tblPrEx>
          <w:tblCellMar>
            <w:top w:w="0" w:type="dxa"/>
            <w:left w:w="0" w:type="dxa"/>
            <w:bottom w:w="0" w:type="dxa"/>
            <w:right w:w="0" w:type="dxa"/>
          </w:tblCellMar>
        </w:tblPrEx>
        <w:trPr>
          <w:wBefore w:w="0" w:type="auto"/>
          <w:tblCellSpacing w:w="0" w:type="dxa"/>
        </w:trPr>
        <w:tc>
          <w:tcPr>
            <w:tcW w:w="0" w:type="auto"/>
            <w:noWrap w:val="0"/>
            <w:vAlign w:val="center"/>
          </w:tcPr>
          <w:p w14:paraId="389FFF33">
            <w:r>
              <w:rPr>
                <w:rStyle w:val="10"/>
                <w:rFonts w:hint="eastAsia"/>
              </w:rPr>
              <w:t>注意事项：</w:t>
            </w:r>
            <w:r>
              <w:rPr>
                <w:rFonts w:hint="eastAsia"/>
              </w:rPr>
              <w:br w:type="textWrapping"/>
            </w:r>
            <w:r>
              <w:rPr>
                <w:rStyle w:val="11"/>
                <w:rFonts w:hint="eastAsia"/>
              </w:rPr>
              <w:t>1.配药和施药时，应穿防护服，戴口罩或防毒面具以及胶皮手套，以避免污染皮肤和眼睛，施药完毕后应及时换洗衣物，洗净手、脸和被污染的皮肤；2.施药前、后要彻底清洗喷药器械，洗涤后的废水不应污染河流等水源，未用完的药液应密封后妥善放置；3.蚕室、桑园附近禁用，远离水产养殖区施药，禁止在河塘等水体清洗施药器具。4.开启封口应小心药液溅出，废弃包装瓶子应妥善处理或回收，不得作他用；5.正常使用技术条件下对后茬作物安全；6.玉米对该药有较好的耐药性，处理后可能出现暂时褪绿或轻微的发育迟缓，但一般能迅速恢复而且不减产。7.孕妇及哺乳期妇女禁止接触本品。</w:t>
            </w:r>
          </w:p>
        </w:tc>
      </w:tr>
      <w:tr w14:paraId="255457DE">
        <w:tblPrEx>
          <w:tblCellMar>
            <w:top w:w="0" w:type="dxa"/>
            <w:left w:w="0" w:type="dxa"/>
            <w:bottom w:w="0" w:type="dxa"/>
            <w:right w:w="0" w:type="dxa"/>
          </w:tblCellMar>
        </w:tblPrEx>
        <w:trPr>
          <w:wBefore w:w="0" w:type="auto"/>
          <w:tblCellSpacing w:w="0" w:type="dxa"/>
        </w:trPr>
        <w:tc>
          <w:tcPr>
            <w:tcW w:w="0" w:type="auto"/>
            <w:noWrap w:val="0"/>
            <w:vAlign w:val="center"/>
          </w:tcPr>
          <w:p w14:paraId="12039E2E">
            <w:r>
              <w:rPr>
                <w:rStyle w:val="10"/>
                <w:rFonts w:hint="eastAsia"/>
              </w:rPr>
              <w:t>中毒急救措施：</w:t>
            </w:r>
            <w:r>
              <w:rPr>
                <w:rFonts w:hint="eastAsia"/>
              </w:rPr>
              <w:br w:type="textWrapping"/>
            </w:r>
            <w:r>
              <w:rPr>
                <w:rStyle w:val="11"/>
                <w:rFonts w:hint="eastAsia"/>
              </w:rPr>
              <w:t>中毒症状：对眼、皮肤、粘膜有刺激作用。急救措施：本品如误入眼睛，立即用清水至少冲洗15分钟，仍有不适应立即就医；如接触皮肤，立即用清水冲洗并换洗衣物；无专用解毒剂，如误服不适，要催吐，保持安静，携本标签送医对症治疗。</w:t>
            </w:r>
          </w:p>
        </w:tc>
      </w:tr>
      <w:tr w14:paraId="4B6C1D17">
        <w:tblPrEx>
          <w:tblCellMar>
            <w:top w:w="0" w:type="dxa"/>
            <w:left w:w="0" w:type="dxa"/>
            <w:bottom w:w="0" w:type="dxa"/>
            <w:right w:w="0" w:type="dxa"/>
          </w:tblCellMar>
        </w:tblPrEx>
        <w:trPr>
          <w:wBefore w:w="0" w:type="auto"/>
          <w:tblCellSpacing w:w="0" w:type="dxa"/>
        </w:trPr>
        <w:tc>
          <w:tcPr>
            <w:tcW w:w="0" w:type="auto"/>
            <w:noWrap w:val="0"/>
            <w:vAlign w:val="center"/>
          </w:tcPr>
          <w:p w14:paraId="06A18927">
            <w:r>
              <w:rPr>
                <w:rStyle w:val="10"/>
                <w:rFonts w:hint="eastAsia"/>
              </w:rPr>
              <w:t>储存和运输方法：</w:t>
            </w:r>
            <w:r>
              <w:rPr>
                <w:rFonts w:hint="eastAsia"/>
              </w:rPr>
              <w:br w:type="textWrapping"/>
            </w:r>
            <w:r>
              <w:rPr>
                <w:rStyle w:val="11"/>
                <w:rFonts w:hint="eastAsia"/>
              </w:rPr>
              <w:t>1.本品应贮存于阴凉、干燥、通风、防雨处，远离火源或热源；3.置于儿童、无关人员触及不到之处，并加锁，勿与食品、饮料、粮食、饲料等其他物品同贮同运；3.搬运及运输过程中，轻拿轻放，防止倒置，注意防雨防潮。</w:t>
            </w:r>
          </w:p>
        </w:tc>
      </w:tr>
      <w:tr w14:paraId="1D0F320A">
        <w:tblPrEx>
          <w:tblCellMar>
            <w:top w:w="0" w:type="dxa"/>
            <w:left w:w="0" w:type="dxa"/>
            <w:bottom w:w="0" w:type="dxa"/>
            <w:right w:w="0" w:type="dxa"/>
          </w:tblCellMar>
        </w:tblPrEx>
        <w:trPr>
          <w:wBefore w:w="0" w:type="auto"/>
          <w:tblCellSpacing w:w="0" w:type="dxa"/>
        </w:trPr>
        <w:tc>
          <w:tcPr>
            <w:tcW w:w="0" w:type="auto"/>
            <w:noWrap w:val="0"/>
            <w:vAlign w:val="center"/>
          </w:tcPr>
          <w:p w14:paraId="461C8F04">
            <w:r>
              <w:rPr>
                <w:rStyle w:val="10"/>
                <w:rFonts w:hint="eastAsia"/>
              </w:rPr>
              <w:t>质量保证期：</w:t>
            </w:r>
            <w:r>
              <w:rPr>
                <w:rStyle w:val="11"/>
                <w:rFonts w:hint="eastAsia"/>
              </w:rPr>
              <w:t>2年</w:t>
            </w:r>
          </w:p>
        </w:tc>
      </w:tr>
      <w:tr w14:paraId="04C693CF">
        <w:tblPrEx>
          <w:tblCellMar>
            <w:top w:w="0" w:type="dxa"/>
            <w:left w:w="0" w:type="dxa"/>
            <w:bottom w:w="0" w:type="dxa"/>
            <w:right w:w="0" w:type="dxa"/>
          </w:tblCellMar>
        </w:tblPrEx>
        <w:trPr>
          <w:wBefore w:w="0" w:type="auto"/>
          <w:tblCellSpacing w:w="0" w:type="dxa"/>
        </w:trPr>
        <w:tc>
          <w:tcPr>
            <w:tcW w:w="0" w:type="auto"/>
            <w:noWrap w:val="0"/>
            <w:vAlign w:val="center"/>
          </w:tcPr>
          <w:p w14:paraId="6852BEBB">
            <w:r>
              <w:rPr>
                <w:rStyle w:val="10"/>
                <w:rFonts w:hint="eastAsia"/>
              </w:rPr>
              <w:t>备注：</w:t>
            </w:r>
          </w:p>
        </w:tc>
      </w:tr>
    </w:tbl>
    <w:p w14:paraId="31AE0D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F28CB8">
        <w:tblPrEx>
          <w:tblCellMar>
            <w:top w:w="0" w:type="dxa"/>
            <w:left w:w="0" w:type="dxa"/>
            <w:bottom w:w="0" w:type="dxa"/>
            <w:right w:w="0" w:type="dxa"/>
          </w:tblCellMar>
        </w:tblPrEx>
        <w:trPr>
          <w:wBefore w:w="0" w:type="auto"/>
          <w:tblCellSpacing w:w="0" w:type="dxa"/>
        </w:trPr>
        <w:tc>
          <w:tcPr>
            <w:tcW w:w="0" w:type="auto"/>
            <w:noWrap w:val="0"/>
            <w:vAlign w:val="center"/>
          </w:tcPr>
          <w:p w14:paraId="042BB93D">
            <w:r>
              <w:rPr>
                <w:rStyle w:val="10"/>
                <w:rFonts w:hint="eastAsia"/>
              </w:rPr>
              <w:t>登记证号：</w:t>
            </w:r>
            <w:r>
              <w:rPr>
                <w:rFonts w:hint="eastAsia"/>
              </w:rPr>
              <w:t>PD20212490</w:t>
            </w:r>
          </w:p>
        </w:tc>
      </w:tr>
      <w:tr w14:paraId="180366EE">
        <w:tblPrEx>
          <w:tblCellMar>
            <w:top w:w="0" w:type="dxa"/>
            <w:left w:w="0" w:type="dxa"/>
            <w:bottom w:w="0" w:type="dxa"/>
            <w:right w:w="0" w:type="dxa"/>
          </w:tblCellMar>
        </w:tblPrEx>
        <w:trPr>
          <w:wBefore w:w="0" w:type="auto"/>
          <w:tblCellSpacing w:w="0" w:type="dxa"/>
        </w:trPr>
        <w:tc>
          <w:tcPr>
            <w:tcW w:w="0" w:type="auto"/>
            <w:noWrap w:val="0"/>
            <w:vAlign w:val="center"/>
          </w:tcPr>
          <w:p w14:paraId="3282DA35">
            <w:r>
              <w:rPr>
                <w:rStyle w:val="10"/>
                <w:rFonts w:hint="eastAsia"/>
              </w:rPr>
              <w:t>登记证持有人：</w:t>
            </w:r>
            <w:r>
              <w:rPr>
                <w:rFonts w:hint="eastAsia"/>
              </w:rPr>
              <w:t>广西化工研究院有限公司</w:t>
            </w:r>
          </w:p>
        </w:tc>
      </w:tr>
      <w:tr w14:paraId="325ACD82">
        <w:tblPrEx>
          <w:tblCellMar>
            <w:top w:w="0" w:type="dxa"/>
            <w:left w:w="0" w:type="dxa"/>
            <w:bottom w:w="0" w:type="dxa"/>
            <w:right w:w="0" w:type="dxa"/>
          </w:tblCellMar>
        </w:tblPrEx>
        <w:trPr>
          <w:wBefore w:w="0" w:type="auto"/>
          <w:tblCellSpacing w:w="0" w:type="dxa"/>
        </w:trPr>
        <w:tc>
          <w:tcPr>
            <w:tcW w:w="0" w:type="auto"/>
            <w:noWrap w:val="0"/>
            <w:vAlign w:val="center"/>
          </w:tcPr>
          <w:p w14:paraId="21C640BF">
            <w:r>
              <w:rPr>
                <w:rStyle w:val="10"/>
                <w:rFonts w:hint="eastAsia"/>
              </w:rPr>
              <w:t>农药名称：</w:t>
            </w:r>
            <w:r>
              <w:rPr>
                <w:rFonts w:hint="eastAsia"/>
              </w:rPr>
              <w:t>乙羧·草铵膦</w:t>
            </w:r>
          </w:p>
        </w:tc>
      </w:tr>
      <w:tr w14:paraId="4216633D">
        <w:tblPrEx>
          <w:tblCellMar>
            <w:top w:w="0" w:type="dxa"/>
            <w:left w:w="0" w:type="dxa"/>
            <w:bottom w:w="0" w:type="dxa"/>
            <w:right w:w="0" w:type="dxa"/>
          </w:tblCellMar>
        </w:tblPrEx>
        <w:trPr>
          <w:wBefore w:w="0" w:type="auto"/>
          <w:tblCellSpacing w:w="0" w:type="dxa"/>
        </w:trPr>
        <w:tc>
          <w:tcPr>
            <w:tcW w:w="0" w:type="auto"/>
            <w:noWrap w:val="0"/>
            <w:vAlign w:val="center"/>
          </w:tcPr>
          <w:p w14:paraId="36F16C55">
            <w:r>
              <w:rPr>
                <w:rStyle w:val="10"/>
                <w:rFonts w:hint="eastAsia"/>
              </w:rPr>
              <w:t>剂型：</w:t>
            </w:r>
            <w:r>
              <w:rPr>
                <w:rFonts w:hint="eastAsia"/>
              </w:rPr>
              <w:t>微乳剂</w:t>
            </w:r>
          </w:p>
        </w:tc>
      </w:tr>
      <w:tr w14:paraId="3EA72521">
        <w:tblPrEx>
          <w:tblCellMar>
            <w:top w:w="0" w:type="dxa"/>
            <w:left w:w="0" w:type="dxa"/>
            <w:bottom w:w="0" w:type="dxa"/>
            <w:right w:w="0" w:type="dxa"/>
          </w:tblCellMar>
        </w:tblPrEx>
        <w:trPr>
          <w:wBefore w:w="0" w:type="auto"/>
          <w:tblCellSpacing w:w="0" w:type="dxa"/>
        </w:trPr>
        <w:tc>
          <w:tcPr>
            <w:tcW w:w="0" w:type="auto"/>
            <w:noWrap w:val="0"/>
            <w:vAlign w:val="center"/>
          </w:tcPr>
          <w:p w14:paraId="7ED365AC">
            <w:r>
              <w:rPr>
                <w:rStyle w:val="10"/>
                <w:rFonts w:hint="eastAsia"/>
              </w:rPr>
              <w:t>毒性及其标识：</w:t>
            </w:r>
            <w:r>
              <w:rPr>
                <w:rFonts w:hint="eastAsia"/>
              </w:rPr>
              <w:t xml:space="preserve"> </w:t>
            </w:r>
            <w:r>
              <w:rPr>
                <w:lang/>
              </w:rPr>
              <w:drawing>
                <wp:inline distT="0" distB="0" distL="114300" distR="114300">
                  <wp:extent cx="476250" cy="323850"/>
                  <wp:effectExtent l="0" t="0" r="0" b="0"/>
                  <wp:docPr id="129" name="图片 1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F6C479">
        <w:tblPrEx>
          <w:tblCellMar>
            <w:top w:w="0" w:type="dxa"/>
            <w:left w:w="0" w:type="dxa"/>
            <w:bottom w:w="0" w:type="dxa"/>
            <w:right w:w="0" w:type="dxa"/>
          </w:tblCellMar>
        </w:tblPrEx>
        <w:trPr>
          <w:wBefore w:w="0" w:type="auto"/>
          <w:tblCellSpacing w:w="0" w:type="dxa"/>
        </w:trPr>
        <w:tc>
          <w:tcPr>
            <w:tcW w:w="0" w:type="auto"/>
            <w:noWrap w:val="0"/>
            <w:vAlign w:val="center"/>
          </w:tcPr>
          <w:p w14:paraId="357C1AA2">
            <w:r>
              <w:rPr>
                <w:rStyle w:val="10"/>
                <w:rFonts w:hint="eastAsia"/>
              </w:rPr>
              <w:t>总有效成分含量：</w:t>
            </w:r>
            <w:r>
              <w:rPr>
                <w:rFonts w:hint="eastAsia"/>
              </w:rPr>
              <w:t>20%</w:t>
            </w:r>
          </w:p>
        </w:tc>
      </w:tr>
      <w:tr w14:paraId="0B34CCD3">
        <w:tblPrEx>
          <w:tblCellMar>
            <w:top w:w="0" w:type="dxa"/>
            <w:left w:w="0" w:type="dxa"/>
            <w:bottom w:w="0" w:type="dxa"/>
            <w:right w:w="0" w:type="dxa"/>
          </w:tblCellMar>
        </w:tblPrEx>
        <w:trPr>
          <w:wBefore w:w="0" w:type="auto"/>
          <w:tblCellSpacing w:w="0" w:type="dxa"/>
        </w:trPr>
        <w:tc>
          <w:tcPr>
            <w:tcW w:w="0" w:type="auto"/>
            <w:noWrap w:val="0"/>
            <w:vAlign w:val="center"/>
          </w:tcPr>
          <w:p w14:paraId="59730434">
            <w:r>
              <w:rPr>
                <w:rFonts w:hint="eastAsia"/>
              </w:rPr>
              <w:t xml:space="preserve">有效成分及其含量： </w:t>
            </w:r>
          </w:p>
          <w:p w14:paraId="77152FE5">
            <w:r>
              <w:rPr>
                <w:rFonts w:hint="eastAsia"/>
              </w:rPr>
              <w:t xml:space="preserve">    草铵膦19%    乙羧氟草醚1%    </w:t>
            </w:r>
          </w:p>
        </w:tc>
      </w:tr>
      <w:tr w14:paraId="06752210">
        <w:tblPrEx>
          <w:tblCellMar>
            <w:top w:w="0" w:type="dxa"/>
            <w:left w:w="0" w:type="dxa"/>
            <w:bottom w:w="0" w:type="dxa"/>
            <w:right w:w="0" w:type="dxa"/>
          </w:tblCellMar>
        </w:tblPrEx>
        <w:trPr>
          <w:wBefore w:w="0" w:type="auto"/>
          <w:tblCellSpacing w:w="0" w:type="dxa"/>
        </w:trPr>
        <w:tc>
          <w:tcPr>
            <w:tcW w:w="0" w:type="auto"/>
            <w:noWrap w:val="0"/>
            <w:vAlign w:val="center"/>
          </w:tcPr>
          <w:p w14:paraId="5BF81A9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15F5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FDEFD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0A8ED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DEC7C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5BC17D">
                  <w:r>
                    <w:rPr>
                      <w:rStyle w:val="11"/>
                      <w:rFonts w:hint="eastAsia"/>
                    </w:rPr>
                    <w:t>施用方式</w:t>
                  </w:r>
                </w:p>
              </w:tc>
            </w:tr>
            <w:tr w14:paraId="23F59D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F1A4D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6B790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1B7364">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CE0D92">
                  <w:r>
                    <w:rPr>
                      <w:rStyle w:val="11"/>
                      <w:rFonts w:hint="eastAsia"/>
                    </w:rPr>
                    <w:t>茎叶喷雾</w:t>
                  </w:r>
                </w:p>
              </w:tc>
            </w:tr>
          </w:tbl>
          <w:p w14:paraId="18E31956">
            <w:pPr>
              <w:rPr>
                <w:rFonts w:ascii="Times New Roman" w:hAnsi="Times New Roman" w:cs="Times New Roman"/>
                <w:sz w:val="20"/>
                <w:szCs w:val="20"/>
              </w:rPr>
            </w:pPr>
          </w:p>
        </w:tc>
      </w:tr>
      <w:tr w14:paraId="0F57DD30">
        <w:tblPrEx>
          <w:tblCellMar>
            <w:top w:w="0" w:type="dxa"/>
            <w:left w:w="0" w:type="dxa"/>
            <w:bottom w:w="0" w:type="dxa"/>
            <w:right w:w="0" w:type="dxa"/>
          </w:tblCellMar>
        </w:tblPrEx>
        <w:trPr>
          <w:wBefore w:w="0" w:type="auto"/>
          <w:tblCellSpacing w:w="0" w:type="dxa"/>
        </w:trPr>
        <w:tc>
          <w:tcPr>
            <w:tcW w:w="0" w:type="auto"/>
            <w:noWrap w:val="0"/>
            <w:vAlign w:val="center"/>
          </w:tcPr>
          <w:p w14:paraId="2C9A540E">
            <w:r>
              <w:rPr>
                <w:rStyle w:val="10"/>
                <w:rFonts w:hint="eastAsia"/>
              </w:rPr>
              <w:t>使用技术要求:</w:t>
            </w:r>
            <w:r>
              <w:rPr>
                <w:rFonts w:hint="eastAsia"/>
              </w:rPr>
              <w:br w:type="textWrapping"/>
            </w:r>
            <w:r>
              <w:rPr>
                <w:rStyle w:val="11"/>
                <w:rFonts w:hint="eastAsia"/>
              </w:rPr>
              <w:t>1. 本品于非耕地杂草生长旺期茎叶均匀喷雾，每亩兑水量30～40升。2. 干旱及杂草密度大或防除大龄杂草及多年生恶性杂草时，采用较高的推荐制剂用量和兑水量。3. 大风天或预计6小时内降雨，勿施药。4. 避免飘移药害。</w:t>
            </w:r>
          </w:p>
        </w:tc>
      </w:tr>
      <w:tr w14:paraId="570F3F0C">
        <w:tblPrEx>
          <w:tblCellMar>
            <w:top w:w="0" w:type="dxa"/>
            <w:left w:w="0" w:type="dxa"/>
            <w:bottom w:w="0" w:type="dxa"/>
            <w:right w:w="0" w:type="dxa"/>
          </w:tblCellMar>
        </w:tblPrEx>
        <w:trPr>
          <w:wBefore w:w="0" w:type="auto"/>
          <w:tblCellSpacing w:w="0" w:type="dxa"/>
        </w:trPr>
        <w:tc>
          <w:tcPr>
            <w:tcW w:w="0" w:type="auto"/>
            <w:noWrap w:val="0"/>
            <w:vAlign w:val="center"/>
          </w:tcPr>
          <w:p w14:paraId="19B5BFCA">
            <w:r>
              <w:rPr>
                <w:rStyle w:val="10"/>
                <w:rFonts w:hint="eastAsia"/>
              </w:rPr>
              <w:t>产品性能:</w:t>
            </w:r>
            <w:r>
              <w:rPr>
                <w:rFonts w:hint="eastAsia"/>
              </w:rPr>
              <w:br w:type="textWrapping"/>
            </w:r>
            <w:r>
              <w:rPr>
                <w:rStyle w:val="11"/>
                <w:rFonts w:hint="eastAsia"/>
              </w:rPr>
              <w:t>本品为非选择性触杀型杂草茎叶处理剂，是膦酸类拟天然化感仿生物源除草剂草铵膦与二苯醚类除草剂乙羧氟草醚复配而成的微乳剂。</w:t>
            </w:r>
          </w:p>
        </w:tc>
      </w:tr>
      <w:tr w14:paraId="4C6A289C">
        <w:tblPrEx>
          <w:tblCellMar>
            <w:top w:w="0" w:type="dxa"/>
            <w:left w:w="0" w:type="dxa"/>
            <w:bottom w:w="0" w:type="dxa"/>
            <w:right w:w="0" w:type="dxa"/>
          </w:tblCellMar>
        </w:tblPrEx>
        <w:trPr>
          <w:wBefore w:w="0" w:type="auto"/>
          <w:tblCellSpacing w:w="0" w:type="dxa"/>
        </w:trPr>
        <w:tc>
          <w:tcPr>
            <w:tcW w:w="0" w:type="auto"/>
            <w:noWrap w:val="0"/>
            <w:vAlign w:val="center"/>
          </w:tcPr>
          <w:p w14:paraId="7A7C0F01">
            <w:r>
              <w:rPr>
                <w:rStyle w:val="10"/>
                <w:rFonts w:hint="eastAsia"/>
              </w:rPr>
              <w:t>注意事项：</w:t>
            </w:r>
            <w:r>
              <w:rPr>
                <w:rFonts w:hint="eastAsia"/>
              </w:rPr>
              <w:br w:type="textWrapping"/>
            </w:r>
            <w:r>
              <w:rPr>
                <w:rStyle w:val="11"/>
                <w:rFonts w:hint="eastAsia"/>
              </w:rPr>
              <w:t>1. 防除多年生杂草或进入花期的杂草应使用推荐的高剂量。2. 配药时用清水配制，浑水会影响药效。本品与土壤接触立即失去活性，宜作茎叶处理。3. 本品对藻类、鱼类等水生生物、家蚕有毒，蚕室和桑园附近禁用，禁止采摘桑叶饲喂家蚕。4. 注意风向，防止药雾飘移到附近作物上造成药害。5. 使用本品时应穿戴长衣、长裤、帽子、口罩、手套等防护用具，避免吸入药液。施药期间不可吃东西、喝水和吸烟。施药后应及时洗手和洗脸。水产养殖区、河塘等水体附近禁用，禁止在河塘等水域清洗施药器具。6. 剩余药液或空容器要妥善处理，不可随意丢弃，亦不可做它用，不要污染水源、水系及污染食物和饲料。 7. 孕妇和哺乳期妇女禁止接触此药。8. 避免与氧化物接触。</w:t>
            </w:r>
          </w:p>
        </w:tc>
      </w:tr>
      <w:tr w14:paraId="50329EE6">
        <w:tblPrEx>
          <w:tblCellMar>
            <w:top w:w="0" w:type="dxa"/>
            <w:left w:w="0" w:type="dxa"/>
            <w:bottom w:w="0" w:type="dxa"/>
            <w:right w:w="0" w:type="dxa"/>
          </w:tblCellMar>
        </w:tblPrEx>
        <w:trPr>
          <w:wBefore w:w="0" w:type="auto"/>
          <w:tblCellSpacing w:w="0" w:type="dxa"/>
        </w:trPr>
        <w:tc>
          <w:tcPr>
            <w:tcW w:w="0" w:type="auto"/>
            <w:noWrap w:val="0"/>
            <w:vAlign w:val="center"/>
          </w:tcPr>
          <w:p w14:paraId="37573647">
            <w:r>
              <w:rPr>
                <w:rStyle w:val="10"/>
                <w:rFonts w:hint="eastAsia"/>
              </w:rPr>
              <w:t>中毒急救措施：</w:t>
            </w:r>
            <w:r>
              <w:rPr>
                <w:rFonts w:hint="eastAsia"/>
              </w:rPr>
              <w:br w:type="textWrapping"/>
            </w:r>
            <w:r>
              <w:rPr>
                <w:rStyle w:val="11"/>
                <w:rFonts w:hint="eastAsia"/>
              </w:rPr>
              <w:t>对皮肤、眼睛和上呼吸道有刺激作用，无经口中毒报道。急救措施：不慎吸入，应将病人移至空气流通处。不慎接触皮肤，应用大量清水冲洗，若溅入眼睛，应用大量清水冲洗至少15分钟；本品无特效 解毒剂，如误服，严禁引吐，应先立即用清水漱口，再携带本标签到医院诊治。</w:t>
            </w:r>
          </w:p>
        </w:tc>
      </w:tr>
      <w:tr w14:paraId="24D8E86F">
        <w:tblPrEx>
          <w:tblCellMar>
            <w:top w:w="0" w:type="dxa"/>
            <w:left w:w="0" w:type="dxa"/>
            <w:bottom w:w="0" w:type="dxa"/>
            <w:right w:w="0" w:type="dxa"/>
          </w:tblCellMar>
        </w:tblPrEx>
        <w:trPr>
          <w:wBefore w:w="0" w:type="auto"/>
          <w:tblCellSpacing w:w="0" w:type="dxa"/>
        </w:trPr>
        <w:tc>
          <w:tcPr>
            <w:tcW w:w="0" w:type="auto"/>
            <w:noWrap w:val="0"/>
            <w:vAlign w:val="center"/>
          </w:tcPr>
          <w:p w14:paraId="1F8941C1">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勿与食品、饮料、粮食、饲料等同贮同运。</w:t>
            </w:r>
          </w:p>
        </w:tc>
      </w:tr>
      <w:tr w14:paraId="4054AD3C">
        <w:tblPrEx>
          <w:tblCellMar>
            <w:top w:w="0" w:type="dxa"/>
            <w:left w:w="0" w:type="dxa"/>
            <w:bottom w:w="0" w:type="dxa"/>
            <w:right w:w="0" w:type="dxa"/>
          </w:tblCellMar>
        </w:tblPrEx>
        <w:trPr>
          <w:wBefore w:w="0" w:type="auto"/>
          <w:tblCellSpacing w:w="0" w:type="dxa"/>
        </w:trPr>
        <w:tc>
          <w:tcPr>
            <w:tcW w:w="0" w:type="auto"/>
            <w:noWrap w:val="0"/>
            <w:vAlign w:val="center"/>
          </w:tcPr>
          <w:p w14:paraId="74879CC9">
            <w:r>
              <w:rPr>
                <w:rStyle w:val="10"/>
                <w:rFonts w:hint="eastAsia"/>
              </w:rPr>
              <w:t>质量保证期：</w:t>
            </w:r>
            <w:r>
              <w:rPr>
                <w:rStyle w:val="11"/>
                <w:rFonts w:hint="eastAsia"/>
              </w:rPr>
              <w:t>2年</w:t>
            </w:r>
          </w:p>
        </w:tc>
      </w:tr>
      <w:tr w14:paraId="54C70436">
        <w:tblPrEx>
          <w:tblCellMar>
            <w:top w:w="0" w:type="dxa"/>
            <w:left w:w="0" w:type="dxa"/>
            <w:bottom w:w="0" w:type="dxa"/>
            <w:right w:w="0" w:type="dxa"/>
          </w:tblCellMar>
        </w:tblPrEx>
        <w:trPr>
          <w:wBefore w:w="0" w:type="auto"/>
          <w:tblCellSpacing w:w="0" w:type="dxa"/>
        </w:trPr>
        <w:tc>
          <w:tcPr>
            <w:tcW w:w="0" w:type="auto"/>
            <w:noWrap w:val="0"/>
            <w:vAlign w:val="center"/>
          </w:tcPr>
          <w:p w14:paraId="35AC033D">
            <w:r>
              <w:rPr>
                <w:rStyle w:val="10"/>
                <w:rFonts w:hint="eastAsia"/>
              </w:rPr>
              <w:t>备注：</w:t>
            </w:r>
          </w:p>
        </w:tc>
      </w:tr>
    </w:tbl>
    <w:p w14:paraId="042C00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BEA3FC">
        <w:tblPrEx>
          <w:tblCellMar>
            <w:top w:w="0" w:type="dxa"/>
            <w:left w:w="0" w:type="dxa"/>
            <w:bottom w:w="0" w:type="dxa"/>
            <w:right w:w="0" w:type="dxa"/>
          </w:tblCellMar>
        </w:tblPrEx>
        <w:trPr>
          <w:wBefore w:w="0" w:type="auto"/>
          <w:tblCellSpacing w:w="0" w:type="dxa"/>
        </w:trPr>
        <w:tc>
          <w:tcPr>
            <w:tcW w:w="0" w:type="auto"/>
            <w:noWrap w:val="0"/>
            <w:vAlign w:val="center"/>
          </w:tcPr>
          <w:p w14:paraId="2B4BF21D">
            <w:r>
              <w:rPr>
                <w:rStyle w:val="10"/>
                <w:rFonts w:hint="eastAsia"/>
              </w:rPr>
              <w:t>登记证号：</w:t>
            </w:r>
            <w:r>
              <w:rPr>
                <w:rFonts w:hint="eastAsia"/>
              </w:rPr>
              <w:t>PD20212589</w:t>
            </w:r>
          </w:p>
        </w:tc>
      </w:tr>
      <w:tr w14:paraId="1D5A6024">
        <w:tblPrEx>
          <w:tblCellMar>
            <w:top w:w="0" w:type="dxa"/>
            <w:left w:w="0" w:type="dxa"/>
            <w:bottom w:w="0" w:type="dxa"/>
            <w:right w:w="0" w:type="dxa"/>
          </w:tblCellMar>
        </w:tblPrEx>
        <w:trPr>
          <w:wBefore w:w="0" w:type="auto"/>
          <w:tblCellSpacing w:w="0" w:type="dxa"/>
        </w:trPr>
        <w:tc>
          <w:tcPr>
            <w:tcW w:w="0" w:type="auto"/>
            <w:noWrap w:val="0"/>
            <w:vAlign w:val="center"/>
          </w:tcPr>
          <w:p w14:paraId="165DBDA7">
            <w:r>
              <w:rPr>
                <w:rStyle w:val="10"/>
                <w:rFonts w:hint="eastAsia"/>
              </w:rPr>
              <w:t>登记证持有人：</w:t>
            </w:r>
            <w:r>
              <w:rPr>
                <w:rFonts w:hint="eastAsia"/>
              </w:rPr>
              <w:t>山东绿霸化工股份有限公司</w:t>
            </w:r>
          </w:p>
        </w:tc>
      </w:tr>
      <w:tr w14:paraId="117EDE31">
        <w:tblPrEx>
          <w:tblCellMar>
            <w:top w:w="0" w:type="dxa"/>
            <w:left w:w="0" w:type="dxa"/>
            <w:bottom w:w="0" w:type="dxa"/>
            <w:right w:w="0" w:type="dxa"/>
          </w:tblCellMar>
        </w:tblPrEx>
        <w:trPr>
          <w:wBefore w:w="0" w:type="auto"/>
          <w:tblCellSpacing w:w="0" w:type="dxa"/>
        </w:trPr>
        <w:tc>
          <w:tcPr>
            <w:tcW w:w="0" w:type="auto"/>
            <w:noWrap w:val="0"/>
            <w:vAlign w:val="center"/>
          </w:tcPr>
          <w:p w14:paraId="3563AF5E">
            <w:r>
              <w:rPr>
                <w:rStyle w:val="10"/>
                <w:rFonts w:hint="eastAsia"/>
              </w:rPr>
              <w:t>农药名称：</w:t>
            </w:r>
            <w:r>
              <w:rPr>
                <w:rFonts w:hint="eastAsia"/>
              </w:rPr>
              <w:t>苯唑·莠去津</w:t>
            </w:r>
          </w:p>
        </w:tc>
      </w:tr>
      <w:tr w14:paraId="626AF59F">
        <w:tblPrEx>
          <w:tblCellMar>
            <w:top w:w="0" w:type="dxa"/>
            <w:left w:w="0" w:type="dxa"/>
            <w:bottom w:w="0" w:type="dxa"/>
            <w:right w:w="0" w:type="dxa"/>
          </w:tblCellMar>
        </w:tblPrEx>
        <w:trPr>
          <w:wBefore w:w="0" w:type="auto"/>
          <w:tblCellSpacing w:w="0" w:type="dxa"/>
        </w:trPr>
        <w:tc>
          <w:tcPr>
            <w:tcW w:w="0" w:type="auto"/>
            <w:noWrap w:val="0"/>
            <w:vAlign w:val="center"/>
          </w:tcPr>
          <w:p w14:paraId="4775AF6A">
            <w:r>
              <w:rPr>
                <w:rStyle w:val="10"/>
                <w:rFonts w:hint="eastAsia"/>
              </w:rPr>
              <w:t>剂型：</w:t>
            </w:r>
            <w:r>
              <w:rPr>
                <w:rFonts w:hint="eastAsia"/>
              </w:rPr>
              <w:t>可分散油悬浮剂</w:t>
            </w:r>
          </w:p>
        </w:tc>
      </w:tr>
      <w:tr w14:paraId="68363A99">
        <w:tblPrEx>
          <w:tblCellMar>
            <w:top w:w="0" w:type="dxa"/>
            <w:left w:w="0" w:type="dxa"/>
            <w:bottom w:w="0" w:type="dxa"/>
            <w:right w:w="0" w:type="dxa"/>
          </w:tblCellMar>
        </w:tblPrEx>
        <w:trPr>
          <w:wBefore w:w="0" w:type="auto"/>
          <w:tblCellSpacing w:w="0" w:type="dxa"/>
        </w:trPr>
        <w:tc>
          <w:tcPr>
            <w:tcW w:w="0" w:type="auto"/>
            <w:noWrap w:val="0"/>
            <w:vAlign w:val="center"/>
          </w:tcPr>
          <w:p w14:paraId="4E676AC7">
            <w:r>
              <w:rPr>
                <w:rStyle w:val="10"/>
                <w:rFonts w:hint="eastAsia"/>
              </w:rPr>
              <w:t>毒性及其标识：</w:t>
            </w:r>
            <w:r>
              <w:rPr>
                <w:rFonts w:hint="eastAsia"/>
              </w:rPr>
              <w:t xml:space="preserve"> </w:t>
            </w:r>
            <w:r>
              <w:rPr>
                <w:lang/>
              </w:rPr>
              <w:drawing>
                <wp:inline distT="0" distB="0" distL="114300" distR="114300">
                  <wp:extent cx="476250" cy="323850"/>
                  <wp:effectExtent l="0" t="0" r="0" b="0"/>
                  <wp:docPr id="130" name="图片 1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2A17F5">
        <w:tblPrEx>
          <w:tblCellMar>
            <w:top w:w="0" w:type="dxa"/>
            <w:left w:w="0" w:type="dxa"/>
            <w:bottom w:w="0" w:type="dxa"/>
            <w:right w:w="0" w:type="dxa"/>
          </w:tblCellMar>
        </w:tblPrEx>
        <w:trPr>
          <w:wBefore w:w="0" w:type="auto"/>
          <w:tblCellSpacing w:w="0" w:type="dxa"/>
        </w:trPr>
        <w:tc>
          <w:tcPr>
            <w:tcW w:w="0" w:type="auto"/>
            <w:noWrap w:val="0"/>
            <w:vAlign w:val="center"/>
          </w:tcPr>
          <w:p w14:paraId="2C7EBE99">
            <w:r>
              <w:rPr>
                <w:rStyle w:val="10"/>
                <w:rFonts w:hint="eastAsia"/>
              </w:rPr>
              <w:t>总有效成分含量：</w:t>
            </w:r>
            <w:r>
              <w:rPr>
                <w:rFonts w:hint="eastAsia"/>
              </w:rPr>
              <w:t>25%</w:t>
            </w:r>
          </w:p>
        </w:tc>
      </w:tr>
      <w:tr w14:paraId="140F975B">
        <w:tblPrEx>
          <w:tblCellMar>
            <w:top w:w="0" w:type="dxa"/>
            <w:left w:w="0" w:type="dxa"/>
            <w:bottom w:w="0" w:type="dxa"/>
            <w:right w:w="0" w:type="dxa"/>
          </w:tblCellMar>
        </w:tblPrEx>
        <w:trPr>
          <w:wBefore w:w="0" w:type="auto"/>
          <w:tblCellSpacing w:w="0" w:type="dxa"/>
        </w:trPr>
        <w:tc>
          <w:tcPr>
            <w:tcW w:w="0" w:type="auto"/>
            <w:noWrap w:val="0"/>
            <w:vAlign w:val="center"/>
          </w:tcPr>
          <w:p w14:paraId="0309F142">
            <w:r>
              <w:rPr>
                <w:rFonts w:hint="eastAsia"/>
              </w:rPr>
              <w:t xml:space="preserve">有效成分及其含量： </w:t>
            </w:r>
          </w:p>
          <w:p w14:paraId="77692EAE">
            <w:r>
              <w:rPr>
                <w:rFonts w:hint="eastAsia"/>
              </w:rPr>
              <w:t xml:space="preserve">    苯唑草酮1%    莠去津24%    </w:t>
            </w:r>
          </w:p>
        </w:tc>
      </w:tr>
      <w:tr w14:paraId="6DBD77C2">
        <w:tblPrEx>
          <w:tblCellMar>
            <w:top w:w="0" w:type="dxa"/>
            <w:left w:w="0" w:type="dxa"/>
            <w:bottom w:w="0" w:type="dxa"/>
            <w:right w:w="0" w:type="dxa"/>
          </w:tblCellMar>
        </w:tblPrEx>
        <w:trPr>
          <w:wBefore w:w="0" w:type="auto"/>
          <w:tblCellSpacing w:w="0" w:type="dxa"/>
        </w:trPr>
        <w:tc>
          <w:tcPr>
            <w:tcW w:w="0" w:type="auto"/>
            <w:noWrap w:val="0"/>
            <w:vAlign w:val="center"/>
          </w:tcPr>
          <w:p w14:paraId="3DC3A5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D86B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89B246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47ED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CB4D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4B285D">
                  <w:r>
                    <w:rPr>
                      <w:rStyle w:val="11"/>
                      <w:rFonts w:hint="eastAsia"/>
                    </w:rPr>
                    <w:t>施用方式</w:t>
                  </w:r>
                </w:p>
              </w:tc>
            </w:tr>
            <w:tr w14:paraId="1FC272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BAC3F7">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62A18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BD2BBF">
                  <w:r>
                    <w:rPr>
                      <w:rStyle w:val="11"/>
                      <w:rFonts w:hint="eastAsia"/>
                    </w:rPr>
                    <w:t>180-220毫升/亩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7556EF">
                  <w:r>
                    <w:rPr>
                      <w:rStyle w:val="11"/>
                      <w:rFonts w:hint="eastAsia"/>
                    </w:rPr>
                    <w:t>茎叶喷雾</w:t>
                  </w:r>
                </w:p>
              </w:tc>
            </w:tr>
          </w:tbl>
          <w:p w14:paraId="680C92EE">
            <w:pPr>
              <w:rPr>
                <w:rFonts w:ascii="Times New Roman" w:hAnsi="Times New Roman" w:cs="Times New Roman"/>
                <w:sz w:val="20"/>
                <w:szCs w:val="20"/>
              </w:rPr>
            </w:pPr>
          </w:p>
        </w:tc>
      </w:tr>
      <w:tr w14:paraId="3FFAFAE8">
        <w:tblPrEx>
          <w:tblCellMar>
            <w:top w:w="0" w:type="dxa"/>
            <w:left w:w="0" w:type="dxa"/>
            <w:bottom w:w="0" w:type="dxa"/>
            <w:right w:w="0" w:type="dxa"/>
          </w:tblCellMar>
        </w:tblPrEx>
        <w:trPr>
          <w:wBefore w:w="0" w:type="auto"/>
          <w:tblCellSpacing w:w="0" w:type="dxa"/>
        </w:trPr>
        <w:tc>
          <w:tcPr>
            <w:tcW w:w="0" w:type="auto"/>
            <w:noWrap w:val="0"/>
            <w:vAlign w:val="center"/>
          </w:tcPr>
          <w:p w14:paraId="70ED35D4">
            <w:r>
              <w:rPr>
                <w:rStyle w:val="10"/>
                <w:rFonts w:hint="eastAsia"/>
              </w:rPr>
              <w:t>使用技术要求:</w:t>
            </w:r>
            <w:r>
              <w:rPr>
                <w:rFonts w:hint="eastAsia"/>
              </w:rPr>
              <w:br w:type="textWrapping"/>
            </w:r>
            <w:r>
              <w:rPr>
                <w:rStyle w:val="11"/>
                <w:rFonts w:hint="eastAsia"/>
              </w:rPr>
              <w:t>1.应于玉米3-5叶期、杂草2-5叶期茎叶喷雾施药。 2.间套或混种有其他作物的玉米田，不能使用本品。 3.幼小和旺盛生长的杂草对苯唑草酮更敏感。低温和干旱的天气，杂草生长会变慢从而影响杂草对苯唑草酮的吸收与传导，杂草死亡的时间会变长。 4.施药应均匀周到，避免重喷，漏喷或超过推荐剂量用药。一旦毁种，勿再次施用本品。 5. 在大风时或大雨前不要施药，避免飘移。 6.后茬种植苜蓿、棉花、花生、马铃薯、高粱、大豆、向日葵、菜豆、豌豆、甜菜、油菜等作物需先进行小面积试验，确认安全后再种植。7.勿超剂量使用避免药害。</w:t>
            </w:r>
          </w:p>
        </w:tc>
      </w:tr>
      <w:tr w14:paraId="74919DAF">
        <w:tblPrEx>
          <w:tblCellMar>
            <w:top w:w="0" w:type="dxa"/>
            <w:left w:w="0" w:type="dxa"/>
            <w:bottom w:w="0" w:type="dxa"/>
            <w:right w:w="0" w:type="dxa"/>
          </w:tblCellMar>
        </w:tblPrEx>
        <w:trPr>
          <w:wBefore w:w="0" w:type="auto"/>
          <w:tblCellSpacing w:w="0" w:type="dxa"/>
        </w:trPr>
        <w:tc>
          <w:tcPr>
            <w:tcW w:w="0" w:type="auto"/>
            <w:noWrap w:val="0"/>
            <w:vAlign w:val="center"/>
          </w:tcPr>
          <w:p w14:paraId="2759B35B">
            <w:r>
              <w:rPr>
                <w:rStyle w:val="10"/>
                <w:rFonts w:hint="eastAsia"/>
              </w:rPr>
              <w:t>产品性能:</w:t>
            </w:r>
            <w:r>
              <w:rPr>
                <w:rFonts w:hint="eastAsia"/>
              </w:rPr>
              <w:br w:type="textWrapping"/>
            </w:r>
            <w:r>
              <w:rPr>
                <w:rStyle w:val="11"/>
                <w:rFonts w:hint="eastAsia"/>
              </w:rPr>
              <w:t>苯唑草酮是新型吡唑啉酮类苗后茎叶处理除草剂。具有内吸传导作用，可以被植物的叶、根和茎吸收。莠去津是选择性内吸传导型苗前、苗后除草剂。根吸收为主，茎叶吸收较少，迅速传导到植物分生组织及叶部，干扰光合作用，使杂草致死。二者混用增效作用显著，能够有效防除玉米田一年生杂草。</w:t>
            </w:r>
          </w:p>
        </w:tc>
      </w:tr>
      <w:tr w14:paraId="513C0733">
        <w:tblPrEx>
          <w:tblCellMar>
            <w:top w:w="0" w:type="dxa"/>
            <w:left w:w="0" w:type="dxa"/>
            <w:bottom w:w="0" w:type="dxa"/>
            <w:right w:w="0" w:type="dxa"/>
          </w:tblCellMar>
        </w:tblPrEx>
        <w:trPr>
          <w:wBefore w:w="0" w:type="auto"/>
          <w:tblCellSpacing w:w="0" w:type="dxa"/>
        </w:trPr>
        <w:tc>
          <w:tcPr>
            <w:tcW w:w="0" w:type="auto"/>
            <w:noWrap w:val="0"/>
            <w:vAlign w:val="center"/>
          </w:tcPr>
          <w:p w14:paraId="7C76E2A1">
            <w:r>
              <w:rPr>
                <w:rStyle w:val="10"/>
                <w:rFonts w:hint="eastAsia"/>
              </w:rPr>
              <w:t>注意事项：</w:t>
            </w:r>
            <w:r>
              <w:rPr>
                <w:rFonts w:hint="eastAsia"/>
              </w:rPr>
              <w:br w:type="textWrapping"/>
            </w:r>
            <w:r>
              <w:rPr>
                <w:rStyle w:val="11"/>
                <w:rFonts w:hint="eastAsia"/>
              </w:rPr>
              <w:t>1.本品不可与呈碱性的农药等物质混合使用。 2.使用时应穿长衣长裤、靴子，戴帽子、护目镜、口罩、手套等防护用具；施药期间不可吃东西、饮水、吸烟等；施药后应及时洗手、洗脸并洗涤施药时穿着的衣物。 3.远离水产养殖区、河塘等水体施药；禁止在河塘等水体中清洗施药器具。地下水源地禁用。</w:t>
            </w:r>
            <w:r>
              <w:rPr>
                <w:rStyle w:val="11"/>
                <w:rFonts w:hint="eastAsia"/>
              </w:rPr>
              <w:t> </w:t>
            </w:r>
            <w:r>
              <w:rPr>
                <w:rStyle w:val="11"/>
                <w:rFonts w:hint="eastAsia"/>
              </w:rPr>
              <w:t>4.蚕室及桑园附近禁用；</w:t>
            </w:r>
            <w:r>
              <w:rPr>
                <w:rStyle w:val="11"/>
                <w:rFonts w:hint="eastAsia"/>
              </w:rPr>
              <w:t> </w:t>
            </w:r>
            <w:r>
              <w:rPr>
                <w:rStyle w:val="11"/>
                <w:rFonts w:hint="eastAsia"/>
              </w:rPr>
              <w:t>5.孕妇和哺乳期妇女应避免接触本品。6.用过的容器应妥善处理，不可做他用，也不可随意丢弃。</w:t>
            </w:r>
          </w:p>
        </w:tc>
      </w:tr>
      <w:tr w14:paraId="2FEC3B10">
        <w:tblPrEx>
          <w:tblCellMar>
            <w:top w:w="0" w:type="dxa"/>
            <w:left w:w="0" w:type="dxa"/>
            <w:bottom w:w="0" w:type="dxa"/>
            <w:right w:w="0" w:type="dxa"/>
          </w:tblCellMar>
        </w:tblPrEx>
        <w:trPr>
          <w:wBefore w:w="0" w:type="auto"/>
          <w:tblCellSpacing w:w="0" w:type="dxa"/>
        </w:trPr>
        <w:tc>
          <w:tcPr>
            <w:tcW w:w="0" w:type="auto"/>
            <w:noWrap w:val="0"/>
            <w:vAlign w:val="center"/>
          </w:tcPr>
          <w:p w14:paraId="37F8ABA6">
            <w:r>
              <w:rPr>
                <w:rStyle w:val="10"/>
                <w:rFonts w:hint="eastAsia"/>
              </w:rPr>
              <w:t>中毒急救措施：</w:t>
            </w:r>
            <w:r>
              <w:rPr>
                <w:rFonts w:hint="eastAsia"/>
              </w:rPr>
              <w:br w:type="textWrapping"/>
            </w:r>
            <w:r>
              <w:rPr>
                <w:rStyle w:val="11"/>
                <w:rFonts w:hint="eastAsia"/>
              </w:rPr>
              <w:t xml:space="preserve">中毒症状：本品对皮肤和眼睛有刺激性。 不慎吸入：应立即将病人移至空气流通处。 眼睛溅药：用大量清水清洗15分钟，如仍有刺激感，立即就医。 皮肤沾药：用肥皂水彻底清洗，如仍有刺激感，立即就医。 误服：立即携此标签就医，本品无特定解毒剂，对症治疗。 </w:t>
            </w:r>
          </w:p>
        </w:tc>
      </w:tr>
      <w:tr w14:paraId="42CB73F0">
        <w:tblPrEx>
          <w:tblCellMar>
            <w:top w:w="0" w:type="dxa"/>
            <w:left w:w="0" w:type="dxa"/>
            <w:bottom w:w="0" w:type="dxa"/>
            <w:right w:w="0" w:type="dxa"/>
          </w:tblCellMar>
        </w:tblPrEx>
        <w:trPr>
          <w:wBefore w:w="0" w:type="auto"/>
          <w:tblCellSpacing w:w="0" w:type="dxa"/>
        </w:trPr>
        <w:tc>
          <w:tcPr>
            <w:tcW w:w="0" w:type="auto"/>
            <w:noWrap w:val="0"/>
            <w:vAlign w:val="center"/>
          </w:tcPr>
          <w:p w14:paraId="7AB0740C">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本品应贮存在阴凉、干燥、通风、防雨处。远离火源或热源。置于儿童、无关人员触及不到之处，并加锁。勿与食品、饮料、饲料、粮食等同贮同运。运输时轻拿轻放，严禁倒置。</w:t>
            </w:r>
          </w:p>
        </w:tc>
      </w:tr>
      <w:tr w14:paraId="3382C0D0">
        <w:tblPrEx>
          <w:tblCellMar>
            <w:top w:w="0" w:type="dxa"/>
            <w:left w:w="0" w:type="dxa"/>
            <w:bottom w:w="0" w:type="dxa"/>
            <w:right w:w="0" w:type="dxa"/>
          </w:tblCellMar>
        </w:tblPrEx>
        <w:trPr>
          <w:wBefore w:w="0" w:type="auto"/>
          <w:tblCellSpacing w:w="0" w:type="dxa"/>
        </w:trPr>
        <w:tc>
          <w:tcPr>
            <w:tcW w:w="0" w:type="auto"/>
            <w:noWrap w:val="0"/>
            <w:vAlign w:val="center"/>
          </w:tcPr>
          <w:p w14:paraId="4B0B2838">
            <w:r>
              <w:rPr>
                <w:rStyle w:val="10"/>
                <w:rFonts w:hint="eastAsia"/>
              </w:rPr>
              <w:t>质量保证期：</w:t>
            </w:r>
            <w:r>
              <w:rPr>
                <w:rStyle w:val="11"/>
                <w:rFonts w:hint="eastAsia"/>
              </w:rPr>
              <w:t>2年</w:t>
            </w:r>
          </w:p>
        </w:tc>
      </w:tr>
      <w:tr w14:paraId="25D34F59">
        <w:tblPrEx>
          <w:tblCellMar>
            <w:top w:w="0" w:type="dxa"/>
            <w:left w:w="0" w:type="dxa"/>
            <w:bottom w:w="0" w:type="dxa"/>
            <w:right w:w="0" w:type="dxa"/>
          </w:tblCellMar>
        </w:tblPrEx>
        <w:trPr>
          <w:wBefore w:w="0" w:type="auto"/>
          <w:tblCellSpacing w:w="0" w:type="dxa"/>
        </w:trPr>
        <w:tc>
          <w:tcPr>
            <w:tcW w:w="0" w:type="auto"/>
            <w:noWrap w:val="0"/>
            <w:vAlign w:val="center"/>
          </w:tcPr>
          <w:p w14:paraId="335BC497">
            <w:r>
              <w:rPr>
                <w:rStyle w:val="10"/>
                <w:rFonts w:hint="eastAsia"/>
              </w:rPr>
              <w:t>备注：</w:t>
            </w:r>
          </w:p>
        </w:tc>
      </w:tr>
    </w:tbl>
    <w:p w14:paraId="31BF1F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06C496">
        <w:tblPrEx>
          <w:tblCellMar>
            <w:top w:w="0" w:type="dxa"/>
            <w:left w:w="0" w:type="dxa"/>
            <w:bottom w:w="0" w:type="dxa"/>
            <w:right w:w="0" w:type="dxa"/>
          </w:tblCellMar>
        </w:tblPrEx>
        <w:trPr>
          <w:wBefore w:w="0" w:type="auto"/>
          <w:tblCellSpacing w:w="0" w:type="dxa"/>
        </w:trPr>
        <w:tc>
          <w:tcPr>
            <w:tcW w:w="0" w:type="auto"/>
            <w:noWrap w:val="0"/>
            <w:vAlign w:val="center"/>
          </w:tcPr>
          <w:p w14:paraId="05FDDCD8">
            <w:r>
              <w:rPr>
                <w:rStyle w:val="10"/>
                <w:rFonts w:hint="eastAsia"/>
              </w:rPr>
              <w:t>登记证号：</w:t>
            </w:r>
            <w:r>
              <w:rPr>
                <w:rFonts w:hint="eastAsia"/>
              </w:rPr>
              <w:t>PD20100677</w:t>
            </w:r>
          </w:p>
        </w:tc>
      </w:tr>
      <w:tr w14:paraId="473C2E94">
        <w:tblPrEx>
          <w:tblCellMar>
            <w:top w:w="0" w:type="dxa"/>
            <w:left w:w="0" w:type="dxa"/>
            <w:bottom w:w="0" w:type="dxa"/>
            <w:right w:w="0" w:type="dxa"/>
          </w:tblCellMar>
        </w:tblPrEx>
        <w:trPr>
          <w:wBefore w:w="0" w:type="auto"/>
          <w:tblCellSpacing w:w="0" w:type="dxa"/>
        </w:trPr>
        <w:tc>
          <w:tcPr>
            <w:tcW w:w="0" w:type="auto"/>
            <w:noWrap w:val="0"/>
            <w:vAlign w:val="center"/>
          </w:tcPr>
          <w:p w14:paraId="4CAD716A">
            <w:r>
              <w:rPr>
                <w:rStyle w:val="10"/>
                <w:rFonts w:hint="eastAsia"/>
              </w:rPr>
              <w:t>登记证持有人：</w:t>
            </w:r>
            <w:r>
              <w:rPr>
                <w:rFonts w:hint="eastAsia"/>
              </w:rPr>
              <w:t>美国富美实公司</w:t>
            </w:r>
          </w:p>
        </w:tc>
      </w:tr>
      <w:tr w14:paraId="2A31AC2F">
        <w:tblPrEx>
          <w:tblCellMar>
            <w:top w:w="0" w:type="dxa"/>
            <w:left w:w="0" w:type="dxa"/>
            <w:bottom w:w="0" w:type="dxa"/>
            <w:right w:w="0" w:type="dxa"/>
          </w:tblCellMar>
        </w:tblPrEx>
        <w:trPr>
          <w:wBefore w:w="0" w:type="auto"/>
          <w:tblCellSpacing w:w="0" w:type="dxa"/>
        </w:trPr>
        <w:tc>
          <w:tcPr>
            <w:tcW w:w="0" w:type="auto"/>
            <w:noWrap w:val="0"/>
            <w:vAlign w:val="center"/>
          </w:tcPr>
          <w:p w14:paraId="507B8822">
            <w:r>
              <w:rPr>
                <w:rStyle w:val="10"/>
                <w:rFonts w:hint="eastAsia"/>
              </w:rPr>
              <w:t>农药名称：</w:t>
            </w:r>
            <w:r>
              <w:rPr>
                <w:rFonts w:hint="eastAsia"/>
              </w:rPr>
              <w:t>氯虫苯甲酰胺</w:t>
            </w:r>
          </w:p>
        </w:tc>
      </w:tr>
      <w:tr w14:paraId="03B2D286">
        <w:tblPrEx>
          <w:tblCellMar>
            <w:top w:w="0" w:type="dxa"/>
            <w:left w:w="0" w:type="dxa"/>
            <w:bottom w:w="0" w:type="dxa"/>
            <w:right w:w="0" w:type="dxa"/>
          </w:tblCellMar>
        </w:tblPrEx>
        <w:trPr>
          <w:wBefore w:w="0" w:type="auto"/>
          <w:tblCellSpacing w:w="0" w:type="dxa"/>
        </w:trPr>
        <w:tc>
          <w:tcPr>
            <w:tcW w:w="0" w:type="auto"/>
            <w:noWrap w:val="0"/>
            <w:vAlign w:val="center"/>
          </w:tcPr>
          <w:p w14:paraId="53BB145A">
            <w:r>
              <w:rPr>
                <w:rStyle w:val="10"/>
                <w:rFonts w:hint="eastAsia"/>
              </w:rPr>
              <w:t>剂型：</w:t>
            </w:r>
            <w:r>
              <w:rPr>
                <w:rFonts w:hint="eastAsia"/>
              </w:rPr>
              <w:t>悬浮剂</w:t>
            </w:r>
          </w:p>
        </w:tc>
      </w:tr>
      <w:tr w14:paraId="761BF7B5">
        <w:tblPrEx>
          <w:tblCellMar>
            <w:top w:w="0" w:type="dxa"/>
            <w:left w:w="0" w:type="dxa"/>
            <w:bottom w:w="0" w:type="dxa"/>
            <w:right w:w="0" w:type="dxa"/>
          </w:tblCellMar>
        </w:tblPrEx>
        <w:trPr>
          <w:wBefore w:w="0" w:type="auto"/>
          <w:tblCellSpacing w:w="0" w:type="dxa"/>
        </w:trPr>
        <w:tc>
          <w:tcPr>
            <w:tcW w:w="0" w:type="auto"/>
            <w:noWrap w:val="0"/>
            <w:vAlign w:val="center"/>
          </w:tcPr>
          <w:p w14:paraId="29DCB8FB">
            <w:r>
              <w:rPr>
                <w:rStyle w:val="10"/>
                <w:rFonts w:hint="eastAsia"/>
              </w:rPr>
              <w:t>毒性及其标识：</w:t>
            </w:r>
            <w:r>
              <w:rPr>
                <w:rFonts w:hint="eastAsia"/>
              </w:rPr>
              <w:t xml:space="preserve"> 微毒 </w:t>
            </w:r>
          </w:p>
        </w:tc>
      </w:tr>
      <w:tr w14:paraId="07AF9A29">
        <w:tblPrEx>
          <w:tblCellMar>
            <w:top w:w="0" w:type="dxa"/>
            <w:left w:w="0" w:type="dxa"/>
            <w:bottom w:w="0" w:type="dxa"/>
            <w:right w:w="0" w:type="dxa"/>
          </w:tblCellMar>
        </w:tblPrEx>
        <w:trPr>
          <w:wBefore w:w="0" w:type="auto"/>
          <w:tblCellSpacing w:w="0" w:type="dxa"/>
        </w:trPr>
        <w:tc>
          <w:tcPr>
            <w:tcW w:w="0" w:type="auto"/>
            <w:noWrap w:val="0"/>
            <w:vAlign w:val="center"/>
          </w:tcPr>
          <w:p w14:paraId="6B3795A1">
            <w:r>
              <w:rPr>
                <w:rStyle w:val="10"/>
                <w:rFonts w:hint="eastAsia"/>
              </w:rPr>
              <w:t>总有效成分含量：</w:t>
            </w:r>
            <w:r>
              <w:rPr>
                <w:rFonts w:hint="eastAsia"/>
              </w:rPr>
              <w:t>200克/升</w:t>
            </w:r>
          </w:p>
        </w:tc>
      </w:tr>
      <w:tr w14:paraId="5B7A29AA">
        <w:tblPrEx>
          <w:tblCellMar>
            <w:top w:w="0" w:type="dxa"/>
            <w:left w:w="0" w:type="dxa"/>
            <w:bottom w:w="0" w:type="dxa"/>
            <w:right w:w="0" w:type="dxa"/>
          </w:tblCellMar>
        </w:tblPrEx>
        <w:trPr>
          <w:wBefore w:w="0" w:type="auto"/>
          <w:tblCellSpacing w:w="0" w:type="dxa"/>
        </w:trPr>
        <w:tc>
          <w:tcPr>
            <w:tcW w:w="0" w:type="auto"/>
            <w:noWrap w:val="0"/>
            <w:vAlign w:val="center"/>
          </w:tcPr>
          <w:p w14:paraId="7F49372E">
            <w:r>
              <w:rPr>
                <w:rFonts w:hint="eastAsia"/>
              </w:rPr>
              <w:t xml:space="preserve">有效成分及其含量： </w:t>
            </w:r>
          </w:p>
          <w:p w14:paraId="34C99167">
            <w:r>
              <w:rPr>
                <w:rFonts w:hint="eastAsia"/>
              </w:rPr>
              <w:t xml:space="preserve">    氯虫苯甲酰胺200克/升    </w:t>
            </w:r>
          </w:p>
        </w:tc>
      </w:tr>
      <w:tr w14:paraId="4B38134A">
        <w:tblPrEx>
          <w:tblCellMar>
            <w:top w:w="0" w:type="dxa"/>
            <w:left w:w="0" w:type="dxa"/>
            <w:bottom w:w="0" w:type="dxa"/>
            <w:right w:w="0" w:type="dxa"/>
          </w:tblCellMar>
        </w:tblPrEx>
        <w:trPr>
          <w:wBefore w:w="0" w:type="auto"/>
          <w:tblCellSpacing w:w="0" w:type="dxa"/>
        </w:trPr>
        <w:tc>
          <w:tcPr>
            <w:tcW w:w="0" w:type="auto"/>
            <w:noWrap w:val="0"/>
            <w:vAlign w:val="center"/>
          </w:tcPr>
          <w:p w14:paraId="4C8183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F372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5BC56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B37F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3CAB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E4E667">
                  <w:r>
                    <w:rPr>
                      <w:rStyle w:val="11"/>
                      <w:rFonts w:hint="eastAsia"/>
                    </w:rPr>
                    <w:t>施用方式</w:t>
                  </w:r>
                </w:p>
              </w:tc>
            </w:tr>
            <w:tr w14:paraId="0E3AA3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3FBF54">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DA9002">
                  <w:r>
                    <w:rPr>
                      <w:rStyle w:val="11"/>
                      <w:rFonts w:hint="eastAsia"/>
                    </w:rPr>
                    <w:t>草地贪夜蛾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5FF522">
                  <w:r>
                    <w:rPr>
                      <w:rStyle w:val="11"/>
                      <w:rFonts w:hint="eastAsia"/>
                    </w:rPr>
                    <w:t>12-15毫升/亩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310FEF">
                  <w:r>
                    <w:rPr>
                      <w:rStyle w:val="11"/>
                      <w:rFonts w:hint="eastAsia"/>
                    </w:rPr>
                    <w:t>喷雾</w:t>
                  </w:r>
                </w:p>
              </w:tc>
            </w:tr>
            <w:tr w14:paraId="1D4BFF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15944A">
                  <w:r>
                    <w:rPr>
                      <w:rStyle w:val="11"/>
                      <w:rFonts w:hint="eastAsia"/>
                    </w:rPr>
                    <w:t>荔枝树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684AC2">
                  <w:r>
                    <w:rPr>
                      <w:rStyle w:val="11"/>
                      <w:rFonts w:hint="eastAsia"/>
                    </w:rPr>
                    <w:t>蒂蛀虫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281C22">
                  <w:r>
                    <w:rPr>
                      <w:rStyle w:val="11"/>
                      <w:rFonts w:hint="eastAsia"/>
                    </w:rPr>
                    <w:t>3000-6000倍液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FA5E78">
                  <w:r>
                    <w:rPr>
                      <w:rStyle w:val="11"/>
                      <w:rFonts w:hint="eastAsia"/>
                    </w:rPr>
                    <w:t>喷雾</w:t>
                  </w:r>
                </w:p>
              </w:tc>
            </w:tr>
          </w:tbl>
          <w:p w14:paraId="002EAFEC">
            <w:pPr>
              <w:rPr>
                <w:rFonts w:ascii="Times New Roman" w:hAnsi="Times New Roman" w:cs="Times New Roman"/>
                <w:sz w:val="20"/>
                <w:szCs w:val="20"/>
              </w:rPr>
            </w:pPr>
          </w:p>
        </w:tc>
      </w:tr>
      <w:tr w14:paraId="2BC44AE4">
        <w:tblPrEx>
          <w:tblCellMar>
            <w:top w:w="0" w:type="dxa"/>
            <w:left w:w="0" w:type="dxa"/>
            <w:bottom w:w="0" w:type="dxa"/>
            <w:right w:w="0" w:type="dxa"/>
          </w:tblCellMar>
        </w:tblPrEx>
        <w:trPr>
          <w:wBefore w:w="0" w:type="auto"/>
          <w:tblCellSpacing w:w="0" w:type="dxa"/>
        </w:trPr>
        <w:tc>
          <w:tcPr>
            <w:tcW w:w="0" w:type="auto"/>
            <w:noWrap w:val="0"/>
            <w:vAlign w:val="center"/>
          </w:tcPr>
          <w:p w14:paraId="1E234B12">
            <w:r>
              <w:rPr>
                <w:rStyle w:val="10"/>
                <w:rFonts w:hint="eastAsia"/>
              </w:rPr>
              <w:t>使用技术要求:</w:t>
            </w:r>
            <w:r>
              <w:rPr>
                <w:rFonts w:hint="eastAsia"/>
              </w:rPr>
              <w:br w:type="textWrapping"/>
            </w:r>
            <w:r>
              <w:rPr>
                <w:rStyle w:val="11"/>
                <w:rFonts w:hint="eastAsia"/>
              </w:rPr>
              <w:t>使用技术要求: 稻纵卷叶螟、二化螟、三化螟、大螟卵孵高峰期，亩兑水30公斤茎叶均匀喷雾；稻纵卷叶螟严重发生时，可于14天后（按当地实际情况可适当缩短）再喷药一次。 稻水象甲：成虫开始出现时/移栽后1-2天，亩兑水30公斤茎叶均匀喷雾； 玉米螟卵孵化高峰期，亩兑水30公斤茎叶均匀喷雾；小地老虎害虫发生的早期/玉米2-3叶期，亩兑水30公斤茎基部均匀喷雾。粘虫发生初期，亩兑水30公斤茎叶均匀喷雾。二点委夜蛾玉米2-3叶期，亩兑水30公斤茎叶喷淋，淋透植株。玉米草地贪夜蛾卵孵盛期至低龄幼虫始盛期喷雾施药1次，亩兑水15-30公斤茎叶均匀喷雾。荔枝/蒂蛀虫：荔枝树蒂蛀虫成虫产卵期至卵孵盛期喷雾施药1次，亩兑水150公斤。甘蔗蔗螟：害虫发生的早期，蔗螟卵孵盛期/甘蔗移栽后30天左右；小地老虎害虫发生的早期/甘蔗幼苗期，甘蔗移栽后30天左右。菜用大豆豆荚螟成虫产卵高峰期，亩兑水45公斤，均匀茎叶喷雾。棉花棉铃虫：棉铃虫卵孵盛期，亩兑水45公斤，均匀茎叶喷雾。使用前请摇匀。遇大风或预计1小时之内下雨，请勿施药。 本品在水稻上使用的安全采收间隔期为7天，每季作物最多使用2次。在玉米上使用的安全采收间隔期为21天，每季作物最多使用2次。在甘蔗上使用的安全采收间隔期为150天，每季作物最多使用2次。在菜用大豆上使用的安全采收间隔期为7天，每季作物最多使用2次。在棉花上使用的安全采收间隔期为14天，每季作物最多使用2次。在荔枝上使用的安全采收间隔期为10天，每季作物最多使用1次。</w:t>
            </w:r>
          </w:p>
        </w:tc>
      </w:tr>
      <w:tr w14:paraId="18167060">
        <w:tblPrEx>
          <w:tblCellMar>
            <w:top w:w="0" w:type="dxa"/>
            <w:left w:w="0" w:type="dxa"/>
            <w:bottom w:w="0" w:type="dxa"/>
            <w:right w:w="0" w:type="dxa"/>
          </w:tblCellMar>
        </w:tblPrEx>
        <w:trPr>
          <w:wBefore w:w="0" w:type="auto"/>
          <w:tblCellSpacing w:w="0" w:type="dxa"/>
        </w:trPr>
        <w:tc>
          <w:tcPr>
            <w:tcW w:w="0" w:type="auto"/>
            <w:noWrap w:val="0"/>
            <w:vAlign w:val="center"/>
          </w:tcPr>
          <w:p w14:paraId="14C2A9F6">
            <w:r>
              <w:rPr>
                <w:rStyle w:val="10"/>
                <w:rFonts w:hint="eastAsia"/>
              </w:rPr>
              <w:t>产品性能:</w:t>
            </w:r>
            <w:r>
              <w:rPr>
                <w:rFonts w:hint="eastAsia"/>
              </w:rPr>
              <w:br w:type="textWrapping"/>
            </w:r>
            <w:r>
              <w:rPr>
                <w:rStyle w:val="11"/>
                <w:rFonts w:hint="eastAsia"/>
              </w:rPr>
              <w:t>本品为酰胺类新型内吸杀虫剂，其作用机理是激活害虫的鱼尼丁受体，释放细胞内贮存的钙离子，引起肌肉调节衰弱、麻痹直至最后害虫死亡。胃毒为主，兼具触杀。</w:t>
            </w:r>
          </w:p>
        </w:tc>
      </w:tr>
      <w:tr w14:paraId="5332C7FD">
        <w:tblPrEx>
          <w:tblCellMar>
            <w:top w:w="0" w:type="dxa"/>
            <w:left w:w="0" w:type="dxa"/>
            <w:bottom w:w="0" w:type="dxa"/>
            <w:right w:w="0" w:type="dxa"/>
          </w:tblCellMar>
        </w:tblPrEx>
        <w:trPr>
          <w:wBefore w:w="0" w:type="auto"/>
          <w:tblCellSpacing w:w="0" w:type="dxa"/>
        </w:trPr>
        <w:tc>
          <w:tcPr>
            <w:tcW w:w="0" w:type="auto"/>
            <w:noWrap w:val="0"/>
            <w:vAlign w:val="center"/>
          </w:tcPr>
          <w:p w14:paraId="4F047046">
            <w:r>
              <w:rPr>
                <w:rStyle w:val="10"/>
                <w:rFonts w:hint="eastAsia"/>
              </w:rPr>
              <w:t>注意事项：</w:t>
            </w:r>
            <w:r>
              <w:rPr>
                <w:rFonts w:hint="eastAsia"/>
              </w:rPr>
              <w:br w:type="textWrapping"/>
            </w:r>
            <w:r>
              <w:rPr>
                <w:rStyle w:val="11"/>
                <w:rFonts w:hint="eastAsia"/>
              </w:rPr>
              <w:t>1.本品为28族杀虫剂，为更好地避免抗性的产生，一季作物，建议使用本品不得超过两次，在靶标害虫的当代，若使用本品且能连续使用两次，但在靶标害虫的下一代，推荐与不同作用机理即非28族化合物轮换使用。如有种子处理时使用了28族杀虫剂，则在播种前不得使用任何28族杀虫剂产品拌种，播种后约60天内亦不得使用任何28族杀虫剂产品。 2.本品对家蚕和水溞高毒，施药期间应避免对周围蜂群的影响，蚕室和桑园附近禁用，禁止在河塘等水域内清洗施药用具。 3.本品不可与强酸、强碱性物质混用。 4.包装物用后建议清洗三遍后，送指定地点回收，进行无害化处理。用过的的容器妥善处理，不可做他用，也不可随意丢弃。 5.使用本品时采取相应的安全防护措施，穿防护服、戴手套等。施药期间不可吃东西和饮水，施药后应及时洗手和洗脸。 6.孕妇和哺乳期妇女应避免接触。 7.赤眼蜂等天敌放飞区域禁用。</w:t>
            </w:r>
          </w:p>
        </w:tc>
      </w:tr>
      <w:tr w14:paraId="12859E13">
        <w:tblPrEx>
          <w:tblCellMar>
            <w:top w:w="0" w:type="dxa"/>
            <w:left w:w="0" w:type="dxa"/>
            <w:bottom w:w="0" w:type="dxa"/>
            <w:right w:w="0" w:type="dxa"/>
          </w:tblCellMar>
        </w:tblPrEx>
        <w:trPr>
          <w:wBefore w:w="0" w:type="auto"/>
          <w:tblCellSpacing w:w="0" w:type="dxa"/>
        </w:trPr>
        <w:tc>
          <w:tcPr>
            <w:tcW w:w="0" w:type="auto"/>
            <w:noWrap w:val="0"/>
            <w:vAlign w:val="center"/>
          </w:tcPr>
          <w:p w14:paraId="6BD0C691">
            <w:r>
              <w:rPr>
                <w:rStyle w:val="10"/>
                <w:rFonts w:hint="eastAsia"/>
              </w:rPr>
              <w:t>中毒急救措施：</w:t>
            </w:r>
            <w:r>
              <w:rPr>
                <w:rFonts w:hint="eastAsia"/>
              </w:rPr>
              <w:br w:type="textWrapping"/>
            </w:r>
            <w:r>
              <w:rPr>
                <w:rStyle w:val="11"/>
                <w:rFonts w:hint="eastAsia"/>
              </w:rPr>
              <w:t>误吸入，应将病人立即移至空气流通处。皮肤接触，用清水清洗至少15分钟。眼睛接触，立即用大量清水清洗，还可向医生咨询。误服，如有不适，携此标签请医生诊治，对症治疗。</w:t>
            </w:r>
          </w:p>
        </w:tc>
      </w:tr>
      <w:tr w14:paraId="10C88F82">
        <w:tblPrEx>
          <w:tblCellMar>
            <w:top w:w="0" w:type="dxa"/>
            <w:left w:w="0" w:type="dxa"/>
            <w:bottom w:w="0" w:type="dxa"/>
            <w:right w:w="0" w:type="dxa"/>
          </w:tblCellMar>
        </w:tblPrEx>
        <w:trPr>
          <w:wBefore w:w="0" w:type="auto"/>
          <w:tblCellSpacing w:w="0" w:type="dxa"/>
        </w:trPr>
        <w:tc>
          <w:tcPr>
            <w:tcW w:w="0" w:type="auto"/>
            <w:noWrap w:val="0"/>
            <w:vAlign w:val="center"/>
          </w:tcPr>
          <w:p w14:paraId="6B393A31">
            <w:r>
              <w:rPr>
                <w:rStyle w:val="10"/>
                <w:rFonts w:hint="eastAsia"/>
              </w:rPr>
              <w:t>储存和运输方法：</w:t>
            </w:r>
            <w:r>
              <w:rPr>
                <w:rFonts w:hint="eastAsia"/>
              </w:rPr>
              <w:br w:type="textWrapping"/>
            </w:r>
            <w:r>
              <w:rPr>
                <w:rStyle w:val="11"/>
                <w:rFonts w:hint="eastAsia"/>
              </w:rPr>
              <w:t>包装件应贮存在通风、干燥的库房中。贮运时，严防潮湿和日晒，不得与食物、种子、饲料混放混运。避免与皮肤、眼睛接触，防止由口鼻吸入。避免儿童接触，并加锁保存。</w:t>
            </w:r>
          </w:p>
        </w:tc>
      </w:tr>
      <w:tr w14:paraId="01E60863">
        <w:tblPrEx>
          <w:tblCellMar>
            <w:top w:w="0" w:type="dxa"/>
            <w:left w:w="0" w:type="dxa"/>
            <w:bottom w:w="0" w:type="dxa"/>
            <w:right w:w="0" w:type="dxa"/>
          </w:tblCellMar>
        </w:tblPrEx>
        <w:trPr>
          <w:wBefore w:w="0" w:type="auto"/>
          <w:tblCellSpacing w:w="0" w:type="dxa"/>
        </w:trPr>
        <w:tc>
          <w:tcPr>
            <w:tcW w:w="0" w:type="auto"/>
            <w:noWrap w:val="0"/>
            <w:vAlign w:val="center"/>
          </w:tcPr>
          <w:p w14:paraId="0177F1CD">
            <w:r>
              <w:rPr>
                <w:rStyle w:val="10"/>
                <w:rFonts w:hint="eastAsia"/>
              </w:rPr>
              <w:t>质量保证期：</w:t>
            </w:r>
            <w:r>
              <w:rPr>
                <w:rStyle w:val="11"/>
                <w:rFonts w:hint="eastAsia"/>
              </w:rPr>
              <w:t>3年</w:t>
            </w:r>
          </w:p>
        </w:tc>
      </w:tr>
      <w:tr w14:paraId="2176B2AE">
        <w:tblPrEx>
          <w:tblCellMar>
            <w:top w:w="0" w:type="dxa"/>
            <w:left w:w="0" w:type="dxa"/>
            <w:bottom w:w="0" w:type="dxa"/>
            <w:right w:w="0" w:type="dxa"/>
          </w:tblCellMar>
        </w:tblPrEx>
        <w:trPr>
          <w:wBefore w:w="0" w:type="auto"/>
          <w:tblCellSpacing w:w="0" w:type="dxa"/>
        </w:trPr>
        <w:tc>
          <w:tcPr>
            <w:tcW w:w="0" w:type="auto"/>
            <w:noWrap w:val="0"/>
            <w:vAlign w:val="center"/>
          </w:tcPr>
          <w:p w14:paraId="4CCA2C5F">
            <w:r>
              <w:rPr>
                <w:rStyle w:val="10"/>
                <w:rFonts w:hint="eastAsia"/>
              </w:rPr>
              <w:t>备注：</w:t>
            </w:r>
          </w:p>
        </w:tc>
      </w:tr>
    </w:tbl>
    <w:p w14:paraId="602BE4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2B8302">
        <w:tblPrEx>
          <w:tblCellMar>
            <w:top w:w="0" w:type="dxa"/>
            <w:left w:w="0" w:type="dxa"/>
            <w:bottom w:w="0" w:type="dxa"/>
            <w:right w:w="0" w:type="dxa"/>
          </w:tblCellMar>
        </w:tblPrEx>
        <w:trPr>
          <w:wBefore w:w="0" w:type="auto"/>
          <w:tblCellSpacing w:w="0" w:type="dxa"/>
        </w:trPr>
        <w:tc>
          <w:tcPr>
            <w:tcW w:w="0" w:type="auto"/>
            <w:noWrap w:val="0"/>
            <w:vAlign w:val="center"/>
          </w:tcPr>
          <w:p w14:paraId="53B0457C">
            <w:r>
              <w:rPr>
                <w:rStyle w:val="10"/>
                <w:rFonts w:hint="eastAsia"/>
              </w:rPr>
              <w:t>登记证号：</w:t>
            </w:r>
            <w:r>
              <w:rPr>
                <w:rFonts w:hint="eastAsia"/>
              </w:rPr>
              <w:t>PD20212388</w:t>
            </w:r>
          </w:p>
        </w:tc>
      </w:tr>
      <w:tr w14:paraId="25450EB3">
        <w:tblPrEx>
          <w:tblCellMar>
            <w:top w:w="0" w:type="dxa"/>
            <w:left w:w="0" w:type="dxa"/>
            <w:bottom w:w="0" w:type="dxa"/>
            <w:right w:w="0" w:type="dxa"/>
          </w:tblCellMar>
        </w:tblPrEx>
        <w:trPr>
          <w:wBefore w:w="0" w:type="auto"/>
          <w:tblCellSpacing w:w="0" w:type="dxa"/>
        </w:trPr>
        <w:tc>
          <w:tcPr>
            <w:tcW w:w="0" w:type="auto"/>
            <w:noWrap w:val="0"/>
            <w:vAlign w:val="center"/>
          </w:tcPr>
          <w:p w14:paraId="5D3B1343">
            <w:r>
              <w:rPr>
                <w:rStyle w:val="10"/>
                <w:rFonts w:hint="eastAsia"/>
              </w:rPr>
              <w:t>登记证持有人：</w:t>
            </w:r>
            <w:r>
              <w:rPr>
                <w:rFonts w:hint="eastAsia"/>
              </w:rPr>
              <w:t>山东金秋园田生物科技有限公司</w:t>
            </w:r>
          </w:p>
        </w:tc>
      </w:tr>
      <w:tr w14:paraId="24753703">
        <w:tblPrEx>
          <w:tblCellMar>
            <w:top w:w="0" w:type="dxa"/>
            <w:left w:w="0" w:type="dxa"/>
            <w:bottom w:w="0" w:type="dxa"/>
            <w:right w:w="0" w:type="dxa"/>
          </w:tblCellMar>
        </w:tblPrEx>
        <w:trPr>
          <w:wBefore w:w="0" w:type="auto"/>
          <w:tblCellSpacing w:w="0" w:type="dxa"/>
        </w:trPr>
        <w:tc>
          <w:tcPr>
            <w:tcW w:w="0" w:type="auto"/>
            <w:noWrap w:val="0"/>
            <w:vAlign w:val="center"/>
          </w:tcPr>
          <w:p w14:paraId="4B3CCCC6">
            <w:r>
              <w:rPr>
                <w:rStyle w:val="10"/>
                <w:rFonts w:hint="eastAsia"/>
              </w:rPr>
              <w:t>农药名称：</w:t>
            </w:r>
            <w:r>
              <w:rPr>
                <w:rFonts w:hint="eastAsia"/>
              </w:rPr>
              <w:t>甲氨基阿维菌素苯甲酸盐</w:t>
            </w:r>
          </w:p>
        </w:tc>
      </w:tr>
      <w:tr w14:paraId="73DB295E">
        <w:tblPrEx>
          <w:tblCellMar>
            <w:top w:w="0" w:type="dxa"/>
            <w:left w:w="0" w:type="dxa"/>
            <w:bottom w:w="0" w:type="dxa"/>
            <w:right w:w="0" w:type="dxa"/>
          </w:tblCellMar>
        </w:tblPrEx>
        <w:trPr>
          <w:wBefore w:w="0" w:type="auto"/>
          <w:tblCellSpacing w:w="0" w:type="dxa"/>
        </w:trPr>
        <w:tc>
          <w:tcPr>
            <w:tcW w:w="0" w:type="auto"/>
            <w:noWrap w:val="0"/>
            <w:vAlign w:val="center"/>
          </w:tcPr>
          <w:p w14:paraId="355E7A88">
            <w:r>
              <w:rPr>
                <w:rStyle w:val="10"/>
                <w:rFonts w:hint="eastAsia"/>
              </w:rPr>
              <w:t>剂型：</w:t>
            </w:r>
            <w:r>
              <w:rPr>
                <w:rFonts w:hint="eastAsia"/>
              </w:rPr>
              <w:t>可溶液剂</w:t>
            </w:r>
          </w:p>
        </w:tc>
      </w:tr>
      <w:tr w14:paraId="0E4165AF">
        <w:tblPrEx>
          <w:tblCellMar>
            <w:top w:w="0" w:type="dxa"/>
            <w:left w:w="0" w:type="dxa"/>
            <w:bottom w:w="0" w:type="dxa"/>
            <w:right w:w="0" w:type="dxa"/>
          </w:tblCellMar>
        </w:tblPrEx>
        <w:trPr>
          <w:wBefore w:w="0" w:type="auto"/>
          <w:tblCellSpacing w:w="0" w:type="dxa"/>
        </w:trPr>
        <w:tc>
          <w:tcPr>
            <w:tcW w:w="0" w:type="auto"/>
            <w:noWrap w:val="0"/>
            <w:vAlign w:val="center"/>
          </w:tcPr>
          <w:p w14:paraId="6B1C0B92">
            <w:r>
              <w:rPr>
                <w:rStyle w:val="10"/>
                <w:rFonts w:hint="eastAsia"/>
              </w:rPr>
              <w:t>毒性及其标识：</w:t>
            </w:r>
            <w:r>
              <w:rPr>
                <w:rFonts w:hint="eastAsia"/>
              </w:rPr>
              <w:t xml:space="preserve"> </w:t>
            </w:r>
            <w:r>
              <w:rPr>
                <w:lang/>
              </w:rPr>
              <w:drawing>
                <wp:inline distT="0" distB="0" distL="114300" distR="114300">
                  <wp:extent cx="476250" cy="323850"/>
                  <wp:effectExtent l="0" t="0" r="0" b="0"/>
                  <wp:docPr id="131" name="图片 1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3F6C89">
        <w:tblPrEx>
          <w:tblCellMar>
            <w:top w:w="0" w:type="dxa"/>
            <w:left w:w="0" w:type="dxa"/>
            <w:bottom w:w="0" w:type="dxa"/>
            <w:right w:w="0" w:type="dxa"/>
          </w:tblCellMar>
        </w:tblPrEx>
        <w:trPr>
          <w:wBefore w:w="0" w:type="auto"/>
          <w:tblCellSpacing w:w="0" w:type="dxa"/>
        </w:trPr>
        <w:tc>
          <w:tcPr>
            <w:tcW w:w="0" w:type="auto"/>
            <w:noWrap w:val="0"/>
            <w:vAlign w:val="center"/>
          </w:tcPr>
          <w:p w14:paraId="0EE42114">
            <w:r>
              <w:rPr>
                <w:rStyle w:val="10"/>
                <w:rFonts w:hint="eastAsia"/>
              </w:rPr>
              <w:t>总有效成分含量：</w:t>
            </w:r>
            <w:r>
              <w:rPr>
                <w:rFonts w:hint="eastAsia"/>
              </w:rPr>
              <w:t>0.1%</w:t>
            </w:r>
          </w:p>
        </w:tc>
      </w:tr>
      <w:tr w14:paraId="7969A59D">
        <w:tblPrEx>
          <w:tblCellMar>
            <w:top w:w="0" w:type="dxa"/>
            <w:left w:w="0" w:type="dxa"/>
            <w:bottom w:w="0" w:type="dxa"/>
            <w:right w:w="0" w:type="dxa"/>
          </w:tblCellMar>
        </w:tblPrEx>
        <w:trPr>
          <w:wBefore w:w="0" w:type="auto"/>
          <w:tblCellSpacing w:w="0" w:type="dxa"/>
        </w:trPr>
        <w:tc>
          <w:tcPr>
            <w:tcW w:w="0" w:type="auto"/>
            <w:noWrap w:val="0"/>
            <w:vAlign w:val="center"/>
          </w:tcPr>
          <w:p w14:paraId="125A6184">
            <w:r>
              <w:rPr>
                <w:rFonts w:hint="eastAsia"/>
              </w:rPr>
              <w:t xml:space="preserve">有效成分及其含量： </w:t>
            </w:r>
          </w:p>
          <w:p w14:paraId="57D98296">
            <w:r>
              <w:rPr>
                <w:rFonts w:hint="eastAsia"/>
              </w:rPr>
              <w:t xml:space="preserve">    甲氨基阿维菌素0.1%    </w:t>
            </w:r>
          </w:p>
        </w:tc>
      </w:tr>
      <w:tr w14:paraId="5DFC19FF">
        <w:tblPrEx>
          <w:tblCellMar>
            <w:top w:w="0" w:type="dxa"/>
            <w:left w:w="0" w:type="dxa"/>
            <w:bottom w:w="0" w:type="dxa"/>
            <w:right w:w="0" w:type="dxa"/>
          </w:tblCellMar>
        </w:tblPrEx>
        <w:trPr>
          <w:wBefore w:w="0" w:type="auto"/>
          <w:tblCellSpacing w:w="0" w:type="dxa"/>
        </w:trPr>
        <w:tc>
          <w:tcPr>
            <w:tcW w:w="0" w:type="auto"/>
            <w:noWrap w:val="0"/>
            <w:vAlign w:val="center"/>
          </w:tcPr>
          <w:p w14:paraId="2AA48C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D568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CD3A3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067A0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336A6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B71B6D">
                  <w:r>
                    <w:rPr>
                      <w:rStyle w:val="11"/>
                      <w:rFonts w:hint="eastAsia"/>
                    </w:rPr>
                    <w:t>施用方式</w:t>
                  </w:r>
                </w:p>
              </w:tc>
            </w:tr>
            <w:tr w14:paraId="286C3E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A59406">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E6ED6F">
                  <w:r>
                    <w:rPr>
                      <w:rStyle w:val="11"/>
                      <w:rFonts w:hint="eastAsia"/>
                    </w:rPr>
                    <w:t>地老虎</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4023DE">
                  <w:r>
                    <w:rPr>
                      <w:rStyle w:val="11"/>
                      <w:rFonts w:hint="eastAsia"/>
                    </w:rPr>
                    <w:t>8-10千克/亩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2E5CD6">
                  <w:r>
                    <w:rPr>
                      <w:rStyle w:val="11"/>
                      <w:rFonts w:hint="eastAsia"/>
                    </w:rPr>
                    <w:t>冲施</w:t>
                  </w:r>
                </w:p>
              </w:tc>
            </w:tr>
          </w:tbl>
          <w:p w14:paraId="0000D743">
            <w:pPr>
              <w:rPr>
                <w:rFonts w:ascii="Times New Roman" w:hAnsi="Times New Roman" w:cs="Times New Roman"/>
                <w:sz w:val="20"/>
                <w:szCs w:val="20"/>
              </w:rPr>
            </w:pPr>
          </w:p>
        </w:tc>
      </w:tr>
      <w:tr w14:paraId="1A3EFCF7">
        <w:tblPrEx>
          <w:tblCellMar>
            <w:top w:w="0" w:type="dxa"/>
            <w:left w:w="0" w:type="dxa"/>
            <w:bottom w:w="0" w:type="dxa"/>
            <w:right w:w="0" w:type="dxa"/>
          </w:tblCellMar>
        </w:tblPrEx>
        <w:trPr>
          <w:wBefore w:w="0" w:type="auto"/>
          <w:tblCellSpacing w:w="0" w:type="dxa"/>
        </w:trPr>
        <w:tc>
          <w:tcPr>
            <w:tcW w:w="0" w:type="auto"/>
            <w:noWrap w:val="0"/>
            <w:vAlign w:val="center"/>
          </w:tcPr>
          <w:p w14:paraId="6CCD9DC0">
            <w:r>
              <w:rPr>
                <w:rStyle w:val="10"/>
                <w:rFonts w:hint="eastAsia"/>
              </w:rPr>
              <w:t>使用技术要求:</w:t>
            </w:r>
            <w:r>
              <w:rPr>
                <w:rFonts w:hint="eastAsia"/>
              </w:rPr>
              <w:br w:type="textWrapping"/>
            </w:r>
            <w:r>
              <w:rPr>
                <w:rStyle w:val="11"/>
                <w:rFonts w:hint="eastAsia"/>
              </w:rPr>
              <w:t>1、本品应于番茄移栽定植缓苗后随灌溉水冲施施药1次。 2、大风天或预计1小时内下雨，请勿施药。 3、本品每季最多使用1次。</w:t>
            </w:r>
          </w:p>
        </w:tc>
      </w:tr>
      <w:tr w14:paraId="6002EF33">
        <w:tblPrEx>
          <w:tblCellMar>
            <w:top w:w="0" w:type="dxa"/>
            <w:left w:w="0" w:type="dxa"/>
            <w:bottom w:w="0" w:type="dxa"/>
            <w:right w:w="0" w:type="dxa"/>
          </w:tblCellMar>
        </w:tblPrEx>
        <w:trPr>
          <w:wBefore w:w="0" w:type="auto"/>
          <w:tblCellSpacing w:w="0" w:type="dxa"/>
        </w:trPr>
        <w:tc>
          <w:tcPr>
            <w:tcW w:w="0" w:type="auto"/>
            <w:noWrap w:val="0"/>
            <w:vAlign w:val="center"/>
          </w:tcPr>
          <w:p w14:paraId="1A06B891">
            <w:r>
              <w:rPr>
                <w:rStyle w:val="10"/>
                <w:rFonts w:hint="eastAsia"/>
              </w:rPr>
              <w:t>产品性能:</w:t>
            </w:r>
            <w:r>
              <w:rPr>
                <w:rFonts w:hint="eastAsia"/>
              </w:rPr>
              <w:br w:type="textWrapping"/>
            </w:r>
            <w:r>
              <w:rPr>
                <w:rStyle w:val="11"/>
                <w:rFonts w:hint="eastAsia"/>
              </w:rPr>
              <w:t>甲氨基阿维菌素可促进γ-氨基丁酸释放，抑制神经传导，最终激活氯离子通道，为非内吸性杀虫剂，通过叶膜渗入叶片组织，麻痹鳞翅目害虫，数小时后害虫停止进食。可用于防治番茄地老虎。</w:t>
            </w:r>
          </w:p>
        </w:tc>
      </w:tr>
      <w:tr w14:paraId="1E29D881">
        <w:tblPrEx>
          <w:tblCellMar>
            <w:top w:w="0" w:type="dxa"/>
            <w:left w:w="0" w:type="dxa"/>
            <w:bottom w:w="0" w:type="dxa"/>
            <w:right w:w="0" w:type="dxa"/>
          </w:tblCellMar>
        </w:tblPrEx>
        <w:trPr>
          <w:wBefore w:w="0" w:type="auto"/>
          <w:tblCellSpacing w:w="0" w:type="dxa"/>
        </w:trPr>
        <w:tc>
          <w:tcPr>
            <w:tcW w:w="0" w:type="auto"/>
            <w:noWrap w:val="0"/>
            <w:vAlign w:val="center"/>
          </w:tcPr>
          <w:p w14:paraId="63ABE49D">
            <w:r>
              <w:rPr>
                <w:rStyle w:val="10"/>
                <w:rFonts w:hint="eastAsia"/>
              </w:rPr>
              <w:t>注意事项：</w:t>
            </w:r>
            <w:r>
              <w:rPr>
                <w:rFonts w:hint="eastAsia"/>
              </w:rPr>
              <w:br w:type="textWrapping"/>
            </w:r>
            <w:r>
              <w:rPr>
                <w:rStyle w:val="11"/>
                <w:rFonts w:hint="eastAsia"/>
              </w:rPr>
              <w:t>1）使用本品应采取相应的安全防护措施，穿防护服，戴防护口罩、手套等，避免皮肤接触及口鼻吸入。使用中不可吸烟、饮水及吃东西，使用后及时用大量清水和肥皂清洗手、脸等暴露部位皮肤并更换衣物。2）本品对鱼类、溞、藻类等水生生物有毒，远离水产养殖区、河塘等水体施药，禁止在河塘等水体中清洗施药器具。鸟类保护区附近禁用。3）建议与其它作用机制的杀菌剂轮换使用。4）用过的容器应妥善处理，不可做他用，也不可随意丢弃。5）禁止儿童、孕妇及哺乳期的妇女接触。过敏者禁用，使用中有任何不良反应请及时就医。</w:t>
            </w:r>
          </w:p>
        </w:tc>
      </w:tr>
      <w:tr w14:paraId="7E419E1C">
        <w:tblPrEx>
          <w:tblCellMar>
            <w:top w:w="0" w:type="dxa"/>
            <w:left w:w="0" w:type="dxa"/>
            <w:bottom w:w="0" w:type="dxa"/>
            <w:right w:w="0" w:type="dxa"/>
          </w:tblCellMar>
        </w:tblPrEx>
        <w:trPr>
          <w:wBefore w:w="0" w:type="auto"/>
          <w:tblCellSpacing w:w="0" w:type="dxa"/>
        </w:trPr>
        <w:tc>
          <w:tcPr>
            <w:tcW w:w="0" w:type="auto"/>
            <w:noWrap w:val="0"/>
            <w:vAlign w:val="center"/>
          </w:tcPr>
          <w:p w14:paraId="7D29DAD1">
            <w:r>
              <w:rPr>
                <w:rStyle w:val="10"/>
                <w:rFonts w:hint="eastAsia"/>
              </w:rPr>
              <w:t>中毒急救措施：</w:t>
            </w:r>
            <w:r>
              <w:rPr>
                <w:rFonts w:hint="eastAsia"/>
              </w:rPr>
              <w:br w:type="textWrapping"/>
            </w:r>
            <w:r>
              <w:rPr>
                <w:rStyle w:val="11"/>
                <w:rFonts w:hint="eastAsia"/>
              </w:rPr>
              <w:t xml:space="preserve">该产品对眼睛有刺激性，使用时避免接触眼睛。急救措施：使用中或使用后如果感觉不适，应立即停止工作，采取急救措施，并携带标签送医院就诊。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尚无特效解毒剂，对症治疗。 </w:t>
            </w:r>
          </w:p>
        </w:tc>
      </w:tr>
      <w:tr w14:paraId="1214F075">
        <w:tblPrEx>
          <w:tblCellMar>
            <w:top w:w="0" w:type="dxa"/>
            <w:left w:w="0" w:type="dxa"/>
            <w:bottom w:w="0" w:type="dxa"/>
            <w:right w:w="0" w:type="dxa"/>
          </w:tblCellMar>
        </w:tblPrEx>
        <w:trPr>
          <w:wBefore w:w="0" w:type="auto"/>
          <w:tblCellSpacing w:w="0" w:type="dxa"/>
        </w:trPr>
        <w:tc>
          <w:tcPr>
            <w:tcW w:w="0" w:type="auto"/>
            <w:noWrap w:val="0"/>
            <w:vAlign w:val="center"/>
          </w:tcPr>
          <w:p w14:paraId="27DDD971">
            <w:r>
              <w:rPr>
                <w:rStyle w:val="10"/>
                <w:rFonts w:hint="eastAsia"/>
              </w:rPr>
              <w:t>储存和运输方法：</w:t>
            </w:r>
            <w:r>
              <w:rPr>
                <w:rFonts w:hint="eastAsia"/>
              </w:rPr>
              <w:br w:type="textWrapping"/>
            </w:r>
            <w:r>
              <w:rPr>
                <w:rStyle w:val="11"/>
                <w:rFonts w:hint="eastAsia"/>
              </w:rPr>
              <w:t>本品应贮存在干燥、阴凉、通风、防雨处，远离火源或热源，勿与氧化剂接触。置于儿童接触不到的地方。不能与食品、饮料、粮食、饲料等混合储存。</w:t>
            </w:r>
          </w:p>
        </w:tc>
      </w:tr>
      <w:tr w14:paraId="2CA7F10F">
        <w:tblPrEx>
          <w:tblCellMar>
            <w:top w:w="0" w:type="dxa"/>
            <w:left w:w="0" w:type="dxa"/>
            <w:bottom w:w="0" w:type="dxa"/>
            <w:right w:w="0" w:type="dxa"/>
          </w:tblCellMar>
        </w:tblPrEx>
        <w:trPr>
          <w:wBefore w:w="0" w:type="auto"/>
          <w:tblCellSpacing w:w="0" w:type="dxa"/>
        </w:trPr>
        <w:tc>
          <w:tcPr>
            <w:tcW w:w="0" w:type="auto"/>
            <w:noWrap w:val="0"/>
            <w:vAlign w:val="center"/>
          </w:tcPr>
          <w:p w14:paraId="63D54264">
            <w:r>
              <w:rPr>
                <w:rStyle w:val="10"/>
                <w:rFonts w:hint="eastAsia"/>
              </w:rPr>
              <w:t>质量保证期：</w:t>
            </w:r>
            <w:r>
              <w:rPr>
                <w:rStyle w:val="11"/>
                <w:rFonts w:hint="eastAsia"/>
              </w:rPr>
              <w:t>2年</w:t>
            </w:r>
          </w:p>
        </w:tc>
      </w:tr>
      <w:tr w14:paraId="21F74A7D">
        <w:tblPrEx>
          <w:tblCellMar>
            <w:top w:w="0" w:type="dxa"/>
            <w:left w:w="0" w:type="dxa"/>
            <w:bottom w:w="0" w:type="dxa"/>
            <w:right w:w="0" w:type="dxa"/>
          </w:tblCellMar>
        </w:tblPrEx>
        <w:trPr>
          <w:wBefore w:w="0" w:type="auto"/>
          <w:tblCellSpacing w:w="0" w:type="dxa"/>
        </w:trPr>
        <w:tc>
          <w:tcPr>
            <w:tcW w:w="0" w:type="auto"/>
            <w:noWrap w:val="0"/>
            <w:vAlign w:val="center"/>
          </w:tcPr>
          <w:p w14:paraId="00D9BD94">
            <w:r>
              <w:rPr>
                <w:rStyle w:val="10"/>
                <w:rFonts w:hint="eastAsia"/>
              </w:rPr>
              <w:t>备注：</w:t>
            </w:r>
          </w:p>
        </w:tc>
      </w:tr>
    </w:tbl>
    <w:p w14:paraId="3DC5C4A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97A3824">
        <w:tblPrEx>
          <w:tblCellMar>
            <w:top w:w="0" w:type="dxa"/>
            <w:left w:w="0" w:type="dxa"/>
            <w:bottom w:w="0" w:type="dxa"/>
            <w:right w:w="0" w:type="dxa"/>
          </w:tblCellMar>
        </w:tblPrEx>
        <w:trPr>
          <w:wBefore w:w="0" w:type="auto"/>
          <w:tblCellSpacing w:w="0" w:type="dxa"/>
        </w:trPr>
        <w:tc>
          <w:tcPr>
            <w:tcW w:w="0" w:type="auto"/>
            <w:noWrap w:val="0"/>
            <w:vAlign w:val="center"/>
          </w:tcPr>
          <w:p w14:paraId="79FBAF81">
            <w:r>
              <w:rPr>
                <w:rStyle w:val="10"/>
                <w:rFonts w:hint="eastAsia"/>
              </w:rPr>
              <w:t>登记证号：</w:t>
            </w:r>
            <w:r>
              <w:rPr>
                <w:rFonts w:hint="eastAsia"/>
              </w:rPr>
              <w:t>PD20212711</w:t>
            </w:r>
          </w:p>
        </w:tc>
      </w:tr>
      <w:tr w14:paraId="0416B2AB">
        <w:tblPrEx>
          <w:tblCellMar>
            <w:top w:w="0" w:type="dxa"/>
            <w:left w:w="0" w:type="dxa"/>
            <w:bottom w:w="0" w:type="dxa"/>
            <w:right w:w="0" w:type="dxa"/>
          </w:tblCellMar>
        </w:tblPrEx>
        <w:trPr>
          <w:wBefore w:w="0" w:type="auto"/>
          <w:tblCellSpacing w:w="0" w:type="dxa"/>
        </w:trPr>
        <w:tc>
          <w:tcPr>
            <w:tcW w:w="0" w:type="auto"/>
            <w:noWrap w:val="0"/>
            <w:vAlign w:val="center"/>
          </w:tcPr>
          <w:p w14:paraId="56DA03AF">
            <w:r>
              <w:rPr>
                <w:rStyle w:val="10"/>
                <w:rFonts w:hint="eastAsia"/>
              </w:rPr>
              <w:t>登记证持有人：</w:t>
            </w:r>
            <w:r>
              <w:rPr>
                <w:rFonts w:hint="eastAsia"/>
              </w:rPr>
              <w:t>安徽华星化工有限公司</w:t>
            </w:r>
          </w:p>
        </w:tc>
      </w:tr>
      <w:tr w14:paraId="34EF5D88">
        <w:tblPrEx>
          <w:tblCellMar>
            <w:top w:w="0" w:type="dxa"/>
            <w:left w:w="0" w:type="dxa"/>
            <w:bottom w:w="0" w:type="dxa"/>
            <w:right w:w="0" w:type="dxa"/>
          </w:tblCellMar>
        </w:tblPrEx>
        <w:trPr>
          <w:wBefore w:w="0" w:type="auto"/>
          <w:tblCellSpacing w:w="0" w:type="dxa"/>
        </w:trPr>
        <w:tc>
          <w:tcPr>
            <w:tcW w:w="0" w:type="auto"/>
            <w:noWrap w:val="0"/>
            <w:vAlign w:val="center"/>
          </w:tcPr>
          <w:p w14:paraId="562A3F31">
            <w:r>
              <w:rPr>
                <w:rStyle w:val="10"/>
                <w:rFonts w:hint="eastAsia"/>
              </w:rPr>
              <w:t>农药名称：</w:t>
            </w:r>
            <w:r>
              <w:rPr>
                <w:rFonts w:hint="eastAsia"/>
              </w:rPr>
              <w:t>戊唑·醚菌酯</w:t>
            </w:r>
          </w:p>
        </w:tc>
      </w:tr>
      <w:tr w14:paraId="2ADB6054">
        <w:tblPrEx>
          <w:tblCellMar>
            <w:top w:w="0" w:type="dxa"/>
            <w:left w:w="0" w:type="dxa"/>
            <w:bottom w:w="0" w:type="dxa"/>
            <w:right w:w="0" w:type="dxa"/>
          </w:tblCellMar>
        </w:tblPrEx>
        <w:trPr>
          <w:wBefore w:w="0" w:type="auto"/>
          <w:tblCellSpacing w:w="0" w:type="dxa"/>
        </w:trPr>
        <w:tc>
          <w:tcPr>
            <w:tcW w:w="0" w:type="auto"/>
            <w:noWrap w:val="0"/>
            <w:vAlign w:val="center"/>
          </w:tcPr>
          <w:p w14:paraId="35493033">
            <w:r>
              <w:rPr>
                <w:rStyle w:val="10"/>
                <w:rFonts w:hint="eastAsia"/>
              </w:rPr>
              <w:t>剂型：</w:t>
            </w:r>
            <w:r>
              <w:rPr>
                <w:rFonts w:hint="eastAsia"/>
              </w:rPr>
              <w:t>悬浮剂</w:t>
            </w:r>
          </w:p>
        </w:tc>
      </w:tr>
      <w:tr w14:paraId="73858205">
        <w:tblPrEx>
          <w:tblCellMar>
            <w:top w:w="0" w:type="dxa"/>
            <w:left w:w="0" w:type="dxa"/>
            <w:bottom w:w="0" w:type="dxa"/>
            <w:right w:w="0" w:type="dxa"/>
          </w:tblCellMar>
        </w:tblPrEx>
        <w:trPr>
          <w:wBefore w:w="0" w:type="auto"/>
          <w:tblCellSpacing w:w="0" w:type="dxa"/>
        </w:trPr>
        <w:tc>
          <w:tcPr>
            <w:tcW w:w="0" w:type="auto"/>
            <w:noWrap w:val="0"/>
            <w:vAlign w:val="center"/>
          </w:tcPr>
          <w:p w14:paraId="1290E487">
            <w:r>
              <w:rPr>
                <w:rStyle w:val="10"/>
                <w:rFonts w:hint="eastAsia"/>
              </w:rPr>
              <w:t>毒性及其标识：</w:t>
            </w:r>
            <w:r>
              <w:rPr>
                <w:rFonts w:hint="eastAsia"/>
              </w:rPr>
              <w:t xml:space="preserve"> </w:t>
            </w:r>
            <w:r>
              <w:rPr>
                <w:lang/>
              </w:rPr>
              <w:drawing>
                <wp:inline distT="0" distB="0" distL="114300" distR="114300">
                  <wp:extent cx="476250" cy="323850"/>
                  <wp:effectExtent l="0" t="0" r="0" b="0"/>
                  <wp:docPr id="132" name="图片 1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71E961">
        <w:tblPrEx>
          <w:tblCellMar>
            <w:top w:w="0" w:type="dxa"/>
            <w:left w:w="0" w:type="dxa"/>
            <w:bottom w:w="0" w:type="dxa"/>
            <w:right w:w="0" w:type="dxa"/>
          </w:tblCellMar>
        </w:tblPrEx>
        <w:trPr>
          <w:wBefore w:w="0" w:type="auto"/>
          <w:tblCellSpacing w:w="0" w:type="dxa"/>
        </w:trPr>
        <w:tc>
          <w:tcPr>
            <w:tcW w:w="0" w:type="auto"/>
            <w:noWrap w:val="0"/>
            <w:vAlign w:val="center"/>
          </w:tcPr>
          <w:p w14:paraId="48856CA5">
            <w:r>
              <w:rPr>
                <w:rStyle w:val="10"/>
                <w:rFonts w:hint="eastAsia"/>
              </w:rPr>
              <w:t>总有效成分含量：</w:t>
            </w:r>
            <w:r>
              <w:rPr>
                <w:rFonts w:hint="eastAsia"/>
              </w:rPr>
              <w:t>40%</w:t>
            </w:r>
          </w:p>
        </w:tc>
      </w:tr>
      <w:tr w14:paraId="74D0B8AC">
        <w:tblPrEx>
          <w:tblCellMar>
            <w:top w:w="0" w:type="dxa"/>
            <w:left w:w="0" w:type="dxa"/>
            <w:bottom w:w="0" w:type="dxa"/>
            <w:right w:w="0" w:type="dxa"/>
          </w:tblCellMar>
        </w:tblPrEx>
        <w:trPr>
          <w:wBefore w:w="0" w:type="auto"/>
          <w:tblCellSpacing w:w="0" w:type="dxa"/>
        </w:trPr>
        <w:tc>
          <w:tcPr>
            <w:tcW w:w="0" w:type="auto"/>
            <w:noWrap w:val="0"/>
            <w:vAlign w:val="center"/>
          </w:tcPr>
          <w:p w14:paraId="0F5B1DC5">
            <w:r>
              <w:rPr>
                <w:rFonts w:hint="eastAsia"/>
              </w:rPr>
              <w:t xml:space="preserve">有效成分及其含量： </w:t>
            </w:r>
          </w:p>
          <w:p w14:paraId="0773483A">
            <w:r>
              <w:rPr>
                <w:rFonts w:hint="eastAsia"/>
              </w:rPr>
              <w:t xml:space="preserve">    醚菌酯20%    戊唑醇20%    </w:t>
            </w:r>
          </w:p>
        </w:tc>
      </w:tr>
      <w:tr w14:paraId="2869CECE">
        <w:tblPrEx>
          <w:tblCellMar>
            <w:top w:w="0" w:type="dxa"/>
            <w:left w:w="0" w:type="dxa"/>
            <w:bottom w:w="0" w:type="dxa"/>
            <w:right w:w="0" w:type="dxa"/>
          </w:tblCellMar>
        </w:tblPrEx>
        <w:trPr>
          <w:wBefore w:w="0" w:type="auto"/>
          <w:tblCellSpacing w:w="0" w:type="dxa"/>
        </w:trPr>
        <w:tc>
          <w:tcPr>
            <w:tcW w:w="0" w:type="auto"/>
            <w:noWrap w:val="0"/>
            <w:vAlign w:val="center"/>
          </w:tcPr>
          <w:p w14:paraId="202BA8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333A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E304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861AD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2274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DF7433">
                  <w:r>
                    <w:rPr>
                      <w:rStyle w:val="11"/>
                      <w:rFonts w:hint="eastAsia"/>
                    </w:rPr>
                    <w:t>施用方式</w:t>
                  </w:r>
                </w:p>
              </w:tc>
            </w:tr>
            <w:tr w14:paraId="1394A4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31A731">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2452CB">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A402A">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8E45B2">
                  <w:r>
                    <w:rPr>
                      <w:rStyle w:val="11"/>
                      <w:rFonts w:hint="eastAsia"/>
                    </w:rPr>
                    <w:t>喷雾</w:t>
                  </w:r>
                </w:p>
              </w:tc>
            </w:tr>
            <w:tr w14:paraId="1B1B0C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6DB506">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D1957F">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1BFC89">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C1FA74">
                  <w:r>
                    <w:rPr>
                      <w:rStyle w:val="11"/>
                      <w:rFonts w:hint="eastAsia"/>
                    </w:rPr>
                    <w:t>喷雾</w:t>
                  </w:r>
                </w:p>
              </w:tc>
            </w:tr>
          </w:tbl>
          <w:p w14:paraId="0F4FD564">
            <w:pPr>
              <w:rPr>
                <w:rFonts w:ascii="Times New Roman" w:hAnsi="Times New Roman" w:cs="Times New Roman"/>
                <w:sz w:val="20"/>
                <w:szCs w:val="20"/>
              </w:rPr>
            </w:pPr>
          </w:p>
        </w:tc>
      </w:tr>
      <w:tr w14:paraId="664B1D38">
        <w:tblPrEx>
          <w:tblCellMar>
            <w:top w:w="0" w:type="dxa"/>
            <w:left w:w="0" w:type="dxa"/>
            <w:bottom w:w="0" w:type="dxa"/>
            <w:right w:w="0" w:type="dxa"/>
          </w:tblCellMar>
        </w:tblPrEx>
        <w:trPr>
          <w:wBefore w:w="0" w:type="auto"/>
          <w:tblCellSpacing w:w="0" w:type="dxa"/>
        </w:trPr>
        <w:tc>
          <w:tcPr>
            <w:tcW w:w="0" w:type="auto"/>
            <w:noWrap w:val="0"/>
            <w:vAlign w:val="center"/>
          </w:tcPr>
          <w:p w14:paraId="3C90482E">
            <w:r>
              <w:rPr>
                <w:rStyle w:val="10"/>
                <w:rFonts w:hint="eastAsia"/>
              </w:rPr>
              <w:t>使用技术要求:</w:t>
            </w:r>
            <w:r>
              <w:rPr>
                <w:rFonts w:hint="eastAsia"/>
              </w:rPr>
              <w:br w:type="textWrapping"/>
            </w:r>
            <w:r>
              <w:rPr>
                <w:rStyle w:val="11"/>
                <w:rFonts w:hint="eastAsia"/>
              </w:rPr>
              <w:t>1. 防治小麦白粉病，于病害发生初期喷雾施药，连续施药2次，间隔7-10天。防治小麦赤霉病，于小麦扬花初期喷雾施药，连续施药2次，间隔7-10天。推荐制剂量。整株均匀喷雾，重点喷施穗部。喷雾均匀、周到，以确保防效。 2. 大风天或预计1小时内降雨，请勿施药。 3. 推荐安全间隔期为28天，每个作物周期的最多使用次数为2次。</w:t>
            </w:r>
          </w:p>
        </w:tc>
      </w:tr>
      <w:tr w14:paraId="5950E9A8">
        <w:tblPrEx>
          <w:tblCellMar>
            <w:top w:w="0" w:type="dxa"/>
            <w:left w:w="0" w:type="dxa"/>
            <w:bottom w:w="0" w:type="dxa"/>
            <w:right w:w="0" w:type="dxa"/>
          </w:tblCellMar>
        </w:tblPrEx>
        <w:trPr>
          <w:wBefore w:w="0" w:type="auto"/>
          <w:tblCellSpacing w:w="0" w:type="dxa"/>
        </w:trPr>
        <w:tc>
          <w:tcPr>
            <w:tcW w:w="0" w:type="auto"/>
            <w:noWrap w:val="0"/>
            <w:vAlign w:val="center"/>
          </w:tcPr>
          <w:p w14:paraId="66D00271">
            <w:r>
              <w:rPr>
                <w:rStyle w:val="10"/>
                <w:rFonts w:hint="eastAsia"/>
              </w:rPr>
              <w:t>产品性能:</w:t>
            </w:r>
            <w:r>
              <w:rPr>
                <w:rFonts w:hint="eastAsia"/>
              </w:rPr>
              <w:br w:type="textWrapping"/>
            </w:r>
            <w:r>
              <w:rPr>
                <w:rStyle w:val="11"/>
                <w:rFonts w:hint="eastAsia"/>
              </w:rPr>
              <w:t>本品为三唑类和甲氧基丙烯酸酯类的混配制剂，具有较高的杀菌活性。同时具有保护、治疗作用，对小麦赤霉病和白粉病都有较好的防效。外观为灰白色悬浮液体，无特殊刺激性气味。</w:t>
            </w:r>
          </w:p>
        </w:tc>
      </w:tr>
      <w:tr w14:paraId="3A0BD3E5">
        <w:tblPrEx>
          <w:tblCellMar>
            <w:top w:w="0" w:type="dxa"/>
            <w:left w:w="0" w:type="dxa"/>
            <w:bottom w:w="0" w:type="dxa"/>
            <w:right w:w="0" w:type="dxa"/>
          </w:tblCellMar>
        </w:tblPrEx>
        <w:trPr>
          <w:wBefore w:w="0" w:type="auto"/>
          <w:tblCellSpacing w:w="0" w:type="dxa"/>
        </w:trPr>
        <w:tc>
          <w:tcPr>
            <w:tcW w:w="0" w:type="auto"/>
            <w:noWrap w:val="0"/>
            <w:vAlign w:val="center"/>
          </w:tcPr>
          <w:p w14:paraId="4B4FF3AE">
            <w:r>
              <w:rPr>
                <w:rStyle w:val="10"/>
                <w:rFonts w:hint="eastAsia"/>
              </w:rPr>
              <w:t>注意事项：</w:t>
            </w:r>
            <w:r>
              <w:rPr>
                <w:rFonts w:hint="eastAsia"/>
              </w:rPr>
              <w:br w:type="textWrapping"/>
            </w:r>
            <w:r>
              <w:rPr>
                <w:rStyle w:val="11"/>
                <w:rFonts w:hint="eastAsia"/>
              </w:rPr>
              <w:t>1. 严格按照规定用药量和方法使用。 2. 本品不可与碱性农药等物质混合使用，建议与其他不同作用机制的杀菌剂轮换使用。 3. 水产养殖区、河塘等水体附近禁用；禁止在河塘等水体中清洗施药器具；桑园及蚕室附近禁用；赤眼蜂等天敌放飞区域禁用。 4. 本品对眼睛有刺激性，使用时避免接触眼睛，穿戴长衣、长裤、帽子、口罩、手套等防护措施。避免吸入药液。施药期间不可吃东西和饮水。施药后应及时洗手和洗脸。 5. 用药后包装物及用过的容器应妥善处理，不可做他用，也不可随意丢弃。 6. 孕妇及哺乳期妇女禁止接触本品。7.避免与氧化剂接触。</w:t>
            </w:r>
          </w:p>
        </w:tc>
      </w:tr>
      <w:tr w14:paraId="36610265">
        <w:tblPrEx>
          <w:tblCellMar>
            <w:top w:w="0" w:type="dxa"/>
            <w:left w:w="0" w:type="dxa"/>
            <w:bottom w:w="0" w:type="dxa"/>
            <w:right w:w="0" w:type="dxa"/>
          </w:tblCellMar>
        </w:tblPrEx>
        <w:trPr>
          <w:wBefore w:w="0" w:type="auto"/>
          <w:tblCellSpacing w:w="0" w:type="dxa"/>
        </w:trPr>
        <w:tc>
          <w:tcPr>
            <w:tcW w:w="0" w:type="auto"/>
            <w:noWrap w:val="0"/>
            <w:vAlign w:val="center"/>
          </w:tcPr>
          <w:p w14:paraId="1072B0A7">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大量清水彻底冲洗受污染的皮肤。眼睛溅入：立即将眼睑翻开，用流动清水冲洗不少于15分钟，再请医生诊治。误食：立即停止服用，用清水充分漱口后，立即携带农药标签到医院就诊。本品无特效解毒剂，可对症治疗。</w:t>
            </w:r>
          </w:p>
        </w:tc>
      </w:tr>
      <w:tr w14:paraId="6F8373B8">
        <w:tblPrEx>
          <w:tblCellMar>
            <w:top w:w="0" w:type="dxa"/>
            <w:left w:w="0" w:type="dxa"/>
            <w:bottom w:w="0" w:type="dxa"/>
            <w:right w:w="0" w:type="dxa"/>
          </w:tblCellMar>
        </w:tblPrEx>
        <w:trPr>
          <w:wBefore w:w="0" w:type="auto"/>
          <w:tblCellSpacing w:w="0" w:type="dxa"/>
        </w:trPr>
        <w:tc>
          <w:tcPr>
            <w:tcW w:w="0" w:type="auto"/>
            <w:noWrap w:val="0"/>
            <w:vAlign w:val="center"/>
          </w:tcPr>
          <w:p w14:paraId="763C4152">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本品应贮存在干燥、阴凉、通风、防雨处，远离火源或热源。置于儿童及无关人员触及不到之处，并加锁。不能与食品、饮料、粮食、饲料等同贮同运。装卸时轻搬轻放，不可倒置。</w:t>
            </w:r>
          </w:p>
        </w:tc>
      </w:tr>
      <w:tr w14:paraId="478C5B09">
        <w:tblPrEx>
          <w:tblCellMar>
            <w:top w:w="0" w:type="dxa"/>
            <w:left w:w="0" w:type="dxa"/>
            <w:bottom w:w="0" w:type="dxa"/>
            <w:right w:w="0" w:type="dxa"/>
          </w:tblCellMar>
        </w:tblPrEx>
        <w:trPr>
          <w:wBefore w:w="0" w:type="auto"/>
          <w:tblCellSpacing w:w="0" w:type="dxa"/>
        </w:trPr>
        <w:tc>
          <w:tcPr>
            <w:tcW w:w="0" w:type="auto"/>
            <w:noWrap w:val="0"/>
            <w:vAlign w:val="center"/>
          </w:tcPr>
          <w:p w14:paraId="4A1DB783">
            <w:r>
              <w:rPr>
                <w:rStyle w:val="10"/>
                <w:rFonts w:hint="eastAsia"/>
              </w:rPr>
              <w:t>质量保证期：</w:t>
            </w:r>
            <w:r>
              <w:rPr>
                <w:rStyle w:val="11"/>
                <w:rFonts w:hint="eastAsia"/>
              </w:rPr>
              <w:t>2年</w:t>
            </w:r>
          </w:p>
        </w:tc>
      </w:tr>
      <w:tr w14:paraId="32D9E17F">
        <w:tblPrEx>
          <w:tblCellMar>
            <w:top w:w="0" w:type="dxa"/>
            <w:left w:w="0" w:type="dxa"/>
            <w:bottom w:w="0" w:type="dxa"/>
            <w:right w:w="0" w:type="dxa"/>
          </w:tblCellMar>
        </w:tblPrEx>
        <w:trPr>
          <w:wBefore w:w="0" w:type="auto"/>
          <w:tblCellSpacing w:w="0" w:type="dxa"/>
        </w:trPr>
        <w:tc>
          <w:tcPr>
            <w:tcW w:w="0" w:type="auto"/>
            <w:noWrap w:val="0"/>
            <w:vAlign w:val="center"/>
          </w:tcPr>
          <w:p w14:paraId="03949E50">
            <w:r>
              <w:rPr>
                <w:rStyle w:val="10"/>
                <w:rFonts w:hint="eastAsia"/>
              </w:rPr>
              <w:t>备注：</w:t>
            </w:r>
          </w:p>
        </w:tc>
      </w:tr>
    </w:tbl>
    <w:p w14:paraId="1A21C9B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0494B9">
        <w:tblPrEx>
          <w:tblCellMar>
            <w:top w:w="0" w:type="dxa"/>
            <w:left w:w="0" w:type="dxa"/>
            <w:bottom w:w="0" w:type="dxa"/>
            <w:right w:w="0" w:type="dxa"/>
          </w:tblCellMar>
        </w:tblPrEx>
        <w:trPr>
          <w:wBefore w:w="0" w:type="auto"/>
          <w:tblCellSpacing w:w="0" w:type="dxa"/>
        </w:trPr>
        <w:tc>
          <w:tcPr>
            <w:tcW w:w="0" w:type="auto"/>
            <w:noWrap w:val="0"/>
            <w:vAlign w:val="center"/>
          </w:tcPr>
          <w:p w14:paraId="0AA46767">
            <w:r>
              <w:rPr>
                <w:rStyle w:val="10"/>
                <w:rFonts w:hint="eastAsia"/>
              </w:rPr>
              <w:t>登记证号：</w:t>
            </w:r>
            <w:r>
              <w:rPr>
                <w:rFonts w:hint="eastAsia"/>
              </w:rPr>
              <w:t>PD20212709</w:t>
            </w:r>
          </w:p>
        </w:tc>
      </w:tr>
      <w:tr w14:paraId="3BA5ACB6">
        <w:tblPrEx>
          <w:tblCellMar>
            <w:top w:w="0" w:type="dxa"/>
            <w:left w:w="0" w:type="dxa"/>
            <w:bottom w:w="0" w:type="dxa"/>
            <w:right w:w="0" w:type="dxa"/>
          </w:tblCellMar>
        </w:tblPrEx>
        <w:trPr>
          <w:wBefore w:w="0" w:type="auto"/>
          <w:tblCellSpacing w:w="0" w:type="dxa"/>
        </w:trPr>
        <w:tc>
          <w:tcPr>
            <w:tcW w:w="0" w:type="auto"/>
            <w:noWrap w:val="0"/>
            <w:vAlign w:val="center"/>
          </w:tcPr>
          <w:p w14:paraId="1ADE66CD">
            <w:r>
              <w:rPr>
                <w:rStyle w:val="10"/>
                <w:rFonts w:hint="eastAsia"/>
              </w:rPr>
              <w:t>登记证持有人：</w:t>
            </w:r>
            <w:r>
              <w:rPr>
                <w:rFonts w:hint="eastAsia"/>
              </w:rPr>
              <w:t>安徽广信农化股份有限公司</w:t>
            </w:r>
          </w:p>
        </w:tc>
      </w:tr>
      <w:tr w14:paraId="1D1B8D93">
        <w:tblPrEx>
          <w:tblCellMar>
            <w:top w:w="0" w:type="dxa"/>
            <w:left w:w="0" w:type="dxa"/>
            <w:bottom w:w="0" w:type="dxa"/>
            <w:right w:w="0" w:type="dxa"/>
          </w:tblCellMar>
        </w:tblPrEx>
        <w:trPr>
          <w:wBefore w:w="0" w:type="auto"/>
          <w:tblCellSpacing w:w="0" w:type="dxa"/>
        </w:trPr>
        <w:tc>
          <w:tcPr>
            <w:tcW w:w="0" w:type="auto"/>
            <w:noWrap w:val="0"/>
            <w:vAlign w:val="center"/>
          </w:tcPr>
          <w:p w14:paraId="5769FC7C">
            <w:r>
              <w:rPr>
                <w:rStyle w:val="10"/>
                <w:rFonts w:hint="eastAsia"/>
              </w:rPr>
              <w:t>农药名称：</w:t>
            </w:r>
            <w:r>
              <w:rPr>
                <w:rFonts w:hint="eastAsia"/>
              </w:rPr>
              <w:t>吡唑醚菌酯</w:t>
            </w:r>
          </w:p>
        </w:tc>
      </w:tr>
      <w:tr w14:paraId="3A2FB9BE">
        <w:tblPrEx>
          <w:tblCellMar>
            <w:top w:w="0" w:type="dxa"/>
            <w:left w:w="0" w:type="dxa"/>
            <w:bottom w:w="0" w:type="dxa"/>
            <w:right w:w="0" w:type="dxa"/>
          </w:tblCellMar>
        </w:tblPrEx>
        <w:trPr>
          <w:wBefore w:w="0" w:type="auto"/>
          <w:tblCellSpacing w:w="0" w:type="dxa"/>
        </w:trPr>
        <w:tc>
          <w:tcPr>
            <w:tcW w:w="0" w:type="auto"/>
            <w:noWrap w:val="0"/>
            <w:vAlign w:val="center"/>
          </w:tcPr>
          <w:p w14:paraId="23954F99">
            <w:r>
              <w:rPr>
                <w:rStyle w:val="10"/>
                <w:rFonts w:hint="eastAsia"/>
              </w:rPr>
              <w:t>剂型：</w:t>
            </w:r>
            <w:r>
              <w:rPr>
                <w:rFonts w:hint="eastAsia"/>
              </w:rPr>
              <w:t>悬浮剂</w:t>
            </w:r>
          </w:p>
        </w:tc>
      </w:tr>
      <w:tr w14:paraId="00C2F98F">
        <w:tblPrEx>
          <w:tblCellMar>
            <w:top w:w="0" w:type="dxa"/>
            <w:left w:w="0" w:type="dxa"/>
            <w:bottom w:w="0" w:type="dxa"/>
            <w:right w:w="0" w:type="dxa"/>
          </w:tblCellMar>
        </w:tblPrEx>
        <w:trPr>
          <w:wBefore w:w="0" w:type="auto"/>
          <w:tblCellSpacing w:w="0" w:type="dxa"/>
        </w:trPr>
        <w:tc>
          <w:tcPr>
            <w:tcW w:w="0" w:type="auto"/>
            <w:noWrap w:val="0"/>
            <w:vAlign w:val="center"/>
          </w:tcPr>
          <w:p w14:paraId="2C2652E7">
            <w:r>
              <w:rPr>
                <w:rStyle w:val="10"/>
                <w:rFonts w:hint="eastAsia"/>
              </w:rPr>
              <w:t>毒性及其标识：</w:t>
            </w:r>
            <w:r>
              <w:rPr>
                <w:rFonts w:hint="eastAsia"/>
              </w:rPr>
              <w:t xml:space="preserve"> </w:t>
            </w:r>
            <w:r>
              <w:rPr>
                <w:lang/>
              </w:rPr>
              <w:drawing>
                <wp:inline distT="0" distB="0" distL="114300" distR="114300">
                  <wp:extent cx="476250" cy="323850"/>
                  <wp:effectExtent l="0" t="0" r="0" b="0"/>
                  <wp:docPr id="133" name="图片 1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6A975E">
        <w:tblPrEx>
          <w:tblCellMar>
            <w:top w:w="0" w:type="dxa"/>
            <w:left w:w="0" w:type="dxa"/>
            <w:bottom w:w="0" w:type="dxa"/>
            <w:right w:w="0" w:type="dxa"/>
          </w:tblCellMar>
        </w:tblPrEx>
        <w:trPr>
          <w:wBefore w:w="0" w:type="auto"/>
          <w:tblCellSpacing w:w="0" w:type="dxa"/>
        </w:trPr>
        <w:tc>
          <w:tcPr>
            <w:tcW w:w="0" w:type="auto"/>
            <w:noWrap w:val="0"/>
            <w:vAlign w:val="center"/>
          </w:tcPr>
          <w:p w14:paraId="779AE9A5">
            <w:r>
              <w:rPr>
                <w:rStyle w:val="10"/>
                <w:rFonts w:hint="eastAsia"/>
              </w:rPr>
              <w:t>总有效成分含量：</w:t>
            </w:r>
            <w:r>
              <w:rPr>
                <w:rFonts w:hint="eastAsia"/>
              </w:rPr>
              <w:t>25%</w:t>
            </w:r>
          </w:p>
        </w:tc>
      </w:tr>
      <w:tr w14:paraId="43C0D5BA">
        <w:tblPrEx>
          <w:tblCellMar>
            <w:top w:w="0" w:type="dxa"/>
            <w:left w:w="0" w:type="dxa"/>
            <w:bottom w:w="0" w:type="dxa"/>
            <w:right w:w="0" w:type="dxa"/>
          </w:tblCellMar>
        </w:tblPrEx>
        <w:trPr>
          <w:wBefore w:w="0" w:type="auto"/>
          <w:tblCellSpacing w:w="0" w:type="dxa"/>
        </w:trPr>
        <w:tc>
          <w:tcPr>
            <w:tcW w:w="0" w:type="auto"/>
            <w:noWrap w:val="0"/>
            <w:vAlign w:val="center"/>
          </w:tcPr>
          <w:p w14:paraId="3F050B16">
            <w:r>
              <w:rPr>
                <w:rFonts w:hint="eastAsia"/>
              </w:rPr>
              <w:t xml:space="preserve">有效成分及其含量： </w:t>
            </w:r>
          </w:p>
          <w:p w14:paraId="0FA4BA45">
            <w:r>
              <w:rPr>
                <w:rFonts w:hint="eastAsia"/>
              </w:rPr>
              <w:t xml:space="preserve">    吡唑醚菌酯25%    </w:t>
            </w:r>
          </w:p>
        </w:tc>
      </w:tr>
      <w:tr w14:paraId="6A39ACCC">
        <w:tblPrEx>
          <w:tblCellMar>
            <w:top w:w="0" w:type="dxa"/>
            <w:left w:w="0" w:type="dxa"/>
            <w:bottom w:w="0" w:type="dxa"/>
            <w:right w:w="0" w:type="dxa"/>
          </w:tblCellMar>
        </w:tblPrEx>
        <w:trPr>
          <w:wBefore w:w="0" w:type="auto"/>
          <w:tblCellSpacing w:w="0" w:type="dxa"/>
        </w:trPr>
        <w:tc>
          <w:tcPr>
            <w:tcW w:w="0" w:type="auto"/>
            <w:noWrap w:val="0"/>
            <w:vAlign w:val="center"/>
          </w:tcPr>
          <w:p w14:paraId="2F2BF8B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EFE6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689F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4E1A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D03BD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858E30">
                  <w:r>
                    <w:rPr>
                      <w:rStyle w:val="11"/>
                      <w:rFonts w:hint="eastAsia"/>
                    </w:rPr>
                    <w:t>施用方式</w:t>
                  </w:r>
                </w:p>
              </w:tc>
            </w:tr>
            <w:tr w14:paraId="4B7212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106981">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43EC4A">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4676A0">
                  <w:r>
                    <w:rPr>
                      <w:rStyle w:val="11"/>
                      <w:rFonts w:hint="eastAsia"/>
                    </w:rPr>
                    <w:t>45-50毫升/亩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13316">
                  <w:r>
                    <w:rPr>
                      <w:rStyle w:val="11"/>
                      <w:rFonts w:hint="eastAsia"/>
                    </w:rPr>
                    <w:t>喷雾</w:t>
                  </w:r>
                </w:p>
              </w:tc>
            </w:tr>
          </w:tbl>
          <w:p w14:paraId="2CF0DDD6">
            <w:pPr>
              <w:rPr>
                <w:rFonts w:ascii="Times New Roman" w:hAnsi="Times New Roman" w:cs="Times New Roman"/>
                <w:sz w:val="20"/>
                <w:szCs w:val="20"/>
              </w:rPr>
            </w:pPr>
          </w:p>
        </w:tc>
      </w:tr>
      <w:tr w14:paraId="556D3B2A">
        <w:tblPrEx>
          <w:tblCellMar>
            <w:top w:w="0" w:type="dxa"/>
            <w:left w:w="0" w:type="dxa"/>
            <w:bottom w:w="0" w:type="dxa"/>
            <w:right w:w="0" w:type="dxa"/>
          </w:tblCellMar>
        </w:tblPrEx>
        <w:trPr>
          <w:wBefore w:w="0" w:type="auto"/>
          <w:tblCellSpacing w:w="0" w:type="dxa"/>
        </w:trPr>
        <w:tc>
          <w:tcPr>
            <w:tcW w:w="0" w:type="auto"/>
            <w:noWrap w:val="0"/>
            <w:vAlign w:val="center"/>
          </w:tcPr>
          <w:p w14:paraId="304284C3">
            <w:r>
              <w:rPr>
                <w:rStyle w:val="10"/>
                <w:rFonts w:hint="eastAsia"/>
              </w:rPr>
              <w:t>使用技术要求:</w:t>
            </w:r>
            <w:r>
              <w:rPr>
                <w:rFonts w:hint="eastAsia"/>
              </w:rPr>
              <w:br w:type="textWrapping"/>
            </w:r>
            <w:r>
              <w:rPr>
                <w:rStyle w:val="11"/>
                <w:rFonts w:hint="eastAsia"/>
              </w:rPr>
              <w:t>1、本品应于玉米大斑病发生初期开始施药，采用植株茎叶均匀喷雾。2、应选择晴天施药，间隔7-10天施药一次，连施2次为宜。每季作物最多施药2次，安全间隔期10天。</w:t>
            </w:r>
          </w:p>
        </w:tc>
      </w:tr>
      <w:tr w14:paraId="69495EA4">
        <w:tblPrEx>
          <w:tblCellMar>
            <w:top w:w="0" w:type="dxa"/>
            <w:left w:w="0" w:type="dxa"/>
            <w:bottom w:w="0" w:type="dxa"/>
            <w:right w:w="0" w:type="dxa"/>
          </w:tblCellMar>
        </w:tblPrEx>
        <w:trPr>
          <w:wBefore w:w="0" w:type="auto"/>
          <w:tblCellSpacing w:w="0" w:type="dxa"/>
        </w:trPr>
        <w:tc>
          <w:tcPr>
            <w:tcW w:w="0" w:type="auto"/>
            <w:noWrap w:val="0"/>
            <w:vAlign w:val="center"/>
          </w:tcPr>
          <w:p w14:paraId="6C74D87C">
            <w:r>
              <w:rPr>
                <w:rStyle w:val="10"/>
                <w:rFonts w:hint="eastAsia"/>
              </w:rPr>
              <w:t>产品性能:</w:t>
            </w:r>
            <w:r>
              <w:rPr>
                <w:rFonts w:hint="eastAsia"/>
              </w:rPr>
              <w:br w:type="textWrapping"/>
            </w:r>
            <w:r>
              <w:rPr>
                <w:rStyle w:val="11"/>
                <w:rFonts w:hint="eastAsia"/>
              </w:rPr>
              <w:t xml:space="preserve">本品为低毒杀菌剂，吡唑醚菌酯为线粒体呼吸抑制剂，具有保护、治疗、叶片渗透传导作用，具有广谱性和极高的杀菌活性。广泛用于防治小麦、大麦、大豆、花生、葡萄、蔬菜、马铃薯、香蕉、柠檬、咖啡、果树、核桃、茶树、烟草、观赏植物、草坪及其他大田作物上由子囊菌、担子菌、半知菌和卵菌等几乎所有类型的真菌病原体引起的病害。 </w:t>
            </w:r>
          </w:p>
        </w:tc>
      </w:tr>
      <w:tr w14:paraId="25EA0805">
        <w:tblPrEx>
          <w:tblCellMar>
            <w:top w:w="0" w:type="dxa"/>
            <w:left w:w="0" w:type="dxa"/>
            <w:bottom w:w="0" w:type="dxa"/>
            <w:right w:w="0" w:type="dxa"/>
          </w:tblCellMar>
        </w:tblPrEx>
        <w:trPr>
          <w:wBefore w:w="0" w:type="auto"/>
          <w:tblCellSpacing w:w="0" w:type="dxa"/>
        </w:trPr>
        <w:tc>
          <w:tcPr>
            <w:tcW w:w="0" w:type="auto"/>
            <w:noWrap w:val="0"/>
            <w:vAlign w:val="center"/>
          </w:tcPr>
          <w:p w14:paraId="1A25122D">
            <w:r>
              <w:rPr>
                <w:rStyle w:val="10"/>
                <w:rFonts w:hint="eastAsia"/>
              </w:rPr>
              <w:t>注意事项：</w:t>
            </w:r>
            <w:r>
              <w:rPr>
                <w:rFonts w:hint="eastAsia"/>
              </w:rPr>
              <w:br w:type="textWrapping"/>
            </w:r>
            <w:r>
              <w:rPr>
                <w:rStyle w:val="11"/>
                <w:rFonts w:hint="eastAsia"/>
              </w:rPr>
              <w:t>1.请按照农药安全使用准则使用本品。避免药液与皮肤、眼睛接触和吸入口鼻。 2.配药时，应戴防渗手套。施药时应穿戴防护服、防护手套、防护鞋和面罩。 3.施药后，彻底清洗防护用具，洗澡，并更换和清洗工作服。 4.使用过的空包装应妥善处理，切勿重复使用或改作其它用途。所有施药器具，用后应立即用清水或适当的洗涤剂反复清洗干净。 5. 本品对鱼类等水生生物有毒，严禁药液流入河塘，水产养殖区、河塘等水体附近禁用。禁止在河塘等水体中清洗施药器具，应避免污染各类水体。对家蚕、蜜蜂有毒，施药期间应避开开花植物花期使用，蚕室和桑园附近禁用。远离天敌放飞区和鸟类保护区。 6.建议与其它作用机制的杀菌剂轮换使用。 7.孕妇及哺乳期妇女避免接触。</w:t>
            </w:r>
          </w:p>
        </w:tc>
      </w:tr>
      <w:tr w14:paraId="5206FF18">
        <w:tblPrEx>
          <w:tblCellMar>
            <w:top w:w="0" w:type="dxa"/>
            <w:left w:w="0" w:type="dxa"/>
            <w:bottom w:w="0" w:type="dxa"/>
            <w:right w:w="0" w:type="dxa"/>
          </w:tblCellMar>
        </w:tblPrEx>
        <w:trPr>
          <w:wBefore w:w="0" w:type="auto"/>
          <w:tblCellSpacing w:w="0" w:type="dxa"/>
        </w:trPr>
        <w:tc>
          <w:tcPr>
            <w:tcW w:w="0" w:type="auto"/>
            <w:noWrap w:val="0"/>
            <w:vAlign w:val="center"/>
          </w:tcPr>
          <w:p w14:paraId="35F88AAE">
            <w:r>
              <w:rPr>
                <w:rStyle w:val="10"/>
                <w:rFonts w:hint="eastAsia"/>
              </w:rPr>
              <w:t>中毒急救措施：</w:t>
            </w:r>
            <w:r>
              <w:rPr>
                <w:rFonts w:hint="eastAsia"/>
              </w:rPr>
              <w:br w:type="textWrapping"/>
            </w:r>
            <w:r>
              <w:rPr>
                <w:rStyle w:val="11"/>
                <w:rFonts w:hint="eastAsia"/>
              </w:rPr>
              <w:t>1.不慎药液接触皮肤，用肥皂和清水清洗皮肤表面。 2.不慎药液接触眼睛，用清水彻底冲洗眼睛15分钟。 3.不慎误服，立即携带标签请医生诊治，无特效解毒剂，对症治疗。</w:t>
            </w:r>
          </w:p>
        </w:tc>
      </w:tr>
      <w:tr w14:paraId="1831EA3F">
        <w:tblPrEx>
          <w:tblCellMar>
            <w:top w:w="0" w:type="dxa"/>
            <w:left w:w="0" w:type="dxa"/>
            <w:bottom w:w="0" w:type="dxa"/>
            <w:right w:w="0" w:type="dxa"/>
          </w:tblCellMar>
        </w:tblPrEx>
        <w:trPr>
          <w:wBefore w:w="0" w:type="auto"/>
          <w:tblCellSpacing w:w="0" w:type="dxa"/>
        </w:trPr>
        <w:tc>
          <w:tcPr>
            <w:tcW w:w="0" w:type="auto"/>
            <w:noWrap w:val="0"/>
            <w:vAlign w:val="center"/>
          </w:tcPr>
          <w:p w14:paraId="2811A20F">
            <w:r>
              <w:rPr>
                <w:rStyle w:val="10"/>
                <w:rFonts w:hint="eastAsia"/>
              </w:rPr>
              <w:t>储存和运输方法：</w:t>
            </w:r>
            <w:r>
              <w:rPr>
                <w:rFonts w:hint="eastAsia"/>
              </w:rPr>
              <w:br w:type="textWrapping"/>
            </w:r>
            <w:r>
              <w:rPr>
                <w:rStyle w:val="11"/>
                <w:rFonts w:hint="eastAsia"/>
              </w:rPr>
              <w:t>1.本品应贮存在室温、通风、干燥的地方，严禁曝晒、雨淋，以免使药剂分解，降低药效。 2.不得与食品、饮料、粮食、饲料等同贮同运或混放。3.置于儿童触及不到之处，并加锁。</w:t>
            </w:r>
          </w:p>
        </w:tc>
      </w:tr>
      <w:tr w14:paraId="61A29CD3">
        <w:tblPrEx>
          <w:tblCellMar>
            <w:top w:w="0" w:type="dxa"/>
            <w:left w:w="0" w:type="dxa"/>
            <w:bottom w:w="0" w:type="dxa"/>
            <w:right w:w="0" w:type="dxa"/>
          </w:tblCellMar>
        </w:tblPrEx>
        <w:trPr>
          <w:wBefore w:w="0" w:type="auto"/>
          <w:tblCellSpacing w:w="0" w:type="dxa"/>
        </w:trPr>
        <w:tc>
          <w:tcPr>
            <w:tcW w:w="0" w:type="auto"/>
            <w:noWrap w:val="0"/>
            <w:vAlign w:val="center"/>
          </w:tcPr>
          <w:p w14:paraId="0CCB03D2">
            <w:r>
              <w:rPr>
                <w:rStyle w:val="10"/>
                <w:rFonts w:hint="eastAsia"/>
              </w:rPr>
              <w:t>质量保证期：</w:t>
            </w:r>
            <w:r>
              <w:rPr>
                <w:rStyle w:val="11"/>
                <w:rFonts w:hint="eastAsia"/>
              </w:rPr>
              <w:t>2年</w:t>
            </w:r>
          </w:p>
        </w:tc>
      </w:tr>
      <w:tr w14:paraId="60650D9B">
        <w:tblPrEx>
          <w:tblCellMar>
            <w:top w:w="0" w:type="dxa"/>
            <w:left w:w="0" w:type="dxa"/>
            <w:bottom w:w="0" w:type="dxa"/>
            <w:right w:w="0" w:type="dxa"/>
          </w:tblCellMar>
        </w:tblPrEx>
        <w:trPr>
          <w:wBefore w:w="0" w:type="auto"/>
          <w:tblCellSpacing w:w="0" w:type="dxa"/>
        </w:trPr>
        <w:tc>
          <w:tcPr>
            <w:tcW w:w="0" w:type="auto"/>
            <w:noWrap w:val="0"/>
            <w:vAlign w:val="center"/>
          </w:tcPr>
          <w:p w14:paraId="4E62A7C5">
            <w:r>
              <w:rPr>
                <w:rStyle w:val="10"/>
                <w:rFonts w:hint="eastAsia"/>
              </w:rPr>
              <w:t>备注：</w:t>
            </w:r>
          </w:p>
        </w:tc>
      </w:tr>
    </w:tbl>
    <w:p w14:paraId="0738A4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93D5C2">
        <w:tblPrEx>
          <w:tblCellMar>
            <w:top w:w="0" w:type="dxa"/>
            <w:left w:w="0" w:type="dxa"/>
            <w:bottom w:w="0" w:type="dxa"/>
            <w:right w:w="0" w:type="dxa"/>
          </w:tblCellMar>
        </w:tblPrEx>
        <w:trPr>
          <w:wBefore w:w="0" w:type="auto"/>
          <w:tblCellSpacing w:w="0" w:type="dxa"/>
        </w:trPr>
        <w:tc>
          <w:tcPr>
            <w:tcW w:w="0" w:type="auto"/>
            <w:noWrap w:val="0"/>
            <w:vAlign w:val="center"/>
          </w:tcPr>
          <w:p w14:paraId="137F559F">
            <w:r>
              <w:rPr>
                <w:rStyle w:val="10"/>
                <w:rFonts w:hint="eastAsia"/>
              </w:rPr>
              <w:t>登记证号：</w:t>
            </w:r>
            <w:r>
              <w:rPr>
                <w:rFonts w:hint="eastAsia"/>
              </w:rPr>
              <w:t>PD20212707</w:t>
            </w:r>
          </w:p>
        </w:tc>
      </w:tr>
      <w:tr w14:paraId="321FD7BB">
        <w:tblPrEx>
          <w:tblCellMar>
            <w:top w:w="0" w:type="dxa"/>
            <w:left w:w="0" w:type="dxa"/>
            <w:bottom w:w="0" w:type="dxa"/>
            <w:right w:w="0" w:type="dxa"/>
          </w:tblCellMar>
        </w:tblPrEx>
        <w:trPr>
          <w:wBefore w:w="0" w:type="auto"/>
          <w:tblCellSpacing w:w="0" w:type="dxa"/>
        </w:trPr>
        <w:tc>
          <w:tcPr>
            <w:tcW w:w="0" w:type="auto"/>
            <w:noWrap w:val="0"/>
            <w:vAlign w:val="center"/>
          </w:tcPr>
          <w:p w14:paraId="4CCBE2D8">
            <w:r>
              <w:rPr>
                <w:rStyle w:val="10"/>
                <w:rFonts w:hint="eastAsia"/>
              </w:rPr>
              <w:t>登记证持有人：</w:t>
            </w:r>
            <w:r>
              <w:rPr>
                <w:rFonts w:hint="eastAsia"/>
              </w:rPr>
              <w:t>山东金秋园田生物科技有限公司</w:t>
            </w:r>
          </w:p>
        </w:tc>
      </w:tr>
      <w:tr w14:paraId="325E80E1">
        <w:tblPrEx>
          <w:tblCellMar>
            <w:top w:w="0" w:type="dxa"/>
            <w:left w:w="0" w:type="dxa"/>
            <w:bottom w:w="0" w:type="dxa"/>
            <w:right w:w="0" w:type="dxa"/>
          </w:tblCellMar>
        </w:tblPrEx>
        <w:trPr>
          <w:wBefore w:w="0" w:type="auto"/>
          <w:tblCellSpacing w:w="0" w:type="dxa"/>
        </w:trPr>
        <w:tc>
          <w:tcPr>
            <w:tcW w:w="0" w:type="auto"/>
            <w:noWrap w:val="0"/>
            <w:vAlign w:val="center"/>
          </w:tcPr>
          <w:p w14:paraId="305058F2">
            <w:r>
              <w:rPr>
                <w:rStyle w:val="10"/>
                <w:rFonts w:hint="eastAsia"/>
              </w:rPr>
              <w:t>农药名称：</w:t>
            </w:r>
            <w:r>
              <w:rPr>
                <w:rFonts w:hint="eastAsia"/>
              </w:rPr>
              <w:t>吡唑醚菌酯</w:t>
            </w:r>
          </w:p>
        </w:tc>
      </w:tr>
      <w:tr w14:paraId="4E337449">
        <w:tblPrEx>
          <w:tblCellMar>
            <w:top w:w="0" w:type="dxa"/>
            <w:left w:w="0" w:type="dxa"/>
            <w:bottom w:w="0" w:type="dxa"/>
            <w:right w:w="0" w:type="dxa"/>
          </w:tblCellMar>
        </w:tblPrEx>
        <w:trPr>
          <w:wBefore w:w="0" w:type="auto"/>
          <w:tblCellSpacing w:w="0" w:type="dxa"/>
        </w:trPr>
        <w:tc>
          <w:tcPr>
            <w:tcW w:w="0" w:type="auto"/>
            <w:noWrap w:val="0"/>
            <w:vAlign w:val="center"/>
          </w:tcPr>
          <w:p w14:paraId="47D4AFD9">
            <w:r>
              <w:rPr>
                <w:rStyle w:val="10"/>
                <w:rFonts w:hint="eastAsia"/>
              </w:rPr>
              <w:t>剂型：</w:t>
            </w:r>
            <w:r>
              <w:rPr>
                <w:rFonts w:hint="eastAsia"/>
              </w:rPr>
              <w:t>可溶液剂</w:t>
            </w:r>
          </w:p>
        </w:tc>
      </w:tr>
      <w:tr w14:paraId="127CF013">
        <w:tblPrEx>
          <w:tblCellMar>
            <w:top w:w="0" w:type="dxa"/>
            <w:left w:w="0" w:type="dxa"/>
            <w:bottom w:w="0" w:type="dxa"/>
            <w:right w:w="0" w:type="dxa"/>
          </w:tblCellMar>
        </w:tblPrEx>
        <w:trPr>
          <w:wBefore w:w="0" w:type="auto"/>
          <w:tblCellSpacing w:w="0" w:type="dxa"/>
        </w:trPr>
        <w:tc>
          <w:tcPr>
            <w:tcW w:w="0" w:type="auto"/>
            <w:noWrap w:val="0"/>
            <w:vAlign w:val="center"/>
          </w:tcPr>
          <w:p w14:paraId="437EEB9F">
            <w:r>
              <w:rPr>
                <w:rStyle w:val="10"/>
                <w:rFonts w:hint="eastAsia"/>
              </w:rPr>
              <w:t>毒性及其标识：</w:t>
            </w:r>
            <w:r>
              <w:rPr>
                <w:rFonts w:hint="eastAsia"/>
              </w:rPr>
              <w:t xml:space="preserve"> </w:t>
            </w:r>
            <w:r>
              <w:rPr>
                <w:lang/>
              </w:rPr>
              <w:drawing>
                <wp:inline distT="0" distB="0" distL="114300" distR="114300">
                  <wp:extent cx="476250" cy="323850"/>
                  <wp:effectExtent l="0" t="0" r="0" b="0"/>
                  <wp:docPr id="134" name="图片 1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17DA55">
        <w:tblPrEx>
          <w:tblCellMar>
            <w:top w:w="0" w:type="dxa"/>
            <w:left w:w="0" w:type="dxa"/>
            <w:bottom w:w="0" w:type="dxa"/>
            <w:right w:w="0" w:type="dxa"/>
          </w:tblCellMar>
        </w:tblPrEx>
        <w:trPr>
          <w:wBefore w:w="0" w:type="auto"/>
          <w:tblCellSpacing w:w="0" w:type="dxa"/>
        </w:trPr>
        <w:tc>
          <w:tcPr>
            <w:tcW w:w="0" w:type="auto"/>
            <w:noWrap w:val="0"/>
            <w:vAlign w:val="center"/>
          </w:tcPr>
          <w:p w14:paraId="16B45C8D">
            <w:r>
              <w:rPr>
                <w:rStyle w:val="10"/>
                <w:rFonts w:hint="eastAsia"/>
              </w:rPr>
              <w:t>总有效成分含量：</w:t>
            </w:r>
            <w:r>
              <w:rPr>
                <w:rFonts w:hint="eastAsia"/>
              </w:rPr>
              <w:t>2克/升</w:t>
            </w:r>
          </w:p>
        </w:tc>
      </w:tr>
      <w:tr w14:paraId="6B1F551D">
        <w:tblPrEx>
          <w:tblCellMar>
            <w:top w:w="0" w:type="dxa"/>
            <w:left w:w="0" w:type="dxa"/>
            <w:bottom w:w="0" w:type="dxa"/>
            <w:right w:w="0" w:type="dxa"/>
          </w:tblCellMar>
        </w:tblPrEx>
        <w:trPr>
          <w:wBefore w:w="0" w:type="auto"/>
          <w:tblCellSpacing w:w="0" w:type="dxa"/>
        </w:trPr>
        <w:tc>
          <w:tcPr>
            <w:tcW w:w="0" w:type="auto"/>
            <w:noWrap w:val="0"/>
            <w:vAlign w:val="center"/>
          </w:tcPr>
          <w:p w14:paraId="7AEC6097">
            <w:r>
              <w:rPr>
                <w:rFonts w:hint="eastAsia"/>
              </w:rPr>
              <w:t xml:space="preserve">有效成分及其含量： </w:t>
            </w:r>
          </w:p>
          <w:p w14:paraId="67E9A4A5">
            <w:r>
              <w:rPr>
                <w:rFonts w:hint="eastAsia"/>
              </w:rPr>
              <w:t xml:space="preserve">    吡唑醚菌酯2克/升    </w:t>
            </w:r>
          </w:p>
        </w:tc>
      </w:tr>
      <w:tr w14:paraId="4E5CDE53">
        <w:tblPrEx>
          <w:tblCellMar>
            <w:top w:w="0" w:type="dxa"/>
            <w:left w:w="0" w:type="dxa"/>
            <w:bottom w:w="0" w:type="dxa"/>
            <w:right w:w="0" w:type="dxa"/>
          </w:tblCellMar>
        </w:tblPrEx>
        <w:trPr>
          <w:wBefore w:w="0" w:type="auto"/>
          <w:tblCellSpacing w:w="0" w:type="dxa"/>
        </w:trPr>
        <w:tc>
          <w:tcPr>
            <w:tcW w:w="0" w:type="auto"/>
            <w:noWrap w:val="0"/>
            <w:vAlign w:val="center"/>
          </w:tcPr>
          <w:p w14:paraId="6C4D87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4CD3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246C1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A5126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EAF66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42B32A">
                  <w:r>
                    <w:rPr>
                      <w:rStyle w:val="11"/>
                      <w:rFonts w:hint="eastAsia"/>
                    </w:rPr>
                    <w:t>施用方式</w:t>
                  </w:r>
                </w:p>
              </w:tc>
            </w:tr>
            <w:tr w14:paraId="6D3A17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58483F">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6C2729">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46C7B0">
                  <w:r>
                    <w:rPr>
                      <w:rStyle w:val="11"/>
                      <w:rFonts w:hint="eastAsia"/>
                    </w:rPr>
                    <w:t>3500-6500毫升/亩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338F1F">
                  <w:r>
                    <w:rPr>
                      <w:rStyle w:val="11"/>
                      <w:rFonts w:hint="eastAsia"/>
                    </w:rPr>
                    <w:t>冲施</w:t>
                  </w:r>
                </w:p>
              </w:tc>
            </w:tr>
          </w:tbl>
          <w:p w14:paraId="04711EF3">
            <w:pPr>
              <w:rPr>
                <w:rFonts w:ascii="Times New Roman" w:hAnsi="Times New Roman" w:cs="Times New Roman"/>
                <w:sz w:val="20"/>
                <w:szCs w:val="20"/>
              </w:rPr>
            </w:pPr>
          </w:p>
        </w:tc>
      </w:tr>
      <w:tr w14:paraId="50405FE5">
        <w:tblPrEx>
          <w:tblCellMar>
            <w:top w:w="0" w:type="dxa"/>
            <w:left w:w="0" w:type="dxa"/>
            <w:bottom w:w="0" w:type="dxa"/>
            <w:right w:w="0" w:type="dxa"/>
          </w:tblCellMar>
        </w:tblPrEx>
        <w:trPr>
          <w:wBefore w:w="0" w:type="auto"/>
          <w:tblCellSpacing w:w="0" w:type="dxa"/>
        </w:trPr>
        <w:tc>
          <w:tcPr>
            <w:tcW w:w="0" w:type="auto"/>
            <w:noWrap w:val="0"/>
            <w:vAlign w:val="center"/>
          </w:tcPr>
          <w:p w14:paraId="16918786">
            <w:r>
              <w:rPr>
                <w:rStyle w:val="10"/>
                <w:rFonts w:hint="eastAsia"/>
              </w:rPr>
              <w:t>使用技术要求:</w:t>
            </w:r>
            <w:r>
              <w:rPr>
                <w:rFonts w:hint="eastAsia"/>
              </w:rPr>
              <w:br w:type="textWrapping"/>
            </w:r>
            <w:r>
              <w:rPr>
                <w:rStyle w:val="11"/>
                <w:rFonts w:hint="eastAsia"/>
              </w:rPr>
              <w:t>1、本品应在番茄播种前施药，可施药1-2次，间隔7-10天，将药剂随灌溉水冲施到田里。 2、大风天或预计1小时内下雨，请勿施药。 3、本品每季最多使用2次，安全间隔期为21天。</w:t>
            </w:r>
          </w:p>
        </w:tc>
      </w:tr>
      <w:tr w14:paraId="1F47384D">
        <w:tblPrEx>
          <w:tblCellMar>
            <w:top w:w="0" w:type="dxa"/>
            <w:left w:w="0" w:type="dxa"/>
            <w:bottom w:w="0" w:type="dxa"/>
            <w:right w:w="0" w:type="dxa"/>
          </w:tblCellMar>
        </w:tblPrEx>
        <w:trPr>
          <w:wBefore w:w="0" w:type="auto"/>
          <w:tblCellSpacing w:w="0" w:type="dxa"/>
        </w:trPr>
        <w:tc>
          <w:tcPr>
            <w:tcW w:w="0" w:type="auto"/>
            <w:noWrap w:val="0"/>
            <w:vAlign w:val="center"/>
          </w:tcPr>
          <w:p w14:paraId="4754E3CB">
            <w:r>
              <w:rPr>
                <w:rStyle w:val="10"/>
                <w:rFonts w:hint="eastAsia"/>
              </w:rPr>
              <w:t>产品性能:</w:t>
            </w:r>
            <w:r>
              <w:rPr>
                <w:rFonts w:hint="eastAsia"/>
              </w:rPr>
              <w:br w:type="textWrapping"/>
            </w:r>
            <w:r>
              <w:rPr>
                <w:rStyle w:val="11"/>
                <w:rFonts w:hint="eastAsia"/>
              </w:rPr>
              <w:t>吡唑醚菌酯属醌外抑制剂，通过作用于细胞色素复合物bc1阻碍电子的传导，以抑制线粒体的呼吸作用。可用于防治番茄立枯病。</w:t>
            </w:r>
          </w:p>
        </w:tc>
      </w:tr>
      <w:tr w14:paraId="084731E4">
        <w:tblPrEx>
          <w:tblCellMar>
            <w:top w:w="0" w:type="dxa"/>
            <w:left w:w="0" w:type="dxa"/>
            <w:bottom w:w="0" w:type="dxa"/>
            <w:right w:w="0" w:type="dxa"/>
          </w:tblCellMar>
        </w:tblPrEx>
        <w:trPr>
          <w:wBefore w:w="0" w:type="auto"/>
          <w:tblCellSpacing w:w="0" w:type="dxa"/>
        </w:trPr>
        <w:tc>
          <w:tcPr>
            <w:tcW w:w="0" w:type="auto"/>
            <w:noWrap w:val="0"/>
            <w:vAlign w:val="center"/>
          </w:tcPr>
          <w:p w14:paraId="33C5E7A5">
            <w:r>
              <w:rPr>
                <w:rStyle w:val="10"/>
                <w:rFonts w:hint="eastAsia"/>
              </w:rPr>
              <w:t>注意事项：</w:t>
            </w:r>
            <w:r>
              <w:rPr>
                <w:rFonts w:hint="eastAsia"/>
              </w:rPr>
              <w:br w:type="textWrapping"/>
            </w:r>
            <w:r>
              <w:rPr>
                <w:rStyle w:val="11"/>
                <w:rFonts w:hint="eastAsia"/>
              </w:rPr>
              <w:t>1）使用本品应采取相应的安全防护措施，穿防护服，戴防护口罩、手套等，避免皮肤接触及口鼻吸入。使用中不可吸烟、饮水及吃东西，使用后及时用大量清水和肥皂清洗手、脸等暴露部位皮肤并更换衣物。2）本品对鱼类、溞、藻类等水生生物有毒，远离水产养殖区、河塘等水体施药，禁止在河塘等水体中清洗施药器具。3）建议与其它作用机制的杀菌剂轮换使用。4）用过的容器应妥善处理，不可做他用，也不可随意丢弃。5）禁止儿童、孕妇及哺乳期的妇女接触。过敏者禁用，使用中有任何不良反应请及时就医。</w:t>
            </w:r>
          </w:p>
        </w:tc>
      </w:tr>
      <w:tr w14:paraId="254A224F">
        <w:tblPrEx>
          <w:tblCellMar>
            <w:top w:w="0" w:type="dxa"/>
            <w:left w:w="0" w:type="dxa"/>
            <w:bottom w:w="0" w:type="dxa"/>
            <w:right w:w="0" w:type="dxa"/>
          </w:tblCellMar>
        </w:tblPrEx>
        <w:trPr>
          <w:wBefore w:w="0" w:type="auto"/>
          <w:tblCellSpacing w:w="0" w:type="dxa"/>
        </w:trPr>
        <w:tc>
          <w:tcPr>
            <w:tcW w:w="0" w:type="auto"/>
            <w:noWrap w:val="0"/>
            <w:vAlign w:val="center"/>
          </w:tcPr>
          <w:p w14:paraId="604E8D04">
            <w:r>
              <w:rPr>
                <w:rStyle w:val="10"/>
                <w:rFonts w:hint="eastAsia"/>
              </w:rPr>
              <w:t>中毒急救措施：</w:t>
            </w:r>
            <w:r>
              <w:rPr>
                <w:rFonts w:hint="eastAsia"/>
              </w:rPr>
              <w:br w:type="textWrapping"/>
            </w:r>
            <w:r>
              <w:rPr>
                <w:rStyle w:val="11"/>
                <w:rFonts w:hint="eastAsia"/>
              </w:rPr>
              <w:t xml:space="preserve">该产品对眼睛有刺激性，使用时避免接触眼睛。急救措施：使用中或使用后如果感觉不适，应立即停止工作，采取急救措施，并携带标签送医院就诊。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尚无特效解毒剂，对症治疗。 </w:t>
            </w:r>
          </w:p>
        </w:tc>
      </w:tr>
      <w:tr w14:paraId="7D7692B8">
        <w:tblPrEx>
          <w:tblCellMar>
            <w:top w:w="0" w:type="dxa"/>
            <w:left w:w="0" w:type="dxa"/>
            <w:bottom w:w="0" w:type="dxa"/>
            <w:right w:w="0" w:type="dxa"/>
          </w:tblCellMar>
        </w:tblPrEx>
        <w:trPr>
          <w:wBefore w:w="0" w:type="auto"/>
          <w:tblCellSpacing w:w="0" w:type="dxa"/>
        </w:trPr>
        <w:tc>
          <w:tcPr>
            <w:tcW w:w="0" w:type="auto"/>
            <w:noWrap w:val="0"/>
            <w:vAlign w:val="center"/>
          </w:tcPr>
          <w:p w14:paraId="52BEFC6D">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本品应贮存在干燥、阴凉、通风、防雨处，远离火源或热源。置于儿童接触不到的地方。不能与食品、饮料、粮食、饲料等混合储存。本品为药肥混剂。</w:t>
            </w:r>
          </w:p>
        </w:tc>
      </w:tr>
      <w:tr w14:paraId="1FA8661D">
        <w:tblPrEx>
          <w:tblCellMar>
            <w:top w:w="0" w:type="dxa"/>
            <w:left w:w="0" w:type="dxa"/>
            <w:bottom w:w="0" w:type="dxa"/>
            <w:right w:w="0" w:type="dxa"/>
          </w:tblCellMar>
        </w:tblPrEx>
        <w:trPr>
          <w:wBefore w:w="0" w:type="auto"/>
          <w:tblCellSpacing w:w="0" w:type="dxa"/>
        </w:trPr>
        <w:tc>
          <w:tcPr>
            <w:tcW w:w="0" w:type="auto"/>
            <w:noWrap w:val="0"/>
            <w:vAlign w:val="center"/>
          </w:tcPr>
          <w:p w14:paraId="0CF508F5">
            <w:r>
              <w:rPr>
                <w:rStyle w:val="10"/>
                <w:rFonts w:hint="eastAsia"/>
              </w:rPr>
              <w:t>质量保证期：</w:t>
            </w:r>
            <w:r>
              <w:rPr>
                <w:rStyle w:val="11"/>
                <w:rFonts w:hint="eastAsia"/>
              </w:rPr>
              <w:t>2年</w:t>
            </w:r>
          </w:p>
        </w:tc>
      </w:tr>
      <w:tr w14:paraId="65EE6DBD">
        <w:tblPrEx>
          <w:tblCellMar>
            <w:top w:w="0" w:type="dxa"/>
            <w:left w:w="0" w:type="dxa"/>
            <w:bottom w:w="0" w:type="dxa"/>
            <w:right w:w="0" w:type="dxa"/>
          </w:tblCellMar>
        </w:tblPrEx>
        <w:trPr>
          <w:wBefore w:w="0" w:type="auto"/>
          <w:tblCellSpacing w:w="0" w:type="dxa"/>
        </w:trPr>
        <w:tc>
          <w:tcPr>
            <w:tcW w:w="0" w:type="auto"/>
            <w:noWrap w:val="0"/>
            <w:vAlign w:val="center"/>
          </w:tcPr>
          <w:p w14:paraId="392D4E7B">
            <w:r>
              <w:rPr>
                <w:rStyle w:val="10"/>
                <w:rFonts w:hint="eastAsia"/>
              </w:rPr>
              <w:t>备注：</w:t>
            </w:r>
          </w:p>
        </w:tc>
      </w:tr>
    </w:tbl>
    <w:p w14:paraId="52A818C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AB49F2">
        <w:tblPrEx>
          <w:tblCellMar>
            <w:top w:w="0" w:type="dxa"/>
            <w:left w:w="0" w:type="dxa"/>
            <w:bottom w:w="0" w:type="dxa"/>
            <w:right w:w="0" w:type="dxa"/>
          </w:tblCellMar>
        </w:tblPrEx>
        <w:trPr>
          <w:wBefore w:w="0" w:type="auto"/>
          <w:tblCellSpacing w:w="0" w:type="dxa"/>
        </w:trPr>
        <w:tc>
          <w:tcPr>
            <w:tcW w:w="0" w:type="auto"/>
            <w:noWrap w:val="0"/>
            <w:vAlign w:val="center"/>
          </w:tcPr>
          <w:p w14:paraId="3F0AE305">
            <w:r>
              <w:rPr>
                <w:rStyle w:val="10"/>
                <w:rFonts w:hint="eastAsia"/>
              </w:rPr>
              <w:t>登记证号：</w:t>
            </w:r>
            <w:r>
              <w:rPr>
                <w:rFonts w:hint="eastAsia"/>
              </w:rPr>
              <w:t>PD20212392</w:t>
            </w:r>
          </w:p>
        </w:tc>
      </w:tr>
      <w:tr w14:paraId="6996A3C7">
        <w:tblPrEx>
          <w:tblCellMar>
            <w:top w:w="0" w:type="dxa"/>
            <w:left w:w="0" w:type="dxa"/>
            <w:bottom w:w="0" w:type="dxa"/>
            <w:right w:w="0" w:type="dxa"/>
          </w:tblCellMar>
        </w:tblPrEx>
        <w:trPr>
          <w:wBefore w:w="0" w:type="auto"/>
          <w:tblCellSpacing w:w="0" w:type="dxa"/>
        </w:trPr>
        <w:tc>
          <w:tcPr>
            <w:tcW w:w="0" w:type="auto"/>
            <w:noWrap w:val="0"/>
            <w:vAlign w:val="center"/>
          </w:tcPr>
          <w:p w14:paraId="0E069487">
            <w:r>
              <w:rPr>
                <w:rStyle w:val="10"/>
                <w:rFonts w:hint="eastAsia"/>
              </w:rPr>
              <w:t>登记证持有人：</w:t>
            </w:r>
            <w:r>
              <w:rPr>
                <w:rFonts w:hint="eastAsia"/>
              </w:rPr>
              <w:t>山东奥坤作物科学股份有限公司</w:t>
            </w:r>
          </w:p>
        </w:tc>
      </w:tr>
      <w:tr w14:paraId="49DC2B48">
        <w:tblPrEx>
          <w:tblCellMar>
            <w:top w:w="0" w:type="dxa"/>
            <w:left w:w="0" w:type="dxa"/>
            <w:bottom w:w="0" w:type="dxa"/>
            <w:right w:w="0" w:type="dxa"/>
          </w:tblCellMar>
        </w:tblPrEx>
        <w:trPr>
          <w:wBefore w:w="0" w:type="auto"/>
          <w:tblCellSpacing w:w="0" w:type="dxa"/>
        </w:trPr>
        <w:tc>
          <w:tcPr>
            <w:tcW w:w="0" w:type="auto"/>
            <w:noWrap w:val="0"/>
            <w:vAlign w:val="center"/>
          </w:tcPr>
          <w:p w14:paraId="1CB923FD">
            <w:r>
              <w:rPr>
                <w:rStyle w:val="10"/>
                <w:rFonts w:hint="eastAsia"/>
              </w:rPr>
              <w:t>农药名称：</w:t>
            </w:r>
            <w:r>
              <w:rPr>
                <w:rFonts w:hint="eastAsia"/>
              </w:rPr>
              <w:t>氟啶虫酰胺·联苯菊酯</w:t>
            </w:r>
          </w:p>
        </w:tc>
      </w:tr>
      <w:tr w14:paraId="52BA4E56">
        <w:tblPrEx>
          <w:tblCellMar>
            <w:top w:w="0" w:type="dxa"/>
            <w:left w:w="0" w:type="dxa"/>
            <w:bottom w:w="0" w:type="dxa"/>
            <w:right w:w="0" w:type="dxa"/>
          </w:tblCellMar>
        </w:tblPrEx>
        <w:trPr>
          <w:wBefore w:w="0" w:type="auto"/>
          <w:tblCellSpacing w:w="0" w:type="dxa"/>
        </w:trPr>
        <w:tc>
          <w:tcPr>
            <w:tcW w:w="0" w:type="auto"/>
            <w:noWrap w:val="0"/>
            <w:vAlign w:val="center"/>
          </w:tcPr>
          <w:p w14:paraId="09DD2C88">
            <w:r>
              <w:rPr>
                <w:rStyle w:val="10"/>
                <w:rFonts w:hint="eastAsia"/>
              </w:rPr>
              <w:t>剂型：</w:t>
            </w:r>
            <w:r>
              <w:rPr>
                <w:rFonts w:hint="eastAsia"/>
              </w:rPr>
              <w:t>悬浮剂</w:t>
            </w:r>
          </w:p>
        </w:tc>
      </w:tr>
      <w:tr w14:paraId="1F4EE1C3">
        <w:tblPrEx>
          <w:tblCellMar>
            <w:top w:w="0" w:type="dxa"/>
            <w:left w:w="0" w:type="dxa"/>
            <w:bottom w:w="0" w:type="dxa"/>
            <w:right w:w="0" w:type="dxa"/>
          </w:tblCellMar>
        </w:tblPrEx>
        <w:trPr>
          <w:wBefore w:w="0" w:type="auto"/>
          <w:tblCellSpacing w:w="0" w:type="dxa"/>
        </w:trPr>
        <w:tc>
          <w:tcPr>
            <w:tcW w:w="0" w:type="auto"/>
            <w:noWrap w:val="0"/>
            <w:vAlign w:val="center"/>
          </w:tcPr>
          <w:p w14:paraId="01980F60">
            <w:r>
              <w:rPr>
                <w:rStyle w:val="10"/>
                <w:rFonts w:hint="eastAsia"/>
              </w:rPr>
              <w:t>毒性及其标识：</w:t>
            </w:r>
            <w:r>
              <w:rPr>
                <w:rFonts w:hint="eastAsia"/>
              </w:rPr>
              <w:t xml:space="preserve"> </w:t>
            </w:r>
            <w:r>
              <w:rPr>
                <w:lang/>
              </w:rPr>
              <w:drawing>
                <wp:inline distT="0" distB="0" distL="114300" distR="114300">
                  <wp:extent cx="476250" cy="323850"/>
                  <wp:effectExtent l="0" t="0" r="0" b="0"/>
                  <wp:docPr id="135" name="图片 1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8775DB1">
        <w:tblPrEx>
          <w:tblCellMar>
            <w:top w:w="0" w:type="dxa"/>
            <w:left w:w="0" w:type="dxa"/>
            <w:bottom w:w="0" w:type="dxa"/>
            <w:right w:w="0" w:type="dxa"/>
          </w:tblCellMar>
        </w:tblPrEx>
        <w:trPr>
          <w:wBefore w:w="0" w:type="auto"/>
          <w:tblCellSpacing w:w="0" w:type="dxa"/>
        </w:trPr>
        <w:tc>
          <w:tcPr>
            <w:tcW w:w="0" w:type="auto"/>
            <w:noWrap w:val="0"/>
            <w:vAlign w:val="center"/>
          </w:tcPr>
          <w:p w14:paraId="6C584D28">
            <w:r>
              <w:rPr>
                <w:rStyle w:val="10"/>
                <w:rFonts w:hint="eastAsia"/>
              </w:rPr>
              <w:t>总有效成分含量：</w:t>
            </w:r>
            <w:r>
              <w:rPr>
                <w:rFonts w:hint="eastAsia"/>
              </w:rPr>
              <w:t>35%</w:t>
            </w:r>
          </w:p>
        </w:tc>
      </w:tr>
      <w:tr w14:paraId="764A09E3">
        <w:tblPrEx>
          <w:tblCellMar>
            <w:top w:w="0" w:type="dxa"/>
            <w:left w:w="0" w:type="dxa"/>
            <w:bottom w:w="0" w:type="dxa"/>
            <w:right w:w="0" w:type="dxa"/>
          </w:tblCellMar>
        </w:tblPrEx>
        <w:trPr>
          <w:wBefore w:w="0" w:type="auto"/>
          <w:tblCellSpacing w:w="0" w:type="dxa"/>
        </w:trPr>
        <w:tc>
          <w:tcPr>
            <w:tcW w:w="0" w:type="auto"/>
            <w:noWrap w:val="0"/>
            <w:vAlign w:val="center"/>
          </w:tcPr>
          <w:p w14:paraId="3C79880B">
            <w:r>
              <w:rPr>
                <w:rFonts w:hint="eastAsia"/>
              </w:rPr>
              <w:t xml:space="preserve">有效成分及其含量： </w:t>
            </w:r>
          </w:p>
          <w:p w14:paraId="268E18EE">
            <w:r>
              <w:rPr>
                <w:rFonts w:hint="eastAsia"/>
              </w:rPr>
              <w:t xml:space="preserve">    联苯菊酯15%    氟啶虫酰胺15%    </w:t>
            </w:r>
          </w:p>
        </w:tc>
      </w:tr>
      <w:tr w14:paraId="69D2E8F6">
        <w:tblPrEx>
          <w:tblCellMar>
            <w:top w:w="0" w:type="dxa"/>
            <w:left w:w="0" w:type="dxa"/>
            <w:bottom w:w="0" w:type="dxa"/>
            <w:right w:w="0" w:type="dxa"/>
          </w:tblCellMar>
        </w:tblPrEx>
        <w:trPr>
          <w:wBefore w:w="0" w:type="auto"/>
          <w:tblCellSpacing w:w="0" w:type="dxa"/>
        </w:trPr>
        <w:tc>
          <w:tcPr>
            <w:tcW w:w="0" w:type="auto"/>
            <w:noWrap w:val="0"/>
            <w:vAlign w:val="center"/>
          </w:tcPr>
          <w:p w14:paraId="2DD321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D9A3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D3F4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4A64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B31CD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548BA3">
                  <w:r>
                    <w:rPr>
                      <w:rStyle w:val="11"/>
                      <w:rFonts w:hint="eastAsia"/>
                    </w:rPr>
                    <w:t>施用方式</w:t>
                  </w:r>
                </w:p>
              </w:tc>
            </w:tr>
            <w:tr w14:paraId="64F848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9CC54E">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FADBB2">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5ED15C">
                  <w:r>
                    <w:rPr>
                      <w:rStyle w:val="11"/>
                      <w:rFonts w:hint="eastAsia"/>
                    </w:rPr>
                    <w:t>10-15毫升/亩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11DA49">
                  <w:r>
                    <w:rPr>
                      <w:rStyle w:val="11"/>
                      <w:rFonts w:hint="eastAsia"/>
                    </w:rPr>
                    <w:t>喷雾</w:t>
                  </w:r>
                </w:p>
              </w:tc>
            </w:tr>
          </w:tbl>
          <w:p w14:paraId="5E054429">
            <w:pPr>
              <w:rPr>
                <w:rFonts w:ascii="Times New Roman" w:hAnsi="Times New Roman" w:cs="Times New Roman"/>
                <w:sz w:val="20"/>
                <w:szCs w:val="20"/>
              </w:rPr>
            </w:pPr>
          </w:p>
        </w:tc>
      </w:tr>
      <w:tr w14:paraId="31BF7EC2">
        <w:tblPrEx>
          <w:tblCellMar>
            <w:top w:w="0" w:type="dxa"/>
            <w:left w:w="0" w:type="dxa"/>
            <w:bottom w:w="0" w:type="dxa"/>
            <w:right w:w="0" w:type="dxa"/>
          </w:tblCellMar>
        </w:tblPrEx>
        <w:trPr>
          <w:wBefore w:w="0" w:type="auto"/>
          <w:tblCellSpacing w:w="0" w:type="dxa"/>
        </w:trPr>
        <w:tc>
          <w:tcPr>
            <w:tcW w:w="0" w:type="auto"/>
            <w:noWrap w:val="0"/>
            <w:vAlign w:val="center"/>
          </w:tcPr>
          <w:p w14:paraId="6DA26443">
            <w:r>
              <w:rPr>
                <w:rStyle w:val="10"/>
                <w:rFonts w:hint="eastAsia"/>
              </w:rPr>
              <w:t>使用技术要求:</w:t>
            </w:r>
            <w:r>
              <w:rPr>
                <w:rFonts w:hint="eastAsia"/>
              </w:rPr>
              <w:br w:type="textWrapping"/>
            </w:r>
            <w:r>
              <w:rPr>
                <w:rStyle w:val="11"/>
                <w:rFonts w:hint="eastAsia"/>
              </w:rPr>
              <w:t>1. 本品于棉花蚜虫发生始盛期喷雾1次，注意喷雾均匀。 2. 大风天或预计1小时内降雨，请勿施药。 3. 本品在棉花上使用的安全间隔期为21天，每季最多使用1次。</w:t>
            </w:r>
          </w:p>
        </w:tc>
      </w:tr>
      <w:tr w14:paraId="2A7431EC">
        <w:tblPrEx>
          <w:tblCellMar>
            <w:top w:w="0" w:type="dxa"/>
            <w:left w:w="0" w:type="dxa"/>
            <w:bottom w:w="0" w:type="dxa"/>
            <w:right w:w="0" w:type="dxa"/>
          </w:tblCellMar>
        </w:tblPrEx>
        <w:trPr>
          <w:wBefore w:w="0" w:type="auto"/>
          <w:tblCellSpacing w:w="0" w:type="dxa"/>
        </w:trPr>
        <w:tc>
          <w:tcPr>
            <w:tcW w:w="0" w:type="auto"/>
            <w:noWrap w:val="0"/>
            <w:vAlign w:val="center"/>
          </w:tcPr>
          <w:p w14:paraId="22B8D0CC">
            <w:r>
              <w:rPr>
                <w:rStyle w:val="10"/>
                <w:rFonts w:hint="eastAsia"/>
              </w:rPr>
              <w:t>产品性能:</w:t>
            </w:r>
            <w:r>
              <w:rPr>
                <w:rFonts w:hint="eastAsia"/>
              </w:rPr>
              <w:br w:type="textWrapping"/>
            </w:r>
            <w:r>
              <w:rPr>
                <w:rStyle w:val="11"/>
                <w:rFonts w:hint="eastAsia"/>
              </w:rPr>
              <w:t>联苯菊酯是一种高效合成拟除虫菊酯类杀虫、杀螨剂，具有触杀和胃毒作用。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二者复配可有效防治棉花蚜虫。</w:t>
            </w:r>
          </w:p>
        </w:tc>
      </w:tr>
      <w:tr w14:paraId="552615EA">
        <w:tblPrEx>
          <w:tblCellMar>
            <w:top w:w="0" w:type="dxa"/>
            <w:left w:w="0" w:type="dxa"/>
            <w:bottom w:w="0" w:type="dxa"/>
            <w:right w:w="0" w:type="dxa"/>
          </w:tblCellMar>
        </w:tblPrEx>
        <w:trPr>
          <w:wBefore w:w="0" w:type="auto"/>
          <w:tblCellSpacing w:w="0" w:type="dxa"/>
        </w:trPr>
        <w:tc>
          <w:tcPr>
            <w:tcW w:w="0" w:type="auto"/>
            <w:noWrap w:val="0"/>
            <w:vAlign w:val="center"/>
          </w:tcPr>
          <w:p w14:paraId="47C1EF48">
            <w:r>
              <w:rPr>
                <w:rStyle w:val="10"/>
                <w:rFonts w:hint="eastAsia"/>
              </w:rPr>
              <w:t>注意事项：</w:t>
            </w:r>
            <w:r>
              <w:rPr>
                <w:rFonts w:hint="eastAsia"/>
              </w:rPr>
              <w:br w:type="textWrapping"/>
            </w:r>
            <w:r>
              <w:rPr>
                <w:rStyle w:val="11"/>
                <w:rFonts w:hint="eastAsia"/>
              </w:rPr>
              <w:t>1. 建议与其他不同作用机制的杀虫剂轮换使用，以延缓抗性产生。2. 本品对眼睛有刺激性，使用时避免接触眼睛，配药时应在通风处进行，操作人员需提前做好保护措施，穿戴长衣、长裤、帽子、口罩、手套等防护措施。严禁抽烟或饮食；在施药过程中，避免药液接触皮肤、眼睛和污染衣物，避免吸入药液；施药后应用肥皂和清水彻底清洗暴露在外的皮肤，并及时更换衣物。 3. 水产养殖区、河塘等水体附近禁用，禁止在河塘等水域清洗施药器具。4. （周围）开花植物花期禁用，施药期间应密切关注对附近蜂群的影响；桑园及蚕室附近禁用；赤眼蜂、瓢虫等天敌放飞区域禁用。5. 用过的容器应妥善处理，不可做他用，也不可随意丢弃。6. 孕妇及哺乳期妇女避免接触本产品。7. 避免与氧化剂接触。</w:t>
            </w:r>
          </w:p>
        </w:tc>
      </w:tr>
      <w:tr w14:paraId="0BA5566A">
        <w:tblPrEx>
          <w:tblCellMar>
            <w:top w:w="0" w:type="dxa"/>
            <w:left w:w="0" w:type="dxa"/>
            <w:bottom w:w="0" w:type="dxa"/>
            <w:right w:w="0" w:type="dxa"/>
          </w:tblCellMar>
        </w:tblPrEx>
        <w:trPr>
          <w:wBefore w:w="0" w:type="auto"/>
          <w:tblCellSpacing w:w="0" w:type="dxa"/>
        </w:trPr>
        <w:tc>
          <w:tcPr>
            <w:tcW w:w="0" w:type="auto"/>
            <w:noWrap w:val="0"/>
            <w:vAlign w:val="center"/>
          </w:tcPr>
          <w:p w14:paraId="052A26BF">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注意：对昏迷病人，切勿经口喂入任何东西或引吐。无专用解毒剂，对症治疗。</w:t>
            </w:r>
          </w:p>
        </w:tc>
      </w:tr>
      <w:tr w14:paraId="2CF1BF4C">
        <w:tblPrEx>
          <w:tblCellMar>
            <w:top w:w="0" w:type="dxa"/>
            <w:left w:w="0" w:type="dxa"/>
            <w:bottom w:w="0" w:type="dxa"/>
            <w:right w:w="0" w:type="dxa"/>
          </w:tblCellMar>
        </w:tblPrEx>
        <w:trPr>
          <w:wBefore w:w="0" w:type="auto"/>
          <w:tblCellSpacing w:w="0" w:type="dxa"/>
        </w:trPr>
        <w:tc>
          <w:tcPr>
            <w:tcW w:w="0" w:type="auto"/>
            <w:noWrap w:val="0"/>
            <w:vAlign w:val="center"/>
          </w:tcPr>
          <w:p w14:paraId="1FEB03C6">
            <w:r>
              <w:rPr>
                <w:rStyle w:val="10"/>
                <w:rFonts w:hint="eastAsia"/>
              </w:rPr>
              <w:t>储存和运输方法：</w:t>
            </w:r>
            <w:r>
              <w:rPr>
                <w:rFonts w:hint="eastAsia"/>
              </w:rPr>
              <w:br w:type="textWrapping"/>
            </w:r>
            <w:r>
              <w:rPr>
                <w:rStyle w:val="11"/>
                <w:rFonts w:hint="eastAsia"/>
              </w:rPr>
              <w:t>1.本品属易燃液体，应贮存在干燥、阴凉、通风、防雨处，远离火源或热源。2.置于儿童、无关人员及动物触及不到之处，并加锁保存。3.勿与食品、饮料、粮食、饲料等同贮同运。4.运输时防雨防潮，装卸时轻卸轻放。</w:t>
            </w:r>
          </w:p>
        </w:tc>
      </w:tr>
      <w:tr w14:paraId="1CE328F8">
        <w:tblPrEx>
          <w:tblCellMar>
            <w:top w:w="0" w:type="dxa"/>
            <w:left w:w="0" w:type="dxa"/>
            <w:bottom w:w="0" w:type="dxa"/>
            <w:right w:w="0" w:type="dxa"/>
          </w:tblCellMar>
        </w:tblPrEx>
        <w:trPr>
          <w:wBefore w:w="0" w:type="auto"/>
          <w:tblCellSpacing w:w="0" w:type="dxa"/>
        </w:trPr>
        <w:tc>
          <w:tcPr>
            <w:tcW w:w="0" w:type="auto"/>
            <w:noWrap w:val="0"/>
            <w:vAlign w:val="center"/>
          </w:tcPr>
          <w:p w14:paraId="1C17ED8F">
            <w:r>
              <w:rPr>
                <w:rStyle w:val="10"/>
                <w:rFonts w:hint="eastAsia"/>
              </w:rPr>
              <w:t>质量保证期：</w:t>
            </w:r>
            <w:r>
              <w:rPr>
                <w:rStyle w:val="11"/>
                <w:rFonts w:hint="eastAsia"/>
              </w:rPr>
              <w:t>2年</w:t>
            </w:r>
          </w:p>
        </w:tc>
      </w:tr>
      <w:tr w14:paraId="16D9729A">
        <w:tblPrEx>
          <w:tblCellMar>
            <w:top w:w="0" w:type="dxa"/>
            <w:left w:w="0" w:type="dxa"/>
            <w:bottom w:w="0" w:type="dxa"/>
            <w:right w:w="0" w:type="dxa"/>
          </w:tblCellMar>
        </w:tblPrEx>
        <w:trPr>
          <w:wBefore w:w="0" w:type="auto"/>
          <w:tblCellSpacing w:w="0" w:type="dxa"/>
        </w:trPr>
        <w:tc>
          <w:tcPr>
            <w:tcW w:w="0" w:type="auto"/>
            <w:noWrap w:val="0"/>
            <w:vAlign w:val="center"/>
          </w:tcPr>
          <w:p w14:paraId="2F72087A">
            <w:r>
              <w:rPr>
                <w:rStyle w:val="10"/>
                <w:rFonts w:hint="eastAsia"/>
              </w:rPr>
              <w:t>备注：</w:t>
            </w:r>
          </w:p>
        </w:tc>
      </w:tr>
    </w:tbl>
    <w:p w14:paraId="1A2968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AB14B1">
        <w:tblPrEx>
          <w:tblCellMar>
            <w:top w:w="0" w:type="dxa"/>
            <w:left w:w="0" w:type="dxa"/>
            <w:bottom w:w="0" w:type="dxa"/>
            <w:right w:w="0" w:type="dxa"/>
          </w:tblCellMar>
        </w:tblPrEx>
        <w:trPr>
          <w:wBefore w:w="0" w:type="auto"/>
          <w:tblCellSpacing w:w="0" w:type="dxa"/>
        </w:trPr>
        <w:tc>
          <w:tcPr>
            <w:tcW w:w="0" w:type="auto"/>
            <w:noWrap w:val="0"/>
            <w:vAlign w:val="center"/>
          </w:tcPr>
          <w:p w14:paraId="0051DAE2">
            <w:r>
              <w:rPr>
                <w:rStyle w:val="10"/>
                <w:rFonts w:hint="eastAsia"/>
              </w:rPr>
              <w:t>登记证号：</w:t>
            </w:r>
            <w:r>
              <w:rPr>
                <w:rFonts w:hint="eastAsia"/>
              </w:rPr>
              <w:t>PD20212526</w:t>
            </w:r>
          </w:p>
        </w:tc>
      </w:tr>
      <w:tr w14:paraId="7DF899E1">
        <w:tblPrEx>
          <w:tblCellMar>
            <w:top w:w="0" w:type="dxa"/>
            <w:left w:w="0" w:type="dxa"/>
            <w:bottom w:w="0" w:type="dxa"/>
            <w:right w:w="0" w:type="dxa"/>
          </w:tblCellMar>
        </w:tblPrEx>
        <w:trPr>
          <w:wBefore w:w="0" w:type="auto"/>
          <w:tblCellSpacing w:w="0" w:type="dxa"/>
        </w:trPr>
        <w:tc>
          <w:tcPr>
            <w:tcW w:w="0" w:type="auto"/>
            <w:noWrap w:val="0"/>
            <w:vAlign w:val="center"/>
          </w:tcPr>
          <w:p w14:paraId="51C83020">
            <w:r>
              <w:rPr>
                <w:rStyle w:val="10"/>
                <w:rFonts w:hint="eastAsia"/>
              </w:rPr>
              <w:t>登记证持有人：</w:t>
            </w:r>
            <w:r>
              <w:rPr>
                <w:rFonts w:hint="eastAsia"/>
              </w:rPr>
              <w:t>山东奥坤作物科学股份有限公司</w:t>
            </w:r>
          </w:p>
        </w:tc>
      </w:tr>
      <w:tr w14:paraId="73EA07E8">
        <w:tblPrEx>
          <w:tblCellMar>
            <w:top w:w="0" w:type="dxa"/>
            <w:left w:w="0" w:type="dxa"/>
            <w:bottom w:w="0" w:type="dxa"/>
            <w:right w:w="0" w:type="dxa"/>
          </w:tblCellMar>
        </w:tblPrEx>
        <w:trPr>
          <w:wBefore w:w="0" w:type="auto"/>
          <w:tblCellSpacing w:w="0" w:type="dxa"/>
        </w:trPr>
        <w:tc>
          <w:tcPr>
            <w:tcW w:w="0" w:type="auto"/>
            <w:noWrap w:val="0"/>
            <w:vAlign w:val="center"/>
          </w:tcPr>
          <w:p w14:paraId="695C0FFA">
            <w:r>
              <w:rPr>
                <w:rStyle w:val="10"/>
                <w:rFonts w:hint="eastAsia"/>
              </w:rPr>
              <w:t>农药名称：</w:t>
            </w:r>
            <w:r>
              <w:rPr>
                <w:rFonts w:hint="eastAsia"/>
              </w:rPr>
              <w:t>砜·喹·嗪草酮</w:t>
            </w:r>
          </w:p>
        </w:tc>
      </w:tr>
      <w:tr w14:paraId="44B1677B">
        <w:tblPrEx>
          <w:tblCellMar>
            <w:top w:w="0" w:type="dxa"/>
            <w:left w:w="0" w:type="dxa"/>
            <w:bottom w:w="0" w:type="dxa"/>
            <w:right w:w="0" w:type="dxa"/>
          </w:tblCellMar>
        </w:tblPrEx>
        <w:trPr>
          <w:wBefore w:w="0" w:type="auto"/>
          <w:tblCellSpacing w:w="0" w:type="dxa"/>
        </w:trPr>
        <w:tc>
          <w:tcPr>
            <w:tcW w:w="0" w:type="auto"/>
            <w:noWrap w:val="0"/>
            <w:vAlign w:val="center"/>
          </w:tcPr>
          <w:p w14:paraId="2329A39F">
            <w:r>
              <w:rPr>
                <w:rStyle w:val="10"/>
                <w:rFonts w:hint="eastAsia"/>
              </w:rPr>
              <w:t>剂型：</w:t>
            </w:r>
            <w:r>
              <w:rPr>
                <w:rFonts w:hint="eastAsia"/>
              </w:rPr>
              <w:t>可分散油悬浮剂</w:t>
            </w:r>
          </w:p>
        </w:tc>
      </w:tr>
      <w:tr w14:paraId="307D7DC6">
        <w:tblPrEx>
          <w:tblCellMar>
            <w:top w:w="0" w:type="dxa"/>
            <w:left w:w="0" w:type="dxa"/>
            <w:bottom w:w="0" w:type="dxa"/>
            <w:right w:w="0" w:type="dxa"/>
          </w:tblCellMar>
        </w:tblPrEx>
        <w:trPr>
          <w:wBefore w:w="0" w:type="auto"/>
          <w:tblCellSpacing w:w="0" w:type="dxa"/>
        </w:trPr>
        <w:tc>
          <w:tcPr>
            <w:tcW w:w="0" w:type="auto"/>
            <w:noWrap w:val="0"/>
            <w:vAlign w:val="center"/>
          </w:tcPr>
          <w:p w14:paraId="06FE0491">
            <w:r>
              <w:rPr>
                <w:rStyle w:val="10"/>
                <w:rFonts w:hint="eastAsia"/>
              </w:rPr>
              <w:t>毒性及其标识：</w:t>
            </w:r>
            <w:r>
              <w:rPr>
                <w:rFonts w:hint="eastAsia"/>
              </w:rPr>
              <w:t xml:space="preserve"> </w:t>
            </w:r>
            <w:r>
              <w:rPr>
                <w:lang/>
              </w:rPr>
              <w:drawing>
                <wp:inline distT="0" distB="0" distL="114300" distR="114300">
                  <wp:extent cx="476250" cy="323850"/>
                  <wp:effectExtent l="0" t="0" r="0" b="0"/>
                  <wp:docPr id="136" name="图片 1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0F036B">
        <w:tblPrEx>
          <w:tblCellMar>
            <w:top w:w="0" w:type="dxa"/>
            <w:left w:w="0" w:type="dxa"/>
            <w:bottom w:w="0" w:type="dxa"/>
            <w:right w:w="0" w:type="dxa"/>
          </w:tblCellMar>
        </w:tblPrEx>
        <w:trPr>
          <w:wBefore w:w="0" w:type="auto"/>
          <w:tblCellSpacing w:w="0" w:type="dxa"/>
        </w:trPr>
        <w:tc>
          <w:tcPr>
            <w:tcW w:w="0" w:type="auto"/>
            <w:noWrap w:val="0"/>
            <w:vAlign w:val="center"/>
          </w:tcPr>
          <w:p w14:paraId="5FCF6D4A">
            <w:r>
              <w:rPr>
                <w:rStyle w:val="10"/>
                <w:rFonts w:hint="eastAsia"/>
              </w:rPr>
              <w:t>总有效成分含量：</w:t>
            </w:r>
            <w:r>
              <w:rPr>
                <w:rFonts w:hint="eastAsia"/>
              </w:rPr>
              <w:t>26%</w:t>
            </w:r>
          </w:p>
        </w:tc>
      </w:tr>
      <w:tr w14:paraId="406D8897">
        <w:tblPrEx>
          <w:tblCellMar>
            <w:top w:w="0" w:type="dxa"/>
            <w:left w:w="0" w:type="dxa"/>
            <w:bottom w:w="0" w:type="dxa"/>
            <w:right w:w="0" w:type="dxa"/>
          </w:tblCellMar>
        </w:tblPrEx>
        <w:trPr>
          <w:wBefore w:w="0" w:type="auto"/>
          <w:tblCellSpacing w:w="0" w:type="dxa"/>
        </w:trPr>
        <w:tc>
          <w:tcPr>
            <w:tcW w:w="0" w:type="auto"/>
            <w:noWrap w:val="0"/>
            <w:vAlign w:val="center"/>
          </w:tcPr>
          <w:p w14:paraId="617458BE">
            <w:r>
              <w:rPr>
                <w:rFonts w:hint="eastAsia"/>
              </w:rPr>
              <w:t xml:space="preserve">有效成分及其含量： </w:t>
            </w:r>
          </w:p>
          <w:p w14:paraId="44F18A6B">
            <w:r>
              <w:rPr>
                <w:rFonts w:hint="eastAsia"/>
              </w:rPr>
              <w:t xml:space="preserve">    砜嘧磺隆1.5%    精喹禾灵5%    嗪草酮19.5%    </w:t>
            </w:r>
          </w:p>
        </w:tc>
      </w:tr>
      <w:tr w14:paraId="14A3FA29">
        <w:tblPrEx>
          <w:tblCellMar>
            <w:top w:w="0" w:type="dxa"/>
            <w:left w:w="0" w:type="dxa"/>
            <w:bottom w:w="0" w:type="dxa"/>
            <w:right w:w="0" w:type="dxa"/>
          </w:tblCellMar>
        </w:tblPrEx>
        <w:trPr>
          <w:wBefore w:w="0" w:type="auto"/>
          <w:tblCellSpacing w:w="0" w:type="dxa"/>
        </w:trPr>
        <w:tc>
          <w:tcPr>
            <w:tcW w:w="0" w:type="auto"/>
            <w:noWrap w:val="0"/>
            <w:vAlign w:val="center"/>
          </w:tcPr>
          <w:p w14:paraId="6EF522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1242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93B97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7CEF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5D2A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BBEE78">
                  <w:r>
                    <w:rPr>
                      <w:rStyle w:val="11"/>
                      <w:rFonts w:hint="eastAsia"/>
                    </w:rPr>
                    <w:t>施用方式</w:t>
                  </w:r>
                </w:p>
              </w:tc>
            </w:tr>
            <w:tr w14:paraId="549E82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25A23E">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08CFC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3FBE2E">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0CCC5E">
                  <w:r>
                    <w:rPr>
                      <w:rStyle w:val="11"/>
                      <w:rFonts w:hint="eastAsia"/>
                    </w:rPr>
                    <w:t>定向茎叶喷雾</w:t>
                  </w:r>
                </w:p>
              </w:tc>
            </w:tr>
          </w:tbl>
          <w:p w14:paraId="1B850FEB">
            <w:pPr>
              <w:rPr>
                <w:rFonts w:ascii="Times New Roman" w:hAnsi="Times New Roman" w:cs="Times New Roman"/>
                <w:sz w:val="20"/>
                <w:szCs w:val="20"/>
              </w:rPr>
            </w:pPr>
          </w:p>
        </w:tc>
      </w:tr>
      <w:tr w14:paraId="6AAEF185">
        <w:tblPrEx>
          <w:tblCellMar>
            <w:top w:w="0" w:type="dxa"/>
            <w:left w:w="0" w:type="dxa"/>
            <w:bottom w:w="0" w:type="dxa"/>
            <w:right w:w="0" w:type="dxa"/>
          </w:tblCellMar>
        </w:tblPrEx>
        <w:trPr>
          <w:wBefore w:w="0" w:type="auto"/>
          <w:tblCellSpacing w:w="0" w:type="dxa"/>
        </w:trPr>
        <w:tc>
          <w:tcPr>
            <w:tcW w:w="0" w:type="auto"/>
            <w:noWrap w:val="0"/>
            <w:vAlign w:val="center"/>
          </w:tcPr>
          <w:p w14:paraId="7868B3B6">
            <w:r>
              <w:rPr>
                <w:rStyle w:val="10"/>
                <w:rFonts w:hint="eastAsia"/>
              </w:rPr>
              <w:t>使用技术要求:</w:t>
            </w:r>
            <w:r>
              <w:rPr>
                <w:rFonts w:hint="eastAsia"/>
              </w:rPr>
              <w:br w:type="textWrapping"/>
            </w:r>
            <w:r>
              <w:rPr>
                <w:rStyle w:val="11"/>
                <w:rFonts w:hint="eastAsia"/>
              </w:rPr>
              <w:t>1、本品于马铃薯2-4叶期，杂草2～5叶期，茎叶均匀喷雾。2、使用本品前后七天内，禁止使用有机磷杀虫剂，避免产生药害。3、喷药时防止药液飘移临近小麦、玉米等禾本科作物田。注意合理安排后茬作物避免要害。4、严禁马铃薯苗高10厘米后施药。5、喷药时应注意风向，风速＞4米/秒停止施药。6、喷药前后空气湿度大于65%有利于药效发挥。7. 本品在马铃薯上每季最多使用1次。</w:t>
            </w:r>
          </w:p>
        </w:tc>
      </w:tr>
      <w:tr w14:paraId="5D303494">
        <w:tblPrEx>
          <w:tblCellMar>
            <w:top w:w="0" w:type="dxa"/>
            <w:left w:w="0" w:type="dxa"/>
            <w:bottom w:w="0" w:type="dxa"/>
            <w:right w:w="0" w:type="dxa"/>
          </w:tblCellMar>
        </w:tblPrEx>
        <w:trPr>
          <w:wBefore w:w="0" w:type="auto"/>
          <w:tblCellSpacing w:w="0" w:type="dxa"/>
        </w:trPr>
        <w:tc>
          <w:tcPr>
            <w:tcW w:w="0" w:type="auto"/>
            <w:noWrap w:val="0"/>
            <w:vAlign w:val="center"/>
          </w:tcPr>
          <w:p w14:paraId="28DE3484">
            <w:r>
              <w:rPr>
                <w:rStyle w:val="10"/>
                <w:rFonts w:hint="eastAsia"/>
              </w:rPr>
              <w:t>产品性能:</w:t>
            </w:r>
            <w:r>
              <w:rPr>
                <w:rFonts w:hint="eastAsia"/>
              </w:rPr>
              <w:br w:type="textWrapping"/>
            </w:r>
            <w:r>
              <w:rPr>
                <w:rStyle w:val="11"/>
                <w:rFonts w:hint="eastAsia"/>
              </w:rPr>
              <w:t>本品为马铃薯田苗后茎叶处理除草剂，由三种不同作用机制的除草剂混配而成。对马铃薯田的一年生禾本科和阔叶杂草有较好的防治效果。</w:t>
            </w:r>
          </w:p>
        </w:tc>
      </w:tr>
      <w:tr w14:paraId="2D6D2864">
        <w:tblPrEx>
          <w:tblCellMar>
            <w:top w:w="0" w:type="dxa"/>
            <w:left w:w="0" w:type="dxa"/>
            <w:bottom w:w="0" w:type="dxa"/>
            <w:right w:w="0" w:type="dxa"/>
          </w:tblCellMar>
        </w:tblPrEx>
        <w:trPr>
          <w:wBefore w:w="0" w:type="auto"/>
          <w:tblCellSpacing w:w="0" w:type="dxa"/>
        </w:trPr>
        <w:tc>
          <w:tcPr>
            <w:tcW w:w="0" w:type="auto"/>
            <w:noWrap w:val="0"/>
            <w:vAlign w:val="center"/>
          </w:tcPr>
          <w:p w14:paraId="778869BD">
            <w:r>
              <w:rPr>
                <w:rStyle w:val="10"/>
                <w:rFonts w:hint="eastAsia"/>
              </w:rPr>
              <w:t>注意事项：</w:t>
            </w:r>
            <w:r>
              <w:rPr>
                <w:rFonts w:hint="eastAsia"/>
              </w:rPr>
              <w:br w:type="textWrapping"/>
            </w:r>
            <w:r>
              <w:rPr>
                <w:rStyle w:val="11"/>
                <w:rFonts w:hint="eastAsia"/>
              </w:rPr>
              <w:t>、有机质含量低于2%的砂质土，不宜使用本品。2、土壤 pH7.5以上的碱性土壤适当减少用药量。本品不可与其他呈碱性的农药等物质混合使用。 3、禁止在水产养殖区，河塘等水域附近使用。禁止在河塘等水域清洗施药器具。4、本品对蜜蜂、鱼类等水生生物、家蚕有毒，施药时远离水产养殖区、河塘等水域施药。应避免对周围蜂群的影响，禁止在开花植物花期、蚕室和桑园附近使用。赤眼蜂等天敌放飞区域禁用。5、使用本品应穿戴防护服和手套、口罩等防护用具，避免吸入药液。施药期间不吃东西，不喝水。施药后应及时洗手和洗脸。6、避免孕妇和哺乳期的妇女接触本品。7、用过的废弃物应妥善处理不可随意丢弃，也不可做他用。8、避免与氧化剂接触。</w:t>
            </w:r>
          </w:p>
        </w:tc>
      </w:tr>
      <w:tr w14:paraId="4951F264">
        <w:tblPrEx>
          <w:tblCellMar>
            <w:top w:w="0" w:type="dxa"/>
            <w:left w:w="0" w:type="dxa"/>
            <w:bottom w:w="0" w:type="dxa"/>
            <w:right w:w="0" w:type="dxa"/>
          </w:tblCellMar>
        </w:tblPrEx>
        <w:trPr>
          <w:wBefore w:w="0" w:type="auto"/>
          <w:tblCellSpacing w:w="0" w:type="dxa"/>
        </w:trPr>
        <w:tc>
          <w:tcPr>
            <w:tcW w:w="0" w:type="auto"/>
            <w:noWrap w:val="0"/>
            <w:vAlign w:val="center"/>
          </w:tcPr>
          <w:p w14:paraId="55AF2BD4">
            <w:r>
              <w:rPr>
                <w:rStyle w:val="10"/>
                <w:rFonts w:hint="eastAsia"/>
              </w:rPr>
              <w:t>中毒急救措施：</w:t>
            </w:r>
            <w:r>
              <w:rPr>
                <w:rFonts w:hint="eastAsia"/>
              </w:rPr>
              <w:br w:type="textWrapping"/>
            </w:r>
            <w:r>
              <w:rPr>
                <w:rStyle w:val="11"/>
                <w:rFonts w:hint="eastAsia"/>
              </w:rPr>
              <w:t>本品对眼睛、皮肤、粘膜有刺激作用。不慎接触皮肤或溅入眼中，要立即用清水冲洗15分钟以上，不慎吸入，应将病人移到空气清新处。此药无特效解毒药，如误服，应携此标签立即将病人送往医院对症治疗。</w:t>
            </w:r>
          </w:p>
        </w:tc>
      </w:tr>
      <w:tr w14:paraId="2758878D">
        <w:tblPrEx>
          <w:tblCellMar>
            <w:top w:w="0" w:type="dxa"/>
            <w:left w:w="0" w:type="dxa"/>
            <w:bottom w:w="0" w:type="dxa"/>
            <w:right w:w="0" w:type="dxa"/>
          </w:tblCellMar>
        </w:tblPrEx>
        <w:trPr>
          <w:wBefore w:w="0" w:type="auto"/>
          <w:tblCellSpacing w:w="0" w:type="dxa"/>
        </w:trPr>
        <w:tc>
          <w:tcPr>
            <w:tcW w:w="0" w:type="auto"/>
            <w:noWrap w:val="0"/>
            <w:vAlign w:val="center"/>
          </w:tcPr>
          <w:p w14:paraId="40B41416">
            <w:r>
              <w:rPr>
                <w:rStyle w:val="10"/>
                <w:rFonts w:hint="eastAsia"/>
              </w:rPr>
              <w:t>储存和运输方法：</w:t>
            </w:r>
            <w:r>
              <w:rPr>
                <w:rFonts w:hint="eastAsia"/>
              </w:rPr>
              <w:br w:type="textWrapping"/>
            </w:r>
            <w:r>
              <w:rPr>
                <w:rStyle w:val="11"/>
                <w:rFonts w:hint="eastAsia"/>
              </w:rPr>
              <w:t>本品应贮存于干燥、阴凉、通风、防雨处，并远离火源及热源。置于儿童、无关人员触及不到之处，加锁保管。勿与食品、饮料、饲料等物品同贮同运。</w:t>
            </w:r>
          </w:p>
        </w:tc>
      </w:tr>
      <w:tr w14:paraId="65C115FA">
        <w:tblPrEx>
          <w:tblCellMar>
            <w:top w:w="0" w:type="dxa"/>
            <w:left w:w="0" w:type="dxa"/>
            <w:bottom w:w="0" w:type="dxa"/>
            <w:right w:w="0" w:type="dxa"/>
          </w:tblCellMar>
        </w:tblPrEx>
        <w:trPr>
          <w:wBefore w:w="0" w:type="auto"/>
          <w:tblCellSpacing w:w="0" w:type="dxa"/>
        </w:trPr>
        <w:tc>
          <w:tcPr>
            <w:tcW w:w="0" w:type="auto"/>
            <w:noWrap w:val="0"/>
            <w:vAlign w:val="center"/>
          </w:tcPr>
          <w:p w14:paraId="4F63EA41">
            <w:r>
              <w:rPr>
                <w:rStyle w:val="10"/>
                <w:rFonts w:hint="eastAsia"/>
              </w:rPr>
              <w:t>质量保证期：</w:t>
            </w:r>
            <w:r>
              <w:rPr>
                <w:rStyle w:val="11"/>
                <w:rFonts w:hint="eastAsia"/>
              </w:rPr>
              <w:t>2年</w:t>
            </w:r>
          </w:p>
        </w:tc>
      </w:tr>
      <w:tr w14:paraId="2FA006F9">
        <w:tblPrEx>
          <w:tblCellMar>
            <w:top w:w="0" w:type="dxa"/>
            <w:left w:w="0" w:type="dxa"/>
            <w:bottom w:w="0" w:type="dxa"/>
            <w:right w:w="0" w:type="dxa"/>
          </w:tblCellMar>
        </w:tblPrEx>
        <w:trPr>
          <w:wBefore w:w="0" w:type="auto"/>
          <w:tblCellSpacing w:w="0" w:type="dxa"/>
        </w:trPr>
        <w:tc>
          <w:tcPr>
            <w:tcW w:w="0" w:type="auto"/>
            <w:noWrap w:val="0"/>
            <w:vAlign w:val="center"/>
          </w:tcPr>
          <w:p w14:paraId="381BCCF0">
            <w:r>
              <w:rPr>
                <w:rStyle w:val="10"/>
                <w:rFonts w:hint="eastAsia"/>
              </w:rPr>
              <w:t>备注：</w:t>
            </w:r>
          </w:p>
        </w:tc>
      </w:tr>
    </w:tbl>
    <w:p w14:paraId="478D50B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565283">
        <w:tblPrEx>
          <w:tblCellMar>
            <w:top w:w="0" w:type="dxa"/>
            <w:left w:w="0" w:type="dxa"/>
            <w:bottom w:w="0" w:type="dxa"/>
            <w:right w:w="0" w:type="dxa"/>
          </w:tblCellMar>
        </w:tblPrEx>
        <w:trPr>
          <w:wBefore w:w="0" w:type="auto"/>
          <w:tblCellSpacing w:w="0" w:type="dxa"/>
        </w:trPr>
        <w:tc>
          <w:tcPr>
            <w:tcW w:w="0" w:type="auto"/>
            <w:noWrap w:val="0"/>
            <w:vAlign w:val="center"/>
          </w:tcPr>
          <w:p w14:paraId="7C8EEC72">
            <w:r>
              <w:rPr>
                <w:rStyle w:val="10"/>
                <w:rFonts w:hint="eastAsia"/>
              </w:rPr>
              <w:t>登记证号：</w:t>
            </w:r>
            <w:r>
              <w:rPr>
                <w:rFonts w:hint="eastAsia"/>
              </w:rPr>
              <w:t>PD20212566</w:t>
            </w:r>
          </w:p>
        </w:tc>
      </w:tr>
      <w:tr w14:paraId="626D6C1C">
        <w:tblPrEx>
          <w:tblCellMar>
            <w:top w:w="0" w:type="dxa"/>
            <w:left w:w="0" w:type="dxa"/>
            <w:bottom w:w="0" w:type="dxa"/>
            <w:right w:w="0" w:type="dxa"/>
          </w:tblCellMar>
        </w:tblPrEx>
        <w:trPr>
          <w:wBefore w:w="0" w:type="auto"/>
          <w:tblCellSpacing w:w="0" w:type="dxa"/>
        </w:trPr>
        <w:tc>
          <w:tcPr>
            <w:tcW w:w="0" w:type="auto"/>
            <w:noWrap w:val="0"/>
            <w:vAlign w:val="center"/>
          </w:tcPr>
          <w:p w14:paraId="3622DBB9">
            <w:r>
              <w:rPr>
                <w:rStyle w:val="10"/>
                <w:rFonts w:hint="eastAsia"/>
              </w:rPr>
              <w:t>登记证持有人：</w:t>
            </w:r>
            <w:r>
              <w:rPr>
                <w:rFonts w:hint="eastAsia"/>
              </w:rPr>
              <w:t>山东滨农科技有限公司</w:t>
            </w:r>
          </w:p>
        </w:tc>
      </w:tr>
      <w:tr w14:paraId="40E0EAF4">
        <w:tblPrEx>
          <w:tblCellMar>
            <w:top w:w="0" w:type="dxa"/>
            <w:left w:w="0" w:type="dxa"/>
            <w:bottom w:w="0" w:type="dxa"/>
            <w:right w:w="0" w:type="dxa"/>
          </w:tblCellMar>
        </w:tblPrEx>
        <w:trPr>
          <w:wBefore w:w="0" w:type="auto"/>
          <w:tblCellSpacing w:w="0" w:type="dxa"/>
        </w:trPr>
        <w:tc>
          <w:tcPr>
            <w:tcW w:w="0" w:type="auto"/>
            <w:noWrap w:val="0"/>
            <w:vAlign w:val="center"/>
          </w:tcPr>
          <w:p w14:paraId="3836EE05">
            <w:r>
              <w:rPr>
                <w:rStyle w:val="10"/>
                <w:rFonts w:hint="eastAsia"/>
              </w:rPr>
              <w:t>农药名称：</w:t>
            </w:r>
            <w:r>
              <w:rPr>
                <w:rFonts w:hint="eastAsia"/>
              </w:rPr>
              <w:t>莠灭净</w:t>
            </w:r>
          </w:p>
        </w:tc>
      </w:tr>
      <w:tr w14:paraId="2D0C50F6">
        <w:tblPrEx>
          <w:tblCellMar>
            <w:top w:w="0" w:type="dxa"/>
            <w:left w:w="0" w:type="dxa"/>
            <w:bottom w:w="0" w:type="dxa"/>
            <w:right w:w="0" w:type="dxa"/>
          </w:tblCellMar>
        </w:tblPrEx>
        <w:trPr>
          <w:wBefore w:w="0" w:type="auto"/>
          <w:tblCellSpacing w:w="0" w:type="dxa"/>
        </w:trPr>
        <w:tc>
          <w:tcPr>
            <w:tcW w:w="0" w:type="auto"/>
            <w:noWrap w:val="0"/>
            <w:vAlign w:val="center"/>
          </w:tcPr>
          <w:p w14:paraId="6D5225B1">
            <w:r>
              <w:rPr>
                <w:rStyle w:val="10"/>
                <w:rFonts w:hint="eastAsia"/>
              </w:rPr>
              <w:t>剂型：</w:t>
            </w:r>
            <w:r>
              <w:rPr>
                <w:rFonts w:hint="eastAsia"/>
              </w:rPr>
              <w:t>悬浮剂</w:t>
            </w:r>
          </w:p>
        </w:tc>
      </w:tr>
      <w:tr w14:paraId="41BDB990">
        <w:tblPrEx>
          <w:tblCellMar>
            <w:top w:w="0" w:type="dxa"/>
            <w:left w:w="0" w:type="dxa"/>
            <w:bottom w:w="0" w:type="dxa"/>
            <w:right w:w="0" w:type="dxa"/>
          </w:tblCellMar>
        </w:tblPrEx>
        <w:trPr>
          <w:wBefore w:w="0" w:type="auto"/>
          <w:tblCellSpacing w:w="0" w:type="dxa"/>
        </w:trPr>
        <w:tc>
          <w:tcPr>
            <w:tcW w:w="0" w:type="auto"/>
            <w:noWrap w:val="0"/>
            <w:vAlign w:val="center"/>
          </w:tcPr>
          <w:p w14:paraId="59759D62">
            <w:r>
              <w:rPr>
                <w:rStyle w:val="10"/>
                <w:rFonts w:hint="eastAsia"/>
              </w:rPr>
              <w:t>毒性及其标识：</w:t>
            </w:r>
            <w:r>
              <w:rPr>
                <w:rFonts w:hint="eastAsia"/>
              </w:rPr>
              <w:t xml:space="preserve"> </w:t>
            </w:r>
            <w:r>
              <w:rPr>
                <w:lang/>
              </w:rPr>
              <w:drawing>
                <wp:inline distT="0" distB="0" distL="114300" distR="114300">
                  <wp:extent cx="476250" cy="323850"/>
                  <wp:effectExtent l="0" t="0" r="0" b="0"/>
                  <wp:docPr id="137" name="图片 1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489897">
        <w:tblPrEx>
          <w:tblCellMar>
            <w:top w:w="0" w:type="dxa"/>
            <w:left w:w="0" w:type="dxa"/>
            <w:bottom w:w="0" w:type="dxa"/>
            <w:right w:w="0" w:type="dxa"/>
          </w:tblCellMar>
        </w:tblPrEx>
        <w:trPr>
          <w:wBefore w:w="0" w:type="auto"/>
          <w:tblCellSpacing w:w="0" w:type="dxa"/>
        </w:trPr>
        <w:tc>
          <w:tcPr>
            <w:tcW w:w="0" w:type="auto"/>
            <w:noWrap w:val="0"/>
            <w:vAlign w:val="center"/>
          </w:tcPr>
          <w:p w14:paraId="3D1A7B58">
            <w:r>
              <w:rPr>
                <w:rStyle w:val="10"/>
                <w:rFonts w:hint="eastAsia"/>
              </w:rPr>
              <w:t>总有效成分含量：</w:t>
            </w:r>
            <w:r>
              <w:rPr>
                <w:rFonts w:hint="eastAsia"/>
              </w:rPr>
              <w:t>45%</w:t>
            </w:r>
          </w:p>
        </w:tc>
      </w:tr>
      <w:tr w14:paraId="1B3D2BF1">
        <w:tblPrEx>
          <w:tblCellMar>
            <w:top w:w="0" w:type="dxa"/>
            <w:left w:w="0" w:type="dxa"/>
            <w:bottom w:w="0" w:type="dxa"/>
            <w:right w:w="0" w:type="dxa"/>
          </w:tblCellMar>
        </w:tblPrEx>
        <w:trPr>
          <w:wBefore w:w="0" w:type="auto"/>
          <w:tblCellSpacing w:w="0" w:type="dxa"/>
        </w:trPr>
        <w:tc>
          <w:tcPr>
            <w:tcW w:w="0" w:type="auto"/>
            <w:noWrap w:val="0"/>
            <w:vAlign w:val="center"/>
          </w:tcPr>
          <w:p w14:paraId="2F5DF1B2">
            <w:r>
              <w:rPr>
                <w:rFonts w:hint="eastAsia"/>
              </w:rPr>
              <w:t xml:space="preserve">有效成分及其含量： </w:t>
            </w:r>
          </w:p>
          <w:p w14:paraId="6FCC65A9">
            <w:r>
              <w:rPr>
                <w:rFonts w:hint="eastAsia"/>
              </w:rPr>
              <w:t xml:space="preserve">    莠灭净45%    </w:t>
            </w:r>
          </w:p>
        </w:tc>
      </w:tr>
      <w:tr w14:paraId="6EE3F0DC">
        <w:tblPrEx>
          <w:tblCellMar>
            <w:top w:w="0" w:type="dxa"/>
            <w:left w:w="0" w:type="dxa"/>
            <w:bottom w:w="0" w:type="dxa"/>
            <w:right w:w="0" w:type="dxa"/>
          </w:tblCellMar>
        </w:tblPrEx>
        <w:trPr>
          <w:wBefore w:w="0" w:type="auto"/>
          <w:tblCellSpacing w:w="0" w:type="dxa"/>
        </w:trPr>
        <w:tc>
          <w:tcPr>
            <w:tcW w:w="0" w:type="auto"/>
            <w:noWrap w:val="0"/>
            <w:vAlign w:val="center"/>
          </w:tcPr>
          <w:p w14:paraId="5F34959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7B6D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33420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E9AE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BB1A3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4B2A09">
                  <w:r>
                    <w:rPr>
                      <w:rStyle w:val="11"/>
                      <w:rFonts w:hint="eastAsia"/>
                    </w:rPr>
                    <w:t>施用方式</w:t>
                  </w:r>
                </w:p>
              </w:tc>
            </w:tr>
            <w:tr w14:paraId="430024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0A83E2">
                  <w:r>
                    <w:rPr>
                      <w:rStyle w:val="11"/>
                      <w:rFonts w:hint="eastAsia"/>
                    </w:rPr>
                    <w:t>甘蔗田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44E53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936749">
                  <w:r>
                    <w:rPr>
                      <w:rStyle w:val="11"/>
                      <w:rFonts w:hint="eastAsia"/>
                    </w:rPr>
                    <w:t>170-230毫升/亩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2DCDA0">
                  <w:r>
                    <w:rPr>
                      <w:rStyle w:val="11"/>
                      <w:rFonts w:hint="eastAsia"/>
                    </w:rPr>
                    <w:t>土壤喷雾</w:t>
                  </w:r>
                </w:p>
              </w:tc>
            </w:tr>
          </w:tbl>
          <w:p w14:paraId="32B5BC56">
            <w:pPr>
              <w:rPr>
                <w:rFonts w:ascii="Times New Roman" w:hAnsi="Times New Roman" w:cs="Times New Roman"/>
                <w:sz w:val="20"/>
                <w:szCs w:val="20"/>
              </w:rPr>
            </w:pPr>
          </w:p>
        </w:tc>
      </w:tr>
      <w:tr w14:paraId="24C9A4E9">
        <w:tblPrEx>
          <w:tblCellMar>
            <w:top w:w="0" w:type="dxa"/>
            <w:left w:w="0" w:type="dxa"/>
            <w:bottom w:w="0" w:type="dxa"/>
            <w:right w:w="0" w:type="dxa"/>
          </w:tblCellMar>
        </w:tblPrEx>
        <w:trPr>
          <w:wBefore w:w="0" w:type="auto"/>
          <w:tblCellSpacing w:w="0" w:type="dxa"/>
        </w:trPr>
        <w:tc>
          <w:tcPr>
            <w:tcW w:w="0" w:type="auto"/>
            <w:noWrap w:val="0"/>
            <w:vAlign w:val="center"/>
          </w:tcPr>
          <w:p w14:paraId="77A8D06D">
            <w:r>
              <w:rPr>
                <w:rStyle w:val="10"/>
                <w:rFonts w:hint="eastAsia"/>
              </w:rPr>
              <w:t>使用技术要求:</w:t>
            </w:r>
            <w:r>
              <w:rPr>
                <w:rFonts w:hint="eastAsia"/>
              </w:rPr>
              <w:br w:type="textWrapping"/>
            </w:r>
            <w:r>
              <w:rPr>
                <w:rStyle w:val="11"/>
                <w:rFonts w:hint="eastAsia"/>
              </w:rPr>
              <w:t>1. 甘蔗种植后苗前或苗后定向喷雾。沙壤土和有机质含量低的蔗田，请选用低剂量；杂草高大，茂密地块，要确保药液喷到杂草根部，方能保证药效。甘蔗植后苗前土壤喷雾施药一次，甘蔗1-2叶期，杂草2-3叶即可喷药。杂草高至5-10公分为施药最佳期。2. 本品正常使用条件下对甘蔗安全，但尽量避免直接喷雾。 施药时保持地面平整，低洼积水田易发生药害。3. 间作大豆、花生等甘蔗田，不能使用莠灭净</w:t>
            </w:r>
          </w:p>
        </w:tc>
      </w:tr>
      <w:tr w14:paraId="30AE8626">
        <w:tblPrEx>
          <w:tblCellMar>
            <w:top w:w="0" w:type="dxa"/>
            <w:left w:w="0" w:type="dxa"/>
            <w:bottom w:w="0" w:type="dxa"/>
            <w:right w:w="0" w:type="dxa"/>
          </w:tblCellMar>
        </w:tblPrEx>
        <w:trPr>
          <w:wBefore w:w="0" w:type="auto"/>
          <w:tblCellSpacing w:w="0" w:type="dxa"/>
        </w:trPr>
        <w:tc>
          <w:tcPr>
            <w:tcW w:w="0" w:type="auto"/>
            <w:noWrap w:val="0"/>
            <w:vAlign w:val="center"/>
          </w:tcPr>
          <w:p w14:paraId="5036E200">
            <w:r>
              <w:rPr>
                <w:rStyle w:val="10"/>
                <w:rFonts w:hint="eastAsia"/>
              </w:rPr>
              <w:t>产品性能:</w:t>
            </w:r>
            <w:r>
              <w:rPr>
                <w:rFonts w:hint="eastAsia"/>
              </w:rPr>
              <w:br w:type="textWrapping"/>
            </w:r>
            <w:r>
              <w:rPr>
                <w:rStyle w:val="11"/>
                <w:rFonts w:hint="eastAsia"/>
              </w:rPr>
              <w:t>本品为选择性除草剂，用于防治甘蔗田一年生阔叶杂草及部分禾本科杂草，属于三嗪类选择性内吸传导型除草剂。杀草作用迅速，是一种光合作用抑制剂，持效期20-70天。</w:t>
            </w:r>
          </w:p>
        </w:tc>
      </w:tr>
      <w:tr w14:paraId="4099801D">
        <w:tblPrEx>
          <w:tblCellMar>
            <w:top w:w="0" w:type="dxa"/>
            <w:left w:w="0" w:type="dxa"/>
            <w:bottom w:w="0" w:type="dxa"/>
            <w:right w:w="0" w:type="dxa"/>
          </w:tblCellMar>
        </w:tblPrEx>
        <w:trPr>
          <w:wBefore w:w="0" w:type="auto"/>
          <w:tblCellSpacing w:w="0" w:type="dxa"/>
        </w:trPr>
        <w:tc>
          <w:tcPr>
            <w:tcW w:w="0" w:type="auto"/>
            <w:noWrap w:val="0"/>
            <w:vAlign w:val="center"/>
          </w:tcPr>
          <w:p w14:paraId="0C4C2FA1">
            <w:r>
              <w:rPr>
                <w:rStyle w:val="10"/>
                <w:rFonts w:hint="eastAsia"/>
              </w:rPr>
              <w:t>注意事项：</w:t>
            </w:r>
            <w:r>
              <w:rPr>
                <w:rFonts w:hint="eastAsia"/>
              </w:rPr>
              <w:br w:type="textWrapping"/>
            </w:r>
            <w:r>
              <w:rPr>
                <w:rStyle w:val="11"/>
                <w:rFonts w:hint="eastAsia"/>
              </w:rPr>
              <w:t>1. 采用二次稀释法配制药液，勿与强酸与强碱性物质混用。2. 本品对眼睛有刺激性，使用时避免接触眼睛，穿戴长衣、长裤、帽子、口罩、手套等防护措施。施药期间不可吃东西、饮水、吸烟等。施药后应及时洗手、洗脸等。3. 鸟类保护区附近禁用；桑园及蚕室附近禁用；水产养殖区、河塘等水体附近禁用，禁止在河塘等水域清洗施药器具。4. 孕妇和哺乳期妇女避免接触。5. 清洗施药器械等的污水不可污染地下水源、河塘等各种水域，避免对环境中其他生物造成危害。6. 用过的容器应妥善处理，不可做他用，也不可随意丢弃。</w:t>
            </w:r>
          </w:p>
        </w:tc>
      </w:tr>
      <w:tr w14:paraId="7F9528A8">
        <w:tblPrEx>
          <w:tblCellMar>
            <w:top w:w="0" w:type="dxa"/>
            <w:left w:w="0" w:type="dxa"/>
            <w:bottom w:w="0" w:type="dxa"/>
            <w:right w:w="0" w:type="dxa"/>
          </w:tblCellMar>
        </w:tblPrEx>
        <w:trPr>
          <w:wBefore w:w="0" w:type="auto"/>
          <w:tblCellSpacing w:w="0" w:type="dxa"/>
        </w:trPr>
        <w:tc>
          <w:tcPr>
            <w:tcW w:w="0" w:type="auto"/>
            <w:noWrap w:val="0"/>
            <w:vAlign w:val="center"/>
          </w:tcPr>
          <w:p w14:paraId="2383B189">
            <w:r>
              <w:rPr>
                <w:rStyle w:val="10"/>
                <w:rFonts w:hint="eastAsia"/>
              </w:rPr>
              <w:t>中毒急救措施：</w:t>
            </w:r>
            <w:r>
              <w:rPr>
                <w:rFonts w:hint="eastAsia"/>
              </w:rPr>
              <w:br w:type="textWrapping"/>
            </w:r>
            <w:r>
              <w:rPr>
                <w:rStyle w:val="11"/>
                <w:rFonts w:hint="eastAsia"/>
              </w:rPr>
              <w:t>对眼睛、皮肤和粘膜有刺激作用。皮肤接触：立即脱掉被污染的衣物，用肥皂和大量清水彻底清洗受污染的皮肤至少15分钟。眼睛溅药：立即将眼睑翻开，用清水冲洗10-15分钟，再请医生诊治。不慎吸入：立即将吸入者转移到空气新鲜处，请医生诊治。若误服：应立即携此标签送医院，对症治疗。无专用解毒剂。</w:t>
            </w:r>
          </w:p>
        </w:tc>
      </w:tr>
      <w:tr w14:paraId="3F64B31E">
        <w:tblPrEx>
          <w:tblCellMar>
            <w:top w:w="0" w:type="dxa"/>
            <w:left w:w="0" w:type="dxa"/>
            <w:bottom w:w="0" w:type="dxa"/>
            <w:right w:w="0" w:type="dxa"/>
          </w:tblCellMar>
        </w:tblPrEx>
        <w:trPr>
          <w:wBefore w:w="0" w:type="auto"/>
          <w:tblCellSpacing w:w="0" w:type="dxa"/>
        </w:trPr>
        <w:tc>
          <w:tcPr>
            <w:tcW w:w="0" w:type="auto"/>
            <w:noWrap w:val="0"/>
            <w:vAlign w:val="center"/>
          </w:tcPr>
          <w:p w14:paraId="1F6B122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装卸轻放，切勿倒置，运输时要确保不倾倒、不泄露、不损坏，防止高温、雨淋。不能与食品、饮料、粮食、饲料等物品同贮同运。</w:t>
            </w:r>
          </w:p>
        </w:tc>
      </w:tr>
      <w:tr w14:paraId="3B36BA5E">
        <w:tblPrEx>
          <w:tblCellMar>
            <w:top w:w="0" w:type="dxa"/>
            <w:left w:w="0" w:type="dxa"/>
            <w:bottom w:w="0" w:type="dxa"/>
            <w:right w:w="0" w:type="dxa"/>
          </w:tblCellMar>
        </w:tblPrEx>
        <w:trPr>
          <w:wBefore w:w="0" w:type="auto"/>
          <w:tblCellSpacing w:w="0" w:type="dxa"/>
        </w:trPr>
        <w:tc>
          <w:tcPr>
            <w:tcW w:w="0" w:type="auto"/>
            <w:noWrap w:val="0"/>
            <w:vAlign w:val="center"/>
          </w:tcPr>
          <w:p w14:paraId="7111DBD1">
            <w:r>
              <w:rPr>
                <w:rStyle w:val="10"/>
                <w:rFonts w:hint="eastAsia"/>
              </w:rPr>
              <w:t>质量保证期：</w:t>
            </w:r>
            <w:r>
              <w:rPr>
                <w:rStyle w:val="11"/>
                <w:rFonts w:hint="eastAsia"/>
              </w:rPr>
              <w:t>2年</w:t>
            </w:r>
          </w:p>
        </w:tc>
      </w:tr>
      <w:tr w14:paraId="06B10871">
        <w:tblPrEx>
          <w:tblCellMar>
            <w:top w:w="0" w:type="dxa"/>
            <w:left w:w="0" w:type="dxa"/>
            <w:bottom w:w="0" w:type="dxa"/>
            <w:right w:w="0" w:type="dxa"/>
          </w:tblCellMar>
        </w:tblPrEx>
        <w:trPr>
          <w:wBefore w:w="0" w:type="auto"/>
          <w:tblCellSpacing w:w="0" w:type="dxa"/>
        </w:trPr>
        <w:tc>
          <w:tcPr>
            <w:tcW w:w="0" w:type="auto"/>
            <w:noWrap w:val="0"/>
            <w:vAlign w:val="center"/>
          </w:tcPr>
          <w:p w14:paraId="3A1A784E">
            <w:r>
              <w:rPr>
                <w:rStyle w:val="10"/>
                <w:rFonts w:hint="eastAsia"/>
              </w:rPr>
              <w:t>备注：</w:t>
            </w:r>
          </w:p>
        </w:tc>
      </w:tr>
    </w:tbl>
    <w:p w14:paraId="6F7F95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9C19CD">
        <w:tblPrEx>
          <w:tblCellMar>
            <w:top w:w="0" w:type="dxa"/>
            <w:left w:w="0" w:type="dxa"/>
            <w:bottom w:w="0" w:type="dxa"/>
            <w:right w:w="0" w:type="dxa"/>
          </w:tblCellMar>
        </w:tblPrEx>
        <w:trPr>
          <w:wBefore w:w="0" w:type="auto"/>
          <w:tblCellSpacing w:w="0" w:type="dxa"/>
        </w:trPr>
        <w:tc>
          <w:tcPr>
            <w:tcW w:w="0" w:type="auto"/>
            <w:noWrap w:val="0"/>
            <w:vAlign w:val="center"/>
          </w:tcPr>
          <w:p w14:paraId="0E1A6FF7">
            <w:r>
              <w:rPr>
                <w:rStyle w:val="10"/>
                <w:rFonts w:hint="eastAsia"/>
              </w:rPr>
              <w:t>登记证号：</w:t>
            </w:r>
            <w:r>
              <w:rPr>
                <w:rFonts w:hint="eastAsia"/>
              </w:rPr>
              <w:t>PD20212428</w:t>
            </w:r>
          </w:p>
        </w:tc>
      </w:tr>
      <w:tr w14:paraId="151912D8">
        <w:tblPrEx>
          <w:tblCellMar>
            <w:top w:w="0" w:type="dxa"/>
            <w:left w:w="0" w:type="dxa"/>
            <w:bottom w:w="0" w:type="dxa"/>
            <w:right w:w="0" w:type="dxa"/>
          </w:tblCellMar>
        </w:tblPrEx>
        <w:trPr>
          <w:wBefore w:w="0" w:type="auto"/>
          <w:tblCellSpacing w:w="0" w:type="dxa"/>
        </w:trPr>
        <w:tc>
          <w:tcPr>
            <w:tcW w:w="0" w:type="auto"/>
            <w:noWrap w:val="0"/>
            <w:vAlign w:val="center"/>
          </w:tcPr>
          <w:p w14:paraId="48FC30FE">
            <w:r>
              <w:rPr>
                <w:rStyle w:val="10"/>
                <w:rFonts w:hint="eastAsia"/>
              </w:rPr>
              <w:t>登记证持有人：</w:t>
            </w:r>
            <w:r>
              <w:rPr>
                <w:rFonts w:hint="eastAsia"/>
              </w:rPr>
              <w:t>山东金秋园田生物科技有限公司</w:t>
            </w:r>
          </w:p>
        </w:tc>
      </w:tr>
      <w:tr w14:paraId="6FFDBFF6">
        <w:tblPrEx>
          <w:tblCellMar>
            <w:top w:w="0" w:type="dxa"/>
            <w:left w:w="0" w:type="dxa"/>
            <w:bottom w:w="0" w:type="dxa"/>
            <w:right w:w="0" w:type="dxa"/>
          </w:tblCellMar>
        </w:tblPrEx>
        <w:trPr>
          <w:wBefore w:w="0" w:type="auto"/>
          <w:tblCellSpacing w:w="0" w:type="dxa"/>
        </w:trPr>
        <w:tc>
          <w:tcPr>
            <w:tcW w:w="0" w:type="auto"/>
            <w:noWrap w:val="0"/>
            <w:vAlign w:val="center"/>
          </w:tcPr>
          <w:p w14:paraId="6F4331AC">
            <w:r>
              <w:rPr>
                <w:rStyle w:val="10"/>
                <w:rFonts w:hint="eastAsia"/>
              </w:rPr>
              <w:t>农药名称：</w:t>
            </w:r>
            <w:r>
              <w:rPr>
                <w:rFonts w:hint="eastAsia"/>
              </w:rPr>
              <w:t>噻虫·氟氯氰</w:t>
            </w:r>
          </w:p>
        </w:tc>
      </w:tr>
      <w:tr w14:paraId="2FDE7D26">
        <w:tblPrEx>
          <w:tblCellMar>
            <w:top w:w="0" w:type="dxa"/>
            <w:left w:w="0" w:type="dxa"/>
            <w:bottom w:w="0" w:type="dxa"/>
            <w:right w:w="0" w:type="dxa"/>
          </w:tblCellMar>
        </w:tblPrEx>
        <w:trPr>
          <w:wBefore w:w="0" w:type="auto"/>
          <w:tblCellSpacing w:w="0" w:type="dxa"/>
        </w:trPr>
        <w:tc>
          <w:tcPr>
            <w:tcW w:w="0" w:type="auto"/>
            <w:noWrap w:val="0"/>
            <w:vAlign w:val="center"/>
          </w:tcPr>
          <w:p w14:paraId="175A165D">
            <w:r>
              <w:rPr>
                <w:rStyle w:val="10"/>
                <w:rFonts w:hint="eastAsia"/>
              </w:rPr>
              <w:t>剂型：</w:t>
            </w:r>
            <w:r>
              <w:rPr>
                <w:rFonts w:hint="eastAsia"/>
              </w:rPr>
              <w:t>颗粒剂</w:t>
            </w:r>
          </w:p>
        </w:tc>
      </w:tr>
      <w:tr w14:paraId="608FFCF0">
        <w:tblPrEx>
          <w:tblCellMar>
            <w:top w:w="0" w:type="dxa"/>
            <w:left w:w="0" w:type="dxa"/>
            <w:bottom w:w="0" w:type="dxa"/>
            <w:right w:w="0" w:type="dxa"/>
          </w:tblCellMar>
        </w:tblPrEx>
        <w:trPr>
          <w:wBefore w:w="0" w:type="auto"/>
          <w:tblCellSpacing w:w="0" w:type="dxa"/>
        </w:trPr>
        <w:tc>
          <w:tcPr>
            <w:tcW w:w="0" w:type="auto"/>
            <w:noWrap w:val="0"/>
            <w:vAlign w:val="center"/>
          </w:tcPr>
          <w:p w14:paraId="6DCB3EAD">
            <w:r>
              <w:rPr>
                <w:rStyle w:val="10"/>
                <w:rFonts w:hint="eastAsia"/>
              </w:rPr>
              <w:t>毒性及其标识：</w:t>
            </w:r>
            <w:r>
              <w:rPr>
                <w:rFonts w:hint="eastAsia"/>
              </w:rPr>
              <w:t xml:space="preserve"> </w:t>
            </w:r>
            <w:r>
              <w:rPr>
                <w:lang/>
              </w:rPr>
              <w:drawing>
                <wp:inline distT="0" distB="0" distL="114300" distR="114300">
                  <wp:extent cx="476250" cy="323850"/>
                  <wp:effectExtent l="0" t="0" r="0" b="0"/>
                  <wp:docPr id="138" name="图片 1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0A8DE7">
        <w:tblPrEx>
          <w:tblCellMar>
            <w:top w:w="0" w:type="dxa"/>
            <w:left w:w="0" w:type="dxa"/>
            <w:bottom w:w="0" w:type="dxa"/>
            <w:right w:w="0" w:type="dxa"/>
          </w:tblCellMar>
        </w:tblPrEx>
        <w:trPr>
          <w:wBefore w:w="0" w:type="auto"/>
          <w:tblCellSpacing w:w="0" w:type="dxa"/>
        </w:trPr>
        <w:tc>
          <w:tcPr>
            <w:tcW w:w="0" w:type="auto"/>
            <w:noWrap w:val="0"/>
            <w:vAlign w:val="center"/>
          </w:tcPr>
          <w:p w14:paraId="1F7A3D02">
            <w:r>
              <w:rPr>
                <w:rStyle w:val="10"/>
                <w:rFonts w:hint="eastAsia"/>
              </w:rPr>
              <w:t>总有效成分含量：</w:t>
            </w:r>
            <w:r>
              <w:rPr>
                <w:rFonts w:hint="eastAsia"/>
              </w:rPr>
              <w:t>1%</w:t>
            </w:r>
          </w:p>
        </w:tc>
      </w:tr>
      <w:tr w14:paraId="051BBE3F">
        <w:tblPrEx>
          <w:tblCellMar>
            <w:top w:w="0" w:type="dxa"/>
            <w:left w:w="0" w:type="dxa"/>
            <w:bottom w:w="0" w:type="dxa"/>
            <w:right w:w="0" w:type="dxa"/>
          </w:tblCellMar>
        </w:tblPrEx>
        <w:trPr>
          <w:wBefore w:w="0" w:type="auto"/>
          <w:tblCellSpacing w:w="0" w:type="dxa"/>
        </w:trPr>
        <w:tc>
          <w:tcPr>
            <w:tcW w:w="0" w:type="auto"/>
            <w:noWrap w:val="0"/>
            <w:vAlign w:val="center"/>
          </w:tcPr>
          <w:p w14:paraId="331CC9F2">
            <w:r>
              <w:rPr>
                <w:rFonts w:hint="eastAsia"/>
              </w:rPr>
              <w:t xml:space="preserve">有效成分及其含量： </w:t>
            </w:r>
          </w:p>
          <w:p w14:paraId="22CA12D9">
            <w:r>
              <w:rPr>
                <w:rFonts w:hint="eastAsia"/>
              </w:rPr>
              <w:t xml:space="preserve">    噻虫胺0.6%    氟氯氰菊酯0.4%    </w:t>
            </w:r>
          </w:p>
        </w:tc>
      </w:tr>
      <w:tr w14:paraId="12126B4C">
        <w:tblPrEx>
          <w:tblCellMar>
            <w:top w:w="0" w:type="dxa"/>
            <w:left w:w="0" w:type="dxa"/>
            <w:bottom w:w="0" w:type="dxa"/>
            <w:right w:w="0" w:type="dxa"/>
          </w:tblCellMar>
        </w:tblPrEx>
        <w:trPr>
          <w:wBefore w:w="0" w:type="auto"/>
          <w:tblCellSpacing w:w="0" w:type="dxa"/>
        </w:trPr>
        <w:tc>
          <w:tcPr>
            <w:tcW w:w="0" w:type="auto"/>
            <w:noWrap w:val="0"/>
            <w:vAlign w:val="center"/>
          </w:tcPr>
          <w:p w14:paraId="27B7F7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5697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6A3A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B8EB5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A86D6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BB6240">
                  <w:r>
                    <w:rPr>
                      <w:rStyle w:val="11"/>
                      <w:rFonts w:hint="eastAsia"/>
                    </w:rPr>
                    <w:t>施用方式</w:t>
                  </w:r>
                </w:p>
              </w:tc>
            </w:tr>
            <w:tr w14:paraId="759792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1616E8">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B723A7">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5BC348">
                  <w:r>
                    <w:rPr>
                      <w:rStyle w:val="11"/>
                      <w:rFonts w:hint="eastAsia"/>
                    </w:rPr>
                    <w:t>3600-4400克/亩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496351">
                  <w:r>
                    <w:rPr>
                      <w:rStyle w:val="11"/>
                      <w:rFonts w:hint="eastAsia"/>
                    </w:rPr>
                    <w:t>撒施</w:t>
                  </w:r>
                </w:p>
              </w:tc>
            </w:tr>
          </w:tbl>
          <w:p w14:paraId="200AD491">
            <w:pPr>
              <w:rPr>
                <w:rFonts w:ascii="Times New Roman" w:hAnsi="Times New Roman" w:cs="Times New Roman"/>
                <w:sz w:val="20"/>
                <w:szCs w:val="20"/>
              </w:rPr>
            </w:pPr>
          </w:p>
        </w:tc>
      </w:tr>
      <w:tr w14:paraId="322B6B72">
        <w:tblPrEx>
          <w:tblCellMar>
            <w:top w:w="0" w:type="dxa"/>
            <w:left w:w="0" w:type="dxa"/>
            <w:bottom w:w="0" w:type="dxa"/>
            <w:right w:w="0" w:type="dxa"/>
          </w:tblCellMar>
        </w:tblPrEx>
        <w:trPr>
          <w:wBefore w:w="0" w:type="auto"/>
          <w:tblCellSpacing w:w="0" w:type="dxa"/>
        </w:trPr>
        <w:tc>
          <w:tcPr>
            <w:tcW w:w="0" w:type="auto"/>
            <w:noWrap w:val="0"/>
            <w:vAlign w:val="center"/>
          </w:tcPr>
          <w:p w14:paraId="3BC9F79A">
            <w:r>
              <w:rPr>
                <w:rStyle w:val="10"/>
                <w:rFonts w:hint="eastAsia"/>
              </w:rPr>
              <w:t>使用技术要求:</w:t>
            </w:r>
            <w:r>
              <w:rPr>
                <w:rFonts w:hint="eastAsia"/>
              </w:rPr>
              <w:br w:type="textWrapping"/>
            </w:r>
            <w:r>
              <w:rPr>
                <w:rStyle w:val="11"/>
                <w:rFonts w:hint="eastAsia"/>
              </w:rPr>
              <w:t>播种期：甘蔗播种时，药剂与适量细土混合均匀施于种植沟内后覆土。培土、施肥期：将药剂均匀撒施于作物根周边，施药后覆土。每季施药1次。</w:t>
            </w:r>
          </w:p>
        </w:tc>
      </w:tr>
      <w:tr w14:paraId="6240ADEA">
        <w:tblPrEx>
          <w:tblCellMar>
            <w:top w:w="0" w:type="dxa"/>
            <w:left w:w="0" w:type="dxa"/>
            <w:bottom w:w="0" w:type="dxa"/>
            <w:right w:w="0" w:type="dxa"/>
          </w:tblCellMar>
        </w:tblPrEx>
        <w:trPr>
          <w:wBefore w:w="0" w:type="auto"/>
          <w:tblCellSpacing w:w="0" w:type="dxa"/>
        </w:trPr>
        <w:tc>
          <w:tcPr>
            <w:tcW w:w="0" w:type="auto"/>
            <w:noWrap w:val="0"/>
            <w:vAlign w:val="center"/>
          </w:tcPr>
          <w:p w14:paraId="3D15167B">
            <w:r>
              <w:rPr>
                <w:rStyle w:val="10"/>
                <w:rFonts w:hint="eastAsia"/>
              </w:rPr>
              <w:t>产品性能:</w:t>
            </w:r>
            <w:r>
              <w:rPr>
                <w:rFonts w:hint="eastAsia"/>
              </w:rPr>
              <w:br w:type="textWrapping"/>
            </w:r>
            <w:r>
              <w:rPr>
                <w:rStyle w:val="11"/>
                <w:rFonts w:hint="eastAsia"/>
              </w:rPr>
              <w:t>噻虫胺属烟碱乙酰胆碱受体激动剂，作用于昆虫中枢神经系统突触，使昆虫异常兴奋，全身痉挛、麻痹而死。氟氯氰菊酯为昆虫神经系统抑制剂，作用于钠离子通道，干扰神经信号传递。具有触杀、胃毒作用。两者混配可用于防治甘蔗蔗龟。</w:t>
            </w:r>
          </w:p>
        </w:tc>
      </w:tr>
      <w:tr w14:paraId="7C4D9C34">
        <w:tblPrEx>
          <w:tblCellMar>
            <w:top w:w="0" w:type="dxa"/>
            <w:left w:w="0" w:type="dxa"/>
            <w:bottom w:w="0" w:type="dxa"/>
            <w:right w:w="0" w:type="dxa"/>
          </w:tblCellMar>
        </w:tblPrEx>
        <w:trPr>
          <w:wBefore w:w="0" w:type="auto"/>
          <w:tblCellSpacing w:w="0" w:type="dxa"/>
        </w:trPr>
        <w:tc>
          <w:tcPr>
            <w:tcW w:w="0" w:type="auto"/>
            <w:noWrap w:val="0"/>
            <w:vAlign w:val="center"/>
          </w:tcPr>
          <w:p w14:paraId="4C12C407">
            <w:r>
              <w:rPr>
                <w:rStyle w:val="10"/>
                <w:rFonts w:hint="eastAsia"/>
              </w:rPr>
              <w:t>注意事项：</w:t>
            </w:r>
            <w:r>
              <w:rPr>
                <w:rFonts w:hint="eastAsia"/>
              </w:rPr>
              <w:br w:type="textWrapping"/>
            </w:r>
            <w:r>
              <w:rPr>
                <w:rStyle w:val="11"/>
                <w:rFonts w:hint="eastAsia"/>
              </w:rPr>
              <w:t>1.使用本品应采取安全防护措施，穿双层衣物、手套、戴口罩和护目镜等，避免皮肤、眼睛接触及口鼻吸入。使用中不可吸烟、饮水及吃东西，使用后及时用大量清水和肥皂清洗手、脸等暴露部位皮肤并更换衣物。 2.禁止在河塘等水体中清洗施药器具；（周围）开花植物花期禁用，使用时应密切关注对附近蜂群的影响；</w:t>
            </w:r>
            <w:r>
              <w:rPr>
                <w:rStyle w:val="11"/>
                <w:rFonts w:hint="eastAsia"/>
              </w:rPr>
              <w:t> </w:t>
            </w:r>
            <w:r>
              <w:rPr>
                <w:rStyle w:val="11"/>
                <w:rFonts w:hint="eastAsia"/>
              </w:rPr>
              <w:t>鸟类保护区附近禁用，施药后立即覆土。 3.建议与其它作用机制的杀虫剂轮换使用。 4.用过的容器应妥善处理，不可做他用，也不可随意丢弃。 5.禁止儿童、孕妇及哺乳期的妇女接触。过敏者禁用，使用中有任何不良反应请及时就医。</w:t>
            </w:r>
          </w:p>
        </w:tc>
      </w:tr>
      <w:tr w14:paraId="2B76ECBD">
        <w:tblPrEx>
          <w:tblCellMar>
            <w:top w:w="0" w:type="dxa"/>
            <w:left w:w="0" w:type="dxa"/>
            <w:bottom w:w="0" w:type="dxa"/>
            <w:right w:w="0" w:type="dxa"/>
          </w:tblCellMar>
        </w:tblPrEx>
        <w:trPr>
          <w:wBefore w:w="0" w:type="auto"/>
          <w:tblCellSpacing w:w="0" w:type="dxa"/>
        </w:trPr>
        <w:tc>
          <w:tcPr>
            <w:tcW w:w="0" w:type="auto"/>
            <w:noWrap w:val="0"/>
            <w:vAlign w:val="center"/>
          </w:tcPr>
          <w:p w14:paraId="7098D76D">
            <w:r>
              <w:rPr>
                <w:rStyle w:val="10"/>
                <w:rFonts w:hint="eastAsia"/>
              </w:rPr>
              <w:t>中毒急救措施：</w:t>
            </w:r>
            <w:r>
              <w:rPr>
                <w:rFonts w:hint="eastAsia"/>
              </w:rPr>
              <w:br w:type="textWrapping"/>
            </w:r>
            <w:r>
              <w:rPr>
                <w:rStyle w:val="11"/>
                <w:rFonts w:hint="eastAsia"/>
              </w:rPr>
              <w:t xml:space="preserve">本品对眼睛有刺激性。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5FF5974E">
        <w:tblPrEx>
          <w:tblCellMar>
            <w:top w:w="0" w:type="dxa"/>
            <w:left w:w="0" w:type="dxa"/>
            <w:bottom w:w="0" w:type="dxa"/>
            <w:right w:w="0" w:type="dxa"/>
          </w:tblCellMar>
        </w:tblPrEx>
        <w:trPr>
          <w:wBefore w:w="0" w:type="auto"/>
          <w:tblCellSpacing w:w="0" w:type="dxa"/>
        </w:trPr>
        <w:tc>
          <w:tcPr>
            <w:tcW w:w="0" w:type="auto"/>
            <w:noWrap w:val="0"/>
            <w:vAlign w:val="center"/>
          </w:tcPr>
          <w:p w14:paraId="20C652B3">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w:t>
            </w:r>
          </w:p>
        </w:tc>
      </w:tr>
      <w:tr w14:paraId="66D11E37">
        <w:tblPrEx>
          <w:tblCellMar>
            <w:top w:w="0" w:type="dxa"/>
            <w:left w:w="0" w:type="dxa"/>
            <w:bottom w:w="0" w:type="dxa"/>
            <w:right w:w="0" w:type="dxa"/>
          </w:tblCellMar>
        </w:tblPrEx>
        <w:trPr>
          <w:wBefore w:w="0" w:type="auto"/>
          <w:tblCellSpacing w:w="0" w:type="dxa"/>
        </w:trPr>
        <w:tc>
          <w:tcPr>
            <w:tcW w:w="0" w:type="auto"/>
            <w:noWrap w:val="0"/>
            <w:vAlign w:val="center"/>
          </w:tcPr>
          <w:p w14:paraId="7A0FB359">
            <w:r>
              <w:rPr>
                <w:rStyle w:val="10"/>
                <w:rFonts w:hint="eastAsia"/>
              </w:rPr>
              <w:t>质量保证期：</w:t>
            </w:r>
            <w:r>
              <w:rPr>
                <w:rStyle w:val="11"/>
                <w:rFonts w:hint="eastAsia"/>
              </w:rPr>
              <w:t>2年</w:t>
            </w:r>
          </w:p>
        </w:tc>
      </w:tr>
      <w:tr w14:paraId="7C80F497">
        <w:tblPrEx>
          <w:tblCellMar>
            <w:top w:w="0" w:type="dxa"/>
            <w:left w:w="0" w:type="dxa"/>
            <w:bottom w:w="0" w:type="dxa"/>
            <w:right w:w="0" w:type="dxa"/>
          </w:tblCellMar>
        </w:tblPrEx>
        <w:trPr>
          <w:wBefore w:w="0" w:type="auto"/>
          <w:tblCellSpacing w:w="0" w:type="dxa"/>
        </w:trPr>
        <w:tc>
          <w:tcPr>
            <w:tcW w:w="0" w:type="auto"/>
            <w:noWrap w:val="0"/>
            <w:vAlign w:val="center"/>
          </w:tcPr>
          <w:p w14:paraId="5F772B3A">
            <w:r>
              <w:rPr>
                <w:rStyle w:val="10"/>
                <w:rFonts w:hint="eastAsia"/>
              </w:rPr>
              <w:t>备注：</w:t>
            </w:r>
          </w:p>
        </w:tc>
      </w:tr>
    </w:tbl>
    <w:p w14:paraId="54B54B5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31C94D">
        <w:tblPrEx>
          <w:tblCellMar>
            <w:top w:w="0" w:type="dxa"/>
            <w:left w:w="0" w:type="dxa"/>
            <w:bottom w:w="0" w:type="dxa"/>
            <w:right w:w="0" w:type="dxa"/>
          </w:tblCellMar>
        </w:tblPrEx>
        <w:trPr>
          <w:wBefore w:w="0" w:type="auto"/>
          <w:tblCellSpacing w:w="0" w:type="dxa"/>
        </w:trPr>
        <w:tc>
          <w:tcPr>
            <w:tcW w:w="0" w:type="auto"/>
            <w:noWrap w:val="0"/>
            <w:vAlign w:val="center"/>
          </w:tcPr>
          <w:p w14:paraId="5CCDB6E8">
            <w:r>
              <w:rPr>
                <w:rStyle w:val="10"/>
                <w:rFonts w:hint="eastAsia"/>
              </w:rPr>
              <w:t>登记证号：</w:t>
            </w:r>
            <w:r>
              <w:rPr>
                <w:rFonts w:hint="eastAsia"/>
              </w:rPr>
              <w:t>PD20212465</w:t>
            </w:r>
          </w:p>
        </w:tc>
      </w:tr>
      <w:tr w14:paraId="15898324">
        <w:tblPrEx>
          <w:tblCellMar>
            <w:top w:w="0" w:type="dxa"/>
            <w:left w:w="0" w:type="dxa"/>
            <w:bottom w:w="0" w:type="dxa"/>
            <w:right w:w="0" w:type="dxa"/>
          </w:tblCellMar>
        </w:tblPrEx>
        <w:trPr>
          <w:wBefore w:w="0" w:type="auto"/>
          <w:tblCellSpacing w:w="0" w:type="dxa"/>
        </w:trPr>
        <w:tc>
          <w:tcPr>
            <w:tcW w:w="0" w:type="auto"/>
            <w:noWrap w:val="0"/>
            <w:vAlign w:val="center"/>
          </w:tcPr>
          <w:p w14:paraId="367F719A">
            <w:r>
              <w:rPr>
                <w:rStyle w:val="10"/>
                <w:rFonts w:hint="eastAsia"/>
              </w:rPr>
              <w:t>登记证持有人：</w:t>
            </w:r>
            <w:r>
              <w:rPr>
                <w:rFonts w:hint="eastAsia"/>
              </w:rPr>
              <w:t>山东金秋园田生物科技有限公司</w:t>
            </w:r>
          </w:p>
        </w:tc>
      </w:tr>
      <w:tr w14:paraId="7368E9CF">
        <w:tblPrEx>
          <w:tblCellMar>
            <w:top w:w="0" w:type="dxa"/>
            <w:left w:w="0" w:type="dxa"/>
            <w:bottom w:w="0" w:type="dxa"/>
            <w:right w:w="0" w:type="dxa"/>
          </w:tblCellMar>
        </w:tblPrEx>
        <w:trPr>
          <w:wBefore w:w="0" w:type="auto"/>
          <w:tblCellSpacing w:w="0" w:type="dxa"/>
        </w:trPr>
        <w:tc>
          <w:tcPr>
            <w:tcW w:w="0" w:type="auto"/>
            <w:noWrap w:val="0"/>
            <w:vAlign w:val="center"/>
          </w:tcPr>
          <w:p w14:paraId="31A631DE">
            <w:r>
              <w:rPr>
                <w:rStyle w:val="10"/>
                <w:rFonts w:hint="eastAsia"/>
              </w:rPr>
              <w:t>农药名称：</w:t>
            </w:r>
            <w:r>
              <w:rPr>
                <w:rFonts w:hint="eastAsia"/>
              </w:rPr>
              <w:t>阿维菌素</w:t>
            </w:r>
          </w:p>
        </w:tc>
      </w:tr>
      <w:tr w14:paraId="1B190425">
        <w:tblPrEx>
          <w:tblCellMar>
            <w:top w:w="0" w:type="dxa"/>
            <w:left w:w="0" w:type="dxa"/>
            <w:bottom w:w="0" w:type="dxa"/>
            <w:right w:w="0" w:type="dxa"/>
          </w:tblCellMar>
        </w:tblPrEx>
        <w:trPr>
          <w:wBefore w:w="0" w:type="auto"/>
          <w:tblCellSpacing w:w="0" w:type="dxa"/>
        </w:trPr>
        <w:tc>
          <w:tcPr>
            <w:tcW w:w="0" w:type="auto"/>
            <w:noWrap w:val="0"/>
            <w:vAlign w:val="center"/>
          </w:tcPr>
          <w:p w14:paraId="393974F5">
            <w:r>
              <w:rPr>
                <w:rStyle w:val="10"/>
                <w:rFonts w:hint="eastAsia"/>
              </w:rPr>
              <w:t>剂型：</w:t>
            </w:r>
            <w:r>
              <w:rPr>
                <w:rFonts w:hint="eastAsia"/>
              </w:rPr>
              <w:t>可溶液剂</w:t>
            </w:r>
          </w:p>
        </w:tc>
      </w:tr>
      <w:tr w14:paraId="48ED348A">
        <w:tblPrEx>
          <w:tblCellMar>
            <w:top w:w="0" w:type="dxa"/>
            <w:left w:w="0" w:type="dxa"/>
            <w:bottom w:w="0" w:type="dxa"/>
            <w:right w:w="0" w:type="dxa"/>
          </w:tblCellMar>
        </w:tblPrEx>
        <w:trPr>
          <w:wBefore w:w="0" w:type="auto"/>
          <w:tblCellSpacing w:w="0" w:type="dxa"/>
        </w:trPr>
        <w:tc>
          <w:tcPr>
            <w:tcW w:w="0" w:type="auto"/>
            <w:noWrap w:val="0"/>
            <w:vAlign w:val="center"/>
          </w:tcPr>
          <w:p w14:paraId="3C4FDA43">
            <w:r>
              <w:rPr>
                <w:rStyle w:val="10"/>
                <w:rFonts w:hint="eastAsia"/>
              </w:rPr>
              <w:t>毒性及其标识：</w:t>
            </w:r>
            <w:r>
              <w:rPr>
                <w:rFonts w:hint="eastAsia"/>
              </w:rPr>
              <w:t xml:space="preserve"> </w:t>
            </w:r>
            <w:r>
              <w:rPr>
                <w:lang/>
              </w:rPr>
              <w:drawing>
                <wp:inline distT="0" distB="0" distL="114300" distR="114300">
                  <wp:extent cx="476250" cy="323850"/>
                  <wp:effectExtent l="0" t="0" r="0" b="0"/>
                  <wp:docPr id="139" name="图片 1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371F4304">
        <w:tblPrEx>
          <w:tblCellMar>
            <w:top w:w="0" w:type="dxa"/>
            <w:left w:w="0" w:type="dxa"/>
            <w:bottom w:w="0" w:type="dxa"/>
            <w:right w:w="0" w:type="dxa"/>
          </w:tblCellMar>
        </w:tblPrEx>
        <w:trPr>
          <w:wBefore w:w="0" w:type="auto"/>
          <w:tblCellSpacing w:w="0" w:type="dxa"/>
        </w:trPr>
        <w:tc>
          <w:tcPr>
            <w:tcW w:w="0" w:type="auto"/>
            <w:noWrap w:val="0"/>
            <w:vAlign w:val="center"/>
          </w:tcPr>
          <w:p w14:paraId="3FF6B6FB">
            <w:r>
              <w:rPr>
                <w:rStyle w:val="10"/>
                <w:rFonts w:hint="eastAsia"/>
              </w:rPr>
              <w:t>总有效成分含量：</w:t>
            </w:r>
            <w:r>
              <w:rPr>
                <w:rFonts w:hint="eastAsia"/>
              </w:rPr>
              <w:t>0.5%</w:t>
            </w:r>
          </w:p>
        </w:tc>
      </w:tr>
      <w:tr w14:paraId="235BC69D">
        <w:tblPrEx>
          <w:tblCellMar>
            <w:top w:w="0" w:type="dxa"/>
            <w:left w:w="0" w:type="dxa"/>
            <w:bottom w:w="0" w:type="dxa"/>
            <w:right w:w="0" w:type="dxa"/>
          </w:tblCellMar>
        </w:tblPrEx>
        <w:trPr>
          <w:wBefore w:w="0" w:type="auto"/>
          <w:tblCellSpacing w:w="0" w:type="dxa"/>
        </w:trPr>
        <w:tc>
          <w:tcPr>
            <w:tcW w:w="0" w:type="auto"/>
            <w:noWrap w:val="0"/>
            <w:vAlign w:val="center"/>
          </w:tcPr>
          <w:p w14:paraId="75FD6E0F">
            <w:r>
              <w:rPr>
                <w:rFonts w:hint="eastAsia"/>
              </w:rPr>
              <w:t xml:space="preserve">有效成分及其含量： </w:t>
            </w:r>
          </w:p>
          <w:p w14:paraId="050D41E3">
            <w:r>
              <w:rPr>
                <w:rFonts w:hint="eastAsia"/>
              </w:rPr>
              <w:t xml:space="preserve">    阿维菌素0.5%    </w:t>
            </w:r>
          </w:p>
        </w:tc>
      </w:tr>
      <w:tr w14:paraId="19D98EDA">
        <w:tblPrEx>
          <w:tblCellMar>
            <w:top w:w="0" w:type="dxa"/>
            <w:left w:w="0" w:type="dxa"/>
            <w:bottom w:w="0" w:type="dxa"/>
            <w:right w:w="0" w:type="dxa"/>
          </w:tblCellMar>
        </w:tblPrEx>
        <w:trPr>
          <w:wBefore w:w="0" w:type="auto"/>
          <w:tblCellSpacing w:w="0" w:type="dxa"/>
        </w:trPr>
        <w:tc>
          <w:tcPr>
            <w:tcW w:w="0" w:type="auto"/>
            <w:noWrap w:val="0"/>
            <w:vAlign w:val="center"/>
          </w:tcPr>
          <w:p w14:paraId="49596D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F3BA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0DFE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9F33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3F51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9A389E">
                  <w:r>
                    <w:rPr>
                      <w:rStyle w:val="11"/>
                      <w:rFonts w:hint="eastAsia"/>
                    </w:rPr>
                    <w:t>施用方式</w:t>
                  </w:r>
                </w:p>
              </w:tc>
            </w:tr>
            <w:tr w14:paraId="67627B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EB3055">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B4A640">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ECE10A">
                  <w:r>
                    <w:rPr>
                      <w:rStyle w:val="11"/>
                      <w:rFonts w:hint="eastAsia"/>
                    </w:rPr>
                    <w:t>3000-3500毫升/亩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BEF6AB">
                  <w:r>
                    <w:rPr>
                      <w:rStyle w:val="11"/>
                      <w:rFonts w:hint="eastAsia"/>
                    </w:rPr>
                    <w:t>冲施</w:t>
                  </w:r>
                </w:p>
              </w:tc>
            </w:tr>
          </w:tbl>
          <w:p w14:paraId="1644A5C9">
            <w:pPr>
              <w:rPr>
                <w:rFonts w:ascii="Times New Roman" w:hAnsi="Times New Roman" w:cs="Times New Roman"/>
                <w:sz w:val="20"/>
                <w:szCs w:val="20"/>
              </w:rPr>
            </w:pPr>
          </w:p>
        </w:tc>
      </w:tr>
      <w:tr w14:paraId="59B10AF7">
        <w:tblPrEx>
          <w:tblCellMar>
            <w:top w:w="0" w:type="dxa"/>
            <w:left w:w="0" w:type="dxa"/>
            <w:bottom w:w="0" w:type="dxa"/>
            <w:right w:w="0" w:type="dxa"/>
          </w:tblCellMar>
        </w:tblPrEx>
        <w:trPr>
          <w:wBefore w:w="0" w:type="auto"/>
          <w:tblCellSpacing w:w="0" w:type="dxa"/>
        </w:trPr>
        <w:tc>
          <w:tcPr>
            <w:tcW w:w="0" w:type="auto"/>
            <w:noWrap w:val="0"/>
            <w:vAlign w:val="center"/>
          </w:tcPr>
          <w:p w14:paraId="08866922">
            <w:r>
              <w:rPr>
                <w:rStyle w:val="10"/>
                <w:rFonts w:hint="eastAsia"/>
              </w:rPr>
              <w:t>使用技术要求:</w:t>
            </w:r>
            <w:r>
              <w:rPr>
                <w:rFonts w:hint="eastAsia"/>
              </w:rPr>
              <w:br w:type="textWrapping"/>
            </w:r>
            <w:r>
              <w:rPr>
                <w:rStyle w:val="11"/>
                <w:rFonts w:hint="eastAsia"/>
              </w:rPr>
              <w:t>在黄瓜移栽缓苗后，3000-3500毫升/亩防治根结线虫，随浇水冲施到田间。每季最多使用1次。</w:t>
            </w:r>
          </w:p>
        </w:tc>
      </w:tr>
      <w:tr w14:paraId="5F00C37D">
        <w:tblPrEx>
          <w:tblCellMar>
            <w:top w:w="0" w:type="dxa"/>
            <w:left w:w="0" w:type="dxa"/>
            <w:bottom w:w="0" w:type="dxa"/>
            <w:right w:w="0" w:type="dxa"/>
          </w:tblCellMar>
        </w:tblPrEx>
        <w:trPr>
          <w:wBefore w:w="0" w:type="auto"/>
          <w:tblCellSpacing w:w="0" w:type="dxa"/>
        </w:trPr>
        <w:tc>
          <w:tcPr>
            <w:tcW w:w="0" w:type="auto"/>
            <w:noWrap w:val="0"/>
            <w:vAlign w:val="center"/>
          </w:tcPr>
          <w:p w14:paraId="33D94FCB">
            <w:r>
              <w:rPr>
                <w:rStyle w:val="10"/>
                <w:rFonts w:hint="eastAsia"/>
              </w:rPr>
              <w:t>产品性能:</w:t>
            </w:r>
            <w:r>
              <w:rPr>
                <w:rFonts w:hint="eastAsia"/>
              </w:rPr>
              <w:br w:type="textWrapping"/>
            </w:r>
            <w:r>
              <w:rPr>
                <w:rStyle w:val="11"/>
                <w:rFonts w:hint="eastAsia"/>
              </w:rPr>
              <w:t>阿维菌素通过干扰神经活动，刺激释放γ-氨基丁酸，增强γ-氨基丁酸与细胞膜上受体的结合，从而使细胞的氯离子增加，细胞膜超极化，导致神经信号传递受阻，致死麻痹、死亡。可用于防治黄瓜根结线虫。</w:t>
            </w:r>
          </w:p>
        </w:tc>
      </w:tr>
      <w:tr w14:paraId="0996F52B">
        <w:tblPrEx>
          <w:tblCellMar>
            <w:top w:w="0" w:type="dxa"/>
            <w:left w:w="0" w:type="dxa"/>
            <w:bottom w:w="0" w:type="dxa"/>
            <w:right w:w="0" w:type="dxa"/>
          </w:tblCellMar>
        </w:tblPrEx>
        <w:trPr>
          <w:wBefore w:w="0" w:type="auto"/>
          <w:tblCellSpacing w:w="0" w:type="dxa"/>
        </w:trPr>
        <w:tc>
          <w:tcPr>
            <w:tcW w:w="0" w:type="auto"/>
            <w:noWrap w:val="0"/>
            <w:vAlign w:val="center"/>
          </w:tcPr>
          <w:p w14:paraId="025ED228">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用大量清水和肥皂清洗手、脸等暴露部位皮肤并更换衣物。2. 本品对鱼类、溞、藻类等水生生物有毒，远离水产养殖区、河塘等水体施药，禁止在河塘等水体中清洗施药器具。3. 对鸟类高毒，鸟类保护区禁用。4. 建议与其它作用机制的杀线虫剂轮换使用。5. 用过的容器应妥善处理，不可做他用，也不可随意丢弃。6. 禁止儿童、孕妇及哺乳期的妇女接触。过敏者禁用，使用中有任何不良反应请及时就医。</w:t>
            </w:r>
          </w:p>
        </w:tc>
      </w:tr>
      <w:tr w14:paraId="6A5AFC9D">
        <w:tblPrEx>
          <w:tblCellMar>
            <w:top w:w="0" w:type="dxa"/>
            <w:left w:w="0" w:type="dxa"/>
            <w:bottom w:w="0" w:type="dxa"/>
            <w:right w:w="0" w:type="dxa"/>
          </w:tblCellMar>
        </w:tblPrEx>
        <w:trPr>
          <w:wBefore w:w="0" w:type="auto"/>
          <w:tblCellSpacing w:w="0" w:type="dxa"/>
        </w:trPr>
        <w:tc>
          <w:tcPr>
            <w:tcW w:w="0" w:type="auto"/>
            <w:noWrap w:val="0"/>
            <w:vAlign w:val="center"/>
          </w:tcPr>
          <w:p w14:paraId="129FA3F3">
            <w:r>
              <w:rPr>
                <w:rStyle w:val="10"/>
                <w:rFonts w:hint="eastAsia"/>
              </w:rPr>
              <w:t>中毒急救措施：</w:t>
            </w:r>
            <w:r>
              <w:rPr>
                <w:rFonts w:hint="eastAsia"/>
              </w:rPr>
              <w:br w:type="textWrapping"/>
            </w:r>
            <w:r>
              <w:rPr>
                <w:rStyle w:val="11"/>
                <w:rFonts w:hint="eastAsia"/>
              </w:rPr>
              <w:t xml:space="preserve">中毒症状：本品对眼睛有刺激性，早期症状为瞳孔放大，行动失调，肌肉颤抖，严重时导致呕吐。 急救措施：使用中或使用后如果感觉不适，应立即停止工作，采取急救措施，并携带标签送医院就诊。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清醒者立即催吐并给患者服用吐根糖浆或麻黄素，但切勿给已经昏迷的患者灌胃任何东西或催吐；避免使用能增强γ-氨基丁酸活性的药物（如巴比妥等）。 </w:t>
            </w:r>
          </w:p>
        </w:tc>
      </w:tr>
      <w:tr w14:paraId="00675FD1">
        <w:tblPrEx>
          <w:tblCellMar>
            <w:top w:w="0" w:type="dxa"/>
            <w:left w:w="0" w:type="dxa"/>
            <w:bottom w:w="0" w:type="dxa"/>
            <w:right w:w="0" w:type="dxa"/>
          </w:tblCellMar>
        </w:tblPrEx>
        <w:trPr>
          <w:wBefore w:w="0" w:type="auto"/>
          <w:tblCellSpacing w:w="0" w:type="dxa"/>
        </w:trPr>
        <w:tc>
          <w:tcPr>
            <w:tcW w:w="0" w:type="auto"/>
            <w:noWrap w:val="0"/>
            <w:vAlign w:val="center"/>
          </w:tcPr>
          <w:p w14:paraId="7276B436">
            <w:r>
              <w:rPr>
                <w:rStyle w:val="10"/>
                <w:rFonts w:hint="eastAsia"/>
              </w:rPr>
              <w:t>储存和运输方法：</w:t>
            </w:r>
            <w:r>
              <w:rPr>
                <w:rFonts w:hint="eastAsia"/>
              </w:rPr>
              <w:br w:type="textWrapping"/>
            </w:r>
            <w:r>
              <w:rPr>
                <w:rStyle w:val="11"/>
                <w:rFonts w:hint="eastAsia"/>
              </w:rPr>
              <w:t>本品属易燃液体，应贮存在干燥、阴凉、通风、防雨处；本品易燃，远离火源或热源。置于儿童、无关人员接触不到的地方，并加锁。不能与食品、饮料、粮食、饲料等混合储存。避免与氧化剂接触。本品为药肥混剂。</w:t>
            </w:r>
          </w:p>
        </w:tc>
      </w:tr>
      <w:tr w14:paraId="70DE44AE">
        <w:tblPrEx>
          <w:tblCellMar>
            <w:top w:w="0" w:type="dxa"/>
            <w:left w:w="0" w:type="dxa"/>
            <w:bottom w:w="0" w:type="dxa"/>
            <w:right w:w="0" w:type="dxa"/>
          </w:tblCellMar>
        </w:tblPrEx>
        <w:trPr>
          <w:wBefore w:w="0" w:type="auto"/>
          <w:tblCellSpacing w:w="0" w:type="dxa"/>
        </w:trPr>
        <w:tc>
          <w:tcPr>
            <w:tcW w:w="0" w:type="auto"/>
            <w:noWrap w:val="0"/>
            <w:vAlign w:val="center"/>
          </w:tcPr>
          <w:p w14:paraId="6869467D">
            <w:r>
              <w:rPr>
                <w:rStyle w:val="10"/>
                <w:rFonts w:hint="eastAsia"/>
              </w:rPr>
              <w:t>质量保证期：</w:t>
            </w:r>
            <w:r>
              <w:rPr>
                <w:rStyle w:val="11"/>
                <w:rFonts w:hint="eastAsia"/>
              </w:rPr>
              <w:t>2年</w:t>
            </w:r>
          </w:p>
        </w:tc>
      </w:tr>
      <w:tr w14:paraId="2429B0E9">
        <w:tblPrEx>
          <w:tblCellMar>
            <w:top w:w="0" w:type="dxa"/>
            <w:left w:w="0" w:type="dxa"/>
            <w:bottom w:w="0" w:type="dxa"/>
            <w:right w:w="0" w:type="dxa"/>
          </w:tblCellMar>
        </w:tblPrEx>
        <w:trPr>
          <w:wBefore w:w="0" w:type="auto"/>
          <w:tblCellSpacing w:w="0" w:type="dxa"/>
        </w:trPr>
        <w:tc>
          <w:tcPr>
            <w:tcW w:w="0" w:type="auto"/>
            <w:noWrap w:val="0"/>
            <w:vAlign w:val="center"/>
          </w:tcPr>
          <w:p w14:paraId="10D4A18E">
            <w:r>
              <w:rPr>
                <w:rStyle w:val="10"/>
                <w:rFonts w:hint="eastAsia"/>
              </w:rPr>
              <w:t>备注：</w:t>
            </w:r>
          </w:p>
        </w:tc>
      </w:tr>
    </w:tbl>
    <w:p w14:paraId="4215F92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F47CBF">
        <w:tblPrEx>
          <w:tblCellMar>
            <w:top w:w="0" w:type="dxa"/>
            <w:left w:w="0" w:type="dxa"/>
            <w:bottom w:w="0" w:type="dxa"/>
            <w:right w:w="0" w:type="dxa"/>
          </w:tblCellMar>
        </w:tblPrEx>
        <w:trPr>
          <w:wBefore w:w="0" w:type="auto"/>
          <w:tblCellSpacing w:w="0" w:type="dxa"/>
        </w:trPr>
        <w:tc>
          <w:tcPr>
            <w:tcW w:w="0" w:type="auto"/>
            <w:noWrap w:val="0"/>
            <w:vAlign w:val="center"/>
          </w:tcPr>
          <w:p w14:paraId="03C86CC1">
            <w:r>
              <w:rPr>
                <w:rStyle w:val="10"/>
                <w:rFonts w:hint="eastAsia"/>
              </w:rPr>
              <w:t>登记证号：</w:t>
            </w:r>
            <w:r>
              <w:rPr>
                <w:rFonts w:hint="eastAsia"/>
              </w:rPr>
              <w:t>PD20212449</w:t>
            </w:r>
          </w:p>
        </w:tc>
      </w:tr>
      <w:tr w14:paraId="4E04E836">
        <w:tblPrEx>
          <w:tblCellMar>
            <w:top w:w="0" w:type="dxa"/>
            <w:left w:w="0" w:type="dxa"/>
            <w:bottom w:w="0" w:type="dxa"/>
            <w:right w:w="0" w:type="dxa"/>
          </w:tblCellMar>
        </w:tblPrEx>
        <w:trPr>
          <w:wBefore w:w="0" w:type="auto"/>
          <w:tblCellSpacing w:w="0" w:type="dxa"/>
        </w:trPr>
        <w:tc>
          <w:tcPr>
            <w:tcW w:w="0" w:type="auto"/>
            <w:noWrap w:val="0"/>
            <w:vAlign w:val="center"/>
          </w:tcPr>
          <w:p w14:paraId="6088EB8C">
            <w:r>
              <w:rPr>
                <w:rStyle w:val="10"/>
                <w:rFonts w:hint="eastAsia"/>
              </w:rPr>
              <w:t>登记证持有人：</w:t>
            </w:r>
            <w:r>
              <w:rPr>
                <w:rFonts w:hint="eastAsia"/>
              </w:rPr>
              <w:t>河南波尔森农业科技有限公司</w:t>
            </w:r>
          </w:p>
        </w:tc>
      </w:tr>
      <w:tr w14:paraId="7533112C">
        <w:tblPrEx>
          <w:tblCellMar>
            <w:top w:w="0" w:type="dxa"/>
            <w:left w:w="0" w:type="dxa"/>
            <w:bottom w:w="0" w:type="dxa"/>
            <w:right w:w="0" w:type="dxa"/>
          </w:tblCellMar>
        </w:tblPrEx>
        <w:trPr>
          <w:wBefore w:w="0" w:type="auto"/>
          <w:tblCellSpacing w:w="0" w:type="dxa"/>
        </w:trPr>
        <w:tc>
          <w:tcPr>
            <w:tcW w:w="0" w:type="auto"/>
            <w:noWrap w:val="0"/>
            <w:vAlign w:val="center"/>
          </w:tcPr>
          <w:p w14:paraId="2F8CD914">
            <w:r>
              <w:rPr>
                <w:rStyle w:val="10"/>
                <w:rFonts w:hint="eastAsia"/>
              </w:rPr>
              <w:t>农药名称：</w:t>
            </w:r>
            <w:r>
              <w:rPr>
                <w:rFonts w:hint="eastAsia"/>
              </w:rPr>
              <w:t>阿维·茚虫威</w:t>
            </w:r>
          </w:p>
        </w:tc>
      </w:tr>
      <w:tr w14:paraId="0C9D1303">
        <w:tblPrEx>
          <w:tblCellMar>
            <w:top w:w="0" w:type="dxa"/>
            <w:left w:w="0" w:type="dxa"/>
            <w:bottom w:w="0" w:type="dxa"/>
            <w:right w:w="0" w:type="dxa"/>
          </w:tblCellMar>
        </w:tblPrEx>
        <w:trPr>
          <w:wBefore w:w="0" w:type="auto"/>
          <w:tblCellSpacing w:w="0" w:type="dxa"/>
        </w:trPr>
        <w:tc>
          <w:tcPr>
            <w:tcW w:w="0" w:type="auto"/>
            <w:noWrap w:val="0"/>
            <w:vAlign w:val="center"/>
          </w:tcPr>
          <w:p w14:paraId="0F4D386A">
            <w:r>
              <w:rPr>
                <w:rStyle w:val="10"/>
                <w:rFonts w:hint="eastAsia"/>
              </w:rPr>
              <w:t>剂型：</w:t>
            </w:r>
            <w:r>
              <w:rPr>
                <w:rFonts w:hint="eastAsia"/>
              </w:rPr>
              <w:t>微乳剂</w:t>
            </w:r>
          </w:p>
        </w:tc>
      </w:tr>
      <w:tr w14:paraId="504EE083">
        <w:tblPrEx>
          <w:tblCellMar>
            <w:top w:w="0" w:type="dxa"/>
            <w:left w:w="0" w:type="dxa"/>
            <w:bottom w:w="0" w:type="dxa"/>
            <w:right w:w="0" w:type="dxa"/>
          </w:tblCellMar>
        </w:tblPrEx>
        <w:trPr>
          <w:wBefore w:w="0" w:type="auto"/>
          <w:tblCellSpacing w:w="0" w:type="dxa"/>
        </w:trPr>
        <w:tc>
          <w:tcPr>
            <w:tcW w:w="0" w:type="auto"/>
            <w:noWrap w:val="0"/>
            <w:vAlign w:val="center"/>
          </w:tcPr>
          <w:p w14:paraId="65469EE5">
            <w:r>
              <w:rPr>
                <w:rStyle w:val="10"/>
                <w:rFonts w:hint="eastAsia"/>
              </w:rPr>
              <w:t>毒性及其标识：</w:t>
            </w:r>
            <w:r>
              <w:rPr>
                <w:rFonts w:hint="eastAsia"/>
              </w:rPr>
              <w:t xml:space="preserve"> </w:t>
            </w:r>
            <w:r>
              <w:rPr>
                <w:lang/>
              </w:rPr>
              <w:drawing>
                <wp:inline distT="0" distB="0" distL="114300" distR="114300">
                  <wp:extent cx="476250" cy="323850"/>
                  <wp:effectExtent l="0" t="0" r="0" b="0"/>
                  <wp:docPr id="140" name="图片 1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8061FA">
        <w:tblPrEx>
          <w:tblCellMar>
            <w:top w:w="0" w:type="dxa"/>
            <w:left w:w="0" w:type="dxa"/>
            <w:bottom w:w="0" w:type="dxa"/>
            <w:right w:w="0" w:type="dxa"/>
          </w:tblCellMar>
        </w:tblPrEx>
        <w:trPr>
          <w:wBefore w:w="0" w:type="auto"/>
          <w:tblCellSpacing w:w="0" w:type="dxa"/>
        </w:trPr>
        <w:tc>
          <w:tcPr>
            <w:tcW w:w="0" w:type="auto"/>
            <w:noWrap w:val="0"/>
            <w:vAlign w:val="center"/>
          </w:tcPr>
          <w:p w14:paraId="6930A23B">
            <w:r>
              <w:rPr>
                <w:rStyle w:val="10"/>
                <w:rFonts w:hint="eastAsia"/>
              </w:rPr>
              <w:t>总有效成分含量：</w:t>
            </w:r>
            <w:r>
              <w:rPr>
                <w:rFonts w:hint="eastAsia"/>
              </w:rPr>
              <w:t>6%</w:t>
            </w:r>
          </w:p>
        </w:tc>
      </w:tr>
      <w:tr w14:paraId="388141CE">
        <w:tblPrEx>
          <w:tblCellMar>
            <w:top w:w="0" w:type="dxa"/>
            <w:left w:w="0" w:type="dxa"/>
            <w:bottom w:w="0" w:type="dxa"/>
            <w:right w:w="0" w:type="dxa"/>
          </w:tblCellMar>
        </w:tblPrEx>
        <w:trPr>
          <w:wBefore w:w="0" w:type="auto"/>
          <w:tblCellSpacing w:w="0" w:type="dxa"/>
        </w:trPr>
        <w:tc>
          <w:tcPr>
            <w:tcW w:w="0" w:type="auto"/>
            <w:noWrap w:val="0"/>
            <w:vAlign w:val="center"/>
          </w:tcPr>
          <w:p w14:paraId="1AA03562">
            <w:r>
              <w:rPr>
                <w:rFonts w:hint="eastAsia"/>
              </w:rPr>
              <w:t xml:space="preserve">有效成分及其含量： </w:t>
            </w:r>
          </w:p>
          <w:p w14:paraId="4EC446C1">
            <w:r>
              <w:rPr>
                <w:rFonts w:hint="eastAsia"/>
              </w:rPr>
              <w:t xml:space="preserve">    阿维菌素1.5%    茚虫威4.5%    </w:t>
            </w:r>
          </w:p>
        </w:tc>
      </w:tr>
      <w:tr w14:paraId="1CA7B7B5">
        <w:tblPrEx>
          <w:tblCellMar>
            <w:top w:w="0" w:type="dxa"/>
            <w:left w:w="0" w:type="dxa"/>
            <w:bottom w:w="0" w:type="dxa"/>
            <w:right w:w="0" w:type="dxa"/>
          </w:tblCellMar>
        </w:tblPrEx>
        <w:trPr>
          <w:wBefore w:w="0" w:type="auto"/>
          <w:tblCellSpacing w:w="0" w:type="dxa"/>
        </w:trPr>
        <w:tc>
          <w:tcPr>
            <w:tcW w:w="0" w:type="auto"/>
            <w:noWrap w:val="0"/>
            <w:vAlign w:val="center"/>
          </w:tcPr>
          <w:p w14:paraId="64ACF1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91758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5B521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0E1C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62EB5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5716FB">
                  <w:r>
                    <w:rPr>
                      <w:rStyle w:val="11"/>
                      <w:rFonts w:hint="eastAsia"/>
                    </w:rPr>
                    <w:t>施用方式</w:t>
                  </w:r>
                </w:p>
              </w:tc>
            </w:tr>
            <w:tr w14:paraId="392DCF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B0CA0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9858CF">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D01766">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37AA3B">
                  <w:r>
                    <w:rPr>
                      <w:rStyle w:val="11"/>
                      <w:rFonts w:hint="eastAsia"/>
                    </w:rPr>
                    <w:t>喷雾</w:t>
                  </w:r>
                </w:p>
              </w:tc>
            </w:tr>
          </w:tbl>
          <w:p w14:paraId="4865A48F">
            <w:pPr>
              <w:rPr>
                <w:rFonts w:ascii="Times New Roman" w:hAnsi="Times New Roman" w:cs="Times New Roman"/>
                <w:sz w:val="20"/>
                <w:szCs w:val="20"/>
              </w:rPr>
            </w:pPr>
          </w:p>
        </w:tc>
      </w:tr>
      <w:tr w14:paraId="4A86170B">
        <w:tblPrEx>
          <w:tblCellMar>
            <w:top w:w="0" w:type="dxa"/>
            <w:left w:w="0" w:type="dxa"/>
            <w:bottom w:w="0" w:type="dxa"/>
            <w:right w:w="0" w:type="dxa"/>
          </w:tblCellMar>
        </w:tblPrEx>
        <w:trPr>
          <w:wBefore w:w="0" w:type="auto"/>
          <w:tblCellSpacing w:w="0" w:type="dxa"/>
        </w:trPr>
        <w:tc>
          <w:tcPr>
            <w:tcW w:w="0" w:type="auto"/>
            <w:noWrap w:val="0"/>
            <w:vAlign w:val="center"/>
          </w:tcPr>
          <w:p w14:paraId="3931942A">
            <w:r>
              <w:rPr>
                <w:rStyle w:val="10"/>
                <w:rFonts w:hint="eastAsia"/>
              </w:rPr>
              <w:t>使用技术要求:</w:t>
            </w:r>
            <w:r>
              <w:rPr>
                <w:rFonts w:hint="eastAsia"/>
              </w:rPr>
              <w:br w:type="textWrapping"/>
            </w:r>
            <w:r>
              <w:rPr>
                <w:rStyle w:val="11"/>
                <w:rFonts w:hint="eastAsia"/>
              </w:rPr>
              <w:t>1. 于二化螟卵孵化高峰期至低龄幼虫始盛期，茎叶喷雾施药，保证作物顶尖和叶片正反两面均着药。喷雾均匀、周到。 2. 用水量要充足，确保覆盖全株；在作物密度过大，以及在作物生长后期，建议加大喷液量。3. 大风天或预计1小时内降雨，请勿施药。4. 在水稻上安全间隔期21天，每季作物最多施药2次。</w:t>
            </w:r>
          </w:p>
        </w:tc>
      </w:tr>
      <w:tr w14:paraId="166659CE">
        <w:tblPrEx>
          <w:tblCellMar>
            <w:top w:w="0" w:type="dxa"/>
            <w:left w:w="0" w:type="dxa"/>
            <w:bottom w:w="0" w:type="dxa"/>
            <w:right w:w="0" w:type="dxa"/>
          </w:tblCellMar>
        </w:tblPrEx>
        <w:trPr>
          <w:wBefore w:w="0" w:type="auto"/>
          <w:tblCellSpacing w:w="0" w:type="dxa"/>
        </w:trPr>
        <w:tc>
          <w:tcPr>
            <w:tcW w:w="0" w:type="auto"/>
            <w:noWrap w:val="0"/>
            <w:vAlign w:val="center"/>
          </w:tcPr>
          <w:p w14:paraId="79C3980D">
            <w:r>
              <w:rPr>
                <w:rStyle w:val="10"/>
                <w:rFonts w:hint="eastAsia"/>
              </w:rPr>
              <w:t>产品性能:</w:t>
            </w:r>
            <w:r>
              <w:rPr>
                <w:rFonts w:hint="eastAsia"/>
              </w:rPr>
              <w:br w:type="textWrapping"/>
            </w:r>
            <w:r>
              <w:rPr>
                <w:rStyle w:val="11"/>
                <w:rFonts w:hint="eastAsia"/>
              </w:rPr>
              <w:t>本品中阿维菌素以胃毒为主兼触杀作用，能有效渗入植物表皮组织。茚虫威通过干扰昆虫钠离子通道，使害虫中毒后麻痹致死，以触杀和胃毒作用为主，两者混配后对水稻二化螟有较好的防治效果。</w:t>
            </w:r>
          </w:p>
        </w:tc>
      </w:tr>
      <w:tr w14:paraId="736DA344">
        <w:tblPrEx>
          <w:tblCellMar>
            <w:top w:w="0" w:type="dxa"/>
            <w:left w:w="0" w:type="dxa"/>
            <w:bottom w:w="0" w:type="dxa"/>
            <w:right w:w="0" w:type="dxa"/>
          </w:tblCellMar>
        </w:tblPrEx>
        <w:trPr>
          <w:wBefore w:w="0" w:type="auto"/>
          <w:tblCellSpacing w:w="0" w:type="dxa"/>
        </w:trPr>
        <w:tc>
          <w:tcPr>
            <w:tcW w:w="0" w:type="auto"/>
            <w:noWrap w:val="0"/>
            <w:vAlign w:val="center"/>
          </w:tcPr>
          <w:p w14:paraId="0D9EAA78">
            <w:r>
              <w:rPr>
                <w:rStyle w:val="10"/>
                <w:rFonts w:hint="eastAsia"/>
              </w:rPr>
              <w:t>注意事项：</w:t>
            </w:r>
            <w:r>
              <w:rPr>
                <w:rFonts w:hint="eastAsia"/>
              </w:rPr>
              <w:br w:type="textWrapping"/>
            </w:r>
            <w:r>
              <w:rPr>
                <w:rStyle w:val="11"/>
                <w:rFonts w:hint="eastAsia"/>
              </w:rPr>
              <w:t>1. 建议与其他作用机制不同的杀虫剂轮换使用，以延缓抗性产生；2. 本品对蜜蜂、家蚕有毒，（周围）开花植物花期和蜜蜂放飞区禁用，使用时应密切关注对附近蜂群的影响，蚕室和桑园附近禁用。对赤眼蜂等天敌生物和鱼类等水生生物有风险，在赤眼蜂等天敌放飞区禁用，远离水产养殖区、河塘等水体施药，禁止在河塘等水体中清洗施药器具；鱼或蟹套养稻田禁用，施药后的田水不得直接排入水体； 3. 不可与碱性农药等物质混合使用；4. 开启包装时注意用力不要过大，以免药液散溅；5. 配药和施药时，应穿戴防护服和手套，避免吸入药液；施药期间不可吃东西和饮水；施药后应及时洗手和洗脸。6. 孕妇及哺乳期妇女避免接触；用过的容器应妥善处理，不可作他用，也不可随意丢弃。7. 避免与氧化剂接触。</w:t>
            </w:r>
          </w:p>
        </w:tc>
      </w:tr>
      <w:tr w14:paraId="1CE0FA9D">
        <w:tblPrEx>
          <w:tblCellMar>
            <w:top w:w="0" w:type="dxa"/>
            <w:left w:w="0" w:type="dxa"/>
            <w:bottom w:w="0" w:type="dxa"/>
            <w:right w:w="0" w:type="dxa"/>
          </w:tblCellMar>
        </w:tblPrEx>
        <w:trPr>
          <w:wBefore w:w="0" w:type="auto"/>
          <w:tblCellSpacing w:w="0" w:type="dxa"/>
        </w:trPr>
        <w:tc>
          <w:tcPr>
            <w:tcW w:w="0" w:type="auto"/>
            <w:noWrap w:val="0"/>
            <w:vAlign w:val="center"/>
          </w:tcPr>
          <w:p w14:paraId="0E165B21">
            <w:r>
              <w:rPr>
                <w:rStyle w:val="10"/>
                <w:rFonts w:hint="eastAsia"/>
              </w:rPr>
              <w:t>中毒急救措施：</w:t>
            </w:r>
            <w:r>
              <w:rPr>
                <w:rFonts w:hint="eastAsia"/>
              </w:rPr>
              <w:br w:type="textWrapping"/>
            </w:r>
            <w:r>
              <w:rPr>
                <w:rStyle w:val="11"/>
                <w:rFonts w:hint="eastAsia"/>
              </w:rPr>
              <w:t>中毒症状表现为:皮肤刺痛、头痛、头昏、恶心呕吐，双手颤抖、抽搐、惊厥、昏迷等。如皮肤接触，用肥皂和大量的清水冲洗并换洗衣物；如接触眼睛，用清水冲洗眼睛至少15分钟，仍有不适应立即就医，不慎吸入：立即离开施药现场，转移至空气流通处；若误服，立即停止服用，用大量清水漱口后，立即携此标签送中毒者到医院对症治疗，不能引吐。</w:t>
            </w:r>
          </w:p>
        </w:tc>
      </w:tr>
      <w:tr w14:paraId="12F2B4C3">
        <w:tblPrEx>
          <w:tblCellMar>
            <w:top w:w="0" w:type="dxa"/>
            <w:left w:w="0" w:type="dxa"/>
            <w:bottom w:w="0" w:type="dxa"/>
            <w:right w:w="0" w:type="dxa"/>
          </w:tblCellMar>
        </w:tblPrEx>
        <w:trPr>
          <w:wBefore w:w="0" w:type="auto"/>
          <w:tblCellSpacing w:w="0" w:type="dxa"/>
        </w:trPr>
        <w:tc>
          <w:tcPr>
            <w:tcW w:w="0" w:type="auto"/>
            <w:noWrap w:val="0"/>
            <w:vAlign w:val="center"/>
          </w:tcPr>
          <w:p w14:paraId="5875C84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3B15D22F">
        <w:tblPrEx>
          <w:tblCellMar>
            <w:top w:w="0" w:type="dxa"/>
            <w:left w:w="0" w:type="dxa"/>
            <w:bottom w:w="0" w:type="dxa"/>
            <w:right w:w="0" w:type="dxa"/>
          </w:tblCellMar>
        </w:tblPrEx>
        <w:trPr>
          <w:wBefore w:w="0" w:type="auto"/>
          <w:tblCellSpacing w:w="0" w:type="dxa"/>
        </w:trPr>
        <w:tc>
          <w:tcPr>
            <w:tcW w:w="0" w:type="auto"/>
            <w:noWrap w:val="0"/>
            <w:vAlign w:val="center"/>
          </w:tcPr>
          <w:p w14:paraId="5F76C797">
            <w:r>
              <w:rPr>
                <w:rStyle w:val="10"/>
                <w:rFonts w:hint="eastAsia"/>
              </w:rPr>
              <w:t>质量保证期：</w:t>
            </w:r>
            <w:r>
              <w:rPr>
                <w:rStyle w:val="11"/>
                <w:rFonts w:hint="eastAsia"/>
              </w:rPr>
              <w:t>2年</w:t>
            </w:r>
          </w:p>
        </w:tc>
      </w:tr>
      <w:tr w14:paraId="2FB20213">
        <w:tblPrEx>
          <w:tblCellMar>
            <w:top w:w="0" w:type="dxa"/>
            <w:left w:w="0" w:type="dxa"/>
            <w:bottom w:w="0" w:type="dxa"/>
            <w:right w:w="0" w:type="dxa"/>
          </w:tblCellMar>
        </w:tblPrEx>
        <w:trPr>
          <w:wBefore w:w="0" w:type="auto"/>
          <w:tblCellSpacing w:w="0" w:type="dxa"/>
        </w:trPr>
        <w:tc>
          <w:tcPr>
            <w:tcW w:w="0" w:type="auto"/>
            <w:noWrap w:val="0"/>
            <w:vAlign w:val="center"/>
          </w:tcPr>
          <w:p w14:paraId="197E8D3A">
            <w:r>
              <w:rPr>
                <w:rStyle w:val="10"/>
                <w:rFonts w:hint="eastAsia"/>
              </w:rPr>
              <w:t>备注：</w:t>
            </w:r>
          </w:p>
        </w:tc>
      </w:tr>
    </w:tbl>
    <w:p w14:paraId="46DA22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C3210D">
        <w:tblPrEx>
          <w:tblCellMar>
            <w:top w:w="0" w:type="dxa"/>
            <w:left w:w="0" w:type="dxa"/>
            <w:bottom w:w="0" w:type="dxa"/>
            <w:right w:w="0" w:type="dxa"/>
          </w:tblCellMar>
        </w:tblPrEx>
        <w:trPr>
          <w:wBefore w:w="0" w:type="auto"/>
          <w:tblCellSpacing w:w="0" w:type="dxa"/>
        </w:trPr>
        <w:tc>
          <w:tcPr>
            <w:tcW w:w="0" w:type="auto"/>
            <w:noWrap w:val="0"/>
            <w:vAlign w:val="center"/>
          </w:tcPr>
          <w:p w14:paraId="0FC2A964">
            <w:r>
              <w:rPr>
                <w:rStyle w:val="10"/>
                <w:rFonts w:hint="eastAsia"/>
              </w:rPr>
              <w:t>登记证号：</w:t>
            </w:r>
            <w:r>
              <w:rPr>
                <w:rFonts w:hint="eastAsia"/>
              </w:rPr>
              <w:t>PD20212499</w:t>
            </w:r>
          </w:p>
        </w:tc>
      </w:tr>
      <w:tr w14:paraId="7DB71672">
        <w:tblPrEx>
          <w:tblCellMar>
            <w:top w:w="0" w:type="dxa"/>
            <w:left w:w="0" w:type="dxa"/>
            <w:bottom w:w="0" w:type="dxa"/>
            <w:right w:w="0" w:type="dxa"/>
          </w:tblCellMar>
        </w:tblPrEx>
        <w:trPr>
          <w:wBefore w:w="0" w:type="auto"/>
          <w:tblCellSpacing w:w="0" w:type="dxa"/>
        </w:trPr>
        <w:tc>
          <w:tcPr>
            <w:tcW w:w="0" w:type="auto"/>
            <w:noWrap w:val="0"/>
            <w:vAlign w:val="center"/>
          </w:tcPr>
          <w:p w14:paraId="2CB7BEB0">
            <w:r>
              <w:rPr>
                <w:rStyle w:val="10"/>
                <w:rFonts w:hint="eastAsia"/>
              </w:rPr>
              <w:t>登记证持有人：</w:t>
            </w:r>
            <w:r>
              <w:rPr>
                <w:rFonts w:hint="eastAsia"/>
              </w:rPr>
              <w:t>上海悦联化工有限公司</w:t>
            </w:r>
          </w:p>
        </w:tc>
      </w:tr>
      <w:tr w14:paraId="51AAE6BF">
        <w:tblPrEx>
          <w:tblCellMar>
            <w:top w:w="0" w:type="dxa"/>
            <w:left w:w="0" w:type="dxa"/>
            <w:bottom w:w="0" w:type="dxa"/>
            <w:right w:w="0" w:type="dxa"/>
          </w:tblCellMar>
        </w:tblPrEx>
        <w:trPr>
          <w:wBefore w:w="0" w:type="auto"/>
          <w:tblCellSpacing w:w="0" w:type="dxa"/>
        </w:trPr>
        <w:tc>
          <w:tcPr>
            <w:tcW w:w="0" w:type="auto"/>
            <w:noWrap w:val="0"/>
            <w:vAlign w:val="center"/>
          </w:tcPr>
          <w:p w14:paraId="3A64D45B">
            <w:r>
              <w:rPr>
                <w:rStyle w:val="10"/>
                <w:rFonts w:hint="eastAsia"/>
              </w:rPr>
              <w:t>农药名称：</w:t>
            </w:r>
            <w:r>
              <w:rPr>
                <w:rFonts w:hint="eastAsia"/>
              </w:rPr>
              <w:t>草铵膦</w:t>
            </w:r>
          </w:p>
        </w:tc>
      </w:tr>
      <w:tr w14:paraId="54348060">
        <w:tblPrEx>
          <w:tblCellMar>
            <w:top w:w="0" w:type="dxa"/>
            <w:left w:w="0" w:type="dxa"/>
            <w:bottom w:w="0" w:type="dxa"/>
            <w:right w:w="0" w:type="dxa"/>
          </w:tblCellMar>
        </w:tblPrEx>
        <w:trPr>
          <w:wBefore w:w="0" w:type="auto"/>
          <w:tblCellSpacing w:w="0" w:type="dxa"/>
        </w:trPr>
        <w:tc>
          <w:tcPr>
            <w:tcW w:w="0" w:type="auto"/>
            <w:noWrap w:val="0"/>
            <w:vAlign w:val="center"/>
          </w:tcPr>
          <w:p w14:paraId="3E712D01">
            <w:r>
              <w:rPr>
                <w:rStyle w:val="10"/>
                <w:rFonts w:hint="eastAsia"/>
              </w:rPr>
              <w:t>剂型：</w:t>
            </w:r>
            <w:r>
              <w:rPr>
                <w:rFonts w:hint="eastAsia"/>
              </w:rPr>
              <w:t>可溶液剂</w:t>
            </w:r>
          </w:p>
        </w:tc>
      </w:tr>
      <w:tr w14:paraId="59967814">
        <w:tblPrEx>
          <w:tblCellMar>
            <w:top w:w="0" w:type="dxa"/>
            <w:left w:w="0" w:type="dxa"/>
            <w:bottom w:w="0" w:type="dxa"/>
            <w:right w:w="0" w:type="dxa"/>
          </w:tblCellMar>
        </w:tblPrEx>
        <w:trPr>
          <w:wBefore w:w="0" w:type="auto"/>
          <w:tblCellSpacing w:w="0" w:type="dxa"/>
        </w:trPr>
        <w:tc>
          <w:tcPr>
            <w:tcW w:w="0" w:type="auto"/>
            <w:noWrap w:val="0"/>
            <w:vAlign w:val="center"/>
          </w:tcPr>
          <w:p w14:paraId="632DD6DA">
            <w:r>
              <w:rPr>
                <w:rStyle w:val="10"/>
                <w:rFonts w:hint="eastAsia"/>
              </w:rPr>
              <w:t>毒性及其标识：</w:t>
            </w:r>
            <w:r>
              <w:rPr>
                <w:rFonts w:hint="eastAsia"/>
              </w:rPr>
              <w:t xml:space="preserve"> </w:t>
            </w:r>
            <w:r>
              <w:rPr>
                <w:lang/>
              </w:rPr>
              <w:drawing>
                <wp:inline distT="0" distB="0" distL="114300" distR="114300">
                  <wp:extent cx="476250" cy="323850"/>
                  <wp:effectExtent l="0" t="0" r="0" b="0"/>
                  <wp:docPr id="141" name="图片 1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EEBC97">
        <w:tblPrEx>
          <w:tblCellMar>
            <w:top w:w="0" w:type="dxa"/>
            <w:left w:w="0" w:type="dxa"/>
            <w:bottom w:w="0" w:type="dxa"/>
            <w:right w:w="0" w:type="dxa"/>
          </w:tblCellMar>
        </w:tblPrEx>
        <w:trPr>
          <w:wBefore w:w="0" w:type="auto"/>
          <w:tblCellSpacing w:w="0" w:type="dxa"/>
        </w:trPr>
        <w:tc>
          <w:tcPr>
            <w:tcW w:w="0" w:type="auto"/>
            <w:noWrap w:val="0"/>
            <w:vAlign w:val="center"/>
          </w:tcPr>
          <w:p w14:paraId="62800D52">
            <w:r>
              <w:rPr>
                <w:rStyle w:val="10"/>
                <w:rFonts w:hint="eastAsia"/>
              </w:rPr>
              <w:t>总有效成分含量：</w:t>
            </w:r>
            <w:r>
              <w:rPr>
                <w:rFonts w:hint="eastAsia"/>
              </w:rPr>
              <w:t>200克/升</w:t>
            </w:r>
          </w:p>
        </w:tc>
      </w:tr>
      <w:tr w14:paraId="185EF581">
        <w:tblPrEx>
          <w:tblCellMar>
            <w:top w:w="0" w:type="dxa"/>
            <w:left w:w="0" w:type="dxa"/>
            <w:bottom w:w="0" w:type="dxa"/>
            <w:right w:w="0" w:type="dxa"/>
          </w:tblCellMar>
        </w:tblPrEx>
        <w:trPr>
          <w:wBefore w:w="0" w:type="auto"/>
          <w:tblCellSpacing w:w="0" w:type="dxa"/>
        </w:trPr>
        <w:tc>
          <w:tcPr>
            <w:tcW w:w="0" w:type="auto"/>
            <w:noWrap w:val="0"/>
            <w:vAlign w:val="center"/>
          </w:tcPr>
          <w:p w14:paraId="596034BD">
            <w:r>
              <w:rPr>
                <w:rFonts w:hint="eastAsia"/>
              </w:rPr>
              <w:t xml:space="preserve">有效成分及其含量： </w:t>
            </w:r>
          </w:p>
          <w:p w14:paraId="6B49C813">
            <w:r>
              <w:rPr>
                <w:rFonts w:hint="eastAsia"/>
              </w:rPr>
              <w:t xml:space="preserve">    草铵膦200克/升    </w:t>
            </w:r>
          </w:p>
        </w:tc>
      </w:tr>
      <w:tr w14:paraId="1EC7F1D5">
        <w:tblPrEx>
          <w:tblCellMar>
            <w:top w:w="0" w:type="dxa"/>
            <w:left w:w="0" w:type="dxa"/>
            <w:bottom w:w="0" w:type="dxa"/>
            <w:right w:w="0" w:type="dxa"/>
          </w:tblCellMar>
        </w:tblPrEx>
        <w:trPr>
          <w:wBefore w:w="0" w:type="auto"/>
          <w:tblCellSpacing w:w="0" w:type="dxa"/>
        </w:trPr>
        <w:tc>
          <w:tcPr>
            <w:tcW w:w="0" w:type="auto"/>
            <w:noWrap w:val="0"/>
            <w:vAlign w:val="center"/>
          </w:tcPr>
          <w:p w14:paraId="5F7849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E96D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E4FF0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01F56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E3B7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F9D4F3">
                  <w:r>
                    <w:rPr>
                      <w:rStyle w:val="11"/>
                      <w:rFonts w:hint="eastAsia"/>
                    </w:rPr>
                    <w:t>施用方式</w:t>
                  </w:r>
                </w:p>
              </w:tc>
            </w:tr>
            <w:tr w14:paraId="043C87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7908C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EF99C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442ECB">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15925E">
                  <w:r>
                    <w:rPr>
                      <w:rStyle w:val="11"/>
                      <w:rFonts w:hint="eastAsia"/>
                    </w:rPr>
                    <w:t>茎叶喷雾</w:t>
                  </w:r>
                </w:p>
              </w:tc>
            </w:tr>
          </w:tbl>
          <w:p w14:paraId="66B530D6">
            <w:pPr>
              <w:rPr>
                <w:rFonts w:ascii="Times New Roman" w:hAnsi="Times New Roman" w:cs="Times New Roman"/>
                <w:sz w:val="20"/>
                <w:szCs w:val="20"/>
              </w:rPr>
            </w:pPr>
          </w:p>
        </w:tc>
      </w:tr>
      <w:tr w14:paraId="2658EA4E">
        <w:tblPrEx>
          <w:tblCellMar>
            <w:top w:w="0" w:type="dxa"/>
            <w:left w:w="0" w:type="dxa"/>
            <w:bottom w:w="0" w:type="dxa"/>
            <w:right w:w="0" w:type="dxa"/>
          </w:tblCellMar>
        </w:tblPrEx>
        <w:trPr>
          <w:wBefore w:w="0" w:type="auto"/>
          <w:tblCellSpacing w:w="0" w:type="dxa"/>
        </w:trPr>
        <w:tc>
          <w:tcPr>
            <w:tcW w:w="0" w:type="auto"/>
            <w:noWrap w:val="0"/>
            <w:vAlign w:val="center"/>
          </w:tcPr>
          <w:p w14:paraId="34844187">
            <w:r>
              <w:rPr>
                <w:rStyle w:val="10"/>
                <w:rFonts w:hint="eastAsia"/>
              </w:rPr>
              <w:t>使用技术要求:</w:t>
            </w:r>
            <w:r>
              <w:rPr>
                <w:rFonts w:hint="eastAsia"/>
              </w:rPr>
              <w:br w:type="textWrapping"/>
            </w:r>
            <w:r>
              <w:rPr>
                <w:rStyle w:val="11"/>
                <w:rFonts w:hint="eastAsia"/>
              </w:rPr>
              <w:t>1.使用前摇匀，在非耕地杂草生长旺盛期进行茎叶喷雾处理，注意喷雾均有周到。 2.大风天或预计1小时内降雨，请勿施药。</w:t>
            </w:r>
          </w:p>
        </w:tc>
      </w:tr>
      <w:tr w14:paraId="6FED5849">
        <w:tblPrEx>
          <w:tblCellMar>
            <w:top w:w="0" w:type="dxa"/>
            <w:left w:w="0" w:type="dxa"/>
            <w:bottom w:w="0" w:type="dxa"/>
            <w:right w:w="0" w:type="dxa"/>
          </w:tblCellMar>
        </w:tblPrEx>
        <w:trPr>
          <w:wBefore w:w="0" w:type="auto"/>
          <w:tblCellSpacing w:w="0" w:type="dxa"/>
        </w:trPr>
        <w:tc>
          <w:tcPr>
            <w:tcW w:w="0" w:type="auto"/>
            <w:noWrap w:val="0"/>
            <w:vAlign w:val="center"/>
          </w:tcPr>
          <w:p w14:paraId="0F43CC10">
            <w:r>
              <w:rPr>
                <w:rStyle w:val="10"/>
                <w:rFonts w:hint="eastAsia"/>
              </w:rPr>
              <w:t>产品性能:</w:t>
            </w:r>
            <w:r>
              <w:rPr>
                <w:rFonts w:hint="eastAsia"/>
              </w:rPr>
              <w:br w:type="textWrapping"/>
            </w:r>
            <w:r>
              <w:rPr>
                <w:rStyle w:val="11"/>
                <w:rFonts w:hint="eastAsia"/>
              </w:rPr>
              <w:t>本品是一种内吸兼触杀型非选择性除草剂，应于杂草生长旺盛期喷雾施药，可使生长过程中的杂草茎叶枯死，药液接触土壤后快速分解，无土壤活性。</w:t>
            </w:r>
          </w:p>
        </w:tc>
      </w:tr>
      <w:tr w14:paraId="2F0A1632">
        <w:tblPrEx>
          <w:tblCellMar>
            <w:top w:w="0" w:type="dxa"/>
            <w:left w:w="0" w:type="dxa"/>
            <w:bottom w:w="0" w:type="dxa"/>
            <w:right w:w="0" w:type="dxa"/>
          </w:tblCellMar>
        </w:tblPrEx>
        <w:trPr>
          <w:wBefore w:w="0" w:type="auto"/>
          <w:tblCellSpacing w:w="0" w:type="dxa"/>
        </w:trPr>
        <w:tc>
          <w:tcPr>
            <w:tcW w:w="0" w:type="auto"/>
            <w:noWrap w:val="0"/>
            <w:vAlign w:val="center"/>
          </w:tcPr>
          <w:p w14:paraId="1E146EBD">
            <w:r>
              <w:rPr>
                <w:rStyle w:val="10"/>
                <w:rFonts w:hint="eastAsia"/>
              </w:rPr>
              <w:t>注意事项：</w:t>
            </w:r>
            <w:r>
              <w:rPr>
                <w:rFonts w:hint="eastAsia"/>
              </w:rPr>
              <w:br w:type="textWrapping"/>
            </w:r>
            <w:r>
              <w:rPr>
                <w:rStyle w:val="11"/>
                <w:rFonts w:hint="eastAsia"/>
              </w:rPr>
              <w:t>1、本品施药后5天内勿割草、放牧、翻地等。 2、使用本品应采取相应的安全防护措施，穿长衣长裤，戴手套、口罩、眼镜等，避免皮肤接触及口鼻吸入。使用中不可吸烟、饮水及吃东西，使用后及时清洗手、脸等暴露部位皮肤并更换衣物。 3、远离水产养殖区、河塘等水体施药；禁止在河塘等水体中清洗施药器具；桑园及蚕室附近禁用；赤眼蜂等天敌放飞区域禁用。 4、废弃物妥善处理，不能随意丢弃，也不能做他用。 5、孕妇及哺乳期妇女避免接触。6、避免与氧化剂接触。</w:t>
            </w:r>
          </w:p>
        </w:tc>
      </w:tr>
      <w:tr w14:paraId="10AD7E3B">
        <w:tblPrEx>
          <w:tblCellMar>
            <w:top w:w="0" w:type="dxa"/>
            <w:left w:w="0" w:type="dxa"/>
            <w:bottom w:w="0" w:type="dxa"/>
            <w:right w:w="0" w:type="dxa"/>
          </w:tblCellMar>
        </w:tblPrEx>
        <w:trPr>
          <w:wBefore w:w="0" w:type="auto"/>
          <w:tblCellSpacing w:w="0" w:type="dxa"/>
        </w:trPr>
        <w:tc>
          <w:tcPr>
            <w:tcW w:w="0" w:type="auto"/>
            <w:noWrap w:val="0"/>
            <w:vAlign w:val="center"/>
          </w:tcPr>
          <w:p w14:paraId="1C4189EF">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1、皮肤接触：脱去污染的衣物，用软布去除沾染农药，立即用大量清水和肥皂冲洗； 2、眼睛接触：立即用流动的清水至少冲洗15分钟，仍有不适应立即就医； 3、吸入：立即离开施药现场，转移到空气清新处。 4、如误服，立即停止服用，用清水充分漱口后，立即携带标签到医院对症治疗。</w:t>
            </w:r>
          </w:p>
        </w:tc>
      </w:tr>
      <w:tr w14:paraId="7D211504">
        <w:tblPrEx>
          <w:tblCellMar>
            <w:top w:w="0" w:type="dxa"/>
            <w:left w:w="0" w:type="dxa"/>
            <w:bottom w:w="0" w:type="dxa"/>
            <w:right w:w="0" w:type="dxa"/>
          </w:tblCellMar>
        </w:tblPrEx>
        <w:trPr>
          <w:wBefore w:w="0" w:type="auto"/>
          <w:tblCellSpacing w:w="0" w:type="dxa"/>
        </w:trPr>
        <w:tc>
          <w:tcPr>
            <w:tcW w:w="0" w:type="auto"/>
            <w:noWrap w:val="0"/>
            <w:vAlign w:val="center"/>
          </w:tcPr>
          <w:p w14:paraId="1DA2B2BA">
            <w:r>
              <w:rPr>
                <w:rStyle w:val="10"/>
                <w:rFonts w:hint="eastAsia"/>
              </w:rPr>
              <w:t>储存和运输方法：</w:t>
            </w:r>
            <w:r>
              <w:rPr>
                <w:rFonts w:hint="eastAsia"/>
              </w:rPr>
              <w:br w:type="textWrapping"/>
            </w:r>
            <w:r>
              <w:rPr>
                <w:rStyle w:val="11"/>
                <w:rFonts w:hint="eastAsia"/>
              </w:rPr>
              <w:t>储运时应严防潮湿和日晒，远离热源或火源，保持良好通风。置于儿童、无关人员及动物接触不到的地方，并加锁保存；避免与食物、饮料、种子、粮食、饲料等混合储运。</w:t>
            </w:r>
          </w:p>
        </w:tc>
      </w:tr>
      <w:tr w14:paraId="22ED0D7D">
        <w:tblPrEx>
          <w:tblCellMar>
            <w:top w:w="0" w:type="dxa"/>
            <w:left w:w="0" w:type="dxa"/>
            <w:bottom w:w="0" w:type="dxa"/>
            <w:right w:w="0" w:type="dxa"/>
          </w:tblCellMar>
        </w:tblPrEx>
        <w:trPr>
          <w:wBefore w:w="0" w:type="auto"/>
          <w:tblCellSpacing w:w="0" w:type="dxa"/>
        </w:trPr>
        <w:tc>
          <w:tcPr>
            <w:tcW w:w="0" w:type="auto"/>
            <w:noWrap w:val="0"/>
            <w:vAlign w:val="center"/>
          </w:tcPr>
          <w:p w14:paraId="5E41F6C4">
            <w:r>
              <w:rPr>
                <w:rStyle w:val="10"/>
                <w:rFonts w:hint="eastAsia"/>
              </w:rPr>
              <w:t>质量保证期：</w:t>
            </w:r>
            <w:r>
              <w:rPr>
                <w:rStyle w:val="11"/>
                <w:rFonts w:hint="eastAsia"/>
              </w:rPr>
              <w:t>2年</w:t>
            </w:r>
          </w:p>
        </w:tc>
      </w:tr>
      <w:tr w14:paraId="7A716B16">
        <w:tblPrEx>
          <w:tblCellMar>
            <w:top w:w="0" w:type="dxa"/>
            <w:left w:w="0" w:type="dxa"/>
            <w:bottom w:w="0" w:type="dxa"/>
            <w:right w:w="0" w:type="dxa"/>
          </w:tblCellMar>
        </w:tblPrEx>
        <w:trPr>
          <w:wBefore w:w="0" w:type="auto"/>
          <w:tblCellSpacing w:w="0" w:type="dxa"/>
        </w:trPr>
        <w:tc>
          <w:tcPr>
            <w:tcW w:w="0" w:type="auto"/>
            <w:noWrap w:val="0"/>
            <w:vAlign w:val="center"/>
          </w:tcPr>
          <w:p w14:paraId="6A21C948">
            <w:r>
              <w:rPr>
                <w:rStyle w:val="10"/>
                <w:rFonts w:hint="eastAsia"/>
              </w:rPr>
              <w:t>备注：</w:t>
            </w:r>
            <w:r>
              <w:rPr>
                <w:rFonts w:hint="eastAsia"/>
              </w:rPr>
              <w:br w:type="textWrapping"/>
            </w:r>
            <w:r>
              <w:rPr>
                <w:rStyle w:val="11"/>
                <w:rFonts w:hint="eastAsia"/>
              </w:rPr>
              <w:t>质量分数18%。</w:t>
            </w:r>
          </w:p>
        </w:tc>
      </w:tr>
    </w:tbl>
    <w:p w14:paraId="0C66A94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B662A4">
        <w:tblPrEx>
          <w:tblCellMar>
            <w:top w:w="0" w:type="dxa"/>
            <w:left w:w="0" w:type="dxa"/>
            <w:bottom w:w="0" w:type="dxa"/>
            <w:right w:w="0" w:type="dxa"/>
          </w:tblCellMar>
        </w:tblPrEx>
        <w:trPr>
          <w:wBefore w:w="0" w:type="auto"/>
          <w:tblCellSpacing w:w="0" w:type="dxa"/>
        </w:trPr>
        <w:tc>
          <w:tcPr>
            <w:tcW w:w="0" w:type="auto"/>
            <w:noWrap w:val="0"/>
            <w:vAlign w:val="center"/>
          </w:tcPr>
          <w:p w14:paraId="2DF2042E">
            <w:r>
              <w:rPr>
                <w:rStyle w:val="10"/>
                <w:rFonts w:hint="eastAsia"/>
              </w:rPr>
              <w:t>登记证号：</w:t>
            </w:r>
            <w:r>
              <w:rPr>
                <w:rFonts w:hint="eastAsia"/>
              </w:rPr>
              <w:t>PD20212405</w:t>
            </w:r>
          </w:p>
        </w:tc>
      </w:tr>
      <w:tr w14:paraId="21F3348B">
        <w:tblPrEx>
          <w:tblCellMar>
            <w:top w:w="0" w:type="dxa"/>
            <w:left w:w="0" w:type="dxa"/>
            <w:bottom w:w="0" w:type="dxa"/>
            <w:right w:w="0" w:type="dxa"/>
          </w:tblCellMar>
        </w:tblPrEx>
        <w:trPr>
          <w:wBefore w:w="0" w:type="auto"/>
          <w:tblCellSpacing w:w="0" w:type="dxa"/>
        </w:trPr>
        <w:tc>
          <w:tcPr>
            <w:tcW w:w="0" w:type="auto"/>
            <w:noWrap w:val="0"/>
            <w:vAlign w:val="center"/>
          </w:tcPr>
          <w:p w14:paraId="41C3C85E">
            <w:r>
              <w:rPr>
                <w:rStyle w:val="10"/>
                <w:rFonts w:hint="eastAsia"/>
              </w:rPr>
              <w:t>登记证持有人：</w:t>
            </w:r>
            <w:r>
              <w:rPr>
                <w:rFonts w:hint="eastAsia"/>
              </w:rPr>
              <w:t>山东麒麟农化有限公司</w:t>
            </w:r>
          </w:p>
        </w:tc>
      </w:tr>
      <w:tr w14:paraId="222614F4">
        <w:tblPrEx>
          <w:tblCellMar>
            <w:top w:w="0" w:type="dxa"/>
            <w:left w:w="0" w:type="dxa"/>
            <w:bottom w:w="0" w:type="dxa"/>
            <w:right w:w="0" w:type="dxa"/>
          </w:tblCellMar>
        </w:tblPrEx>
        <w:trPr>
          <w:wBefore w:w="0" w:type="auto"/>
          <w:tblCellSpacing w:w="0" w:type="dxa"/>
        </w:trPr>
        <w:tc>
          <w:tcPr>
            <w:tcW w:w="0" w:type="auto"/>
            <w:noWrap w:val="0"/>
            <w:vAlign w:val="center"/>
          </w:tcPr>
          <w:p w14:paraId="1FDA9BFC">
            <w:r>
              <w:rPr>
                <w:rStyle w:val="10"/>
                <w:rFonts w:hint="eastAsia"/>
              </w:rPr>
              <w:t>农药名称：</w:t>
            </w:r>
            <w:r>
              <w:rPr>
                <w:rFonts w:hint="eastAsia"/>
              </w:rPr>
              <w:t>氟啶虫酰胺</w:t>
            </w:r>
          </w:p>
        </w:tc>
      </w:tr>
      <w:tr w14:paraId="59316EBF">
        <w:tblPrEx>
          <w:tblCellMar>
            <w:top w:w="0" w:type="dxa"/>
            <w:left w:w="0" w:type="dxa"/>
            <w:bottom w:w="0" w:type="dxa"/>
            <w:right w:w="0" w:type="dxa"/>
          </w:tblCellMar>
        </w:tblPrEx>
        <w:trPr>
          <w:wBefore w:w="0" w:type="auto"/>
          <w:tblCellSpacing w:w="0" w:type="dxa"/>
        </w:trPr>
        <w:tc>
          <w:tcPr>
            <w:tcW w:w="0" w:type="auto"/>
            <w:noWrap w:val="0"/>
            <w:vAlign w:val="center"/>
          </w:tcPr>
          <w:p w14:paraId="65780C63">
            <w:r>
              <w:rPr>
                <w:rStyle w:val="10"/>
                <w:rFonts w:hint="eastAsia"/>
              </w:rPr>
              <w:t>剂型：</w:t>
            </w:r>
            <w:r>
              <w:rPr>
                <w:rFonts w:hint="eastAsia"/>
              </w:rPr>
              <w:t>水分散粒剂</w:t>
            </w:r>
          </w:p>
        </w:tc>
      </w:tr>
      <w:tr w14:paraId="4CEA286A">
        <w:tblPrEx>
          <w:tblCellMar>
            <w:top w:w="0" w:type="dxa"/>
            <w:left w:w="0" w:type="dxa"/>
            <w:bottom w:w="0" w:type="dxa"/>
            <w:right w:w="0" w:type="dxa"/>
          </w:tblCellMar>
        </w:tblPrEx>
        <w:trPr>
          <w:wBefore w:w="0" w:type="auto"/>
          <w:tblCellSpacing w:w="0" w:type="dxa"/>
        </w:trPr>
        <w:tc>
          <w:tcPr>
            <w:tcW w:w="0" w:type="auto"/>
            <w:noWrap w:val="0"/>
            <w:vAlign w:val="center"/>
          </w:tcPr>
          <w:p w14:paraId="45314284">
            <w:r>
              <w:rPr>
                <w:rStyle w:val="10"/>
                <w:rFonts w:hint="eastAsia"/>
              </w:rPr>
              <w:t>毒性及其标识：</w:t>
            </w:r>
            <w:r>
              <w:rPr>
                <w:rFonts w:hint="eastAsia"/>
              </w:rPr>
              <w:t xml:space="preserve"> </w:t>
            </w:r>
            <w:r>
              <w:rPr>
                <w:lang/>
              </w:rPr>
              <w:drawing>
                <wp:inline distT="0" distB="0" distL="114300" distR="114300">
                  <wp:extent cx="476250" cy="323850"/>
                  <wp:effectExtent l="0" t="0" r="0" b="0"/>
                  <wp:docPr id="142" name="图片 1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585D13">
        <w:tblPrEx>
          <w:tblCellMar>
            <w:top w:w="0" w:type="dxa"/>
            <w:left w:w="0" w:type="dxa"/>
            <w:bottom w:w="0" w:type="dxa"/>
            <w:right w:w="0" w:type="dxa"/>
          </w:tblCellMar>
        </w:tblPrEx>
        <w:trPr>
          <w:wBefore w:w="0" w:type="auto"/>
          <w:tblCellSpacing w:w="0" w:type="dxa"/>
        </w:trPr>
        <w:tc>
          <w:tcPr>
            <w:tcW w:w="0" w:type="auto"/>
            <w:noWrap w:val="0"/>
            <w:vAlign w:val="center"/>
          </w:tcPr>
          <w:p w14:paraId="55475D6B">
            <w:r>
              <w:rPr>
                <w:rStyle w:val="10"/>
                <w:rFonts w:hint="eastAsia"/>
              </w:rPr>
              <w:t>总有效成分含量：</w:t>
            </w:r>
            <w:r>
              <w:rPr>
                <w:rFonts w:hint="eastAsia"/>
              </w:rPr>
              <w:t>10%</w:t>
            </w:r>
          </w:p>
        </w:tc>
      </w:tr>
      <w:tr w14:paraId="17F75F8F">
        <w:tblPrEx>
          <w:tblCellMar>
            <w:top w:w="0" w:type="dxa"/>
            <w:left w:w="0" w:type="dxa"/>
            <w:bottom w:w="0" w:type="dxa"/>
            <w:right w:w="0" w:type="dxa"/>
          </w:tblCellMar>
        </w:tblPrEx>
        <w:trPr>
          <w:wBefore w:w="0" w:type="auto"/>
          <w:tblCellSpacing w:w="0" w:type="dxa"/>
        </w:trPr>
        <w:tc>
          <w:tcPr>
            <w:tcW w:w="0" w:type="auto"/>
            <w:noWrap w:val="0"/>
            <w:vAlign w:val="center"/>
          </w:tcPr>
          <w:p w14:paraId="6A62723C">
            <w:r>
              <w:rPr>
                <w:rFonts w:hint="eastAsia"/>
              </w:rPr>
              <w:t xml:space="preserve">有效成分及其含量： </w:t>
            </w:r>
          </w:p>
          <w:p w14:paraId="67BA9814">
            <w:r>
              <w:rPr>
                <w:rFonts w:hint="eastAsia"/>
              </w:rPr>
              <w:t xml:space="preserve">    氟啶虫酰胺10%    </w:t>
            </w:r>
          </w:p>
        </w:tc>
      </w:tr>
      <w:tr w14:paraId="32DA2943">
        <w:tblPrEx>
          <w:tblCellMar>
            <w:top w:w="0" w:type="dxa"/>
            <w:left w:w="0" w:type="dxa"/>
            <w:bottom w:w="0" w:type="dxa"/>
            <w:right w:w="0" w:type="dxa"/>
          </w:tblCellMar>
        </w:tblPrEx>
        <w:trPr>
          <w:wBefore w:w="0" w:type="auto"/>
          <w:tblCellSpacing w:w="0" w:type="dxa"/>
        </w:trPr>
        <w:tc>
          <w:tcPr>
            <w:tcW w:w="0" w:type="auto"/>
            <w:noWrap w:val="0"/>
            <w:vAlign w:val="center"/>
          </w:tcPr>
          <w:p w14:paraId="7311B0D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03E9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55F79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409E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FEC7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A14581">
                  <w:r>
                    <w:rPr>
                      <w:rStyle w:val="11"/>
                      <w:rFonts w:hint="eastAsia"/>
                    </w:rPr>
                    <w:t>施用方式</w:t>
                  </w:r>
                </w:p>
              </w:tc>
            </w:tr>
            <w:tr w14:paraId="12BFD6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9AA7C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50C848">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FFCFF7">
                  <w:r>
                    <w:rPr>
                      <w:rStyle w:val="11"/>
                      <w:rFonts w:hint="eastAsia"/>
                    </w:rPr>
                    <w:t>50-70克/亩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B9DF3E">
                  <w:r>
                    <w:rPr>
                      <w:rStyle w:val="11"/>
                      <w:rFonts w:hint="eastAsia"/>
                    </w:rPr>
                    <w:t>喷雾</w:t>
                  </w:r>
                </w:p>
              </w:tc>
            </w:tr>
          </w:tbl>
          <w:p w14:paraId="1DB01B89">
            <w:pPr>
              <w:rPr>
                <w:rFonts w:ascii="Times New Roman" w:hAnsi="Times New Roman" w:cs="Times New Roman"/>
                <w:sz w:val="20"/>
                <w:szCs w:val="20"/>
              </w:rPr>
            </w:pPr>
          </w:p>
        </w:tc>
      </w:tr>
      <w:tr w14:paraId="61089F1D">
        <w:tblPrEx>
          <w:tblCellMar>
            <w:top w:w="0" w:type="dxa"/>
            <w:left w:w="0" w:type="dxa"/>
            <w:bottom w:w="0" w:type="dxa"/>
            <w:right w:w="0" w:type="dxa"/>
          </w:tblCellMar>
        </w:tblPrEx>
        <w:trPr>
          <w:wBefore w:w="0" w:type="auto"/>
          <w:tblCellSpacing w:w="0" w:type="dxa"/>
        </w:trPr>
        <w:tc>
          <w:tcPr>
            <w:tcW w:w="0" w:type="auto"/>
            <w:noWrap w:val="0"/>
            <w:vAlign w:val="center"/>
          </w:tcPr>
          <w:p w14:paraId="0281C0EE">
            <w:r>
              <w:rPr>
                <w:rStyle w:val="10"/>
                <w:rFonts w:hint="eastAsia"/>
              </w:rPr>
              <w:t>使用技术要求:</w:t>
            </w:r>
            <w:r>
              <w:rPr>
                <w:rFonts w:hint="eastAsia"/>
              </w:rPr>
              <w:br w:type="textWrapping"/>
            </w:r>
            <w:r>
              <w:rPr>
                <w:rStyle w:val="11"/>
                <w:rFonts w:hint="eastAsia"/>
              </w:rPr>
              <w:t>1.本品于水稻稻飞虱发生始盛期使用，应喷雾均匀。2.大风天或预计1小时内降雨，请勿施药。3.本品在水稻上的安全间隔期为35天，每季最多使用1次。</w:t>
            </w:r>
          </w:p>
        </w:tc>
      </w:tr>
      <w:tr w14:paraId="1C318B9E">
        <w:tblPrEx>
          <w:tblCellMar>
            <w:top w:w="0" w:type="dxa"/>
            <w:left w:w="0" w:type="dxa"/>
            <w:bottom w:w="0" w:type="dxa"/>
            <w:right w:w="0" w:type="dxa"/>
          </w:tblCellMar>
        </w:tblPrEx>
        <w:trPr>
          <w:wBefore w:w="0" w:type="auto"/>
          <w:tblCellSpacing w:w="0" w:type="dxa"/>
        </w:trPr>
        <w:tc>
          <w:tcPr>
            <w:tcW w:w="0" w:type="auto"/>
            <w:noWrap w:val="0"/>
            <w:vAlign w:val="center"/>
          </w:tcPr>
          <w:p w14:paraId="529D4F7F">
            <w:r>
              <w:rPr>
                <w:rStyle w:val="10"/>
                <w:rFonts w:hint="eastAsia"/>
              </w:rPr>
              <w:t>产品性能:</w:t>
            </w:r>
            <w:r>
              <w:rPr>
                <w:rFonts w:hint="eastAsia"/>
              </w:rPr>
              <w:br w:type="textWrapping"/>
            </w:r>
            <w:r>
              <w:rPr>
                <w:rStyle w:val="11"/>
                <w:rFonts w:hint="eastAsia"/>
              </w:rPr>
              <w:t>氟啶虫酰胺是一种新型低毒吡啶酰胺类昆虫生长调节剂类杀虫剂，具有触杀和胃毒作用，还具有很好的神经毒剂和快速拒食作用。持效性较长，对水稻稻飞虱有较好防效。</w:t>
            </w:r>
          </w:p>
        </w:tc>
      </w:tr>
      <w:tr w14:paraId="2D822406">
        <w:tblPrEx>
          <w:tblCellMar>
            <w:top w:w="0" w:type="dxa"/>
            <w:left w:w="0" w:type="dxa"/>
            <w:bottom w:w="0" w:type="dxa"/>
            <w:right w:w="0" w:type="dxa"/>
          </w:tblCellMar>
        </w:tblPrEx>
        <w:trPr>
          <w:wBefore w:w="0" w:type="auto"/>
          <w:tblCellSpacing w:w="0" w:type="dxa"/>
        </w:trPr>
        <w:tc>
          <w:tcPr>
            <w:tcW w:w="0" w:type="auto"/>
            <w:noWrap w:val="0"/>
            <w:vAlign w:val="center"/>
          </w:tcPr>
          <w:p w14:paraId="6AEB8BAB">
            <w:r>
              <w:rPr>
                <w:rStyle w:val="10"/>
                <w:rFonts w:hint="eastAsia"/>
              </w:rPr>
              <w:t>注意事项：</w:t>
            </w:r>
            <w:r>
              <w:rPr>
                <w:rFonts w:hint="eastAsia"/>
              </w:rPr>
              <w:br w:type="textWrapping"/>
            </w:r>
            <w:r>
              <w:rPr>
                <w:rStyle w:val="11"/>
                <w:rFonts w:hint="eastAsia"/>
              </w:rPr>
              <w:t>1.施药时应避免药液污染河塘等水源地，禁止在河塘等水域中清洗施药器具。2.建议与其他作用机制不同的杀虫剂轮换使用，以延缓抗性产生。3.使用过的空包装，用清水冲洗三次，切勿重复使用或改作其他用途。所有施药器具，用后应立即用清水或适当的洗涤剂清洗。4.本品对家蚕有毒，蚕室及桑园附近禁用。5.用过的容器应妥善处理，不可做他用或随意丢弃。6.孕妇及哺乳期妇女禁止接触本品。</w:t>
            </w:r>
          </w:p>
        </w:tc>
      </w:tr>
      <w:tr w14:paraId="6C65AD36">
        <w:tblPrEx>
          <w:tblCellMar>
            <w:top w:w="0" w:type="dxa"/>
            <w:left w:w="0" w:type="dxa"/>
            <w:bottom w:w="0" w:type="dxa"/>
            <w:right w:w="0" w:type="dxa"/>
          </w:tblCellMar>
        </w:tblPrEx>
        <w:trPr>
          <w:wBefore w:w="0" w:type="auto"/>
          <w:tblCellSpacing w:w="0" w:type="dxa"/>
        </w:trPr>
        <w:tc>
          <w:tcPr>
            <w:tcW w:w="0" w:type="auto"/>
            <w:noWrap w:val="0"/>
            <w:vAlign w:val="center"/>
          </w:tcPr>
          <w:p w14:paraId="4026F6CD">
            <w:r>
              <w:rPr>
                <w:rStyle w:val="10"/>
                <w:rFonts w:hint="eastAsia"/>
              </w:rPr>
              <w:t>中毒急救措施：</w:t>
            </w:r>
            <w:r>
              <w:rPr>
                <w:rFonts w:hint="eastAsia"/>
              </w:rPr>
              <w:br w:type="textWrapping"/>
            </w:r>
            <w:r>
              <w:rPr>
                <w:rStyle w:val="11"/>
                <w:rFonts w:hint="eastAsia"/>
              </w:rPr>
              <w:t>不慎接触到皮肤或溅入眼睛，用大量清水清洗皮肤或眼睛15-20分钟。不慎吸入，应将病人移至空气流通处；如病人停止呼吸，应立即进行人工呼吸。误服后未经医生允许，切勿催吐，如病人可吞咽，可适量饮水。中毒后，应立即携容器或此标签就医。</w:t>
            </w:r>
          </w:p>
        </w:tc>
      </w:tr>
      <w:tr w14:paraId="096DE60B">
        <w:tblPrEx>
          <w:tblCellMar>
            <w:top w:w="0" w:type="dxa"/>
            <w:left w:w="0" w:type="dxa"/>
            <w:bottom w:w="0" w:type="dxa"/>
            <w:right w:w="0" w:type="dxa"/>
          </w:tblCellMar>
        </w:tblPrEx>
        <w:trPr>
          <w:wBefore w:w="0" w:type="auto"/>
          <w:tblCellSpacing w:w="0" w:type="dxa"/>
        </w:trPr>
        <w:tc>
          <w:tcPr>
            <w:tcW w:w="0" w:type="auto"/>
            <w:noWrap w:val="0"/>
            <w:vAlign w:val="center"/>
          </w:tcPr>
          <w:p w14:paraId="041264F2">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本品应贮存在干燥、阴凉、通风、防雨处，远离火源或热源。置于儿童触及不到之处，并加锁保存。勿与食品、饮料、饲料等其它商品同贮同运。</w:t>
            </w:r>
          </w:p>
        </w:tc>
      </w:tr>
      <w:tr w14:paraId="0EE7C2B4">
        <w:tblPrEx>
          <w:tblCellMar>
            <w:top w:w="0" w:type="dxa"/>
            <w:left w:w="0" w:type="dxa"/>
            <w:bottom w:w="0" w:type="dxa"/>
            <w:right w:w="0" w:type="dxa"/>
          </w:tblCellMar>
        </w:tblPrEx>
        <w:trPr>
          <w:wBefore w:w="0" w:type="auto"/>
          <w:tblCellSpacing w:w="0" w:type="dxa"/>
        </w:trPr>
        <w:tc>
          <w:tcPr>
            <w:tcW w:w="0" w:type="auto"/>
            <w:noWrap w:val="0"/>
            <w:vAlign w:val="center"/>
          </w:tcPr>
          <w:p w14:paraId="3CC19C3D">
            <w:r>
              <w:rPr>
                <w:rStyle w:val="10"/>
                <w:rFonts w:hint="eastAsia"/>
              </w:rPr>
              <w:t>质量保证期：</w:t>
            </w:r>
            <w:r>
              <w:rPr>
                <w:rStyle w:val="11"/>
                <w:rFonts w:hint="eastAsia"/>
              </w:rPr>
              <w:t>2年</w:t>
            </w:r>
          </w:p>
        </w:tc>
      </w:tr>
      <w:tr w14:paraId="79346047">
        <w:tblPrEx>
          <w:tblCellMar>
            <w:top w:w="0" w:type="dxa"/>
            <w:left w:w="0" w:type="dxa"/>
            <w:bottom w:w="0" w:type="dxa"/>
            <w:right w:w="0" w:type="dxa"/>
          </w:tblCellMar>
        </w:tblPrEx>
        <w:trPr>
          <w:wBefore w:w="0" w:type="auto"/>
          <w:tblCellSpacing w:w="0" w:type="dxa"/>
        </w:trPr>
        <w:tc>
          <w:tcPr>
            <w:tcW w:w="0" w:type="auto"/>
            <w:noWrap w:val="0"/>
            <w:vAlign w:val="center"/>
          </w:tcPr>
          <w:p w14:paraId="3B8D73FA">
            <w:r>
              <w:rPr>
                <w:rStyle w:val="10"/>
                <w:rFonts w:hint="eastAsia"/>
              </w:rPr>
              <w:t>备注：</w:t>
            </w:r>
          </w:p>
        </w:tc>
      </w:tr>
    </w:tbl>
    <w:p w14:paraId="1D01D2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5C461C">
        <w:tblPrEx>
          <w:tblCellMar>
            <w:top w:w="0" w:type="dxa"/>
            <w:left w:w="0" w:type="dxa"/>
            <w:bottom w:w="0" w:type="dxa"/>
            <w:right w:w="0" w:type="dxa"/>
          </w:tblCellMar>
        </w:tblPrEx>
        <w:trPr>
          <w:wBefore w:w="0" w:type="auto"/>
          <w:tblCellSpacing w:w="0" w:type="dxa"/>
        </w:trPr>
        <w:tc>
          <w:tcPr>
            <w:tcW w:w="0" w:type="auto"/>
            <w:noWrap w:val="0"/>
            <w:vAlign w:val="center"/>
          </w:tcPr>
          <w:p w14:paraId="6811B2C0">
            <w:r>
              <w:rPr>
                <w:rStyle w:val="10"/>
                <w:rFonts w:hint="eastAsia"/>
              </w:rPr>
              <w:t>登记证号：</w:t>
            </w:r>
            <w:r>
              <w:rPr>
                <w:rFonts w:hint="eastAsia"/>
              </w:rPr>
              <w:t>PD20212590</w:t>
            </w:r>
          </w:p>
        </w:tc>
      </w:tr>
      <w:tr w14:paraId="40844900">
        <w:tblPrEx>
          <w:tblCellMar>
            <w:top w:w="0" w:type="dxa"/>
            <w:left w:w="0" w:type="dxa"/>
            <w:bottom w:w="0" w:type="dxa"/>
            <w:right w:w="0" w:type="dxa"/>
          </w:tblCellMar>
        </w:tblPrEx>
        <w:trPr>
          <w:wBefore w:w="0" w:type="auto"/>
          <w:tblCellSpacing w:w="0" w:type="dxa"/>
        </w:trPr>
        <w:tc>
          <w:tcPr>
            <w:tcW w:w="0" w:type="auto"/>
            <w:noWrap w:val="0"/>
            <w:vAlign w:val="center"/>
          </w:tcPr>
          <w:p w14:paraId="43013A2B">
            <w:r>
              <w:rPr>
                <w:rStyle w:val="10"/>
                <w:rFonts w:hint="eastAsia"/>
              </w:rPr>
              <w:t>登记证持有人：</w:t>
            </w:r>
            <w:r>
              <w:rPr>
                <w:rFonts w:hint="eastAsia"/>
              </w:rPr>
              <w:t>河北兴柏农业科技有限公司</w:t>
            </w:r>
          </w:p>
        </w:tc>
      </w:tr>
      <w:tr w14:paraId="33107E54">
        <w:tblPrEx>
          <w:tblCellMar>
            <w:top w:w="0" w:type="dxa"/>
            <w:left w:w="0" w:type="dxa"/>
            <w:bottom w:w="0" w:type="dxa"/>
            <w:right w:w="0" w:type="dxa"/>
          </w:tblCellMar>
        </w:tblPrEx>
        <w:trPr>
          <w:wBefore w:w="0" w:type="auto"/>
          <w:tblCellSpacing w:w="0" w:type="dxa"/>
        </w:trPr>
        <w:tc>
          <w:tcPr>
            <w:tcW w:w="0" w:type="auto"/>
            <w:noWrap w:val="0"/>
            <w:vAlign w:val="center"/>
          </w:tcPr>
          <w:p w14:paraId="412938A9">
            <w:r>
              <w:rPr>
                <w:rStyle w:val="10"/>
                <w:rFonts w:hint="eastAsia"/>
              </w:rPr>
              <w:t>农药名称：</w:t>
            </w:r>
            <w:r>
              <w:rPr>
                <w:rFonts w:hint="eastAsia"/>
              </w:rPr>
              <w:t>唑嘧磺草胺</w:t>
            </w:r>
          </w:p>
        </w:tc>
      </w:tr>
      <w:tr w14:paraId="33910375">
        <w:tblPrEx>
          <w:tblCellMar>
            <w:top w:w="0" w:type="dxa"/>
            <w:left w:w="0" w:type="dxa"/>
            <w:bottom w:w="0" w:type="dxa"/>
            <w:right w:w="0" w:type="dxa"/>
          </w:tblCellMar>
        </w:tblPrEx>
        <w:trPr>
          <w:wBefore w:w="0" w:type="auto"/>
          <w:tblCellSpacing w:w="0" w:type="dxa"/>
        </w:trPr>
        <w:tc>
          <w:tcPr>
            <w:tcW w:w="0" w:type="auto"/>
            <w:noWrap w:val="0"/>
            <w:vAlign w:val="center"/>
          </w:tcPr>
          <w:p w14:paraId="1B79E54B">
            <w:r>
              <w:rPr>
                <w:rStyle w:val="10"/>
                <w:rFonts w:hint="eastAsia"/>
              </w:rPr>
              <w:t>剂型：</w:t>
            </w:r>
            <w:r>
              <w:rPr>
                <w:rFonts w:hint="eastAsia"/>
              </w:rPr>
              <w:t>水分散粒剂</w:t>
            </w:r>
          </w:p>
        </w:tc>
      </w:tr>
      <w:tr w14:paraId="78D37285">
        <w:tblPrEx>
          <w:tblCellMar>
            <w:top w:w="0" w:type="dxa"/>
            <w:left w:w="0" w:type="dxa"/>
            <w:bottom w:w="0" w:type="dxa"/>
            <w:right w:w="0" w:type="dxa"/>
          </w:tblCellMar>
        </w:tblPrEx>
        <w:trPr>
          <w:wBefore w:w="0" w:type="auto"/>
          <w:tblCellSpacing w:w="0" w:type="dxa"/>
        </w:trPr>
        <w:tc>
          <w:tcPr>
            <w:tcW w:w="0" w:type="auto"/>
            <w:noWrap w:val="0"/>
            <w:vAlign w:val="center"/>
          </w:tcPr>
          <w:p w14:paraId="13044ADA">
            <w:r>
              <w:rPr>
                <w:rStyle w:val="10"/>
                <w:rFonts w:hint="eastAsia"/>
              </w:rPr>
              <w:t>毒性及其标识：</w:t>
            </w:r>
            <w:r>
              <w:rPr>
                <w:rFonts w:hint="eastAsia"/>
              </w:rPr>
              <w:t xml:space="preserve"> </w:t>
            </w:r>
            <w:r>
              <w:rPr>
                <w:lang/>
              </w:rPr>
              <w:drawing>
                <wp:inline distT="0" distB="0" distL="114300" distR="114300">
                  <wp:extent cx="476250" cy="323850"/>
                  <wp:effectExtent l="0" t="0" r="0" b="0"/>
                  <wp:docPr id="143" name="图片 1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CEDA21">
        <w:tblPrEx>
          <w:tblCellMar>
            <w:top w:w="0" w:type="dxa"/>
            <w:left w:w="0" w:type="dxa"/>
            <w:bottom w:w="0" w:type="dxa"/>
            <w:right w:w="0" w:type="dxa"/>
          </w:tblCellMar>
        </w:tblPrEx>
        <w:trPr>
          <w:wBefore w:w="0" w:type="auto"/>
          <w:tblCellSpacing w:w="0" w:type="dxa"/>
        </w:trPr>
        <w:tc>
          <w:tcPr>
            <w:tcW w:w="0" w:type="auto"/>
            <w:noWrap w:val="0"/>
            <w:vAlign w:val="center"/>
          </w:tcPr>
          <w:p w14:paraId="60BCACCB">
            <w:r>
              <w:rPr>
                <w:rStyle w:val="10"/>
                <w:rFonts w:hint="eastAsia"/>
              </w:rPr>
              <w:t>总有效成分含量：</w:t>
            </w:r>
            <w:r>
              <w:rPr>
                <w:rFonts w:hint="eastAsia"/>
              </w:rPr>
              <w:t>80%</w:t>
            </w:r>
          </w:p>
        </w:tc>
      </w:tr>
      <w:tr w14:paraId="769F6762">
        <w:tblPrEx>
          <w:tblCellMar>
            <w:top w:w="0" w:type="dxa"/>
            <w:left w:w="0" w:type="dxa"/>
            <w:bottom w:w="0" w:type="dxa"/>
            <w:right w:w="0" w:type="dxa"/>
          </w:tblCellMar>
        </w:tblPrEx>
        <w:trPr>
          <w:wBefore w:w="0" w:type="auto"/>
          <w:tblCellSpacing w:w="0" w:type="dxa"/>
        </w:trPr>
        <w:tc>
          <w:tcPr>
            <w:tcW w:w="0" w:type="auto"/>
            <w:noWrap w:val="0"/>
            <w:vAlign w:val="center"/>
          </w:tcPr>
          <w:p w14:paraId="35E15900">
            <w:r>
              <w:rPr>
                <w:rFonts w:hint="eastAsia"/>
              </w:rPr>
              <w:t xml:space="preserve">有效成分及其含量： </w:t>
            </w:r>
          </w:p>
          <w:p w14:paraId="3CB66696">
            <w:r>
              <w:rPr>
                <w:rFonts w:hint="eastAsia"/>
              </w:rPr>
              <w:t xml:space="preserve">    唑嘧磺草胺80%    </w:t>
            </w:r>
          </w:p>
        </w:tc>
      </w:tr>
      <w:tr w14:paraId="5FD06B0E">
        <w:tblPrEx>
          <w:tblCellMar>
            <w:top w:w="0" w:type="dxa"/>
            <w:left w:w="0" w:type="dxa"/>
            <w:bottom w:w="0" w:type="dxa"/>
            <w:right w:w="0" w:type="dxa"/>
          </w:tblCellMar>
        </w:tblPrEx>
        <w:trPr>
          <w:wBefore w:w="0" w:type="auto"/>
          <w:tblCellSpacing w:w="0" w:type="dxa"/>
        </w:trPr>
        <w:tc>
          <w:tcPr>
            <w:tcW w:w="0" w:type="auto"/>
            <w:noWrap w:val="0"/>
            <w:vAlign w:val="center"/>
          </w:tcPr>
          <w:p w14:paraId="295DF9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CA38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51FDD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5471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A6E8B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925ABC">
                  <w:r>
                    <w:rPr>
                      <w:rStyle w:val="11"/>
                      <w:rFonts w:hint="eastAsia"/>
                    </w:rPr>
                    <w:t>施用方式</w:t>
                  </w:r>
                </w:p>
              </w:tc>
            </w:tr>
            <w:tr w14:paraId="329F2A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ACECD8">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ABDE09">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56E580">
                  <w:r>
                    <w:rPr>
                      <w:rStyle w:val="11"/>
                      <w:rFonts w:hint="eastAsia"/>
                    </w:rPr>
                    <w:t>3-5克/亩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57D08E">
                  <w:r>
                    <w:rPr>
                      <w:rStyle w:val="11"/>
                      <w:rFonts w:hint="eastAsia"/>
                    </w:rPr>
                    <w:t>土壤喷雾</w:t>
                  </w:r>
                </w:p>
              </w:tc>
            </w:tr>
            <w:tr w14:paraId="5C26A0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458DD0">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AAD350">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04C312">
                  <w:r>
                    <w:rPr>
                      <w:rStyle w:val="11"/>
                      <w:rFonts w:hint="eastAsia"/>
                    </w:rPr>
                    <w:t>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127ADD">
                  <w:r>
                    <w:rPr>
                      <w:rStyle w:val="11"/>
                      <w:rFonts w:hint="eastAsia"/>
                    </w:rPr>
                    <w:t>土壤喷雾</w:t>
                  </w:r>
                </w:p>
              </w:tc>
            </w:tr>
          </w:tbl>
          <w:p w14:paraId="38B6B86D">
            <w:pPr>
              <w:rPr>
                <w:rFonts w:ascii="Times New Roman" w:hAnsi="Times New Roman" w:cs="Times New Roman"/>
                <w:sz w:val="20"/>
                <w:szCs w:val="20"/>
              </w:rPr>
            </w:pPr>
          </w:p>
        </w:tc>
      </w:tr>
      <w:tr w14:paraId="636B7403">
        <w:tblPrEx>
          <w:tblCellMar>
            <w:top w:w="0" w:type="dxa"/>
            <w:left w:w="0" w:type="dxa"/>
            <w:bottom w:w="0" w:type="dxa"/>
            <w:right w:w="0" w:type="dxa"/>
          </w:tblCellMar>
        </w:tblPrEx>
        <w:trPr>
          <w:wBefore w:w="0" w:type="auto"/>
          <w:tblCellSpacing w:w="0" w:type="dxa"/>
        </w:trPr>
        <w:tc>
          <w:tcPr>
            <w:tcW w:w="0" w:type="auto"/>
            <w:noWrap w:val="0"/>
            <w:vAlign w:val="center"/>
          </w:tcPr>
          <w:p w14:paraId="5D986E69">
            <w:r>
              <w:rPr>
                <w:rStyle w:val="10"/>
                <w:rFonts w:hint="eastAsia"/>
              </w:rPr>
              <w:t>使用技术要求:</w:t>
            </w:r>
            <w:r>
              <w:rPr>
                <w:rFonts w:hint="eastAsia"/>
              </w:rPr>
              <w:br w:type="textWrapping"/>
            </w:r>
            <w:r>
              <w:rPr>
                <w:rStyle w:val="11"/>
                <w:rFonts w:hint="eastAsia"/>
              </w:rPr>
              <w:t>1、本品应于玉米播种前或播后芽前，土壤喷雾施药1次。2、大风天或预计1小时内下雨，请勿施药。3、本品每季最多使用1次。</w:t>
            </w:r>
          </w:p>
        </w:tc>
      </w:tr>
      <w:tr w14:paraId="4786C376">
        <w:tblPrEx>
          <w:tblCellMar>
            <w:top w:w="0" w:type="dxa"/>
            <w:left w:w="0" w:type="dxa"/>
            <w:bottom w:w="0" w:type="dxa"/>
            <w:right w:w="0" w:type="dxa"/>
          </w:tblCellMar>
        </w:tblPrEx>
        <w:trPr>
          <w:wBefore w:w="0" w:type="auto"/>
          <w:tblCellSpacing w:w="0" w:type="dxa"/>
        </w:trPr>
        <w:tc>
          <w:tcPr>
            <w:tcW w:w="0" w:type="auto"/>
            <w:noWrap w:val="0"/>
            <w:vAlign w:val="center"/>
          </w:tcPr>
          <w:p w14:paraId="751820D5">
            <w:r>
              <w:rPr>
                <w:rStyle w:val="10"/>
                <w:rFonts w:hint="eastAsia"/>
              </w:rPr>
              <w:t>产品性能:</w:t>
            </w:r>
            <w:r>
              <w:rPr>
                <w:rFonts w:hint="eastAsia"/>
              </w:rPr>
              <w:br w:type="textWrapping"/>
            </w:r>
            <w:r>
              <w:rPr>
                <w:rStyle w:val="11"/>
                <w:rFonts w:hint="eastAsia"/>
              </w:rPr>
              <w:t>唑嘧磺草胺属支链氨基酸合成抑制剂（ALS或AHAS），抑制必需氨基酸亮氨酸、异亮氨酸和缬氨酸的合成，具有内吸性，可由根和叶吸收，向生长点传导。可用于防除玉米田一年生阔叶杂草。</w:t>
            </w:r>
          </w:p>
        </w:tc>
      </w:tr>
      <w:tr w14:paraId="1BB5586E">
        <w:tblPrEx>
          <w:tblCellMar>
            <w:top w:w="0" w:type="dxa"/>
            <w:left w:w="0" w:type="dxa"/>
            <w:bottom w:w="0" w:type="dxa"/>
            <w:right w:w="0" w:type="dxa"/>
          </w:tblCellMar>
        </w:tblPrEx>
        <w:trPr>
          <w:wBefore w:w="0" w:type="auto"/>
          <w:tblCellSpacing w:w="0" w:type="dxa"/>
        </w:trPr>
        <w:tc>
          <w:tcPr>
            <w:tcW w:w="0" w:type="auto"/>
            <w:noWrap w:val="0"/>
            <w:vAlign w:val="center"/>
          </w:tcPr>
          <w:p w14:paraId="350F57A6">
            <w:r>
              <w:rPr>
                <w:rStyle w:val="10"/>
                <w:rFonts w:hint="eastAsia"/>
              </w:rPr>
              <w:t>注意事项：</w:t>
            </w:r>
            <w:r>
              <w:rPr>
                <w:rFonts w:hint="eastAsia"/>
              </w:rPr>
              <w:br w:type="textWrapping"/>
            </w:r>
            <w:r>
              <w:rPr>
                <w:rStyle w:val="11"/>
                <w:rFonts w:hint="eastAsia"/>
              </w:rPr>
              <w:t>1）使用本品应采取相应的安全防护措施，穿防护服，戴防护口罩、手套等，避免皮肤接触及口鼻吸入。使用中不可吸烟、饮水及吃东西，使用后及时用大量清水和肥皂清洗手、脸等暴露部位皮肤并更换衣物。2）本品对藻类等水生生物有毒，远离水产养殖区、河塘等水体施药，禁止在河塘等水体中清洗施药器具，清洗施药器具的水也不能排入河塘等水体。3）建议与其它作用机制的除草剂轮换使用。4）用过的容器应妥善处理，不可做他用，也不可随意丢弃。5）禁止儿童、孕妇及哺乳期的妇女接触。过敏者禁用，使用中有任何不良反应请及时就医。</w:t>
            </w:r>
          </w:p>
        </w:tc>
      </w:tr>
      <w:tr w14:paraId="1564EEFA">
        <w:tblPrEx>
          <w:tblCellMar>
            <w:top w:w="0" w:type="dxa"/>
            <w:left w:w="0" w:type="dxa"/>
            <w:bottom w:w="0" w:type="dxa"/>
            <w:right w:w="0" w:type="dxa"/>
          </w:tblCellMar>
        </w:tblPrEx>
        <w:trPr>
          <w:wBefore w:w="0" w:type="auto"/>
          <w:tblCellSpacing w:w="0" w:type="dxa"/>
        </w:trPr>
        <w:tc>
          <w:tcPr>
            <w:tcW w:w="0" w:type="auto"/>
            <w:noWrap w:val="0"/>
            <w:vAlign w:val="center"/>
          </w:tcPr>
          <w:p w14:paraId="389623E8">
            <w:r>
              <w:rPr>
                <w:rStyle w:val="10"/>
                <w:rFonts w:hint="eastAsia"/>
              </w:rPr>
              <w:t>中毒急救措施：</w:t>
            </w:r>
            <w:r>
              <w:rPr>
                <w:rFonts w:hint="eastAsia"/>
              </w:rPr>
              <w:br w:type="textWrapping"/>
            </w:r>
            <w:r>
              <w:rPr>
                <w:rStyle w:val="11"/>
                <w:rFonts w:hint="eastAsia"/>
              </w:rPr>
              <w:t>本品对眼睛有刺激性。 急救措施：使用中或使用后如果感觉不适，应立即停止工作，采取急救措施，并携带标签送医院就诊。 皮肤接触：立即脱去污染衣物，用软布去除沾染农药，立即用大量清水和肥皂冲洗。 眼睛接触：立即翻开上下眼睑，用流动的清水冲洗至少15分钟。 吸入：立即离开施药现场，转移到空气清新处。 误服：立即停止服用，用清水充分漱口后，携带农药标签到医院就诊。本品尚无特效解毒剂，对症治疗。</w:t>
            </w:r>
          </w:p>
        </w:tc>
      </w:tr>
      <w:tr w14:paraId="57D5B566">
        <w:trPr>
          <w:wBefore w:w="0" w:type="auto"/>
          <w:tblCellSpacing w:w="0" w:type="dxa"/>
        </w:trPr>
        <w:tc>
          <w:tcPr>
            <w:tcW w:w="0" w:type="auto"/>
            <w:noWrap w:val="0"/>
            <w:vAlign w:val="center"/>
          </w:tcPr>
          <w:p w14:paraId="6FD450A8">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w:t>
            </w:r>
          </w:p>
        </w:tc>
      </w:tr>
      <w:tr w14:paraId="5CF7921C">
        <w:tblPrEx>
          <w:tblCellMar>
            <w:top w:w="0" w:type="dxa"/>
            <w:left w:w="0" w:type="dxa"/>
            <w:bottom w:w="0" w:type="dxa"/>
            <w:right w:w="0" w:type="dxa"/>
          </w:tblCellMar>
        </w:tblPrEx>
        <w:trPr>
          <w:wBefore w:w="0" w:type="auto"/>
          <w:tblCellSpacing w:w="0" w:type="dxa"/>
        </w:trPr>
        <w:tc>
          <w:tcPr>
            <w:tcW w:w="0" w:type="auto"/>
            <w:noWrap w:val="0"/>
            <w:vAlign w:val="center"/>
          </w:tcPr>
          <w:p w14:paraId="1719ACF4">
            <w:r>
              <w:rPr>
                <w:rStyle w:val="10"/>
                <w:rFonts w:hint="eastAsia"/>
              </w:rPr>
              <w:t>质量保证期：</w:t>
            </w:r>
            <w:r>
              <w:rPr>
                <w:rStyle w:val="11"/>
                <w:rFonts w:hint="eastAsia"/>
              </w:rPr>
              <w:t>2年</w:t>
            </w:r>
          </w:p>
        </w:tc>
      </w:tr>
      <w:tr w14:paraId="01191335">
        <w:tblPrEx>
          <w:tblCellMar>
            <w:top w:w="0" w:type="dxa"/>
            <w:left w:w="0" w:type="dxa"/>
            <w:bottom w:w="0" w:type="dxa"/>
            <w:right w:w="0" w:type="dxa"/>
          </w:tblCellMar>
        </w:tblPrEx>
        <w:trPr>
          <w:wBefore w:w="0" w:type="auto"/>
          <w:tblCellSpacing w:w="0" w:type="dxa"/>
        </w:trPr>
        <w:tc>
          <w:tcPr>
            <w:tcW w:w="0" w:type="auto"/>
            <w:noWrap w:val="0"/>
            <w:vAlign w:val="center"/>
          </w:tcPr>
          <w:p w14:paraId="47FD90FB">
            <w:r>
              <w:rPr>
                <w:rStyle w:val="10"/>
                <w:rFonts w:hint="eastAsia"/>
              </w:rPr>
              <w:t>备注：</w:t>
            </w:r>
          </w:p>
        </w:tc>
      </w:tr>
    </w:tbl>
    <w:p w14:paraId="556D2DF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3635F7">
        <w:tblPrEx>
          <w:tblCellMar>
            <w:top w:w="0" w:type="dxa"/>
            <w:left w:w="0" w:type="dxa"/>
            <w:bottom w:w="0" w:type="dxa"/>
            <w:right w:w="0" w:type="dxa"/>
          </w:tblCellMar>
        </w:tblPrEx>
        <w:trPr>
          <w:wBefore w:w="0" w:type="auto"/>
          <w:tblCellSpacing w:w="0" w:type="dxa"/>
        </w:trPr>
        <w:tc>
          <w:tcPr>
            <w:tcW w:w="0" w:type="auto"/>
            <w:noWrap w:val="0"/>
            <w:vAlign w:val="center"/>
          </w:tcPr>
          <w:p w14:paraId="49A93743">
            <w:r>
              <w:rPr>
                <w:rStyle w:val="10"/>
                <w:rFonts w:hint="eastAsia"/>
              </w:rPr>
              <w:t>登记证号：</w:t>
            </w:r>
            <w:r>
              <w:rPr>
                <w:rFonts w:hint="eastAsia"/>
              </w:rPr>
              <w:t>PD20212561</w:t>
            </w:r>
          </w:p>
        </w:tc>
      </w:tr>
      <w:tr w14:paraId="0D3B1295">
        <w:tblPrEx>
          <w:tblCellMar>
            <w:top w:w="0" w:type="dxa"/>
            <w:left w:w="0" w:type="dxa"/>
            <w:bottom w:w="0" w:type="dxa"/>
            <w:right w:w="0" w:type="dxa"/>
          </w:tblCellMar>
        </w:tblPrEx>
        <w:trPr>
          <w:wBefore w:w="0" w:type="auto"/>
          <w:tblCellSpacing w:w="0" w:type="dxa"/>
        </w:trPr>
        <w:tc>
          <w:tcPr>
            <w:tcW w:w="0" w:type="auto"/>
            <w:noWrap w:val="0"/>
            <w:vAlign w:val="center"/>
          </w:tcPr>
          <w:p w14:paraId="08440623">
            <w:r>
              <w:rPr>
                <w:rStyle w:val="10"/>
                <w:rFonts w:hint="eastAsia"/>
              </w:rPr>
              <w:t>登记证持有人：</w:t>
            </w:r>
            <w:r>
              <w:rPr>
                <w:rFonts w:hint="eastAsia"/>
              </w:rPr>
              <w:t>山东滨农科技有限公司</w:t>
            </w:r>
          </w:p>
        </w:tc>
      </w:tr>
      <w:tr w14:paraId="428FDD47">
        <w:tblPrEx>
          <w:tblCellMar>
            <w:top w:w="0" w:type="dxa"/>
            <w:left w:w="0" w:type="dxa"/>
            <w:bottom w:w="0" w:type="dxa"/>
            <w:right w:w="0" w:type="dxa"/>
          </w:tblCellMar>
        </w:tblPrEx>
        <w:trPr>
          <w:wBefore w:w="0" w:type="auto"/>
          <w:tblCellSpacing w:w="0" w:type="dxa"/>
        </w:trPr>
        <w:tc>
          <w:tcPr>
            <w:tcW w:w="0" w:type="auto"/>
            <w:noWrap w:val="0"/>
            <w:vAlign w:val="center"/>
          </w:tcPr>
          <w:p w14:paraId="06BABA23">
            <w:r>
              <w:rPr>
                <w:rStyle w:val="10"/>
                <w:rFonts w:hint="eastAsia"/>
              </w:rPr>
              <w:t>农药名称：</w:t>
            </w:r>
            <w:r>
              <w:rPr>
                <w:rFonts w:hint="eastAsia"/>
              </w:rPr>
              <w:t>二甲戊灵</w:t>
            </w:r>
          </w:p>
        </w:tc>
      </w:tr>
      <w:tr w14:paraId="2A3D10B1">
        <w:tblPrEx>
          <w:tblCellMar>
            <w:top w:w="0" w:type="dxa"/>
            <w:left w:w="0" w:type="dxa"/>
            <w:bottom w:w="0" w:type="dxa"/>
            <w:right w:w="0" w:type="dxa"/>
          </w:tblCellMar>
        </w:tblPrEx>
        <w:trPr>
          <w:wBefore w:w="0" w:type="auto"/>
          <w:tblCellSpacing w:w="0" w:type="dxa"/>
        </w:trPr>
        <w:tc>
          <w:tcPr>
            <w:tcW w:w="0" w:type="auto"/>
            <w:noWrap w:val="0"/>
            <w:vAlign w:val="center"/>
          </w:tcPr>
          <w:p w14:paraId="6B2E56E5">
            <w:r>
              <w:rPr>
                <w:rStyle w:val="10"/>
                <w:rFonts w:hint="eastAsia"/>
              </w:rPr>
              <w:t>剂型：</w:t>
            </w:r>
            <w:r>
              <w:rPr>
                <w:rFonts w:hint="eastAsia"/>
              </w:rPr>
              <w:t>乳油</w:t>
            </w:r>
          </w:p>
        </w:tc>
      </w:tr>
      <w:tr w14:paraId="23B317B2">
        <w:tblPrEx>
          <w:tblCellMar>
            <w:top w:w="0" w:type="dxa"/>
            <w:left w:w="0" w:type="dxa"/>
            <w:bottom w:w="0" w:type="dxa"/>
            <w:right w:w="0" w:type="dxa"/>
          </w:tblCellMar>
        </w:tblPrEx>
        <w:trPr>
          <w:wBefore w:w="0" w:type="auto"/>
          <w:tblCellSpacing w:w="0" w:type="dxa"/>
        </w:trPr>
        <w:tc>
          <w:tcPr>
            <w:tcW w:w="0" w:type="auto"/>
            <w:noWrap w:val="0"/>
            <w:vAlign w:val="center"/>
          </w:tcPr>
          <w:p w14:paraId="03FD599A">
            <w:r>
              <w:rPr>
                <w:rStyle w:val="10"/>
                <w:rFonts w:hint="eastAsia"/>
              </w:rPr>
              <w:t>毒性及其标识：</w:t>
            </w:r>
            <w:r>
              <w:rPr>
                <w:rFonts w:hint="eastAsia"/>
              </w:rPr>
              <w:t xml:space="preserve"> </w:t>
            </w:r>
            <w:r>
              <w:rPr>
                <w:lang/>
              </w:rPr>
              <w:drawing>
                <wp:inline distT="0" distB="0" distL="114300" distR="114300">
                  <wp:extent cx="476250" cy="323850"/>
                  <wp:effectExtent l="0" t="0" r="0" b="0"/>
                  <wp:docPr id="144" name="图片 1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EE1243">
        <w:tblPrEx>
          <w:tblCellMar>
            <w:top w:w="0" w:type="dxa"/>
            <w:left w:w="0" w:type="dxa"/>
            <w:bottom w:w="0" w:type="dxa"/>
            <w:right w:w="0" w:type="dxa"/>
          </w:tblCellMar>
        </w:tblPrEx>
        <w:trPr>
          <w:wBefore w:w="0" w:type="auto"/>
          <w:tblCellSpacing w:w="0" w:type="dxa"/>
        </w:trPr>
        <w:tc>
          <w:tcPr>
            <w:tcW w:w="0" w:type="auto"/>
            <w:noWrap w:val="0"/>
            <w:vAlign w:val="center"/>
          </w:tcPr>
          <w:p w14:paraId="173545DA">
            <w:r>
              <w:rPr>
                <w:rStyle w:val="10"/>
                <w:rFonts w:hint="eastAsia"/>
              </w:rPr>
              <w:t>总有效成分含量：</w:t>
            </w:r>
            <w:r>
              <w:rPr>
                <w:rFonts w:hint="eastAsia"/>
              </w:rPr>
              <w:t>500克/升</w:t>
            </w:r>
          </w:p>
        </w:tc>
      </w:tr>
      <w:tr w14:paraId="22BB6229">
        <w:tblPrEx>
          <w:tblCellMar>
            <w:top w:w="0" w:type="dxa"/>
            <w:left w:w="0" w:type="dxa"/>
            <w:bottom w:w="0" w:type="dxa"/>
            <w:right w:w="0" w:type="dxa"/>
          </w:tblCellMar>
        </w:tblPrEx>
        <w:trPr>
          <w:wBefore w:w="0" w:type="auto"/>
          <w:tblCellSpacing w:w="0" w:type="dxa"/>
        </w:trPr>
        <w:tc>
          <w:tcPr>
            <w:tcW w:w="0" w:type="auto"/>
            <w:noWrap w:val="0"/>
            <w:vAlign w:val="center"/>
          </w:tcPr>
          <w:p w14:paraId="3EB0DB98">
            <w:r>
              <w:rPr>
                <w:rFonts w:hint="eastAsia"/>
              </w:rPr>
              <w:t xml:space="preserve">有效成分及其含量： </w:t>
            </w:r>
          </w:p>
          <w:p w14:paraId="42802A84">
            <w:r>
              <w:rPr>
                <w:rFonts w:hint="eastAsia"/>
              </w:rPr>
              <w:t xml:space="preserve">    二甲戊灵500克/升    </w:t>
            </w:r>
          </w:p>
        </w:tc>
      </w:tr>
      <w:tr w14:paraId="48D6F8E2">
        <w:tblPrEx>
          <w:tblCellMar>
            <w:top w:w="0" w:type="dxa"/>
            <w:left w:w="0" w:type="dxa"/>
            <w:bottom w:w="0" w:type="dxa"/>
            <w:right w:w="0" w:type="dxa"/>
          </w:tblCellMar>
        </w:tblPrEx>
        <w:trPr>
          <w:wBefore w:w="0" w:type="auto"/>
          <w:tblCellSpacing w:w="0" w:type="dxa"/>
        </w:trPr>
        <w:tc>
          <w:tcPr>
            <w:tcW w:w="0" w:type="auto"/>
            <w:noWrap w:val="0"/>
            <w:vAlign w:val="center"/>
          </w:tcPr>
          <w:p w14:paraId="044D2E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8CB9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B0A79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02E23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39AF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6F168B">
                  <w:r>
                    <w:rPr>
                      <w:rStyle w:val="11"/>
                      <w:rFonts w:hint="eastAsia"/>
                    </w:rPr>
                    <w:t>施用方式</w:t>
                  </w:r>
                </w:p>
              </w:tc>
            </w:tr>
            <w:tr w14:paraId="3EC894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015F4E">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13968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6C688C">
                  <w:r>
                    <w:rPr>
                      <w:rStyle w:val="11"/>
                      <w:rFonts w:hint="eastAsia"/>
                    </w:rPr>
                    <w:t>120-160毫升/亩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B6266D">
                  <w:r>
                    <w:rPr>
                      <w:rStyle w:val="11"/>
                      <w:rFonts w:hint="eastAsia"/>
                    </w:rPr>
                    <w:t>土壤喷雾</w:t>
                  </w:r>
                </w:p>
              </w:tc>
            </w:tr>
          </w:tbl>
          <w:p w14:paraId="1F2FC8E4">
            <w:pPr>
              <w:rPr>
                <w:rFonts w:ascii="Times New Roman" w:hAnsi="Times New Roman" w:cs="Times New Roman"/>
                <w:sz w:val="20"/>
                <w:szCs w:val="20"/>
              </w:rPr>
            </w:pPr>
          </w:p>
        </w:tc>
      </w:tr>
      <w:tr w14:paraId="7B217C86">
        <w:tblPrEx>
          <w:tblCellMar>
            <w:top w:w="0" w:type="dxa"/>
            <w:left w:w="0" w:type="dxa"/>
            <w:bottom w:w="0" w:type="dxa"/>
            <w:right w:w="0" w:type="dxa"/>
          </w:tblCellMar>
        </w:tblPrEx>
        <w:trPr>
          <w:wBefore w:w="0" w:type="auto"/>
          <w:tblCellSpacing w:w="0" w:type="dxa"/>
        </w:trPr>
        <w:tc>
          <w:tcPr>
            <w:tcW w:w="0" w:type="auto"/>
            <w:noWrap w:val="0"/>
            <w:vAlign w:val="center"/>
          </w:tcPr>
          <w:p w14:paraId="542B572F">
            <w:r>
              <w:rPr>
                <w:rStyle w:val="10"/>
                <w:rFonts w:hint="eastAsia"/>
              </w:rPr>
              <w:t>使用技术要求:</w:t>
            </w:r>
            <w:r>
              <w:rPr>
                <w:rFonts w:hint="eastAsia"/>
              </w:rPr>
              <w:br w:type="textWrapping"/>
            </w:r>
            <w:r>
              <w:rPr>
                <w:rStyle w:val="11"/>
                <w:rFonts w:hint="eastAsia"/>
              </w:rPr>
              <w:t>1.于棉花播后苗前，土壤喷雾施药进行土壤封闭处理。2.喷药时应以施药的实际面积折算用药量。施药时间应在上午或傍晚，中午前后气温高时不能喷雾。棉花用药在播后苗前用药，覆膜棉田在覆膜前用药，并以实际喷药面积计算。 3.应根据土壤质地、杂草种类与危害情况确定实际用药量，每亩兑30公斤（两桶）以上水，在无风或微风天的上午或傍晚用药为宜。4.在棉花田每季使用一次。</w:t>
            </w:r>
          </w:p>
        </w:tc>
      </w:tr>
      <w:tr w14:paraId="09DB7C44">
        <w:tblPrEx>
          <w:tblCellMar>
            <w:top w:w="0" w:type="dxa"/>
            <w:left w:w="0" w:type="dxa"/>
            <w:bottom w:w="0" w:type="dxa"/>
            <w:right w:w="0" w:type="dxa"/>
          </w:tblCellMar>
        </w:tblPrEx>
        <w:trPr>
          <w:wBefore w:w="0" w:type="auto"/>
          <w:tblCellSpacing w:w="0" w:type="dxa"/>
        </w:trPr>
        <w:tc>
          <w:tcPr>
            <w:tcW w:w="0" w:type="auto"/>
            <w:noWrap w:val="0"/>
            <w:vAlign w:val="center"/>
          </w:tcPr>
          <w:p w14:paraId="7F16789A">
            <w:r>
              <w:rPr>
                <w:rStyle w:val="10"/>
                <w:rFonts w:hint="eastAsia"/>
              </w:rPr>
              <w:t>产品性能:</w:t>
            </w:r>
            <w:r>
              <w:rPr>
                <w:rFonts w:hint="eastAsia"/>
              </w:rPr>
              <w:br w:type="textWrapping"/>
            </w:r>
            <w:r>
              <w:rPr>
                <w:rStyle w:val="11"/>
                <w:rFonts w:hint="eastAsia"/>
              </w:rPr>
              <w:t>本品为二硝基苯胺类选择性土壤处理剂，土壤对其吸附性强，不易淋溶，在土壤中移动性小。可有效地防治棉花田多种一年生禾本科杂草和部分阔叶杂草，如：稗草、马唐、狗尾草、千金子、牛筋草、藜、苋、苘麻、马齿苋、繁缕和龙葵等。</w:t>
            </w:r>
          </w:p>
        </w:tc>
      </w:tr>
      <w:tr w14:paraId="48EBA167">
        <w:tblPrEx>
          <w:tblCellMar>
            <w:top w:w="0" w:type="dxa"/>
            <w:left w:w="0" w:type="dxa"/>
            <w:bottom w:w="0" w:type="dxa"/>
            <w:right w:w="0" w:type="dxa"/>
          </w:tblCellMar>
        </w:tblPrEx>
        <w:trPr>
          <w:wBefore w:w="0" w:type="auto"/>
          <w:tblCellSpacing w:w="0" w:type="dxa"/>
        </w:trPr>
        <w:tc>
          <w:tcPr>
            <w:tcW w:w="0" w:type="auto"/>
            <w:noWrap w:val="0"/>
            <w:vAlign w:val="center"/>
          </w:tcPr>
          <w:p w14:paraId="69A6D788">
            <w:r>
              <w:rPr>
                <w:rStyle w:val="10"/>
                <w:rFonts w:hint="eastAsia"/>
              </w:rPr>
              <w:t>注意事项：</w:t>
            </w:r>
            <w:r>
              <w:rPr>
                <w:rFonts w:hint="eastAsia"/>
              </w:rPr>
              <w:br w:type="textWrapping"/>
            </w:r>
            <w:r>
              <w:rPr>
                <w:rStyle w:val="11"/>
                <w:rFonts w:hint="eastAsia"/>
              </w:rPr>
              <w:t>1.配药及施药时,应穿防护服、靴子，戴防护镜、胶皮手套和口罩，避免药液接触眼睛。施药期间不可吃东西、饮水、吸烟等。施药后，彻底清洗防护 用具，洗澡，并更换和清洗工作服。2.水产养殖区、河塘等水体附近禁用，禁止在河塘等水域清洗施药器具；鸟类保护区附近禁用。4.用过的容器应妥善处理，不可作他用，也不可随意丢弃。5.孕妇和哺乳期妇女避免接触。</w:t>
            </w:r>
          </w:p>
        </w:tc>
      </w:tr>
      <w:tr w14:paraId="45AA79A0">
        <w:tblPrEx>
          <w:tblCellMar>
            <w:top w:w="0" w:type="dxa"/>
            <w:left w:w="0" w:type="dxa"/>
            <w:bottom w:w="0" w:type="dxa"/>
            <w:right w:w="0" w:type="dxa"/>
          </w:tblCellMar>
        </w:tblPrEx>
        <w:trPr>
          <w:wBefore w:w="0" w:type="auto"/>
          <w:tblCellSpacing w:w="0" w:type="dxa"/>
        </w:trPr>
        <w:tc>
          <w:tcPr>
            <w:tcW w:w="0" w:type="auto"/>
            <w:noWrap w:val="0"/>
            <w:vAlign w:val="center"/>
          </w:tcPr>
          <w:p w14:paraId="71E0255E">
            <w:r>
              <w:rPr>
                <w:rStyle w:val="10"/>
                <w:rFonts w:hint="eastAsia"/>
              </w:rPr>
              <w:t>中毒急救措施：</w:t>
            </w:r>
            <w:r>
              <w:rPr>
                <w:rFonts w:hint="eastAsia"/>
              </w:rPr>
              <w:br w:type="textWrapping"/>
            </w:r>
            <w:r>
              <w:rPr>
                <w:rStyle w:val="11"/>
                <w:rFonts w:hint="eastAsia"/>
              </w:rPr>
              <w:t>本品对眼睛有刺激性。不慎药液接触皮肤，用大量的肥皂和清水清洗皮肤表面，如有刺激发生，携此标签请医生诊治不慎药液接触眼睛，用清水冲洗眼睛至少15分钟，如有刺激发生，携此标签请医生诊治。不慎误食或吞服药液，勿引吐，携此标签，立即就医。 医生使用：由于有引起化学肺炎及肺水肿的危险，引吐应在专业医师的监督下进行。无特效解毒剂。对症治疗。</w:t>
            </w:r>
          </w:p>
        </w:tc>
      </w:tr>
      <w:tr w14:paraId="5082956D">
        <w:tblPrEx>
          <w:tblCellMar>
            <w:top w:w="0" w:type="dxa"/>
            <w:left w:w="0" w:type="dxa"/>
            <w:bottom w:w="0" w:type="dxa"/>
            <w:right w:w="0" w:type="dxa"/>
          </w:tblCellMar>
        </w:tblPrEx>
        <w:trPr>
          <w:wBefore w:w="0" w:type="auto"/>
          <w:tblCellSpacing w:w="0" w:type="dxa"/>
        </w:trPr>
        <w:tc>
          <w:tcPr>
            <w:tcW w:w="0" w:type="auto"/>
            <w:noWrap w:val="0"/>
            <w:vAlign w:val="center"/>
          </w:tcPr>
          <w:p w14:paraId="7105859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药剂储存于原容器中，并保持容器处于密封状态。不要直接置于阳光下，或过热，或低于0℃的地方。勿与食品、饮料、饲料、粮食等同贮同运。</w:t>
            </w:r>
          </w:p>
        </w:tc>
      </w:tr>
      <w:tr w14:paraId="33E59235">
        <w:tblPrEx>
          <w:tblCellMar>
            <w:top w:w="0" w:type="dxa"/>
            <w:left w:w="0" w:type="dxa"/>
            <w:bottom w:w="0" w:type="dxa"/>
            <w:right w:w="0" w:type="dxa"/>
          </w:tblCellMar>
        </w:tblPrEx>
        <w:trPr>
          <w:wBefore w:w="0" w:type="auto"/>
          <w:tblCellSpacing w:w="0" w:type="dxa"/>
        </w:trPr>
        <w:tc>
          <w:tcPr>
            <w:tcW w:w="0" w:type="auto"/>
            <w:noWrap w:val="0"/>
            <w:vAlign w:val="center"/>
          </w:tcPr>
          <w:p w14:paraId="6762EB76">
            <w:r>
              <w:rPr>
                <w:rStyle w:val="10"/>
                <w:rFonts w:hint="eastAsia"/>
              </w:rPr>
              <w:t>质量保证期：</w:t>
            </w:r>
            <w:r>
              <w:rPr>
                <w:rStyle w:val="11"/>
                <w:rFonts w:hint="eastAsia"/>
              </w:rPr>
              <w:t>2年</w:t>
            </w:r>
          </w:p>
        </w:tc>
      </w:tr>
      <w:tr w14:paraId="6779FA35">
        <w:tblPrEx>
          <w:tblCellMar>
            <w:top w:w="0" w:type="dxa"/>
            <w:left w:w="0" w:type="dxa"/>
            <w:bottom w:w="0" w:type="dxa"/>
            <w:right w:w="0" w:type="dxa"/>
          </w:tblCellMar>
        </w:tblPrEx>
        <w:trPr>
          <w:wBefore w:w="0" w:type="auto"/>
          <w:tblCellSpacing w:w="0" w:type="dxa"/>
        </w:trPr>
        <w:tc>
          <w:tcPr>
            <w:tcW w:w="0" w:type="auto"/>
            <w:noWrap w:val="0"/>
            <w:vAlign w:val="center"/>
          </w:tcPr>
          <w:p w14:paraId="61E0542C">
            <w:r>
              <w:rPr>
                <w:rStyle w:val="10"/>
                <w:rFonts w:hint="eastAsia"/>
              </w:rPr>
              <w:t>备注：</w:t>
            </w:r>
            <w:r>
              <w:rPr>
                <w:rFonts w:hint="eastAsia"/>
              </w:rPr>
              <w:br w:type="textWrapping"/>
            </w:r>
            <w:r>
              <w:rPr>
                <w:rStyle w:val="11"/>
                <w:rFonts w:hint="eastAsia"/>
              </w:rPr>
              <w:t>质量分数46.5%。</w:t>
            </w:r>
          </w:p>
        </w:tc>
      </w:tr>
    </w:tbl>
    <w:p w14:paraId="3A688A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2A71FA">
        <w:tblPrEx>
          <w:tblCellMar>
            <w:top w:w="0" w:type="dxa"/>
            <w:left w:w="0" w:type="dxa"/>
            <w:bottom w:w="0" w:type="dxa"/>
            <w:right w:w="0" w:type="dxa"/>
          </w:tblCellMar>
        </w:tblPrEx>
        <w:trPr>
          <w:wBefore w:w="0" w:type="auto"/>
          <w:tblCellSpacing w:w="0" w:type="dxa"/>
        </w:trPr>
        <w:tc>
          <w:tcPr>
            <w:tcW w:w="0" w:type="auto"/>
            <w:noWrap w:val="0"/>
            <w:vAlign w:val="center"/>
          </w:tcPr>
          <w:p w14:paraId="72FDE289">
            <w:r>
              <w:rPr>
                <w:rStyle w:val="10"/>
                <w:rFonts w:hint="eastAsia"/>
              </w:rPr>
              <w:t>登记证号：</w:t>
            </w:r>
            <w:r>
              <w:rPr>
                <w:rFonts w:hint="eastAsia"/>
              </w:rPr>
              <w:t>PD20212734</w:t>
            </w:r>
          </w:p>
        </w:tc>
      </w:tr>
      <w:tr w14:paraId="0FE41AEC">
        <w:tblPrEx>
          <w:tblCellMar>
            <w:top w:w="0" w:type="dxa"/>
            <w:left w:w="0" w:type="dxa"/>
            <w:bottom w:w="0" w:type="dxa"/>
            <w:right w:w="0" w:type="dxa"/>
          </w:tblCellMar>
        </w:tblPrEx>
        <w:trPr>
          <w:wBefore w:w="0" w:type="auto"/>
          <w:tblCellSpacing w:w="0" w:type="dxa"/>
        </w:trPr>
        <w:tc>
          <w:tcPr>
            <w:tcW w:w="0" w:type="auto"/>
            <w:noWrap w:val="0"/>
            <w:vAlign w:val="center"/>
          </w:tcPr>
          <w:p w14:paraId="6E8DA9D1">
            <w:r>
              <w:rPr>
                <w:rStyle w:val="10"/>
                <w:rFonts w:hint="eastAsia"/>
              </w:rPr>
              <w:t>登记证持有人：</w:t>
            </w:r>
            <w:r>
              <w:rPr>
                <w:rFonts w:hint="eastAsia"/>
              </w:rPr>
              <w:t>浙江龙湾化工有限公司</w:t>
            </w:r>
          </w:p>
        </w:tc>
      </w:tr>
      <w:tr w14:paraId="4451B6EC">
        <w:tblPrEx>
          <w:tblCellMar>
            <w:top w:w="0" w:type="dxa"/>
            <w:left w:w="0" w:type="dxa"/>
            <w:bottom w:w="0" w:type="dxa"/>
            <w:right w:w="0" w:type="dxa"/>
          </w:tblCellMar>
        </w:tblPrEx>
        <w:trPr>
          <w:wBefore w:w="0" w:type="auto"/>
          <w:tblCellSpacing w:w="0" w:type="dxa"/>
        </w:trPr>
        <w:tc>
          <w:tcPr>
            <w:tcW w:w="0" w:type="auto"/>
            <w:noWrap w:val="0"/>
            <w:vAlign w:val="center"/>
          </w:tcPr>
          <w:p w14:paraId="134F49F8">
            <w:r>
              <w:rPr>
                <w:rStyle w:val="10"/>
                <w:rFonts w:hint="eastAsia"/>
              </w:rPr>
              <w:t>农药名称：</w:t>
            </w:r>
            <w:r>
              <w:rPr>
                <w:rFonts w:hint="eastAsia"/>
              </w:rPr>
              <w:t>S-诱抗素</w:t>
            </w:r>
          </w:p>
        </w:tc>
      </w:tr>
      <w:tr w14:paraId="1DFC6CDB">
        <w:tblPrEx>
          <w:tblCellMar>
            <w:top w:w="0" w:type="dxa"/>
            <w:left w:w="0" w:type="dxa"/>
            <w:bottom w:w="0" w:type="dxa"/>
            <w:right w:w="0" w:type="dxa"/>
          </w:tblCellMar>
        </w:tblPrEx>
        <w:trPr>
          <w:wBefore w:w="0" w:type="auto"/>
          <w:tblCellSpacing w:w="0" w:type="dxa"/>
        </w:trPr>
        <w:tc>
          <w:tcPr>
            <w:tcW w:w="0" w:type="auto"/>
            <w:noWrap w:val="0"/>
            <w:vAlign w:val="center"/>
          </w:tcPr>
          <w:p w14:paraId="14E5B4C8">
            <w:r>
              <w:rPr>
                <w:rStyle w:val="10"/>
                <w:rFonts w:hint="eastAsia"/>
              </w:rPr>
              <w:t>剂型：</w:t>
            </w:r>
            <w:r>
              <w:rPr>
                <w:rFonts w:hint="eastAsia"/>
              </w:rPr>
              <w:t>可溶液剂</w:t>
            </w:r>
          </w:p>
        </w:tc>
      </w:tr>
      <w:tr w14:paraId="60695D8D">
        <w:tblPrEx>
          <w:tblCellMar>
            <w:top w:w="0" w:type="dxa"/>
            <w:left w:w="0" w:type="dxa"/>
            <w:bottom w:w="0" w:type="dxa"/>
            <w:right w:w="0" w:type="dxa"/>
          </w:tblCellMar>
        </w:tblPrEx>
        <w:trPr>
          <w:wBefore w:w="0" w:type="auto"/>
          <w:tblCellSpacing w:w="0" w:type="dxa"/>
        </w:trPr>
        <w:tc>
          <w:tcPr>
            <w:tcW w:w="0" w:type="auto"/>
            <w:noWrap w:val="0"/>
            <w:vAlign w:val="center"/>
          </w:tcPr>
          <w:p w14:paraId="6A35C8AF">
            <w:r>
              <w:rPr>
                <w:rStyle w:val="10"/>
                <w:rFonts w:hint="eastAsia"/>
              </w:rPr>
              <w:t>毒性及其标识：</w:t>
            </w:r>
            <w:r>
              <w:rPr>
                <w:rFonts w:hint="eastAsia"/>
              </w:rPr>
              <w:t xml:space="preserve"> 微毒 </w:t>
            </w:r>
          </w:p>
        </w:tc>
      </w:tr>
      <w:tr w14:paraId="7AF1077F">
        <w:tblPrEx>
          <w:tblCellMar>
            <w:top w:w="0" w:type="dxa"/>
            <w:left w:w="0" w:type="dxa"/>
            <w:bottom w:w="0" w:type="dxa"/>
            <w:right w:w="0" w:type="dxa"/>
          </w:tblCellMar>
        </w:tblPrEx>
        <w:trPr>
          <w:wBefore w:w="0" w:type="auto"/>
          <w:tblCellSpacing w:w="0" w:type="dxa"/>
        </w:trPr>
        <w:tc>
          <w:tcPr>
            <w:tcW w:w="0" w:type="auto"/>
            <w:noWrap w:val="0"/>
            <w:vAlign w:val="center"/>
          </w:tcPr>
          <w:p w14:paraId="0E981644">
            <w:r>
              <w:rPr>
                <w:rStyle w:val="10"/>
                <w:rFonts w:hint="eastAsia"/>
              </w:rPr>
              <w:t>总有效成分含量：</w:t>
            </w:r>
            <w:r>
              <w:rPr>
                <w:rFonts w:hint="eastAsia"/>
              </w:rPr>
              <w:t>0.1%</w:t>
            </w:r>
          </w:p>
        </w:tc>
      </w:tr>
      <w:tr w14:paraId="489C5E42">
        <w:tblPrEx>
          <w:tblCellMar>
            <w:top w:w="0" w:type="dxa"/>
            <w:left w:w="0" w:type="dxa"/>
            <w:bottom w:w="0" w:type="dxa"/>
            <w:right w:w="0" w:type="dxa"/>
          </w:tblCellMar>
        </w:tblPrEx>
        <w:trPr>
          <w:wBefore w:w="0" w:type="auto"/>
          <w:tblCellSpacing w:w="0" w:type="dxa"/>
        </w:trPr>
        <w:tc>
          <w:tcPr>
            <w:tcW w:w="0" w:type="auto"/>
            <w:noWrap w:val="0"/>
            <w:vAlign w:val="center"/>
          </w:tcPr>
          <w:p w14:paraId="3B3B671A">
            <w:r>
              <w:rPr>
                <w:rFonts w:hint="eastAsia"/>
              </w:rPr>
              <w:t xml:space="preserve">有效成分及其含量： </w:t>
            </w:r>
          </w:p>
          <w:p w14:paraId="5676BD60">
            <w:r>
              <w:rPr>
                <w:rFonts w:hint="eastAsia"/>
              </w:rPr>
              <w:t xml:space="preserve">    S-诱抗素0.1%    </w:t>
            </w:r>
          </w:p>
        </w:tc>
      </w:tr>
      <w:tr w14:paraId="167540E2">
        <w:tblPrEx>
          <w:tblCellMar>
            <w:top w:w="0" w:type="dxa"/>
            <w:left w:w="0" w:type="dxa"/>
            <w:bottom w:w="0" w:type="dxa"/>
            <w:right w:w="0" w:type="dxa"/>
          </w:tblCellMar>
        </w:tblPrEx>
        <w:trPr>
          <w:wBefore w:w="0" w:type="auto"/>
          <w:tblCellSpacing w:w="0" w:type="dxa"/>
        </w:trPr>
        <w:tc>
          <w:tcPr>
            <w:tcW w:w="0" w:type="auto"/>
            <w:noWrap w:val="0"/>
            <w:vAlign w:val="center"/>
          </w:tcPr>
          <w:p w14:paraId="075810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99F2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5A85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97697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B09F2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3A1862">
                  <w:r>
                    <w:rPr>
                      <w:rStyle w:val="11"/>
                      <w:rFonts w:hint="eastAsia"/>
                    </w:rPr>
                    <w:t>施用方式</w:t>
                  </w:r>
                </w:p>
              </w:tc>
            </w:tr>
            <w:tr w14:paraId="05E30D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36FF21">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CC6EE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3DBECF">
                  <w:r>
                    <w:rPr>
                      <w:rStyle w:val="11"/>
                      <w:rFonts w:hint="eastAsia"/>
                    </w:rPr>
                    <w:t>200-400倍液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02FCAD">
                  <w:r>
                    <w:rPr>
                      <w:rStyle w:val="11"/>
                      <w:rFonts w:hint="eastAsia"/>
                    </w:rPr>
                    <w:t>喷雾</w:t>
                  </w:r>
                </w:p>
              </w:tc>
            </w:tr>
          </w:tbl>
          <w:p w14:paraId="24A9F714">
            <w:pPr>
              <w:rPr>
                <w:rFonts w:ascii="Times New Roman" w:hAnsi="Times New Roman" w:cs="Times New Roman"/>
                <w:sz w:val="20"/>
                <w:szCs w:val="20"/>
              </w:rPr>
            </w:pPr>
          </w:p>
        </w:tc>
      </w:tr>
      <w:tr w14:paraId="703B35C2">
        <w:tblPrEx>
          <w:tblCellMar>
            <w:top w:w="0" w:type="dxa"/>
            <w:left w:w="0" w:type="dxa"/>
            <w:bottom w:w="0" w:type="dxa"/>
            <w:right w:w="0" w:type="dxa"/>
          </w:tblCellMar>
        </w:tblPrEx>
        <w:trPr>
          <w:wBefore w:w="0" w:type="auto"/>
          <w:tblCellSpacing w:w="0" w:type="dxa"/>
        </w:trPr>
        <w:tc>
          <w:tcPr>
            <w:tcW w:w="0" w:type="auto"/>
            <w:noWrap w:val="0"/>
            <w:vAlign w:val="center"/>
          </w:tcPr>
          <w:p w14:paraId="08627580">
            <w:r>
              <w:rPr>
                <w:rStyle w:val="10"/>
                <w:rFonts w:hint="eastAsia"/>
              </w:rPr>
              <w:t>使用技术要求:</w:t>
            </w:r>
            <w:r>
              <w:rPr>
                <w:rFonts w:hint="eastAsia"/>
              </w:rPr>
              <w:br w:type="textWrapping"/>
            </w:r>
            <w:r>
              <w:rPr>
                <w:rStyle w:val="11"/>
                <w:rFonts w:hint="eastAsia"/>
              </w:rPr>
              <w:t>1. 在番茄移栽活苗后3-7天，以推荐剂量兑水均匀喷雾施药一次，间隔14-20天再喷施一次，共施药2次。2. 大风天或预计1小时内降雨，请勿施药。</w:t>
            </w:r>
          </w:p>
        </w:tc>
      </w:tr>
      <w:tr w14:paraId="62C56077">
        <w:tblPrEx>
          <w:tblCellMar>
            <w:top w:w="0" w:type="dxa"/>
            <w:left w:w="0" w:type="dxa"/>
            <w:bottom w:w="0" w:type="dxa"/>
            <w:right w:w="0" w:type="dxa"/>
          </w:tblCellMar>
        </w:tblPrEx>
        <w:trPr>
          <w:wBefore w:w="0" w:type="auto"/>
          <w:tblCellSpacing w:w="0" w:type="dxa"/>
        </w:trPr>
        <w:tc>
          <w:tcPr>
            <w:tcW w:w="0" w:type="auto"/>
            <w:noWrap w:val="0"/>
            <w:vAlign w:val="center"/>
          </w:tcPr>
          <w:p w14:paraId="09015DCB">
            <w:r>
              <w:rPr>
                <w:rStyle w:val="10"/>
                <w:rFonts w:hint="eastAsia"/>
              </w:rPr>
              <w:t>产品性能:</w:t>
            </w:r>
            <w:r>
              <w:rPr>
                <w:rFonts w:hint="eastAsia"/>
              </w:rPr>
              <w:br w:type="textWrapping"/>
            </w:r>
            <w:r>
              <w:rPr>
                <w:rStyle w:val="11"/>
                <w:rFonts w:hint="eastAsia"/>
              </w:rPr>
              <w:t>S-诱抗素是一种天然植物生长调节剂，具有促进植物平衡吸收水肥和协调体内植物代谢的能力，能有效增强植物的抗逆性。在推荐使用剂量范围内，对作物调节生长有良好的效果。</w:t>
            </w:r>
          </w:p>
        </w:tc>
      </w:tr>
      <w:tr w14:paraId="363CA4F4">
        <w:tblPrEx>
          <w:tblCellMar>
            <w:top w:w="0" w:type="dxa"/>
            <w:left w:w="0" w:type="dxa"/>
            <w:bottom w:w="0" w:type="dxa"/>
            <w:right w:w="0" w:type="dxa"/>
          </w:tblCellMar>
        </w:tblPrEx>
        <w:trPr>
          <w:wBefore w:w="0" w:type="auto"/>
          <w:tblCellSpacing w:w="0" w:type="dxa"/>
        </w:trPr>
        <w:tc>
          <w:tcPr>
            <w:tcW w:w="0" w:type="auto"/>
            <w:noWrap w:val="0"/>
            <w:vAlign w:val="center"/>
          </w:tcPr>
          <w:p w14:paraId="4A5E3B79">
            <w:r>
              <w:rPr>
                <w:rStyle w:val="10"/>
                <w:rFonts w:hint="eastAsia"/>
              </w:rPr>
              <w:t>注意事项：</w:t>
            </w:r>
            <w:r>
              <w:rPr>
                <w:rFonts w:hint="eastAsia"/>
              </w:rPr>
              <w:br w:type="textWrapping"/>
            </w:r>
            <w:r>
              <w:rPr>
                <w:rStyle w:val="11"/>
                <w:rFonts w:hint="eastAsia"/>
              </w:rPr>
              <w:t>1. 农药施用人员在使用本品时应穿防护服、戴手套和口罩等防护用具，避免皮肤接触及口鼻吸入药液；使用期间不可吸烟、饮水及吃东西等；施药后及时清洗手、脸等暴露部位皮肤并更换衣物。2. 本品忌与碱性物质混用。3. 本品应避光密封保存，包装开启后建议一次性用完。4. 水产养殖区、河塘等水体附近禁用，禁止在河塘等水体中清洗施药器具。5. 用过的容器应妥善处理，不可做他用，也不可随意丢弃。6. 孕妇及哺乳期妇女避免接触。</w:t>
            </w:r>
          </w:p>
        </w:tc>
      </w:tr>
      <w:tr w14:paraId="010CBB9F">
        <w:tblPrEx>
          <w:tblCellMar>
            <w:top w:w="0" w:type="dxa"/>
            <w:left w:w="0" w:type="dxa"/>
            <w:bottom w:w="0" w:type="dxa"/>
            <w:right w:w="0" w:type="dxa"/>
          </w:tblCellMar>
        </w:tblPrEx>
        <w:trPr>
          <w:wBefore w:w="0" w:type="auto"/>
          <w:tblCellSpacing w:w="0" w:type="dxa"/>
        </w:trPr>
        <w:tc>
          <w:tcPr>
            <w:tcW w:w="0" w:type="auto"/>
            <w:noWrap w:val="0"/>
            <w:vAlign w:val="center"/>
          </w:tcPr>
          <w:p w14:paraId="4A125CF1">
            <w:r>
              <w:rPr>
                <w:rStyle w:val="10"/>
                <w:rFonts w:hint="eastAsia"/>
              </w:rPr>
              <w:t>中毒急救措施：</w:t>
            </w:r>
            <w:r>
              <w:rPr>
                <w:rFonts w:hint="eastAsia"/>
              </w:rPr>
              <w:br w:type="textWrapping"/>
            </w:r>
            <w:r>
              <w:rPr>
                <w:rStyle w:val="11"/>
                <w:rFonts w:hint="eastAsia"/>
              </w:rPr>
              <w:t xml:space="preserve">使用中或使用后如感觉不适，应立即停止工作，采取急救措施，并携标签送医院诊治。 皮肤接触：脱去污染的衣物，立即用软布去除沾染农药，并用肥皂和大量清水冲洗。眼睛溅入：立即用流动清水温和冲洗至少15分钟。不慎吸入：立即转移至空气新鲜处。如误食：请勿自行引吐，用清水充分漱口并携带农药标签到医院就诊。 </w:t>
            </w:r>
          </w:p>
        </w:tc>
      </w:tr>
      <w:tr w14:paraId="45716D32">
        <w:tblPrEx>
          <w:tblCellMar>
            <w:top w:w="0" w:type="dxa"/>
            <w:left w:w="0" w:type="dxa"/>
            <w:bottom w:w="0" w:type="dxa"/>
            <w:right w:w="0" w:type="dxa"/>
          </w:tblCellMar>
        </w:tblPrEx>
        <w:trPr>
          <w:wBefore w:w="0" w:type="auto"/>
          <w:tblCellSpacing w:w="0" w:type="dxa"/>
        </w:trPr>
        <w:tc>
          <w:tcPr>
            <w:tcW w:w="0" w:type="auto"/>
            <w:noWrap w:val="0"/>
            <w:vAlign w:val="center"/>
          </w:tcPr>
          <w:p w14:paraId="6F7C7F91">
            <w:r>
              <w:rPr>
                <w:rStyle w:val="10"/>
                <w:rFonts w:hint="eastAsia"/>
              </w:rPr>
              <w:t>储存和运输方法：</w:t>
            </w:r>
            <w:r>
              <w:rPr>
                <w:rFonts w:hint="eastAsia"/>
              </w:rPr>
              <w:br w:type="textWrapping"/>
            </w:r>
            <w:r>
              <w:rPr>
                <w:rStyle w:val="11"/>
                <w:rFonts w:hint="eastAsia"/>
              </w:rPr>
              <w:t>本品为易燃液体，应储存在阴凉避光、干燥、通风、防雨处，保持容器密闭；远离热源或火源。置于儿童、无关人员及动物等接触不到的地方并加锁保存。不能与食品、饮料、粮食、饲料等同储同运。运输时注意防潮防晒，避免日晒和雨淋；搬运时轻搬轻放，不可倒置。</w:t>
            </w:r>
          </w:p>
        </w:tc>
      </w:tr>
      <w:tr w14:paraId="0426F766">
        <w:tblPrEx>
          <w:tblCellMar>
            <w:top w:w="0" w:type="dxa"/>
            <w:left w:w="0" w:type="dxa"/>
            <w:bottom w:w="0" w:type="dxa"/>
            <w:right w:w="0" w:type="dxa"/>
          </w:tblCellMar>
        </w:tblPrEx>
        <w:trPr>
          <w:wBefore w:w="0" w:type="auto"/>
          <w:tblCellSpacing w:w="0" w:type="dxa"/>
        </w:trPr>
        <w:tc>
          <w:tcPr>
            <w:tcW w:w="0" w:type="auto"/>
            <w:noWrap w:val="0"/>
            <w:vAlign w:val="center"/>
          </w:tcPr>
          <w:p w14:paraId="66BB758E">
            <w:r>
              <w:rPr>
                <w:rStyle w:val="10"/>
                <w:rFonts w:hint="eastAsia"/>
              </w:rPr>
              <w:t>质量保证期：</w:t>
            </w:r>
            <w:r>
              <w:rPr>
                <w:rStyle w:val="11"/>
                <w:rFonts w:hint="eastAsia"/>
              </w:rPr>
              <w:t>2年</w:t>
            </w:r>
          </w:p>
        </w:tc>
      </w:tr>
      <w:tr w14:paraId="3C07A6F7">
        <w:tblPrEx>
          <w:tblCellMar>
            <w:top w:w="0" w:type="dxa"/>
            <w:left w:w="0" w:type="dxa"/>
            <w:bottom w:w="0" w:type="dxa"/>
            <w:right w:w="0" w:type="dxa"/>
          </w:tblCellMar>
        </w:tblPrEx>
        <w:trPr>
          <w:wBefore w:w="0" w:type="auto"/>
          <w:tblCellSpacing w:w="0" w:type="dxa"/>
        </w:trPr>
        <w:tc>
          <w:tcPr>
            <w:tcW w:w="0" w:type="auto"/>
            <w:noWrap w:val="0"/>
            <w:vAlign w:val="center"/>
          </w:tcPr>
          <w:p w14:paraId="7DD1E143">
            <w:r>
              <w:rPr>
                <w:rStyle w:val="10"/>
                <w:rFonts w:hint="eastAsia"/>
              </w:rPr>
              <w:t>备注：</w:t>
            </w:r>
          </w:p>
        </w:tc>
      </w:tr>
    </w:tbl>
    <w:p w14:paraId="3F8087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C82775">
        <w:tblPrEx>
          <w:tblCellMar>
            <w:top w:w="0" w:type="dxa"/>
            <w:left w:w="0" w:type="dxa"/>
            <w:bottom w:w="0" w:type="dxa"/>
            <w:right w:w="0" w:type="dxa"/>
          </w:tblCellMar>
        </w:tblPrEx>
        <w:trPr>
          <w:wBefore w:w="0" w:type="auto"/>
          <w:tblCellSpacing w:w="0" w:type="dxa"/>
        </w:trPr>
        <w:tc>
          <w:tcPr>
            <w:tcW w:w="0" w:type="auto"/>
            <w:noWrap w:val="0"/>
            <w:vAlign w:val="center"/>
          </w:tcPr>
          <w:p w14:paraId="504F0733">
            <w:r>
              <w:rPr>
                <w:rStyle w:val="10"/>
                <w:rFonts w:hint="eastAsia"/>
              </w:rPr>
              <w:t>登记证号：</w:t>
            </w:r>
            <w:r>
              <w:rPr>
                <w:rFonts w:hint="eastAsia"/>
              </w:rPr>
              <w:t>PD20212364</w:t>
            </w:r>
          </w:p>
        </w:tc>
      </w:tr>
      <w:tr w14:paraId="52649DCC">
        <w:tblPrEx>
          <w:tblCellMar>
            <w:top w:w="0" w:type="dxa"/>
            <w:left w:w="0" w:type="dxa"/>
            <w:bottom w:w="0" w:type="dxa"/>
            <w:right w:w="0" w:type="dxa"/>
          </w:tblCellMar>
        </w:tblPrEx>
        <w:trPr>
          <w:wBefore w:w="0" w:type="auto"/>
          <w:tblCellSpacing w:w="0" w:type="dxa"/>
        </w:trPr>
        <w:tc>
          <w:tcPr>
            <w:tcW w:w="0" w:type="auto"/>
            <w:noWrap w:val="0"/>
            <w:vAlign w:val="center"/>
          </w:tcPr>
          <w:p w14:paraId="43F03046">
            <w:r>
              <w:rPr>
                <w:rStyle w:val="10"/>
                <w:rFonts w:hint="eastAsia"/>
              </w:rPr>
              <w:t>登记证持有人：</w:t>
            </w:r>
            <w:r>
              <w:rPr>
                <w:rFonts w:hint="eastAsia"/>
              </w:rPr>
              <w:t>南京保丰农药有限公司</w:t>
            </w:r>
          </w:p>
        </w:tc>
      </w:tr>
      <w:tr w14:paraId="731C163E">
        <w:tblPrEx>
          <w:tblCellMar>
            <w:top w:w="0" w:type="dxa"/>
            <w:left w:w="0" w:type="dxa"/>
            <w:bottom w:w="0" w:type="dxa"/>
            <w:right w:w="0" w:type="dxa"/>
          </w:tblCellMar>
        </w:tblPrEx>
        <w:trPr>
          <w:wBefore w:w="0" w:type="auto"/>
          <w:tblCellSpacing w:w="0" w:type="dxa"/>
        </w:trPr>
        <w:tc>
          <w:tcPr>
            <w:tcW w:w="0" w:type="auto"/>
            <w:noWrap w:val="0"/>
            <w:vAlign w:val="center"/>
          </w:tcPr>
          <w:p w14:paraId="40D48886">
            <w:r>
              <w:rPr>
                <w:rStyle w:val="10"/>
                <w:rFonts w:hint="eastAsia"/>
              </w:rPr>
              <w:t>农药名称：</w:t>
            </w:r>
            <w:r>
              <w:rPr>
                <w:rFonts w:hint="eastAsia"/>
              </w:rPr>
              <w:t>高氟氯·噻虫胺</w:t>
            </w:r>
          </w:p>
        </w:tc>
      </w:tr>
      <w:tr w14:paraId="3B20F031">
        <w:tblPrEx>
          <w:tblCellMar>
            <w:top w:w="0" w:type="dxa"/>
            <w:left w:w="0" w:type="dxa"/>
            <w:bottom w:w="0" w:type="dxa"/>
            <w:right w:w="0" w:type="dxa"/>
          </w:tblCellMar>
        </w:tblPrEx>
        <w:trPr>
          <w:wBefore w:w="0" w:type="auto"/>
          <w:tblCellSpacing w:w="0" w:type="dxa"/>
        </w:trPr>
        <w:tc>
          <w:tcPr>
            <w:tcW w:w="0" w:type="auto"/>
            <w:noWrap w:val="0"/>
            <w:vAlign w:val="center"/>
          </w:tcPr>
          <w:p w14:paraId="33EBD164">
            <w:r>
              <w:rPr>
                <w:rStyle w:val="10"/>
                <w:rFonts w:hint="eastAsia"/>
              </w:rPr>
              <w:t>剂型：</w:t>
            </w:r>
            <w:r>
              <w:rPr>
                <w:rFonts w:hint="eastAsia"/>
              </w:rPr>
              <w:t>悬浮剂</w:t>
            </w:r>
          </w:p>
        </w:tc>
      </w:tr>
      <w:tr w14:paraId="572C82EF">
        <w:tblPrEx>
          <w:tblCellMar>
            <w:top w:w="0" w:type="dxa"/>
            <w:left w:w="0" w:type="dxa"/>
            <w:bottom w:w="0" w:type="dxa"/>
            <w:right w:w="0" w:type="dxa"/>
          </w:tblCellMar>
        </w:tblPrEx>
        <w:trPr>
          <w:wBefore w:w="0" w:type="auto"/>
          <w:tblCellSpacing w:w="0" w:type="dxa"/>
        </w:trPr>
        <w:tc>
          <w:tcPr>
            <w:tcW w:w="0" w:type="auto"/>
            <w:noWrap w:val="0"/>
            <w:vAlign w:val="center"/>
          </w:tcPr>
          <w:p w14:paraId="131C5917">
            <w:r>
              <w:rPr>
                <w:rStyle w:val="10"/>
                <w:rFonts w:hint="eastAsia"/>
              </w:rPr>
              <w:t>毒性及其标识：</w:t>
            </w:r>
            <w:r>
              <w:rPr>
                <w:rFonts w:hint="eastAsia"/>
              </w:rPr>
              <w:t xml:space="preserve"> </w:t>
            </w:r>
            <w:r>
              <w:rPr>
                <w:lang/>
              </w:rPr>
              <w:drawing>
                <wp:inline distT="0" distB="0" distL="114300" distR="114300">
                  <wp:extent cx="476250" cy="323850"/>
                  <wp:effectExtent l="0" t="0" r="0" b="0"/>
                  <wp:docPr id="145" name="图片 1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4BE821">
        <w:tblPrEx>
          <w:tblCellMar>
            <w:top w:w="0" w:type="dxa"/>
            <w:left w:w="0" w:type="dxa"/>
            <w:bottom w:w="0" w:type="dxa"/>
            <w:right w:w="0" w:type="dxa"/>
          </w:tblCellMar>
        </w:tblPrEx>
        <w:trPr>
          <w:wBefore w:w="0" w:type="auto"/>
          <w:tblCellSpacing w:w="0" w:type="dxa"/>
        </w:trPr>
        <w:tc>
          <w:tcPr>
            <w:tcW w:w="0" w:type="auto"/>
            <w:noWrap w:val="0"/>
            <w:vAlign w:val="center"/>
          </w:tcPr>
          <w:p w14:paraId="243EBACA">
            <w:r>
              <w:rPr>
                <w:rStyle w:val="10"/>
                <w:rFonts w:hint="eastAsia"/>
              </w:rPr>
              <w:t>总有效成分含量：</w:t>
            </w:r>
            <w:r>
              <w:rPr>
                <w:rFonts w:hint="eastAsia"/>
              </w:rPr>
              <w:t>26%</w:t>
            </w:r>
          </w:p>
        </w:tc>
      </w:tr>
      <w:tr w14:paraId="47BDC341">
        <w:tblPrEx>
          <w:tblCellMar>
            <w:top w:w="0" w:type="dxa"/>
            <w:left w:w="0" w:type="dxa"/>
            <w:bottom w:w="0" w:type="dxa"/>
            <w:right w:w="0" w:type="dxa"/>
          </w:tblCellMar>
        </w:tblPrEx>
        <w:trPr>
          <w:wBefore w:w="0" w:type="auto"/>
          <w:tblCellSpacing w:w="0" w:type="dxa"/>
        </w:trPr>
        <w:tc>
          <w:tcPr>
            <w:tcW w:w="0" w:type="auto"/>
            <w:noWrap w:val="0"/>
            <w:vAlign w:val="center"/>
          </w:tcPr>
          <w:p w14:paraId="3211807D">
            <w:r>
              <w:rPr>
                <w:rFonts w:hint="eastAsia"/>
              </w:rPr>
              <w:t xml:space="preserve">有效成分及其含量： </w:t>
            </w:r>
          </w:p>
          <w:p w14:paraId="6DADA44E">
            <w:r>
              <w:rPr>
                <w:rFonts w:hint="eastAsia"/>
              </w:rPr>
              <w:t xml:space="preserve">    噻虫胺20%    高效氟氯氰菊酯6%    </w:t>
            </w:r>
          </w:p>
        </w:tc>
      </w:tr>
      <w:tr w14:paraId="02B6DA92">
        <w:tblPrEx>
          <w:tblCellMar>
            <w:top w:w="0" w:type="dxa"/>
            <w:left w:w="0" w:type="dxa"/>
            <w:bottom w:w="0" w:type="dxa"/>
            <w:right w:w="0" w:type="dxa"/>
          </w:tblCellMar>
        </w:tblPrEx>
        <w:trPr>
          <w:wBefore w:w="0" w:type="auto"/>
          <w:tblCellSpacing w:w="0" w:type="dxa"/>
        </w:trPr>
        <w:tc>
          <w:tcPr>
            <w:tcW w:w="0" w:type="auto"/>
            <w:noWrap w:val="0"/>
            <w:vAlign w:val="center"/>
          </w:tcPr>
          <w:p w14:paraId="4E8911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F32C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027EA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A5F9C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65C8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019BDF">
                  <w:r>
                    <w:rPr>
                      <w:rStyle w:val="11"/>
                      <w:rFonts w:hint="eastAsia"/>
                    </w:rPr>
                    <w:t>施用方式</w:t>
                  </w:r>
                </w:p>
              </w:tc>
            </w:tr>
            <w:tr w14:paraId="1CF7E1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D969E5">
                  <w:r>
                    <w:rPr>
                      <w:rStyle w:val="11"/>
                      <w:rFonts w:hint="eastAsia"/>
                    </w:rPr>
                    <w:t>大蒜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1A1C6A">
                  <w:r>
                    <w:rPr>
                      <w:rStyle w:val="11"/>
                      <w:rFonts w:hint="eastAsia"/>
                    </w:rPr>
                    <w:t>蒜蛆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E4CA20">
                  <w:r>
                    <w:rPr>
                      <w:rStyle w:val="11"/>
                      <w:rFonts w:hint="eastAsia"/>
                    </w:rPr>
                    <w:t>2000-4000倍液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CB5320">
                  <w:r>
                    <w:rPr>
                      <w:rStyle w:val="11"/>
                      <w:rFonts w:hint="eastAsia"/>
                    </w:rPr>
                    <w:t>灌根</w:t>
                  </w:r>
                </w:p>
              </w:tc>
            </w:tr>
          </w:tbl>
          <w:p w14:paraId="5DCA3152">
            <w:pPr>
              <w:rPr>
                <w:rFonts w:ascii="Times New Roman" w:hAnsi="Times New Roman" w:cs="Times New Roman"/>
                <w:sz w:val="20"/>
                <w:szCs w:val="20"/>
              </w:rPr>
            </w:pPr>
          </w:p>
        </w:tc>
      </w:tr>
      <w:tr w14:paraId="605AB668">
        <w:tblPrEx>
          <w:tblCellMar>
            <w:top w:w="0" w:type="dxa"/>
            <w:left w:w="0" w:type="dxa"/>
            <w:bottom w:w="0" w:type="dxa"/>
            <w:right w:w="0" w:type="dxa"/>
          </w:tblCellMar>
        </w:tblPrEx>
        <w:trPr>
          <w:wBefore w:w="0" w:type="auto"/>
          <w:tblCellSpacing w:w="0" w:type="dxa"/>
        </w:trPr>
        <w:tc>
          <w:tcPr>
            <w:tcW w:w="0" w:type="auto"/>
            <w:noWrap w:val="0"/>
            <w:vAlign w:val="center"/>
          </w:tcPr>
          <w:p w14:paraId="331892E0">
            <w:r>
              <w:rPr>
                <w:rStyle w:val="10"/>
                <w:rFonts w:hint="eastAsia"/>
              </w:rPr>
              <w:t>使用技术要求:</w:t>
            </w:r>
            <w:r>
              <w:rPr>
                <w:rFonts w:hint="eastAsia"/>
              </w:rPr>
              <w:br w:type="textWrapping"/>
            </w:r>
            <w:r>
              <w:rPr>
                <w:rStyle w:val="11"/>
                <w:rFonts w:hint="eastAsia"/>
              </w:rPr>
              <w:t>1. 于大蒜蒜蛆幼虫发生始盛期灌根施药1次。 2. 大风天或预计1小时内降雨，请勿施药。 3. 本产品在大蒜上的安全间隔期为30天，每季作物最多使用1次。</w:t>
            </w:r>
          </w:p>
        </w:tc>
      </w:tr>
      <w:tr w14:paraId="55124869">
        <w:tblPrEx>
          <w:tblCellMar>
            <w:top w:w="0" w:type="dxa"/>
            <w:left w:w="0" w:type="dxa"/>
            <w:bottom w:w="0" w:type="dxa"/>
            <w:right w:w="0" w:type="dxa"/>
          </w:tblCellMar>
        </w:tblPrEx>
        <w:trPr>
          <w:wBefore w:w="0" w:type="auto"/>
          <w:tblCellSpacing w:w="0" w:type="dxa"/>
        </w:trPr>
        <w:tc>
          <w:tcPr>
            <w:tcW w:w="0" w:type="auto"/>
            <w:noWrap w:val="0"/>
            <w:vAlign w:val="center"/>
          </w:tcPr>
          <w:p w14:paraId="1873C468">
            <w:r>
              <w:rPr>
                <w:rStyle w:val="10"/>
                <w:rFonts w:hint="eastAsia"/>
              </w:rPr>
              <w:t>产品性能:</w:t>
            </w:r>
            <w:r>
              <w:rPr>
                <w:rFonts w:hint="eastAsia"/>
              </w:rPr>
              <w:br w:type="textWrapping"/>
            </w:r>
            <w:r>
              <w:rPr>
                <w:rStyle w:val="11"/>
                <w:rFonts w:hint="eastAsia"/>
              </w:rPr>
              <w:t>本品由拟除虫菊酯类杀虫剂高效氟氯氰菊酯和新烟碱类杀虫剂杀噻虫胺混配而成，具有内吸性、触杀、胃毒和杀卵作用，能可有效防治大蒜蒜蛆的为害。</w:t>
            </w:r>
          </w:p>
        </w:tc>
      </w:tr>
      <w:tr w14:paraId="44A59452">
        <w:tblPrEx>
          <w:tblCellMar>
            <w:top w:w="0" w:type="dxa"/>
            <w:left w:w="0" w:type="dxa"/>
            <w:bottom w:w="0" w:type="dxa"/>
            <w:right w:w="0" w:type="dxa"/>
          </w:tblCellMar>
        </w:tblPrEx>
        <w:trPr>
          <w:wBefore w:w="0" w:type="auto"/>
          <w:tblCellSpacing w:w="0" w:type="dxa"/>
        </w:trPr>
        <w:tc>
          <w:tcPr>
            <w:tcW w:w="0" w:type="auto"/>
            <w:noWrap w:val="0"/>
            <w:vAlign w:val="center"/>
          </w:tcPr>
          <w:p w14:paraId="6C7994C7">
            <w:r>
              <w:rPr>
                <w:rStyle w:val="10"/>
                <w:rFonts w:hint="eastAsia"/>
              </w:rPr>
              <w:t>注意事项：</w:t>
            </w:r>
            <w:r>
              <w:rPr>
                <w:rFonts w:hint="eastAsia"/>
              </w:rPr>
              <w:br w:type="textWrapping"/>
            </w:r>
            <w:r>
              <w:rPr>
                <w:rStyle w:val="11"/>
                <w:rFonts w:hint="eastAsia"/>
              </w:rPr>
              <w:t>1. 本品对眼睛有刺激性，使用时穿戴长衣、长裤、帽子、口罩、手套等防护措施。以避免污染皮肤和眼睛，施药期间禁止饮食饮水；施药完毕后应及时换洗衣物，洗净手、脸和被污染的皮肤。2. 本品对鱼类等水生生物有毒，远离水产养殖区、河塘等水体施药，禁止在河塘等水体中清洗施药器具，清洗施药器具的水也不能排入河塘等水体。3.（周围）开花植物花期禁用，使用时应密切关注对附近蜂群的影响；蚕室及桑园附近禁用；瓢虫、赤眼蜂等天敌放飞区域禁用。4. 本品应避免与氧化剂接触。5.用过的容器应妥善处理，不可做他用，也不可随意丢弃。6. 禁止儿童、孕妇和哺乳期妇女接触。</w:t>
            </w:r>
          </w:p>
        </w:tc>
      </w:tr>
      <w:tr w14:paraId="4DDAB9E1">
        <w:tblPrEx>
          <w:tblCellMar>
            <w:top w:w="0" w:type="dxa"/>
            <w:left w:w="0" w:type="dxa"/>
            <w:bottom w:w="0" w:type="dxa"/>
            <w:right w:w="0" w:type="dxa"/>
          </w:tblCellMar>
        </w:tblPrEx>
        <w:trPr>
          <w:wBefore w:w="0" w:type="auto"/>
          <w:tblCellSpacing w:w="0" w:type="dxa"/>
        </w:trPr>
        <w:tc>
          <w:tcPr>
            <w:tcW w:w="0" w:type="auto"/>
            <w:noWrap w:val="0"/>
            <w:vAlign w:val="center"/>
          </w:tcPr>
          <w:p w14:paraId="2D801CBA">
            <w:r>
              <w:rPr>
                <w:rStyle w:val="10"/>
                <w:rFonts w:hint="eastAsia"/>
              </w:rPr>
              <w:t>中毒急救措施：</w:t>
            </w:r>
            <w:r>
              <w:rPr>
                <w:rFonts w:hint="eastAsia"/>
              </w:rPr>
              <w:br w:type="textWrapping"/>
            </w:r>
            <w:r>
              <w:rPr>
                <w:rStyle w:val="11"/>
                <w:rFonts w:hint="eastAsia"/>
              </w:rPr>
              <w:t>一般建议：将中毒者从危险区域转移，脱去受污染衣物并妥善处置，转移时需保持中毒者处于稳定的侧卧体位。1. 如皮肤接触：用肥皂和大量清水彻底清洗。2. 如误入眼睛：立即用大量清水冲洗至少15分钟，如仍有不适，应立即就医。3. 如误食：禁止催吐，用水漱口并小口饮水，立即携此标签就医。无特效解毒剂，建议医生根据患者症状对症治疗，大量吞食两小时内应考虑洗胃，可辅助吸氧或人工呼吸，若出现高效氟氯氰菊酯导致的惊厥症状，常规治疗方案用苯二氮类药物，如安定等。如果不起作用，应使用镇静剂。禁忌物：肾上腺素衍生物。</w:t>
            </w:r>
          </w:p>
        </w:tc>
      </w:tr>
      <w:tr w14:paraId="52E5951E">
        <w:tblPrEx>
          <w:tblCellMar>
            <w:top w:w="0" w:type="dxa"/>
            <w:left w:w="0" w:type="dxa"/>
            <w:bottom w:w="0" w:type="dxa"/>
            <w:right w:w="0" w:type="dxa"/>
          </w:tblCellMar>
        </w:tblPrEx>
        <w:trPr>
          <w:wBefore w:w="0" w:type="auto"/>
          <w:tblCellSpacing w:w="0" w:type="dxa"/>
        </w:trPr>
        <w:tc>
          <w:tcPr>
            <w:tcW w:w="0" w:type="auto"/>
            <w:noWrap w:val="0"/>
            <w:vAlign w:val="center"/>
          </w:tcPr>
          <w:p w14:paraId="60B03F51">
            <w:r>
              <w:rPr>
                <w:rStyle w:val="10"/>
                <w:rFonts w:hint="eastAsia"/>
              </w:rPr>
              <w:t>储存和运输方法：</w:t>
            </w:r>
            <w:r>
              <w:rPr>
                <w:rFonts w:hint="eastAsia"/>
              </w:rPr>
              <w:br w:type="textWrapping"/>
            </w:r>
            <w:r>
              <w:rPr>
                <w:rStyle w:val="11"/>
                <w:rFonts w:hint="eastAsia"/>
              </w:rPr>
              <w:t>本品贮存应注意阴凉、干燥、通风，远离热源、火源，不能与食品、饮料、粮食、饲料等物品同贮同运。远离儿童、无关人员，并加锁。装卸运输时注意检查包装是否密封完整，轻拿轻放，不可倒置</w:t>
            </w:r>
          </w:p>
        </w:tc>
      </w:tr>
      <w:tr w14:paraId="6350B0E3">
        <w:tblPrEx>
          <w:tblCellMar>
            <w:top w:w="0" w:type="dxa"/>
            <w:left w:w="0" w:type="dxa"/>
            <w:bottom w:w="0" w:type="dxa"/>
            <w:right w:w="0" w:type="dxa"/>
          </w:tblCellMar>
        </w:tblPrEx>
        <w:trPr>
          <w:wBefore w:w="0" w:type="auto"/>
          <w:tblCellSpacing w:w="0" w:type="dxa"/>
        </w:trPr>
        <w:tc>
          <w:tcPr>
            <w:tcW w:w="0" w:type="auto"/>
            <w:noWrap w:val="0"/>
            <w:vAlign w:val="center"/>
          </w:tcPr>
          <w:p w14:paraId="5F4C4DD1">
            <w:r>
              <w:rPr>
                <w:rStyle w:val="10"/>
                <w:rFonts w:hint="eastAsia"/>
              </w:rPr>
              <w:t>质量保证期：</w:t>
            </w:r>
            <w:r>
              <w:rPr>
                <w:rStyle w:val="11"/>
                <w:rFonts w:hint="eastAsia"/>
              </w:rPr>
              <w:t>2年</w:t>
            </w:r>
          </w:p>
        </w:tc>
      </w:tr>
      <w:tr w14:paraId="6C135266">
        <w:tblPrEx>
          <w:tblCellMar>
            <w:top w:w="0" w:type="dxa"/>
            <w:left w:w="0" w:type="dxa"/>
            <w:bottom w:w="0" w:type="dxa"/>
            <w:right w:w="0" w:type="dxa"/>
          </w:tblCellMar>
        </w:tblPrEx>
        <w:trPr>
          <w:wBefore w:w="0" w:type="auto"/>
          <w:tblCellSpacing w:w="0" w:type="dxa"/>
        </w:trPr>
        <w:tc>
          <w:tcPr>
            <w:tcW w:w="0" w:type="auto"/>
            <w:noWrap w:val="0"/>
            <w:vAlign w:val="center"/>
          </w:tcPr>
          <w:p w14:paraId="23B1A3E8">
            <w:r>
              <w:rPr>
                <w:rStyle w:val="10"/>
                <w:rFonts w:hint="eastAsia"/>
              </w:rPr>
              <w:t>备注：</w:t>
            </w:r>
          </w:p>
        </w:tc>
      </w:tr>
    </w:tbl>
    <w:p w14:paraId="4A697E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93D8C8">
        <w:tblPrEx>
          <w:tblCellMar>
            <w:top w:w="0" w:type="dxa"/>
            <w:left w:w="0" w:type="dxa"/>
            <w:bottom w:w="0" w:type="dxa"/>
            <w:right w:w="0" w:type="dxa"/>
          </w:tblCellMar>
        </w:tblPrEx>
        <w:trPr>
          <w:wBefore w:w="0" w:type="auto"/>
          <w:tblCellSpacing w:w="0" w:type="dxa"/>
        </w:trPr>
        <w:tc>
          <w:tcPr>
            <w:tcW w:w="0" w:type="auto"/>
            <w:noWrap w:val="0"/>
            <w:vAlign w:val="center"/>
          </w:tcPr>
          <w:p w14:paraId="58440891">
            <w:r>
              <w:rPr>
                <w:rStyle w:val="10"/>
                <w:rFonts w:hint="eastAsia"/>
              </w:rPr>
              <w:t>登记证号：</w:t>
            </w:r>
            <w:r>
              <w:rPr>
                <w:rFonts w:hint="eastAsia"/>
              </w:rPr>
              <w:t>WP20210394</w:t>
            </w:r>
          </w:p>
        </w:tc>
      </w:tr>
      <w:tr w14:paraId="6E251A68">
        <w:tblPrEx>
          <w:tblCellMar>
            <w:top w:w="0" w:type="dxa"/>
            <w:left w:w="0" w:type="dxa"/>
            <w:bottom w:w="0" w:type="dxa"/>
            <w:right w:w="0" w:type="dxa"/>
          </w:tblCellMar>
        </w:tblPrEx>
        <w:trPr>
          <w:wBefore w:w="0" w:type="auto"/>
          <w:tblCellSpacing w:w="0" w:type="dxa"/>
        </w:trPr>
        <w:tc>
          <w:tcPr>
            <w:tcW w:w="0" w:type="auto"/>
            <w:noWrap w:val="0"/>
            <w:vAlign w:val="center"/>
          </w:tcPr>
          <w:p w14:paraId="2DC10D6C">
            <w:r>
              <w:rPr>
                <w:rStyle w:val="10"/>
                <w:rFonts w:hint="eastAsia"/>
              </w:rPr>
              <w:t>登记证持有人：</w:t>
            </w:r>
            <w:r>
              <w:rPr>
                <w:rFonts w:hint="eastAsia"/>
              </w:rPr>
              <w:t>中山榄菊日化实业有限公司</w:t>
            </w:r>
          </w:p>
        </w:tc>
      </w:tr>
      <w:tr w14:paraId="195E8154">
        <w:tblPrEx>
          <w:tblCellMar>
            <w:top w:w="0" w:type="dxa"/>
            <w:left w:w="0" w:type="dxa"/>
            <w:bottom w:w="0" w:type="dxa"/>
            <w:right w:w="0" w:type="dxa"/>
          </w:tblCellMar>
        </w:tblPrEx>
        <w:trPr>
          <w:wBefore w:w="0" w:type="auto"/>
          <w:tblCellSpacing w:w="0" w:type="dxa"/>
        </w:trPr>
        <w:tc>
          <w:tcPr>
            <w:tcW w:w="0" w:type="auto"/>
            <w:noWrap w:val="0"/>
            <w:vAlign w:val="center"/>
          </w:tcPr>
          <w:p w14:paraId="6A4F3276">
            <w:r>
              <w:rPr>
                <w:rStyle w:val="10"/>
                <w:rFonts w:hint="eastAsia"/>
              </w:rPr>
              <w:t>农药名称：</w:t>
            </w:r>
            <w:r>
              <w:rPr>
                <w:rFonts w:hint="eastAsia"/>
              </w:rPr>
              <w:t>防蛀防霉片剂</w:t>
            </w:r>
          </w:p>
        </w:tc>
      </w:tr>
      <w:tr w14:paraId="69DC63FA">
        <w:tblPrEx>
          <w:tblCellMar>
            <w:top w:w="0" w:type="dxa"/>
            <w:left w:w="0" w:type="dxa"/>
            <w:bottom w:w="0" w:type="dxa"/>
            <w:right w:w="0" w:type="dxa"/>
          </w:tblCellMar>
        </w:tblPrEx>
        <w:trPr>
          <w:wBefore w:w="0" w:type="auto"/>
          <w:tblCellSpacing w:w="0" w:type="dxa"/>
        </w:trPr>
        <w:tc>
          <w:tcPr>
            <w:tcW w:w="0" w:type="auto"/>
            <w:noWrap w:val="0"/>
            <w:vAlign w:val="center"/>
          </w:tcPr>
          <w:p w14:paraId="1D46944B">
            <w:r>
              <w:rPr>
                <w:rStyle w:val="10"/>
                <w:rFonts w:hint="eastAsia"/>
              </w:rPr>
              <w:t>剂型：</w:t>
            </w:r>
            <w:r>
              <w:rPr>
                <w:rFonts w:hint="eastAsia"/>
              </w:rPr>
              <w:t>片剂</w:t>
            </w:r>
          </w:p>
        </w:tc>
      </w:tr>
      <w:tr w14:paraId="35D8E217">
        <w:tblPrEx>
          <w:tblCellMar>
            <w:top w:w="0" w:type="dxa"/>
            <w:left w:w="0" w:type="dxa"/>
            <w:bottom w:w="0" w:type="dxa"/>
            <w:right w:w="0" w:type="dxa"/>
          </w:tblCellMar>
        </w:tblPrEx>
        <w:trPr>
          <w:wBefore w:w="0" w:type="auto"/>
          <w:tblCellSpacing w:w="0" w:type="dxa"/>
        </w:trPr>
        <w:tc>
          <w:tcPr>
            <w:tcW w:w="0" w:type="auto"/>
            <w:noWrap w:val="0"/>
            <w:vAlign w:val="center"/>
          </w:tcPr>
          <w:p w14:paraId="5E7B4C22">
            <w:r>
              <w:rPr>
                <w:rStyle w:val="10"/>
                <w:rFonts w:hint="eastAsia"/>
              </w:rPr>
              <w:t>毒性及其标识：</w:t>
            </w:r>
            <w:r>
              <w:rPr>
                <w:rFonts w:hint="eastAsia"/>
              </w:rPr>
              <w:t xml:space="preserve"> </w:t>
            </w:r>
            <w:r>
              <w:rPr>
                <w:lang/>
              </w:rPr>
              <w:drawing>
                <wp:inline distT="0" distB="0" distL="114300" distR="114300">
                  <wp:extent cx="476250" cy="323850"/>
                  <wp:effectExtent l="0" t="0" r="0" b="0"/>
                  <wp:docPr id="146" name="图片 1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ABE018">
        <w:tblPrEx>
          <w:tblCellMar>
            <w:top w:w="0" w:type="dxa"/>
            <w:left w:w="0" w:type="dxa"/>
            <w:bottom w:w="0" w:type="dxa"/>
            <w:right w:w="0" w:type="dxa"/>
          </w:tblCellMar>
        </w:tblPrEx>
        <w:trPr>
          <w:wBefore w:w="0" w:type="auto"/>
          <w:tblCellSpacing w:w="0" w:type="dxa"/>
        </w:trPr>
        <w:tc>
          <w:tcPr>
            <w:tcW w:w="0" w:type="auto"/>
            <w:noWrap w:val="0"/>
            <w:vAlign w:val="center"/>
          </w:tcPr>
          <w:p w14:paraId="2F1BEAE0">
            <w:r>
              <w:rPr>
                <w:rStyle w:val="10"/>
                <w:rFonts w:hint="eastAsia"/>
              </w:rPr>
              <w:t>总有效成分含量：</w:t>
            </w:r>
            <w:r>
              <w:rPr>
                <w:rFonts w:hint="eastAsia"/>
              </w:rPr>
              <w:t>99%</w:t>
            </w:r>
          </w:p>
        </w:tc>
      </w:tr>
      <w:tr w14:paraId="13D9697B">
        <w:tblPrEx>
          <w:tblCellMar>
            <w:top w:w="0" w:type="dxa"/>
            <w:left w:w="0" w:type="dxa"/>
            <w:bottom w:w="0" w:type="dxa"/>
            <w:right w:w="0" w:type="dxa"/>
          </w:tblCellMar>
        </w:tblPrEx>
        <w:trPr>
          <w:wBefore w:w="0" w:type="auto"/>
          <w:tblCellSpacing w:w="0" w:type="dxa"/>
        </w:trPr>
        <w:tc>
          <w:tcPr>
            <w:tcW w:w="0" w:type="auto"/>
            <w:noWrap w:val="0"/>
            <w:vAlign w:val="center"/>
          </w:tcPr>
          <w:p w14:paraId="0839AAAC">
            <w:r>
              <w:rPr>
                <w:rFonts w:hint="eastAsia"/>
              </w:rPr>
              <w:t xml:space="preserve">有效成分及其含量： </w:t>
            </w:r>
          </w:p>
          <w:p w14:paraId="3EA39000">
            <w:r>
              <w:rPr>
                <w:rFonts w:hint="eastAsia"/>
              </w:rPr>
              <w:t xml:space="preserve">    对二氯苯99%    </w:t>
            </w:r>
          </w:p>
        </w:tc>
      </w:tr>
      <w:tr w14:paraId="565580F9">
        <w:tblPrEx>
          <w:tblCellMar>
            <w:top w:w="0" w:type="dxa"/>
            <w:left w:w="0" w:type="dxa"/>
            <w:bottom w:w="0" w:type="dxa"/>
            <w:right w:w="0" w:type="dxa"/>
          </w:tblCellMar>
        </w:tblPrEx>
        <w:trPr>
          <w:wBefore w:w="0" w:type="auto"/>
          <w:tblCellSpacing w:w="0" w:type="dxa"/>
        </w:trPr>
        <w:tc>
          <w:tcPr>
            <w:tcW w:w="0" w:type="auto"/>
            <w:noWrap w:val="0"/>
            <w:vAlign w:val="center"/>
          </w:tcPr>
          <w:p w14:paraId="6C29D18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803D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4A93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082C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3EEAC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72DDF1">
                  <w:r>
                    <w:rPr>
                      <w:rStyle w:val="11"/>
                      <w:rFonts w:hint="eastAsia"/>
                    </w:rPr>
                    <w:t>施用方式</w:t>
                  </w:r>
                </w:p>
              </w:tc>
            </w:tr>
            <w:tr w14:paraId="7F1FA6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9F4A0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424F73">
                  <w:r>
                    <w:rPr>
                      <w:rStyle w:val="11"/>
                      <w:rFonts w:hint="eastAsia"/>
                    </w:rPr>
                    <w:t>黑皮蠹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E1BA21">
                  <w:r>
                    <w:rPr>
                      <w:rStyle w:val="11"/>
                      <w:rFonts w:hint="eastAsia"/>
                    </w:rPr>
                    <w:t>40-60克/立方米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400777">
                  <w:r>
                    <w:rPr>
                      <w:rStyle w:val="11"/>
                      <w:rFonts w:hint="eastAsia"/>
                    </w:rPr>
                    <w:t>投放</w:t>
                  </w:r>
                </w:p>
              </w:tc>
            </w:tr>
            <w:tr w14:paraId="647BE9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28A99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D50E08">
                  <w:r>
                    <w:rPr>
                      <w:rStyle w:val="11"/>
                      <w:rFonts w:hint="eastAsia"/>
                    </w:rPr>
                    <w:t>霉菌</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08AE39">
                  <w:r>
                    <w:rPr>
                      <w:rStyle w:val="11"/>
                      <w:rFonts w:hint="eastAsia"/>
                    </w:rPr>
                    <w:t>40-60克/立方米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4F765A">
                  <w:r>
                    <w:rPr>
                      <w:rStyle w:val="11"/>
                      <w:rFonts w:hint="eastAsia"/>
                    </w:rPr>
                    <w:t>投放</w:t>
                  </w:r>
                </w:p>
              </w:tc>
            </w:tr>
          </w:tbl>
          <w:p w14:paraId="23B855FB">
            <w:pPr>
              <w:rPr>
                <w:rFonts w:ascii="Times New Roman" w:hAnsi="Times New Roman" w:cs="Times New Roman"/>
                <w:sz w:val="20"/>
                <w:szCs w:val="20"/>
              </w:rPr>
            </w:pPr>
          </w:p>
        </w:tc>
      </w:tr>
      <w:tr w14:paraId="2C5820D4">
        <w:tblPrEx>
          <w:tblCellMar>
            <w:top w:w="0" w:type="dxa"/>
            <w:left w:w="0" w:type="dxa"/>
            <w:bottom w:w="0" w:type="dxa"/>
            <w:right w:w="0" w:type="dxa"/>
          </w:tblCellMar>
        </w:tblPrEx>
        <w:trPr>
          <w:wBefore w:w="0" w:type="auto"/>
          <w:tblCellSpacing w:w="0" w:type="dxa"/>
        </w:trPr>
        <w:tc>
          <w:tcPr>
            <w:tcW w:w="0" w:type="auto"/>
            <w:noWrap w:val="0"/>
            <w:vAlign w:val="center"/>
          </w:tcPr>
          <w:p w14:paraId="16F25EC9">
            <w:r>
              <w:rPr>
                <w:rStyle w:val="10"/>
                <w:rFonts w:hint="eastAsia"/>
              </w:rPr>
              <w:t>使用技术要求:</w:t>
            </w:r>
            <w:r>
              <w:rPr>
                <w:rFonts w:hint="eastAsia"/>
              </w:rPr>
              <w:br w:type="textWrapping"/>
            </w:r>
            <w:r>
              <w:rPr>
                <w:rStyle w:val="11"/>
                <w:rFonts w:hint="eastAsia"/>
              </w:rPr>
              <w:t>本产品采用透气纸包装，可放入衣物和箱柜中。推荐用量为40g/m3，根据环境状况，可适当增减用量。</w:t>
            </w:r>
          </w:p>
        </w:tc>
      </w:tr>
      <w:tr w14:paraId="718E8D42">
        <w:tblPrEx>
          <w:tblCellMar>
            <w:top w:w="0" w:type="dxa"/>
            <w:left w:w="0" w:type="dxa"/>
            <w:bottom w:w="0" w:type="dxa"/>
            <w:right w:w="0" w:type="dxa"/>
          </w:tblCellMar>
        </w:tblPrEx>
        <w:trPr>
          <w:wBefore w:w="0" w:type="auto"/>
          <w:tblCellSpacing w:w="0" w:type="dxa"/>
        </w:trPr>
        <w:tc>
          <w:tcPr>
            <w:tcW w:w="0" w:type="auto"/>
            <w:noWrap w:val="0"/>
            <w:vAlign w:val="center"/>
          </w:tcPr>
          <w:p w14:paraId="2C5AC41E">
            <w:r>
              <w:rPr>
                <w:rStyle w:val="10"/>
                <w:rFonts w:hint="eastAsia"/>
              </w:rPr>
              <w:t>产品性能:</w:t>
            </w:r>
            <w:r>
              <w:rPr>
                <w:rFonts w:hint="eastAsia"/>
              </w:rPr>
              <w:br w:type="textWrapping"/>
            </w:r>
            <w:r>
              <w:rPr>
                <w:rStyle w:val="11"/>
                <w:rFonts w:hint="eastAsia"/>
              </w:rPr>
              <w:t>本品采用专业防蛀配方，以对二氯苯为活性成分研制而成。可有效防治黑皮蠹和霉菌，对毛、棉、化纤、混纺织物等起到防蛀、防霉作用。</w:t>
            </w:r>
          </w:p>
        </w:tc>
      </w:tr>
      <w:tr w14:paraId="24241AD3">
        <w:tblPrEx>
          <w:tblCellMar>
            <w:top w:w="0" w:type="dxa"/>
            <w:left w:w="0" w:type="dxa"/>
            <w:bottom w:w="0" w:type="dxa"/>
            <w:right w:w="0" w:type="dxa"/>
          </w:tblCellMar>
        </w:tblPrEx>
        <w:trPr>
          <w:wBefore w:w="0" w:type="auto"/>
          <w:tblCellSpacing w:w="0" w:type="dxa"/>
        </w:trPr>
        <w:tc>
          <w:tcPr>
            <w:tcW w:w="0" w:type="auto"/>
            <w:noWrap w:val="0"/>
            <w:vAlign w:val="center"/>
          </w:tcPr>
          <w:p w14:paraId="3A95EA5B">
            <w:r>
              <w:rPr>
                <w:rStyle w:val="10"/>
                <w:rFonts w:hint="eastAsia"/>
              </w:rPr>
              <w:t>注意事项：</w:t>
            </w:r>
            <w:r>
              <w:rPr>
                <w:rFonts w:hint="eastAsia"/>
              </w:rPr>
              <w:br w:type="textWrapping"/>
            </w:r>
            <w:r>
              <w:rPr>
                <w:rStyle w:val="11"/>
                <w:rFonts w:hint="eastAsia"/>
              </w:rPr>
              <w:t>1、本品忌食，请置于儿童和宠物接触不到的地方。2、使用本品时，不得与食物、种子和饲料混合。3、免与皮肤、眼睛接触，防止由口鼻吸入。4、避免孕妇及哺乳期的妇女接触。5、过敏者禁用，使用中有任何不良反应请及时就医。6、用后洗手。</w:t>
            </w:r>
          </w:p>
        </w:tc>
      </w:tr>
      <w:tr w14:paraId="43908DEB">
        <w:tblPrEx>
          <w:tblCellMar>
            <w:top w:w="0" w:type="dxa"/>
            <w:left w:w="0" w:type="dxa"/>
            <w:bottom w:w="0" w:type="dxa"/>
            <w:right w:w="0" w:type="dxa"/>
          </w:tblCellMar>
        </w:tblPrEx>
        <w:trPr>
          <w:wBefore w:w="0" w:type="auto"/>
          <w:tblCellSpacing w:w="0" w:type="dxa"/>
        </w:trPr>
        <w:tc>
          <w:tcPr>
            <w:tcW w:w="0" w:type="auto"/>
            <w:noWrap w:val="0"/>
            <w:vAlign w:val="center"/>
          </w:tcPr>
          <w:p w14:paraId="42B723F5">
            <w:r>
              <w:rPr>
                <w:rStyle w:val="10"/>
                <w:rFonts w:hint="eastAsia"/>
              </w:rPr>
              <w:t>中毒急救措施：</w:t>
            </w:r>
            <w:r>
              <w:rPr>
                <w:rFonts w:hint="eastAsia"/>
              </w:rPr>
              <w:br w:type="textWrapping"/>
            </w:r>
            <w:r>
              <w:rPr>
                <w:rStyle w:val="11"/>
                <w:rFonts w:hint="eastAsia"/>
              </w:rPr>
              <w:t>1、本品忌食，如有误食者请足量温水催吐并立即携带包装就医。2、使用本品时，如有不适，应停止使用。3、如溅入眼内、皮肤刺激用清水冲洗并就医诊治。</w:t>
            </w:r>
          </w:p>
        </w:tc>
      </w:tr>
      <w:tr w14:paraId="736E6284">
        <w:tblPrEx>
          <w:tblCellMar>
            <w:top w:w="0" w:type="dxa"/>
            <w:left w:w="0" w:type="dxa"/>
            <w:bottom w:w="0" w:type="dxa"/>
            <w:right w:w="0" w:type="dxa"/>
          </w:tblCellMar>
        </w:tblPrEx>
        <w:trPr>
          <w:wBefore w:w="0" w:type="auto"/>
          <w:tblCellSpacing w:w="0" w:type="dxa"/>
        </w:trPr>
        <w:tc>
          <w:tcPr>
            <w:tcW w:w="0" w:type="auto"/>
            <w:noWrap w:val="0"/>
            <w:vAlign w:val="center"/>
          </w:tcPr>
          <w:p w14:paraId="4A0AFC8C">
            <w:r>
              <w:rPr>
                <w:rStyle w:val="10"/>
                <w:rFonts w:hint="eastAsia"/>
              </w:rPr>
              <w:t>储存和运输方法：</w:t>
            </w:r>
            <w:r>
              <w:rPr>
                <w:rFonts w:hint="eastAsia"/>
              </w:rPr>
              <w:br w:type="textWrapping"/>
            </w:r>
            <w:r>
              <w:rPr>
                <w:rStyle w:val="11"/>
                <w:rFonts w:hint="eastAsia"/>
              </w:rPr>
              <w:t>1、本品应存放在干燥、阴凉、通风、防雨处。2、运输中防止日晒雨淋。勿与食品、饮料、粮食、种子和饲料等其他商品同贮同运。3、置于儿童触及不到之处。</w:t>
            </w:r>
          </w:p>
        </w:tc>
      </w:tr>
      <w:tr w14:paraId="50330890">
        <w:tblPrEx>
          <w:tblCellMar>
            <w:top w:w="0" w:type="dxa"/>
            <w:left w:w="0" w:type="dxa"/>
            <w:bottom w:w="0" w:type="dxa"/>
            <w:right w:w="0" w:type="dxa"/>
          </w:tblCellMar>
        </w:tblPrEx>
        <w:trPr>
          <w:wBefore w:w="0" w:type="auto"/>
          <w:tblCellSpacing w:w="0" w:type="dxa"/>
        </w:trPr>
        <w:tc>
          <w:tcPr>
            <w:tcW w:w="0" w:type="auto"/>
            <w:noWrap w:val="0"/>
            <w:vAlign w:val="center"/>
          </w:tcPr>
          <w:p w14:paraId="64A57274">
            <w:r>
              <w:rPr>
                <w:rStyle w:val="10"/>
                <w:rFonts w:hint="eastAsia"/>
              </w:rPr>
              <w:t>质量保证期：</w:t>
            </w:r>
            <w:r>
              <w:rPr>
                <w:rStyle w:val="11"/>
                <w:rFonts w:hint="eastAsia"/>
              </w:rPr>
              <w:t>3年</w:t>
            </w:r>
          </w:p>
        </w:tc>
      </w:tr>
      <w:tr w14:paraId="17183E6A">
        <w:tblPrEx>
          <w:tblCellMar>
            <w:top w:w="0" w:type="dxa"/>
            <w:left w:w="0" w:type="dxa"/>
            <w:bottom w:w="0" w:type="dxa"/>
            <w:right w:w="0" w:type="dxa"/>
          </w:tblCellMar>
        </w:tblPrEx>
        <w:trPr>
          <w:wBefore w:w="0" w:type="auto"/>
          <w:tblCellSpacing w:w="0" w:type="dxa"/>
        </w:trPr>
        <w:tc>
          <w:tcPr>
            <w:tcW w:w="0" w:type="auto"/>
            <w:noWrap w:val="0"/>
            <w:vAlign w:val="center"/>
          </w:tcPr>
          <w:p w14:paraId="1371620B">
            <w:r>
              <w:rPr>
                <w:rStyle w:val="10"/>
                <w:rFonts w:hint="eastAsia"/>
              </w:rPr>
              <w:t>备注：</w:t>
            </w:r>
          </w:p>
        </w:tc>
      </w:tr>
    </w:tbl>
    <w:p w14:paraId="7325F07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35F43B">
        <w:tblPrEx>
          <w:tblCellMar>
            <w:top w:w="0" w:type="dxa"/>
            <w:left w:w="0" w:type="dxa"/>
            <w:bottom w:w="0" w:type="dxa"/>
            <w:right w:w="0" w:type="dxa"/>
          </w:tblCellMar>
        </w:tblPrEx>
        <w:trPr>
          <w:wBefore w:w="0" w:type="auto"/>
          <w:tblCellSpacing w:w="0" w:type="dxa"/>
        </w:trPr>
        <w:tc>
          <w:tcPr>
            <w:tcW w:w="0" w:type="auto"/>
            <w:noWrap w:val="0"/>
            <w:vAlign w:val="center"/>
          </w:tcPr>
          <w:p w14:paraId="036C91CE">
            <w:r>
              <w:rPr>
                <w:rStyle w:val="10"/>
                <w:rFonts w:hint="eastAsia"/>
              </w:rPr>
              <w:t>登记证号：</w:t>
            </w:r>
            <w:r>
              <w:rPr>
                <w:rFonts w:hint="eastAsia"/>
              </w:rPr>
              <w:t>WP20210393</w:t>
            </w:r>
          </w:p>
        </w:tc>
      </w:tr>
      <w:tr w14:paraId="7CCB9EC1">
        <w:tblPrEx>
          <w:tblCellMar>
            <w:top w:w="0" w:type="dxa"/>
            <w:left w:w="0" w:type="dxa"/>
            <w:bottom w:w="0" w:type="dxa"/>
            <w:right w:w="0" w:type="dxa"/>
          </w:tblCellMar>
        </w:tblPrEx>
        <w:trPr>
          <w:wBefore w:w="0" w:type="auto"/>
          <w:tblCellSpacing w:w="0" w:type="dxa"/>
        </w:trPr>
        <w:tc>
          <w:tcPr>
            <w:tcW w:w="0" w:type="auto"/>
            <w:noWrap w:val="0"/>
            <w:vAlign w:val="center"/>
          </w:tcPr>
          <w:p w14:paraId="1B8381FA">
            <w:r>
              <w:rPr>
                <w:rStyle w:val="10"/>
                <w:rFonts w:hint="eastAsia"/>
              </w:rPr>
              <w:t>登记证持有人：</w:t>
            </w:r>
            <w:r>
              <w:rPr>
                <w:rFonts w:hint="eastAsia"/>
              </w:rPr>
              <w:t>中山凯中有限公司</w:t>
            </w:r>
          </w:p>
        </w:tc>
      </w:tr>
      <w:tr w14:paraId="43710FC1">
        <w:tblPrEx>
          <w:tblCellMar>
            <w:top w:w="0" w:type="dxa"/>
            <w:left w:w="0" w:type="dxa"/>
            <w:bottom w:w="0" w:type="dxa"/>
            <w:right w:w="0" w:type="dxa"/>
          </w:tblCellMar>
        </w:tblPrEx>
        <w:trPr>
          <w:wBefore w:w="0" w:type="auto"/>
          <w:tblCellSpacing w:w="0" w:type="dxa"/>
        </w:trPr>
        <w:tc>
          <w:tcPr>
            <w:tcW w:w="0" w:type="auto"/>
            <w:noWrap w:val="0"/>
            <w:vAlign w:val="center"/>
          </w:tcPr>
          <w:p w14:paraId="391A9A90">
            <w:r>
              <w:rPr>
                <w:rStyle w:val="10"/>
                <w:rFonts w:hint="eastAsia"/>
              </w:rPr>
              <w:t>农药名称：</w:t>
            </w:r>
            <w:r>
              <w:rPr>
                <w:rFonts w:hint="eastAsia"/>
              </w:rPr>
              <w:t>除虫菊素</w:t>
            </w:r>
          </w:p>
        </w:tc>
      </w:tr>
      <w:tr w14:paraId="005168BB">
        <w:tblPrEx>
          <w:tblCellMar>
            <w:top w:w="0" w:type="dxa"/>
            <w:left w:w="0" w:type="dxa"/>
            <w:bottom w:w="0" w:type="dxa"/>
            <w:right w:w="0" w:type="dxa"/>
          </w:tblCellMar>
        </w:tblPrEx>
        <w:trPr>
          <w:wBefore w:w="0" w:type="auto"/>
          <w:tblCellSpacing w:w="0" w:type="dxa"/>
        </w:trPr>
        <w:tc>
          <w:tcPr>
            <w:tcW w:w="0" w:type="auto"/>
            <w:noWrap w:val="0"/>
            <w:vAlign w:val="center"/>
          </w:tcPr>
          <w:p w14:paraId="79231597">
            <w:r>
              <w:rPr>
                <w:rStyle w:val="10"/>
                <w:rFonts w:hint="eastAsia"/>
              </w:rPr>
              <w:t>剂型：</w:t>
            </w:r>
            <w:r>
              <w:rPr>
                <w:rFonts w:hint="eastAsia"/>
              </w:rPr>
              <w:t>水乳剂</w:t>
            </w:r>
          </w:p>
        </w:tc>
      </w:tr>
      <w:tr w14:paraId="05690918">
        <w:tblPrEx>
          <w:tblCellMar>
            <w:top w:w="0" w:type="dxa"/>
            <w:left w:w="0" w:type="dxa"/>
            <w:bottom w:w="0" w:type="dxa"/>
            <w:right w:w="0" w:type="dxa"/>
          </w:tblCellMar>
        </w:tblPrEx>
        <w:trPr>
          <w:wBefore w:w="0" w:type="auto"/>
          <w:tblCellSpacing w:w="0" w:type="dxa"/>
        </w:trPr>
        <w:tc>
          <w:tcPr>
            <w:tcW w:w="0" w:type="auto"/>
            <w:noWrap w:val="0"/>
            <w:vAlign w:val="center"/>
          </w:tcPr>
          <w:p w14:paraId="4943A59A">
            <w:r>
              <w:rPr>
                <w:rStyle w:val="10"/>
                <w:rFonts w:hint="eastAsia"/>
              </w:rPr>
              <w:t>毒性及其标识：</w:t>
            </w:r>
            <w:r>
              <w:rPr>
                <w:rFonts w:hint="eastAsia"/>
              </w:rPr>
              <w:t xml:space="preserve"> 微毒 </w:t>
            </w:r>
          </w:p>
        </w:tc>
      </w:tr>
      <w:tr w14:paraId="0EA47D27">
        <w:tblPrEx>
          <w:tblCellMar>
            <w:top w:w="0" w:type="dxa"/>
            <w:left w:w="0" w:type="dxa"/>
            <w:bottom w:w="0" w:type="dxa"/>
            <w:right w:w="0" w:type="dxa"/>
          </w:tblCellMar>
        </w:tblPrEx>
        <w:trPr>
          <w:wBefore w:w="0" w:type="auto"/>
          <w:tblCellSpacing w:w="0" w:type="dxa"/>
        </w:trPr>
        <w:tc>
          <w:tcPr>
            <w:tcW w:w="0" w:type="auto"/>
            <w:noWrap w:val="0"/>
            <w:vAlign w:val="center"/>
          </w:tcPr>
          <w:p w14:paraId="086576C5">
            <w:r>
              <w:rPr>
                <w:rStyle w:val="10"/>
                <w:rFonts w:hint="eastAsia"/>
              </w:rPr>
              <w:t>总有效成分含量：</w:t>
            </w:r>
            <w:r>
              <w:rPr>
                <w:rFonts w:hint="eastAsia"/>
              </w:rPr>
              <w:t>1.5%</w:t>
            </w:r>
          </w:p>
        </w:tc>
      </w:tr>
      <w:tr w14:paraId="2068D0EE">
        <w:tblPrEx>
          <w:tblCellMar>
            <w:top w:w="0" w:type="dxa"/>
            <w:left w:w="0" w:type="dxa"/>
            <w:bottom w:w="0" w:type="dxa"/>
            <w:right w:w="0" w:type="dxa"/>
          </w:tblCellMar>
        </w:tblPrEx>
        <w:trPr>
          <w:wBefore w:w="0" w:type="auto"/>
          <w:tblCellSpacing w:w="0" w:type="dxa"/>
        </w:trPr>
        <w:tc>
          <w:tcPr>
            <w:tcW w:w="0" w:type="auto"/>
            <w:noWrap w:val="0"/>
            <w:vAlign w:val="center"/>
          </w:tcPr>
          <w:p w14:paraId="523A5483">
            <w:r>
              <w:rPr>
                <w:rFonts w:hint="eastAsia"/>
              </w:rPr>
              <w:t xml:space="preserve">有效成分及其含量： </w:t>
            </w:r>
          </w:p>
          <w:p w14:paraId="737A789E">
            <w:r>
              <w:rPr>
                <w:rFonts w:hint="eastAsia"/>
              </w:rPr>
              <w:t xml:space="preserve">    除虫菊素1.5%    </w:t>
            </w:r>
          </w:p>
        </w:tc>
      </w:tr>
      <w:tr w14:paraId="26451DE5">
        <w:tblPrEx>
          <w:tblCellMar>
            <w:top w:w="0" w:type="dxa"/>
            <w:left w:w="0" w:type="dxa"/>
            <w:bottom w:w="0" w:type="dxa"/>
            <w:right w:w="0" w:type="dxa"/>
          </w:tblCellMar>
        </w:tblPrEx>
        <w:trPr>
          <w:wBefore w:w="0" w:type="auto"/>
          <w:tblCellSpacing w:w="0" w:type="dxa"/>
        </w:trPr>
        <w:tc>
          <w:tcPr>
            <w:tcW w:w="0" w:type="auto"/>
            <w:noWrap w:val="0"/>
            <w:vAlign w:val="center"/>
          </w:tcPr>
          <w:p w14:paraId="7BFFD0C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887C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5A1B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9C845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97FB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BA4F11">
                  <w:r>
                    <w:rPr>
                      <w:rStyle w:val="11"/>
                      <w:rFonts w:hint="eastAsia"/>
                    </w:rPr>
                    <w:t>施用方式</w:t>
                  </w:r>
                </w:p>
              </w:tc>
            </w:tr>
            <w:tr w14:paraId="6A8AFB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26EC9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1D4B08">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00AED4">
                  <w:r>
                    <w:rPr>
                      <w:rStyle w:val="11"/>
                      <w:rFonts w:hint="eastAsia"/>
                    </w:rPr>
                    <w:t>0.3毫升/立方米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B7CD4A">
                  <w:r>
                    <w:rPr>
                      <w:rStyle w:val="11"/>
                      <w:rFonts w:hint="eastAsia"/>
                    </w:rPr>
                    <w:t>空间喷雾</w:t>
                  </w:r>
                </w:p>
              </w:tc>
            </w:tr>
            <w:tr w14:paraId="1F91F1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1B55A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2BA7CB">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EC666D">
                  <w:r>
                    <w:rPr>
                      <w:rStyle w:val="11"/>
                      <w:rFonts w:hint="eastAsia"/>
                    </w:rPr>
                    <w:t>0.3毫升/立方米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AEF422">
                  <w:r>
                    <w:rPr>
                      <w:rStyle w:val="11"/>
                      <w:rFonts w:hint="eastAsia"/>
                    </w:rPr>
                    <w:t>空间喷雾</w:t>
                  </w:r>
                </w:p>
              </w:tc>
            </w:tr>
            <w:tr w14:paraId="36323A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64955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B8994">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7D6B66">
                  <w:r>
                    <w:rPr>
                      <w:rStyle w:val="11"/>
                      <w:rFonts w:hint="eastAsia"/>
                    </w:rPr>
                    <w:t>0.3毫升/立方米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FACA69">
                  <w:r>
                    <w:rPr>
                      <w:rStyle w:val="11"/>
                      <w:rFonts w:hint="eastAsia"/>
                    </w:rPr>
                    <w:t>空间喷雾</w:t>
                  </w:r>
                </w:p>
              </w:tc>
            </w:tr>
            <w:tr w14:paraId="29181C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B707A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FEE4E7">
                  <w:r>
                    <w:rPr>
                      <w:rStyle w:val="11"/>
                      <w:rFonts w:hint="eastAsia"/>
                    </w:rPr>
                    <w:t>臭虫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E841F3">
                  <w:r>
                    <w:rPr>
                      <w:rStyle w:val="11"/>
                      <w:rFonts w:hint="eastAsia"/>
                    </w:rPr>
                    <w:t>0.3毫升/立方米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0A0EA5">
                  <w:r>
                    <w:rPr>
                      <w:rStyle w:val="11"/>
                      <w:rFonts w:hint="eastAsia"/>
                    </w:rPr>
                    <w:t>空间喷雾</w:t>
                  </w:r>
                </w:p>
              </w:tc>
            </w:tr>
          </w:tbl>
          <w:p w14:paraId="005EFC78">
            <w:pPr>
              <w:rPr>
                <w:rFonts w:ascii="Times New Roman" w:hAnsi="Times New Roman" w:cs="Times New Roman"/>
                <w:sz w:val="20"/>
                <w:szCs w:val="20"/>
              </w:rPr>
            </w:pPr>
          </w:p>
        </w:tc>
      </w:tr>
      <w:tr w14:paraId="2DA6CCD9">
        <w:tblPrEx>
          <w:tblCellMar>
            <w:top w:w="0" w:type="dxa"/>
            <w:left w:w="0" w:type="dxa"/>
            <w:bottom w:w="0" w:type="dxa"/>
            <w:right w:w="0" w:type="dxa"/>
          </w:tblCellMar>
        </w:tblPrEx>
        <w:trPr>
          <w:wBefore w:w="0" w:type="auto"/>
          <w:tblCellSpacing w:w="0" w:type="dxa"/>
        </w:trPr>
        <w:tc>
          <w:tcPr>
            <w:tcW w:w="0" w:type="auto"/>
            <w:noWrap w:val="0"/>
            <w:vAlign w:val="center"/>
          </w:tcPr>
          <w:p w14:paraId="087A63DC">
            <w:r>
              <w:rPr>
                <w:rStyle w:val="10"/>
                <w:rFonts w:hint="eastAsia"/>
              </w:rPr>
              <w:t>使用技术要求:</w:t>
            </w:r>
            <w:r>
              <w:rPr>
                <w:rFonts w:hint="eastAsia"/>
              </w:rPr>
              <w:br w:type="textWrapping"/>
            </w:r>
            <w:r>
              <w:rPr>
                <w:rStyle w:val="11"/>
                <w:rFonts w:hint="eastAsia"/>
              </w:rPr>
              <w:t>1.本品兑水稀释约30倍后作空间喷雾处理。 2.本品稀释后也可对准蚊、蝇、蜚蠊、蚂蚁、臭虫、跳蚤直接喷射，或向蚊、蝇、蜚蠊、蚂蚁、臭虫、跳蚤出没或栖息处适量喷射。</w:t>
            </w:r>
          </w:p>
        </w:tc>
      </w:tr>
      <w:tr w14:paraId="3B15D456">
        <w:tblPrEx>
          <w:tblCellMar>
            <w:top w:w="0" w:type="dxa"/>
            <w:left w:w="0" w:type="dxa"/>
            <w:bottom w:w="0" w:type="dxa"/>
            <w:right w:w="0" w:type="dxa"/>
          </w:tblCellMar>
        </w:tblPrEx>
        <w:trPr>
          <w:wBefore w:w="0" w:type="auto"/>
          <w:tblCellSpacing w:w="0" w:type="dxa"/>
        </w:trPr>
        <w:tc>
          <w:tcPr>
            <w:tcW w:w="0" w:type="auto"/>
            <w:noWrap w:val="0"/>
            <w:vAlign w:val="center"/>
          </w:tcPr>
          <w:p w14:paraId="0B7D193C">
            <w:r>
              <w:rPr>
                <w:rStyle w:val="10"/>
                <w:rFonts w:hint="eastAsia"/>
              </w:rPr>
              <w:t>产品性能:</w:t>
            </w:r>
            <w:r>
              <w:rPr>
                <w:rFonts w:hint="eastAsia"/>
              </w:rPr>
              <w:br w:type="textWrapping"/>
            </w:r>
            <w:r>
              <w:rPr>
                <w:rStyle w:val="11"/>
                <w:rFonts w:hint="eastAsia"/>
              </w:rPr>
              <w:t>本品有效成分除虫菊素，源于天然植物除虫菊，可用于家庭、学校、医院、宾馆、超市、餐厅、办公场所、食品工厂、养殖场等室内环境防治蚊、蝇、蜚蠊、蚂蚁、臭虫、跳蚤等卫生害虫。</w:t>
            </w:r>
          </w:p>
        </w:tc>
      </w:tr>
      <w:tr w14:paraId="052A8A73">
        <w:tblPrEx>
          <w:tblCellMar>
            <w:top w:w="0" w:type="dxa"/>
            <w:left w:w="0" w:type="dxa"/>
            <w:bottom w:w="0" w:type="dxa"/>
            <w:right w:w="0" w:type="dxa"/>
          </w:tblCellMar>
        </w:tblPrEx>
        <w:trPr>
          <w:wBefore w:w="0" w:type="auto"/>
          <w:tblCellSpacing w:w="0" w:type="dxa"/>
        </w:trPr>
        <w:tc>
          <w:tcPr>
            <w:tcW w:w="0" w:type="auto"/>
            <w:noWrap w:val="0"/>
            <w:vAlign w:val="center"/>
          </w:tcPr>
          <w:p w14:paraId="1F5B5A02">
            <w:r>
              <w:rPr>
                <w:rStyle w:val="10"/>
                <w:rFonts w:hint="eastAsia"/>
              </w:rPr>
              <w:t>注意事项：</w:t>
            </w:r>
            <w:r>
              <w:rPr>
                <w:rFonts w:hint="eastAsia"/>
              </w:rPr>
              <w:br w:type="textWrapping"/>
            </w:r>
            <w:r>
              <w:rPr>
                <w:rStyle w:val="11"/>
                <w:rFonts w:hint="eastAsia"/>
              </w:rPr>
              <w:t>1.使用时必须穿戴防护用品，避免吸入药液。施药期间不可吃东西和饮水。2.对鱼等水生动物、蜜蜂、蚕有毒。使用时注意不可污染鱼塘等水域及饲养蜂、蚕场地。蚕室内及其附近禁用。3. 施药后及时洗手和洗脸等暴露部位皮肤。4.不要与碱性物质混用。切勿向人体、食物使用。5. 置于儿童接触不到的地方。避免孕妇及哺乳期妇女接触本品；过敏者禁用；使用中有任何不良反应请及时就医。</w:t>
            </w:r>
          </w:p>
        </w:tc>
      </w:tr>
      <w:tr w14:paraId="381666EF">
        <w:tblPrEx>
          <w:tblCellMar>
            <w:top w:w="0" w:type="dxa"/>
            <w:left w:w="0" w:type="dxa"/>
            <w:bottom w:w="0" w:type="dxa"/>
            <w:right w:w="0" w:type="dxa"/>
          </w:tblCellMar>
        </w:tblPrEx>
        <w:trPr>
          <w:wBefore w:w="0" w:type="auto"/>
          <w:tblCellSpacing w:w="0" w:type="dxa"/>
        </w:trPr>
        <w:tc>
          <w:tcPr>
            <w:tcW w:w="0" w:type="auto"/>
            <w:noWrap w:val="0"/>
            <w:vAlign w:val="center"/>
          </w:tcPr>
          <w:p w14:paraId="720AE775">
            <w:r>
              <w:rPr>
                <w:rStyle w:val="10"/>
                <w:rFonts w:hint="eastAsia"/>
              </w:rPr>
              <w:t>中毒急救措施：</w:t>
            </w:r>
            <w:r>
              <w:rPr>
                <w:rFonts w:hint="eastAsia"/>
              </w:rPr>
              <w:br w:type="textWrapping"/>
            </w:r>
            <w:r>
              <w:rPr>
                <w:rStyle w:val="11"/>
                <w:rFonts w:hint="eastAsia"/>
              </w:rPr>
              <w:t>如药液接触皮肤，可用肥皂和大量的清水冲洗；如接触眼睛，请即用大量清水冲洗至少15分钟；若不慎吸入，请立即转移至空气清新处。如误服、中毒或使用中有任何不良反应，请立即携标签送医院，对症治疗。</w:t>
            </w:r>
          </w:p>
        </w:tc>
      </w:tr>
      <w:tr w14:paraId="5FB96229">
        <w:tblPrEx>
          <w:tblCellMar>
            <w:top w:w="0" w:type="dxa"/>
            <w:left w:w="0" w:type="dxa"/>
            <w:bottom w:w="0" w:type="dxa"/>
            <w:right w:w="0" w:type="dxa"/>
          </w:tblCellMar>
        </w:tblPrEx>
        <w:trPr>
          <w:wBefore w:w="0" w:type="auto"/>
          <w:tblCellSpacing w:w="0" w:type="dxa"/>
        </w:trPr>
        <w:tc>
          <w:tcPr>
            <w:tcW w:w="0" w:type="auto"/>
            <w:noWrap w:val="0"/>
            <w:vAlign w:val="center"/>
          </w:tcPr>
          <w:p w14:paraId="2311E9A3">
            <w:r>
              <w:rPr>
                <w:rStyle w:val="10"/>
                <w:rFonts w:hint="eastAsia"/>
              </w:rPr>
              <w:t>储存和运输方法：</w:t>
            </w:r>
            <w:r>
              <w:rPr>
                <w:rFonts w:hint="eastAsia"/>
              </w:rPr>
              <w:br w:type="textWrapping"/>
            </w:r>
            <w:r>
              <w:rPr>
                <w:rStyle w:val="11"/>
                <w:rFonts w:hint="eastAsia"/>
              </w:rPr>
              <w:t>产品应储存在通风、阴凉、干燥（低温）的库房中，严防潮湿和曝晒。远离火源或热源。运输装卸要轻装轻放，防止包装及容器损坏。严禁猛烈撞击，且不可倒置。远离儿童，不能与食品、饮料、粮食、种子、饲料等混放混运；储运时应避免与氧化剂（高锰酸钾）接触。</w:t>
            </w:r>
          </w:p>
        </w:tc>
      </w:tr>
      <w:tr w14:paraId="3BC8AE1E">
        <w:tblPrEx>
          <w:tblCellMar>
            <w:top w:w="0" w:type="dxa"/>
            <w:left w:w="0" w:type="dxa"/>
            <w:bottom w:w="0" w:type="dxa"/>
            <w:right w:w="0" w:type="dxa"/>
          </w:tblCellMar>
        </w:tblPrEx>
        <w:trPr>
          <w:wBefore w:w="0" w:type="auto"/>
          <w:tblCellSpacing w:w="0" w:type="dxa"/>
        </w:trPr>
        <w:tc>
          <w:tcPr>
            <w:tcW w:w="0" w:type="auto"/>
            <w:noWrap w:val="0"/>
            <w:vAlign w:val="center"/>
          </w:tcPr>
          <w:p w14:paraId="1D9C010F">
            <w:r>
              <w:rPr>
                <w:rStyle w:val="10"/>
                <w:rFonts w:hint="eastAsia"/>
              </w:rPr>
              <w:t>质量保证期：</w:t>
            </w:r>
            <w:r>
              <w:rPr>
                <w:rStyle w:val="11"/>
                <w:rFonts w:hint="eastAsia"/>
              </w:rPr>
              <w:t>3年</w:t>
            </w:r>
          </w:p>
        </w:tc>
      </w:tr>
      <w:tr w14:paraId="4E43BFB2">
        <w:tblPrEx>
          <w:tblCellMar>
            <w:top w:w="0" w:type="dxa"/>
            <w:left w:w="0" w:type="dxa"/>
            <w:bottom w:w="0" w:type="dxa"/>
            <w:right w:w="0" w:type="dxa"/>
          </w:tblCellMar>
        </w:tblPrEx>
        <w:trPr>
          <w:wBefore w:w="0" w:type="auto"/>
          <w:tblCellSpacing w:w="0" w:type="dxa"/>
        </w:trPr>
        <w:tc>
          <w:tcPr>
            <w:tcW w:w="0" w:type="auto"/>
            <w:noWrap w:val="0"/>
            <w:vAlign w:val="center"/>
          </w:tcPr>
          <w:p w14:paraId="5D5D9046">
            <w:r>
              <w:rPr>
                <w:rStyle w:val="10"/>
                <w:rFonts w:hint="eastAsia"/>
              </w:rPr>
              <w:t>备注：</w:t>
            </w:r>
          </w:p>
        </w:tc>
      </w:tr>
    </w:tbl>
    <w:p w14:paraId="219EA8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B75182">
        <w:tblPrEx>
          <w:tblCellMar>
            <w:top w:w="0" w:type="dxa"/>
            <w:left w:w="0" w:type="dxa"/>
            <w:bottom w:w="0" w:type="dxa"/>
            <w:right w:w="0" w:type="dxa"/>
          </w:tblCellMar>
        </w:tblPrEx>
        <w:trPr>
          <w:wBefore w:w="0" w:type="auto"/>
          <w:tblCellSpacing w:w="0" w:type="dxa"/>
        </w:trPr>
        <w:tc>
          <w:tcPr>
            <w:tcW w:w="0" w:type="auto"/>
            <w:noWrap w:val="0"/>
            <w:vAlign w:val="center"/>
          </w:tcPr>
          <w:p w14:paraId="67568EC1">
            <w:r>
              <w:rPr>
                <w:rStyle w:val="10"/>
                <w:rFonts w:hint="eastAsia"/>
              </w:rPr>
              <w:t>登记证号：</w:t>
            </w:r>
            <w:r>
              <w:rPr>
                <w:rFonts w:hint="eastAsia"/>
              </w:rPr>
              <w:t>PD20212667</w:t>
            </w:r>
          </w:p>
        </w:tc>
      </w:tr>
      <w:tr w14:paraId="473C8949">
        <w:tblPrEx>
          <w:tblCellMar>
            <w:top w:w="0" w:type="dxa"/>
            <w:left w:w="0" w:type="dxa"/>
            <w:bottom w:w="0" w:type="dxa"/>
            <w:right w:w="0" w:type="dxa"/>
          </w:tblCellMar>
        </w:tblPrEx>
        <w:trPr>
          <w:wBefore w:w="0" w:type="auto"/>
          <w:tblCellSpacing w:w="0" w:type="dxa"/>
        </w:trPr>
        <w:tc>
          <w:tcPr>
            <w:tcW w:w="0" w:type="auto"/>
            <w:noWrap w:val="0"/>
            <w:vAlign w:val="center"/>
          </w:tcPr>
          <w:p w14:paraId="16421820">
            <w:r>
              <w:rPr>
                <w:rStyle w:val="10"/>
                <w:rFonts w:hint="eastAsia"/>
              </w:rPr>
              <w:t>登记证持有人：</w:t>
            </w:r>
            <w:r>
              <w:rPr>
                <w:rFonts w:hint="eastAsia"/>
              </w:rPr>
              <w:t>浙江省杭州宇龙化工有限公司</w:t>
            </w:r>
          </w:p>
        </w:tc>
      </w:tr>
      <w:tr w14:paraId="26D3CE2C">
        <w:tblPrEx>
          <w:tblCellMar>
            <w:top w:w="0" w:type="dxa"/>
            <w:left w:w="0" w:type="dxa"/>
            <w:bottom w:w="0" w:type="dxa"/>
            <w:right w:w="0" w:type="dxa"/>
          </w:tblCellMar>
        </w:tblPrEx>
        <w:trPr>
          <w:wBefore w:w="0" w:type="auto"/>
          <w:tblCellSpacing w:w="0" w:type="dxa"/>
        </w:trPr>
        <w:tc>
          <w:tcPr>
            <w:tcW w:w="0" w:type="auto"/>
            <w:noWrap w:val="0"/>
            <w:vAlign w:val="center"/>
          </w:tcPr>
          <w:p w14:paraId="5DDD9DF3">
            <w:r>
              <w:rPr>
                <w:rStyle w:val="10"/>
                <w:rFonts w:hint="eastAsia"/>
              </w:rPr>
              <w:t>农药名称：</w:t>
            </w:r>
            <w:r>
              <w:rPr>
                <w:rFonts w:hint="eastAsia"/>
              </w:rPr>
              <w:t>甲硫·戊菌唑</w:t>
            </w:r>
          </w:p>
        </w:tc>
      </w:tr>
      <w:tr w14:paraId="5ADA075B">
        <w:tblPrEx>
          <w:tblCellMar>
            <w:top w:w="0" w:type="dxa"/>
            <w:left w:w="0" w:type="dxa"/>
            <w:bottom w:w="0" w:type="dxa"/>
            <w:right w:w="0" w:type="dxa"/>
          </w:tblCellMar>
        </w:tblPrEx>
        <w:trPr>
          <w:wBefore w:w="0" w:type="auto"/>
          <w:tblCellSpacing w:w="0" w:type="dxa"/>
        </w:trPr>
        <w:tc>
          <w:tcPr>
            <w:tcW w:w="0" w:type="auto"/>
            <w:noWrap w:val="0"/>
            <w:vAlign w:val="center"/>
          </w:tcPr>
          <w:p w14:paraId="5CF033C8">
            <w:r>
              <w:rPr>
                <w:rStyle w:val="10"/>
                <w:rFonts w:hint="eastAsia"/>
              </w:rPr>
              <w:t>剂型：</w:t>
            </w:r>
            <w:r>
              <w:rPr>
                <w:rFonts w:hint="eastAsia"/>
              </w:rPr>
              <w:t>悬浮剂</w:t>
            </w:r>
          </w:p>
        </w:tc>
      </w:tr>
      <w:tr w14:paraId="10AD4C15">
        <w:tblPrEx>
          <w:tblCellMar>
            <w:top w:w="0" w:type="dxa"/>
            <w:left w:w="0" w:type="dxa"/>
            <w:bottom w:w="0" w:type="dxa"/>
            <w:right w:w="0" w:type="dxa"/>
          </w:tblCellMar>
        </w:tblPrEx>
        <w:trPr>
          <w:wBefore w:w="0" w:type="auto"/>
          <w:tblCellSpacing w:w="0" w:type="dxa"/>
        </w:trPr>
        <w:tc>
          <w:tcPr>
            <w:tcW w:w="0" w:type="auto"/>
            <w:noWrap w:val="0"/>
            <w:vAlign w:val="center"/>
          </w:tcPr>
          <w:p w14:paraId="4A67CA24">
            <w:r>
              <w:rPr>
                <w:rStyle w:val="10"/>
                <w:rFonts w:hint="eastAsia"/>
              </w:rPr>
              <w:t>毒性及其标识：</w:t>
            </w:r>
            <w:r>
              <w:rPr>
                <w:rFonts w:hint="eastAsia"/>
              </w:rPr>
              <w:t xml:space="preserve"> </w:t>
            </w:r>
            <w:r>
              <w:rPr>
                <w:lang/>
              </w:rPr>
              <w:drawing>
                <wp:inline distT="0" distB="0" distL="114300" distR="114300">
                  <wp:extent cx="476250" cy="323850"/>
                  <wp:effectExtent l="0" t="0" r="0" b="0"/>
                  <wp:docPr id="147" name="图片 1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8800833">
        <w:tblPrEx>
          <w:tblCellMar>
            <w:top w:w="0" w:type="dxa"/>
            <w:left w:w="0" w:type="dxa"/>
            <w:bottom w:w="0" w:type="dxa"/>
            <w:right w:w="0" w:type="dxa"/>
          </w:tblCellMar>
        </w:tblPrEx>
        <w:trPr>
          <w:wBefore w:w="0" w:type="auto"/>
          <w:tblCellSpacing w:w="0" w:type="dxa"/>
        </w:trPr>
        <w:tc>
          <w:tcPr>
            <w:tcW w:w="0" w:type="auto"/>
            <w:noWrap w:val="0"/>
            <w:vAlign w:val="center"/>
          </w:tcPr>
          <w:p w14:paraId="18E4EA5D">
            <w:r>
              <w:rPr>
                <w:rStyle w:val="10"/>
                <w:rFonts w:hint="eastAsia"/>
              </w:rPr>
              <w:t>总有效成分含量：</w:t>
            </w:r>
            <w:r>
              <w:rPr>
                <w:rFonts w:hint="eastAsia"/>
              </w:rPr>
              <w:t>40%</w:t>
            </w:r>
          </w:p>
        </w:tc>
      </w:tr>
      <w:tr w14:paraId="4BD4DCAE">
        <w:tblPrEx>
          <w:tblCellMar>
            <w:top w:w="0" w:type="dxa"/>
            <w:left w:w="0" w:type="dxa"/>
            <w:bottom w:w="0" w:type="dxa"/>
            <w:right w:w="0" w:type="dxa"/>
          </w:tblCellMar>
        </w:tblPrEx>
        <w:trPr>
          <w:wBefore w:w="0" w:type="auto"/>
          <w:tblCellSpacing w:w="0" w:type="dxa"/>
        </w:trPr>
        <w:tc>
          <w:tcPr>
            <w:tcW w:w="0" w:type="auto"/>
            <w:noWrap w:val="0"/>
            <w:vAlign w:val="center"/>
          </w:tcPr>
          <w:p w14:paraId="33438C48">
            <w:r>
              <w:rPr>
                <w:rFonts w:hint="eastAsia"/>
              </w:rPr>
              <w:t xml:space="preserve">有效成分及其含量： </w:t>
            </w:r>
          </w:p>
          <w:p w14:paraId="60AFDCF7">
            <w:r>
              <w:rPr>
                <w:rFonts w:hint="eastAsia"/>
              </w:rPr>
              <w:t xml:space="preserve">    甲基硫菌灵30%    戊菌唑10%    </w:t>
            </w:r>
          </w:p>
        </w:tc>
      </w:tr>
      <w:tr w14:paraId="20907C69">
        <w:tblPrEx>
          <w:tblCellMar>
            <w:top w:w="0" w:type="dxa"/>
            <w:left w:w="0" w:type="dxa"/>
            <w:bottom w:w="0" w:type="dxa"/>
            <w:right w:w="0" w:type="dxa"/>
          </w:tblCellMar>
        </w:tblPrEx>
        <w:trPr>
          <w:wBefore w:w="0" w:type="auto"/>
          <w:tblCellSpacing w:w="0" w:type="dxa"/>
        </w:trPr>
        <w:tc>
          <w:tcPr>
            <w:tcW w:w="0" w:type="auto"/>
            <w:noWrap w:val="0"/>
            <w:vAlign w:val="center"/>
          </w:tcPr>
          <w:p w14:paraId="2B7DE6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E06B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1FE8B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6943F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91AC1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BF3AD3">
                  <w:r>
                    <w:rPr>
                      <w:rStyle w:val="11"/>
                      <w:rFonts w:hint="eastAsia"/>
                    </w:rPr>
                    <w:t>施用方式</w:t>
                  </w:r>
                </w:p>
              </w:tc>
            </w:tr>
            <w:tr w14:paraId="14CAC1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875042">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E65CCC">
                  <w:r>
                    <w:rPr>
                      <w:rStyle w:val="11"/>
                      <w:rFonts w:hint="eastAsia"/>
                    </w:rPr>
                    <w:t>轮纹病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F66C77">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E85000">
                  <w:r>
                    <w:rPr>
                      <w:rStyle w:val="11"/>
                      <w:rFonts w:hint="eastAsia"/>
                    </w:rPr>
                    <w:t>喷雾</w:t>
                  </w:r>
                </w:p>
              </w:tc>
            </w:tr>
          </w:tbl>
          <w:p w14:paraId="1B00E240">
            <w:pPr>
              <w:rPr>
                <w:rFonts w:ascii="Times New Roman" w:hAnsi="Times New Roman" w:cs="Times New Roman"/>
                <w:sz w:val="20"/>
                <w:szCs w:val="20"/>
              </w:rPr>
            </w:pPr>
          </w:p>
        </w:tc>
      </w:tr>
      <w:tr w14:paraId="751637A8">
        <w:tblPrEx>
          <w:tblCellMar>
            <w:top w:w="0" w:type="dxa"/>
            <w:left w:w="0" w:type="dxa"/>
            <w:bottom w:w="0" w:type="dxa"/>
            <w:right w:w="0" w:type="dxa"/>
          </w:tblCellMar>
        </w:tblPrEx>
        <w:trPr>
          <w:wBefore w:w="0" w:type="auto"/>
          <w:tblCellSpacing w:w="0" w:type="dxa"/>
        </w:trPr>
        <w:tc>
          <w:tcPr>
            <w:tcW w:w="0" w:type="auto"/>
            <w:noWrap w:val="0"/>
            <w:vAlign w:val="center"/>
          </w:tcPr>
          <w:p w14:paraId="10DF0F90">
            <w:r>
              <w:rPr>
                <w:rStyle w:val="10"/>
                <w:rFonts w:hint="eastAsia"/>
              </w:rPr>
              <w:t>使用技术要求:</w:t>
            </w:r>
            <w:r>
              <w:rPr>
                <w:rFonts w:hint="eastAsia"/>
              </w:rPr>
              <w:br w:type="textWrapping"/>
            </w:r>
            <w:r>
              <w:rPr>
                <w:rStyle w:val="11"/>
                <w:rFonts w:hint="eastAsia"/>
              </w:rPr>
              <w:t>1. 于谢花后7-10天进行常规喷雾，视病害发生情况可用药2-3次，间隔10天左右1次。2. 本品在苹果上每季最多使用3次，安全间隔期7天。</w:t>
            </w:r>
          </w:p>
        </w:tc>
      </w:tr>
      <w:tr w14:paraId="0783BD52">
        <w:tblPrEx>
          <w:tblCellMar>
            <w:top w:w="0" w:type="dxa"/>
            <w:left w:w="0" w:type="dxa"/>
            <w:bottom w:w="0" w:type="dxa"/>
            <w:right w:w="0" w:type="dxa"/>
          </w:tblCellMar>
        </w:tblPrEx>
        <w:trPr>
          <w:wBefore w:w="0" w:type="auto"/>
          <w:tblCellSpacing w:w="0" w:type="dxa"/>
        </w:trPr>
        <w:tc>
          <w:tcPr>
            <w:tcW w:w="0" w:type="auto"/>
            <w:noWrap w:val="0"/>
            <w:vAlign w:val="center"/>
          </w:tcPr>
          <w:p w14:paraId="63616FB2">
            <w:r>
              <w:rPr>
                <w:rStyle w:val="10"/>
                <w:rFonts w:hint="eastAsia"/>
              </w:rPr>
              <w:t>产品性能:</w:t>
            </w:r>
            <w:r>
              <w:rPr>
                <w:rFonts w:hint="eastAsia"/>
              </w:rPr>
              <w:br w:type="textWrapping"/>
            </w:r>
            <w:r>
              <w:rPr>
                <w:rStyle w:val="11"/>
                <w:rFonts w:hint="eastAsia"/>
              </w:rPr>
              <w:t>本产品是由三唑类杀菌剂戊菌唑和苯并咪唑类杀菌剂甲基硫菌灵复配而成的悬浮剂，两者作用机理不同，具有增效作用，并可以有效延缓病原菌抗药性的产生。本产品具有内吸性，可迅速地被植物吸收，在内部传导；并具有较好的保护和治疗活性。</w:t>
            </w:r>
          </w:p>
        </w:tc>
      </w:tr>
      <w:tr w14:paraId="2B537E96">
        <w:tblPrEx>
          <w:tblCellMar>
            <w:top w:w="0" w:type="dxa"/>
            <w:left w:w="0" w:type="dxa"/>
            <w:bottom w:w="0" w:type="dxa"/>
            <w:right w:w="0" w:type="dxa"/>
          </w:tblCellMar>
        </w:tblPrEx>
        <w:trPr>
          <w:wBefore w:w="0" w:type="auto"/>
          <w:tblCellSpacing w:w="0" w:type="dxa"/>
        </w:trPr>
        <w:tc>
          <w:tcPr>
            <w:tcW w:w="0" w:type="auto"/>
            <w:noWrap w:val="0"/>
            <w:vAlign w:val="center"/>
          </w:tcPr>
          <w:p w14:paraId="0BE89E20">
            <w:r>
              <w:rPr>
                <w:rStyle w:val="10"/>
                <w:rFonts w:hint="eastAsia"/>
              </w:rPr>
              <w:t>注意事项：</w:t>
            </w:r>
            <w:r>
              <w:rPr>
                <w:rFonts w:hint="eastAsia"/>
              </w:rPr>
              <w:br w:type="textWrapping"/>
            </w:r>
            <w:r>
              <w:rPr>
                <w:rStyle w:val="11"/>
                <w:rFonts w:hint="eastAsia"/>
              </w:rPr>
              <w:t>1. 请按照农药安全使用准则用药。施用人员需要采用机械压力喷枪进行施药，施药时穿长衣、长裤和鞋袜，并佩戴手套、眼镜、口罩等，施药时不能吃东西、喝水和吸烟等。工作结束后，应用肥皂、清水洗脸、手和裸露部位。鉴于本产品对眼睛有刺激性，施用人员务必做好眼部防护，避免意外伤害。2. 本品应避免与氧化剂接触。3. 操作本品时应禁止饮食、吸烟和饮水等。4. 用过的容器应妥善处理，不可做他用，也不可随意丢弃。所有施药器具，用后应立即用清水或适当的洗涤剂清洗。5. 建议与其他作用机制不同的杀菌剂轮换使用。6. 本品含三唑类杀菌剂，不可随意加大用量或扩大使用范围，以免抑制作物生长。7. 鸟类保护区附近禁用；瓢虫等捕食性天敌放飞区域禁止用；蚕室及桑园附近禁用。8. 远离水产养殖区、河塘等水体施药。禁止在河塘等水体中清洗施药器具。9. 禁止孕妇及哺乳期妇女接触本品。</w:t>
            </w:r>
          </w:p>
        </w:tc>
      </w:tr>
      <w:tr w14:paraId="469C36F5">
        <w:tblPrEx>
          <w:tblCellMar>
            <w:top w:w="0" w:type="dxa"/>
            <w:left w:w="0" w:type="dxa"/>
            <w:bottom w:w="0" w:type="dxa"/>
            <w:right w:w="0" w:type="dxa"/>
          </w:tblCellMar>
        </w:tblPrEx>
        <w:trPr>
          <w:wBefore w:w="0" w:type="auto"/>
          <w:tblCellSpacing w:w="0" w:type="dxa"/>
        </w:trPr>
        <w:tc>
          <w:tcPr>
            <w:tcW w:w="0" w:type="auto"/>
            <w:noWrap w:val="0"/>
            <w:vAlign w:val="center"/>
          </w:tcPr>
          <w:p w14:paraId="24598E7F">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不慎吸入，应将病人移至空气清新处；3.皮肤接触：应立即脱掉污染的衣物，尽快用肥皂水及清水冲洗15分钟以上，严重者，请就医；4.溅入眼睛，应立即翻开上下眼睑，用流动的自来水冲洗15分钟以上，如又不适感觉，请就医；5.误服，不要引吐，应立即携带标签，就医。6.无特效解毒剂，对症治疗。</w:t>
            </w:r>
          </w:p>
        </w:tc>
      </w:tr>
      <w:tr w14:paraId="0B8CCE50">
        <w:tblPrEx>
          <w:tblCellMar>
            <w:top w:w="0" w:type="dxa"/>
            <w:left w:w="0" w:type="dxa"/>
            <w:bottom w:w="0" w:type="dxa"/>
            <w:right w:w="0" w:type="dxa"/>
          </w:tblCellMar>
        </w:tblPrEx>
        <w:trPr>
          <w:wBefore w:w="0" w:type="auto"/>
          <w:tblCellSpacing w:w="0" w:type="dxa"/>
        </w:trPr>
        <w:tc>
          <w:tcPr>
            <w:tcW w:w="0" w:type="auto"/>
            <w:noWrap w:val="0"/>
            <w:vAlign w:val="center"/>
          </w:tcPr>
          <w:p w14:paraId="2151E44F">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本品应贮存在干燥、阴凉、通风处，远离火源或热源。置于儿童、无关人员触及不到之处，并加锁。勿与食品、饮料、饲料、粮食等同贮同运。</w:t>
            </w:r>
          </w:p>
        </w:tc>
      </w:tr>
      <w:tr w14:paraId="26CE0306">
        <w:tblPrEx>
          <w:tblCellMar>
            <w:top w:w="0" w:type="dxa"/>
            <w:left w:w="0" w:type="dxa"/>
            <w:bottom w:w="0" w:type="dxa"/>
            <w:right w:w="0" w:type="dxa"/>
          </w:tblCellMar>
        </w:tblPrEx>
        <w:trPr>
          <w:wBefore w:w="0" w:type="auto"/>
          <w:tblCellSpacing w:w="0" w:type="dxa"/>
        </w:trPr>
        <w:tc>
          <w:tcPr>
            <w:tcW w:w="0" w:type="auto"/>
            <w:noWrap w:val="0"/>
            <w:vAlign w:val="center"/>
          </w:tcPr>
          <w:p w14:paraId="49227B39">
            <w:r>
              <w:rPr>
                <w:rStyle w:val="10"/>
                <w:rFonts w:hint="eastAsia"/>
              </w:rPr>
              <w:t>质量保证期：</w:t>
            </w:r>
            <w:r>
              <w:rPr>
                <w:rStyle w:val="11"/>
                <w:rFonts w:hint="eastAsia"/>
              </w:rPr>
              <w:t>2年</w:t>
            </w:r>
          </w:p>
        </w:tc>
      </w:tr>
      <w:tr w14:paraId="78A82CDC">
        <w:tblPrEx>
          <w:tblCellMar>
            <w:top w:w="0" w:type="dxa"/>
            <w:left w:w="0" w:type="dxa"/>
            <w:bottom w:w="0" w:type="dxa"/>
            <w:right w:w="0" w:type="dxa"/>
          </w:tblCellMar>
        </w:tblPrEx>
        <w:trPr>
          <w:wBefore w:w="0" w:type="auto"/>
          <w:tblCellSpacing w:w="0" w:type="dxa"/>
        </w:trPr>
        <w:tc>
          <w:tcPr>
            <w:tcW w:w="0" w:type="auto"/>
            <w:noWrap w:val="0"/>
            <w:vAlign w:val="center"/>
          </w:tcPr>
          <w:p w14:paraId="07C17417">
            <w:r>
              <w:rPr>
                <w:rStyle w:val="10"/>
                <w:rFonts w:hint="eastAsia"/>
              </w:rPr>
              <w:t>备注：</w:t>
            </w:r>
          </w:p>
        </w:tc>
      </w:tr>
    </w:tbl>
    <w:p w14:paraId="0C4B882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93B26A">
        <w:tblPrEx>
          <w:tblCellMar>
            <w:top w:w="0" w:type="dxa"/>
            <w:left w:w="0" w:type="dxa"/>
            <w:bottom w:w="0" w:type="dxa"/>
            <w:right w:w="0" w:type="dxa"/>
          </w:tblCellMar>
        </w:tblPrEx>
        <w:trPr>
          <w:wBefore w:w="0" w:type="auto"/>
          <w:tblCellSpacing w:w="0" w:type="dxa"/>
        </w:trPr>
        <w:tc>
          <w:tcPr>
            <w:tcW w:w="0" w:type="auto"/>
            <w:noWrap w:val="0"/>
            <w:vAlign w:val="center"/>
          </w:tcPr>
          <w:p w14:paraId="665A0283">
            <w:r>
              <w:rPr>
                <w:rStyle w:val="10"/>
                <w:rFonts w:hint="eastAsia"/>
              </w:rPr>
              <w:t>登记证号：</w:t>
            </w:r>
            <w:r>
              <w:rPr>
                <w:rFonts w:hint="eastAsia"/>
              </w:rPr>
              <w:t>WP20210416</w:t>
            </w:r>
          </w:p>
        </w:tc>
      </w:tr>
      <w:tr w14:paraId="2111586F">
        <w:tblPrEx>
          <w:tblCellMar>
            <w:top w:w="0" w:type="dxa"/>
            <w:left w:w="0" w:type="dxa"/>
            <w:bottom w:w="0" w:type="dxa"/>
            <w:right w:w="0" w:type="dxa"/>
          </w:tblCellMar>
        </w:tblPrEx>
        <w:trPr>
          <w:wBefore w:w="0" w:type="auto"/>
          <w:tblCellSpacing w:w="0" w:type="dxa"/>
        </w:trPr>
        <w:tc>
          <w:tcPr>
            <w:tcW w:w="0" w:type="auto"/>
            <w:noWrap w:val="0"/>
            <w:vAlign w:val="center"/>
          </w:tcPr>
          <w:p w14:paraId="520AE281">
            <w:r>
              <w:rPr>
                <w:rStyle w:val="10"/>
                <w:rFonts w:hint="eastAsia"/>
              </w:rPr>
              <w:t>登记证持有人：</w:t>
            </w:r>
            <w:r>
              <w:rPr>
                <w:rFonts w:hint="eastAsia"/>
              </w:rPr>
              <w:t>广东省潮州市城西荣兴蚊香厂</w:t>
            </w:r>
          </w:p>
        </w:tc>
      </w:tr>
      <w:tr w14:paraId="58068BFA">
        <w:tblPrEx>
          <w:tblCellMar>
            <w:top w:w="0" w:type="dxa"/>
            <w:left w:w="0" w:type="dxa"/>
            <w:bottom w:w="0" w:type="dxa"/>
            <w:right w:w="0" w:type="dxa"/>
          </w:tblCellMar>
        </w:tblPrEx>
        <w:trPr>
          <w:wBefore w:w="0" w:type="auto"/>
          <w:tblCellSpacing w:w="0" w:type="dxa"/>
        </w:trPr>
        <w:tc>
          <w:tcPr>
            <w:tcW w:w="0" w:type="auto"/>
            <w:noWrap w:val="0"/>
            <w:vAlign w:val="center"/>
          </w:tcPr>
          <w:p w14:paraId="7BCF1959">
            <w:r>
              <w:rPr>
                <w:rStyle w:val="10"/>
                <w:rFonts w:hint="eastAsia"/>
              </w:rPr>
              <w:t>农药名称：</w:t>
            </w:r>
            <w:r>
              <w:rPr>
                <w:rFonts w:hint="eastAsia"/>
              </w:rPr>
              <w:t>电热蚊香液</w:t>
            </w:r>
          </w:p>
        </w:tc>
      </w:tr>
      <w:tr w14:paraId="6FFE7DC9">
        <w:tblPrEx>
          <w:tblCellMar>
            <w:top w:w="0" w:type="dxa"/>
            <w:left w:w="0" w:type="dxa"/>
            <w:bottom w:w="0" w:type="dxa"/>
            <w:right w:w="0" w:type="dxa"/>
          </w:tblCellMar>
        </w:tblPrEx>
        <w:trPr>
          <w:wBefore w:w="0" w:type="auto"/>
          <w:tblCellSpacing w:w="0" w:type="dxa"/>
        </w:trPr>
        <w:tc>
          <w:tcPr>
            <w:tcW w:w="0" w:type="auto"/>
            <w:noWrap w:val="0"/>
            <w:vAlign w:val="center"/>
          </w:tcPr>
          <w:p w14:paraId="466219BA">
            <w:r>
              <w:rPr>
                <w:rStyle w:val="10"/>
                <w:rFonts w:hint="eastAsia"/>
              </w:rPr>
              <w:t>剂型：</w:t>
            </w:r>
            <w:r>
              <w:rPr>
                <w:rFonts w:hint="eastAsia"/>
              </w:rPr>
              <w:t>电热香蚊液</w:t>
            </w:r>
          </w:p>
        </w:tc>
      </w:tr>
      <w:tr w14:paraId="3D92E1D3">
        <w:tblPrEx>
          <w:tblCellMar>
            <w:top w:w="0" w:type="dxa"/>
            <w:left w:w="0" w:type="dxa"/>
            <w:bottom w:w="0" w:type="dxa"/>
            <w:right w:w="0" w:type="dxa"/>
          </w:tblCellMar>
        </w:tblPrEx>
        <w:trPr>
          <w:wBefore w:w="0" w:type="auto"/>
          <w:tblCellSpacing w:w="0" w:type="dxa"/>
        </w:trPr>
        <w:tc>
          <w:tcPr>
            <w:tcW w:w="0" w:type="auto"/>
            <w:noWrap w:val="0"/>
            <w:vAlign w:val="center"/>
          </w:tcPr>
          <w:p w14:paraId="325B1593">
            <w:r>
              <w:rPr>
                <w:rStyle w:val="10"/>
                <w:rFonts w:hint="eastAsia"/>
              </w:rPr>
              <w:t>毒性及其标识：</w:t>
            </w:r>
            <w:r>
              <w:rPr>
                <w:rFonts w:hint="eastAsia"/>
              </w:rPr>
              <w:t xml:space="preserve"> </w:t>
            </w:r>
            <w:r>
              <w:rPr>
                <w:lang/>
              </w:rPr>
              <w:drawing>
                <wp:inline distT="0" distB="0" distL="114300" distR="114300">
                  <wp:extent cx="476250" cy="323850"/>
                  <wp:effectExtent l="0" t="0" r="0" b="0"/>
                  <wp:docPr id="148" name="图片 1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5C0E03">
        <w:tblPrEx>
          <w:tblCellMar>
            <w:top w:w="0" w:type="dxa"/>
            <w:left w:w="0" w:type="dxa"/>
            <w:bottom w:w="0" w:type="dxa"/>
            <w:right w:w="0" w:type="dxa"/>
          </w:tblCellMar>
        </w:tblPrEx>
        <w:trPr>
          <w:wBefore w:w="0" w:type="auto"/>
          <w:tblCellSpacing w:w="0" w:type="dxa"/>
        </w:trPr>
        <w:tc>
          <w:tcPr>
            <w:tcW w:w="0" w:type="auto"/>
            <w:noWrap w:val="0"/>
            <w:vAlign w:val="center"/>
          </w:tcPr>
          <w:p w14:paraId="3B5091A2">
            <w:r>
              <w:rPr>
                <w:rStyle w:val="10"/>
                <w:rFonts w:hint="eastAsia"/>
              </w:rPr>
              <w:t>总有效成分含量：</w:t>
            </w:r>
            <w:r>
              <w:rPr>
                <w:rFonts w:hint="eastAsia"/>
              </w:rPr>
              <w:t>0.8%</w:t>
            </w:r>
          </w:p>
        </w:tc>
      </w:tr>
      <w:tr w14:paraId="45811E50">
        <w:tblPrEx>
          <w:tblCellMar>
            <w:top w:w="0" w:type="dxa"/>
            <w:left w:w="0" w:type="dxa"/>
            <w:bottom w:w="0" w:type="dxa"/>
            <w:right w:w="0" w:type="dxa"/>
          </w:tblCellMar>
        </w:tblPrEx>
        <w:trPr>
          <w:wBefore w:w="0" w:type="auto"/>
          <w:tblCellSpacing w:w="0" w:type="dxa"/>
        </w:trPr>
        <w:tc>
          <w:tcPr>
            <w:tcW w:w="0" w:type="auto"/>
            <w:noWrap w:val="0"/>
            <w:vAlign w:val="center"/>
          </w:tcPr>
          <w:p w14:paraId="24372351">
            <w:r>
              <w:rPr>
                <w:rFonts w:hint="eastAsia"/>
              </w:rPr>
              <w:t xml:space="preserve">有效成分及其含量： </w:t>
            </w:r>
          </w:p>
          <w:p w14:paraId="7D831FD8">
            <w:r>
              <w:rPr>
                <w:rFonts w:hint="eastAsia"/>
              </w:rPr>
              <w:t xml:space="preserve">    氯氟醚菊酯0.8%    </w:t>
            </w:r>
          </w:p>
        </w:tc>
      </w:tr>
      <w:tr w14:paraId="093227EA">
        <w:tblPrEx>
          <w:tblCellMar>
            <w:top w:w="0" w:type="dxa"/>
            <w:left w:w="0" w:type="dxa"/>
            <w:bottom w:w="0" w:type="dxa"/>
            <w:right w:w="0" w:type="dxa"/>
          </w:tblCellMar>
        </w:tblPrEx>
        <w:trPr>
          <w:wBefore w:w="0" w:type="auto"/>
          <w:tblCellSpacing w:w="0" w:type="dxa"/>
        </w:trPr>
        <w:tc>
          <w:tcPr>
            <w:tcW w:w="0" w:type="auto"/>
            <w:noWrap w:val="0"/>
            <w:vAlign w:val="center"/>
          </w:tcPr>
          <w:p w14:paraId="21CF611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DA0D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7BAD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8830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A2B1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DCDC95">
                  <w:r>
                    <w:rPr>
                      <w:rStyle w:val="11"/>
                      <w:rFonts w:hint="eastAsia"/>
                    </w:rPr>
                    <w:t>施用方式</w:t>
                  </w:r>
                </w:p>
              </w:tc>
            </w:tr>
            <w:tr w14:paraId="2521B4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3C322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B606A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0AFA42">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947C59">
                  <w:r>
                    <w:rPr>
                      <w:rStyle w:val="11"/>
                      <w:rFonts w:hint="eastAsia"/>
                    </w:rPr>
                    <w:t>电热加温</w:t>
                  </w:r>
                </w:p>
              </w:tc>
            </w:tr>
          </w:tbl>
          <w:p w14:paraId="0A459C05">
            <w:pPr>
              <w:rPr>
                <w:rFonts w:ascii="Times New Roman" w:hAnsi="Times New Roman" w:cs="Times New Roman"/>
                <w:sz w:val="20"/>
                <w:szCs w:val="20"/>
              </w:rPr>
            </w:pPr>
          </w:p>
        </w:tc>
      </w:tr>
      <w:tr w14:paraId="4DAFCA6C">
        <w:tblPrEx>
          <w:tblCellMar>
            <w:top w:w="0" w:type="dxa"/>
            <w:left w:w="0" w:type="dxa"/>
            <w:bottom w:w="0" w:type="dxa"/>
            <w:right w:w="0" w:type="dxa"/>
          </w:tblCellMar>
        </w:tblPrEx>
        <w:trPr>
          <w:wBefore w:w="0" w:type="auto"/>
          <w:tblCellSpacing w:w="0" w:type="dxa"/>
        </w:trPr>
        <w:tc>
          <w:tcPr>
            <w:tcW w:w="0" w:type="auto"/>
            <w:noWrap w:val="0"/>
            <w:vAlign w:val="center"/>
          </w:tcPr>
          <w:p w14:paraId="02944011">
            <w:r>
              <w:rPr>
                <w:rStyle w:val="10"/>
                <w:rFonts w:hint="eastAsia"/>
              </w:rPr>
              <w:t>使用技术要求:</w:t>
            </w:r>
            <w:r>
              <w:rPr>
                <w:rFonts w:hint="eastAsia"/>
              </w:rPr>
              <w:br w:type="textWrapping"/>
            </w:r>
            <w:r>
              <w:rPr>
                <w:rStyle w:val="11"/>
                <w:rFonts w:hint="eastAsia"/>
              </w:rPr>
              <w:t>使用时药力散发均匀,可连续使用60天（每天8小时），无须每天添加或更换。 1、旋开电热蚊香液的瓶盖； 2、将蚊香液装入驱蚊器内； 3、将驱蚊器插上电源，指示灯亮即表示正常工作； 4、用毕切断电源；</w:t>
            </w:r>
          </w:p>
        </w:tc>
      </w:tr>
      <w:tr w14:paraId="57CBCA96">
        <w:tblPrEx>
          <w:tblCellMar>
            <w:top w:w="0" w:type="dxa"/>
            <w:left w:w="0" w:type="dxa"/>
            <w:bottom w:w="0" w:type="dxa"/>
            <w:right w:w="0" w:type="dxa"/>
          </w:tblCellMar>
        </w:tblPrEx>
        <w:trPr>
          <w:wBefore w:w="0" w:type="auto"/>
          <w:tblCellSpacing w:w="0" w:type="dxa"/>
        </w:trPr>
        <w:tc>
          <w:tcPr>
            <w:tcW w:w="0" w:type="auto"/>
            <w:noWrap w:val="0"/>
            <w:vAlign w:val="center"/>
          </w:tcPr>
          <w:p w14:paraId="368BBA5C">
            <w:r>
              <w:rPr>
                <w:rStyle w:val="10"/>
                <w:rFonts w:hint="eastAsia"/>
              </w:rPr>
              <w:t>产品性能:</w:t>
            </w:r>
            <w:r>
              <w:rPr>
                <w:rFonts w:hint="eastAsia"/>
              </w:rPr>
              <w:br w:type="textWrapping"/>
            </w:r>
            <w:r>
              <w:rPr>
                <w:rStyle w:val="11"/>
                <w:rFonts w:hint="eastAsia"/>
              </w:rPr>
              <w:t>本产品以拟除虫菊酯配制而成，能有效驱蚊，使用简便，为家居驱蚊的理想用品之一。</w:t>
            </w:r>
          </w:p>
        </w:tc>
      </w:tr>
      <w:tr w14:paraId="1E2799DE">
        <w:tblPrEx>
          <w:tblCellMar>
            <w:top w:w="0" w:type="dxa"/>
            <w:left w:w="0" w:type="dxa"/>
            <w:bottom w:w="0" w:type="dxa"/>
            <w:right w:w="0" w:type="dxa"/>
          </w:tblCellMar>
        </w:tblPrEx>
        <w:trPr>
          <w:wBefore w:w="0" w:type="auto"/>
          <w:tblCellSpacing w:w="0" w:type="dxa"/>
        </w:trPr>
        <w:tc>
          <w:tcPr>
            <w:tcW w:w="0" w:type="auto"/>
            <w:noWrap w:val="0"/>
            <w:vAlign w:val="center"/>
          </w:tcPr>
          <w:p w14:paraId="261E7B36">
            <w:r>
              <w:rPr>
                <w:rStyle w:val="10"/>
                <w:rFonts w:hint="eastAsia"/>
              </w:rPr>
              <w:t>注意事项：</w:t>
            </w:r>
            <w:r>
              <w:rPr>
                <w:rFonts w:hint="eastAsia"/>
              </w:rPr>
              <w:br w:type="textWrapping"/>
            </w:r>
            <w:r>
              <w:rPr>
                <w:rStyle w:val="11"/>
                <w:rFonts w:hint="eastAsia"/>
              </w:rPr>
              <w:t>仅用于室内。置于儿童接触不到的地方。使用时注意通风；注意用电及防火安全；本品对鱼、蚕有毒，蚕室及其附近禁用；用后洗手。过敏者禁用；使用中有任何不良反应请及时就医。</w:t>
            </w:r>
          </w:p>
        </w:tc>
      </w:tr>
      <w:tr w14:paraId="36FE395F">
        <w:tblPrEx>
          <w:tblCellMar>
            <w:top w:w="0" w:type="dxa"/>
            <w:left w:w="0" w:type="dxa"/>
            <w:bottom w:w="0" w:type="dxa"/>
            <w:right w:w="0" w:type="dxa"/>
          </w:tblCellMar>
        </w:tblPrEx>
        <w:trPr>
          <w:wBefore w:w="0" w:type="auto"/>
          <w:tblCellSpacing w:w="0" w:type="dxa"/>
        </w:trPr>
        <w:tc>
          <w:tcPr>
            <w:tcW w:w="0" w:type="auto"/>
            <w:noWrap w:val="0"/>
            <w:vAlign w:val="center"/>
          </w:tcPr>
          <w:p w14:paraId="60DBA959">
            <w:r>
              <w:rPr>
                <w:rStyle w:val="10"/>
                <w:rFonts w:hint="eastAsia"/>
              </w:rPr>
              <w:t>中毒急救措施：</w:t>
            </w:r>
            <w:r>
              <w:rPr>
                <w:rFonts w:hint="eastAsia"/>
              </w:rPr>
              <w:br w:type="textWrapping"/>
            </w:r>
            <w:r>
              <w:rPr>
                <w:rStyle w:val="11"/>
                <w:rFonts w:hint="eastAsia"/>
              </w:rPr>
              <w:t>中毒和急救措施，若有误服，则应立即携带标签将病人送医院诊治。不慎吸入，应将病人移至空气流通处。如接触药液或溅入眼睛后应即用清水冲洗15分钟以上。</w:t>
            </w:r>
          </w:p>
        </w:tc>
      </w:tr>
      <w:tr w14:paraId="2609C4B1">
        <w:tblPrEx>
          <w:tblCellMar>
            <w:top w:w="0" w:type="dxa"/>
            <w:left w:w="0" w:type="dxa"/>
            <w:bottom w:w="0" w:type="dxa"/>
            <w:right w:w="0" w:type="dxa"/>
          </w:tblCellMar>
        </w:tblPrEx>
        <w:trPr>
          <w:wBefore w:w="0" w:type="auto"/>
          <w:tblCellSpacing w:w="0" w:type="dxa"/>
        </w:trPr>
        <w:tc>
          <w:tcPr>
            <w:tcW w:w="0" w:type="auto"/>
            <w:noWrap w:val="0"/>
            <w:vAlign w:val="center"/>
          </w:tcPr>
          <w:p w14:paraId="18B821DF">
            <w:r>
              <w:rPr>
                <w:rStyle w:val="10"/>
                <w:rFonts w:hint="eastAsia"/>
              </w:rPr>
              <w:t>储存和运输方法：</w:t>
            </w:r>
            <w:r>
              <w:rPr>
                <w:rFonts w:hint="eastAsia"/>
              </w:rPr>
              <w:br w:type="textWrapping"/>
            </w:r>
            <w:r>
              <w:rPr>
                <w:rStyle w:val="11"/>
                <w:rFonts w:hint="eastAsia"/>
              </w:rPr>
              <w:t>1、置于儿童接触不到的阴凉干燥处，勿与食品、种子、饮料、饲料及易燃易爆品等同贮同运。2、搬运时要轻取轻放，防止剧烈震动、日晒、雨淋和重压。3、远离火源或热源。</w:t>
            </w:r>
          </w:p>
        </w:tc>
      </w:tr>
      <w:tr w14:paraId="51F16EA8">
        <w:tblPrEx>
          <w:tblCellMar>
            <w:top w:w="0" w:type="dxa"/>
            <w:left w:w="0" w:type="dxa"/>
            <w:bottom w:w="0" w:type="dxa"/>
            <w:right w:w="0" w:type="dxa"/>
          </w:tblCellMar>
        </w:tblPrEx>
        <w:trPr>
          <w:wBefore w:w="0" w:type="auto"/>
          <w:tblCellSpacing w:w="0" w:type="dxa"/>
        </w:trPr>
        <w:tc>
          <w:tcPr>
            <w:tcW w:w="0" w:type="auto"/>
            <w:noWrap w:val="0"/>
            <w:vAlign w:val="center"/>
          </w:tcPr>
          <w:p w14:paraId="6D900830">
            <w:r>
              <w:rPr>
                <w:rStyle w:val="10"/>
                <w:rFonts w:hint="eastAsia"/>
              </w:rPr>
              <w:t>质量保证期：</w:t>
            </w:r>
            <w:r>
              <w:rPr>
                <w:rStyle w:val="11"/>
                <w:rFonts w:hint="eastAsia"/>
              </w:rPr>
              <w:t>2年</w:t>
            </w:r>
          </w:p>
        </w:tc>
      </w:tr>
      <w:tr w14:paraId="53C745C6">
        <w:tblPrEx>
          <w:tblCellMar>
            <w:top w:w="0" w:type="dxa"/>
            <w:left w:w="0" w:type="dxa"/>
            <w:bottom w:w="0" w:type="dxa"/>
            <w:right w:w="0" w:type="dxa"/>
          </w:tblCellMar>
        </w:tblPrEx>
        <w:trPr>
          <w:wBefore w:w="0" w:type="auto"/>
          <w:tblCellSpacing w:w="0" w:type="dxa"/>
        </w:trPr>
        <w:tc>
          <w:tcPr>
            <w:tcW w:w="0" w:type="auto"/>
            <w:noWrap w:val="0"/>
            <w:vAlign w:val="center"/>
          </w:tcPr>
          <w:p w14:paraId="17F931E6">
            <w:r>
              <w:rPr>
                <w:rStyle w:val="10"/>
                <w:rFonts w:hint="eastAsia"/>
              </w:rPr>
              <w:t>备注：</w:t>
            </w:r>
          </w:p>
        </w:tc>
      </w:tr>
    </w:tbl>
    <w:p w14:paraId="6D8A90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FFF9B7">
        <w:tblPrEx>
          <w:tblCellMar>
            <w:top w:w="0" w:type="dxa"/>
            <w:left w:w="0" w:type="dxa"/>
            <w:bottom w:w="0" w:type="dxa"/>
            <w:right w:w="0" w:type="dxa"/>
          </w:tblCellMar>
        </w:tblPrEx>
        <w:trPr>
          <w:wBefore w:w="0" w:type="auto"/>
          <w:tblCellSpacing w:w="0" w:type="dxa"/>
        </w:trPr>
        <w:tc>
          <w:tcPr>
            <w:tcW w:w="0" w:type="auto"/>
            <w:noWrap w:val="0"/>
            <w:vAlign w:val="center"/>
          </w:tcPr>
          <w:p w14:paraId="06CF2CD1">
            <w:r>
              <w:rPr>
                <w:rStyle w:val="10"/>
                <w:rFonts w:hint="eastAsia"/>
              </w:rPr>
              <w:t>登记证号：</w:t>
            </w:r>
            <w:r>
              <w:rPr>
                <w:rFonts w:hint="eastAsia"/>
              </w:rPr>
              <w:t>PD20212681</w:t>
            </w:r>
          </w:p>
        </w:tc>
      </w:tr>
      <w:tr w14:paraId="5AA5AA1A">
        <w:tblPrEx>
          <w:tblCellMar>
            <w:top w:w="0" w:type="dxa"/>
            <w:left w:w="0" w:type="dxa"/>
            <w:bottom w:w="0" w:type="dxa"/>
            <w:right w:w="0" w:type="dxa"/>
          </w:tblCellMar>
        </w:tblPrEx>
        <w:trPr>
          <w:wBefore w:w="0" w:type="auto"/>
          <w:tblCellSpacing w:w="0" w:type="dxa"/>
        </w:trPr>
        <w:tc>
          <w:tcPr>
            <w:tcW w:w="0" w:type="auto"/>
            <w:noWrap w:val="0"/>
            <w:vAlign w:val="center"/>
          </w:tcPr>
          <w:p w14:paraId="79D61534">
            <w:r>
              <w:rPr>
                <w:rStyle w:val="10"/>
                <w:rFonts w:hint="eastAsia"/>
              </w:rPr>
              <w:t>登记证持有人：</w:t>
            </w:r>
            <w:r>
              <w:rPr>
                <w:rFonts w:hint="eastAsia"/>
              </w:rPr>
              <w:t>江西劲农作物保护有限公司</w:t>
            </w:r>
          </w:p>
        </w:tc>
      </w:tr>
      <w:tr w14:paraId="622BCA0B">
        <w:tblPrEx>
          <w:tblCellMar>
            <w:top w:w="0" w:type="dxa"/>
            <w:left w:w="0" w:type="dxa"/>
            <w:bottom w:w="0" w:type="dxa"/>
            <w:right w:w="0" w:type="dxa"/>
          </w:tblCellMar>
        </w:tblPrEx>
        <w:trPr>
          <w:wBefore w:w="0" w:type="auto"/>
          <w:tblCellSpacing w:w="0" w:type="dxa"/>
        </w:trPr>
        <w:tc>
          <w:tcPr>
            <w:tcW w:w="0" w:type="auto"/>
            <w:noWrap w:val="0"/>
            <w:vAlign w:val="center"/>
          </w:tcPr>
          <w:p w14:paraId="2C27DB8D">
            <w:r>
              <w:rPr>
                <w:rStyle w:val="10"/>
                <w:rFonts w:hint="eastAsia"/>
              </w:rPr>
              <w:t>农药名称：</w:t>
            </w:r>
            <w:r>
              <w:rPr>
                <w:rFonts w:hint="eastAsia"/>
              </w:rPr>
              <w:t>异菌脲</w:t>
            </w:r>
          </w:p>
        </w:tc>
      </w:tr>
      <w:tr w14:paraId="382490F9">
        <w:tblPrEx>
          <w:tblCellMar>
            <w:top w:w="0" w:type="dxa"/>
            <w:left w:w="0" w:type="dxa"/>
            <w:bottom w:w="0" w:type="dxa"/>
            <w:right w:w="0" w:type="dxa"/>
          </w:tblCellMar>
        </w:tblPrEx>
        <w:trPr>
          <w:wBefore w:w="0" w:type="auto"/>
          <w:tblCellSpacing w:w="0" w:type="dxa"/>
        </w:trPr>
        <w:tc>
          <w:tcPr>
            <w:tcW w:w="0" w:type="auto"/>
            <w:noWrap w:val="0"/>
            <w:vAlign w:val="center"/>
          </w:tcPr>
          <w:p w14:paraId="23A64F02">
            <w:r>
              <w:rPr>
                <w:rStyle w:val="10"/>
                <w:rFonts w:hint="eastAsia"/>
              </w:rPr>
              <w:t>剂型：</w:t>
            </w:r>
            <w:r>
              <w:rPr>
                <w:rFonts w:hint="eastAsia"/>
              </w:rPr>
              <w:t>悬浮剂</w:t>
            </w:r>
          </w:p>
        </w:tc>
      </w:tr>
      <w:tr w14:paraId="0D35BE4E">
        <w:tblPrEx>
          <w:tblCellMar>
            <w:top w:w="0" w:type="dxa"/>
            <w:left w:w="0" w:type="dxa"/>
            <w:bottom w:w="0" w:type="dxa"/>
            <w:right w:w="0" w:type="dxa"/>
          </w:tblCellMar>
        </w:tblPrEx>
        <w:trPr>
          <w:wBefore w:w="0" w:type="auto"/>
          <w:tblCellSpacing w:w="0" w:type="dxa"/>
        </w:trPr>
        <w:tc>
          <w:tcPr>
            <w:tcW w:w="0" w:type="auto"/>
            <w:noWrap w:val="0"/>
            <w:vAlign w:val="center"/>
          </w:tcPr>
          <w:p w14:paraId="2E6A4EF9">
            <w:r>
              <w:rPr>
                <w:rStyle w:val="10"/>
                <w:rFonts w:hint="eastAsia"/>
              </w:rPr>
              <w:t>毒性及其标识：</w:t>
            </w:r>
            <w:r>
              <w:rPr>
                <w:rFonts w:hint="eastAsia"/>
              </w:rPr>
              <w:t xml:space="preserve"> 微毒 </w:t>
            </w:r>
          </w:p>
        </w:tc>
      </w:tr>
      <w:tr w14:paraId="77B6895B">
        <w:tblPrEx>
          <w:tblCellMar>
            <w:top w:w="0" w:type="dxa"/>
            <w:left w:w="0" w:type="dxa"/>
            <w:bottom w:w="0" w:type="dxa"/>
            <w:right w:w="0" w:type="dxa"/>
          </w:tblCellMar>
        </w:tblPrEx>
        <w:trPr>
          <w:wBefore w:w="0" w:type="auto"/>
          <w:tblCellSpacing w:w="0" w:type="dxa"/>
        </w:trPr>
        <w:tc>
          <w:tcPr>
            <w:tcW w:w="0" w:type="auto"/>
            <w:noWrap w:val="0"/>
            <w:vAlign w:val="center"/>
          </w:tcPr>
          <w:p w14:paraId="1ACCD16F">
            <w:r>
              <w:rPr>
                <w:rStyle w:val="10"/>
                <w:rFonts w:hint="eastAsia"/>
              </w:rPr>
              <w:t>总有效成分含量：</w:t>
            </w:r>
            <w:r>
              <w:rPr>
                <w:rFonts w:hint="eastAsia"/>
              </w:rPr>
              <w:t>45%</w:t>
            </w:r>
          </w:p>
        </w:tc>
      </w:tr>
      <w:tr w14:paraId="470AE48C">
        <w:tblPrEx>
          <w:tblCellMar>
            <w:top w:w="0" w:type="dxa"/>
            <w:left w:w="0" w:type="dxa"/>
            <w:bottom w:w="0" w:type="dxa"/>
            <w:right w:w="0" w:type="dxa"/>
          </w:tblCellMar>
        </w:tblPrEx>
        <w:trPr>
          <w:wBefore w:w="0" w:type="auto"/>
          <w:tblCellSpacing w:w="0" w:type="dxa"/>
        </w:trPr>
        <w:tc>
          <w:tcPr>
            <w:tcW w:w="0" w:type="auto"/>
            <w:noWrap w:val="0"/>
            <w:vAlign w:val="center"/>
          </w:tcPr>
          <w:p w14:paraId="553BF796">
            <w:r>
              <w:rPr>
                <w:rFonts w:hint="eastAsia"/>
              </w:rPr>
              <w:t xml:space="preserve">有效成分及其含量： </w:t>
            </w:r>
          </w:p>
          <w:p w14:paraId="792331C4">
            <w:r>
              <w:rPr>
                <w:rFonts w:hint="eastAsia"/>
              </w:rPr>
              <w:t xml:space="preserve">    异菌脲45%    </w:t>
            </w:r>
          </w:p>
        </w:tc>
      </w:tr>
      <w:tr w14:paraId="3367BDEF">
        <w:tblPrEx>
          <w:tblCellMar>
            <w:top w:w="0" w:type="dxa"/>
            <w:left w:w="0" w:type="dxa"/>
            <w:bottom w:w="0" w:type="dxa"/>
            <w:right w:w="0" w:type="dxa"/>
          </w:tblCellMar>
        </w:tblPrEx>
        <w:trPr>
          <w:wBefore w:w="0" w:type="auto"/>
          <w:tblCellSpacing w:w="0" w:type="dxa"/>
        </w:trPr>
        <w:tc>
          <w:tcPr>
            <w:tcW w:w="0" w:type="auto"/>
            <w:noWrap w:val="0"/>
            <w:vAlign w:val="center"/>
          </w:tcPr>
          <w:p w14:paraId="562D78A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7A5D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5E169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85B7E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4B444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9BEC5B">
                  <w:r>
                    <w:rPr>
                      <w:rStyle w:val="11"/>
                      <w:rFonts w:hint="eastAsia"/>
                    </w:rPr>
                    <w:t>施用方式</w:t>
                  </w:r>
                </w:p>
              </w:tc>
            </w:tr>
            <w:tr w14:paraId="32C723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DA3F0A">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680274">
                  <w:r>
                    <w:rPr>
                      <w:rStyle w:val="11"/>
                      <w:rFonts w:hint="eastAsia"/>
                    </w:rPr>
                    <w:t>赤星病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90C811">
                  <w:r>
                    <w:rPr>
                      <w:rStyle w:val="11"/>
                      <w:rFonts w:hint="eastAsia"/>
                    </w:rPr>
                    <w:t>100-110毫升/亩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27CB42">
                  <w:r>
                    <w:rPr>
                      <w:rStyle w:val="11"/>
                      <w:rFonts w:hint="eastAsia"/>
                    </w:rPr>
                    <w:t>喷雾</w:t>
                  </w:r>
                </w:p>
              </w:tc>
            </w:tr>
          </w:tbl>
          <w:p w14:paraId="1AF40BB9">
            <w:pPr>
              <w:rPr>
                <w:rFonts w:ascii="Times New Roman" w:hAnsi="Times New Roman" w:cs="Times New Roman"/>
                <w:sz w:val="20"/>
                <w:szCs w:val="20"/>
              </w:rPr>
            </w:pPr>
          </w:p>
        </w:tc>
      </w:tr>
      <w:tr w14:paraId="06F0E31A">
        <w:tblPrEx>
          <w:tblCellMar>
            <w:top w:w="0" w:type="dxa"/>
            <w:left w:w="0" w:type="dxa"/>
            <w:bottom w:w="0" w:type="dxa"/>
            <w:right w:w="0" w:type="dxa"/>
          </w:tblCellMar>
        </w:tblPrEx>
        <w:trPr>
          <w:wBefore w:w="0" w:type="auto"/>
          <w:tblCellSpacing w:w="0" w:type="dxa"/>
        </w:trPr>
        <w:tc>
          <w:tcPr>
            <w:tcW w:w="0" w:type="auto"/>
            <w:noWrap w:val="0"/>
            <w:vAlign w:val="center"/>
          </w:tcPr>
          <w:p w14:paraId="459DFA7A">
            <w:r>
              <w:rPr>
                <w:rStyle w:val="10"/>
                <w:rFonts w:hint="eastAsia"/>
              </w:rPr>
              <w:t>使用技术要求:</w:t>
            </w:r>
            <w:r>
              <w:rPr>
                <w:rFonts w:hint="eastAsia"/>
              </w:rPr>
              <w:br w:type="textWrapping"/>
            </w:r>
            <w:r>
              <w:rPr>
                <w:rStyle w:val="11"/>
                <w:rFonts w:hint="eastAsia"/>
              </w:rPr>
              <w:t>1、于烟草发病初期施药，每隔7-10天1次，连喷2-3次。 2、大风天或预计1小时内降雨，请勿施药。3、 在烟草上使用每季最多施药3次，安全间隔期21天。</w:t>
            </w:r>
          </w:p>
        </w:tc>
      </w:tr>
      <w:tr w14:paraId="75437E04">
        <w:tblPrEx>
          <w:tblCellMar>
            <w:top w:w="0" w:type="dxa"/>
            <w:left w:w="0" w:type="dxa"/>
            <w:bottom w:w="0" w:type="dxa"/>
            <w:right w:w="0" w:type="dxa"/>
          </w:tblCellMar>
        </w:tblPrEx>
        <w:trPr>
          <w:wBefore w:w="0" w:type="auto"/>
          <w:tblCellSpacing w:w="0" w:type="dxa"/>
        </w:trPr>
        <w:tc>
          <w:tcPr>
            <w:tcW w:w="0" w:type="auto"/>
            <w:noWrap w:val="0"/>
            <w:vAlign w:val="center"/>
          </w:tcPr>
          <w:p w14:paraId="20E48B55">
            <w:r>
              <w:rPr>
                <w:rStyle w:val="10"/>
                <w:rFonts w:hint="eastAsia"/>
              </w:rPr>
              <w:t>产品性能:</w:t>
            </w:r>
            <w:r>
              <w:rPr>
                <w:rFonts w:hint="eastAsia"/>
              </w:rPr>
              <w:br w:type="textWrapping"/>
            </w:r>
            <w:r>
              <w:rPr>
                <w:rStyle w:val="11"/>
                <w:rFonts w:hint="eastAsia"/>
              </w:rPr>
              <w:t xml:space="preserve">本品是一种触杀保护杀菌剂，但也具有一定的治疗作用，它可抑制真菌孢子的萌发及产生，也可控制菌丝体的生长，对烟草赤星病、立枯病有防治效果。 </w:t>
            </w:r>
          </w:p>
        </w:tc>
      </w:tr>
      <w:tr w14:paraId="103229B9">
        <w:tblPrEx>
          <w:tblCellMar>
            <w:top w:w="0" w:type="dxa"/>
            <w:left w:w="0" w:type="dxa"/>
            <w:bottom w:w="0" w:type="dxa"/>
            <w:right w:w="0" w:type="dxa"/>
          </w:tblCellMar>
        </w:tblPrEx>
        <w:trPr>
          <w:wBefore w:w="0" w:type="auto"/>
          <w:tblCellSpacing w:w="0" w:type="dxa"/>
        </w:trPr>
        <w:tc>
          <w:tcPr>
            <w:tcW w:w="0" w:type="auto"/>
            <w:noWrap w:val="0"/>
            <w:vAlign w:val="center"/>
          </w:tcPr>
          <w:p w14:paraId="32FFBA2D">
            <w:r>
              <w:rPr>
                <w:rStyle w:val="10"/>
                <w:rFonts w:hint="eastAsia"/>
              </w:rPr>
              <w:t>注意事项：</w:t>
            </w:r>
            <w:r>
              <w:rPr>
                <w:rFonts w:hint="eastAsia"/>
              </w:rPr>
              <w:br w:type="textWrapping"/>
            </w:r>
            <w:r>
              <w:rPr>
                <w:rStyle w:val="11"/>
                <w:rFonts w:hint="eastAsia"/>
              </w:rPr>
              <w:t>1、开启包装配药和施药时，应穿防护服、戴口罩或防毒面具以及胶皮手套。以避免污染皮肤和眼睛，此时不能吸烟、饮水等；施药完毕后应及时换洗衣物，洗净手、脸和被污染的皮肤。2、 不能与强酸性或强碱性的药剂混用。3、 本品对鱼有毒，应远离水产养殖区施药，禁止在河塘等水体中清洗施药器具。蚕室及桑园附近禁用。4 、施药人员应佩戴防微粒口罩、穿用防护服、防护胶靴、手套等防护用品。药械使用后要洗干净。5、孕妇及哺乳期妇女禁止接触本品。</w:t>
            </w:r>
          </w:p>
        </w:tc>
      </w:tr>
      <w:tr w14:paraId="5F228559">
        <w:tblPrEx>
          <w:tblCellMar>
            <w:top w:w="0" w:type="dxa"/>
            <w:left w:w="0" w:type="dxa"/>
            <w:bottom w:w="0" w:type="dxa"/>
            <w:right w:w="0" w:type="dxa"/>
          </w:tblCellMar>
        </w:tblPrEx>
        <w:trPr>
          <w:wBefore w:w="0" w:type="auto"/>
          <w:tblCellSpacing w:w="0" w:type="dxa"/>
        </w:trPr>
        <w:tc>
          <w:tcPr>
            <w:tcW w:w="0" w:type="auto"/>
            <w:noWrap w:val="0"/>
            <w:vAlign w:val="center"/>
          </w:tcPr>
          <w:p w14:paraId="5829267A">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如药液溅到皮肤，应用肥皂和足量清水冲洗至少15分钟；如药液溅到眼内，应用足量清水冲洗；若误食中毒，应立即灌服大量清水催吐并携标签送医院对症治疗。 </w:t>
            </w:r>
          </w:p>
        </w:tc>
      </w:tr>
      <w:tr w14:paraId="57F61D51">
        <w:tblPrEx>
          <w:tblCellMar>
            <w:top w:w="0" w:type="dxa"/>
            <w:left w:w="0" w:type="dxa"/>
            <w:bottom w:w="0" w:type="dxa"/>
            <w:right w:w="0" w:type="dxa"/>
          </w:tblCellMar>
        </w:tblPrEx>
        <w:trPr>
          <w:wBefore w:w="0" w:type="auto"/>
          <w:tblCellSpacing w:w="0" w:type="dxa"/>
        </w:trPr>
        <w:tc>
          <w:tcPr>
            <w:tcW w:w="0" w:type="auto"/>
            <w:noWrap w:val="0"/>
            <w:vAlign w:val="center"/>
          </w:tcPr>
          <w:p w14:paraId="498F8029">
            <w:r>
              <w:rPr>
                <w:rStyle w:val="10"/>
                <w:rFonts w:hint="eastAsia"/>
              </w:rPr>
              <w:t>储存和运输方法：</w:t>
            </w:r>
            <w:r>
              <w:rPr>
                <w:rFonts w:hint="eastAsia"/>
              </w:rPr>
              <w:br w:type="textWrapping"/>
            </w:r>
            <w:r>
              <w:rPr>
                <w:rStyle w:val="11"/>
                <w:rFonts w:hint="eastAsia"/>
              </w:rPr>
              <w:t>1、 本品应置于儿童触及不到之处，并加锁。2、 本品应贮存在干燥、阴凉、通风良好的库房内。3、 农药包装箱装入运输工具应在货舱内固定，确保不发生移动、不发生相互碰撞损伤。4、 勿与食品、饮料、饲料等其他商品同贮同运。</w:t>
            </w:r>
          </w:p>
        </w:tc>
      </w:tr>
      <w:tr w14:paraId="07E8FE3D">
        <w:tblPrEx>
          <w:tblCellMar>
            <w:top w:w="0" w:type="dxa"/>
            <w:left w:w="0" w:type="dxa"/>
            <w:bottom w:w="0" w:type="dxa"/>
            <w:right w:w="0" w:type="dxa"/>
          </w:tblCellMar>
        </w:tblPrEx>
        <w:trPr>
          <w:wBefore w:w="0" w:type="auto"/>
          <w:tblCellSpacing w:w="0" w:type="dxa"/>
        </w:trPr>
        <w:tc>
          <w:tcPr>
            <w:tcW w:w="0" w:type="auto"/>
            <w:noWrap w:val="0"/>
            <w:vAlign w:val="center"/>
          </w:tcPr>
          <w:p w14:paraId="44D68EFE">
            <w:r>
              <w:rPr>
                <w:rStyle w:val="10"/>
                <w:rFonts w:hint="eastAsia"/>
              </w:rPr>
              <w:t>质量保证期：</w:t>
            </w:r>
            <w:r>
              <w:rPr>
                <w:rStyle w:val="11"/>
                <w:rFonts w:hint="eastAsia"/>
              </w:rPr>
              <w:t>2年</w:t>
            </w:r>
          </w:p>
        </w:tc>
      </w:tr>
      <w:tr w14:paraId="13BD28DE">
        <w:tblPrEx>
          <w:tblCellMar>
            <w:top w:w="0" w:type="dxa"/>
            <w:left w:w="0" w:type="dxa"/>
            <w:bottom w:w="0" w:type="dxa"/>
            <w:right w:w="0" w:type="dxa"/>
          </w:tblCellMar>
        </w:tblPrEx>
        <w:trPr>
          <w:wBefore w:w="0" w:type="auto"/>
          <w:tblCellSpacing w:w="0" w:type="dxa"/>
        </w:trPr>
        <w:tc>
          <w:tcPr>
            <w:tcW w:w="0" w:type="auto"/>
            <w:noWrap w:val="0"/>
            <w:vAlign w:val="center"/>
          </w:tcPr>
          <w:p w14:paraId="42495599">
            <w:r>
              <w:rPr>
                <w:rStyle w:val="10"/>
                <w:rFonts w:hint="eastAsia"/>
              </w:rPr>
              <w:t>备注：</w:t>
            </w:r>
          </w:p>
        </w:tc>
      </w:tr>
    </w:tbl>
    <w:p w14:paraId="4FEC88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16F468">
        <w:tblPrEx>
          <w:tblCellMar>
            <w:top w:w="0" w:type="dxa"/>
            <w:left w:w="0" w:type="dxa"/>
            <w:bottom w:w="0" w:type="dxa"/>
            <w:right w:w="0" w:type="dxa"/>
          </w:tblCellMar>
        </w:tblPrEx>
        <w:trPr>
          <w:wBefore w:w="0" w:type="auto"/>
          <w:tblCellSpacing w:w="0" w:type="dxa"/>
        </w:trPr>
        <w:tc>
          <w:tcPr>
            <w:tcW w:w="0" w:type="auto"/>
            <w:noWrap w:val="0"/>
            <w:vAlign w:val="center"/>
          </w:tcPr>
          <w:p w14:paraId="222F5BF3">
            <w:r>
              <w:rPr>
                <w:rStyle w:val="10"/>
                <w:rFonts w:hint="eastAsia"/>
              </w:rPr>
              <w:t>登记证号：</w:t>
            </w:r>
            <w:r>
              <w:rPr>
                <w:rFonts w:hint="eastAsia"/>
              </w:rPr>
              <w:t>PD20212446</w:t>
            </w:r>
          </w:p>
        </w:tc>
      </w:tr>
      <w:tr w14:paraId="6230E695">
        <w:tblPrEx>
          <w:tblCellMar>
            <w:top w:w="0" w:type="dxa"/>
            <w:left w:w="0" w:type="dxa"/>
            <w:bottom w:w="0" w:type="dxa"/>
            <w:right w:w="0" w:type="dxa"/>
          </w:tblCellMar>
        </w:tblPrEx>
        <w:trPr>
          <w:wBefore w:w="0" w:type="auto"/>
          <w:tblCellSpacing w:w="0" w:type="dxa"/>
        </w:trPr>
        <w:tc>
          <w:tcPr>
            <w:tcW w:w="0" w:type="auto"/>
            <w:noWrap w:val="0"/>
            <w:vAlign w:val="center"/>
          </w:tcPr>
          <w:p w14:paraId="0837EAB9">
            <w:r>
              <w:rPr>
                <w:rStyle w:val="10"/>
                <w:rFonts w:hint="eastAsia"/>
              </w:rPr>
              <w:t>登记证持有人：</w:t>
            </w:r>
            <w:r>
              <w:rPr>
                <w:rFonts w:hint="eastAsia"/>
              </w:rPr>
              <w:t>河南省孟州市华丰生化农药有限公司</w:t>
            </w:r>
          </w:p>
        </w:tc>
      </w:tr>
      <w:tr w14:paraId="61DAB865">
        <w:tblPrEx>
          <w:tblCellMar>
            <w:top w:w="0" w:type="dxa"/>
            <w:left w:w="0" w:type="dxa"/>
            <w:bottom w:w="0" w:type="dxa"/>
            <w:right w:w="0" w:type="dxa"/>
          </w:tblCellMar>
        </w:tblPrEx>
        <w:trPr>
          <w:wBefore w:w="0" w:type="auto"/>
          <w:tblCellSpacing w:w="0" w:type="dxa"/>
        </w:trPr>
        <w:tc>
          <w:tcPr>
            <w:tcW w:w="0" w:type="auto"/>
            <w:noWrap w:val="0"/>
            <w:vAlign w:val="center"/>
          </w:tcPr>
          <w:p w14:paraId="43CEBF68">
            <w:r>
              <w:rPr>
                <w:rStyle w:val="10"/>
                <w:rFonts w:hint="eastAsia"/>
              </w:rPr>
              <w:t>农药名称：</w:t>
            </w:r>
            <w:r>
              <w:rPr>
                <w:rFonts w:hint="eastAsia"/>
              </w:rPr>
              <w:t>噻虫嗪</w:t>
            </w:r>
          </w:p>
        </w:tc>
      </w:tr>
      <w:tr w14:paraId="1FBB1B0B">
        <w:tblPrEx>
          <w:tblCellMar>
            <w:top w:w="0" w:type="dxa"/>
            <w:left w:w="0" w:type="dxa"/>
            <w:bottom w:w="0" w:type="dxa"/>
            <w:right w:w="0" w:type="dxa"/>
          </w:tblCellMar>
        </w:tblPrEx>
        <w:trPr>
          <w:wBefore w:w="0" w:type="auto"/>
          <w:tblCellSpacing w:w="0" w:type="dxa"/>
        </w:trPr>
        <w:tc>
          <w:tcPr>
            <w:tcW w:w="0" w:type="auto"/>
            <w:noWrap w:val="0"/>
            <w:vAlign w:val="center"/>
          </w:tcPr>
          <w:p w14:paraId="30773885">
            <w:r>
              <w:rPr>
                <w:rStyle w:val="10"/>
                <w:rFonts w:hint="eastAsia"/>
              </w:rPr>
              <w:t>剂型：</w:t>
            </w:r>
            <w:r>
              <w:rPr>
                <w:rFonts w:hint="eastAsia"/>
              </w:rPr>
              <w:t>颗粒剂</w:t>
            </w:r>
          </w:p>
        </w:tc>
      </w:tr>
      <w:tr w14:paraId="57093E0F">
        <w:tblPrEx>
          <w:tblCellMar>
            <w:top w:w="0" w:type="dxa"/>
            <w:left w:w="0" w:type="dxa"/>
            <w:bottom w:w="0" w:type="dxa"/>
            <w:right w:w="0" w:type="dxa"/>
          </w:tblCellMar>
        </w:tblPrEx>
        <w:trPr>
          <w:wBefore w:w="0" w:type="auto"/>
          <w:tblCellSpacing w:w="0" w:type="dxa"/>
        </w:trPr>
        <w:tc>
          <w:tcPr>
            <w:tcW w:w="0" w:type="auto"/>
            <w:noWrap w:val="0"/>
            <w:vAlign w:val="center"/>
          </w:tcPr>
          <w:p w14:paraId="4F3EC075">
            <w:r>
              <w:rPr>
                <w:rStyle w:val="10"/>
                <w:rFonts w:hint="eastAsia"/>
              </w:rPr>
              <w:t>毒性及其标识：</w:t>
            </w:r>
            <w:r>
              <w:rPr>
                <w:rFonts w:hint="eastAsia"/>
              </w:rPr>
              <w:t xml:space="preserve"> </w:t>
            </w:r>
            <w:r>
              <w:rPr>
                <w:lang/>
              </w:rPr>
              <w:drawing>
                <wp:inline distT="0" distB="0" distL="114300" distR="114300">
                  <wp:extent cx="476250" cy="323850"/>
                  <wp:effectExtent l="0" t="0" r="0" b="0"/>
                  <wp:docPr id="149" name="图片 1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37F96A">
        <w:tblPrEx>
          <w:tblCellMar>
            <w:top w:w="0" w:type="dxa"/>
            <w:left w:w="0" w:type="dxa"/>
            <w:bottom w:w="0" w:type="dxa"/>
            <w:right w:w="0" w:type="dxa"/>
          </w:tblCellMar>
        </w:tblPrEx>
        <w:trPr>
          <w:wBefore w:w="0" w:type="auto"/>
          <w:tblCellSpacing w:w="0" w:type="dxa"/>
        </w:trPr>
        <w:tc>
          <w:tcPr>
            <w:tcW w:w="0" w:type="auto"/>
            <w:noWrap w:val="0"/>
            <w:vAlign w:val="center"/>
          </w:tcPr>
          <w:p w14:paraId="2471C7A7">
            <w:r>
              <w:rPr>
                <w:rStyle w:val="10"/>
                <w:rFonts w:hint="eastAsia"/>
              </w:rPr>
              <w:t>总有效成分含量：</w:t>
            </w:r>
            <w:r>
              <w:rPr>
                <w:rFonts w:hint="eastAsia"/>
              </w:rPr>
              <w:t>0.12%</w:t>
            </w:r>
          </w:p>
        </w:tc>
      </w:tr>
      <w:tr w14:paraId="337BDCE4">
        <w:tblPrEx>
          <w:tblCellMar>
            <w:top w:w="0" w:type="dxa"/>
            <w:left w:w="0" w:type="dxa"/>
            <w:bottom w:w="0" w:type="dxa"/>
            <w:right w:w="0" w:type="dxa"/>
          </w:tblCellMar>
        </w:tblPrEx>
        <w:trPr>
          <w:wBefore w:w="0" w:type="auto"/>
          <w:tblCellSpacing w:w="0" w:type="dxa"/>
        </w:trPr>
        <w:tc>
          <w:tcPr>
            <w:tcW w:w="0" w:type="auto"/>
            <w:noWrap w:val="0"/>
            <w:vAlign w:val="center"/>
          </w:tcPr>
          <w:p w14:paraId="5DF0B9C5">
            <w:r>
              <w:rPr>
                <w:rFonts w:hint="eastAsia"/>
              </w:rPr>
              <w:t xml:space="preserve">有效成分及其含量： </w:t>
            </w:r>
          </w:p>
          <w:p w14:paraId="5A4602DD">
            <w:r>
              <w:rPr>
                <w:rFonts w:hint="eastAsia"/>
              </w:rPr>
              <w:t xml:space="preserve">    噻虫嗪0.12%    </w:t>
            </w:r>
          </w:p>
        </w:tc>
      </w:tr>
      <w:tr w14:paraId="218D9E71">
        <w:tblPrEx>
          <w:tblCellMar>
            <w:top w:w="0" w:type="dxa"/>
            <w:left w:w="0" w:type="dxa"/>
            <w:bottom w:w="0" w:type="dxa"/>
            <w:right w:w="0" w:type="dxa"/>
          </w:tblCellMar>
        </w:tblPrEx>
        <w:trPr>
          <w:wBefore w:w="0" w:type="auto"/>
          <w:tblCellSpacing w:w="0" w:type="dxa"/>
        </w:trPr>
        <w:tc>
          <w:tcPr>
            <w:tcW w:w="0" w:type="auto"/>
            <w:noWrap w:val="0"/>
            <w:vAlign w:val="center"/>
          </w:tcPr>
          <w:p w14:paraId="03420A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7070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09A8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30E0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E1EE4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FBD12E">
                  <w:r>
                    <w:rPr>
                      <w:rStyle w:val="11"/>
                      <w:rFonts w:hint="eastAsia"/>
                    </w:rPr>
                    <w:t>施用方式</w:t>
                  </w:r>
                </w:p>
              </w:tc>
            </w:tr>
            <w:tr w14:paraId="31321C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A81334">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228DD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D612B3">
                  <w:r>
                    <w:rPr>
                      <w:rStyle w:val="11"/>
                      <w:rFonts w:hint="eastAsia"/>
                    </w:rPr>
                    <w:t>30-40千克/亩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323353">
                  <w:r>
                    <w:rPr>
                      <w:rStyle w:val="11"/>
                      <w:rFonts w:hint="eastAsia"/>
                    </w:rPr>
                    <w:t>撒施</w:t>
                  </w:r>
                </w:p>
              </w:tc>
            </w:tr>
          </w:tbl>
          <w:p w14:paraId="3611AEE4">
            <w:pPr>
              <w:rPr>
                <w:rFonts w:ascii="Times New Roman" w:hAnsi="Times New Roman" w:cs="Times New Roman"/>
                <w:sz w:val="20"/>
                <w:szCs w:val="20"/>
              </w:rPr>
            </w:pPr>
          </w:p>
        </w:tc>
      </w:tr>
      <w:tr w14:paraId="3AD9E732">
        <w:tblPrEx>
          <w:tblCellMar>
            <w:top w:w="0" w:type="dxa"/>
            <w:left w:w="0" w:type="dxa"/>
            <w:bottom w:w="0" w:type="dxa"/>
            <w:right w:w="0" w:type="dxa"/>
          </w:tblCellMar>
        </w:tblPrEx>
        <w:trPr>
          <w:wBefore w:w="0" w:type="auto"/>
          <w:tblCellSpacing w:w="0" w:type="dxa"/>
        </w:trPr>
        <w:tc>
          <w:tcPr>
            <w:tcW w:w="0" w:type="auto"/>
            <w:noWrap w:val="0"/>
            <w:vAlign w:val="center"/>
          </w:tcPr>
          <w:p w14:paraId="587EADF3">
            <w:r>
              <w:rPr>
                <w:rStyle w:val="10"/>
                <w:rFonts w:hint="eastAsia"/>
              </w:rPr>
              <w:t>使用技术要求:</w:t>
            </w:r>
            <w:r>
              <w:rPr>
                <w:rFonts w:hint="eastAsia"/>
              </w:rPr>
              <w:br w:type="textWrapping"/>
            </w:r>
            <w:r>
              <w:rPr>
                <w:rStyle w:val="11"/>
                <w:rFonts w:hint="eastAsia"/>
              </w:rPr>
              <w:t>1.于播种前施药1次，将药剂撒施与播种沟内，旋耕均匀后播种。 2.大风天或预计1小时内降雨，请勿施药。</w:t>
            </w:r>
          </w:p>
        </w:tc>
      </w:tr>
      <w:tr w14:paraId="5BD0AB10">
        <w:tblPrEx>
          <w:tblCellMar>
            <w:top w:w="0" w:type="dxa"/>
            <w:left w:w="0" w:type="dxa"/>
            <w:bottom w:w="0" w:type="dxa"/>
            <w:right w:w="0" w:type="dxa"/>
          </w:tblCellMar>
        </w:tblPrEx>
        <w:trPr>
          <w:wBefore w:w="0" w:type="auto"/>
          <w:tblCellSpacing w:w="0" w:type="dxa"/>
        </w:trPr>
        <w:tc>
          <w:tcPr>
            <w:tcW w:w="0" w:type="auto"/>
            <w:noWrap w:val="0"/>
            <w:vAlign w:val="center"/>
          </w:tcPr>
          <w:p w14:paraId="51E63D97">
            <w:r>
              <w:rPr>
                <w:rStyle w:val="10"/>
                <w:rFonts w:hint="eastAsia"/>
              </w:rPr>
              <w:t>产品性能:</w:t>
            </w:r>
            <w:r>
              <w:rPr>
                <w:rFonts w:hint="eastAsia"/>
              </w:rPr>
              <w:br w:type="textWrapping"/>
            </w:r>
            <w:r>
              <w:rPr>
                <w:rStyle w:val="11"/>
                <w:rFonts w:hint="eastAsia"/>
              </w:rPr>
              <w:t>噻虫嗪是新烟碱类杀虫剂，具有胃毒、触杀和内吸性，易被作物根系快速吸收，并传导到植株各部位。</w:t>
            </w:r>
          </w:p>
        </w:tc>
      </w:tr>
      <w:tr w14:paraId="647C20FF">
        <w:tblPrEx>
          <w:tblCellMar>
            <w:top w:w="0" w:type="dxa"/>
            <w:left w:w="0" w:type="dxa"/>
            <w:bottom w:w="0" w:type="dxa"/>
            <w:right w:w="0" w:type="dxa"/>
          </w:tblCellMar>
        </w:tblPrEx>
        <w:trPr>
          <w:wBefore w:w="0" w:type="auto"/>
          <w:tblCellSpacing w:w="0" w:type="dxa"/>
        </w:trPr>
        <w:tc>
          <w:tcPr>
            <w:tcW w:w="0" w:type="auto"/>
            <w:noWrap w:val="0"/>
            <w:vAlign w:val="center"/>
          </w:tcPr>
          <w:p w14:paraId="656507DC">
            <w:r>
              <w:rPr>
                <w:rStyle w:val="10"/>
                <w:rFonts w:hint="eastAsia"/>
              </w:rPr>
              <w:t>注意事项：</w:t>
            </w:r>
            <w:r>
              <w:rPr>
                <w:rFonts w:hint="eastAsia"/>
              </w:rPr>
              <w:br w:type="textWrapping"/>
            </w:r>
            <w:r>
              <w:rPr>
                <w:rStyle w:val="11"/>
                <w:rFonts w:hint="eastAsia"/>
              </w:rPr>
              <w:t>1.使用本品应采取相应的安全防护措施，穿长衣、长裤，戴手套、口罩和护目镜等，避免皮肤、眼睛接触。使用中不可吸烟、饮水及吃东西，使用后及时清洗手、脸等暴露部位皮肤并更换衣物。2.本品对蜜蜂和鸟有毒，(周围）开花植物花期禁用，并注意对周围蜂群的影响；鸟类保护区附近禁用。水产养殖区、河塘等水体附近禁用，禁止在河塘等水域清洗施药器具。3.建议与其他作用机制不同的杀虫剂轮换使用，以延缓抗性产生。4.用过的容器应妥善处理，不可做他用，也不可随意丢弃。5.避免孕妇及哺乳期的妇女接触本品。</w:t>
            </w:r>
          </w:p>
        </w:tc>
      </w:tr>
      <w:tr w14:paraId="1F474A31">
        <w:tblPrEx>
          <w:tblCellMar>
            <w:top w:w="0" w:type="dxa"/>
            <w:left w:w="0" w:type="dxa"/>
            <w:bottom w:w="0" w:type="dxa"/>
            <w:right w:w="0" w:type="dxa"/>
          </w:tblCellMar>
        </w:tblPrEx>
        <w:trPr>
          <w:wBefore w:w="0" w:type="auto"/>
          <w:tblCellSpacing w:w="0" w:type="dxa"/>
        </w:trPr>
        <w:tc>
          <w:tcPr>
            <w:tcW w:w="0" w:type="auto"/>
            <w:noWrap w:val="0"/>
            <w:vAlign w:val="center"/>
          </w:tcPr>
          <w:p w14:paraId="0109B55B">
            <w:r>
              <w:rPr>
                <w:rStyle w:val="10"/>
                <w:rFonts w:hint="eastAsia"/>
              </w:rPr>
              <w:t>中毒急救措施：</w:t>
            </w:r>
            <w:r>
              <w:rPr>
                <w:rFonts w:hint="eastAsia"/>
              </w:rPr>
              <w:br w:type="textWrapping"/>
            </w:r>
            <w:r>
              <w:rPr>
                <w:rStyle w:val="11"/>
                <w:rFonts w:hint="eastAsia"/>
              </w:rPr>
              <w:t>本品对眼睛、皮肤有刺激性。急救措施：使用中或使用后如果感觉不适，应立即停止工作，采取急救措施，并携带标签送医院就诊。 眼睛接触：立即提起眼睑，用流动清水冲洗至少15分钟。 皮肤接触：立即脱掉污染衣物，用软布去除污染农药，用大量清水和肥皂冲洗。误服：立即停止服用，用清水充分漱口后，立即携带农药标签到医院就诊。</w:t>
            </w:r>
          </w:p>
        </w:tc>
      </w:tr>
      <w:tr w14:paraId="1B9323B2">
        <w:tblPrEx>
          <w:tblCellMar>
            <w:top w:w="0" w:type="dxa"/>
            <w:left w:w="0" w:type="dxa"/>
            <w:bottom w:w="0" w:type="dxa"/>
            <w:right w:w="0" w:type="dxa"/>
          </w:tblCellMar>
        </w:tblPrEx>
        <w:trPr>
          <w:wBefore w:w="0" w:type="auto"/>
          <w:tblCellSpacing w:w="0" w:type="dxa"/>
        </w:trPr>
        <w:tc>
          <w:tcPr>
            <w:tcW w:w="0" w:type="auto"/>
            <w:noWrap w:val="0"/>
            <w:vAlign w:val="center"/>
          </w:tcPr>
          <w:p w14:paraId="035BA309">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w:t>
            </w:r>
          </w:p>
        </w:tc>
      </w:tr>
      <w:tr w14:paraId="08958327">
        <w:tblPrEx>
          <w:tblCellMar>
            <w:top w:w="0" w:type="dxa"/>
            <w:left w:w="0" w:type="dxa"/>
            <w:bottom w:w="0" w:type="dxa"/>
            <w:right w:w="0" w:type="dxa"/>
          </w:tblCellMar>
        </w:tblPrEx>
        <w:trPr>
          <w:wBefore w:w="0" w:type="auto"/>
          <w:tblCellSpacing w:w="0" w:type="dxa"/>
        </w:trPr>
        <w:tc>
          <w:tcPr>
            <w:tcW w:w="0" w:type="auto"/>
            <w:noWrap w:val="0"/>
            <w:vAlign w:val="center"/>
          </w:tcPr>
          <w:p w14:paraId="235E8CAB">
            <w:r>
              <w:rPr>
                <w:rStyle w:val="10"/>
                <w:rFonts w:hint="eastAsia"/>
              </w:rPr>
              <w:t>质量保证期：</w:t>
            </w:r>
            <w:r>
              <w:rPr>
                <w:rStyle w:val="11"/>
                <w:rFonts w:hint="eastAsia"/>
              </w:rPr>
              <w:t>2年</w:t>
            </w:r>
          </w:p>
        </w:tc>
      </w:tr>
      <w:tr w14:paraId="6A69C219">
        <w:tblPrEx>
          <w:tblCellMar>
            <w:top w:w="0" w:type="dxa"/>
            <w:left w:w="0" w:type="dxa"/>
            <w:bottom w:w="0" w:type="dxa"/>
            <w:right w:w="0" w:type="dxa"/>
          </w:tblCellMar>
        </w:tblPrEx>
        <w:trPr>
          <w:wBefore w:w="0" w:type="auto"/>
          <w:tblCellSpacing w:w="0" w:type="dxa"/>
        </w:trPr>
        <w:tc>
          <w:tcPr>
            <w:tcW w:w="0" w:type="auto"/>
            <w:noWrap w:val="0"/>
            <w:vAlign w:val="center"/>
          </w:tcPr>
          <w:p w14:paraId="030057EE">
            <w:r>
              <w:rPr>
                <w:rStyle w:val="10"/>
                <w:rFonts w:hint="eastAsia"/>
              </w:rPr>
              <w:t>备注：</w:t>
            </w:r>
          </w:p>
        </w:tc>
      </w:tr>
    </w:tbl>
    <w:p w14:paraId="6E02C5C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830D01">
        <w:tblPrEx>
          <w:tblCellMar>
            <w:top w:w="0" w:type="dxa"/>
            <w:left w:w="0" w:type="dxa"/>
            <w:bottom w:w="0" w:type="dxa"/>
            <w:right w:w="0" w:type="dxa"/>
          </w:tblCellMar>
        </w:tblPrEx>
        <w:trPr>
          <w:wBefore w:w="0" w:type="auto"/>
          <w:tblCellSpacing w:w="0" w:type="dxa"/>
        </w:trPr>
        <w:tc>
          <w:tcPr>
            <w:tcW w:w="0" w:type="auto"/>
            <w:noWrap w:val="0"/>
            <w:vAlign w:val="center"/>
          </w:tcPr>
          <w:p w14:paraId="6A295827">
            <w:r>
              <w:rPr>
                <w:rStyle w:val="10"/>
                <w:rFonts w:hint="eastAsia"/>
              </w:rPr>
              <w:t>登记证号：</w:t>
            </w:r>
            <w:r>
              <w:rPr>
                <w:rFonts w:hint="eastAsia"/>
              </w:rPr>
              <w:t>PD20212376</w:t>
            </w:r>
          </w:p>
        </w:tc>
      </w:tr>
      <w:tr w14:paraId="654A0CAC">
        <w:tblPrEx>
          <w:tblCellMar>
            <w:top w:w="0" w:type="dxa"/>
            <w:left w:w="0" w:type="dxa"/>
            <w:bottom w:w="0" w:type="dxa"/>
            <w:right w:w="0" w:type="dxa"/>
          </w:tblCellMar>
        </w:tblPrEx>
        <w:trPr>
          <w:wBefore w:w="0" w:type="auto"/>
          <w:tblCellSpacing w:w="0" w:type="dxa"/>
        </w:trPr>
        <w:tc>
          <w:tcPr>
            <w:tcW w:w="0" w:type="auto"/>
            <w:noWrap w:val="0"/>
            <w:vAlign w:val="center"/>
          </w:tcPr>
          <w:p w14:paraId="466BAC45">
            <w:r>
              <w:rPr>
                <w:rStyle w:val="10"/>
                <w:rFonts w:hint="eastAsia"/>
              </w:rPr>
              <w:t>登记证持有人：</w:t>
            </w:r>
            <w:r>
              <w:rPr>
                <w:rFonts w:hint="eastAsia"/>
              </w:rPr>
              <w:t>江西众和化工有限公司</w:t>
            </w:r>
          </w:p>
        </w:tc>
      </w:tr>
      <w:tr w14:paraId="378B81F9">
        <w:tblPrEx>
          <w:tblCellMar>
            <w:top w:w="0" w:type="dxa"/>
            <w:left w:w="0" w:type="dxa"/>
            <w:bottom w:w="0" w:type="dxa"/>
            <w:right w:w="0" w:type="dxa"/>
          </w:tblCellMar>
        </w:tblPrEx>
        <w:trPr>
          <w:wBefore w:w="0" w:type="auto"/>
          <w:tblCellSpacing w:w="0" w:type="dxa"/>
        </w:trPr>
        <w:tc>
          <w:tcPr>
            <w:tcW w:w="0" w:type="auto"/>
            <w:noWrap w:val="0"/>
            <w:vAlign w:val="center"/>
          </w:tcPr>
          <w:p w14:paraId="1774313C">
            <w:r>
              <w:rPr>
                <w:rStyle w:val="10"/>
                <w:rFonts w:hint="eastAsia"/>
              </w:rPr>
              <w:t>农药名称：</w:t>
            </w:r>
            <w:r>
              <w:rPr>
                <w:rFonts w:hint="eastAsia"/>
              </w:rPr>
              <w:t>噻虫胺</w:t>
            </w:r>
          </w:p>
        </w:tc>
      </w:tr>
      <w:tr w14:paraId="7270CE29">
        <w:tblPrEx>
          <w:tblCellMar>
            <w:top w:w="0" w:type="dxa"/>
            <w:left w:w="0" w:type="dxa"/>
            <w:bottom w:w="0" w:type="dxa"/>
            <w:right w:w="0" w:type="dxa"/>
          </w:tblCellMar>
        </w:tblPrEx>
        <w:trPr>
          <w:wBefore w:w="0" w:type="auto"/>
          <w:tblCellSpacing w:w="0" w:type="dxa"/>
        </w:trPr>
        <w:tc>
          <w:tcPr>
            <w:tcW w:w="0" w:type="auto"/>
            <w:noWrap w:val="0"/>
            <w:vAlign w:val="center"/>
          </w:tcPr>
          <w:p w14:paraId="4A772559">
            <w:r>
              <w:rPr>
                <w:rStyle w:val="10"/>
                <w:rFonts w:hint="eastAsia"/>
              </w:rPr>
              <w:t>剂型：</w:t>
            </w:r>
            <w:r>
              <w:rPr>
                <w:rFonts w:hint="eastAsia"/>
              </w:rPr>
              <w:t>种子处理悬浮剂</w:t>
            </w:r>
          </w:p>
        </w:tc>
      </w:tr>
      <w:tr w14:paraId="446CD223">
        <w:tblPrEx>
          <w:tblCellMar>
            <w:top w:w="0" w:type="dxa"/>
            <w:left w:w="0" w:type="dxa"/>
            <w:bottom w:w="0" w:type="dxa"/>
            <w:right w:w="0" w:type="dxa"/>
          </w:tblCellMar>
        </w:tblPrEx>
        <w:trPr>
          <w:wBefore w:w="0" w:type="auto"/>
          <w:tblCellSpacing w:w="0" w:type="dxa"/>
        </w:trPr>
        <w:tc>
          <w:tcPr>
            <w:tcW w:w="0" w:type="auto"/>
            <w:noWrap w:val="0"/>
            <w:vAlign w:val="center"/>
          </w:tcPr>
          <w:p w14:paraId="2B9B0C67">
            <w:r>
              <w:rPr>
                <w:rStyle w:val="10"/>
                <w:rFonts w:hint="eastAsia"/>
              </w:rPr>
              <w:t>毒性及其标识：</w:t>
            </w:r>
            <w:r>
              <w:rPr>
                <w:rFonts w:hint="eastAsia"/>
              </w:rPr>
              <w:t xml:space="preserve"> </w:t>
            </w:r>
            <w:r>
              <w:rPr>
                <w:lang/>
              </w:rPr>
              <w:drawing>
                <wp:inline distT="0" distB="0" distL="114300" distR="114300">
                  <wp:extent cx="476250" cy="323850"/>
                  <wp:effectExtent l="0" t="0" r="0" b="0"/>
                  <wp:docPr id="150" name="图片 1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3D4974F">
        <w:tblPrEx>
          <w:tblCellMar>
            <w:top w:w="0" w:type="dxa"/>
            <w:left w:w="0" w:type="dxa"/>
            <w:bottom w:w="0" w:type="dxa"/>
            <w:right w:w="0" w:type="dxa"/>
          </w:tblCellMar>
        </w:tblPrEx>
        <w:trPr>
          <w:wBefore w:w="0" w:type="auto"/>
          <w:tblCellSpacing w:w="0" w:type="dxa"/>
        </w:trPr>
        <w:tc>
          <w:tcPr>
            <w:tcW w:w="0" w:type="auto"/>
            <w:noWrap w:val="0"/>
            <w:vAlign w:val="center"/>
          </w:tcPr>
          <w:p w14:paraId="0D2A0191">
            <w:r>
              <w:rPr>
                <w:rStyle w:val="10"/>
                <w:rFonts w:hint="eastAsia"/>
              </w:rPr>
              <w:t>总有效成分含量：</w:t>
            </w:r>
            <w:r>
              <w:rPr>
                <w:rFonts w:hint="eastAsia"/>
              </w:rPr>
              <w:t>18%</w:t>
            </w:r>
          </w:p>
        </w:tc>
      </w:tr>
      <w:tr w14:paraId="677F280C">
        <w:tblPrEx>
          <w:tblCellMar>
            <w:top w:w="0" w:type="dxa"/>
            <w:left w:w="0" w:type="dxa"/>
            <w:bottom w:w="0" w:type="dxa"/>
            <w:right w:w="0" w:type="dxa"/>
          </w:tblCellMar>
        </w:tblPrEx>
        <w:trPr>
          <w:wBefore w:w="0" w:type="auto"/>
          <w:tblCellSpacing w:w="0" w:type="dxa"/>
        </w:trPr>
        <w:tc>
          <w:tcPr>
            <w:tcW w:w="0" w:type="auto"/>
            <w:noWrap w:val="0"/>
            <w:vAlign w:val="center"/>
          </w:tcPr>
          <w:p w14:paraId="3E8D61E9">
            <w:r>
              <w:rPr>
                <w:rFonts w:hint="eastAsia"/>
              </w:rPr>
              <w:t xml:space="preserve">有效成分及其含量： </w:t>
            </w:r>
          </w:p>
          <w:p w14:paraId="2A5332CD">
            <w:r>
              <w:rPr>
                <w:rFonts w:hint="eastAsia"/>
              </w:rPr>
              <w:t xml:space="preserve">    噻虫胺18%    </w:t>
            </w:r>
          </w:p>
        </w:tc>
      </w:tr>
      <w:tr w14:paraId="5B1FE3FE">
        <w:tblPrEx>
          <w:tblCellMar>
            <w:top w:w="0" w:type="dxa"/>
            <w:left w:w="0" w:type="dxa"/>
            <w:bottom w:w="0" w:type="dxa"/>
            <w:right w:w="0" w:type="dxa"/>
          </w:tblCellMar>
        </w:tblPrEx>
        <w:trPr>
          <w:wBefore w:w="0" w:type="auto"/>
          <w:tblCellSpacing w:w="0" w:type="dxa"/>
        </w:trPr>
        <w:tc>
          <w:tcPr>
            <w:tcW w:w="0" w:type="auto"/>
            <w:noWrap w:val="0"/>
            <w:vAlign w:val="center"/>
          </w:tcPr>
          <w:p w14:paraId="1DA3641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FBA4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0FAA4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250E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95F30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E5FA8F">
                  <w:r>
                    <w:rPr>
                      <w:rStyle w:val="11"/>
                      <w:rFonts w:hint="eastAsia"/>
                    </w:rPr>
                    <w:t>施用方式</w:t>
                  </w:r>
                </w:p>
              </w:tc>
            </w:tr>
            <w:tr w14:paraId="4FB2B8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ED7B60">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AFCC4F">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B893DC">
                  <w:r>
                    <w:rPr>
                      <w:rStyle w:val="11"/>
                      <w:rFonts w:hint="eastAsia"/>
                    </w:rPr>
                    <w:t>600-800克/100千克种子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CB34F">
                  <w:r>
                    <w:rPr>
                      <w:rStyle w:val="11"/>
                      <w:rFonts w:hint="eastAsia"/>
                    </w:rPr>
                    <w:t>种子包衣</w:t>
                  </w:r>
                </w:p>
              </w:tc>
            </w:tr>
          </w:tbl>
          <w:p w14:paraId="17D33A01">
            <w:pPr>
              <w:rPr>
                <w:rFonts w:ascii="Times New Roman" w:hAnsi="Times New Roman" w:cs="Times New Roman"/>
                <w:sz w:val="20"/>
                <w:szCs w:val="20"/>
              </w:rPr>
            </w:pPr>
          </w:p>
        </w:tc>
      </w:tr>
      <w:tr w14:paraId="6B117AEB">
        <w:tblPrEx>
          <w:tblCellMar>
            <w:top w:w="0" w:type="dxa"/>
            <w:left w:w="0" w:type="dxa"/>
            <w:bottom w:w="0" w:type="dxa"/>
            <w:right w:w="0" w:type="dxa"/>
          </w:tblCellMar>
        </w:tblPrEx>
        <w:trPr>
          <w:wBefore w:w="0" w:type="auto"/>
          <w:tblCellSpacing w:w="0" w:type="dxa"/>
        </w:trPr>
        <w:tc>
          <w:tcPr>
            <w:tcW w:w="0" w:type="auto"/>
            <w:noWrap w:val="0"/>
            <w:vAlign w:val="center"/>
          </w:tcPr>
          <w:p w14:paraId="48751A12">
            <w:r>
              <w:rPr>
                <w:rStyle w:val="10"/>
                <w:rFonts w:hint="eastAsia"/>
              </w:rPr>
              <w:t>使用技术要求:</w:t>
            </w:r>
            <w:r>
              <w:rPr>
                <w:rFonts w:hint="eastAsia"/>
              </w:rPr>
              <w:br w:type="textWrapping"/>
            </w:r>
            <w:r>
              <w:rPr>
                <w:rStyle w:val="11"/>
                <w:rFonts w:hint="eastAsia"/>
              </w:rPr>
              <w:t>1.种子包衣方法：按照播种量，量取推荐用量的药剂，加入适量水稀释并搅拌，得到均匀药浆（推荐药浆种子比为1:50，即100公斤种子对应的药浆为2升），倒入待播种子，搅拌均匀，晾干后播种。 2. 配制好的药液应在24小时内使用。 3.播种时需考虑低温、大雨等不良环境影响，适时播种。</w:t>
            </w:r>
          </w:p>
        </w:tc>
      </w:tr>
      <w:tr w14:paraId="55B176F6">
        <w:tblPrEx>
          <w:tblCellMar>
            <w:top w:w="0" w:type="dxa"/>
            <w:left w:w="0" w:type="dxa"/>
            <w:bottom w:w="0" w:type="dxa"/>
            <w:right w:w="0" w:type="dxa"/>
          </w:tblCellMar>
        </w:tblPrEx>
        <w:trPr>
          <w:wBefore w:w="0" w:type="auto"/>
          <w:tblCellSpacing w:w="0" w:type="dxa"/>
        </w:trPr>
        <w:tc>
          <w:tcPr>
            <w:tcW w:w="0" w:type="auto"/>
            <w:noWrap w:val="0"/>
            <w:vAlign w:val="center"/>
          </w:tcPr>
          <w:p w14:paraId="601FA3B9">
            <w:r>
              <w:rPr>
                <w:rStyle w:val="10"/>
                <w:rFonts w:hint="eastAsia"/>
              </w:rPr>
              <w:t>产品性能:</w:t>
            </w:r>
            <w:r>
              <w:rPr>
                <w:rFonts w:hint="eastAsia"/>
              </w:rPr>
              <w:br w:type="textWrapping"/>
            </w:r>
            <w:r>
              <w:rPr>
                <w:rStyle w:val="11"/>
                <w:rFonts w:hint="eastAsia"/>
              </w:rPr>
              <w:t>噻虫胺主要作用方式是刺激烟碱乙酰胆碱受体，影响昆虫中枢神经系统中的神经突触，使昆虫异常兴奋，全身麻痹而死，具有内吸性、触杀和胃毒作用。对花生蛴螬有较好的防治效果。</w:t>
            </w:r>
          </w:p>
        </w:tc>
      </w:tr>
      <w:tr w14:paraId="46A9030C">
        <w:tblPrEx>
          <w:tblCellMar>
            <w:top w:w="0" w:type="dxa"/>
            <w:left w:w="0" w:type="dxa"/>
            <w:bottom w:w="0" w:type="dxa"/>
            <w:right w:w="0" w:type="dxa"/>
          </w:tblCellMar>
        </w:tblPrEx>
        <w:trPr>
          <w:wBefore w:w="0" w:type="auto"/>
          <w:tblCellSpacing w:w="0" w:type="dxa"/>
        </w:trPr>
        <w:tc>
          <w:tcPr>
            <w:tcW w:w="0" w:type="auto"/>
            <w:noWrap w:val="0"/>
            <w:vAlign w:val="center"/>
          </w:tcPr>
          <w:p w14:paraId="578DAEE4">
            <w:r>
              <w:rPr>
                <w:rStyle w:val="10"/>
                <w:rFonts w:hint="eastAsia"/>
              </w:rPr>
              <w:t>注意事项：</w:t>
            </w:r>
            <w:r>
              <w:rPr>
                <w:rFonts w:hint="eastAsia"/>
              </w:rPr>
              <w:br w:type="textWrapping"/>
            </w:r>
            <w:r>
              <w:rPr>
                <w:rStyle w:val="11"/>
                <w:rFonts w:hint="eastAsia"/>
              </w:rPr>
              <w:t>1.在配制和使用本品时，应戴手套、口罩，避免皮肤接触及口鼻吸入，施药过程中严禁吸烟和饮食。使用后，应用肥皂和清水冲洗手部、面部和其它裸露的身体部位，并对药剂污染的衣物进行清洗。 2.禁止在河塘等水体中清洗施药器具。3.鸟类保护区附近禁用，播种后立即覆土。鸟类保护区禁用，播种后立即覆土。4.与氧化剂高锰酸钾有化学不相容性，应避免与氧化剂接触。5.用过的容器应妥善处理，不可做他用，也不可随意丢弃。6.避免孕妇及哺乳期妇女接触。</w:t>
            </w:r>
          </w:p>
        </w:tc>
      </w:tr>
      <w:tr w14:paraId="7E0D3DBD">
        <w:tblPrEx>
          <w:tblCellMar>
            <w:top w:w="0" w:type="dxa"/>
            <w:left w:w="0" w:type="dxa"/>
            <w:bottom w:w="0" w:type="dxa"/>
            <w:right w:w="0" w:type="dxa"/>
          </w:tblCellMar>
        </w:tblPrEx>
        <w:trPr>
          <w:wBefore w:w="0" w:type="auto"/>
          <w:tblCellSpacing w:w="0" w:type="dxa"/>
        </w:trPr>
        <w:tc>
          <w:tcPr>
            <w:tcW w:w="0" w:type="auto"/>
            <w:noWrap w:val="0"/>
            <w:vAlign w:val="center"/>
          </w:tcPr>
          <w:p w14:paraId="35B721E0">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 2.眼睛溅入：立即将眼睑翻开，用清水冲洗至少15分钟。 3.吸入：立即将吸入者转移到空气清新处。 4.误服：用清水充分漱口后，立即携此标签将患者送医院就诊。</w:t>
            </w:r>
          </w:p>
        </w:tc>
      </w:tr>
      <w:tr w14:paraId="0597799C">
        <w:tblPrEx>
          <w:tblCellMar>
            <w:top w:w="0" w:type="dxa"/>
            <w:left w:w="0" w:type="dxa"/>
            <w:bottom w:w="0" w:type="dxa"/>
            <w:right w:w="0" w:type="dxa"/>
          </w:tblCellMar>
        </w:tblPrEx>
        <w:trPr>
          <w:wBefore w:w="0" w:type="auto"/>
          <w:tblCellSpacing w:w="0" w:type="dxa"/>
        </w:trPr>
        <w:tc>
          <w:tcPr>
            <w:tcW w:w="0" w:type="auto"/>
            <w:noWrap w:val="0"/>
            <w:vAlign w:val="center"/>
          </w:tcPr>
          <w:p w14:paraId="478173AF">
            <w:r>
              <w:rPr>
                <w:rStyle w:val="10"/>
                <w:rFonts w:hint="eastAsia"/>
              </w:rPr>
              <w:t>储存和运输方法：</w:t>
            </w:r>
            <w:r>
              <w:rPr>
                <w:rFonts w:hint="eastAsia"/>
              </w:rPr>
              <w:br w:type="textWrapping"/>
            </w:r>
            <w:r>
              <w:rPr>
                <w:rStyle w:val="11"/>
                <w:rFonts w:hint="eastAsia"/>
              </w:rPr>
              <w:t>1.本品应贮存在干燥、阴凉、通风、防雨处，远离火源或热源。2. 置于儿童及动物触及不到之处，并加锁保存。3. 勿与食品、饮料、粮食、种子、饲料等同贮同运。4. 注意轻拿轻放，以免损坏包装，导致产品泄漏。</w:t>
            </w:r>
          </w:p>
        </w:tc>
      </w:tr>
      <w:tr w14:paraId="2BD5C1AD">
        <w:tblPrEx>
          <w:tblCellMar>
            <w:top w:w="0" w:type="dxa"/>
            <w:left w:w="0" w:type="dxa"/>
            <w:bottom w:w="0" w:type="dxa"/>
            <w:right w:w="0" w:type="dxa"/>
          </w:tblCellMar>
        </w:tblPrEx>
        <w:trPr>
          <w:wBefore w:w="0" w:type="auto"/>
          <w:tblCellSpacing w:w="0" w:type="dxa"/>
        </w:trPr>
        <w:tc>
          <w:tcPr>
            <w:tcW w:w="0" w:type="auto"/>
            <w:noWrap w:val="0"/>
            <w:vAlign w:val="center"/>
          </w:tcPr>
          <w:p w14:paraId="64305DCB">
            <w:r>
              <w:rPr>
                <w:rStyle w:val="10"/>
                <w:rFonts w:hint="eastAsia"/>
              </w:rPr>
              <w:t>质量保证期：</w:t>
            </w:r>
            <w:r>
              <w:rPr>
                <w:rStyle w:val="11"/>
                <w:rFonts w:hint="eastAsia"/>
              </w:rPr>
              <w:t>2年</w:t>
            </w:r>
          </w:p>
        </w:tc>
      </w:tr>
      <w:tr w14:paraId="29A08834">
        <w:tblPrEx>
          <w:tblCellMar>
            <w:top w:w="0" w:type="dxa"/>
            <w:left w:w="0" w:type="dxa"/>
            <w:bottom w:w="0" w:type="dxa"/>
            <w:right w:w="0" w:type="dxa"/>
          </w:tblCellMar>
        </w:tblPrEx>
        <w:trPr>
          <w:wBefore w:w="0" w:type="auto"/>
          <w:tblCellSpacing w:w="0" w:type="dxa"/>
        </w:trPr>
        <w:tc>
          <w:tcPr>
            <w:tcW w:w="0" w:type="auto"/>
            <w:noWrap w:val="0"/>
            <w:vAlign w:val="center"/>
          </w:tcPr>
          <w:p w14:paraId="390EE8AB">
            <w:r>
              <w:rPr>
                <w:rStyle w:val="10"/>
                <w:rFonts w:hint="eastAsia"/>
              </w:rPr>
              <w:t>备注：</w:t>
            </w:r>
          </w:p>
        </w:tc>
      </w:tr>
    </w:tbl>
    <w:p w14:paraId="17B8BB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0E608F">
        <w:tblPrEx>
          <w:tblCellMar>
            <w:top w:w="0" w:type="dxa"/>
            <w:left w:w="0" w:type="dxa"/>
            <w:bottom w:w="0" w:type="dxa"/>
            <w:right w:w="0" w:type="dxa"/>
          </w:tblCellMar>
        </w:tblPrEx>
        <w:trPr>
          <w:wBefore w:w="0" w:type="auto"/>
          <w:tblCellSpacing w:w="0" w:type="dxa"/>
        </w:trPr>
        <w:tc>
          <w:tcPr>
            <w:tcW w:w="0" w:type="auto"/>
            <w:noWrap w:val="0"/>
            <w:vAlign w:val="center"/>
          </w:tcPr>
          <w:p w14:paraId="7C831920">
            <w:r>
              <w:rPr>
                <w:rStyle w:val="10"/>
                <w:rFonts w:hint="eastAsia"/>
              </w:rPr>
              <w:t>登记证号：</w:t>
            </w:r>
            <w:r>
              <w:rPr>
                <w:rFonts w:hint="eastAsia"/>
              </w:rPr>
              <w:t>PD20212559</w:t>
            </w:r>
          </w:p>
        </w:tc>
      </w:tr>
      <w:tr w14:paraId="61E5FCA4">
        <w:tblPrEx>
          <w:tblCellMar>
            <w:top w:w="0" w:type="dxa"/>
            <w:left w:w="0" w:type="dxa"/>
            <w:bottom w:w="0" w:type="dxa"/>
            <w:right w:w="0" w:type="dxa"/>
          </w:tblCellMar>
        </w:tblPrEx>
        <w:trPr>
          <w:wBefore w:w="0" w:type="auto"/>
          <w:tblCellSpacing w:w="0" w:type="dxa"/>
        </w:trPr>
        <w:tc>
          <w:tcPr>
            <w:tcW w:w="0" w:type="auto"/>
            <w:noWrap w:val="0"/>
            <w:vAlign w:val="center"/>
          </w:tcPr>
          <w:p w14:paraId="33A31F69">
            <w:r>
              <w:rPr>
                <w:rStyle w:val="10"/>
                <w:rFonts w:hint="eastAsia"/>
              </w:rPr>
              <w:t>登记证持有人：</w:t>
            </w:r>
            <w:r>
              <w:rPr>
                <w:rFonts w:hint="eastAsia"/>
              </w:rPr>
              <w:t>安徽沙隆达生物科技有限公司</w:t>
            </w:r>
          </w:p>
        </w:tc>
      </w:tr>
      <w:tr w14:paraId="75B94870">
        <w:tblPrEx>
          <w:tblCellMar>
            <w:top w:w="0" w:type="dxa"/>
            <w:left w:w="0" w:type="dxa"/>
            <w:bottom w:w="0" w:type="dxa"/>
            <w:right w:w="0" w:type="dxa"/>
          </w:tblCellMar>
        </w:tblPrEx>
        <w:trPr>
          <w:wBefore w:w="0" w:type="auto"/>
          <w:tblCellSpacing w:w="0" w:type="dxa"/>
        </w:trPr>
        <w:tc>
          <w:tcPr>
            <w:tcW w:w="0" w:type="auto"/>
            <w:noWrap w:val="0"/>
            <w:vAlign w:val="center"/>
          </w:tcPr>
          <w:p w14:paraId="61C59E8D">
            <w:r>
              <w:rPr>
                <w:rStyle w:val="10"/>
                <w:rFonts w:hint="eastAsia"/>
              </w:rPr>
              <w:t>农药名称：</w:t>
            </w:r>
            <w:r>
              <w:rPr>
                <w:rFonts w:hint="eastAsia"/>
              </w:rPr>
              <w:t>噁唑·氰氟</w:t>
            </w:r>
          </w:p>
        </w:tc>
      </w:tr>
      <w:tr w14:paraId="265C73FE">
        <w:tblPrEx>
          <w:tblCellMar>
            <w:top w:w="0" w:type="dxa"/>
            <w:left w:w="0" w:type="dxa"/>
            <w:bottom w:w="0" w:type="dxa"/>
            <w:right w:w="0" w:type="dxa"/>
          </w:tblCellMar>
        </w:tblPrEx>
        <w:trPr>
          <w:wBefore w:w="0" w:type="auto"/>
          <w:tblCellSpacing w:w="0" w:type="dxa"/>
        </w:trPr>
        <w:tc>
          <w:tcPr>
            <w:tcW w:w="0" w:type="auto"/>
            <w:noWrap w:val="0"/>
            <w:vAlign w:val="center"/>
          </w:tcPr>
          <w:p w14:paraId="072A123D">
            <w:r>
              <w:rPr>
                <w:rStyle w:val="10"/>
                <w:rFonts w:hint="eastAsia"/>
              </w:rPr>
              <w:t>剂型：</w:t>
            </w:r>
            <w:r>
              <w:rPr>
                <w:rFonts w:hint="eastAsia"/>
              </w:rPr>
              <w:t>乳油</w:t>
            </w:r>
          </w:p>
        </w:tc>
      </w:tr>
      <w:tr w14:paraId="130A3D12">
        <w:tblPrEx>
          <w:tblCellMar>
            <w:top w:w="0" w:type="dxa"/>
            <w:left w:w="0" w:type="dxa"/>
            <w:bottom w:w="0" w:type="dxa"/>
            <w:right w:w="0" w:type="dxa"/>
          </w:tblCellMar>
        </w:tblPrEx>
        <w:trPr>
          <w:wBefore w:w="0" w:type="auto"/>
          <w:tblCellSpacing w:w="0" w:type="dxa"/>
        </w:trPr>
        <w:tc>
          <w:tcPr>
            <w:tcW w:w="0" w:type="auto"/>
            <w:noWrap w:val="0"/>
            <w:vAlign w:val="center"/>
          </w:tcPr>
          <w:p w14:paraId="1EBF0597">
            <w:r>
              <w:rPr>
                <w:rStyle w:val="10"/>
                <w:rFonts w:hint="eastAsia"/>
              </w:rPr>
              <w:t>毒性及其标识：</w:t>
            </w:r>
            <w:r>
              <w:rPr>
                <w:rFonts w:hint="eastAsia"/>
              </w:rPr>
              <w:t xml:space="preserve"> </w:t>
            </w:r>
            <w:r>
              <w:rPr>
                <w:lang/>
              </w:rPr>
              <w:drawing>
                <wp:inline distT="0" distB="0" distL="114300" distR="114300">
                  <wp:extent cx="476250" cy="323850"/>
                  <wp:effectExtent l="0" t="0" r="0" b="0"/>
                  <wp:docPr id="151" name="图片 1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555426">
        <w:tblPrEx>
          <w:tblCellMar>
            <w:top w:w="0" w:type="dxa"/>
            <w:left w:w="0" w:type="dxa"/>
            <w:bottom w:w="0" w:type="dxa"/>
            <w:right w:w="0" w:type="dxa"/>
          </w:tblCellMar>
        </w:tblPrEx>
        <w:trPr>
          <w:wBefore w:w="0" w:type="auto"/>
          <w:tblCellSpacing w:w="0" w:type="dxa"/>
        </w:trPr>
        <w:tc>
          <w:tcPr>
            <w:tcW w:w="0" w:type="auto"/>
            <w:noWrap w:val="0"/>
            <w:vAlign w:val="center"/>
          </w:tcPr>
          <w:p w14:paraId="78D24C5B">
            <w:r>
              <w:rPr>
                <w:rStyle w:val="10"/>
                <w:rFonts w:hint="eastAsia"/>
              </w:rPr>
              <w:t>总有效成分含量：</w:t>
            </w:r>
            <w:r>
              <w:rPr>
                <w:rFonts w:hint="eastAsia"/>
              </w:rPr>
              <w:t>42%</w:t>
            </w:r>
          </w:p>
        </w:tc>
      </w:tr>
      <w:tr w14:paraId="37F52068">
        <w:tblPrEx>
          <w:tblCellMar>
            <w:top w:w="0" w:type="dxa"/>
            <w:left w:w="0" w:type="dxa"/>
            <w:bottom w:w="0" w:type="dxa"/>
            <w:right w:w="0" w:type="dxa"/>
          </w:tblCellMar>
        </w:tblPrEx>
        <w:trPr>
          <w:wBefore w:w="0" w:type="auto"/>
          <w:tblCellSpacing w:w="0" w:type="dxa"/>
        </w:trPr>
        <w:tc>
          <w:tcPr>
            <w:tcW w:w="0" w:type="auto"/>
            <w:noWrap w:val="0"/>
            <w:vAlign w:val="center"/>
          </w:tcPr>
          <w:p w14:paraId="25C0661D">
            <w:r>
              <w:rPr>
                <w:rFonts w:hint="eastAsia"/>
              </w:rPr>
              <w:t xml:space="preserve">有效成分及其含量： </w:t>
            </w:r>
          </w:p>
          <w:p w14:paraId="03044FB6">
            <w:r>
              <w:rPr>
                <w:rFonts w:hint="eastAsia"/>
              </w:rPr>
              <w:t xml:space="preserve">    氰氟草酯24%    噁唑酰草胺18%    </w:t>
            </w:r>
          </w:p>
        </w:tc>
      </w:tr>
      <w:tr w14:paraId="49190F5A">
        <w:tblPrEx>
          <w:tblCellMar>
            <w:top w:w="0" w:type="dxa"/>
            <w:left w:w="0" w:type="dxa"/>
            <w:bottom w:w="0" w:type="dxa"/>
            <w:right w:w="0" w:type="dxa"/>
          </w:tblCellMar>
        </w:tblPrEx>
        <w:trPr>
          <w:wBefore w:w="0" w:type="auto"/>
          <w:tblCellSpacing w:w="0" w:type="dxa"/>
        </w:trPr>
        <w:tc>
          <w:tcPr>
            <w:tcW w:w="0" w:type="auto"/>
            <w:noWrap w:val="0"/>
            <w:vAlign w:val="center"/>
          </w:tcPr>
          <w:p w14:paraId="7F3C19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4529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DFBA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69602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31FC2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1146B4">
                  <w:r>
                    <w:rPr>
                      <w:rStyle w:val="11"/>
                      <w:rFonts w:hint="eastAsia"/>
                    </w:rPr>
                    <w:t>施用方式</w:t>
                  </w:r>
                </w:p>
              </w:tc>
            </w:tr>
            <w:tr w14:paraId="48DDE2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AFBFB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BB880A">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4E80D7">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DADD4">
                  <w:r>
                    <w:rPr>
                      <w:rStyle w:val="11"/>
                      <w:rFonts w:hint="eastAsia"/>
                    </w:rPr>
                    <w:t>茎叶喷雾</w:t>
                  </w:r>
                </w:p>
              </w:tc>
            </w:tr>
          </w:tbl>
          <w:p w14:paraId="76BCB17C">
            <w:pPr>
              <w:rPr>
                <w:rFonts w:ascii="Times New Roman" w:hAnsi="Times New Roman" w:cs="Times New Roman"/>
                <w:sz w:val="20"/>
                <w:szCs w:val="20"/>
              </w:rPr>
            </w:pPr>
          </w:p>
        </w:tc>
      </w:tr>
      <w:tr w14:paraId="094B3F92">
        <w:tblPrEx>
          <w:tblCellMar>
            <w:top w:w="0" w:type="dxa"/>
            <w:left w:w="0" w:type="dxa"/>
            <w:bottom w:w="0" w:type="dxa"/>
            <w:right w:w="0" w:type="dxa"/>
          </w:tblCellMar>
        </w:tblPrEx>
        <w:trPr>
          <w:wBefore w:w="0" w:type="auto"/>
          <w:tblCellSpacing w:w="0" w:type="dxa"/>
        </w:trPr>
        <w:tc>
          <w:tcPr>
            <w:tcW w:w="0" w:type="auto"/>
            <w:noWrap w:val="0"/>
            <w:vAlign w:val="center"/>
          </w:tcPr>
          <w:p w14:paraId="34C0948E">
            <w:r>
              <w:rPr>
                <w:rStyle w:val="10"/>
                <w:rFonts w:hint="eastAsia"/>
              </w:rPr>
              <w:t>使用技术要求:</w:t>
            </w:r>
            <w:r>
              <w:rPr>
                <w:rFonts w:hint="eastAsia"/>
              </w:rPr>
              <w:br w:type="textWrapping"/>
            </w:r>
            <w:r>
              <w:rPr>
                <w:rStyle w:val="11"/>
                <w:rFonts w:hint="eastAsia"/>
              </w:rPr>
              <w:t>1、在水稻田(直播)一年生禾本科杂草2-4叶期，兑水30-40升/亩，茎叶喷雾处理。2、施药前1天排干水层，药后1-2天回水，保持3-5cm水层5-7天，水层勿淹没水稻心叶避免药害。3、本品每季最多施药次数为1次。</w:t>
            </w:r>
          </w:p>
        </w:tc>
      </w:tr>
      <w:tr w14:paraId="37B22718">
        <w:tblPrEx>
          <w:tblCellMar>
            <w:top w:w="0" w:type="dxa"/>
            <w:left w:w="0" w:type="dxa"/>
            <w:bottom w:w="0" w:type="dxa"/>
            <w:right w:w="0" w:type="dxa"/>
          </w:tblCellMar>
        </w:tblPrEx>
        <w:trPr>
          <w:wBefore w:w="0" w:type="auto"/>
          <w:tblCellSpacing w:w="0" w:type="dxa"/>
        </w:trPr>
        <w:tc>
          <w:tcPr>
            <w:tcW w:w="0" w:type="auto"/>
            <w:noWrap w:val="0"/>
            <w:vAlign w:val="center"/>
          </w:tcPr>
          <w:p w14:paraId="3B305381">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推荐剂量下使用，对水稻安全，二者混用能够有效防除水稻田(直播)一年生禾本科杂草。</w:t>
            </w:r>
          </w:p>
        </w:tc>
      </w:tr>
      <w:tr w14:paraId="37A5A8AB">
        <w:tblPrEx>
          <w:tblCellMar>
            <w:top w:w="0" w:type="dxa"/>
            <w:left w:w="0" w:type="dxa"/>
            <w:bottom w:w="0" w:type="dxa"/>
            <w:right w:w="0" w:type="dxa"/>
          </w:tblCellMar>
        </w:tblPrEx>
        <w:trPr>
          <w:wBefore w:w="0" w:type="auto"/>
          <w:tblCellSpacing w:w="0" w:type="dxa"/>
        </w:trPr>
        <w:tc>
          <w:tcPr>
            <w:tcW w:w="0" w:type="auto"/>
            <w:noWrap w:val="0"/>
            <w:vAlign w:val="center"/>
          </w:tcPr>
          <w:p w14:paraId="0F0D1078">
            <w:r>
              <w:rPr>
                <w:rStyle w:val="10"/>
                <w:rFonts w:hint="eastAsia"/>
              </w:rPr>
              <w:t>注意事项：</w:t>
            </w:r>
            <w:r>
              <w:rPr>
                <w:rFonts w:hint="eastAsia"/>
              </w:rPr>
              <w:br w:type="textWrapping"/>
            </w:r>
            <w:r>
              <w:rPr>
                <w:rStyle w:val="11"/>
                <w:rFonts w:hint="eastAsia"/>
              </w:rPr>
              <w:t>1、正常使用技术条件下对后茬作物安全。2、使用本品时应穿戴长衣、长裤、鞋、帽子、口罩和手套等，避免吸入药液；施药期间不可吃东西、饮水等。施药后应及时洗手、洗脸等。3、远离水产养殖区、河塘等水域施药，禁止在河塘等水体清洗施药器械。4、鱼或虾蟹套养稻田禁用，施药后的田水不得直接排入水体。5、废弃物应妥善处理，不可做他用，也不可随意丢弃。6、孕妇及哺乳期妇女应避免接触本品。7、本品对眼睛有刺激性，使用时要注意避免药液与眼睛接触。</w:t>
            </w:r>
          </w:p>
        </w:tc>
      </w:tr>
      <w:tr w14:paraId="2AB3F495">
        <w:tblPrEx>
          <w:tblCellMar>
            <w:top w:w="0" w:type="dxa"/>
            <w:left w:w="0" w:type="dxa"/>
            <w:bottom w:w="0" w:type="dxa"/>
            <w:right w:w="0" w:type="dxa"/>
          </w:tblCellMar>
        </w:tblPrEx>
        <w:trPr>
          <w:wBefore w:w="0" w:type="auto"/>
          <w:tblCellSpacing w:w="0" w:type="dxa"/>
        </w:trPr>
        <w:tc>
          <w:tcPr>
            <w:tcW w:w="0" w:type="auto"/>
            <w:noWrap w:val="0"/>
            <w:vAlign w:val="center"/>
          </w:tcPr>
          <w:p w14:paraId="38E6E76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立即脱掉污染的衣物，用肥皂和大量清水彻底清洗污染的皮肤。2、眼睛接触：立即分开眼睑，用清水冲洗眼至少15分钟，再请医生诊治。3、吸入：立即将患者转移到空气新鲜处，再请医生诊治。4、误服：立即携带标签，送医院就诊，对症治疗。 5、本品无特效解毒剂，应对症治疗。</w:t>
            </w:r>
          </w:p>
        </w:tc>
      </w:tr>
      <w:tr w14:paraId="1572ABFA">
        <w:tblPrEx>
          <w:tblCellMar>
            <w:top w:w="0" w:type="dxa"/>
            <w:left w:w="0" w:type="dxa"/>
            <w:bottom w:w="0" w:type="dxa"/>
            <w:right w:w="0" w:type="dxa"/>
          </w:tblCellMar>
        </w:tblPrEx>
        <w:trPr>
          <w:wBefore w:w="0" w:type="auto"/>
          <w:tblCellSpacing w:w="0" w:type="dxa"/>
        </w:trPr>
        <w:tc>
          <w:tcPr>
            <w:tcW w:w="0" w:type="auto"/>
            <w:noWrap w:val="0"/>
            <w:vAlign w:val="center"/>
          </w:tcPr>
          <w:p w14:paraId="11F83E4E">
            <w:r>
              <w:rPr>
                <w:rStyle w:val="10"/>
                <w:rFonts w:hint="eastAsia"/>
              </w:rPr>
              <w:t>储存和运输方法：</w:t>
            </w:r>
            <w:r>
              <w:rPr>
                <w:rFonts w:hint="eastAsia"/>
              </w:rPr>
              <w:br w:type="textWrapping"/>
            </w:r>
            <w:r>
              <w:rPr>
                <w:rStyle w:val="11"/>
                <w:rFonts w:hint="eastAsia"/>
              </w:rPr>
              <w:t>1、本品应贮存在干燥、阴凉、通风、防雨处，远离火源或热源。2、本品应当置于儿童、无关人员触及不到之处，并加锁保存。3、勿与食品、饮料、饲料、粮食等其他商品同贮同运。</w:t>
            </w:r>
          </w:p>
        </w:tc>
      </w:tr>
      <w:tr w14:paraId="344784C7">
        <w:tblPrEx>
          <w:tblCellMar>
            <w:top w:w="0" w:type="dxa"/>
            <w:left w:w="0" w:type="dxa"/>
            <w:bottom w:w="0" w:type="dxa"/>
            <w:right w:w="0" w:type="dxa"/>
          </w:tblCellMar>
        </w:tblPrEx>
        <w:trPr>
          <w:wBefore w:w="0" w:type="auto"/>
          <w:tblCellSpacing w:w="0" w:type="dxa"/>
        </w:trPr>
        <w:tc>
          <w:tcPr>
            <w:tcW w:w="0" w:type="auto"/>
            <w:noWrap w:val="0"/>
            <w:vAlign w:val="center"/>
          </w:tcPr>
          <w:p w14:paraId="08BC8366">
            <w:r>
              <w:rPr>
                <w:rStyle w:val="10"/>
                <w:rFonts w:hint="eastAsia"/>
              </w:rPr>
              <w:t>质量保证期：</w:t>
            </w:r>
            <w:r>
              <w:rPr>
                <w:rStyle w:val="11"/>
                <w:rFonts w:hint="eastAsia"/>
              </w:rPr>
              <w:t>2年</w:t>
            </w:r>
          </w:p>
        </w:tc>
      </w:tr>
      <w:tr w14:paraId="487B0E24">
        <w:tblPrEx>
          <w:tblCellMar>
            <w:top w:w="0" w:type="dxa"/>
            <w:left w:w="0" w:type="dxa"/>
            <w:bottom w:w="0" w:type="dxa"/>
            <w:right w:w="0" w:type="dxa"/>
          </w:tblCellMar>
        </w:tblPrEx>
        <w:trPr>
          <w:wBefore w:w="0" w:type="auto"/>
          <w:tblCellSpacing w:w="0" w:type="dxa"/>
        </w:trPr>
        <w:tc>
          <w:tcPr>
            <w:tcW w:w="0" w:type="auto"/>
            <w:noWrap w:val="0"/>
            <w:vAlign w:val="center"/>
          </w:tcPr>
          <w:p w14:paraId="15FCE5A9">
            <w:r>
              <w:rPr>
                <w:rStyle w:val="10"/>
                <w:rFonts w:hint="eastAsia"/>
              </w:rPr>
              <w:t>备注：</w:t>
            </w:r>
          </w:p>
        </w:tc>
      </w:tr>
    </w:tbl>
    <w:p w14:paraId="63CC257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77AF04">
        <w:tblPrEx>
          <w:tblCellMar>
            <w:top w:w="0" w:type="dxa"/>
            <w:left w:w="0" w:type="dxa"/>
            <w:bottom w:w="0" w:type="dxa"/>
            <w:right w:w="0" w:type="dxa"/>
          </w:tblCellMar>
        </w:tblPrEx>
        <w:trPr>
          <w:wBefore w:w="0" w:type="auto"/>
          <w:tblCellSpacing w:w="0" w:type="dxa"/>
        </w:trPr>
        <w:tc>
          <w:tcPr>
            <w:tcW w:w="0" w:type="auto"/>
            <w:noWrap w:val="0"/>
            <w:vAlign w:val="center"/>
          </w:tcPr>
          <w:p w14:paraId="3A85FEE6">
            <w:r>
              <w:rPr>
                <w:rStyle w:val="10"/>
                <w:rFonts w:hint="eastAsia"/>
              </w:rPr>
              <w:t>登记证号：</w:t>
            </w:r>
            <w:r>
              <w:rPr>
                <w:rFonts w:hint="eastAsia"/>
              </w:rPr>
              <w:t>PD20212578</w:t>
            </w:r>
          </w:p>
        </w:tc>
      </w:tr>
      <w:tr w14:paraId="37D0B29B">
        <w:tblPrEx>
          <w:tblCellMar>
            <w:top w:w="0" w:type="dxa"/>
            <w:left w:w="0" w:type="dxa"/>
            <w:bottom w:w="0" w:type="dxa"/>
            <w:right w:w="0" w:type="dxa"/>
          </w:tblCellMar>
        </w:tblPrEx>
        <w:trPr>
          <w:wBefore w:w="0" w:type="auto"/>
          <w:tblCellSpacing w:w="0" w:type="dxa"/>
        </w:trPr>
        <w:tc>
          <w:tcPr>
            <w:tcW w:w="0" w:type="auto"/>
            <w:noWrap w:val="0"/>
            <w:vAlign w:val="center"/>
          </w:tcPr>
          <w:p w14:paraId="616B3A1B">
            <w:r>
              <w:rPr>
                <w:rStyle w:val="10"/>
                <w:rFonts w:hint="eastAsia"/>
              </w:rPr>
              <w:t>登记证持有人：</w:t>
            </w:r>
            <w:r>
              <w:rPr>
                <w:rFonts w:hint="eastAsia"/>
              </w:rPr>
              <w:t>安徽黑包公有害生物防控有限公司</w:t>
            </w:r>
          </w:p>
        </w:tc>
      </w:tr>
      <w:tr w14:paraId="2F349AD4">
        <w:tblPrEx>
          <w:tblCellMar>
            <w:top w:w="0" w:type="dxa"/>
            <w:left w:w="0" w:type="dxa"/>
            <w:bottom w:w="0" w:type="dxa"/>
            <w:right w:w="0" w:type="dxa"/>
          </w:tblCellMar>
        </w:tblPrEx>
        <w:trPr>
          <w:wBefore w:w="0" w:type="auto"/>
          <w:tblCellSpacing w:w="0" w:type="dxa"/>
        </w:trPr>
        <w:tc>
          <w:tcPr>
            <w:tcW w:w="0" w:type="auto"/>
            <w:noWrap w:val="0"/>
            <w:vAlign w:val="center"/>
          </w:tcPr>
          <w:p w14:paraId="0F216D67">
            <w:r>
              <w:rPr>
                <w:rStyle w:val="10"/>
                <w:rFonts w:hint="eastAsia"/>
              </w:rPr>
              <w:t>农药名称：</w:t>
            </w:r>
            <w:r>
              <w:rPr>
                <w:rFonts w:hint="eastAsia"/>
              </w:rPr>
              <w:t>环嗪酮</w:t>
            </w:r>
          </w:p>
        </w:tc>
      </w:tr>
      <w:tr w14:paraId="3452988B">
        <w:tblPrEx>
          <w:tblCellMar>
            <w:top w:w="0" w:type="dxa"/>
            <w:left w:w="0" w:type="dxa"/>
            <w:bottom w:w="0" w:type="dxa"/>
            <w:right w:w="0" w:type="dxa"/>
          </w:tblCellMar>
        </w:tblPrEx>
        <w:trPr>
          <w:wBefore w:w="0" w:type="auto"/>
          <w:tblCellSpacing w:w="0" w:type="dxa"/>
        </w:trPr>
        <w:tc>
          <w:tcPr>
            <w:tcW w:w="0" w:type="auto"/>
            <w:noWrap w:val="0"/>
            <w:vAlign w:val="center"/>
          </w:tcPr>
          <w:p w14:paraId="1A3A4C95">
            <w:r>
              <w:rPr>
                <w:rStyle w:val="10"/>
                <w:rFonts w:hint="eastAsia"/>
              </w:rPr>
              <w:t>剂型：</w:t>
            </w:r>
            <w:r>
              <w:rPr>
                <w:rFonts w:hint="eastAsia"/>
              </w:rPr>
              <w:t>水分散粒剂</w:t>
            </w:r>
          </w:p>
        </w:tc>
      </w:tr>
      <w:tr w14:paraId="7FC1F06D">
        <w:tblPrEx>
          <w:tblCellMar>
            <w:top w:w="0" w:type="dxa"/>
            <w:left w:w="0" w:type="dxa"/>
            <w:bottom w:w="0" w:type="dxa"/>
            <w:right w:w="0" w:type="dxa"/>
          </w:tblCellMar>
        </w:tblPrEx>
        <w:trPr>
          <w:wBefore w:w="0" w:type="auto"/>
          <w:tblCellSpacing w:w="0" w:type="dxa"/>
        </w:trPr>
        <w:tc>
          <w:tcPr>
            <w:tcW w:w="0" w:type="auto"/>
            <w:noWrap w:val="0"/>
            <w:vAlign w:val="center"/>
          </w:tcPr>
          <w:p w14:paraId="6437DCF5">
            <w:r>
              <w:rPr>
                <w:rStyle w:val="10"/>
                <w:rFonts w:hint="eastAsia"/>
              </w:rPr>
              <w:t>毒性及其标识：</w:t>
            </w:r>
            <w:r>
              <w:rPr>
                <w:rFonts w:hint="eastAsia"/>
              </w:rPr>
              <w:t xml:space="preserve"> </w:t>
            </w:r>
            <w:r>
              <w:rPr>
                <w:lang/>
              </w:rPr>
              <w:drawing>
                <wp:inline distT="0" distB="0" distL="114300" distR="114300">
                  <wp:extent cx="476250" cy="323850"/>
                  <wp:effectExtent l="0" t="0" r="0" b="0"/>
                  <wp:docPr id="152" name="图片 1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55EF16">
        <w:tblPrEx>
          <w:tblCellMar>
            <w:top w:w="0" w:type="dxa"/>
            <w:left w:w="0" w:type="dxa"/>
            <w:bottom w:w="0" w:type="dxa"/>
            <w:right w:w="0" w:type="dxa"/>
          </w:tblCellMar>
        </w:tblPrEx>
        <w:trPr>
          <w:wBefore w:w="0" w:type="auto"/>
          <w:tblCellSpacing w:w="0" w:type="dxa"/>
        </w:trPr>
        <w:tc>
          <w:tcPr>
            <w:tcW w:w="0" w:type="auto"/>
            <w:noWrap w:val="0"/>
            <w:vAlign w:val="center"/>
          </w:tcPr>
          <w:p w14:paraId="42DE1A56">
            <w:r>
              <w:rPr>
                <w:rStyle w:val="10"/>
                <w:rFonts w:hint="eastAsia"/>
              </w:rPr>
              <w:t>总有效成分含量：</w:t>
            </w:r>
            <w:r>
              <w:rPr>
                <w:rFonts w:hint="eastAsia"/>
              </w:rPr>
              <w:t>75%</w:t>
            </w:r>
          </w:p>
        </w:tc>
      </w:tr>
      <w:tr w14:paraId="4C472CB0">
        <w:tblPrEx>
          <w:tblCellMar>
            <w:top w:w="0" w:type="dxa"/>
            <w:left w:w="0" w:type="dxa"/>
            <w:bottom w:w="0" w:type="dxa"/>
            <w:right w:w="0" w:type="dxa"/>
          </w:tblCellMar>
        </w:tblPrEx>
        <w:trPr>
          <w:wBefore w:w="0" w:type="auto"/>
          <w:tblCellSpacing w:w="0" w:type="dxa"/>
        </w:trPr>
        <w:tc>
          <w:tcPr>
            <w:tcW w:w="0" w:type="auto"/>
            <w:noWrap w:val="0"/>
            <w:vAlign w:val="center"/>
          </w:tcPr>
          <w:p w14:paraId="2C38B14F">
            <w:r>
              <w:rPr>
                <w:rFonts w:hint="eastAsia"/>
              </w:rPr>
              <w:t xml:space="preserve">有效成分及其含量： </w:t>
            </w:r>
          </w:p>
          <w:p w14:paraId="7DF67F27">
            <w:r>
              <w:rPr>
                <w:rFonts w:hint="eastAsia"/>
              </w:rPr>
              <w:t xml:space="preserve">    环嗪酮75%    </w:t>
            </w:r>
          </w:p>
        </w:tc>
      </w:tr>
      <w:tr w14:paraId="7F11D5BE">
        <w:tblPrEx>
          <w:tblCellMar>
            <w:top w:w="0" w:type="dxa"/>
            <w:left w:w="0" w:type="dxa"/>
            <w:bottom w:w="0" w:type="dxa"/>
            <w:right w:w="0" w:type="dxa"/>
          </w:tblCellMar>
        </w:tblPrEx>
        <w:trPr>
          <w:wBefore w:w="0" w:type="auto"/>
          <w:tblCellSpacing w:w="0" w:type="dxa"/>
        </w:trPr>
        <w:tc>
          <w:tcPr>
            <w:tcW w:w="0" w:type="auto"/>
            <w:noWrap w:val="0"/>
            <w:vAlign w:val="center"/>
          </w:tcPr>
          <w:p w14:paraId="654845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6913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E3A2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58B0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C3E9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78ECE6">
                  <w:r>
                    <w:rPr>
                      <w:rStyle w:val="11"/>
                      <w:rFonts w:hint="eastAsia"/>
                    </w:rPr>
                    <w:t>施用方式</w:t>
                  </w:r>
                </w:p>
              </w:tc>
            </w:tr>
            <w:tr w14:paraId="5C3105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1593C1">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A60E9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02ACA4">
                  <w:r>
                    <w:rPr>
                      <w:rStyle w:val="11"/>
                      <w:rFonts w:hint="eastAsia"/>
                    </w:rPr>
                    <w:t>160-200克/亩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8D2B66">
                  <w:r>
                    <w:rPr>
                      <w:rStyle w:val="11"/>
                      <w:rFonts w:hint="eastAsia"/>
                    </w:rPr>
                    <w:t>茎叶喷雾</w:t>
                  </w:r>
                </w:p>
              </w:tc>
            </w:tr>
          </w:tbl>
          <w:p w14:paraId="2AE0FB04">
            <w:pPr>
              <w:rPr>
                <w:rFonts w:ascii="Times New Roman" w:hAnsi="Times New Roman" w:cs="Times New Roman"/>
                <w:sz w:val="20"/>
                <w:szCs w:val="20"/>
              </w:rPr>
            </w:pPr>
          </w:p>
        </w:tc>
      </w:tr>
      <w:tr w14:paraId="65F6A01F">
        <w:tblPrEx>
          <w:tblCellMar>
            <w:top w:w="0" w:type="dxa"/>
            <w:left w:w="0" w:type="dxa"/>
            <w:bottom w:w="0" w:type="dxa"/>
            <w:right w:w="0" w:type="dxa"/>
          </w:tblCellMar>
        </w:tblPrEx>
        <w:trPr>
          <w:wBefore w:w="0" w:type="auto"/>
          <w:tblCellSpacing w:w="0" w:type="dxa"/>
        </w:trPr>
        <w:tc>
          <w:tcPr>
            <w:tcW w:w="0" w:type="auto"/>
            <w:noWrap w:val="0"/>
            <w:vAlign w:val="center"/>
          </w:tcPr>
          <w:p w14:paraId="71F431CB">
            <w:r>
              <w:rPr>
                <w:rStyle w:val="10"/>
                <w:rFonts w:hint="eastAsia"/>
              </w:rPr>
              <w:t>使用技术要求:</w:t>
            </w:r>
            <w:r>
              <w:rPr>
                <w:rFonts w:hint="eastAsia"/>
              </w:rPr>
              <w:br w:type="textWrapping"/>
            </w:r>
            <w:r>
              <w:rPr>
                <w:rStyle w:val="11"/>
                <w:rFonts w:hint="eastAsia"/>
              </w:rPr>
              <w:t>本品用于森林防火道防除杂草，于杂草生长初盛期，每亩兑水30-50公斤，均匀茎叶喷雾，施药时尽可能均匀周到。 大风天或预计1小时内有雨，请勿施药。</w:t>
            </w:r>
          </w:p>
        </w:tc>
      </w:tr>
      <w:tr w14:paraId="3C5D09F7">
        <w:tblPrEx>
          <w:tblCellMar>
            <w:top w:w="0" w:type="dxa"/>
            <w:left w:w="0" w:type="dxa"/>
            <w:bottom w:w="0" w:type="dxa"/>
            <w:right w:w="0" w:type="dxa"/>
          </w:tblCellMar>
        </w:tblPrEx>
        <w:trPr>
          <w:wBefore w:w="0" w:type="auto"/>
          <w:tblCellSpacing w:w="0" w:type="dxa"/>
        </w:trPr>
        <w:tc>
          <w:tcPr>
            <w:tcW w:w="0" w:type="auto"/>
            <w:noWrap w:val="0"/>
            <w:vAlign w:val="center"/>
          </w:tcPr>
          <w:p w14:paraId="4820EDA1">
            <w:r>
              <w:rPr>
                <w:rStyle w:val="10"/>
                <w:rFonts w:hint="eastAsia"/>
              </w:rPr>
              <w:t>产品性能:</w:t>
            </w:r>
            <w:r>
              <w:rPr>
                <w:rFonts w:hint="eastAsia"/>
              </w:rPr>
              <w:br w:type="textWrapping"/>
            </w:r>
            <w:r>
              <w:rPr>
                <w:rStyle w:val="11"/>
                <w:rFonts w:hint="eastAsia"/>
              </w:rPr>
              <w:t>本品为林用除草剂，主要抑制植物的光合作用，使代谢紊乱，导致死亡。植物根系和叶面都能吸收环嗪酮，主要通过木质部运输。进入土壤后能被土壤微生物分解，对树木根部无伤害。主要用于开辟森林防火道。</w:t>
            </w:r>
          </w:p>
        </w:tc>
      </w:tr>
      <w:tr w14:paraId="675366F5">
        <w:tblPrEx>
          <w:tblCellMar>
            <w:top w:w="0" w:type="dxa"/>
            <w:left w:w="0" w:type="dxa"/>
            <w:bottom w:w="0" w:type="dxa"/>
            <w:right w:w="0" w:type="dxa"/>
          </w:tblCellMar>
        </w:tblPrEx>
        <w:trPr>
          <w:wBefore w:w="0" w:type="auto"/>
          <w:tblCellSpacing w:w="0" w:type="dxa"/>
        </w:trPr>
        <w:tc>
          <w:tcPr>
            <w:tcW w:w="0" w:type="auto"/>
            <w:noWrap w:val="0"/>
            <w:vAlign w:val="center"/>
          </w:tcPr>
          <w:p w14:paraId="6427594F">
            <w:r>
              <w:rPr>
                <w:rStyle w:val="10"/>
                <w:rFonts w:hint="eastAsia"/>
              </w:rPr>
              <w:t>注意事项：</w:t>
            </w:r>
            <w:r>
              <w:rPr>
                <w:rFonts w:hint="eastAsia"/>
              </w:rPr>
              <w:br w:type="textWrapping"/>
            </w:r>
            <w:r>
              <w:rPr>
                <w:rStyle w:val="11"/>
                <w:rFonts w:hint="eastAsia"/>
              </w:rPr>
              <w:t>1.开启包装物及施药时施药人员穿戴防护服装、防护靴、口罩及手套等防护用品。避免与口、眼及皮肤接触；喷药时不要吸烟或饮食，工作完毕后，应清洗手及裸露的皮肤。2.本品药效的发挥与降雨有密切关系，最好在雨季前用药。如果施药后15天不降雨，应想法在施药处浇水，否则药效较差。3.本品忌在暴雨前使用，导致药剂被雨水冲走。4.远离水产养殖区、河塘等水体施药，禁止在河塘等水体中清洗施药器具。5.（周围）开花植物花期禁用，使用期间应密切关注对附近蜂群的影响；鸟类保护区附近禁用。6.用过的容器应妥善处理，不可做他用，也不可随意丢弃。7.孕妇及哺乳期妇女避免接触本产品。</w:t>
            </w:r>
          </w:p>
        </w:tc>
      </w:tr>
      <w:tr w14:paraId="20036B09">
        <w:tblPrEx>
          <w:tblCellMar>
            <w:top w:w="0" w:type="dxa"/>
            <w:left w:w="0" w:type="dxa"/>
            <w:bottom w:w="0" w:type="dxa"/>
            <w:right w:w="0" w:type="dxa"/>
          </w:tblCellMar>
        </w:tblPrEx>
        <w:trPr>
          <w:wBefore w:w="0" w:type="auto"/>
          <w:tblCellSpacing w:w="0" w:type="dxa"/>
        </w:trPr>
        <w:tc>
          <w:tcPr>
            <w:tcW w:w="0" w:type="auto"/>
            <w:noWrap w:val="0"/>
            <w:vAlign w:val="center"/>
          </w:tcPr>
          <w:p w14:paraId="72D06444">
            <w:r>
              <w:rPr>
                <w:rStyle w:val="10"/>
                <w:rFonts w:hint="eastAsia"/>
              </w:rPr>
              <w:t>中毒急救措施：</w:t>
            </w:r>
            <w:r>
              <w:rPr>
                <w:rFonts w:hint="eastAsia"/>
              </w:rPr>
              <w:br w:type="textWrapping"/>
            </w:r>
            <w:r>
              <w:rPr>
                <w:rStyle w:val="11"/>
                <w:rFonts w:hint="eastAsia"/>
              </w:rPr>
              <w:t>1.吸入后：提供新鲜空气；如有症状求教医生。2.、皮肤接触后：立即用水和肥皂清洗，并彻冲洗干净。3.眼睛接触后：使眼睛打开流水冲洗几分钟，如有持续的症状，求教医生。4.如误服应立即催吐。呕吐停止后服用活性炭，如果还没有腹泻，可在炭泥中加入山梨醇。失水和电解质严重紊乱时，需要补充口服液或静脉输液。 对症治疗，无解毒剂。</w:t>
            </w:r>
          </w:p>
        </w:tc>
      </w:tr>
      <w:tr w14:paraId="3CF6D5E8">
        <w:tblPrEx>
          <w:tblCellMar>
            <w:top w:w="0" w:type="dxa"/>
            <w:left w:w="0" w:type="dxa"/>
            <w:bottom w:w="0" w:type="dxa"/>
            <w:right w:w="0" w:type="dxa"/>
          </w:tblCellMar>
        </w:tblPrEx>
        <w:trPr>
          <w:wBefore w:w="0" w:type="auto"/>
          <w:tblCellSpacing w:w="0" w:type="dxa"/>
        </w:trPr>
        <w:tc>
          <w:tcPr>
            <w:tcW w:w="0" w:type="auto"/>
            <w:noWrap w:val="0"/>
            <w:vAlign w:val="center"/>
          </w:tcPr>
          <w:p w14:paraId="4AA51EB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本品应贮存在干燥、阴凉、通风、防雨处，远离火源或热源。置于儿童、无关人员及动物接触不到的地方，并加锁保存。勿与食品、饮料、饲料和粮食等同贮同运。</w:t>
            </w:r>
          </w:p>
        </w:tc>
      </w:tr>
      <w:tr w14:paraId="043D24A7">
        <w:tblPrEx>
          <w:tblCellMar>
            <w:top w:w="0" w:type="dxa"/>
            <w:left w:w="0" w:type="dxa"/>
            <w:bottom w:w="0" w:type="dxa"/>
            <w:right w:w="0" w:type="dxa"/>
          </w:tblCellMar>
        </w:tblPrEx>
        <w:trPr>
          <w:wBefore w:w="0" w:type="auto"/>
          <w:tblCellSpacing w:w="0" w:type="dxa"/>
        </w:trPr>
        <w:tc>
          <w:tcPr>
            <w:tcW w:w="0" w:type="auto"/>
            <w:noWrap w:val="0"/>
            <w:vAlign w:val="center"/>
          </w:tcPr>
          <w:p w14:paraId="2F139416">
            <w:r>
              <w:rPr>
                <w:rStyle w:val="10"/>
                <w:rFonts w:hint="eastAsia"/>
              </w:rPr>
              <w:t>质量保证期：</w:t>
            </w:r>
            <w:r>
              <w:rPr>
                <w:rStyle w:val="11"/>
                <w:rFonts w:hint="eastAsia"/>
              </w:rPr>
              <w:t>2年</w:t>
            </w:r>
          </w:p>
        </w:tc>
      </w:tr>
      <w:tr w14:paraId="3A94468E">
        <w:tblPrEx>
          <w:tblCellMar>
            <w:top w:w="0" w:type="dxa"/>
            <w:left w:w="0" w:type="dxa"/>
            <w:bottom w:w="0" w:type="dxa"/>
            <w:right w:w="0" w:type="dxa"/>
          </w:tblCellMar>
        </w:tblPrEx>
        <w:trPr>
          <w:wBefore w:w="0" w:type="auto"/>
          <w:tblCellSpacing w:w="0" w:type="dxa"/>
        </w:trPr>
        <w:tc>
          <w:tcPr>
            <w:tcW w:w="0" w:type="auto"/>
            <w:noWrap w:val="0"/>
            <w:vAlign w:val="center"/>
          </w:tcPr>
          <w:p w14:paraId="4ABD69E7">
            <w:r>
              <w:rPr>
                <w:rStyle w:val="10"/>
                <w:rFonts w:hint="eastAsia"/>
              </w:rPr>
              <w:t>备注：</w:t>
            </w:r>
          </w:p>
        </w:tc>
      </w:tr>
    </w:tbl>
    <w:p w14:paraId="1C5D0B2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CFFAC5">
        <w:tblPrEx>
          <w:tblCellMar>
            <w:top w:w="0" w:type="dxa"/>
            <w:left w:w="0" w:type="dxa"/>
            <w:bottom w:w="0" w:type="dxa"/>
            <w:right w:w="0" w:type="dxa"/>
          </w:tblCellMar>
        </w:tblPrEx>
        <w:trPr>
          <w:wBefore w:w="0" w:type="auto"/>
          <w:tblCellSpacing w:w="0" w:type="dxa"/>
        </w:trPr>
        <w:tc>
          <w:tcPr>
            <w:tcW w:w="0" w:type="auto"/>
            <w:noWrap w:val="0"/>
            <w:vAlign w:val="center"/>
          </w:tcPr>
          <w:p w14:paraId="4461C3FB">
            <w:r>
              <w:rPr>
                <w:rStyle w:val="10"/>
                <w:rFonts w:hint="eastAsia"/>
              </w:rPr>
              <w:t>登记证号：</w:t>
            </w:r>
            <w:r>
              <w:rPr>
                <w:rFonts w:hint="eastAsia"/>
              </w:rPr>
              <w:t>PD20212779</w:t>
            </w:r>
          </w:p>
        </w:tc>
      </w:tr>
      <w:tr w14:paraId="6EED58E6">
        <w:tblPrEx>
          <w:tblCellMar>
            <w:top w:w="0" w:type="dxa"/>
            <w:left w:w="0" w:type="dxa"/>
            <w:bottom w:w="0" w:type="dxa"/>
            <w:right w:w="0" w:type="dxa"/>
          </w:tblCellMar>
        </w:tblPrEx>
        <w:trPr>
          <w:wBefore w:w="0" w:type="auto"/>
          <w:tblCellSpacing w:w="0" w:type="dxa"/>
        </w:trPr>
        <w:tc>
          <w:tcPr>
            <w:tcW w:w="0" w:type="auto"/>
            <w:noWrap w:val="0"/>
            <w:vAlign w:val="center"/>
          </w:tcPr>
          <w:p w14:paraId="1078D10E">
            <w:r>
              <w:rPr>
                <w:rStyle w:val="10"/>
                <w:rFonts w:hint="eastAsia"/>
              </w:rPr>
              <w:t>登记证持有人：</w:t>
            </w:r>
            <w:r>
              <w:rPr>
                <w:rFonts w:hint="eastAsia"/>
              </w:rPr>
              <w:t>阿尔兹化学托斯伯格有限公司</w:t>
            </w:r>
          </w:p>
        </w:tc>
      </w:tr>
      <w:tr w14:paraId="57A39AF3">
        <w:tblPrEx>
          <w:tblCellMar>
            <w:top w:w="0" w:type="dxa"/>
            <w:left w:w="0" w:type="dxa"/>
            <w:bottom w:w="0" w:type="dxa"/>
            <w:right w:w="0" w:type="dxa"/>
          </w:tblCellMar>
        </w:tblPrEx>
        <w:trPr>
          <w:wBefore w:w="0" w:type="auto"/>
          <w:tblCellSpacing w:w="0" w:type="dxa"/>
        </w:trPr>
        <w:tc>
          <w:tcPr>
            <w:tcW w:w="0" w:type="auto"/>
            <w:noWrap w:val="0"/>
            <w:vAlign w:val="center"/>
          </w:tcPr>
          <w:p w14:paraId="42E19B71">
            <w:r>
              <w:rPr>
                <w:rStyle w:val="10"/>
                <w:rFonts w:hint="eastAsia"/>
              </w:rPr>
              <w:t>农药名称：</w:t>
            </w:r>
            <w:r>
              <w:rPr>
                <w:rFonts w:hint="eastAsia"/>
              </w:rPr>
              <w:t>单氰胺</w:t>
            </w:r>
          </w:p>
        </w:tc>
      </w:tr>
      <w:tr w14:paraId="6241FC96">
        <w:tblPrEx>
          <w:tblCellMar>
            <w:top w:w="0" w:type="dxa"/>
            <w:left w:w="0" w:type="dxa"/>
            <w:bottom w:w="0" w:type="dxa"/>
            <w:right w:w="0" w:type="dxa"/>
          </w:tblCellMar>
        </w:tblPrEx>
        <w:trPr>
          <w:wBefore w:w="0" w:type="auto"/>
          <w:tblCellSpacing w:w="0" w:type="dxa"/>
        </w:trPr>
        <w:tc>
          <w:tcPr>
            <w:tcW w:w="0" w:type="auto"/>
            <w:noWrap w:val="0"/>
            <w:vAlign w:val="center"/>
          </w:tcPr>
          <w:p w14:paraId="3430EC44">
            <w:r>
              <w:rPr>
                <w:rStyle w:val="10"/>
                <w:rFonts w:hint="eastAsia"/>
              </w:rPr>
              <w:t>剂型：</w:t>
            </w:r>
            <w:r>
              <w:rPr>
                <w:rFonts w:hint="eastAsia"/>
              </w:rPr>
              <w:t>可溶液剂</w:t>
            </w:r>
          </w:p>
        </w:tc>
      </w:tr>
      <w:tr w14:paraId="3C1ED155">
        <w:tblPrEx>
          <w:tblCellMar>
            <w:top w:w="0" w:type="dxa"/>
            <w:left w:w="0" w:type="dxa"/>
            <w:bottom w:w="0" w:type="dxa"/>
            <w:right w:w="0" w:type="dxa"/>
          </w:tblCellMar>
        </w:tblPrEx>
        <w:trPr>
          <w:wBefore w:w="0" w:type="auto"/>
          <w:tblCellSpacing w:w="0" w:type="dxa"/>
        </w:trPr>
        <w:tc>
          <w:tcPr>
            <w:tcW w:w="0" w:type="auto"/>
            <w:noWrap w:val="0"/>
            <w:vAlign w:val="center"/>
          </w:tcPr>
          <w:p w14:paraId="75A40709">
            <w:r>
              <w:rPr>
                <w:rStyle w:val="10"/>
                <w:rFonts w:hint="eastAsia"/>
              </w:rPr>
              <w:t>毒性及其标识：</w:t>
            </w:r>
            <w:r>
              <w:rPr>
                <w:rFonts w:hint="eastAsia"/>
              </w:rPr>
              <w:t xml:space="preserve"> </w:t>
            </w:r>
            <w:r>
              <w:rPr>
                <w:lang/>
              </w:rPr>
              <w:drawing>
                <wp:inline distT="0" distB="0" distL="114300" distR="114300">
                  <wp:extent cx="476250" cy="323850"/>
                  <wp:effectExtent l="0" t="0" r="0" b="0"/>
                  <wp:docPr id="153" name="图片 153"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12B7901E">
        <w:tblPrEx>
          <w:tblCellMar>
            <w:top w:w="0" w:type="dxa"/>
            <w:left w:w="0" w:type="dxa"/>
            <w:bottom w:w="0" w:type="dxa"/>
            <w:right w:w="0" w:type="dxa"/>
          </w:tblCellMar>
        </w:tblPrEx>
        <w:trPr>
          <w:wBefore w:w="0" w:type="auto"/>
          <w:tblCellSpacing w:w="0" w:type="dxa"/>
        </w:trPr>
        <w:tc>
          <w:tcPr>
            <w:tcW w:w="0" w:type="auto"/>
            <w:noWrap w:val="0"/>
            <w:vAlign w:val="center"/>
          </w:tcPr>
          <w:p w14:paraId="46022EAF">
            <w:r>
              <w:rPr>
                <w:rStyle w:val="10"/>
                <w:rFonts w:hint="eastAsia"/>
              </w:rPr>
              <w:t>总有效成分含量：</w:t>
            </w:r>
            <w:r>
              <w:rPr>
                <w:rFonts w:hint="eastAsia"/>
              </w:rPr>
              <w:t>50%</w:t>
            </w:r>
          </w:p>
        </w:tc>
      </w:tr>
      <w:tr w14:paraId="7E600468">
        <w:tblPrEx>
          <w:tblCellMar>
            <w:top w:w="0" w:type="dxa"/>
            <w:left w:w="0" w:type="dxa"/>
            <w:bottom w:w="0" w:type="dxa"/>
            <w:right w:w="0" w:type="dxa"/>
          </w:tblCellMar>
        </w:tblPrEx>
        <w:trPr>
          <w:wBefore w:w="0" w:type="auto"/>
          <w:tblCellSpacing w:w="0" w:type="dxa"/>
        </w:trPr>
        <w:tc>
          <w:tcPr>
            <w:tcW w:w="0" w:type="auto"/>
            <w:noWrap w:val="0"/>
            <w:vAlign w:val="center"/>
          </w:tcPr>
          <w:p w14:paraId="289E4F7D">
            <w:r>
              <w:rPr>
                <w:rFonts w:hint="eastAsia"/>
              </w:rPr>
              <w:t xml:space="preserve">有效成分及其含量： </w:t>
            </w:r>
          </w:p>
          <w:p w14:paraId="181A1F22">
            <w:r>
              <w:rPr>
                <w:rFonts w:hint="eastAsia"/>
              </w:rPr>
              <w:t xml:space="preserve">    单氰胺50%    </w:t>
            </w:r>
          </w:p>
        </w:tc>
      </w:tr>
      <w:tr w14:paraId="1FEB8014">
        <w:tblPrEx>
          <w:tblCellMar>
            <w:top w:w="0" w:type="dxa"/>
            <w:left w:w="0" w:type="dxa"/>
            <w:bottom w:w="0" w:type="dxa"/>
            <w:right w:w="0" w:type="dxa"/>
          </w:tblCellMar>
        </w:tblPrEx>
        <w:trPr>
          <w:wBefore w:w="0" w:type="auto"/>
          <w:tblCellSpacing w:w="0" w:type="dxa"/>
        </w:trPr>
        <w:tc>
          <w:tcPr>
            <w:tcW w:w="0" w:type="auto"/>
            <w:noWrap w:val="0"/>
            <w:vAlign w:val="center"/>
          </w:tcPr>
          <w:p w14:paraId="3950C9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413B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A62A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57114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7586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0B9583">
                  <w:r>
                    <w:rPr>
                      <w:rStyle w:val="11"/>
                      <w:rFonts w:hint="eastAsia"/>
                    </w:rPr>
                    <w:t>施用方式</w:t>
                  </w:r>
                </w:p>
              </w:tc>
            </w:tr>
            <w:tr w14:paraId="3EF1BF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AC4AA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8FDCE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87CC82">
                  <w:r>
                    <w:rPr>
                      <w:rStyle w:val="11"/>
                      <w:rFonts w:hint="eastAsia"/>
                    </w:rPr>
                    <w:t>20-30倍液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39F6FF">
                  <w:r>
                    <w:rPr>
                      <w:rStyle w:val="11"/>
                      <w:rFonts w:hint="eastAsia"/>
                    </w:rPr>
                    <w:t>喷雾</w:t>
                  </w:r>
                </w:p>
              </w:tc>
            </w:tr>
          </w:tbl>
          <w:p w14:paraId="7805FFC0">
            <w:pPr>
              <w:rPr>
                <w:rFonts w:ascii="Times New Roman" w:hAnsi="Times New Roman" w:cs="Times New Roman"/>
                <w:sz w:val="20"/>
                <w:szCs w:val="20"/>
              </w:rPr>
            </w:pPr>
          </w:p>
        </w:tc>
      </w:tr>
      <w:tr w14:paraId="637D8199">
        <w:tblPrEx>
          <w:tblCellMar>
            <w:top w:w="0" w:type="dxa"/>
            <w:left w:w="0" w:type="dxa"/>
            <w:bottom w:w="0" w:type="dxa"/>
            <w:right w:w="0" w:type="dxa"/>
          </w:tblCellMar>
        </w:tblPrEx>
        <w:trPr>
          <w:wBefore w:w="0" w:type="auto"/>
          <w:tblCellSpacing w:w="0" w:type="dxa"/>
        </w:trPr>
        <w:tc>
          <w:tcPr>
            <w:tcW w:w="0" w:type="auto"/>
            <w:noWrap w:val="0"/>
            <w:vAlign w:val="center"/>
          </w:tcPr>
          <w:p w14:paraId="79AC4287">
            <w:r>
              <w:rPr>
                <w:rStyle w:val="10"/>
                <w:rFonts w:hint="eastAsia"/>
              </w:rPr>
              <w:t>使用技术要求:</w:t>
            </w:r>
            <w:r>
              <w:rPr>
                <w:rFonts w:hint="eastAsia"/>
              </w:rPr>
              <w:br w:type="textWrapping"/>
            </w:r>
            <w:r>
              <w:rPr>
                <w:rStyle w:val="11"/>
                <w:rFonts w:hint="eastAsia"/>
              </w:rPr>
              <w:t>1. 于葡萄自然发芽前约30-45天，以推荐剂量对水均匀全株喷雾施药一次，覆盖所有芽点和芽苞。 2. 本品不能和其他物质混合使用。 3. 施药时应防止漂移的雾滴落到其它植物上。 4. 大风天或预计1小时内降雨，请勿施药。 5. 每季作物最多使用1次。</w:t>
            </w:r>
          </w:p>
        </w:tc>
      </w:tr>
      <w:tr w14:paraId="7DC9E55F">
        <w:tblPrEx>
          <w:tblCellMar>
            <w:top w:w="0" w:type="dxa"/>
            <w:left w:w="0" w:type="dxa"/>
            <w:bottom w:w="0" w:type="dxa"/>
            <w:right w:w="0" w:type="dxa"/>
          </w:tblCellMar>
        </w:tblPrEx>
        <w:trPr>
          <w:wBefore w:w="0" w:type="auto"/>
          <w:tblCellSpacing w:w="0" w:type="dxa"/>
        </w:trPr>
        <w:tc>
          <w:tcPr>
            <w:tcW w:w="0" w:type="auto"/>
            <w:noWrap w:val="0"/>
            <w:vAlign w:val="center"/>
          </w:tcPr>
          <w:p w14:paraId="70BFBD40">
            <w:r>
              <w:rPr>
                <w:rStyle w:val="10"/>
                <w:rFonts w:hint="eastAsia"/>
              </w:rPr>
              <w:t>产品性能:</w:t>
            </w:r>
            <w:r>
              <w:rPr>
                <w:rFonts w:hint="eastAsia"/>
              </w:rPr>
              <w:br w:type="textWrapping"/>
            </w:r>
            <w:r>
              <w:rPr>
                <w:rStyle w:val="11"/>
                <w:rFonts w:hint="eastAsia"/>
              </w:rPr>
              <w:t>单氰胺是一种植物生长调节剂，与自然萌芽比较，可有效提高葡萄发芽的整齐度、促进发芽数量和提早发芽，具有调节葡萄生长和增产的作用。</w:t>
            </w:r>
          </w:p>
        </w:tc>
      </w:tr>
      <w:tr w14:paraId="64E49B64">
        <w:tblPrEx>
          <w:tblCellMar>
            <w:top w:w="0" w:type="dxa"/>
            <w:left w:w="0" w:type="dxa"/>
            <w:bottom w:w="0" w:type="dxa"/>
            <w:right w:w="0" w:type="dxa"/>
          </w:tblCellMar>
        </w:tblPrEx>
        <w:trPr>
          <w:wBefore w:w="0" w:type="auto"/>
          <w:tblCellSpacing w:w="0" w:type="dxa"/>
        </w:trPr>
        <w:tc>
          <w:tcPr>
            <w:tcW w:w="0" w:type="auto"/>
            <w:noWrap w:val="0"/>
            <w:vAlign w:val="center"/>
          </w:tcPr>
          <w:p w14:paraId="13806EB1">
            <w:r>
              <w:rPr>
                <w:rStyle w:val="10"/>
                <w:rFonts w:hint="eastAsia"/>
              </w:rPr>
              <w:t>注意事项：</w:t>
            </w:r>
            <w:r>
              <w:rPr>
                <w:rFonts w:hint="eastAsia"/>
              </w:rPr>
              <w:br w:type="textWrapping"/>
            </w:r>
            <w:r>
              <w:rPr>
                <w:rStyle w:val="11"/>
                <w:rFonts w:hint="eastAsia"/>
              </w:rPr>
              <w:t>1. 本品对皮肤、眼睛有刺激性，施用应注意安全防护。使用本品时，要穿着能护住脖子和手腕上的化学防护服、胶靴，戴一顶可清洗的帽子、PVC手套、面罩或护目镜。注意尽量不要让产品和药液接触皮肤。如果衣物被产品污染或被喷雾弄湿，立即脱去衣物。如果产品或药液在皮肤上，立即用肥皂和水清洗。使用后及进食、饮用或吸烟前，请用肥皂及清水彻底洗手洗脸。每天使用完毕后，请清洗手套、面罩或护目镜以及被污染的衣物。2. 处理后1天内，禁止未穿防护服的人员，以及儿童和动物进入处理区域。3. 避免药液污染水源、河流、鱼塘等。远离水产养殖区施药，禁止在河塘等水体中清洗施药器具。4. 本品对蜜蜂有毒，（周围）开花植物花期禁用，使用期间应密切关注对附近蜂群的影响。施药前应将牲畜、鸟、鱼和家庭宠物迁出施药区域。5. 鸟类保护区或栖息地附近禁用。赤眼蜂、瓢虫等天敌放飞区域禁用。蚕室和桑园附近禁用。 6. 用过的废弃物要按照当地法规妥善处理，不能乱丢乱放，也不能做他用。7. 酒精饮料可与单氰胺发生交互作用。可能出现潮红症状（呼吸困难、脸色紫红等）。使用本品前后避免接触含酒精的饮料。8. 孕妇及哺乳期妇女避免接触本品。9. 避免与氧化剂接触。</w:t>
            </w:r>
          </w:p>
        </w:tc>
      </w:tr>
      <w:tr w14:paraId="525D3258">
        <w:tblPrEx>
          <w:tblCellMar>
            <w:top w:w="0" w:type="dxa"/>
            <w:left w:w="0" w:type="dxa"/>
            <w:bottom w:w="0" w:type="dxa"/>
            <w:right w:w="0" w:type="dxa"/>
          </w:tblCellMar>
        </w:tblPrEx>
        <w:trPr>
          <w:wBefore w:w="0" w:type="auto"/>
          <w:tblCellSpacing w:w="0" w:type="dxa"/>
        </w:trPr>
        <w:tc>
          <w:tcPr>
            <w:tcW w:w="0" w:type="auto"/>
            <w:noWrap w:val="0"/>
            <w:vAlign w:val="center"/>
          </w:tcPr>
          <w:p w14:paraId="27FE6EB4">
            <w:r>
              <w:rPr>
                <w:rStyle w:val="10"/>
                <w:rFonts w:hint="eastAsia"/>
              </w:rPr>
              <w:t>中毒急救措施：</w:t>
            </w:r>
            <w:r>
              <w:rPr>
                <w:rFonts w:hint="eastAsia"/>
              </w:rPr>
              <w:br w:type="textWrapping"/>
            </w:r>
            <w:r>
              <w:rPr>
                <w:rStyle w:val="11"/>
                <w:rFonts w:hint="eastAsia"/>
              </w:rPr>
              <w:t xml:space="preserve">中毒症状：本品如果吞下有毒。不要吸入蒸气或喷雾。避免接触眼睛和皮肤。 急救治疗：如果中毒发生，请联系医生或中毒信息中心。如果吞食，不要引吐，要喝一杯清水。如与皮肤接触，应脱去受污染的衣物，彻底清洗皮肤。如果眼睛进水，睁大眼睛，用清水冲洗至少15分钟，然后去看医生。 重要提示:不要在使用前或使用后24小时内饮用酒精饮料。 </w:t>
            </w:r>
          </w:p>
        </w:tc>
      </w:tr>
      <w:tr w14:paraId="4E6DA48E">
        <w:tblPrEx>
          <w:tblCellMar>
            <w:top w:w="0" w:type="dxa"/>
            <w:left w:w="0" w:type="dxa"/>
            <w:bottom w:w="0" w:type="dxa"/>
            <w:right w:w="0" w:type="dxa"/>
          </w:tblCellMar>
        </w:tblPrEx>
        <w:trPr>
          <w:wBefore w:w="0" w:type="auto"/>
          <w:tblCellSpacing w:w="0" w:type="dxa"/>
        </w:trPr>
        <w:tc>
          <w:tcPr>
            <w:tcW w:w="0" w:type="auto"/>
            <w:noWrap w:val="0"/>
            <w:vAlign w:val="center"/>
          </w:tcPr>
          <w:p w14:paraId="322DCDE9">
            <w:r>
              <w:rPr>
                <w:rStyle w:val="10"/>
                <w:rFonts w:hint="eastAsia"/>
              </w:rPr>
              <w:t>储存和运输方法：</w:t>
            </w:r>
            <w:r>
              <w:rPr>
                <w:rFonts w:hint="eastAsia"/>
              </w:rPr>
              <w:br w:type="textWrapping"/>
            </w:r>
            <w:r>
              <w:rPr>
                <w:rStyle w:val="11"/>
                <w:rFonts w:hint="eastAsia"/>
              </w:rPr>
              <w:t>1. 本品应储存在阴凉、避免高温，于低温（≤18℃，但不要冷冻）环境下贮存，禁止直接暴露在太阳下。要远离火源或热源。2. 置于儿童及无关人员接触不到的地方，并加锁保存。3. 不能与食品、饮料、粮食、饲料等混合储存或运输。</w:t>
            </w:r>
          </w:p>
        </w:tc>
      </w:tr>
      <w:tr w14:paraId="40BE5EFF">
        <w:tblPrEx>
          <w:tblCellMar>
            <w:top w:w="0" w:type="dxa"/>
            <w:left w:w="0" w:type="dxa"/>
            <w:bottom w:w="0" w:type="dxa"/>
            <w:right w:w="0" w:type="dxa"/>
          </w:tblCellMar>
        </w:tblPrEx>
        <w:trPr>
          <w:wBefore w:w="0" w:type="auto"/>
          <w:tblCellSpacing w:w="0" w:type="dxa"/>
        </w:trPr>
        <w:tc>
          <w:tcPr>
            <w:tcW w:w="0" w:type="auto"/>
            <w:noWrap w:val="0"/>
            <w:vAlign w:val="center"/>
          </w:tcPr>
          <w:p w14:paraId="3EDD3442">
            <w:r>
              <w:rPr>
                <w:rStyle w:val="10"/>
                <w:rFonts w:hint="eastAsia"/>
              </w:rPr>
              <w:t>质量保证期：</w:t>
            </w:r>
            <w:r>
              <w:rPr>
                <w:rStyle w:val="11"/>
                <w:rFonts w:hint="eastAsia"/>
              </w:rPr>
              <w:t>1年</w:t>
            </w:r>
          </w:p>
        </w:tc>
      </w:tr>
      <w:tr w14:paraId="1E91CB4B">
        <w:tblPrEx>
          <w:tblCellMar>
            <w:top w:w="0" w:type="dxa"/>
            <w:left w:w="0" w:type="dxa"/>
            <w:bottom w:w="0" w:type="dxa"/>
            <w:right w:w="0" w:type="dxa"/>
          </w:tblCellMar>
        </w:tblPrEx>
        <w:trPr>
          <w:wBefore w:w="0" w:type="auto"/>
          <w:tblCellSpacing w:w="0" w:type="dxa"/>
        </w:trPr>
        <w:tc>
          <w:tcPr>
            <w:tcW w:w="0" w:type="auto"/>
            <w:noWrap w:val="0"/>
            <w:vAlign w:val="center"/>
          </w:tcPr>
          <w:p w14:paraId="1F11BB61">
            <w:r>
              <w:rPr>
                <w:rStyle w:val="10"/>
                <w:rFonts w:hint="eastAsia"/>
              </w:rPr>
              <w:t>备注：</w:t>
            </w:r>
          </w:p>
        </w:tc>
      </w:tr>
    </w:tbl>
    <w:p w14:paraId="07CBCF5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0519A5">
        <w:tblPrEx>
          <w:tblCellMar>
            <w:top w:w="0" w:type="dxa"/>
            <w:left w:w="0" w:type="dxa"/>
            <w:bottom w:w="0" w:type="dxa"/>
            <w:right w:w="0" w:type="dxa"/>
          </w:tblCellMar>
        </w:tblPrEx>
        <w:trPr>
          <w:wBefore w:w="0" w:type="auto"/>
          <w:tblCellSpacing w:w="0" w:type="dxa"/>
        </w:trPr>
        <w:tc>
          <w:tcPr>
            <w:tcW w:w="0" w:type="auto"/>
            <w:noWrap w:val="0"/>
            <w:vAlign w:val="center"/>
          </w:tcPr>
          <w:p w14:paraId="7B2CDA8F">
            <w:r>
              <w:rPr>
                <w:rStyle w:val="10"/>
                <w:rFonts w:hint="eastAsia"/>
              </w:rPr>
              <w:t>登记证号：</w:t>
            </w:r>
            <w:r>
              <w:rPr>
                <w:rFonts w:hint="eastAsia"/>
              </w:rPr>
              <w:t>PD20212754</w:t>
            </w:r>
          </w:p>
        </w:tc>
      </w:tr>
      <w:tr w14:paraId="76D90E73">
        <w:tblPrEx>
          <w:tblCellMar>
            <w:top w:w="0" w:type="dxa"/>
            <w:left w:w="0" w:type="dxa"/>
            <w:bottom w:w="0" w:type="dxa"/>
            <w:right w:w="0" w:type="dxa"/>
          </w:tblCellMar>
        </w:tblPrEx>
        <w:trPr>
          <w:wBefore w:w="0" w:type="auto"/>
          <w:tblCellSpacing w:w="0" w:type="dxa"/>
        </w:trPr>
        <w:tc>
          <w:tcPr>
            <w:tcW w:w="0" w:type="auto"/>
            <w:noWrap w:val="0"/>
            <w:vAlign w:val="center"/>
          </w:tcPr>
          <w:p w14:paraId="6A80E9CF">
            <w:r>
              <w:rPr>
                <w:rStyle w:val="10"/>
                <w:rFonts w:hint="eastAsia"/>
              </w:rPr>
              <w:t>登记证持有人：</w:t>
            </w:r>
            <w:r>
              <w:rPr>
                <w:rFonts w:hint="eastAsia"/>
              </w:rPr>
              <w:t>山东奥坤作物科学股份有限公司</w:t>
            </w:r>
          </w:p>
        </w:tc>
      </w:tr>
      <w:tr w14:paraId="052B92D2">
        <w:tblPrEx>
          <w:tblCellMar>
            <w:top w:w="0" w:type="dxa"/>
            <w:left w:w="0" w:type="dxa"/>
            <w:bottom w:w="0" w:type="dxa"/>
            <w:right w:w="0" w:type="dxa"/>
          </w:tblCellMar>
        </w:tblPrEx>
        <w:trPr>
          <w:wBefore w:w="0" w:type="auto"/>
          <w:tblCellSpacing w:w="0" w:type="dxa"/>
        </w:trPr>
        <w:tc>
          <w:tcPr>
            <w:tcW w:w="0" w:type="auto"/>
            <w:noWrap w:val="0"/>
            <w:vAlign w:val="center"/>
          </w:tcPr>
          <w:p w14:paraId="1AC4CBCB">
            <w:r>
              <w:rPr>
                <w:rStyle w:val="10"/>
                <w:rFonts w:hint="eastAsia"/>
              </w:rPr>
              <w:t>农药名称：</w:t>
            </w:r>
            <w:r>
              <w:rPr>
                <w:rFonts w:hint="eastAsia"/>
              </w:rPr>
              <w:t>吲丁·萘乙酸</w:t>
            </w:r>
          </w:p>
        </w:tc>
      </w:tr>
      <w:tr w14:paraId="5B2201BA">
        <w:tblPrEx>
          <w:tblCellMar>
            <w:top w:w="0" w:type="dxa"/>
            <w:left w:w="0" w:type="dxa"/>
            <w:bottom w:w="0" w:type="dxa"/>
            <w:right w:w="0" w:type="dxa"/>
          </w:tblCellMar>
        </w:tblPrEx>
        <w:trPr>
          <w:wBefore w:w="0" w:type="auto"/>
          <w:tblCellSpacing w:w="0" w:type="dxa"/>
        </w:trPr>
        <w:tc>
          <w:tcPr>
            <w:tcW w:w="0" w:type="auto"/>
            <w:noWrap w:val="0"/>
            <w:vAlign w:val="center"/>
          </w:tcPr>
          <w:p w14:paraId="3686E216">
            <w:r>
              <w:rPr>
                <w:rStyle w:val="10"/>
                <w:rFonts w:hint="eastAsia"/>
              </w:rPr>
              <w:t>剂型：</w:t>
            </w:r>
            <w:r>
              <w:rPr>
                <w:rFonts w:hint="eastAsia"/>
              </w:rPr>
              <w:t>可溶液剂</w:t>
            </w:r>
          </w:p>
        </w:tc>
      </w:tr>
      <w:tr w14:paraId="70DEE124">
        <w:tblPrEx>
          <w:tblCellMar>
            <w:top w:w="0" w:type="dxa"/>
            <w:left w:w="0" w:type="dxa"/>
            <w:bottom w:w="0" w:type="dxa"/>
            <w:right w:w="0" w:type="dxa"/>
          </w:tblCellMar>
        </w:tblPrEx>
        <w:trPr>
          <w:wBefore w:w="0" w:type="auto"/>
          <w:tblCellSpacing w:w="0" w:type="dxa"/>
        </w:trPr>
        <w:tc>
          <w:tcPr>
            <w:tcW w:w="0" w:type="auto"/>
            <w:noWrap w:val="0"/>
            <w:vAlign w:val="center"/>
          </w:tcPr>
          <w:p w14:paraId="446F446E">
            <w:r>
              <w:rPr>
                <w:rStyle w:val="10"/>
                <w:rFonts w:hint="eastAsia"/>
              </w:rPr>
              <w:t>毒性及其标识：</w:t>
            </w:r>
            <w:r>
              <w:rPr>
                <w:rFonts w:hint="eastAsia"/>
              </w:rPr>
              <w:t xml:space="preserve"> 微毒 </w:t>
            </w:r>
          </w:p>
        </w:tc>
      </w:tr>
      <w:tr w14:paraId="4DDDC576">
        <w:tblPrEx>
          <w:tblCellMar>
            <w:top w:w="0" w:type="dxa"/>
            <w:left w:w="0" w:type="dxa"/>
            <w:bottom w:w="0" w:type="dxa"/>
            <w:right w:w="0" w:type="dxa"/>
          </w:tblCellMar>
        </w:tblPrEx>
        <w:trPr>
          <w:wBefore w:w="0" w:type="auto"/>
          <w:tblCellSpacing w:w="0" w:type="dxa"/>
        </w:trPr>
        <w:tc>
          <w:tcPr>
            <w:tcW w:w="0" w:type="auto"/>
            <w:noWrap w:val="0"/>
            <w:vAlign w:val="center"/>
          </w:tcPr>
          <w:p w14:paraId="10761B81">
            <w:r>
              <w:rPr>
                <w:rStyle w:val="10"/>
                <w:rFonts w:hint="eastAsia"/>
              </w:rPr>
              <w:t>总有效成分含量：</w:t>
            </w:r>
            <w:r>
              <w:rPr>
                <w:rFonts w:hint="eastAsia"/>
              </w:rPr>
              <w:t>5%</w:t>
            </w:r>
          </w:p>
        </w:tc>
      </w:tr>
      <w:tr w14:paraId="258B6B18">
        <w:tblPrEx>
          <w:tblCellMar>
            <w:top w:w="0" w:type="dxa"/>
            <w:left w:w="0" w:type="dxa"/>
            <w:bottom w:w="0" w:type="dxa"/>
            <w:right w:w="0" w:type="dxa"/>
          </w:tblCellMar>
        </w:tblPrEx>
        <w:trPr>
          <w:wBefore w:w="0" w:type="auto"/>
          <w:tblCellSpacing w:w="0" w:type="dxa"/>
        </w:trPr>
        <w:tc>
          <w:tcPr>
            <w:tcW w:w="0" w:type="auto"/>
            <w:noWrap w:val="0"/>
            <w:vAlign w:val="center"/>
          </w:tcPr>
          <w:p w14:paraId="6D62B1DA">
            <w:r>
              <w:rPr>
                <w:rFonts w:hint="eastAsia"/>
              </w:rPr>
              <w:t xml:space="preserve">有效成分及其含量： </w:t>
            </w:r>
          </w:p>
          <w:p w14:paraId="7624342C">
            <w:r>
              <w:rPr>
                <w:rFonts w:hint="eastAsia"/>
              </w:rPr>
              <w:t xml:space="preserve">    吲哚丁酸2.5%    萘乙酸2.5%    </w:t>
            </w:r>
          </w:p>
        </w:tc>
      </w:tr>
      <w:tr w14:paraId="6D573C2A">
        <w:tblPrEx>
          <w:tblCellMar>
            <w:top w:w="0" w:type="dxa"/>
            <w:left w:w="0" w:type="dxa"/>
            <w:bottom w:w="0" w:type="dxa"/>
            <w:right w:w="0" w:type="dxa"/>
          </w:tblCellMar>
        </w:tblPrEx>
        <w:trPr>
          <w:wBefore w:w="0" w:type="auto"/>
          <w:tblCellSpacing w:w="0" w:type="dxa"/>
        </w:trPr>
        <w:tc>
          <w:tcPr>
            <w:tcW w:w="0" w:type="auto"/>
            <w:noWrap w:val="0"/>
            <w:vAlign w:val="center"/>
          </w:tcPr>
          <w:p w14:paraId="1F7637D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D816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497DD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E4A48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E55B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9823E6">
                  <w:r>
                    <w:rPr>
                      <w:rStyle w:val="11"/>
                      <w:rFonts w:hint="eastAsia"/>
                    </w:rPr>
                    <w:t>施用方式</w:t>
                  </w:r>
                </w:p>
              </w:tc>
            </w:tr>
            <w:tr w14:paraId="2EDEC5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4BC1CF">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6BF48D">
                  <w:r>
                    <w:rPr>
                      <w:rStyle w:val="11"/>
                      <w:rFonts w:hint="eastAsia"/>
                    </w:rPr>
                    <w:t>提高成活率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6721B6">
                  <w:r>
                    <w:rPr>
                      <w:rStyle w:val="11"/>
                      <w:rFonts w:hint="eastAsia"/>
                    </w:rPr>
                    <w:t>250-500倍液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717A01">
                  <w:r>
                    <w:rPr>
                      <w:rStyle w:val="11"/>
                      <w:rFonts w:hint="eastAsia"/>
                    </w:rPr>
                    <w:t>浸泡插条基部</w:t>
                  </w:r>
                </w:p>
              </w:tc>
            </w:tr>
          </w:tbl>
          <w:p w14:paraId="3A91AC82">
            <w:pPr>
              <w:rPr>
                <w:rFonts w:ascii="Times New Roman" w:hAnsi="Times New Roman" w:cs="Times New Roman"/>
                <w:sz w:val="20"/>
                <w:szCs w:val="20"/>
              </w:rPr>
            </w:pPr>
          </w:p>
        </w:tc>
      </w:tr>
      <w:tr w14:paraId="4AD8DA6A">
        <w:tblPrEx>
          <w:tblCellMar>
            <w:top w:w="0" w:type="dxa"/>
            <w:left w:w="0" w:type="dxa"/>
            <w:bottom w:w="0" w:type="dxa"/>
            <w:right w:w="0" w:type="dxa"/>
          </w:tblCellMar>
        </w:tblPrEx>
        <w:trPr>
          <w:wBefore w:w="0" w:type="auto"/>
          <w:tblCellSpacing w:w="0" w:type="dxa"/>
        </w:trPr>
        <w:tc>
          <w:tcPr>
            <w:tcW w:w="0" w:type="auto"/>
            <w:noWrap w:val="0"/>
            <w:vAlign w:val="center"/>
          </w:tcPr>
          <w:p w14:paraId="10C8F206">
            <w:r>
              <w:rPr>
                <w:rStyle w:val="10"/>
                <w:rFonts w:hint="eastAsia"/>
              </w:rPr>
              <w:t>使用技术要求:</w:t>
            </w:r>
            <w:r>
              <w:rPr>
                <w:rFonts w:hint="eastAsia"/>
              </w:rPr>
              <w:br w:type="textWrapping"/>
            </w:r>
            <w:r>
              <w:rPr>
                <w:rStyle w:val="11"/>
                <w:rFonts w:hint="eastAsia"/>
              </w:rPr>
              <w:t>1.于葡萄枝条扦插前浸泡插条基部一次， 使用方法：将葡萄枝条成捆捆好后浸泡2-3小时左右，浸泡深度为插条基部2-3厘米，浸泡后捞出即扦插。将浸泡好的插穗与地面成45度角，埋入田间，上部露出1-2个芽，切忌将插穗倒插。2. 本品不能与铜制剂及碱性药剂混用。3. 本品使用时只施药1次。</w:t>
            </w:r>
          </w:p>
        </w:tc>
      </w:tr>
      <w:tr w14:paraId="3C4B336B">
        <w:tblPrEx>
          <w:tblCellMar>
            <w:top w:w="0" w:type="dxa"/>
            <w:left w:w="0" w:type="dxa"/>
            <w:bottom w:w="0" w:type="dxa"/>
            <w:right w:w="0" w:type="dxa"/>
          </w:tblCellMar>
        </w:tblPrEx>
        <w:trPr>
          <w:wBefore w:w="0" w:type="auto"/>
          <w:tblCellSpacing w:w="0" w:type="dxa"/>
        </w:trPr>
        <w:tc>
          <w:tcPr>
            <w:tcW w:w="0" w:type="auto"/>
            <w:noWrap w:val="0"/>
            <w:vAlign w:val="center"/>
          </w:tcPr>
          <w:p w14:paraId="3550947B">
            <w:r>
              <w:rPr>
                <w:rStyle w:val="10"/>
                <w:rFonts w:hint="eastAsia"/>
              </w:rPr>
              <w:t>产品性能:</w:t>
            </w:r>
            <w:r>
              <w:rPr>
                <w:rFonts w:hint="eastAsia"/>
              </w:rPr>
              <w:br w:type="textWrapping"/>
            </w:r>
            <w:r>
              <w:rPr>
                <w:rStyle w:val="11"/>
                <w:rFonts w:hint="eastAsia"/>
              </w:rPr>
              <w:t>本品由萘乙酸和吲哚丁酸复配而成，具有促进细胞分裂与扩大，诱导形成不定根。可以明显促进葡萄插穗的萌发生长，促进植株的生长发育。</w:t>
            </w:r>
          </w:p>
        </w:tc>
      </w:tr>
      <w:tr w14:paraId="63011993">
        <w:tblPrEx>
          <w:tblCellMar>
            <w:top w:w="0" w:type="dxa"/>
            <w:left w:w="0" w:type="dxa"/>
            <w:bottom w:w="0" w:type="dxa"/>
            <w:right w:w="0" w:type="dxa"/>
          </w:tblCellMar>
        </w:tblPrEx>
        <w:trPr>
          <w:wBefore w:w="0" w:type="auto"/>
          <w:tblCellSpacing w:w="0" w:type="dxa"/>
        </w:trPr>
        <w:tc>
          <w:tcPr>
            <w:tcW w:w="0" w:type="auto"/>
            <w:noWrap w:val="0"/>
            <w:vAlign w:val="center"/>
          </w:tcPr>
          <w:p w14:paraId="7F1709E3">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本品对眼睛有刺激性，使用时避免接触眼睛，穿戴长衣、长裤、帽子、口罩、手套等防护措施。请按农药安全使用规程使用，工作完毕及时用肥皂洗净手和脸，皮肤着药部位随时洗净。2. 使用后的包装袋、用过的容器应妥善处理，不可随意丢弃也不可作他用，避免对环境产生不良影响。3. 使用本品时应穿戴防护服和手套，避免吸入药液。施药期间不可吃东西和饮水。4. 禁止在河塘等水体中清洗施药器具；禁止将浸泡后的废液排入水产养殖区、河塘等水体； 鸟类保护区附近禁用。5. 孕妇及哺乳期妇女禁止接触本品。</w:t>
            </w:r>
          </w:p>
        </w:tc>
      </w:tr>
      <w:tr w14:paraId="4806FBB0">
        <w:tblPrEx>
          <w:tblCellMar>
            <w:top w:w="0" w:type="dxa"/>
            <w:left w:w="0" w:type="dxa"/>
            <w:bottom w:w="0" w:type="dxa"/>
            <w:right w:w="0" w:type="dxa"/>
          </w:tblCellMar>
        </w:tblPrEx>
        <w:trPr>
          <w:wBefore w:w="0" w:type="auto"/>
          <w:tblCellSpacing w:w="0" w:type="dxa"/>
        </w:trPr>
        <w:tc>
          <w:tcPr>
            <w:tcW w:w="0" w:type="auto"/>
            <w:noWrap w:val="0"/>
            <w:vAlign w:val="center"/>
          </w:tcPr>
          <w:p w14:paraId="58E2B7E3">
            <w:r>
              <w:rPr>
                <w:rStyle w:val="10"/>
                <w:rFonts w:hint="eastAsia"/>
              </w:rPr>
              <w:t>中毒急救措施：</w:t>
            </w:r>
            <w:r>
              <w:rPr>
                <w:rFonts w:hint="eastAsia"/>
              </w:rPr>
              <w:br w:type="textWrapping"/>
            </w:r>
            <w:r>
              <w:rPr>
                <w:rStyle w:val="11"/>
                <w:rFonts w:hint="eastAsia"/>
              </w:rPr>
              <w:t>1. 使用时应注意防护，防止药液误入眼内，若测入眼，翻开眼睑，用清水至少冲洗15分钟，仍有不适，就医。工作完毕后用肥皂洗净脸手。2. 本品低毒，无专用解毒药剂，误服中毒请携本标签到医院对症治疗。</w:t>
            </w:r>
          </w:p>
        </w:tc>
      </w:tr>
      <w:tr w14:paraId="3B0A10D5">
        <w:tblPrEx>
          <w:tblCellMar>
            <w:top w:w="0" w:type="dxa"/>
            <w:left w:w="0" w:type="dxa"/>
            <w:bottom w:w="0" w:type="dxa"/>
            <w:right w:w="0" w:type="dxa"/>
          </w:tblCellMar>
        </w:tblPrEx>
        <w:trPr>
          <w:wBefore w:w="0" w:type="auto"/>
          <w:tblCellSpacing w:w="0" w:type="dxa"/>
        </w:trPr>
        <w:tc>
          <w:tcPr>
            <w:tcW w:w="0" w:type="auto"/>
            <w:noWrap w:val="0"/>
            <w:vAlign w:val="center"/>
          </w:tcPr>
          <w:p w14:paraId="53C2271B">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w:t>
            </w:r>
          </w:p>
        </w:tc>
      </w:tr>
      <w:tr w14:paraId="41E9311F">
        <w:tblPrEx>
          <w:tblCellMar>
            <w:top w:w="0" w:type="dxa"/>
            <w:left w:w="0" w:type="dxa"/>
            <w:bottom w:w="0" w:type="dxa"/>
            <w:right w:w="0" w:type="dxa"/>
          </w:tblCellMar>
        </w:tblPrEx>
        <w:trPr>
          <w:wBefore w:w="0" w:type="auto"/>
          <w:tblCellSpacing w:w="0" w:type="dxa"/>
        </w:trPr>
        <w:tc>
          <w:tcPr>
            <w:tcW w:w="0" w:type="auto"/>
            <w:noWrap w:val="0"/>
            <w:vAlign w:val="center"/>
          </w:tcPr>
          <w:p w14:paraId="6077A02A">
            <w:r>
              <w:rPr>
                <w:rStyle w:val="10"/>
                <w:rFonts w:hint="eastAsia"/>
              </w:rPr>
              <w:t>质量保证期：</w:t>
            </w:r>
            <w:r>
              <w:rPr>
                <w:rStyle w:val="11"/>
                <w:rFonts w:hint="eastAsia"/>
              </w:rPr>
              <w:t>2年</w:t>
            </w:r>
          </w:p>
        </w:tc>
      </w:tr>
      <w:tr w14:paraId="6CFDCF84">
        <w:tblPrEx>
          <w:tblCellMar>
            <w:top w:w="0" w:type="dxa"/>
            <w:left w:w="0" w:type="dxa"/>
            <w:bottom w:w="0" w:type="dxa"/>
            <w:right w:w="0" w:type="dxa"/>
          </w:tblCellMar>
        </w:tblPrEx>
        <w:trPr>
          <w:wBefore w:w="0" w:type="auto"/>
          <w:tblCellSpacing w:w="0" w:type="dxa"/>
        </w:trPr>
        <w:tc>
          <w:tcPr>
            <w:tcW w:w="0" w:type="auto"/>
            <w:noWrap w:val="0"/>
            <w:vAlign w:val="center"/>
          </w:tcPr>
          <w:p w14:paraId="0CE04286">
            <w:r>
              <w:rPr>
                <w:rStyle w:val="10"/>
                <w:rFonts w:hint="eastAsia"/>
              </w:rPr>
              <w:t>备注：</w:t>
            </w:r>
          </w:p>
        </w:tc>
      </w:tr>
    </w:tbl>
    <w:p w14:paraId="5DB15D4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BC7E8F">
        <w:tblPrEx>
          <w:tblCellMar>
            <w:top w:w="0" w:type="dxa"/>
            <w:left w:w="0" w:type="dxa"/>
            <w:bottom w:w="0" w:type="dxa"/>
            <w:right w:w="0" w:type="dxa"/>
          </w:tblCellMar>
        </w:tblPrEx>
        <w:trPr>
          <w:wBefore w:w="0" w:type="auto"/>
          <w:tblCellSpacing w:w="0" w:type="dxa"/>
        </w:trPr>
        <w:tc>
          <w:tcPr>
            <w:tcW w:w="0" w:type="auto"/>
            <w:noWrap w:val="0"/>
            <w:vAlign w:val="center"/>
          </w:tcPr>
          <w:p w14:paraId="2056E8E9">
            <w:r>
              <w:rPr>
                <w:rStyle w:val="10"/>
                <w:rFonts w:hint="eastAsia"/>
              </w:rPr>
              <w:t>登记证号：</w:t>
            </w:r>
            <w:r>
              <w:rPr>
                <w:rFonts w:hint="eastAsia"/>
              </w:rPr>
              <w:t>WP20210401</w:t>
            </w:r>
          </w:p>
        </w:tc>
      </w:tr>
      <w:tr w14:paraId="27D2068E">
        <w:tblPrEx>
          <w:tblCellMar>
            <w:top w:w="0" w:type="dxa"/>
            <w:left w:w="0" w:type="dxa"/>
            <w:bottom w:w="0" w:type="dxa"/>
            <w:right w:w="0" w:type="dxa"/>
          </w:tblCellMar>
        </w:tblPrEx>
        <w:trPr>
          <w:wBefore w:w="0" w:type="auto"/>
          <w:tblCellSpacing w:w="0" w:type="dxa"/>
        </w:trPr>
        <w:tc>
          <w:tcPr>
            <w:tcW w:w="0" w:type="auto"/>
            <w:noWrap w:val="0"/>
            <w:vAlign w:val="center"/>
          </w:tcPr>
          <w:p w14:paraId="4DCCF95E">
            <w:r>
              <w:rPr>
                <w:rStyle w:val="10"/>
                <w:rFonts w:hint="eastAsia"/>
              </w:rPr>
              <w:t>登记证持有人：</w:t>
            </w:r>
            <w:r>
              <w:rPr>
                <w:rFonts w:hint="eastAsia"/>
              </w:rPr>
              <w:t>中山榄菊日化实业有限公司</w:t>
            </w:r>
          </w:p>
        </w:tc>
      </w:tr>
      <w:tr w14:paraId="501F421C">
        <w:tblPrEx>
          <w:tblCellMar>
            <w:top w:w="0" w:type="dxa"/>
            <w:left w:w="0" w:type="dxa"/>
            <w:bottom w:w="0" w:type="dxa"/>
            <w:right w:w="0" w:type="dxa"/>
          </w:tblCellMar>
        </w:tblPrEx>
        <w:trPr>
          <w:wBefore w:w="0" w:type="auto"/>
          <w:tblCellSpacing w:w="0" w:type="dxa"/>
        </w:trPr>
        <w:tc>
          <w:tcPr>
            <w:tcW w:w="0" w:type="auto"/>
            <w:noWrap w:val="0"/>
            <w:vAlign w:val="center"/>
          </w:tcPr>
          <w:p w14:paraId="509A31DB">
            <w:r>
              <w:rPr>
                <w:rStyle w:val="10"/>
                <w:rFonts w:hint="eastAsia"/>
              </w:rPr>
              <w:t>农药名称：</w:t>
            </w:r>
            <w:r>
              <w:rPr>
                <w:rFonts w:hint="eastAsia"/>
              </w:rPr>
              <w:t>杀蟑饵剂</w:t>
            </w:r>
          </w:p>
        </w:tc>
      </w:tr>
      <w:tr w14:paraId="0336CB81">
        <w:tblPrEx>
          <w:tblCellMar>
            <w:top w:w="0" w:type="dxa"/>
            <w:left w:w="0" w:type="dxa"/>
            <w:bottom w:w="0" w:type="dxa"/>
            <w:right w:w="0" w:type="dxa"/>
          </w:tblCellMar>
        </w:tblPrEx>
        <w:trPr>
          <w:wBefore w:w="0" w:type="auto"/>
          <w:tblCellSpacing w:w="0" w:type="dxa"/>
        </w:trPr>
        <w:tc>
          <w:tcPr>
            <w:tcW w:w="0" w:type="auto"/>
            <w:noWrap w:val="0"/>
            <w:vAlign w:val="center"/>
          </w:tcPr>
          <w:p w14:paraId="65A84AC1">
            <w:r>
              <w:rPr>
                <w:rStyle w:val="10"/>
                <w:rFonts w:hint="eastAsia"/>
              </w:rPr>
              <w:t>剂型：</w:t>
            </w:r>
            <w:r>
              <w:rPr>
                <w:rFonts w:hint="eastAsia"/>
              </w:rPr>
              <w:t>饵剂</w:t>
            </w:r>
          </w:p>
        </w:tc>
      </w:tr>
      <w:tr w14:paraId="61A5D284">
        <w:tblPrEx>
          <w:tblCellMar>
            <w:top w:w="0" w:type="dxa"/>
            <w:left w:w="0" w:type="dxa"/>
            <w:bottom w:w="0" w:type="dxa"/>
            <w:right w:w="0" w:type="dxa"/>
          </w:tblCellMar>
        </w:tblPrEx>
        <w:trPr>
          <w:wBefore w:w="0" w:type="auto"/>
          <w:tblCellSpacing w:w="0" w:type="dxa"/>
        </w:trPr>
        <w:tc>
          <w:tcPr>
            <w:tcW w:w="0" w:type="auto"/>
            <w:noWrap w:val="0"/>
            <w:vAlign w:val="center"/>
          </w:tcPr>
          <w:p w14:paraId="310565E6">
            <w:r>
              <w:rPr>
                <w:rStyle w:val="10"/>
                <w:rFonts w:hint="eastAsia"/>
              </w:rPr>
              <w:t>毒性及其标识：</w:t>
            </w:r>
            <w:r>
              <w:rPr>
                <w:rFonts w:hint="eastAsia"/>
              </w:rPr>
              <w:t xml:space="preserve"> 微毒 </w:t>
            </w:r>
          </w:p>
        </w:tc>
      </w:tr>
      <w:tr w14:paraId="4C09A165">
        <w:tblPrEx>
          <w:tblCellMar>
            <w:top w:w="0" w:type="dxa"/>
            <w:left w:w="0" w:type="dxa"/>
            <w:bottom w:w="0" w:type="dxa"/>
            <w:right w:w="0" w:type="dxa"/>
          </w:tblCellMar>
        </w:tblPrEx>
        <w:trPr>
          <w:wBefore w:w="0" w:type="auto"/>
          <w:tblCellSpacing w:w="0" w:type="dxa"/>
        </w:trPr>
        <w:tc>
          <w:tcPr>
            <w:tcW w:w="0" w:type="auto"/>
            <w:noWrap w:val="0"/>
            <w:vAlign w:val="center"/>
          </w:tcPr>
          <w:p w14:paraId="69F36B55">
            <w:r>
              <w:rPr>
                <w:rStyle w:val="10"/>
                <w:rFonts w:hint="eastAsia"/>
              </w:rPr>
              <w:t>总有效成分含量：</w:t>
            </w:r>
            <w:r>
              <w:rPr>
                <w:rFonts w:hint="eastAsia"/>
              </w:rPr>
              <w:t>0.5%</w:t>
            </w:r>
          </w:p>
        </w:tc>
      </w:tr>
      <w:tr w14:paraId="2FCD6642">
        <w:tblPrEx>
          <w:tblCellMar>
            <w:top w:w="0" w:type="dxa"/>
            <w:left w:w="0" w:type="dxa"/>
            <w:bottom w:w="0" w:type="dxa"/>
            <w:right w:w="0" w:type="dxa"/>
          </w:tblCellMar>
        </w:tblPrEx>
        <w:trPr>
          <w:wBefore w:w="0" w:type="auto"/>
          <w:tblCellSpacing w:w="0" w:type="dxa"/>
        </w:trPr>
        <w:tc>
          <w:tcPr>
            <w:tcW w:w="0" w:type="auto"/>
            <w:noWrap w:val="0"/>
            <w:vAlign w:val="center"/>
          </w:tcPr>
          <w:p w14:paraId="4D020270">
            <w:r>
              <w:rPr>
                <w:rFonts w:hint="eastAsia"/>
              </w:rPr>
              <w:t xml:space="preserve">有效成分及其含量： </w:t>
            </w:r>
          </w:p>
          <w:p w14:paraId="7C0818AD">
            <w:r>
              <w:rPr>
                <w:rFonts w:hint="eastAsia"/>
              </w:rPr>
              <w:t xml:space="preserve">    呋虫胺0.5%    </w:t>
            </w:r>
          </w:p>
        </w:tc>
      </w:tr>
      <w:tr w14:paraId="2D8A8018">
        <w:tblPrEx>
          <w:tblCellMar>
            <w:top w:w="0" w:type="dxa"/>
            <w:left w:w="0" w:type="dxa"/>
            <w:bottom w:w="0" w:type="dxa"/>
            <w:right w:w="0" w:type="dxa"/>
          </w:tblCellMar>
        </w:tblPrEx>
        <w:trPr>
          <w:wBefore w:w="0" w:type="auto"/>
          <w:tblCellSpacing w:w="0" w:type="dxa"/>
        </w:trPr>
        <w:tc>
          <w:tcPr>
            <w:tcW w:w="0" w:type="auto"/>
            <w:noWrap w:val="0"/>
            <w:vAlign w:val="center"/>
          </w:tcPr>
          <w:p w14:paraId="2F3B45E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BB3D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9F898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2AF73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AB5C3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935A6A">
                  <w:r>
                    <w:rPr>
                      <w:rStyle w:val="11"/>
                      <w:rFonts w:hint="eastAsia"/>
                    </w:rPr>
                    <w:t>施用方式</w:t>
                  </w:r>
                </w:p>
              </w:tc>
            </w:tr>
            <w:tr w14:paraId="70413D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E06D8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F4A1B3">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0C4EA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7DEC7B">
                  <w:r>
                    <w:rPr>
                      <w:rStyle w:val="11"/>
                      <w:rFonts w:hint="eastAsia"/>
                    </w:rPr>
                    <w:t>投放</w:t>
                  </w:r>
                </w:p>
              </w:tc>
            </w:tr>
          </w:tbl>
          <w:p w14:paraId="32D8DDFC">
            <w:pPr>
              <w:rPr>
                <w:rFonts w:ascii="Times New Roman" w:hAnsi="Times New Roman" w:cs="Times New Roman"/>
                <w:sz w:val="20"/>
                <w:szCs w:val="20"/>
              </w:rPr>
            </w:pPr>
          </w:p>
        </w:tc>
      </w:tr>
      <w:tr w14:paraId="7CFFD228">
        <w:tblPrEx>
          <w:tblCellMar>
            <w:top w:w="0" w:type="dxa"/>
            <w:left w:w="0" w:type="dxa"/>
            <w:bottom w:w="0" w:type="dxa"/>
            <w:right w:w="0" w:type="dxa"/>
          </w:tblCellMar>
        </w:tblPrEx>
        <w:trPr>
          <w:wBefore w:w="0" w:type="auto"/>
          <w:tblCellSpacing w:w="0" w:type="dxa"/>
        </w:trPr>
        <w:tc>
          <w:tcPr>
            <w:tcW w:w="0" w:type="auto"/>
            <w:noWrap w:val="0"/>
            <w:vAlign w:val="center"/>
          </w:tcPr>
          <w:p w14:paraId="1F784EE6">
            <w:r>
              <w:rPr>
                <w:rStyle w:val="10"/>
                <w:rFonts w:hint="eastAsia"/>
              </w:rPr>
              <w:t>使用技术要求:</w:t>
            </w:r>
            <w:r>
              <w:rPr>
                <w:rFonts w:hint="eastAsia"/>
              </w:rPr>
              <w:br w:type="textWrapping"/>
            </w:r>
            <w:r>
              <w:rPr>
                <w:rStyle w:val="11"/>
                <w:rFonts w:hint="eastAsia"/>
              </w:rPr>
              <w:t>（饵盒包装）1. 打开密封袋，将杀蟑饵剂单个分开，用盒内附带的双面贴固定于蟑螂经常出没及藏身的区域，如橱柜内、垃圾桶旁、冰箱下、下水道旁、墙角、沙发下等处。2. 在10平方米左右的房间内，同时使用三个饵剂效果更佳。如面积较大，需相应增加使用数量。保持使用场所清洁，及时清理垃圾。3. 使用3个月后，请更换新饵盒以保持杀蟑效果。4. 饵盒设计巧妙，可有效防止儿童及宠物触及。 （针筒包装）1. 将本品以点状投放方式施用于蟑螂经常出没及藏身的区域，如各种缝隙、孔洞及边角。2. 防制蟑螂时，可按照2点/㎡药量进行施药，每点直径约2-3mm，如蟑螂密度较高、室内储物柜或隔间较多，可相应增加施药点数，例如3-5点/㎡。保持使用场所清洁，及时清理垃圾。 3. 使用3个月后，请补充药剂以保持杀蟑效果。</w:t>
            </w:r>
          </w:p>
        </w:tc>
      </w:tr>
      <w:tr w14:paraId="47F8B8A2">
        <w:tblPrEx>
          <w:tblCellMar>
            <w:top w:w="0" w:type="dxa"/>
            <w:left w:w="0" w:type="dxa"/>
            <w:bottom w:w="0" w:type="dxa"/>
            <w:right w:w="0" w:type="dxa"/>
          </w:tblCellMar>
        </w:tblPrEx>
        <w:trPr>
          <w:wBefore w:w="0" w:type="auto"/>
          <w:tblCellSpacing w:w="0" w:type="dxa"/>
        </w:trPr>
        <w:tc>
          <w:tcPr>
            <w:tcW w:w="0" w:type="auto"/>
            <w:noWrap w:val="0"/>
            <w:vAlign w:val="center"/>
          </w:tcPr>
          <w:p w14:paraId="0B9C53D8">
            <w:r>
              <w:rPr>
                <w:rStyle w:val="10"/>
                <w:rFonts w:hint="eastAsia"/>
              </w:rPr>
              <w:t>产品性能:</w:t>
            </w:r>
            <w:r>
              <w:rPr>
                <w:rFonts w:hint="eastAsia"/>
              </w:rPr>
              <w:br w:type="textWrapping"/>
            </w:r>
            <w:r>
              <w:rPr>
                <w:rStyle w:val="11"/>
                <w:rFonts w:hint="eastAsia"/>
              </w:rPr>
              <w:t>本品以呋虫胺为有效成分，属于第三代烟碱类杀虫剂，通过作用于昆虫神经传递系统而导致害虫死亡，见效迅速；含诱蟑因子，引诱蟑螂（学名蜚蠊）摄食药饵，快速杀灭活动在居室内或藏匿在缝隙、角落的蟑螂及其卵荚，为中国家庭而设计。连环杀蟑，蟑螂摄食后爬回巢穴死亡，其它蟑螂吞食其尸体和排泄物后也被杀死。适用于厨房、餐厅、卫生间、卧室等场所。使用方便，清洁卫生。</w:t>
            </w:r>
          </w:p>
        </w:tc>
      </w:tr>
      <w:tr w14:paraId="497D8524">
        <w:tblPrEx>
          <w:tblCellMar>
            <w:top w:w="0" w:type="dxa"/>
            <w:left w:w="0" w:type="dxa"/>
            <w:bottom w:w="0" w:type="dxa"/>
            <w:right w:w="0" w:type="dxa"/>
          </w:tblCellMar>
        </w:tblPrEx>
        <w:trPr>
          <w:wBefore w:w="0" w:type="auto"/>
          <w:tblCellSpacing w:w="0" w:type="dxa"/>
        </w:trPr>
        <w:tc>
          <w:tcPr>
            <w:tcW w:w="0" w:type="auto"/>
            <w:noWrap w:val="0"/>
            <w:vAlign w:val="center"/>
          </w:tcPr>
          <w:p w14:paraId="56EBF80F">
            <w:r>
              <w:rPr>
                <w:rStyle w:val="10"/>
                <w:rFonts w:hint="eastAsia"/>
              </w:rPr>
              <w:t>注意事项：</w:t>
            </w:r>
            <w:r>
              <w:rPr>
                <w:rFonts w:hint="eastAsia"/>
              </w:rPr>
              <w:br w:type="textWrapping"/>
            </w:r>
            <w:r>
              <w:rPr>
                <w:rStyle w:val="11"/>
                <w:rFonts w:hint="eastAsia"/>
              </w:rPr>
              <w:t>1. 仅限在室内使用，避免放置于潮湿处。2. 本品对眼睛有刺激性，使用时避免接触眼睛。在使用本品时，请施药于儿童及宠物触及不到的地方。3. 请勿在饵剂旁喷洒杀虫剂，避免引起蟑螂拒食，影响效果。切勿污染食品及饮用水。4. 用后洗手，过敏者禁用。孕妇及哺乳期妇女禁止接触。</w:t>
            </w:r>
          </w:p>
        </w:tc>
      </w:tr>
      <w:tr w14:paraId="0CA25033">
        <w:tblPrEx>
          <w:tblCellMar>
            <w:top w:w="0" w:type="dxa"/>
            <w:left w:w="0" w:type="dxa"/>
            <w:bottom w:w="0" w:type="dxa"/>
            <w:right w:w="0" w:type="dxa"/>
          </w:tblCellMar>
        </w:tblPrEx>
        <w:trPr>
          <w:wBefore w:w="0" w:type="auto"/>
          <w:tblCellSpacing w:w="0" w:type="dxa"/>
        </w:trPr>
        <w:tc>
          <w:tcPr>
            <w:tcW w:w="0" w:type="auto"/>
            <w:noWrap w:val="0"/>
            <w:vAlign w:val="center"/>
          </w:tcPr>
          <w:p w14:paraId="4F3E6D49">
            <w:r>
              <w:rPr>
                <w:rStyle w:val="10"/>
                <w:rFonts w:hint="eastAsia"/>
              </w:rPr>
              <w:t>中毒急救措施：</w:t>
            </w:r>
            <w:r>
              <w:rPr>
                <w:rFonts w:hint="eastAsia"/>
              </w:rPr>
              <w:br w:type="textWrapping"/>
            </w:r>
            <w:r>
              <w:rPr>
                <w:rStyle w:val="11"/>
                <w:rFonts w:hint="eastAsia"/>
              </w:rPr>
              <w:t>本品不可吞服，若不慎发生误服，请立即携此包装就医。若接触到皮肤或眼睛，应用清水冲洗，如仍有不适，请携此包装就医。</w:t>
            </w:r>
          </w:p>
        </w:tc>
      </w:tr>
      <w:tr w14:paraId="4AA71B07">
        <w:tblPrEx>
          <w:tblCellMar>
            <w:top w:w="0" w:type="dxa"/>
            <w:left w:w="0" w:type="dxa"/>
            <w:bottom w:w="0" w:type="dxa"/>
            <w:right w:w="0" w:type="dxa"/>
          </w:tblCellMar>
        </w:tblPrEx>
        <w:trPr>
          <w:wBefore w:w="0" w:type="auto"/>
          <w:tblCellSpacing w:w="0" w:type="dxa"/>
        </w:trPr>
        <w:tc>
          <w:tcPr>
            <w:tcW w:w="0" w:type="auto"/>
            <w:noWrap w:val="0"/>
            <w:vAlign w:val="center"/>
          </w:tcPr>
          <w:p w14:paraId="49853D5E">
            <w:r>
              <w:rPr>
                <w:rStyle w:val="10"/>
                <w:rFonts w:hint="eastAsia"/>
              </w:rPr>
              <w:t>储存和运输方法：</w:t>
            </w:r>
            <w:r>
              <w:rPr>
                <w:rFonts w:hint="eastAsia"/>
              </w:rPr>
              <w:br w:type="textWrapping"/>
            </w:r>
            <w:r>
              <w:rPr>
                <w:rStyle w:val="11"/>
                <w:rFonts w:hint="eastAsia"/>
              </w:rPr>
              <w:t>防潮防湿，存放于阴凉干燥处，不能与食品、饮料、粮食、种子、饲料等混合贮存运输。置于儿童、无关人员接触不到的地方，并加锁。</w:t>
            </w:r>
          </w:p>
        </w:tc>
      </w:tr>
      <w:tr w14:paraId="33010491">
        <w:tblPrEx>
          <w:tblCellMar>
            <w:top w:w="0" w:type="dxa"/>
            <w:left w:w="0" w:type="dxa"/>
            <w:bottom w:w="0" w:type="dxa"/>
            <w:right w:w="0" w:type="dxa"/>
          </w:tblCellMar>
        </w:tblPrEx>
        <w:trPr>
          <w:wBefore w:w="0" w:type="auto"/>
          <w:tblCellSpacing w:w="0" w:type="dxa"/>
        </w:trPr>
        <w:tc>
          <w:tcPr>
            <w:tcW w:w="0" w:type="auto"/>
            <w:noWrap w:val="0"/>
            <w:vAlign w:val="center"/>
          </w:tcPr>
          <w:p w14:paraId="422BF84C">
            <w:r>
              <w:rPr>
                <w:rStyle w:val="10"/>
                <w:rFonts w:hint="eastAsia"/>
              </w:rPr>
              <w:t>质量保证期：</w:t>
            </w:r>
            <w:r>
              <w:rPr>
                <w:rStyle w:val="11"/>
                <w:rFonts w:hint="eastAsia"/>
              </w:rPr>
              <w:t>3年</w:t>
            </w:r>
          </w:p>
        </w:tc>
      </w:tr>
      <w:tr w14:paraId="567429C1">
        <w:tblPrEx>
          <w:tblCellMar>
            <w:top w:w="0" w:type="dxa"/>
            <w:left w:w="0" w:type="dxa"/>
            <w:bottom w:w="0" w:type="dxa"/>
            <w:right w:w="0" w:type="dxa"/>
          </w:tblCellMar>
        </w:tblPrEx>
        <w:trPr>
          <w:wBefore w:w="0" w:type="auto"/>
          <w:tblCellSpacing w:w="0" w:type="dxa"/>
        </w:trPr>
        <w:tc>
          <w:tcPr>
            <w:tcW w:w="0" w:type="auto"/>
            <w:noWrap w:val="0"/>
            <w:vAlign w:val="center"/>
          </w:tcPr>
          <w:p w14:paraId="4B30F811">
            <w:r>
              <w:rPr>
                <w:rStyle w:val="10"/>
                <w:rFonts w:hint="eastAsia"/>
              </w:rPr>
              <w:t>备注：</w:t>
            </w:r>
          </w:p>
        </w:tc>
      </w:tr>
    </w:tbl>
    <w:p w14:paraId="7F2845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8D7A21">
        <w:tblPrEx>
          <w:tblCellMar>
            <w:top w:w="0" w:type="dxa"/>
            <w:left w:w="0" w:type="dxa"/>
            <w:bottom w:w="0" w:type="dxa"/>
            <w:right w:w="0" w:type="dxa"/>
          </w:tblCellMar>
        </w:tblPrEx>
        <w:trPr>
          <w:wBefore w:w="0" w:type="auto"/>
          <w:tblCellSpacing w:w="0" w:type="dxa"/>
        </w:trPr>
        <w:tc>
          <w:tcPr>
            <w:tcW w:w="0" w:type="auto"/>
            <w:noWrap w:val="0"/>
            <w:vAlign w:val="center"/>
          </w:tcPr>
          <w:p w14:paraId="57DEB183">
            <w:r>
              <w:rPr>
                <w:rStyle w:val="10"/>
                <w:rFonts w:hint="eastAsia"/>
              </w:rPr>
              <w:t>登记证号：</w:t>
            </w:r>
            <w:r>
              <w:rPr>
                <w:rFonts w:hint="eastAsia"/>
              </w:rPr>
              <w:t>PD20212616</w:t>
            </w:r>
          </w:p>
        </w:tc>
      </w:tr>
      <w:tr w14:paraId="0E088888">
        <w:tblPrEx>
          <w:tblCellMar>
            <w:top w:w="0" w:type="dxa"/>
            <w:left w:w="0" w:type="dxa"/>
            <w:bottom w:w="0" w:type="dxa"/>
            <w:right w:w="0" w:type="dxa"/>
          </w:tblCellMar>
        </w:tblPrEx>
        <w:trPr>
          <w:wBefore w:w="0" w:type="auto"/>
          <w:tblCellSpacing w:w="0" w:type="dxa"/>
        </w:trPr>
        <w:tc>
          <w:tcPr>
            <w:tcW w:w="0" w:type="auto"/>
            <w:noWrap w:val="0"/>
            <w:vAlign w:val="center"/>
          </w:tcPr>
          <w:p w14:paraId="090FA995">
            <w:r>
              <w:rPr>
                <w:rStyle w:val="10"/>
                <w:rFonts w:hint="eastAsia"/>
              </w:rPr>
              <w:t>登记证持有人：</w:t>
            </w:r>
            <w:r>
              <w:rPr>
                <w:rFonts w:hint="eastAsia"/>
              </w:rPr>
              <w:t>江苏长青生物科技有限公司</w:t>
            </w:r>
          </w:p>
        </w:tc>
      </w:tr>
      <w:tr w14:paraId="28CC6025">
        <w:tblPrEx>
          <w:tblCellMar>
            <w:top w:w="0" w:type="dxa"/>
            <w:left w:w="0" w:type="dxa"/>
            <w:bottom w:w="0" w:type="dxa"/>
            <w:right w:w="0" w:type="dxa"/>
          </w:tblCellMar>
        </w:tblPrEx>
        <w:trPr>
          <w:wBefore w:w="0" w:type="auto"/>
          <w:tblCellSpacing w:w="0" w:type="dxa"/>
        </w:trPr>
        <w:tc>
          <w:tcPr>
            <w:tcW w:w="0" w:type="auto"/>
            <w:noWrap w:val="0"/>
            <w:vAlign w:val="center"/>
          </w:tcPr>
          <w:p w14:paraId="7D855A13">
            <w:r>
              <w:rPr>
                <w:rStyle w:val="10"/>
                <w:rFonts w:hint="eastAsia"/>
              </w:rPr>
              <w:t>农药名称：</w:t>
            </w:r>
            <w:r>
              <w:rPr>
                <w:rFonts w:hint="eastAsia"/>
              </w:rPr>
              <w:t>噁唑酰草胺</w:t>
            </w:r>
          </w:p>
        </w:tc>
      </w:tr>
      <w:tr w14:paraId="42B05BDC">
        <w:tblPrEx>
          <w:tblCellMar>
            <w:top w:w="0" w:type="dxa"/>
            <w:left w:w="0" w:type="dxa"/>
            <w:bottom w:w="0" w:type="dxa"/>
            <w:right w:w="0" w:type="dxa"/>
          </w:tblCellMar>
        </w:tblPrEx>
        <w:trPr>
          <w:wBefore w:w="0" w:type="auto"/>
          <w:tblCellSpacing w:w="0" w:type="dxa"/>
        </w:trPr>
        <w:tc>
          <w:tcPr>
            <w:tcW w:w="0" w:type="auto"/>
            <w:noWrap w:val="0"/>
            <w:vAlign w:val="center"/>
          </w:tcPr>
          <w:p w14:paraId="7B9C434D">
            <w:r>
              <w:rPr>
                <w:rStyle w:val="10"/>
                <w:rFonts w:hint="eastAsia"/>
              </w:rPr>
              <w:t>剂型：</w:t>
            </w:r>
            <w:r>
              <w:rPr>
                <w:rFonts w:hint="eastAsia"/>
              </w:rPr>
              <w:t>乳油</w:t>
            </w:r>
          </w:p>
        </w:tc>
      </w:tr>
      <w:tr w14:paraId="04ABECCA">
        <w:tblPrEx>
          <w:tblCellMar>
            <w:top w:w="0" w:type="dxa"/>
            <w:left w:w="0" w:type="dxa"/>
            <w:bottom w:w="0" w:type="dxa"/>
            <w:right w:w="0" w:type="dxa"/>
          </w:tblCellMar>
        </w:tblPrEx>
        <w:trPr>
          <w:wBefore w:w="0" w:type="auto"/>
          <w:tblCellSpacing w:w="0" w:type="dxa"/>
        </w:trPr>
        <w:tc>
          <w:tcPr>
            <w:tcW w:w="0" w:type="auto"/>
            <w:noWrap w:val="0"/>
            <w:vAlign w:val="center"/>
          </w:tcPr>
          <w:p w14:paraId="45AA381E">
            <w:r>
              <w:rPr>
                <w:rStyle w:val="10"/>
                <w:rFonts w:hint="eastAsia"/>
              </w:rPr>
              <w:t>毒性及其标识：</w:t>
            </w:r>
            <w:r>
              <w:rPr>
                <w:rFonts w:hint="eastAsia"/>
              </w:rPr>
              <w:t xml:space="preserve"> </w:t>
            </w:r>
            <w:r>
              <w:rPr>
                <w:lang/>
              </w:rPr>
              <w:drawing>
                <wp:inline distT="0" distB="0" distL="114300" distR="114300">
                  <wp:extent cx="476250" cy="323850"/>
                  <wp:effectExtent l="0" t="0" r="0" b="0"/>
                  <wp:docPr id="154" name="图片 1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7A27CC">
        <w:tblPrEx>
          <w:tblCellMar>
            <w:top w:w="0" w:type="dxa"/>
            <w:left w:w="0" w:type="dxa"/>
            <w:bottom w:w="0" w:type="dxa"/>
            <w:right w:w="0" w:type="dxa"/>
          </w:tblCellMar>
        </w:tblPrEx>
        <w:trPr>
          <w:wBefore w:w="0" w:type="auto"/>
          <w:tblCellSpacing w:w="0" w:type="dxa"/>
        </w:trPr>
        <w:tc>
          <w:tcPr>
            <w:tcW w:w="0" w:type="auto"/>
            <w:noWrap w:val="0"/>
            <w:vAlign w:val="center"/>
          </w:tcPr>
          <w:p w14:paraId="6D413946">
            <w:r>
              <w:rPr>
                <w:rStyle w:val="10"/>
                <w:rFonts w:hint="eastAsia"/>
              </w:rPr>
              <w:t>总有效成分含量：</w:t>
            </w:r>
            <w:r>
              <w:rPr>
                <w:rFonts w:hint="eastAsia"/>
              </w:rPr>
              <w:t>15%</w:t>
            </w:r>
          </w:p>
        </w:tc>
      </w:tr>
      <w:tr w14:paraId="1ADF1652">
        <w:tblPrEx>
          <w:tblCellMar>
            <w:top w:w="0" w:type="dxa"/>
            <w:left w:w="0" w:type="dxa"/>
            <w:bottom w:w="0" w:type="dxa"/>
            <w:right w:w="0" w:type="dxa"/>
          </w:tblCellMar>
        </w:tblPrEx>
        <w:trPr>
          <w:wBefore w:w="0" w:type="auto"/>
          <w:tblCellSpacing w:w="0" w:type="dxa"/>
        </w:trPr>
        <w:tc>
          <w:tcPr>
            <w:tcW w:w="0" w:type="auto"/>
            <w:noWrap w:val="0"/>
            <w:vAlign w:val="center"/>
          </w:tcPr>
          <w:p w14:paraId="4B7BE82F">
            <w:r>
              <w:rPr>
                <w:rFonts w:hint="eastAsia"/>
              </w:rPr>
              <w:t xml:space="preserve">有效成分及其含量： </w:t>
            </w:r>
          </w:p>
          <w:p w14:paraId="32EB17E1">
            <w:r>
              <w:rPr>
                <w:rFonts w:hint="eastAsia"/>
              </w:rPr>
              <w:t xml:space="preserve">    噁唑酰草胺15%    </w:t>
            </w:r>
          </w:p>
        </w:tc>
      </w:tr>
      <w:tr w14:paraId="080F6268">
        <w:tblPrEx>
          <w:tblCellMar>
            <w:top w:w="0" w:type="dxa"/>
            <w:left w:w="0" w:type="dxa"/>
            <w:bottom w:w="0" w:type="dxa"/>
            <w:right w:w="0" w:type="dxa"/>
          </w:tblCellMar>
        </w:tblPrEx>
        <w:trPr>
          <w:wBefore w:w="0" w:type="auto"/>
          <w:tblCellSpacing w:w="0" w:type="dxa"/>
        </w:trPr>
        <w:tc>
          <w:tcPr>
            <w:tcW w:w="0" w:type="auto"/>
            <w:noWrap w:val="0"/>
            <w:vAlign w:val="center"/>
          </w:tcPr>
          <w:p w14:paraId="186AB8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3824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D4B8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1BB9B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A2134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8AA037">
                  <w:r>
                    <w:rPr>
                      <w:rStyle w:val="11"/>
                      <w:rFonts w:hint="eastAsia"/>
                    </w:rPr>
                    <w:t>施用方式</w:t>
                  </w:r>
                </w:p>
              </w:tc>
            </w:tr>
            <w:tr w14:paraId="523DFF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432F43">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D4AD79">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D2CC07">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326AF7">
                  <w:r>
                    <w:rPr>
                      <w:rStyle w:val="11"/>
                      <w:rFonts w:hint="eastAsia"/>
                    </w:rPr>
                    <w:t>茎叶喷雾</w:t>
                  </w:r>
                </w:p>
              </w:tc>
            </w:tr>
          </w:tbl>
          <w:p w14:paraId="136A2288">
            <w:pPr>
              <w:rPr>
                <w:rFonts w:ascii="Times New Roman" w:hAnsi="Times New Roman" w:cs="Times New Roman"/>
                <w:sz w:val="20"/>
                <w:szCs w:val="20"/>
              </w:rPr>
            </w:pPr>
          </w:p>
        </w:tc>
      </w:tr>
      <w:tr w14:paraId="03EEEFDB">
        <w:tblPrEx>
          <w:tblCellMar>
            <w:top w:w="0" w:type="dxa"/>
            <w:left w:w="0" w:type="dxa"/>
            <w:bottom w:w="0" w:type="dxa"/>
            <w:right w:w="0" w:type="dxa"/>
          </w:tblCellMar>
        </w:tblPrEx>
        <w:trPr>
          <w:wBefore w:w="0" w:type="auto"/>
          <w:tblCellSpacing w:w="0" w:type="dxa"/>
        </w:trPr>
        <w:tc>
          <w:tcPr>
            <w:tcW w:w="0" w:type="auto"/>
            <w:noWrap w:val="0"/>
            <w:vAlign w:val="center"/>
          </w:tcPr>
          <w:p w14:paraId="19944ABC">
            <w:r>
              <w:rPr>
                <w:rStyle w:val="10"/>
                <w:rFonts w:hint="eastAsia"/>
              </w:rPr>
              <w:t>使用技术要求:</w:t>
            </w:r>
            <w:r>
              <w:rPr>
                <w:rFonts w:hint="eastAsia"/>
              </w:rPr>
              <w:br w:type="textWrapping"/>
            </w:r>
            <w:r>
              <w:rPr>
                <w:rStyle w:val="11"/>
                <w:rFonts w:hint="eastAsia"/>
              </w:rPr>
              <w:t>1.本品在稗草、马唐、千金子2-6叶期均可使用，以3-5叶期最佳，尽量避免过早或过晚施药。2.每亩用水20-30千克均匀喷雾，确保打匀打透。随着草龄、密度增大，适当增加水量。3.施药前，排干田水，药后1天复水，保持水层3-5天。注意水层勿淹没水稻心叶避免药害。4.避免药液飘移到邻近的禾本科作物田。5.每季作物最多使用1次。</w:t>
            </w:r>
          </w:p>
        </w:tc>
      </w:tr>
      <w:tr w14:paraId="3E18A949">
        <w:tblPrEx>
          <w:tblCellMar>
            <w:top w:w="0" w:type="dxa"/>
            <w:left w:w="0" w:type="dxa"/>
            <w:bottom w:w="0" w:type="dxa"/>
            <w:right w:w="0" w:type="dxa"/>
          </w:tblCellMar>
        </w:tblPrEx>
        <w:trPr>
          <w:wBefore w:w="0" w:type="auto"/>
          <w:tblCellSpacing w:w="0" w:type="dxa"/>
        </w:trPr>
        <w:tc>
          <w:tcPr>
            <w:tcW w:w="0" w:type="auto"/>
            <w:noWrap w:val="0"/>
            <w:vAlign w:val="center"/>
          </w:tcPr>
          <w:p w14:paraId="22B3263F">
            <w:r>
              <w:rPr>
                <w:rStyle w:val="10"/>
                <w:rFonts w:hint="eastAsia"/>
              </w:rPr>
              <w:t>产品性能:</w:t>
            </w:r>
            <w:r>
              <w:rPr>
                <w:rFonts w:hint="eastAsia"/>
              </w:rPr>
              <w:br w:type="textWrapping"/>
            </w:r>
            <w:r>
              <w:rPr>
                <w:rStyle w:val="11"/>
                <w:rFonts w:hint="eastAsia"/>
              </w:rPr>
              <w:t>本品是芳氧苯氧丙酸类内吸传导型除草剂，属乙酰辅酶A羧化酶抑制剂。用于水稻田茎叶处理防除稗草、马唐、千金子等多种禾本科杂草。推荐剂量下使用，对水稻安全。</w:t>
            </w:r>
          </w:p>
        </w:tc>
      </w:tr>
      <w:tr w14:paraId="68309AD0">
        <w:tblPrEx>
          <w:tblCellMar>
            <w:top w:w="0" w:type="dxa"/>
            <w:left w:w="0" w:type="dxa"/>
            <w:bottom w:w="0" w:type="dxa"/>
            <w:right w:w="0" w:type="dxa"/>
          </w:tblCellMar>
        </w:tblPrEx>
        <w:trPr>
          <w:wBefore w:w="0" w:type="auto"/>
          <w:tblCellSpacing w:w="0" w:type="dxa"/>
        </w:trPr>
        <w:tc>
          <w:tcPr>
            <w:tcW w:w="0" w:type="auto"/>
            <w:noWrap w:val="0"/>
            <w:vAlign w:val="center"/>
          </w:tcPr>
          <w:p w14:paraId="34964538">
            <w:r>
              <w:rPr>
                <w:rStyle w:val="10"/>
                <w:rFonts w:hint="eastAsia"/>
              </w:rPr>
              <w:t>注意事项：</w:t>
            </w:r>
            <w:r>
              <w:rPr>
                <w:rFonts w:hint="eastAsia"/>
              </w:rPr>
              <w:br w:type="textWrapping"/>
            </w:r>
            <w:r>
              <w:rPr>
                <w:rStyle w:val="11"/>
                <w:rFonts w:hint="eastAsia"/>
              </w:rPr>
              <w:t>1．请按照农药安全使用准则使用本品。配药和施药时，操作人员应穿长袖工作服，佩戴橡胶手套、长筒橡胶雨靴、口罩或眼镜等劳保用具。不可进食、饮水和吸烟。 2．本品可与防除阔叶杂草的除草剂搭配使用，但大面积应用前，应先进行小面积试验以确认安全性。 3.本品在蚕室及桑园附近禁用。不可使用最外围桑树上的桑叶饲喂家蚕。鸟类保护区附近禁用，赤眼蜂等天敌放飞区域禁用。 4．本品对鱼类等水生生物有毒，远离水产养殖区施药。 5．施药后，立即洗澡并更换和清洗工作服。及时清洗喷雾器械，清洗废液妥善处理，避免污染水源，河流，池塘等水体。剩余药剂及废弃包装不得随意丢弃，更不可留作他用。 6．孕妇及哺乳期妇女应避免接触本品。</w:t>
            </w:r>
          </w:p>
        </w:tc>
      </w:tr>
      <w:tr w14:paraId="7A6AB683">
        <w:tblPrEx>
          <w:tblCellMar>
            <w:top w:w="0" w:type="dxa"/>
            <w:left w:w="0" w:type="dxa"/>
            <w:bottom w:w="0" w:type="dxa"/>
            <w:right w:w="0" w:type="dxa"/>
          </w:tblCellMar>
        </w:tblPrEx>
        <w:trPr>
          <w:wBefore w:w="0" w:type="auto"/>
          <w:tblCellSpacing w:w="0" w:type="dxa"/>
        </w:trPr>
        <w:tc>
          <w:tcPr>
            <w:tcW w:w="0" w:type="auto"/>
            <w:noWrap w:val="0"/>
            <w:vAlign w:val="center"/>
          </w:tcPr>
          <w:p w14:paraId="0263DDEE">
            <w:r>
              <w:rPr>
                <w:rStyle w:val="10"/>
                <w:rFonts w:hint="eastAsia"/>
              </w:rPr>
              <w:t>中毒急救措施：</w:t>
            </w:r>
            <w:r>
              <w:rPr>
                <w:rFonts w:hint="eastAsia"/>
              </w:rPr>
              <w:br w:type="textWrapping"/>
            </w:r>
            <w:r>
              <w:rPr>
                <w:rStyle w:val="11"/>
                <w:rFonts w:hint="eastAsia"/>
              </w:rPr>
              <w:t>1．接触皮肤：立即脱掉被污染的衣物，用肥皂和清水彻底清洗被污染的皮肤。2．溅入眼睛，翻开眼睑，立即用大量流动清水冲洗至少15分钟。3．吸入，应立即转移到空气新鲜的通风处。4．误服，务必在清醒状态下催吐。症状严重者应立即携带标签送医就诊。无专用解毒剂，对症治疗。</w:t>
            </w:r>
          </w:p>
        </w:tc>
      </w:tr>
      <w:tr w14:paraId="6DCEA7EC">
        <w:tblPrEx>
          <w:tblCellMar>
            <w:top w:w="0" w:type="dxa"/>
            <w:left w:w="0" w:type="dxa"/>
            <w:bottom w:w="0" w:type="dxa"/>
            <w:right w:w="0" w:type="dxa"/>
          </w:tblCellMar>
        </w:tblPrEx>
        <w:trPr>
          <w:wBefore w:w="0" w:type="auto"/>
          <w:tblCellSpacing w:w="0" w:type="dxa"/>
        </w:trPr>
        <w:tc>
          <w:tcPr>
            <w:tcW w:w="0" w:type="auto"/>
            <w:noWrap w:val="0"/>
            <w:vAlign w:val="center"/>
          </w:tcPr>
          <w:p w14:paraId="1AF2CCE7">
            <w:r>
              <w:rPr>
                <w:rStyle w:val="10"/>
                <w:rFonts w:hint="eastAsia"/>
              </w:rPr>
              <w:t>储存和运输方法：</w:t>
            </w:r>
            <w:r>
              <w:rPr>
                <w:rFonts w:hint="eastAsia"/>
              </w:rPr>
              <w:br w:type="textWrapping"/>
            </w:r>
            <w:r>
              <w:rPr>
                <w:rStyle w:val="11"/>
                <w:rFonts w:hint="eastAsia"/>
              </w:rPr>
              <w:t>将本品于阴凉、干燥、通风处，密封保管，避免阳光直射、雨淋，远离火源或热源；与种子、种苗、肥料及其他农药分开放置；搬运及运输过程中，轻拿轻放，避免倒置，避光、防雨淋；如有泄漏，用吸收材料或沙土吸收；置于儿童、无关人员触及不到的地方并加锁存放；不能与食品、饮料、粮食、饲料等同贮同运。</w:t>
            </w:r>
          </w:p>
        </w:tc>
      </w:tr>
      <w:tr w14:paraId="2C589E73">
        <w:tblPrEx>
          <w:tblCellMar>
            <w:top w:w="0" w:type="dxa"/>
            <w:left w:w="0" w:type="dxa"/>
            <w:bottom w:w="0" w:type="dxa"/>
            <w:right w:w="0" w:type="dxa"/>
          </w:tblCellMar>
        </w:tblPrEx>
        <w:trPr>
          <w:wBefore w:w="0" w:type="auto"/>
          <w:tblCellSpacing w:w="0" w:type="dxa"/>
        </w:trPr>
        <w:tc>
          <w:tcPr>
            <w:tcW w:w="0" w:type="auto"/>
            <w:noWrap w:val="0"/>
            <w:vAlign w:val="center"/>
          </w:tcPr>
          <w:p w14:paraId="5CC59E67">
            <w:r>
              <w:rPr>
                <w:rStyle w:val="10"/>
                <w:rFonts w:hint="eastAsia"/>
              </w:rPr>
              <w:t>质量保证期：</w:t>
            </w:r>
            <w:r>
              <w:rPr>
                <w:rStyle w:val="11"/>
                <w:rFonts w:hint="eastAsia"/>
              </w:rPr>
              <w:t>2年</w:t>
            </w:r>
          </w:p>
        </w:tc>
      </w:tr>
      <w:tr w14:paraId="35C0DAC2">
        <w:tblPrEx>
          <w:tblCellMar>
            <w:top w:w="0" w:type="dxa"/>
            <w:left w:w="0" w:type="dxa"/>
            <w:bottom w:w="0" w:type="dxa"/>
            <w:right w:w="0" w:type="dxa"/>
          </w:tblCellMar>
        </w:tblPrEx>
        <w:trPr>
          <w:wBefore w:w="0" w:type="auto"/>
          <w:tblCellSpacing w:w="0" w:type="dxa"/>
        </w:trPr>
        <w:tc>
          <w:tcPr>
            <w:tcW w:w="0" w:type="auto"/>
            <w:noWrap w:val="0"/>
            <w:vAlign w:val="center"/>
          </w:tcPr>
          <w:p w14:paraId="4A1E0369">
            <w:r>
              <w:rPr>
                <w:rStyle w:val="10"/>
                <w:rFonts w:hint="eastAsia"/>
              </w:rPr>
              <w:t>备注：</w:t>
            </w:r>
          </w:p>
        </w:tc>
      </w:tr>
    </w:tbl>
    <w:p w14:paraId="308F87F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C44C99">
        <w:tblPrEx>
          <w:tblCellMar>
            <w:top w:w="0" w:type="dxa"/>
            <w:left w:w="0" w:type="dxa"/>
            <w:bottom w:w="0" w:type="dxa"/>
            <w:right w:w="0" w:type="dxa"/>
          </w:tblCellMar>
        </w:tblPrEx>
        <w:trPr>
          <w:wBefore w:w="0" w:type="auto"/>
          <w:tblCellSpacing w:w="0" w:type="dxa"/>
        </w:trPr>
        <w:tc>
          <w:tcPr>
            <w:tcW w:w="0" w:type="auto"/>
            <w:noWrap w:val="0"/>
            <w:vAlign w:val="center"/>
          </w:tcPr>
          <w:p w14:paraId="0B668382">
            <w:r>
              <w:rPr>
                <w:rStyle w:val="10"/>
                <w:rFonts w:hint="eastAsia"/>
              </w:rPr>
              <w:t>登记证号：</w:t>
            </w:r>
            <w:r>
              <w:rPr>
                <w:rFonts w:hint="eastAsia"/>
              </w:rPr>
              <w:t>PD20212676</w:t>
            </w:r>
          </w:p>
        </w:tc>
      </w:tr>
      <w:tr w14:paraId="34A59848">
        <w:tblPrEx>
          <w:tblCellMar>
            <w:top w:w="0" w:type="dxa"/>
            <w:left w:w="0" w:type="dxa"/>
            <w:bottom w:w="0" w:type="dxa"/>
            <w:right w:w="0" w:type="dxa"/>
          </w:tblCellMar>
        </w:tblPrEx>
        <w:trPr>
          <w:wBefore w:w="0" w:type="auto"/>
          <w:tblCellSpacing w:w="0" w:type="dxa"/>
        </w:trPr>
        <w:tc>
          <w:tcPr>
            <w:tcW w:w="0" w:type="auto"/>
            <w:noWrap w:val="0"/>
            <w:vAlign w:val="center"/>
          </w:tcPr>
          <w:p w14:paraId="456395FA">
            <w:r>
              <w:rPr>
                <w:rStyle w:val="10"/>
                <w:rFonts w:hint="eastAsia"/>
              </w:rPr>
              <w:t>登记证持有人：</w:t>
            </w:r>
            <w:r>
              <w:rPr>
                <w:rFonts w:hint="eastAsia"/>
              </w:rPr>
              <w:t>杨凌馥稷生物科技有限公司</w:t>
            </w:r>
          </w:p>
        </w:tc>
      </w:tr>
      <w:tr w14:paraId="76E35493">
        <w:tblPrEx>
          <w:tblCellMar>
            <w:top w:w="0" w:type="dxa"/>
            <w:left w:w="0" w:type="dxa"/>
            <w:bottom w:w="0" w:type="dxa"/>
            <w:right w:w="0" w:type="dxa"/>
          </w:tblCellMar>
        </w:tblPrEx>
        <w:trPr>
          <w:wBefore w:w="0" w:type="auto"/>
          <w:tblCellSpacing w:w="0" w:type="dxa"/>
        </w:trPr>
        <w:tc>
          <w:tcPr>
            <w:tcW w:w="0" w:type="auto"/>
            <w:noWrap w:val="0"/>
            <w:vAlign w:val="center"/>
          </w:tcPr>
          <w:p w14:paraId="5066A9B0">
            <w:r>
              <w:rPr>
                <w:rStyle w:val="10"/>
                <w:rFonts w:hint="eastAsia"/>
              </w:rPr>
              <w:t>农药名称：</w:t>
            </w:r>
            <w:r>
              <w:rPr>
                <w:rFonts w:hint="eastAsia"/>
              </w:rPr>
              <w:t>虎杖根茎提取物</w:t>
            </w:r>
          </w:p>
        </w:tc>
      </w:tr>
      <w:tr w14:paraId="5BAEEF77">
        <w:tblPrEx>
          <w:tblCellMar>
            <w:top w:w="0" w:type="dxa"/>
            <w:left w:w="0" w:type="dxa"/>
            <w:bottom w:w="0" w:type="dxa"/>
            <w:right w:w="0" w:type="dxa"/>
          </w:tblCellMar>
        </w:tblPrEx>
        <w:trPr>
          <w:wBefore w:w="0" w:type="auto"/>
          <w:tblCellSpacing w:w="0" w:type="dxa"/>
        </w:trPr>
        <w:tc>
          <w:tcPr>
            <w:tcW w:w="0" w:type="auto"/>
            <w:noWrap w:val="0"/>
            <w:vAlign w:val="center"/>
          </w:tcPr>
          <w:p w14:paraId="12BE06BD">
            <w:r>
              <w:rPr>
                <w:rStyle w:val="10"/>
                <w:rFonts w:hint="eastAsia"/>
              </w:rPr>
              <w:t>剂型：</w:t>
            </w:r>
            <w:r>
              <w:rPr>
                <w:rFonts w:hint="eastAsia"/>
              </w:rPr>
              <w:t>可溶液剂</w:t>
            </w:r>
          </w:p>
        </w:tc>
      </w:tr>
      <w:tr w14:paraId="26E35C9A">
        <w:tblPrEx>
          <w:tblCellMar>
            <w:top w:w="0" w:type="dxa"/>
            <w:left w:w="0" w:type="dxa"/>
            <w:bottom w:w="0" w:type="dxa"/>
            <w:right w:w="0" w:type="dxa"/>
          </w:tblCellMar>
        </w:tblPrEx>
        <w:trPr>
          <w:wBefore w:w="0" w:type="auto"/>
          <w:tblCellSpacing w:w="0" w:type="dxa"/>
        </w:trPr>
        <w:tc>
          <w:tcPr>
            <w:tcW w:w="0" w:type="auto"/>
            <w:noWrap w:val="0"/>
            <w:vAlign w:val="center"/>
          </w:tcPr>
          <w:p w14:paraId="630E89D4">
            <w:r>
              <w:rPr>
                <w:rStyle w:val="10"/>
                <w:rFonts w:hint="eastAsia"/>
              </w:rPr>
              <w:t>毒性及其标识：</w:t>
            </w:r>
            <w:r>
              <w:rPr>
                <w:rFonts w:hint="eastAsia"/>
              </w:rPr>
              <w:t xml:space="preserve"> </w:t>
            </w:r>
            <w:r>
              <w:rPr>
                <w:lang/>
              </w:rPr>
              <w:drawing>
                <wp:inline distT="0" distB="0" distL="114300" distR="114300">
                  <wp:extent cx="476250" cy="323850"/>
                  <wp:effectExtent l="0" t="0" r="0" b="0"/>
                  <wp:docPr id="155" name="图片 1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5EC118">
        <w:tblPrEx>
          <w:tblCellMar>
            <w:top w:w="0" w:type="dxa"/>
            <w:left w:w="0" w:type="dxa"/>
            <w:bottom w:w="0" w:type="dxa"/>
            <w:right w:w="0" w:type="dxa"/>
          </w:tblCellMar>
        </w:tblPrEx>
        <w:trPr>
          <w:wBefore w:w="0" w:type="auto"/>
          <w:tblCellSpacing w:w="0" w:type="dxa"/>
        </w:trPr>
        <w:tc>
          <w:tcPr>
            <w:tcW w:w="0" w:type="auto"/>
            <w:noWrap w:val="0"/>
            <w:vAlign w:val="center"/>
          </w:tcPr>
          <w:p w14:paraId="28C0EBC2">
            <w:r>
              <w:rPr>
                <w:rStyle w:val="10"/>
                <w:rFonts w:hint="eastAsia"/>
              </w:rPr>
              <w:t>总有效成分含量：</w:t>
            </w:r>
            <w:r>
              <w:rPr>
                <w:rFonts w:hint="eastAsia"/>
              </w:rPr>
              <w:t>0.5%</w:t>
            </w:r>
          </w:p>
        </w:tc>
      </w:tr>
      <w:tr w14:paraId="77ED299A">
        <w:tblPrEx>
          <w:tblCellMar>
            <w:top w:w="0" w:type="dxa"/>
            <w:left w:w="0" w:type="dxa"/>
            <w:bottom w:w="0" w:type="dxa"/>
            <w:right w:w="0" w:type="dxa"/>
          </w:tblCellMar>
        </w:tblPrEx>
        <w:trPr>
          <w:wBefore w:w="0" w:type="auto"/>
          <w:tblCellSpacing w:w="0" w:type="dxa"/>
        </w:trPr>
        <w:tc>
          <w:tcPr>
            <w:tcW w:w="0" w:type="auto"/>
            <w:noWrap w:val="0"/>
            <w:vAlign w:val="center"/>
          </w:tcPr>
          <w:p w14:paraId="52E5870F">
            <w:r>
              <w:rPr>
                <w:rFonts w:hint="eastAsia"/>
              </w:rPr>
              <w:t xml:space="preserve">有效成分及其含量： </w:t>
            </w:r>
          </w:p>
          <w:p w14:paraId="681C7444">
            <w:r>
              <w:rPr>
                <w:rFonts w:hint="eastAsia"/>
              </w:rPr>
              <w:t xml:space="preserve">    大黄素甲醚0.5%    </w:t>
            </w:r>
          </w:p>
        </w:tc>
      </w:tr>
      <w:tr w14:paraId="1509BC42">
        <w:tblPrEx>
          <w:tblCellMar>
            <w:top w:w="0" w:type="dxa"/>
            <w:left w:w="0" w:type="dxa"/>
            <w:bottom w:w="0" w:type="dxa"/>
            <w:right w:w="0" w:type="dxa"/>
          </w:tblCellMar>
        </w:tblPrEx>
        <w:trPr>
          <w:wBefore w:w="0" w:type="auto"/>
          <w:tblCellSpacing w:w="0" w:type="dxa"/>
        </w:trPr>
        <w:tc>
          <w:tcPr>
            <w:tcW w:w="0" w:type="auto"/>
            <w:noWrap w:val="0"/>
            <w:vAlign w:val="center"/>
          </w:tcPr>
          <w:p w14:paraId="50DD29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4B68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9437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7B1B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993CF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4116C5">
                  <w:r>
                    <w:rPr>
                      <w:rStyle w:val="11"/>
                      <w:rFonts w:hint="eastAsia"/>
                    </w:rPr>
                    <w:t>施用方式</w:t>
                  </w:r>
                </w:p>
              </w:tc>
            </w:tr>
            <w:tr w14:paraId="2DA9F0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93834E">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DCADCE">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B8F471">
                  <w:r>
                    <w:rPr>
                      <w:rStyle w:val="11"/>
                      <w:rFonts w:hint="eastAsia"/>
                    </w:rPr>
                    <w:t>240-600毫升/亩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B7BE5F">
                  <w:r>
                    <w:rPr>
                      <w:rStyle w:val="11"/>
                      <w:rFonts w:hint="eastAsia"/>
                    </w:rPr>
                    <w:t>喷雾</w:t>
                  </w:r>
                </w:p>
              </w:tc>
            </w:tr>
          </w:tbl>
          <w:p w14:paraId="0C65F39D">
            <w:pPr>
              <w:rPr>
                <w:rFonts w:ascii="Times New Roman" w:hAnsi="Times New Roman" w:cs="Times New Roman"/>
                <w:sz w:val="20"/>
                <w:szCs w:val="20"/>
              </w:rPr>
            </w:pPr>
          </w:p>
        </w:tc>
      </w:tr>
      <w:tr w14:paraId="166D7C43">
        <w:tblPrEx>
          <w:tblCellMar>
            <w:top w:w="0" w:type="dxa"/>
            <w:left w:w="0" w:type="dxa"/>
            <w:bottom w:w="0" w:type="dxa"/>
            <w:right w:w="0" w:type="dxa"/>
          </w:tblCellMar>
        </w:tblPrEx>
        <w:trPr>
          <w:wBefore w:w="0" w:type="auto"/>
          <w:tblCellSpacing w:w="0" w:type="dxa"/>
        </w:trPr>
        <w:tc>
          <w:tcPr>
            <w:tcW w:w="0" w:type="auto"/>
            <w:noWrap w:val="0"/>
            <w:vAlign w:val="center"/>
          </w:tcPr>
          <w:p w14:paraId="1C060AE8">
            <w:r>
              <w:rPr>
                <w:rStyle w:val="10"/>
                <w:rFonts w:hint="eastAsia"/>
              </w:rPr>
              <w:t>使用技术要求:</w:t>
            </w:r>
            <w:r>
              <w:rPr>
                <w:rFonts w:hint="eastAsia"/>
              </w:rPr>
              <w:br w:type="textWrapping"/>
            </w:r>
            <w:r>
              <w:rPr>
                <w:rStyle w:val="11"/>
                <w:rFonts w:hint="eastAsia"/>
              </w:rPr>
              <w:t>1.于病害发生前或发病初期喷雾施药，连续施药2-3次，每次间隔7-10天。晴天傍晚施药或阴天全天用药效果更佳，遇雨需重施。2.大风或预计1小时降雨，请勿施药。</w:t>
            </w:r>
          </w:p>
        </w:tc>
      </w:tr>
      <w:tr w14:paraId="2DEA609F">
        <w:tblPrEx>
          <w:tblCellMar>
            <w:top w:w="0" w:type="dxa"/>
            <w:left w:w="0" w:type="dxa"/>
            <w:bottom w:w="0" w:type="dxa"/>
            <w:right w:w="0" w:type="dxa"/>
          </w:tblCellMar>
        </w:tblPrEx>
        <w:trPr>
          <w:wBefore w:w="0" w:type="auto"/>
          <w:tblCellSpacing w:w="0" w:type="dxa"/>
        </w:trPr>
        <w:tc>
          <w:tcPr>
            <w:tcW w:w="0" w:type="auto"/>
            <w:noWrap w:val="0"/>
            <w:vAlign w:val="center"/>
          </w:tcPr>
          <w:p w14:paraId="4A8F2C16">
            <w:r>
              <w:rPr>
                <w:rStyle w:val="10"/>
                <w:rFonts w:hint="eastAsia"/>
              </w:rPr>
              <w:t>产品性能:</w:t>
            </w:r>
            <w:r>
              <w:rPr>
                <w:rFonts w:hint="eastAsia"/>
              </w:rPr>
              <w:br w:type="textWrapping"/>
            </w:r>
            <w:r>
              <w:rPr>
                <w:rStyle w:val="11"/>
                <w:rFonts w:hint="eastAsia"/>
              </w:rPr>
              <w:t>本产品是由中草药植物提取的生物碱杀菌剂，通过干扰病原真菌细胞壁几丁质的生物合成，抑制真菌菌丝、吸器的形成及孢子的产生，阻断病害的蔓延，达到杀菌作用。该植物源农用杀菌剂适用于防治黄瓜白粉病。</w:t>
            </w:r>
          </w:p>
        </w:tc>
      </w:tr>
      <w:tr w14:paraId="28819CC8">
        <w:tblPrEx>
          <w:tblCellMar>
            <w:top w:w="0" w:type="dxa"/>
            <w:left w:w="0" w:type="dxa"/>
            <w:bottom w:w="0" w:type="dxa"/>
            <w:right w:w="0" w:type="dxa"/>
          </w:tblCellMar>
        </w:tblPrEx>
        <w:trPr>
          <w:wBefore w:w="0" w:type="auto"/>
          <w:tblCellSpacing w:w="0" w:type="dxa"/>
        </w:trPr>
        <w:tc>
          <w:tcPr>
            <w:tcW w:w="0" w:type="auto"/>
            <w:noWrap w:val="0"/>
            <w:vAlign w:val="center"/>
          </w:tcPr>
          <w:p w14:paraId="76B1C425">
            <w:r>
              <w:rPr>
                <w:rStyle w:val="10"/>
                <w:rFonts w:hint="eastAsia"/>
              </w:rPr>
              <w:t>注意事项：</w:t>
            </w:r>
            <w:r>
              <w:rPr>
                <w:rFonts w:hint="eastAsia"/>
              </w:rPr>
              <w:br w:type="textWrapping"/>
            </w:r>
            <w:r>
              <w:rPr>
                <w:rStyle w:val="11"/>
                <w:rFonts w:hint="eastAsia"/>
              </w:rPr>
              <w:t>1. 本品不可与呈强酸、强碱性的农药等物质混合使用。避免与氧化剂接触。 2. 建议与其他作用机制不同的杀菌剂轮换使用，以延缓抗性产生。 3. 对蜜蜂、鸟、鱼类等水生生物有毒，养蜂场所和周围开花植物花期禁用，使用时应密切关注对附近蜂群的影响；鸟类保护区禁用；禁止在河塘等水域内清洗施药器具；远离水产养殖区、河塘等水体附近禁用；赤眼蜂等天敌放飞区禁用。 4. 使用时应穿长衣长裤、靴子，戴帽子、护目镜、口罩、手套等防护用具；施药期间不可吃东西、饮水、吸烟等；施药后应及时洗手、洗脸并洗涤施药时穿着的衣物。 5. 用过的容器应妥善处理，不可做他用，也不可随意丢弃。 6. 孕妇及哺乳期妇女应避免接触。</w:t>
            </w:r>
          </w:p>
        </w:tc>
      </w:tr>
      <w:tr w14:paraId="6B2AF351">
        <w:tblPrEx>
          <w:tblCellMar>
            <w:top w:w="0" w:type="dxa"/>
            <w:left w:w="0" w:type="dxa"/>
            <w:bottom w:w="0" w:type="dxa"/>
            <w:right w:w="0" w:type="dxa"/>
          </w:tblCellMar>
        </w:tblPrEx>
        <w:trPr>
          <w:wBefore w:w="0" w:type="auto"/>
          <w:tblCellSpacing w:w="0" w:type="dxa"/>
        </w:trPr>
        <w:tc>
          <w:tcPr>
            <w:tcW w:w="0" w:type="auto"/>
            <w:noWrap w:val="0"/>
            <w:vAlign w:val="center"/>
          </w:tcPr>
          <w:p w14:paraId="2B7EFFC0">
            <w:r>
              <w:rPr>
                <w:rStyle w:val="10"/>
                <w:rFonts w:hint="eastAsia"/>
              </w:rPr>
              <w:t>中毒急救措施：</w:t>
            </w:r>
            <w:r>
              <w:rPr>
                <w:rFonts w:hint="eastAsia"/>
              </w:rPr>
              <w:br w:type="textWrapping"/>
            </w:r>
            <w:r>
              <w:rPr>
                <w:rStyle w:val="11"/>
                <w:rFonts w:hint="eastAsia"/>
              </w:rPr>
              <w:t>中毒症状：轻微红斑、作呕。对眼睛有刺激性。急救措施：1.使用中或使用后如果感觉不适，立即停止工作，采取急救措施，并携带标签送医院就诊。2.皮肤接触：立即脱掉污染的衣物，用肥皂和大量清水彻底清除被污染的皮肤。3.眼睛溅药：立即将眼睑翻开，用大量清水冲洗至少15分钟，戴隐形眼镜者，冲洗5分钟后取下隐形眼镜，然后继续冲洗，再请医生诊治。4.发生吸入：立即将吸入者转移到空气新鲜及安静处，病情严重者请医生对症治疗。5.误服：立即停止服用，用清水充分漱口，携带标签到医院就诊。</w:t>
            </w:r>
          </w:p>
        </w:tc>
      </w:tr>
      <w:tr w14:paraId="5671BB18">
        <w:tblPrEx>
          <w:tblCellMar>
            <w:top w:w="0" w:type="dxa"/>
            <w:left w:w="0" w:type="dxa"/>
            <w:bottom w:w="0" w:type="dxa"/>
            <w:right w:w="0" w:type="dxa"/>
          </w:tblCellMar>
        </w:tblPrEx>
        <w:trPr>
          <w:wBefore w:w="0" w:type="auto"/>
          <w:tblCellSpacing w:w="0" w:type="dxa"/>
        </w:trPr>
        <w:tc>
          <w:tcPr>
            <w:tcW w:w="0" w:type="auto"/>
            <w:noWrap w:val="0"/>
            <w:vAlign w:val="center"/>
          </w:tcPr>
          <w:p w14:paraId="2ABA1539">
            <w:r>
              <w:rPr>
                <w:rStyle w:val="10"/>
                <w:rFonts w:hint="eastAsia"/>
              </w:rPr>
              <w:t>储存和运输方法：</w:t>
            </w:r>
            <w:r>
              <w:rPr>
                <w:rFonts w:hint="eastAsia"/>
              </w:rPr>
              <w:br w:type="textWrapping"/>
            </w:r>
            <w:r>
              <w:rPr>
                <w:rStyle w:val="11"/>
                <w:rFonts w:hint="eastAsia"/>
              </w:rPr>
              <w:t>本品应贮存在阴凉、避光、通风处；严防受潮，曝晒。置于儿童触及不到的地方，并加锁保存。不能与食品、饮料、粮食、饲料等同贮同运。</w:t>
            </w:r>
          </w:p>
        </w:tc>
      </w:tr>
      <w:tr w14:paraId="1750AEE5">
        <w:tblPrEx>
          <w:tblCellMar>
            <w:top w:w="0" w:type="dxa"/>
            <w:left w:w="0" w:type="dxa"/>
            <w:bottom w:w="0" w:type="dxa"/>
            <w:right w:w="0" w:type="dxa"/>
          </w:tblCellMar>
        </w:tblPrEx>
        <w:trPr>
          <w:wBefore w:w="0" w:type="auto"/>
          <w:tblCellSpacing w:w="0" w:type="dxa"/>
        </w:trPr>
        <w:tc>
          <w:tcPr>
            <w:tcW w:w="0" w:type="auto"/>
            <w:noWrap w:val="0"/>
            <w:vAlign w:val="center"/>
          </w:tcPr>
          <w:p w14:paraId="617FD1DF">
            <w:r>
              <w:rPr>
                <w:rStyle w:val="10"/>
                <w:rFonts w:hint="eastAsia"/>
              </w:rPr>
              <w:t>质量保证期：</w:t>
            </w:r>
            <w:r>
              <w:rPr>
                <w:rStyle w:val="11"/>
                <w:rFonts w:hint="eastAsia"/>
              </w:rPr>
              <w:t>2年</w:t>
            </w:r>
          </w:p>
        </w:tc>
      </w:tr>
      <w:tr w14:paraId="076CA3E7">
        <w:tblPrEx>
          <w:tblCellMar>
            <w:top w:w="0" w:type="dxa"/>
            <w:left w:w="0" w:type="dxa"/>
            <w:bottom w:w="0" w:type="dxa"/>
            <w:right w:w="0" w:type="dxa"/>
          </w:tblCellMar>
        </w:tblPrEx>
        <w:trPr>
          <w:wBefore w:w="0" w:type="auto"/>
          <w:tblCellSpacing w:w="0" w:type="dxa"/>
        </w:trPr>
        <w:tc>
          <w:tcPr>
            <w:tcW w:w="0" w:type="auto"/>
            <w:noWrap w:val="0"/>
            <w:vAlign w:val="center"/>
          </w:tcPr>
          <w:p w14:paraId="4342A64B">
            <w:r>
              <w:rPr>
                <w:rStyle w:val="10"/>
                <w:rFonts w:hint="eastAsia"/>
              </w:rPr>
              <w:t>备注：</w:t>
            </w:r>
          </w:p>
        </w:tc>
      </w:tr>
    </w:tbl>
    <w:p w14:paraId="2D07E19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CF1EFA">
        <w:tblPrEx>
          <w:tblCellMar>
            <w:top w:w="0" w:type="dxa"/>
            <w:left w:w="0" w:type="dxa"/>
            <w:bottom w:w="0" w:type="dxa"/>
            <w:right w:w="0" w:type="dxa"/>
          </w:tblCellMar>
        </w:tblPrEx>
        <w:trPr>
          <w:wBefore w:w="0" w:type="auto"/>
          <w:tblCellSpacing w:w="0" w:type="dxa"/>
        </w:trPr>
        <w:tc>
          <w:tcPr>
            <w:tcW w:w="0" w:type="auto"/>
            <w:noWrap w:val="0"/>
            <w:vAlign w:val="center"/>
          </w:tcPr>
          <w:p w14:paraId="65D73974">
            <w:r>
              <w:rPr>
                <w:rStyle w:val="10"/>
                <w:rFonts w:hint="eastAsia"/>
              </w:rPr>
              <w:t>登记证号：</w:t>
            </w:r>
            <w:r>
              <w:rPr>
                <w:rFonts w:hint="eastAsia"/>
              </w:rPr>
              <w:t>PD20212477</w:t>
            </w:r>
          </w:p>
        </w:tc>
      </w:tr>
      <w:tr w14:paraId="3AA77936">
        <w:tblPrEx>
          <w:tblCellMar>
            <w:top w:w="0" w:type="dxa"/>
            <w:left w:w="0" w:type="dxa"/>
            <w:bottom w:w="0" w:type="dxa"/>
            <w:right w:w="0" w:type="dxa"/>
          </w:tblCellMar>
        </w:tblPrEx>
        <w:trPr>
          <w:wBefore w:w="0" w:type="auto"/>
          <w:tblCellSpacing w:w="0" w:type="dxa"/>
        </w:trPr>
        <w:tc>
          <w:tcPr>
            <w:tcW w:w="0" w:type="auto"/>
            <w:noWrap w:val="0"/>
            <w:vAlign w:val="center"/>
          </w:tcPr>
          <w:p w14:paraId="1D49CEC6">
            <w:r>
              <w:rPr>
                <w:rStyle w:val="10"/>
                <w:rFonts w:hint="eastAsia"/>
              </w:rPr>
              <w:t>登记证持有人：</w:t>
            </w:r>
            <w:r>
              <w:rPr>
                <w:rFonts w:hint="eastAsia"/>
              </w:rPr>
              <w:t>浙江中山化工集团股份有限公司</w:t>
            </w:r>
          </w:p>
        </w:tc>
      </w:tr>
      <w:tr w14:paraId="1AE36B6E">
        <w:tblPrEx>
          <w:tblCellMar>
            <w:top w:w="0" w:type="dxa"/>
            <w:left w:w="0" w:type="dxa"/>
            <w:bottom w:w="0" w:type="dxa"/>
            <w:right w:w="0" w:type="dxa"/>
          </w:tblCellMar>
        </w:tblPrEx>
        <w:trPr>
          <w:wBefore w:w="0" w:type="auto"/>
          <w:tblCellSpacing w:w="0" w:type="dxa"/>
        </w:trPr>
        <w:tc>
          <w:tcPr>
            <w:tcW w:w="0" w:type="auto"/>
            <w:noWrap w:val="0"/>
            <w:vAlign w:val="center"/>
          </w:tcPr>
          <w:p w14:paraId="650A0C94">
            <w:r>
              <w:rPr>
                <w:rStyle w:val="10"/>
                <w:rFonts w:hint="eastAsia"/>
              </w:rPr>
              <w:t>农药名称：</w:t>
            </w:r>
            <w:r>
              <w:rPr>
                <w:rFonts w:hint="eastAsia"/>
              </w:rPr>
              <w:t>双氟磺草胺·唑啉草酯</w:t>
            </w:r>
          </w:p>
        </w:tc>
      </w:tr>
      <w:tr w14:paraId="436D7C86">
        <w:tblPrEx>
          <w:tblCellMar>
            <w:top w:w="0" w:type="dxa"/>
            <w:left w:w="0" w:type="dxa"/>
            <w:bottom w:w="0" w:type="dxa"/>
            <w:right w:w="0" w:type="dxa"/>
          </w:tblCellMar>
        </w:tblPrEx>
        <w:trPr>
          <w:wBefore w:w="0" w:type="auto"/>
          <w:tblCellSpacing w:w="0" w:type="dxa"/>
        </w:trPr>
        <w:tc>
          <w:tcPr>
            <w:tcW w:w="0" w:type="auto"/>
            <w:noWrap w:val="0"/>
            <w:vAlign w:val="center"/>
          </w:tcPr>
          <w:p w14:paraId="57C2985D">
            <w:r>
              <w:rPr>
                <w:rStyle w:val="10"/>
                <w:rFonts w:hint="eastAsia"/>
              </w:rPr>
              <w:t>剂型：</w:t>
            </w:r>
            <w:r>
              <w:rPr>
                <w:rFonts w:hint="eastAsia"/>
              </w:rPr>
              <w:t>乳油</w:t>
            </w:r>
          </w:p>
        </w:tc>
      </w:tr>
      <w:tr w14:paraId="438C80B6">
        <w:tblPrEx>
          <w:tblCellMar>
            <w:top w:w="0" w:type="dxa"/>
            <w:left w:w="0" w:type="dxa"/>
            <w:bottom w:w="0" w:type="dxa"/>
            <w:right w:w="0" w:type="dxa"/>
          </w:tblCellMar>
        </w:tblPrEx>
        <w:trPr>
          <w:wBefore w:w="0" w:type="auto"/>
          <w:tblCellSpacing w:w="0" w:type="dxa"/>
        </w:trPr>
        <w:tc>
          <w:tcPr>
            <w:tcW w:w="0" w:type="auto"/>
            <w:noWrap w:val="0"/>
            <w:vAlign w:val="center"/>
          </w:tcPr>
          <w:p w14:paraId="3A72EA76">
            <w:r>
              <w:rPr>
                <w:rStyle w:val="10"/>
                <w:rFonts w:hint="eastAsia"/>
              </w:rPr>
              <w:t>毒性及其标识：</w:t>
            </w:r>
            <w:r>
              <w:rPr>
                <w:rFonts w:hint="eastAsia"/>
              </w:rPr>
              <w:t xml:space="preserve"> </w:t>
            </w:r>
            <w:r>
              <w:rPr>
                <w:lang/>
              </w:rPr>
              <w:drawing>
                <wp:inline distT="0" distB="0" distL="114300" distR="114300">
                  <wp:extent cx="476250" cy="323850"/>
                  <wp:effectExtent l="0" t="0" r="0" b="0"/>
                  <wp:docPr id="156" name="图片 1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34B1F8">
        <w:tblPrEx>
          <w:tblCellMar>
            <w:top w:w="0" w:type="dxa"/>
            <w:left w:w="0" w:type="dxa"/>
            <w:bottom w:w="0" w:type="dxa"/>
            <w:right w:w="0" w:type="dxa"/>
          </w:tblCellMar>
        </w:tblPrEx>
        <w:trPr>
          <w:wBefore w:w="0" w:type="auto"/>
          <w:tblCellSpacing w:w="0" w:type="dxa"/>
        </w:trPr>
        <w:tc>
          <w:tcPr>
            <w:tcW w:w="0" w:type="auto"/>
            <w:noWrap w:val="0"/>
            <w:vAlign w:val="center"/>
          </w:tcPr>
          <w:p w14:paraId="4C32DF4B">
            <w:r>
              <w:rPr>
                <w:rStyle w:val="10"/>
                <w:rFonts w:hint="eastAsia"/>
              </w:rPr>
              <w:t>总有效成分含量：</w:t>
            </w:r>
            <w:r>
              <w:rPr>
                <w:rFonts w:hint="eastAsia"/>
              </w:rPr>
              <w:t>5%</w:t>
            </w:r>
          </w:p>
        </w:tc>
      </w:tr>
      <w:tr w14:paraId="3D7EB6D5">
        <w:tblPrEx>
          <w:tblCellMar>
            <w:top w:w="0" w:type="dxa"/>
            <w:left w:w="0" w:type="dxa"/>
            <w:bottom w:w="0" w:type="dxa"/>
            <w:right w:w="0" w:type="dxa"/>
          </w:tblCellMar>
        </w:tblPrEx>
        <w:trPr>
          <w:wBefore w:w="0" w:type="auto"/>
          <w:tblCellSpacing w:w="0" w:type="dxa"/>
        </w:trPr>
        <w:tc>
          <w:tcPr>
            <w:tcW w:w="0" w:type="auto"/>
            <w:noWrap w:val="0"/>
            <w:vAlign w:val="center"/>
          </w:tcPr>
          <w:p w14:paraId="1E314EAD">
            <w:r>
              <w:rPr>
                <w:rFonts w:hint="eastAsia"/>
              </w:rPr>
              <w:t xml:space="preserve">有效成分及其含量： </w:t>
            </w:r>
          </w:p>
          <w:p w14:paraId="46601567">
            <w:r>
              <w:rPr>
                <w:rFonts w:hint="eastAsia"/>
              </w:rPr>
              <w:t xml:space="preserve">    唑啉草酯4.5%    双氟磺草胺0.5%    </w:t>
            </w:r>
          </w:p>
        </w:tc>
      </w:tr>
      <w:tr w14:paraId="0FFF552E">
        <w:tblPrEx>
          <w:tblCellMar>
            <w:top w:w="0" w:type="dxa"/>
            <w:left w:w="0" w:type="dxa"/>
            <w:bottom w:w="0" w:type="dxa"/>
            <w:right w:w="0" w:type="dxa"/>
          </w:tblCellMar>
        </w:tblPrEx>
        <w:trPr>
          <w:wBefore w:w="0" w:type="auto"/>
          <w:tblCellSpacing w:w="0" w:type="dxa"/>
        </w:trPr>
        <w:tc>
          <w:tcPr>
            <w:tcW w:w="0" w:type="auto"/>
            <w:noWrap w:val="0"/>
            <w:vAlign w:val="center"/>
          </w:tcPr>
          <w:p w14:paraId="109F0E5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0CA6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D3FF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B671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C0B5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0D1D6E">
                  <w:r>
                    <w:rPr>
                      <w:rStyle w:val="11"/>
                      <w:rFonts w:hint="eastAsia"/>
                    </w:rPr>
                    <w:t>施用方式</w:t>
                  </w:r>
                </w:p>
              </w:tc>
            </w:tr>
            <w:tr w14:paraId="7419BC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19A127">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B48CC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CBF76A">
                  <w:r>
                    <w:rPr>
                      <w:rStyle w:val="11"/>
                      <w:rFonts w:hint="eastAsia"/>
                    </w:rPr>
                    <w:t>45-60克/亩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FB4903">
                  <w:r>
                    <w:rPr>
                      <w:rStyle w:val="11"/>
                      <w:rFonts w:hint="eastAsia"/>
                    </w:rPr>
                    <w:t>茎叶喷雾</w:t>
                  </w:r>
                </w:p>
              </w:tc>
            </w:tr>
          </w:tbl>
          <w:p w14:paraId="2E0D05C6">
            <w:pPr>
              <w:rPr>
                <w:rFonts w:ascii="Times New Roman" w:hAnsi="Times New Roman" w:cs="Times New Roman"/>
                <w:sz w:val="20"/>
                <w:szCs w:val="20"/>
              </w:rPr>
            </w:pPr>
          </w:p>
        </w:tc>
      </w:tr>
      <w:tr w14:paraId="400E5548">
        <w:tblPrEx>
          <w:tblCellMar>
            <w:top w:w="0" w:type="dxa"/>
            <w:left w:w="0" w:type="dxa"/>
            <w:bottom w:w="0" w:type="dxa"/>
            <w:right w:w="0" w:type="dxa"/>
          </w:tblCellMar>
        </w:tblPrEx>
        <w:trPr>
          <w:wBefore w:w="0" w:type="auto"/>
          <w:tblCellSpacing w:w="0" w:type="dxa"/>
        </w:trPr>
        <w:tc>
          <w:tcPr>
            <w:tcW w:w="0" w:type="auto"/>
            <w:noWrap w:val="0"/>
            <w:vAlign w:val="center"/>
          </w:tcPr>
          <w:p w14:paraId="7663D1A0">
            <w:r>
              <w:rPr>
                <w:rStyle w:val="10"/>
                <w:rFonts w:hint="eastAsia"/>
              </w:rPr>
              <w:t>使用技术要求:</w:t>
            </w:r>
            <w:r>
              <w:rPr>
                <w:rFonts w:hint="eastAsia"/>
              </w:rPr>
              <w:br w:type="textWrapping"/>
            </w:r>
            <w:r>
              <w:rPr>
                <w:rStyle w:val="11"/>
                <w:rFonts w:hint="eastAsia"/>
              </w:rPr>
              <w:t>1. 冬小麦返青后到拔节前，杂草2-5叶期，以推荐剂量兑水均匀茎叶喷雾施药一次。 2. 大风天或预计1小时内降雨，请勿施药。尽量选择无风天气施药，避免飘移药害。 3. 每季作物最多使用1次。</w:t>
            </w:r>
          </w:p>
        </w:tc>
      </w:tr>
      <w:tr w14:paraId="0CB0D255">
        <w:tblPrEx>
          <w:tblCellMar>
            <w:top w:w="0" w:type="dxa"/>
            <w:left w:w="0" w:type="dxa"/>
            <w:bottom w:w="0" w:type="dxa"/>
            <w:right w:w="0" w:type="dxa"/>
          </w:tblCellMar>
        </w:tblPrEx>
        <w:trPr>
          <w:wBefore w:w="0" w:type="auto"/>
          <w:tblCellSpacing w:w="0" w:type="dxa"/>
        </w:trPr>
        <w:tc>
          <w:tcPr>
            <w:tcW w:w="0" w:type="auto"/>
            <w:noWrap w:val="0"/>
            <w:vAlign w:val="center"/>
          </w:tcPr>
          <w:p w14:paraId="62635C60">
            <w:r>
              <w:rPr>
                <w:rStyle w:val="10"/>
                <w:rFonts w:hint="eastAsia"/>
              </w:rPr>
              <w:t>产品性能:</w:t>
            </w:r>
            <w:r>
              <w:rPr>
                <w:rFonts w:hint="eastAsia"/>
              </w:rPr>
              <w:br w:type="textWrapping"/>
            </w:r>
            <w:r>
              <w:rPr>
                <w:rStyle w:val="11"/>
                <w:rFonts w:hint="eastAsia"/>
              </w:rPr>
              <w:t>本品是由唑啉草酯和双氟磺草胺混配而成，可有效防除冬小麦田中野燕麦、黑麦草、狗尾草、看麦娘和棒头草等大多数一年生禾本科杂草，猪殃殃、繁缕、蓼空心菜等阔叶杂草和各种十字花科杂草。</w:t>
            </w:r>
          </w:p>
        </w:tc>
      </w:tr>
      <w:tr w14:paraId="3EFDA791">
        <w:tblPrEx>
          <w:tblCellMar>
            <w:top w:w="0" w:type="dxa"/>
            <w:left w:w="0" w:type="dxa"/>
            <w:bottom w:w="0" w:type="dxa"/>
            <w:right w:w="0" w:type="dxa"/>
          </w:tblCellMar>
        </w:tblPrEx>
        <w:trPr>
          <w:wBefore w:w="0" w:type="auto"/>
          <w:tblCellSpacing w:w="0" w:type="dxa"/>
        </w:trPr>
        <w:tc>
          <w:tcPr>
            <w:tcW w:w="0" w:type="auto"/>
            <w:noWrap w:val="0"/>
            <w:vAlign w:val="center"/>
          </w:tcPr>
          <w:p w14:paraId="15288E3E">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请严格按照农药安全使用准则使用本品。使用时应接受当地农业技术部门的指导。避免药液接触皮肤和污染衣物，避免吸入雾滴。切勿在施药期间抽烟或饮食等。2. 由于该产品含有可燃的有机成分，燃烧时会产生浓厚的黑烟，燃烧产物有一定毒性，暴露于分解产物中可能会危害到健康。对于小火，灭火材料使用水、抗醇泡沫、干粉或者二氧化碳。对于大火，用抗醇泡沫、水。不要让灭火产生的废水流入下水管或水道。3. 一旦泄露和溢出，可以用不可燃的吸附材料（如沙、土、硅藻土、蛭石）装起和收集泄漏物并放入容器内，以便根据当地/国家的法规对容器进行处理。4. 配药时，必须带手套、面罩，穿长补袖衣、长裤和防水靴。喷药时，应穿长袖衣、长裤和防水靴。5. 施药后，彻底清洗防护用具，洗澡，并更换和清洗工作服。6. 用完的空包装应依照当地法律法规妥善处理。使用过的空包装，请用清水冲洗三次后，带离田间，妥善处理；切勿重复使用或改作其它用途。所有施药器具，用后应立即用清水或适当的洗涤剂清洗。7. 远离水产养殖区、河塘等水体施药；禁止在河塘等水体中清洗施药器具。8. 未用完的剩余制剂应放在原包装内密封保存，切勿将本品置于饮、食容器内。9. 避免孕妇及哺乳期的妇女接触。</w:t>
            </w:r>
          </w:p>
        </w:tc>
      </w:tr>
      <w:tr w14:paraId="46F7D071">
        <w:tblPrEx>
          <w:tblCellMar>
            <w:top w:w="0" w:type="dxa"/>
            <w:left w:w="0" w:type="dxa"/>
            <w:bottom w:w="0" w:type="dxa"/>
            <w:right w:w="0" w:type="dxa"/>
          </w:tblCellMar>
        </w:tblPrEx>
        <w:trPr>
          <w:wBefore w:w="0" w:type="auto"/>
          <w:tblCellSpacing w:w="0" w:type="dxa"/>
        </w:trPr>
        <w:tc>
          <w:tcPr>
            <w:tcW w:w="0" w:type="auto"/>
            <w:noWrap w:val="0"/>
            <w:vAlign w:val="center"/>
          </w:tcPr>
          <w:p w14:paraId="6B314BDE">
            <w:r>
              <w:rPr>
                <w:rStyle w:val="10"/>
                <w:rFonts w:hint="eastAsia"/>
              </w:rPr>
              <w:t>中毒急救措施：</w:t>
            </w:r>
            <w:r>
              <w:rPr>
                <w:rFonts w:hint="eastAsia"/>
              </w:rPr>
              <w:br w:type="textWrapping"/>
            </w:r>
            <w:r>
              <w:rPr>
                <w:rStyle w:val="11"/>
                <w:rFonts w:hint="eastAsia"/>
              </w:rPr>
              <w:t>皮肤接触：立即脱掉被污染的衣物用肥皂和大量清水彻底清洗受污染的皮肤，若皮肤刺激感持续，请医生诊治。眼睛溅药：立即将眼睑翻开，用清水冲洗10-15分钟，再请医生诊治。发生吸入：立即将吸入者移到空气新鲜处，如吸入者停止呼吸，需要进行人工呼吸。注意保暖和休息，请医生诊治。若误服，请立即携带标签，送医就诊。紧急医疗措施，使用医用活性炭洗胃，注意防止胃容物进入呼吸道。注意：对昏迷病人，切勿经口喂入任何东西或引吐。无专用解毒剂，应对症治疗。</w:t>
            </w:r>
          </w:p>
        </w:tc>
      </w:tr>
      <w:tr w14:paraId="5139CD64">
        <w:tblPrEx>
          <w:tblCellMar>
            <w:top w:w="0" w:type="dxa"/>
            <w:left w:w="0" w:type="dxa"/>
            <w:bottom w:w="0" w:type="dxa"/>
            <w:right w:w="0" w:type="dxa"/>
          </w:tblCellMar>
        </w:tblPrEx>
        <w:trPr>
          <w:wBefore w:w="0" w:type="auto"/>
          <w:tblCellSpacing w:w="0" w:type="dxa"/>
        </w:trPr>
        <w:tc>
          <w:tcPr>
            <w:tcW w:w="0" w:type="auto"/>
            <w:noWrap w:val="0"/>
            <w:vAlign w:val="center"/>
          </w:tcPr>
          <w:p w14:paraId="0EB86061">
            <w:r>
              <w:rPr>
                <w:rStyle w:val="10"/>
                <w:rFonts w:hint="eastAsia"/>
              </w:rPr>
              <w:t>储存和运输方法：</w:t>
            </w:r>
            <w:r>
              <w:rPr>
                <w:rFonts w:hint="eastAsia"/>
              </w:rPr>
              <w:br w:type="textWrapping"/>
            </w:r>
            <w:r>
              <w:rPr>
                <w:rStyle w:val="11"/>
                <w:rFonts w:hint="eastAsia"/>
              </w:rPr>
              <w:t>1. 本品为易燃液体，远离热源或火源，存放于密封、干燥、阴凉处。2. 置于儿童、无关人员触及不到之处，并加锁。勿与食品、饮料、饲料、粮食等同贮同运。</w:t>
            </w:r>
          </w:p>
        </w:tc>
      </w:tr>
      <w:tr w14:paraId="522735B3">
        <w:tblPrEx>
          <w:tblCellMar>
            <w:top w:w="0" w:type="dxa"/>
            <w:left w:w="0" w:type="dxa"/>
            <w:bottom w:w="0" w:type="dxa"/>
            <w:right w:w="0" w:type="dxa"/>
          </w:tblCellMar>
        </w:tblPrEx>
        <w:trPr>
          <w:wBefore w:w="0" w:type="auto"/>
          <w:tblCellSpacing w:w="0" w:type="dxa"/>
        </w:trPr>
        <w:tc>
          <w:tcPr>
            <w:tcW w:w="0" w:type="auto"/>
            <w:noWrap w:val="0"/>
            <w:vAlign w:val="center"/>
          </w:tcPr>
          <w:p w14:paraId="519DC07A">
            <w:r>
              <w:rPr>
                <w:rStyle w:val="10"/>
                <w:rFonts w:hint="eastAsia"/>
              </w:rPr>
              <w:t>质量保证期：</w:t>
            </w:r>
            <w:r>
              <w:rPr>
                <w:rStyle w:val="11"/>
                <w:rFonts w:hint="eastAsia"/>
              </w:rPr>
              <w:t>2年</w:t>
            </w:r>
          </w:p>
        </w:tc>
      </w:tr>
      <w:tr w14:paraId="5700569E">
        <w:tblPrEx>
          <w:tblCellMar>
            <w:top w:w="0" w:type="dxa"/>
            <w:left w:w="0" w:type="dxa"/>
            <w:bottom w:w="0" w:type="dxa"/>
            <w:right w:w="0" w:type="dxa"/>
          </w:tblCellMar>
        </w:tblPrEx>
        <w:trPr>
          <w:wBefore w:w="0" w:type="auto"/>
          <w:tblCellSpacing w:w="0" w:type="dxa"/>
        </w:trPr>
        <w:tc>
          <w:tcPr>
            <w:tcW w:w="0" w:type="auto"/>
            <w:noWrap w:val="0"/>
            <w:vAlign w:val="center"/>
          </w:tcPr>
          <w:p w14:paraId="0B7884B2">
            <w:r>
              <w:rPr>
                <w:rStyle w:val="10"/>
                <w:rFonts w:hint="eastAsia"/>
              </w:rPr>
              <w:t>备注：</w:t>
            </w:r>
          </w:p>
        </w:tc>
      </w:tr>
    </w:tbl>
    <w:p w14:paraId="1AD465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CBDB70">
        <w:tblPrEx>
          <w:tblCellMar>
            <w:top w:w="0" w:type="dxa"/>
            <w:left w:w="0" w:type="dxa"/>
            <w:bottom w:w="0" w:type="dxa"/>
            <w:right w:w="0" w:type="dxa"/>
          </w:tblCellMar>
        </w:tblPrEx>
        <w:trPr>
          <w:wBefore w:w="0" w:type="auto"/>
          <w:tblCellSpacing w:w="0" w:type="dxa"/>
        </w:trPr>
        <w:tc>
          <w:tcPr>
            <w:tcW w:w="0" w:type="auto"/>
            <w:noWrap w:val="0"/>
            <w:vAlign w:val="center"/>
          </w:tcPr>
          <w:p w14:paraId="2C2E0ED5">
            <w:r>
              <w:rPr>
                <w:rStyle w:val="10"/>
                <w:rFonts w:hint="eastAsia"/>
              </w:rPr>
              <w:t>登记证号：</w:t>
            </w:r>
            <w:r>
              <w:rPr>
                <w:rFonts w:hint="eastAsia"/>
              </w:rPr>
              <w:t>PD20212448</w:t>
            </w:r>
          </w:p>
        </w:tc>
      </w:tr>
      <w:tr w14:paraId="324D1D29">
        <w:tblPrEx>
          <w:tblCellMar>
            <w:top w:w="0" w:type="dxa"/>
            <w:left w:w="0" w:type="dxa"/>
            <w:bottom w:w="0" w:type="dxa"/>
            <w:right w:w="0" w:type="dxa"/>
          </w:tblCellMar>
        </w:tblPrEx>
        <w:trPr>
          <w:wBefore w:w="0" w:type="auto"/>
          <w:tblCellSpacing w:w="0" w:type="dxa"/>
        </w:trPr>
        <w:tc>
          <w:tcPr>
            <w:tcW w:w="0" w:type="auto"/>
            <w:noWrap w:val="0"/>
            <w:vAlign w:val="center"/>
          </w:tcPr>
          <w:p w14:paraId="412CB041">
            <w:r>
              <w:rPr>
                <w:rStyle w:val="10"/>
                <w:rFonts w:hint="eastAsia"/>
              </w:rPr>
              <w:t>登记证持有人：</w:t>
            </w:r>
            <w:r>
              <w:rPr>
                <w:rFonts w:hint="eastAsia"/>
              </w:rPr>
              <w:t>云南云大科技农化有限公司</w:t>
            </w:r>
          </w:p>
        </w:tc>
      </w:tr>
      <w:tr w14:paraId="7B28A23E">
        <w:tblPrEx>
          <w:tblCellMar>
            <w:top w:w="0" w:type="dxa"/>
            <w:left w:w="0" w:type="dxa"/>
            <w:bottom w:w="0" w:type="dxa"/>
            <w:right w:w="0" w:type="dxa"/>
          </w:tblCellMar>
        </w:tblPrEx>
        <w:trPr>
          <w:wBefore w:w="0" w:type="auto"/>
          <w:tblCellSpacing w:w="0" w:type="dxa"/>
        </w:trPr>
        <w:tc>
          <w:tcPr>
            <w:tcW w:w="0" w:type="auto"/>
            <w:noWrap w:val="0"/>
            <w:vAlign w:val="center"/>
          </w:tcPr>
          <w:p w14:paraId="1ED1D5F1">
            <w:r>
              <w:rPr>
                <w:rStyle w:val="10"/>
                <w:rFonts w:hint="eastAsia"/>
              </w:rPr>
              <w:t>农药名称：</w:t>
            </w:r>
            <w:r>
              <w:rPr>
                <w:rFonts w:hint="eastAsia"/>
              </w:rPr>
              <w:t>杀单·噻虫胺</w:t>
            </w:r>
          </w:p>
        </w:tc>
      </w:tr>
      <w:tr w14:paraId="1B821496">
        <w:tblPrEx>
          <w:tblCellMar>
            <w:top w:w="0" w:type="dxa"/>
            <w:left w:w="0" w:type="dxa"/>
            <w:bottom w:w="0" w:type="dxa"/>
            <w:right w:w="0" w:type="dxa"/>
          </w:tblCellMar>
        </w:tblPrEx>
        <w:trPr>
          <w:wBefore w:w="0" w:type="auto"/>
          <w:tblCellSpacing w:w="0" w:type="dxa"/>
        </w:trPr>
        <w:tc>
          <w:tcPr>
            <w:tcW w:w="0" w:type="auto"/>
            <w:noWrap w:val="0"/>
            <w:vAlign w:val="center"/>
          </w:tcPr>
          <w:p w14:paraId="19243886">
            <w:r>
              <w:rPr>
                <w:rStyle w:val="10"/>
                <w:rFonts w:hint="eastAsia"/>
              </w:rPr>
              <w:t>剂型：</w:t>
            </w:r>
            <w:r>
              <w:rPr>
                <w:rFonts w:hint="eastAsia"/>
              </w:rPr>
              <w:t>颗粒剂</w:t>
            </w:r>
          </w:p>
        </w:tc>
      </w:tr>
      <w:tr w14:paraId="53EB7F1B">
        <w:tblPrEx>
          <w:tblCellMar>
            <w:top w:w="0" w:type="dxa"/>
            <w:left w:w="0" w:type="dxa"/>
            <w:bottom w:w="0" w:type="dxa"/>
            <w:right w:w="0" w:type="dxa"/>
          </w:tblCellMar>
        </w:tblPrEx>
        <w:trPr>
          <w:wBefore w:w="0" w:type="auto"/>
          <w:tblCellSpacing w:w="0" w:type="dxa"/>
        </w:trPr>
        <w:tc>
          <w:tcPr>
            <w:tcW w:w="0" w:type="auto"/>
            <w:noWrap w:val="0"/>
            <w:vAlign w:val="center"/>
          </w:tcPr>
          <w:p w14:paraId="06D7F4E4">
            <w:r>
              <w:rPr>
                <w:rStyle w:val="10"/>
                <w:rFonts w:hint="eastAsia"/>
              </w:rPr>
              <w:t>毒性及其标识：</w:t>
            </w:r>
            <w:r>
              <w:rPr>
                <w:rFonts w:hint="eastAsia"/>
              </w:rPr>
              <w:t xml:space="preserve"> </w:t>
            </w:r>
            <w:r>
              <w:rPr>
                <w:lang/>
              </w:rPr>
              <w:drawing>
                <wp:inline distT="0" distB="0" distL="114300" distR="114300">
                  <wp:extent cx="476250" cy="323850"/>
                  <wp:effectExtent l="0" t="0" r="0" b="0"/>
                  <wp:docPr id="157" name="图片 1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EF2FB3">
        <w:tblPrEx>
          <w:tblCellMar>
            <w:top w:w="0" w:type="dxa"/>
            <w:left w:w="0" w:type="dxa"/>
            <w:bottom w:w="0" w:type="dxa"/>
            <w:right w:w="0" w:type="dxa"/>
          </w:tblCellMar>
        </w:tblPrEx>
        <w:trPr>
          <w:wBefore w:w="0" w:type="auto"/>
          <w:tblCellSpacing w:w="0" w:type="dxa"/>
        </w:trPr>
        <w:tc>
          <w:tcPr>
            <w:tcW w:w="0" w:type="auto"/>
            <w:noWrap w:val="0"/>
            <w:vAlign w:val="center"/>
          </w:tcPr>
          <w:p w14:paraId="2343E69E">
            <w:r>
              <w:rPr>
                <w:rStyle w:val="10"/>
                <w:rFonts w:hint="eastAsia"/>
              </w:rPr>
              <w:t>总有效成分含量：</w:t>
            </w:r>
            <w:r>
              <w:rPr>
                <w:rFonts w:hint="eastAsia"/>
              </w:rPr>
              <w:t>0.5%</w:t>
            </w:r>
          </w:p>
        </w:tc>
      </w:tr>
      <w:tr w14:paraId="75803DDA">
        <w:tblPrEx>
          <w:tblCellMar>
            <w:top w:w="0" w:type="dxa"/>
            <w:left w:w="0" w:type="dxa"/>
            <w:bottom w:w="0" w:type="dxa"/>
            <w:right w:w="0" w:type="dxa"/>
          </w:tblCellMar>
        </w:tblPrEx>
        <w:trPr>
          <w:wBefore w:w="0" w:type="auto"/>
          <w:tblCellSpacing w:w="0" w:type="dxa"/>
        </w:trPr>
        <w:tc>
          <w:tcPr>
            <w:tcW w:w="0" w:type="auto"/>
            <w:noWrap w:val="0"/>
            <w:vAlign w:val="center"/>
          </w:tcPr>
          <w:p w14:paraId="7DD14546">
            <w:r>
              <w:rPr>
                <w:rFonts w:hint="eastAsia"/>
              </w:rPr>
              <w:t xml:space="preserve">有效成分及其含量： </w:t>
            </w:r>
          </w:p>
          <w:p w14:paraId="0AFA22EA">
            <w:r>
              <w:rPr>
                <w:rFonts w:hint="eastAsia"/>
              </w:rPr>
              <w:t xml:space="preserve">    噻虫胺0.05%    杀虫单0.45%    </w:t>
            </w:r>
          </w:p>
        </w:tc>
      </w:tr>
      <w:tr w14:paraId="4CA2FBD9">
        <w:tblPrEx>
          <w:tblCellMar>
            <w:top w:w="0" w:type="dxa"/>
            <w:left w:w="0" w:type="dxa"/>
            <w:bottom w:w="0" w:type="dxa"/>
            <w:right w:w="0" w:type="dxa"/>
          </w:tblCellMar>
        </w:tblPrEx>
        <w:trPr>
          <w:wBefore w:w="0" w:type="auto"/>
          <w:tblCellSpacing w:w="0" w:type="dxa"/>
        </w:trPr>
        <w:tc>
          <w:tcPr>
            <w:tcW w:w="0" w:type="auto"/>
            <w:noWrap w:val="0"/>
            <w:vAlign w:val="center"/>
          </w:tcPr>
          <w:p w14:paraId="5A8297D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77B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522BB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76BD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2047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A2A902">
                  <w:r>
                    <w:rPr>
                      <w:rStyle w:val="11"/>
                      <w:rFonts w:hint="eastAsia"/>
                    </w:rPr>
                    <w:t>施用方式</w:t>
                  </w:r>
                </w:p>
              </w:tc>
            </w:tr>
            <w:tr w14:paraId="74CC94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F625A7">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593379">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1A373E">
                  <w:r>
                    <w:rPr>
                      <w:rStyle w:val="11"/>
                      <w:rFonts w:hint="eastAsia"/>
                    </w:rPr>
                    <w:t>35-45千克/亩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3B5A3B">
                  <w:r>
                    <w:rPr>
                      <w:rStyle w:val="11"/>
                      <w:rFonts w:hint="eastAsia"/>
                    </w:rPr>
                    <w:t>撒施</w:t>
                  </w:r>
                </w:p>
              </w:tc>
            </w:tr>
          </w:tbl>
          <w:p w14:paraId="02DBDDD5">
            <w:pPr>
              <w:rPr>
                <w:rFonts w:ascii="Times New Roman" w:hAnsi="Times New Roman" w:cs="Times New Roman"/>
                <w:sz w:val="20"/>
                <w:szCs w:val="20"/>
              </w:rPr>
            </w:pPr>
          </w:p>
        </w:tc>
      </w:tr>
      <w:tr w14:paraId="19DCB049">
        <w:tblPrEx>
          <w:tblCellMar>
            <w:top w:w="0" w:type="dxa"/>
            <w:left w:w="0" w:type="dxa"/>
            <w:bottom w:w="0" w:type="dxa"/>
            <w:right w:w="0" w:type="dxa"/>
          </w:tblCellMar>
        </w:tblPrEx>
        <w:trPr>
          <w:wBefore w:w="0" w:type="auto"/>
          <w:tblCellSpacing w:w="0" w:type="dxa"/>
        </w:trPr>
        <w:tc>
          <w:tcPr>
            <w:tcW w:w="0" w:type="auto"/>
            <w:noWrap w:val="0"/>
            <w:vAlign w:val="center"/>
          </w:tcPr>
          <w:p w14:paraId="6F158B6A">
            <w:r>
              <w:rPr>
                <w:rStyle w:val="10"/>
                <w:rFonts w:hint="eastAsia"/>
              </w:rPr>
              <w:t>使用技术要求:</w:t>
            </w:r>
            <w:r>
              <w:rPr>
                <w:rFonts w:hint="eastAsia"/>
              </w:rPr>
              <w:br w:type="textWrapping"/>
            </w:r>
            <w:r>
              <w:rPr>
                <w:rStyle w:val="11"/>
                <w:rFonts w:hint="eastAsia"/>
              </w:rPr>
              <w:t>1. 本品应在甘蔗下种或培土时使用，将药剂均匀撒施于种植沟内，制剂用药量40-45千克/亩，覆土；或在宿根甘蔗培土时，将药剂均匀撒施于甘蔗垄旁，覆土。2. 本品每季最多使用1次。</w:t>
            </w:r>
          </w:p>
        </w:tc>
      </w:tr>
      <w:tr w14:paraId="2F981278">
        <w:tblPrEx>
          <w:tblCellMar>
            <w:top w:w="0" w:type="dxa"/>
            <w:left w:w="0" w:type="dxa"/>
            <w:bottom w:w="0" w:type="dxa"/>
            <w:right w:w="0" w:type="dxa"/>
          </w:tblCellMar>
        </w:tblPrEx>
        <w:trPr>
          <w:wBefore w:w="0" w:type="auto"/>
          <w:tblCellSpacing w:w="0" w:type="dxa"/>
        </w:trPr>
        <w:tc>
          <w:tcPr>
            <w:tcW w:w="0" w:type="auto"/>
            <w:noWrap w:val="0"/>
            <w:vAlign w:val="center"/>
          </w:tcPr>
          <w:p w14:paraId="2B3A0379">
            <w:r>
              <w:rPr>
                <w:rStyle w:val="10"/>
                <w:rFonts w:hint="eastAsia"/>
              </w:rPr>
              <w:t>产品性能:</w:t>
            </w:r>
            <w:r>
              <w:rPr>
                <w:rFonts w:hint="eastAsia"/>
              </w:rPr>
              <w:br w:type="textWrapping"/>
            </w:r>
            <w:r>
              <w:rPr>
                <w:rStyle w:val="11"/>
                <w:rFonts w:hint="eastAsia"/>
              </w:rPr>
              <w:t>噻虫胺属烟碱乙酰胆碱受体激动剂，作用于昆虫中枢神经系统突触，使昆虫异常兴奋，全身痉挛、麻痹而死。杀虫单是一种人工合成的沙蚕毒素的类似物，作用于烟碱乙酰胆碱受体，阻遏昆虫中枢神经系统的传导，导致昆虫死亡。两者混配后可用于防治甘蔗蔗螟。</w:t>
            </w:r>
          </w:p>
        </w:tc>
      </w:tr>
      <w:tr w14:paraId="15E09DB9">
        <w:tblPrEx>
          <w:tblCellMar>
            <w:top w:w="0" w:type="dxa"/>
            <w:left w:w="0" w:type="dxa"/>
            <w:bottom w:w="0" w:type="dxa"/>
            <w:right w:w="0" w:type="dxa"/>
          </w:tblCellMar>
        </w:tblPrEx>
        <w:trPr>
          <w:wBefore w:w="0" w:type="auto"/>
          <w:tblCellSpacing w:w="0" w:type="dxa"/>
        </w:trPr>
        <w:tc>
          <w:tcPr>
            <w:tcW w:w="0" w:type="auto"/>
            <w:noWrap w:val="0"/>
            <w:vAlign w:val="center"/>
          </w:tcPr>
          <w:p w14:paraId="031848A0">
            <w:r>
              <w:rPr>
                <w:rStyle w:val="10"/>
                <w:rFonts w:hint="eastAsia"/>
              </w:rPr>
              <w:t>注意事项：</w:t>
            </w:r>
            <w:r>
              <w:rPr>
                <w:rFonts w:hint="eastAsia"/>
              </w:rPr>
              <w:br w:type="textWrapping"/>
            </w:r>
            <w:r>
              <w:rPr>
                <w:rStyle w:val="11"/>
                <w:rFonts w:hint="eastAsia"/>
              </w:rPr>
              <w:t>1. 本品对眼睛有刺激性，使用时穿戴长衣、长裤、帽子、口罩、手套等防护措施，避免眼睛、皮肤接触及口鼻吸入。使用中不可吸烟、饮水及吃东西，使用后及时用大量清水和肥皂清洗手、脸等暴露部位皮肤并更换衣物。 2. 本品对鸟类有毒，鸟类保护区禁用，施药后立即覆土。 3. 本品对蜜蜂有风险，使用时应密切关注对附近蜂群的影响。 4. 对水生生物有毒，远离水产养殖区、河塘等水体施药，禁止在河塘等水体中清洗施药器具。 5. 用过的容器应妥善处理，不可做他用，也不可随意丢弃。 6. 禁止儿童、孕妇及哺乳期的妇女接触。过敏者禁用，使用中有任何不良反应请及时就医。</w:t>
            </w:r>
          </w:p>
        </w:tc>
      </w:tr>
      <w:tr w14:paraId="76F23239">
        <w:tblPrEx>
          <w:tblCellMar>
            <w:top w:w="0" w:type="dxa"/>
            <w:left w:w="0" w:type="dxa"/>
            <w:bottom w:w="0" w:type="dxa"/>
            <w:right w:w="0" w:type="dxa"/>
          </w:tblCellMar>
        </w:tblPrEx>
        <w:trPr>
          <w:wBefore w:w="0" w:type="auto"/>
          <w:tblCellSpacing w:w="0" w:type="dxa"/>
        </w:trPr>
        <w:tc>
          <w:tcPr>
            <w:tcW w:w="0" w:type="auto"/>
            <w:noWrap w:val="0"/>
            <w:vAlign w:val="center"/>
          </w:tcPr>
          <w:p w14:paraId="61E06C92">
            <w:r>
              <w:rPr>
                <w:rStyle w:val="10"/>
                <w:rFonts w:hint="eastAsia"/>
              </w:rPr>
              <w:t>中毒急救措施：</w:t>
            </w:r>
            <w:r>
              <w:rPr>
                <w:rFonts w:hint="eastAsia"/>
              </w:rPr>
              <w:br w:type="textWrapping"/>
            </w:r>
            <w:r>
              <w:rPr>
                <w:rStyle w:val="11"/>
                <w:rFonts w:hint="eastAsia"/>
              </w:rPr>
              <w:t xml:space="preserve">中毒症状：对眼睛有刺激性，通过食道等引起中毒，症状为头痛、头晕、乏力、恶心、呕吐、腹痛流涎、多汗、瞳孔缩小等症状。 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尚无特效解毒剂，对症治疗。若判定为杀虫单中毒，毒覃碱样症状明显者可用小剂量阿托品类药物，忌用胆碱酯酶复能剂。 </w:t>
            </w:r>
          </w:p>
        </w:tc>
      </w:tr>
      <w:tr w14:paraId="253E7AA0">
        <w:tblPrEx>
          <w:tblCellMar>
            <w:top w:w="0" w:type="dxa"/>
            <w:left w:w="0" w:type="dxa"/>
            <w:bottom w:w="0" w:type="dxa"/>
            <w:right w:w="0" w:type="dxa"/>
          </w:tblCellMar>
        </w:tblPrEx>
        <w:trPr>
          <w:wBefore w:w="0" w:type="auto"/>
          <w:tblCellSpacing w:w="0" w:type="dxa"/>
        </w:trPr>
        <w:tc>
          <w:tcPr>
            <w:tcW w:w="0" w:type="auto"/>
            <w:noWrap w:val="0"/>
            <w:vAlign w:val="center"/>
          </w:tcPr>
          <w:p w14:paraId="71DFBA2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本品应贮存在干燥、阴凉、通风、防雨处，远离火源或热源。置于儿童、无关人员接触不到的地方。不能与食品、饮料、粮食、饲料等混合储存。</w:t>
            </w:r>
          </w:p>
        </w:tc>
      </w:tr>
      <w:tr w14:paraId="637B2A9E">
        <w:tblPrEx>
          <w:tblCellMar>
            <w:top w:w="0" w:type="dxa"/>
            <w:left w:w="0" w:type="dxa"/>
            <w:bottom w:w="0" w:type="dxa"/>
            <w:right w:w="0" w:type="dxa"/>
          </w:tblCellMar>
        </w:tblPrEx>
        <w:trPr>
          <w:wBefore w:w="0" w:type="auto"/>
          <w:tblCellSpacing w:w="0" w:type="dxa"/>
        </w:trPr>
        <w:tc>
          <w:tcPr>
            <w:tcW w:w="0" w:type="auto"/>
            <w:noWrap w:val="0"/>
            <w:vAlign w:val="center"/>
          </w:tcPr>
          <w:p w14:paraId="29838CAC">
            <w:r>
              <w:rPr>
                <w:rStyle w:val="10"/>
                <w:rFonts w:hint="eastAsia"/>
              </w:rPr>
              <w:t>质量保证期：</w:t>
            </w:r>
            <w:r>
              <w:rPr>
                <w:rStyle w:val="11"/>
                <w:rFonts w:hint="eastAsia"/>
              </w:rPr>
              <w:t>2年</w:t>
            </w:r>
          </w:p>
        </w:tc>
      </w:tr>
      <w:tr w14:paraId="6A2E66D7">
        <w:tblPrEx>
          <w:tblCellMar>
            <w:top w:w="0" w:type="dxa"/>
            <w:left w:w="0" w:type="dxa"/>
            <w:bottom w:w="0" w:type="dxa"/>
            <w:right w:w="0" w:type="dxa"/>
          </w:tblCellMar>
        </w:tblPrEx>
        <w:trPr>
          <w:wBefore w:w="0" w:type="auto"/>
          <w:tblCellSpacing w:w="0" w:type="dxa"/>
        </w:trPr>
        <w:tc>
          <w:tcPr>
            <w:tcW w:w="0" w:type="auto"/>
            <w:noWrap w:val="0"/>
            <w:vAlign w:val="center"/>
          </w:tcPr>
          <w:p w14:paraId="4D91C2D5">
            <w:r>
              <w:rPr>
                <w:rStyle w:val="10"/>
                <w:rFonts w:hint="eastAsia"/>
              </w:rPr>
              <w:t>备注：</w:t>
            </w:r>
          </w:p>
        </w:tc>
      </w:tr>
    </w:tbl>
    <w:p w14:paraId="45AE38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FE117F">
        <w:tblPrEx>
          <w:tblCellMar>
            <w:top w:w="0" w:type="dxa"/>
            <w:left w:w="0" w:type="dxa"/>
            <w:bottom w:w="0" w:type="dxa"/>
            <w:right w:w="0" w:type="dxa"/>
          </w:tblCellMar>
        </w:tblPrEx>
        <w:trPr>
          <w:wBefore w:w="0" w:type="auto"/>
          <w:tblCellSpacing w:w="0" w:type="dxa"/>
        </w:trPr>
        <w:tc>
          <w:tcPr>
            <w:tcW w:w="0" w:type="auto"/>
            <w:noWrap w:val="0"/>
            <w:vAlign w:val="center"/>
          </w:tcPr>
          <w:p w14:paraId="200C252A">
            <w:r>
              <w:rPr>
                <w:rStyle w:val="10"/>
                <w:rFonts w:hint="eastAsia"/>
              </w:rPr>
              <w:t>登记证号：</w:t>
            </w:r>
            <w:r>
              <w:rPr>
                <w:rFonts w:hint="eastAsia"/>
              </w:rPr>
              <w:t>PD20212693</w:t>
            </w:r>
          </w:p>
        </w:tc>
      </w:tr>
      <w:tr w14:paraId="529D8169">
        <w:tblPrEx>
          <w:tblCellMar>
            <w:top w:w="0" w:type="dxa"/>
            <w:left w:w="0" w:type="dxa"/>
            <w:bottom w:w="0" w:type="dxa"/>
            <w:right w:w="0" w:type="dxa"/>
          </w:tblCellMar>
        </w:tblPrEx>
        <w:trPr>
          <w:wBefore w:w="0" w:type="auto"/>
          <w:tblCellSpacing w:w="0" w:type="dxa"/>
        </w:trPr>
        <w:tc>
          <w:tcPr>
            <w:tcW w:w="0" w:type="auto"/>
            <w:noWrap w:val="0"/>
            <w:vAlign w:val="center"/>
          </w:tcPr>
          <w:p w14:paraId="7D0945DF">
            <w:r>
              <w:rPr>
                <w:rStyle w:val="10"/>
                <w:rFonts w:hint="eastAsia"/>
              </w:rPr>
              <w:t>登记证持有人：</w:t>
            </w:r>
            <w:r>
              <w:rPr>
                <w:rFonts w:hint="eastAsia"/>
              </w:rPr>
              <w:t>广东植物龙生物技术股份有限公司</w:t>
            </w:r>
          </w:p>
        </w:tc>
      </w:tr>
      <w:tr w14:paraId="7F26F938">
        <w:tblPrEx>
          <w:tblCellMar>
            <w:top w:w="0" w:type="dxa"/>
            <w:left w:w="0" w:type="dxa"/>
            <w:bottom w:w="0" w:type="dxa"/>
            <w:right w:w="0" w:type="dxa"/>
          </w:tblCellMar>
        </w:tblPrEx>
        <w:trPr>
          <w:wBefore w:w="0" w:type="auto"/>
          <w:tblCellSpacing w:w="0" w:type="dxa"/>
        </w:trPr>
        <w:tc>
          <w:tcPr>
            <w:tcW w:w="0" w:type="auto"/>
            <w:noWrap w:val="0"/>
            <w:vAlign w:val="center"/>
          </w:tcPr>
          <w:p w14:paraId="168603E5">
            <w:r>
              <w:rPr>
                <w:rStyle w:val="10"/>
                <w:rFonts w:hint="eastAsia"/>
              </w:rPr>
              <w:t>农药名称：</w:t>
            </w:r>
            <w:r>
              <w:rPr>
                <w:rFonts w:hint="eastAsia"/>
              </w:rPr>
              <w:t>松铜·吡唑酯</w:t>
            </w:r>
          </w:p>
        </w:tc>
      </w:tr>
      <w:tr w14:paraId="05A69786">
        <w:tblPrEx>
          <w:tblCellMar>
            <w:top w:w="0" w:type="dxa"/>
            <w:left w:w="0" w:type="dxa"/>
            <w:bottom w:w="0" w:type="dxa"/>
            <w:right w:w="0" w:type="dxa"/>
          </w:tblCellMar>
        </w:tblPrEx>
        <w:trPr>
          <w:wBefore w:w="0" w:type="auto"/>
          <w:tblCellSpacing w:w="0" w:type="dxa"/>
        </w:trPr>
        <w:tc>
          <w:tcPr>
            <w:tcW w:w="0" w:type="auto"/>
            <w:noWrap w:val="0"/>
            <w:vAlign w:val="center"/>
          </w:tcPr>
          <w:p w14:paraId="2DCE1287">
            <w:r>
              <w:rPr>
                <w:rStyle w:val="10"/>
                <w:rFonts w:hint="eastAsia"/>
              </w:rPr>
              <w:t>剂型：</w:t>
            </w:r>
            <w:r>
              <w:rPr>
                <w:rFonts w:hint="eastAsia"/>
              </w:rPr>
              <w:t>悬浮剂</w:t>
            </w:r>
          </w:p>
        </w:tc>
      </w:tr>
      <w:tr w14:paraId="0610CBD1">
        <w:tblPrEx>
          <w:tblCellMar>
            <w:top w:w="0" w:type="dxa"/>
            <w:left w:w="0" w:type="dxa"/>
            <w:bottom w:w="0" w:type="dxa"/>
            <w:right w:w="0" w:type="dxa"/>
          </w:tblCellMar>
        </w:tblPrEx>
        <w:trPr>
          <w:wBefore w:w="0" w:type="auto"/>
          <w:tblCellSpacing w:w="0" w:type="dxa"/>
        </w:trPr>
        <w:tc>
          <w:tcPr>
            <w:tcW w:w="0" w:type="auto"/>
            <w:noWrap w:val="0"/>
            <w:vAlign w:val="center"/>
          </w:tcPr>
          <w:p w14:paraId="3B61FCEA">
            <w:r>
              <w:rPr>
                <w:rStyle w:val="10"/>
                <w:rFonts w:hint="eastAsia"/>
              </w:rPr>
              <w:t>毒性及其标识：</w:t>
            </w:r>
            <w:r>
              <w:rPr>
                <w:rFonts w:hint="eastAsia"/>
              </w:rPr>
              <w:t xml:space="preserve"> </w:t>
            </w:r>
            <w:r>
              <w:rPr>
                <w:lang/>
              </w:rPr>
              <w:drawing>
                <wp:inline distT="0" distB="0" distL="114300" distR="114300">
                  <wp:extent cx="476250" cy="323850"/>
                  <wp:effectExtent l="0" t="0" r="0" b="0"/>
                  <wp:docPr id="158" name="图片 1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E3663CE">
        <w:tblPrEx>
          <w:tblCellMar>
            <w:top w:w="0" w:type="dxa"/>
            <w:left w:w="0" w:type="dxa"/>
            <w:bottom w:w="0" w:type="dxa"/>
            <w:right w:w="0" w:type="dxa"/>
          </w:tblCellMar>
        </w:tblPrEx>
        <w:trPr>
          <w:wBefore w:w="0" w:type="auto"/>
          <w:tblCellSpacing w:w="0" w:type="dxa"/>
        </w:trPr>
        <w:tc>
          <w:tcPr>
            <w:tcW w:w="0" w:type="auto"/>
            <w:noWrap w:val="0"/>
            <w:vAlign w:val="center"/>
          </w:tcPr>
          <w:p w14:paraId="05CA3A20">
            <w:r>
              <w:rPr>
                <w:rStyle w:val="10"/>
                <w:rFonts w:hint="eastAsia"/>
              </w:rPr>
              <w:t>总有效成分含量：</w:t>
            </w:r>
            <w:r>
              <w:rPr>
                <w:rFonts w:hint="eastAsia"/>
              </w:rPr>
              <w:t>30%</w:t>
            </w:r>
          </w:p>
        </w:tc>
      </w:tr>
      <w:tr w14:paraId="65436645">
        <w:tblPrEx>
          <w:tblCellMar>
            <w:top w:w="0" w:type="dxa"/>
            <w:left w:w="0" w:type="dxa"/>
            <w:bottom w:w="0" w:type="dxa"/>
            <w:right w:w="0" w:type="dxa"/>
          </w:tblCellMar>
        </w:tblPrEx>
        <w:trPr>
          <w:wBefore w:w="0" w:type="auto"/>
          <w:tblCellSpacing w:w="0" w:type="dxa"/>
        </w:trPr>
        <w:tc>
          <w:tcPr>
            <w:tcW w:w="0" w:type="auto"/>
            <w:noWrap w:val="0"/>
            <w:vAlign w:val="center"/>
          </w:tcPr>
          <w:p w14:paraId="250FEEB3">
            <w:r>
              <w:rPr>
                <w:rFonts w:hint="eastAsia"/>
              </w:rPr>
              <w:t xml:space="preserve">有效成分及其含量： </w:t>
            </w:r>
          </w:p>
          <w:p w14:paraId="4B56CBDF">
            <w:r>
              <w:rPr>
                <w:rFonts w:hint="eastAsia"/>
              </w:rPr>
              <w:t xml:space="preserve">    松脂酸铜25%    吡唑醚菌酯5%    </w:t>
            </w:r>
          </w:p>
        </w:tc>
      </w:tr>
      <w:tr w14:paraId="4472DDAC">
        <w:tblPrEx>
          <w:tblCellMar>
            <w:top w:w="0" w:type="dxa"/>
            <w:left w:w="0" w:type="dxa"/>
            <w:bottom w:w="0" w:type="dxa"/>
            <w:right w:w="0" w:type="dxa"/>
          </w:tblCellMar>
        </w:tblPrEx>
        <w:trPr>
          <w:wBefore w:w="0" w:type="auto"/>
          <w:tblCellSpacing w:w="0" w:type="dxa"/>
        </w:trPr>
        <w:tc>
          <w:tcPr>
            <w:tcW w:w="0" w:type="auto"/>
            <w:noWrap w:val="0"/>
            <w:vAlign w:val="center"/>
          </w:tcPr>
          <w:p w14:paraId="2C3DC61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AD49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15D0F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68B66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FCAF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937835">
                  <w:r>
                    <w:rPr>
                      <w:rStyle w:val="11"/>
                      <w:rFonts w:hint="eastAsia"/>
                    </w:rPr>
                    <w:t>施用方式</w:t>
                  </w:r>
                </w:p>
              </w:tc>
            </w:tr>
            <w:tr w14:paraId="087B14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37251E">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2BDB21">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9DAB50">
                  <w:r>
                    <w:rPr>
                      <w:rStyle w:val="11"/>
                      <w:rFonts w:hint="eastAsia"/>
                    </w:rPr>
                    <w:t>75-90毫升/亩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123670">
                  <w:r>
                    <w:rPr>
                      <w:rStyle w:val="11"/>
                      <w:rFonts w:hint="eastAsia"/>
                    </w:rPr>
                    <w:t>喷雾</w:t>
                  </w:r>
                </w:p>
              </w:tc>
            </w:tr>
          </w:tbl>
          <w:p w14:paraId="01CFC6BA">
            <w:pPr>
              <w:rPr>
                <w:rFonts w:ascii="Times New Roman" w:hAnsi="Times New Roman" w:cs="Times New Roman"/>
                <w:sz w:val="20"/>
                <w:szCs w:val="20"/>
              </w:rPr>
            </w:pPr>
          </w:p>
        </w:tc>
      </w:tr>
      <w:tr w14:paraId="1E0E3EBE">
        <w:tblPrEx>
          <w:tblCellMar>
            <w:top w:w="0" w:type="dxa"/>
            <w:left w:w="0" w:type="dxa"/>
            <w:bottom w:w="0" w:type="dxa"/>
            <w:right w:w="0" w:type="dxa"/>
          </w:tblCellMar>
        </w:tblPrEx>
        <w:trPr>
          <w:wBefore w:w="0" w:type="auto"/>
          <w:tblCellSpacing w:w="0" w:type="dxa"/>
        </w:trPr>
        <w:tc>
          <w:tcPr>
            <w:tcW w:w="0" w:type="auto"/>
            <w:noWrap w:val="0"/>
            <w:vAlign w:val="center"/>
          </w:tcPr>
          <w:p w14:paraId="6F2B9BA5">
            <w:r>
              <w:rPr>
                <w:rStyle w:val="10"/>
                <w:rFonts w:hint="eastAsia"/>
              </w:rPr>
              <w:t>使用技术要求:</w:t>
            </w:r>
            <w:r>
              <w:rPr>
                <w:rFonts w:hint="eastAsia"/>
              </w:rPr>
              <w:br w:type="textWrapping"/>
            </w:r>
            <w:r>
              <w:rPr>
                <w:rStyle w:val="11"/>
                <w:rFonts w:hint="eastAsia"/>
              </w:rPr>
              <w:t>1、 于病害发生前或发病初期喷雾施药，连续施药2-3次，间隔7-10天。 2、 大风天或预计1小时内降雨，请勿施药，喷药时应注意均匀喷施。 3、 本品的安全间隔期为2天，每季作物最多使用次数为3次。</w:t>
            </w:r>
          </w:p>
        </w:tc>
      </w:tr>
      <w:tr w14:paraId="50BD856A">
        <w:tblPrEx>
          <w:tblCellMar>
            <w:top w:w="0" w:type="dxa"/>
            <w:left w:w="0" w:type="dxa"/>
            <w:bottom w:w="0" w:type="dxa"/>
            <w:right w:w="0" w:type="dxa"/>
          </w:tblCellMar>
        </w:tblPrEx>
        <w:trPr>
          <w:wBefore w:w="0" w:type="auto"/>
          <w:tblCellSpacing w:w="0" w:type="dxa"/>
        </w:trPr>
        <w:tc>
          <w:tcPr>
            <w:tcW w:w="0" w:type="auto"/>
            <w:noWrap w:val="0"/>
            <w:vAlign w:val="center"/>
          </w:tcPr>
          <w:p w14:paraId="15A556FE">
            <w:r>
              <w:rPr>
                <w:rStyle w:val="10"/>
                <w:rFonts w:hint="eastAsia"/>
              </w:rPr>
              <w:t>产品性能:</w:t>
            </w:r>
            <w:r>
              <w:rPr>
                <w:rFonts w:hint="eastAsia"/>
              </w:rPr>
              <w:br w:type="textWrapping"/>
            </w:r>
            <w:r>
              <w:rPr>
                <w:rStyle w:val="11"/>
                <w:rFonts w:hint="eastAsia"/>
              </w:rPr>
              <w:t>本品是一种高效低毒广谱的新型杀菌剂，具有持效期长、使用方便的新特点，由于作用位点较多，因而不易产生抗药性。对黄瓜霜霉病有很好的防治效果。</w:t>
            </w:r>
          </w:p>
        </w:tc>
      </w:tr>
      <w:tr w14:paraId="5F787DE2">
        <w:tblPrEx>
          <w:tblCellMar>
            <w:top w:w="0" w:type="dxa"/>
            <w:left w:w="0" w:type="dxa"/>
            <w:bottom w:w="0" w:type="dxa"/>
            <w:right w:w="0" w:type="dxa"/>
          </w:tblCellMar>
        </w:tblPrEx>
        <w:trPr>
          <w:wBefore w:w="0" w:type="auto"/>
          <w:tblCellSpacing w:w="0" w:type="dxa"/>
        </w:trPr>
        <w:tc>
          <w:tcPr>
            <w:tcW w:w="0" w:type="auto"/>
            <w:noWrap w:val="0"/>
            <w:vAlign w:val="center"/>
          </w:tcPr>
          <w:p w14:paraId="21CD6220">
            <w:r>
              <w:rPr>
                <w:rStyle w:val="10"/>
                <w:rFonts w:hint="eastAsia"/>
              </w:rPr>
              <w:t>注意事项：</w:t>
            </w:r>
            <w:r>
              <w:rPr>
                <w:rFonts w:hint="eastAsia"/>
              </w:rPr>
              <w:br w:type="textWrapping"/>
            </w:r>
            <w:r>
              <w:rPr>
                <w:rStyle w:val="11"/>
                <w:rFonts w:hint="eastAsia"/>
              </w:rPr>
              <w:t>1、使用本品时应穿戴防护服和手套，避免吸入药液，施药期间不可吃东西和饮水，施药后应及时洗手和洗脸。 2、本品使用时应注意远离水产养殖区、河塘等水体附近施药，禁止在河塘等水体中清洗施药器具，药液及其废液不得污染河流和水源等各类水域。3、蚕室及桑园附近禁用，不要在蜜源作物开花期施药。4、用过的容器应妥善处理，不可作他用，也不可随意丢弃。5、建议与其他作用机制不同的杀菌剂交替使用，以延缓抗性产生。6、孕妇及哺乳期妇女不得接触本品。</w:t>
            </w:r>
          </w:p>
        </w:tc>
      </w:tr>
      <w:tr w14:paraId="14B9C358">
        <w:tblPrEx>
          <w:tblCellMar>
            <w:top w:w="0" w:type="dxa"/>
            <w:left w:w="0" w:type="dxa"/>
            <w:bottom w:w="0" w:type="dxa"/>
            <w:right w:w="0" w:type="dxa"/>
          </w:tblCellMar>
        </w:tblPrEx>
        <w:trPr>
          <w:wBefore w:w="0" w:type="auto"/>
          <w:tblCellSpacing w:w="0" w:type="dxa"/>
        </w:trPr>
        <w:tc>
          <w:tcPr>
            <w:tcW w:w="0" w:type="auto"/>
            <w:noWrap w:val="0"/>
            <w:vAlign w:val="center"/>
          </w:tcPr>
          <w:p w14:paraId="035EEE85">
            <w:r>
              <w:rPr>
                <w:rStyle w:val="10"/>
                <w:rFonts w:hint="eastAsia"/>
              </w:rPr>
              <w:t>中毒急救措施：</w:t>
            </w:r>
            <w:r>
              <w:rPr>
                <w:rFonts w:hint="eastAsia"/>
              </w:rPr>
              <w:br w:type="textWrapping"/>
            </w:r>
            <w:r>
              <w:rPr>
                <w:rStyle w:val="11"/>
                <w:rFonts w:hint="eastAsia"/>
              </w:rPr>
              <w:t>使用中或使用后若感觉不适，应立即停止工作，采取急救措施。本品对眼睛、皮肤有刺激作用，不慎接触皮肤或溅入眼睛，应用大量清水冲洗至少15分钟；不慎吸入，应将病人移至空气流通处；无特殊解毒剂，如误服则立即催吐、洗胃，携此标签将病人送医院对症治疗。</w:t>
            </w:r>
          </w:p>
        </w:tc>
      </w:tr>
      <w:tr w14:paraId="2B5C275A">
        <w:tblPrEx>
          <w:tblCellMar>
            <w:top w:w="0" w:type="dxa"/>
            <w:left w:w="0" w:type="dxa"/>
            <w:bottom w:w="0" w:type="dxa"/>
            <w:right w:w="0" w:type="dxa"/>
          </w:tblCellMar>
        </w:tblPrEx>
        <w:trPr>
          <w:wBefore w:w="0" w:type="auto"/>
          <w:tblCellSpacing w:w="0" w:type="dxa"/>
        </w:trPr>
        <w:tc>
          <w:tcPr>
            <w:tcW w:w="0" w:type="auto"/>
            <w:noWrap w:val="0"/>
            <w:vAlign w:val="center"/>
          </w:tcPr>
          <w:p w14:paraId="3AB9BED6">
            <w:r>
              <w:rPr>
                <w:rStyle w:val="10"/>
                <w:rFonts w:hint="eastAsia"/>
              </w:rPr>
              <w:t>储存和运输方法：</w:t>
            </w:r>
            <w:r>
              <w:rPr>
                <w:rFonts w:hint="eastAsia"/>
              </w:rPr>
              <w:br w:type="textWrapping"/>
            </w:r>
            <w:r>
              <w:rPr>
                <w:rStyle w:val="11"/>
                <w:rFonts w:hint="eastAsia"/>
              </w:rPr>
              <w:t>本品应贮存在通风、干燥、阴凉、防雨处，远离火源和热源。贮运时，严防潮湿、日晒和雨淋，不能与食物、粮食、饮料、种子、饲料等商品同贮同运，避免与皮肤、眼睛接触，防止由口鼻吸入。置于儿童触及不到之处，并加锁。</w:t>
            </w:r>
          </w:p>
        </w:tc>
      </w:tr>
      <w:tr w14:paraId="25C67892">
        <w:tblPrEx>
          <w:tblCellMar>
            <w:top w:w="0" w:type="dxa"/>
            <w:left w:w="0" w:type="dxa"/>
            <w:bottom w:w="0" w:type="dxa"/>
            <w:right w:w="0" w:type="dxa"/>
          </w:tblCellMar>
        </w:tblPrEx>
        <w:trPr>
          <w:wBefore w:w="0" w:type="auto"/>
          <w:tblCellSpacing w:w="0" w:type="dxa"/>
        </w:trPr>
        <w:tc>
          <w:tcPr>
            <w:tcW w:w="0" w:type="auto"/>
            <w:noWrap w:val="0"/>
            <w:vAlign w:val="center"/>
          </w:tcPr>
          <w:p w14:paraId="52F6ED4C">
            <w:r>
              <w:rPr>
                <w:rStyle w:val="10"/>
                <w:rFonts w:hint="eastAsia"/>
              </w:rPr>
              <w:t>质量保证期：</w:t>
            </w:r>
            <w:r>
              <w:rPr>
                <w:rStyle w:val="11"/>
                <w:rFonts w:hint="eastAsia"/>
              </w:rPr>
              <w:t>2年</w:t>
            </w:r>
          </w:p>
        </w:tc>
      </w:tr>
      <w:tr w14:paraId="644D98A9">
        <w:tblPrEx>
          <w:tblCellMar>
            <w:top w:w="0" w:type="dxa"/>
            <w:left w:w="0" w:type="dxa"/>
            <w:bottom w:w="0" w:type="dxa"/>
            <w:right w:w="0" w:type="dxa"/>
          </w:tblCellMar>
        </w:tblPrEx>
        <w:trPr>
          <w:wBefore w:w="0" w:type="auto"/>
          <w:tblCellSpacing w:w="0" w:type="dxa"/>
        </w:trPr>
        <w:tc>
          <w:tcPr>
            <w:tcW w:w="0" w:type="auto"/>
            <w:noWrap w:val="0"/>
            <w:vAlign w:val="center"/>
          </w:tcPr>
          <w:p w14:paraId="56D2F785">
            <w:r>
              <w:rPr>
                <w:rStyle w:val="10"/>
                <w:rFonts w:hint="eastAsia"/>
              </w:rPr>
              <w:t>备注：</w:t>
            </w:r>
          </w:p>
        </w:tc>
      </w:tr>
    </w:tbl>
    <w:p w14:paraId="2C752E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A2B20A">
        <w:tblPrEx>
          <w:tblCellMar>
            <w:top w:w="0" w:type="dxa"/>
            <w:left w:w="0" w:type="dxa"/>
            <w:bottom w:w="0" w:type="dxa"/>
            <w:right w:w="0" w:type="dxa"/>
          </w:tblCellMar>
        </w:tblPrEx>
        <w:trPr>
          <w:wBefore w:w="0" w:type="auto"/>
          <w:tblCellSpacing w:w="0" w:type="dxa"/>
        </w:trPr>
        <w:tc>
          <w:tcPr>
            <w:tcW w:w="0" w:type="auto"/>
            <w:noWrap w:val="0"/>
            <w:vAlign w:val="center"/>
          </w:tcPr>
          <w:p w14:paraId="38B68DCB">
            <w:r>
              <w:rPr>
                <w:rStyle w:val="10"/>
                <w:rFonts w:hint="eastAsia"/>
              </w:rPr>
              <w:t>登记证号：</w:t>
            </w:r>
            <w:r>
              <w:rPr>
                <w:rFonts w:hint="eastAsia"/>
              </w:rPr>
              <w:t>WP20210409</w:t>
            </w:r>
          </w:p>
        </w:tc>
      </w:tr>
      <w:tr w14:paraId="7B19BAE3">
        <w:tblPrEx>
          <w:tblCellMar>
            <w:top w:w="0" w:type="dxa"/>
            <w:left w:w="0" w:type="dxa"/>
            <w:bottom w:w="0" w:type="dxa"/>
            <w:right w:w="0" w:type="dxa"/>
          </w:tblCellMar>
        </w:tblPrEx>
        <w:trPr>
          <w:wBefore w:w="0" w:type="auto"/>
          <w:tblCellSpacing w:w="0" w:type="dxa"/>
        </w:trPr>
        <w:tc>
          <w:tcPr>
            <w:tcW w:w="0" w:type="auto"/>
            <w:noWrap w:val="0"/>
            <w:vAlign w:val="center"/>
          </w:tcPr>
          <w:p w14:paraId="37CB3F45">
            <w:r>
              <w:rPr>
                <w:rStyle w:val="10"/>
                <w:rFonts w:hint="eastAsia"/>
              </w:rPr>
              <w:t>登记证持有人：</w:t>
            </w:r>
            <w:r>
              <w:rPr>
                <w:rFonts w:hint="eastAsia"/>
              </w:rPr>
              <w:t>河南远见农业科技有限公司</w:t>
            </w:r>
          </w:p>
        </w:tc>
      </w:tr>
      <w:tr w14:paraId="4A4E2C25">
        <w:tblPrEx>
          <w:tblCellMar>
            <w:top w:w="0" w:type="dxa"/>
            <w:left w:w="0" w:type="dxa"/>
            <w:bottom w:w="0" w:type="dxa"/>
            <w:right w:w="0" w:type="dxa"/>
          </w:tblCellMar>
        </w:tblPrEx>
        <w:trPr>
          <w:wBefore w:w="0" w:type="auto"/>
          <w:tblCellSpacing w:w="0" w:type="dxa"/>
        </w:trPr>
        <w:tc>
          <w:tcPr>
            <w:tcW w:w="0" w:type="auto"/>
            <w:noWrap w:val="0"/>
            <w:vAlign w:val="center"/>
          </w:tcPr>
          <w:p w14:paraId="2294A487">
            <w:r>
              <w:rPr>
                <w:rStyle w:val="10"/>
                <w:rFonts w:hint="eastAsia"/>
              </w:rPr>
              <w:t>农药名称：</w:t>
            </w:r>
            <w:r>
              <w:rPr>
                <w:rFonts w:hint="eastAsia"/>
              </w:rPr>
              <w:t>呋虫胺</w:t>
            </w:r>
          </w:p>
        </w:tc>
      </w:tr>
      <w:tr w14:paraId="2FB4AB48">
        <w:tblPrEx>
          <w:tblCellMar>
            <w:top w:w="0" w:type="dxa"/>
            <w:left w:w="0" w:type="dxa"/>
            <w:bottom w:w="0" w:type="dxa"/>
            <w:right w:w="0" w:type="dxa"/>
          </w:tblCellMar>
        </w:tblPrEx>
        <w:trPr>
          <w:wBefore w:w="0" w:type="auto"/>
          <w:tblCellSpacing w:w="0" w:type="dxa"/>
        </w:trPr>
        <w:tc>
          <w:tcPr>
            <w:tcW w:w="0" w:type="auto"/>
            <w:noWrap w:val="0"/>
            <w:vAlign w:val="center"/>
          </w:tcPr>
          <w:p w14:paraId="012181C4">
            <w:r>
              <w:rPr>
                <w:rStyle w:val="10"/>
                <w:rFonts w:hint="eastAsia"/>
              </w:rPr>
              <w:t>剂型：</w:t>
            </w:r>
            <w:r>
              <w:rPr>
                <w:rFonts w:hint="eastAsia"/>
              </w:rPr>
              <w:t>可溶粉剂</w:t>
            </w:r>
          </w:p>
        </w:tc>
      </w:tr>
      <w:tr w14:paraId="546F0777">
        <w:tblPrEx>
          <w:tblCellMar>
            <w:top w:w="0" w:type="dxa"/>
            <w:left w:w="0" w:type="dxa"/>
            <w:bottom w:w="0" w:type="dxa"/>
            <w:right w:w="0" w:type="dxa"/>
          </w:tblCellMar>
        </w:tblPrEx>
        <w:trPr>
          <w:wBefore w:w="0" w:type="auto"/>
          <w:tblCellSpacing w:w="0" w:type="dxa"/>
        </w:trPr>
        <w:tc>
          <w:tcPr>
            <w:tcW w:w="0" w:type="auto"/>
            <w:noWrap w:val="0"/>
            <w:vAlign w:val="center"/>
          </w:tcPr>
          <w:p w14:paraId="44D95128">
            <w:r>
              <w:rPr>
                <w:rStyle w:val="10"/>
                <w:rFonts w:hint="eastAsia"/>
              </w:rPr>
              <w:t>毒性及其标识：</w:t>
            </w:r>
            <w:r>
              <w:rPr>
                <w:rFonts w:hint="eastAsia"/>
              </w:rPr>
              <w:t xml:space="preserve"> 微毒 </w:t>
            </w:r>
          </w:p>
        </w:tc>
      </w:tr>
      <w:tr w14:paraId="52487A04">
        <w:tblPrEx>
          <w:tblCellMar>
            <w:top w:w="0" w:type="dxa"/>
            <w:left w:w="0" w:type="dxa"/>
            <w:bottom w:w="0" w:type="dxa"/>
            <w:right w:w="0" w:type="dxa"/>
          </w:tblCellMar>
        </w:tblPrEx>
        <w:trPr>
          <w:wBefore w:w="0" w:type="auto"/>
          <w:tblCellSpacing w:w="0" w:type="dxa"/>
        </w:trPr>
        <w:tc>
          <w:tcPr>
            <w:tcW w:w="0" w:type="auto"/>
            <w:noWrap w:val="0"/>
            <w:vAlign w:val="center"/>
          </w:tcPr>
          <w:p w14:paraId="362EE561">
            <w:r>
              <w:rPr>
                <w:rStyle w:val="10"/>
                <w:rFonts w:hint="eastAsia"/>
              </w:rPr>
              <w:t>总有效成分含量：</w:t>
            </w:r>
            <w:r>
              <w:rPr>
                <w:rFonts w:hint="eastAsia"/>
              </w:rPr>
              <w:t>40%</w:t>
            </w:r>
          </w:p>
        </w:tc>
      </w:tr>
      <w:tr w14:paraId="4D4B347E">
        <w:tblPrEx>
          <w:tblCellMar>
            <w:top w:w="0" w:type="dxa"/>
            <w:left w:w="0" w:type="dxa"/>
            <w:bottom w:w="0" w:type="dxa"/>
            <w:right w:w="0" w:type="dxa"/>
          </w:tblCellMar>
        </w:tblPrEx>
        <w:trPr>
          <w:wBefore w:w="0" w:type="auto"/>
          <w:tblCellSpacing w:w="0" w:type="dxa"/>
        </w:trPr>
        <w:tc>
          <w:tcPr>
            <w:tcW w:w="0" w:type="auto"/>
            <w:noWrap w:val="0"/>
            <w:vAlign w:val="center"/>
          </w:tcPr>
          <w:p w14:paraId="21882EFC">
            <w:r>
              <w:rPr>
                <w:rFonts w:hint="eastAsia"/>
              </w:rPr>
              <w:t xml:space="preserve">有效成分及其含量： </w:t>
            </w:r>
          </w:p>
          <w:p w14:paraId="3EB37E4C">
            <w:r>
              <w:rPr>
                <w:rFonts w:hint="eastAsia"/>
              </w:rPr>
              <w:t xml:space="preserve">    呋虫胺40%    </w:t>
            </w:r>
          </w:p>
        </w:tc>
      </w:tr>
      <w:tr w14:paraId="25F5BAAB">
        <w:tblPrEx>
          <w:tblCellMar>
            <w:top w:w="0" w:type="dxa"/>
            <w:left w:w="0" w:type="dxa"/>
            <w:bottom w:w="0" w:type="dxa"/>
            <w:right w:w="0" w:type="dxa"/>
          </w:tblCellMar>
        </w:tblPrEx>
        <w:trPr>
          <w:wBefore w:w="0" w:type="auto"/>
          <w:tblCellSpacing w:w="0" w:type="dxa"/>
        </w:trPr>
        <w:tc>
          <w:tcPr>
            <w:tcW w:w="0" w:type="auto"/>
            <w:noWrap w:val="0"/>
            <w:vAlign w:val="center"/>
          </w:tcPr>
          <w:p w14:paraId="5708FF0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0EB5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CF18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E2819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58FF8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AD109B">
                  <w:r>
                    <w:rPr>
                      <w:rStyle w:val="11"/>
                      <w:rFonts w:hint="eastAsia"/>
                    </w:rPr>
                    <w:t>施用方式</w:t>
                  </w:r>
                </w:p>
              </w:tc>
            </w:tr>
            <w:tr w14:paraId="34E5E6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87815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EA135F">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50DCCF">
                  <w:r>
                    <w:rPr>
                      <w:rStyle w:val="11"/>
                      <w:rFonts w:hint="eastAsia"/>
                    </w:rPr>
                    <w:t>400毫克/平方米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FCC83F">
                  <w:r>
                    <w:rPr>
                      <w:rStyle w:val="11"/>
                      <w:rFonts w:hint="eastAsia"/>
                    </w:rPr>
                    <w:t>滞留喷洒</w:t>
                  </w:r>
                </w:p>
              </w:tc>
            </w:tr>
          </w:tbl>
          <w:p w14:paraId="2955081D">
            <w:pPr>
              <w:rPr>
                <w:rFonts w:ascii="Times New Roman" w:hAnsi="Times New Roman" w:cs="Times New Roman"/>
                <w:sz w:val="20"/>
                <w:szCs w:val="20"/>
              </w:rPr>
            </w:pPr>
          </w:p>
        </w:tc>
      </w:tr>
      <w:tr w14:paraId="278EA2E1">
        <w:tblPrEx>
          <w:tblCellMar>
            <w:top w:w="0" w:type="dxa"/>
            <w:left w:w="0" w:type="dxa"/>
            <w:bottom w:w="0" w:type="dxa"/>
            <w:right w:w="0" w:type="dxa"/>
          </w:tblCellMar>
        </w:tblPrEx>
        <w:trPr>
          <w:wBefore w:w="0" w:type="auto"/>
          <w:tblCellSpacing w:w="0" w:type="dxa"/>
        </w:trPr>
        <w:tc>
          <w:tcPr>
            <w:tcW w:w="0" w:type="auto"/>
            <w:noWrap w:val="0"/>
            <w:vAlign w:val="center"/>
          </w:tcPr>
          <w:p w14:paraId="4E9301F5">
            <w:r>
              <w:rPr>
                <w:rStyle w:val="10"/>
                <w:rFonts w:hint="eastAsia"/>
              </w:rPr>
              <w:t>使用技术要求:</w:t>
            </w:r>
            <w:r>
              <w:rPr>
                <w:rFonts w:hint="eastAsia"/>
              </w:rPr>
              <w:br w:type="textWrapping"/>
            </w:r>
            <w:r>
              <w:rPr>
                <w:rStyle w:val="11"/>
                <w:rFonts w:hint="eastAsia"/>
              </w:rPr>
              <w:t>将本品按照100-125倍兑水稀释，使用喷洒器械对需处理区域进行滞留喷洒，每平方米喷洒稀释药液40-50毫升，至处理表面潮湿为宜。使用30分钟后打开门窗，经充分通风后再进入房间。</w:t>
            </w:r>
          </w:p>
        </w:tc>
      </w:tr>
      <w:tr w14:paraId="14B23027">
        <w:tblPrEx>
          <w:tblCellMar>
            <w:top w:w="0" w:type="dxa"/>
            <w:left w:w="0" w:type="dxa"/>
            <w:bottom w:w="0" w:type="dxa"/>
            <w:right w:w="0" w:type="dxa"/>
          </w:tblCellMar>
        </w:tblPrEx>
        <w:trPr>
          <w:wBefore w:w="0" w:type="auto"/>
          <w:tblCellSpacing w:w="0" w:type="dxa"/>
        </w:trPr>
        <w:tc>
          <w:tcPr>
            <w:tcW w:w="0" w:type="auto"/>
            <w:noWrap w:val="0"/>
            <w:vAlign w:val="center"/>
          </w:tcPr>
          <w:p w14:paraId="5DE71C56">
            <w:r>
              <w:rPr>
                <w:rStyle w:val="10"/>
                <w:rFonts w:hint="eastAsia"/>
              </w:rPr>
              <w:t>产品性能:</w:t>
            </w:r>
            <w:r>
              <w:rPr>
                <w:rFonts w:hint="eastAsia"/>
              </w:rPr>
              <w:br w:type="textWrapping"/>
            </w:r>
            <w:r>
              <w:rPr>
                <w:rStyle w:val="11"/>
                <w:rFonts w:hint="eastAsia"/>
              </w:rPr>
              <w:t>呋虫胺属于第三代烟碱类杀虫剂，通过作用于昆虫神经传递系统而导致害虫死亡，具有触杀和胃毒作用。能有效杀灭蜚蠊（俗称蟑螂）卫生害虫，适用于酒店、写字楼、医院、学校、食品厂、养殖厂、餐馆等室内场所。 本品具有害虫无法感知，非趋避特性，针对蟑螂（蜚蠊）等爬虫具有毒性传递效果。</w:t>
            </w:r>
          </w:p>
        </w:tc>
      </w:tr>
      <w:tr w14:paraId="7A952889">
        <w:tblPrEx>
          <w:tblCellMar>
            <w:top w:w="0" w:type="dxa"/>
            <w:left w:w="0" w:type="dxa"/>
            <w:bottom w:w="0" w:type="dxa"/>
            <w:right w:w="0" w:type="dxa"/>
          </w:tblCellMar>
        </w:tblPrEx>
        <w:trPr>
          <w:wBefore w:w="0" w:type="auto"/>
          <w:tblCellSpacing w:w="0" w:type="dxa"/>
        </w:trPr>
        <w:tc>
          <w:tcPr>
            <w:tcW w:w="0" w:type="auto"/>
            <w:noWrap w:val="0"/>
            <w:vAlign w:val="center"/>
          </w:tcPr>
          <w:p w14:paraId="07191660">
            <w:r>
              <w:rPr>
                <w:rStyle w:val="10"/>
                <w:rFonts w:hint="eastAsia"/>
              </w:rPr>
              <w:t>注意事项：</w:t>
            </w:r>
            <w:r>
              <w:rPr>
                <w:rFonts w:hint="eastAsia"/>
              </w:rPr>
              <w:br w:type="textWrapping"/>
            </w:r>
            <w:r>
              <w:rPr>
                <w:rStyle w:val="11"/>
                <w:rFonts w:hint="eastAsia"/>
              </w:rPr>
              <w:t>1.使用前请将暴露在施药区域的食物、餐具等物品移走或覆盖。2.本品仅限用于室内。 3.使用本品时应穿戴防护服和手套、口罩和护目镜，避免药液接触眼睛和皮肤，避免吸入药液。 4.施药期间不可吃东西和饮水，施药后及时洗手和脸等暴露部位。 5.本品对蜜蜂、鱼类和家蚕毒性较高，养蚕室、养蜂室、水产养殖区及其附近禁用。禁止在河塘等水体中清洗施药器具。养蚕室及其附近禁用。 6.过敏者禁用，使用中任有何不良反应请及时就医。 7.孕妇及哺乳期内妇女应避免接触本品。 8.用过的容器应妥善处理，不可作他用，也不可随意丢弃。</w:t>
            </w:r>
          </w:p>
        </w:tc>
      </w:tr>
      <w:tr w14:paraId="7301CD3A">
        <w:tblPrEx>
          <w:tblCellMar>
            <w:top w:w="0" w:type="dxa"/>
            <w:left w:w="0" w:type="dxa"/>
            <w:bottom w:w="0" w:type="dxa"/>
            <w:right w:w="0" w:type="dxa"/>
          </w:tblCellMar>
        </w:tblPrEx>
        <w:trPr>
          <w:wBefore w:w="0" w:type="auto"/>
          <w:tblCellSpacing w:w="0" w:type="dxa"/>
        </w:trPr>
        <w:tc>
          <w:tcPr>
            <w:tcW w:w="0" w:type="auto"/>
            <w:noWrap w:val="0"/>
            <w:vAlign w:val="center"/>
          </w:tcPr>
          <w:p w14:paraId="7625864D">
            <w:r>
              <w:rPr>
                <w:rStyle w:val="10"/>
                <w:rFonts w:hint="eastAsia"/>
              </w:rPr>
              <w:t>中毒急救措施：</w:t>
            </w:r>
            <w:r>
              <w:rPr>
                <w:rFonts w:hint="eastAsia"/>
              </w:rPr>
              <w:br w:type="textWrapping"/>
            </w:r>
            <w:r>
              <w:rPr>
                <w:rStyle w:val="11"/>
                <w:rFonts w:hint="eastAsia"/>
              </w:rPr>
              <w:t>中毒症状：对眼睛、皮肤有刺激性，接触部位皮肤感到刺痛。1．不慎吸入，应将病人移至空气流通处，请医生诊治。 2．不慎药剂接触皮肤或眼睛，立即用肥皂和大量清水冲洗15-20分钟。 3．不慎吞服，勿催吐，应立即携此标签请医生诊治。 4.如误服、中毒，立即携标签送医院，对症治疗，无特效解毒剂。</w:t>
            </w:r>
          </w:p>
        </w:tc>
      </w:tr>
      <w:tr w14:paraId="7D6E8180">
        <w:tblPrEx>
          <w:tblCellMar>
            <w:top w:w="0" w:type="dxa"/>
            <w:left w:w="0" w:type="dxa"/>
            <w:bottom w:w="0" w:type="dxa"/>
            <w:right w:w="0" w:type="dxa"/>
          </w:tblCellMar>
        </w:tblPrEx>
        <w:trPr>
          <w:wBefore w:w="0" w:type="auto"/>
          <w:tblCellSpacing w:w="0" w:type="dxa"/>
        </w:trPr>
        <w:tc>
          <w:tcPr>
            <w:tcW w:w="0" w:type="auto"/>
            <w:noWrap w:val="0"/>
            <w:vAlign w:val="center"/>
          </w:tcPr>
          <w:p w14:paraId="5C0BCCCB">
            <w:r>
              <w:rPr>
                <w:rStyle w:val="10"/>
                <w:rFonts w:hint="eastAsia"/>
              </w:rPr>
              <w:t>储存和运输方法：</w:t>
            </w:r>
            <w:r>
              <w:rPr>
                <w:rFonts w:hint="eastAsia"/>
              </w:rPr>
              <w:br w:type="textWrapping"/>
            </w:r>
            <w:r>
              <w:rPr>
                <w:rStyle w:val="11"/>
                <w:rFonts w:hint="eastAsia"/>
              </w:rPr>
              <w:t>包装件应存放于阴凉、干燥、通风、防雨处，远离火源或热源。置于儿童触及不到的地方，并加锁。不能与食品、饮料、粮食、种子、饲料等混合储运。</w:t>
            </w:r>
          </w:p>
        </w:tc>
      </w:tr>
      <w:tr w14:paraId="061B7EF6">
        <w:tblPrEx>
          <w:tblCellMar>
            <w:top w:w="0" w:type="dxa"/>
            <w:left w:w="0" w:type="dxa"/>
            <w:bottom w:w="0" w:type="dxa"/>
            <w:right w:w="0" w:type="dxa"/>
          </w:tblCellMar>
        </w:tblPrEx>
        <w:trPr>
          <w:wBefore w:w="0" w:type="auto"/>
          <w:tblCellSpacing w:w="0" w:type="dxa"/>
        </w:trPr>
        <w:tc>
          <w:tcPr>
            <w:tcW w:w="0" w:type="auto"/>
            <w:noWrap w:val="0"/>
            <w:vAlign w:val="center"/>
          </w:tcPr>
          <w:p w14:paraId="299E18DA">
            <w:r>
              <w:rPr>
                <w:rStyle w:val="10"/>
                <w:rFonts w:hint="eastAsia"/>
              </w:rPr>
              <w:t>质量保证期：</w:t>
            </w:r>
            <w:r>
              <w:rPr>
                <w:rStyle w:val="11"/>
                <w:rFonts w:hint="eastAsia"/>
              </w:rPr>
              <w:t>2年</w:t>
            </w:r>
          </w:p>
        </w:tc>
      </w:tr>
      <w:tr w14:paraId="67B0A983">
        <w:tblPrEx>
          <w:tblCellMar>
            <w:top w:w="0" w:type="dxa"/>
            <w:left w:w="0" w:type="dxa"/>
            <w:bottom w:w="0" w:type="dxa"/>
            <w:right w:w="0" w:type="dxa"/>
          </w:tblCellMar>
        </w:tblPrEx>
        <w:trPr>
          <w:wBefore w:w="0" w:type="auto"/>
          <w:tblCellSpacing w:w="0" w:type="dxa"/>
        </w:trPr>
        <w:tc>
          <w:tcPr>
            <w:tcW w:w="0" w:type="auto"/>
            <w:noWrap w:val="0"/>
            <w:vAlign w:val="center"/>
          </w:tcPr>
          <w:p w14:paraId="6CD83AA9">
            <w:r>
              <w:rPr>
                <w:rStyle w:val="10"/>
                <w:rFonts w:hint="eastAsia"/>
              </w:rPr>
              <w:t>备注：</w:t>
            </w:r>
          </w:p>
        </w:tc>
      </w:tr>
    </w:tbl>
    <w:p w14:paraId="2574C5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55E3C8">
        <w:tblPrEx>
          <w:tblCellMar>
            <w:top w:w="0" w:type="dxa"/>
            <w:left w:w="0" w:type="dxa"/>
            <w:bottom w:w="0" w:type="dxa"/>
            <w:right w:w="0" w:type="dxa"/>
          </w:tblCellMar>
        </w:tblPrEx>
        <w:trPr>
          <w:wBefore w:w="0" w:type="auto"/>
          <w:tblCellSpacing w:w="0" w:type="dxa"/>
        </w:trPr>
        <w:tc>
          <w:tcPr>
            <w:tcW w:w="0" w:type="auto"/>
            <w:noWrap w:val="0"/>
            <w:vAlign w:val="center"/>
          </w:tcPr>
          <w:p w14:paraId="53172AE8">
            <w:r>
              <w:rPr>
                <w:rStyle w:val="10"/>
                <w:rFonts w:hint="eastAsia"/>
              </w:rPr>
              <w:t>登记证号：</w:t>
            </w:r>
            <w:r>
              <w:rPr>
                <w:rFonts w:hint="eastAsia"/>
              </w:rPr>
              <w:t>PD20212503</w:t>
            </w:r>
          </w:p>
        </w:tc>
      </w:tr>
      <w:tr w14:paraId="025E22EA">
        <w:tblPrEx>
          <w:tblCellMar>
            <w:top w:w="0" w:type="dxa"/>
            <w:left w:w="0" w:type="dxa"/>
            <w:bottom w:w="0" w:type="dxa"/>
            <w:right w:w="0" w:type="dxa"/>
          </w:tblCellMar>
        </w:tblPrEx>
        <w:trPr>
          <w:wBefore w:w="0" w:type="auto"/>
          <w:tblCellSpacing w:w="0" w:type="dxa"/>
        </w:trPr>
        <w:tc>
          <w:tcPr>
            <w:tcW w:w="0" w:type="auto"/>
            <w:noWrap w:val="0"/>
            <w:vAlign w:val="center"/>
          </w:tcPr>
          <w:p w14:paraId="4E65A6BD">
            <w:r>
              <w:rPr>
                <w:rStyle w:val="10"/>
                <w:rFonts w:hint="eastAsia"/>
              </w:rPr>
              <w:t>登记证持有人：</w:t>
            </w:r>
            <w:r>
              <w:rPr>
                <w:rFonts w:hint="eastAsia"/>
              </w:rPr>
              <w:t>山东奥坤作物科学股份有限公司</w:t>
            </w:r>
          </w:p>
        </w:tc>
      </w:tr>
      <w:tr w14:paraId="22ED99A7">
        <w:tblPrEx>
          <w:tblCellMar>
            <w:top w:w="0" w:type="dxa"/>
            <w:left w:w="0" w:type="dxa"/>
            <w:bottom w:w="0" w:type="dxa"/>
            <w:right w:w="0" w:type="dxa"/>
          </w:tblCellMar>
        </w:tblPrEx>
        <w:trPr>
          <w:wBefore w:w="0" w:type="auto"/>
          <w:tblCellSpacing w:w="0" w:type="dxa"/>
        </w:trPr>
        <w:tc>
          <w:tcPr>
            <w:tcW w:w="0" w:type="auto"/>
            <w:noWrap w:val="0"/>
            <w:vAlign w:val="center"/>
          </w:tcPr>
          <w:p w14:paraId="66B0C2AE">
            <w:r>
              <w:rPr>
                <w:rStyle w:val="10"/>
                <w:rFonts w:hint="eastAsia"/>
              </w:rPr>
              <w:t>农药名称：</w:t>
            </w:r>
            <w:r>
              <w:rPr>
                <w:rFonts w:hint="eastAsia"/>
              </w:rPr>
              <w:t>西草净</w:t>
            </w:r>
          </w:p>
        </w:tc>
      </w:tr>
      <w:tr w14:paraId="5EC2B290">
        <w:tblPrEx>
          <w:tblCellMar>
            <w:top w:w="0" w:type="dxa"/>
            <w:left w:w="0" w:type="dxa"/>
            <w:bottom w:w="0" w:type="dxa"/>
            <w:right w:w="0" w:type="dxa"/>
          </w:tblCellMar>
        </w:tblPrEx>
        <w:trPr>
          <w:wBefore w:w="0" w:type="auto"/>
          <w:tblCellSpacing w:w="0" w:type="dxa"/>
        </w:trPr>
        <w:tc>
          <w:tcPr>
            <w:tcW w:w="0" w:type="auto"/>
            <w:noWrap w:val="0"/>
            <w:vAlign w:val="center"/>
          </w:tcPr>
          <w:p w14:paraId="43D2DFAD">
            <w:r>
              <w:rPr>
                <w:rStyle w:val="10"/>
                <w:rFonts w:hint="eastAsia"/>
              </w:rPr>
              <w:t>剂型：</w:t>
            </w:r>
            <w:r>
              <w:rPr>
                <w:rFonts w:hint="eastAsia"/>
              </w:rPr>
              <w:t>可湿性粉剂</w:t>
            </w:r>
          </w:p>
        </w:tc>
      </w:tr>
      <w:tr w14:paraId="39FE95EC">
        <w:tblPrEx>
          <w:tblCellMar>
            <w:top w:w="0" w:type="dxa"/>
            <w:left w:w="0" w:type="dxa"/>
            <w:bottom w:w="0" w:type="dxa"/>
            <w:right w:w="0" w:type="dxa"/>
          </w:tblCellMar>
        </w:tblPrEx>
        <w:trPr>
          <w:wBefore w:w="0" w:type="auto"/>
          <w:tblCellSpacing w:w="0" w:type="dxa"/>
        </w:trPr>
        <w:tc>
          <w:tcPr>
            <w:tcW w:w="0" w:type="auto"/>
            <w:noWrap w:val="0"/>
            <w:vAlign w:val="center"/>
          </w:tcPr>
          <w:p w14:paraId="7ADD9A1C">
            <w:r>
              <w:rPr>
                <w:rStyle w:val="10"/>
                <w:rFonts w:hint="eastAsia"/>
              </w:rPr>
              <w:t>毒性及其标识：</w:t>
            </w:r>
            <w:r>
              <w:rPr>
                <w:rFonts w:hint="eastAsia"/>
              </w:rPr>
              <w:t xml:space="preserve"> </w:t>
            </w:r>
            <w:r>
              <w:rPr>
                <w:lang/>
              </w:rPr>
              <w:drawing>
                <wp:inline distT="0" distB="0" distL="114300" distR="114300">
                  <wp:extent cx="476250" cy="323850"/>
                  <wp:effectExtent l="0" t="0" r="0" b="0"/>
                  <wp:docPr id="159" name="图片 1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F251B35">
        <w:tblPrEx>
          <w:tblCellMar>
            <w:top w:w="0" w:type="dxa"/>
            <w:left w:w="0" w:type="dxa"/>
            <w:bottom w:w="0" w:type="dxa"/>
            <w:right w:w="0" w:type="dxa"/>
          </w:tblCellMar>
        </w:tblPrEx>
        <w:trPr>
          <w:wBefore w:w="0" w:type="auto"/>
          <w:tblCellSpacing w:w="0" w:type="dxa"/>
        </w:trPr>
        <w:tc>
          <w:tcPr>
            <w:tcW w:w="0" w:type="auto"/>
            <w:noWrap w:val="0"/>
            <w:vAlign w:val="center"/>
          </w:tcPr>
          <w:p w14:paraId="7969A8A9">
            <w:r>
              <w:rPr>
                <w:rStyle w:val="10"/>
                <w:rFonts w:hint="eastAsia"/>
              </w:rPr>
              <w:t>总有效成分含量：</w:t>
            </w:r>
            <w:r>
              <w:rPr>
                <w:rFonts w:hint="eastAsia"/>
              </w:rPr>
              <w:t>55%</w:t>
            </w:r>
          </w:p>
        </w:tc>
      </w:tr>
      <w:tr w14:paraId="3B288465">
        <w:tblPrEx>
          <w:tblCellMar>
            <w:top w:w="0" w:type="dxa"/>
            <w:left w:w="0" w:type="dxa"/>
            <w:bottom w:w="0" w:type="dxa"/>
            <w:right w:w="0" w:type="dxa"/>
          </w:tblCellMar>
        </w:tblPrEx>
        <w:trPr>
          <w:wBefore w:w="0" w:type="auto"/>
          <w:tblCellSpacing w:w="0" w:type="dxa"/>
        </w:trPr>
        <w:tc>
          <w:tcPr>
            <w:tcW w:w="0" w:type="auto"/>
            <w:noWrap w:val="0"/>
            <w:vAlign w:val="center"/>
          </w:tcPr>
          <w:p w14:paraId="105BD2E2">
            <w:r>
              <w:rPr>
                <w:rFonts w:hint="eastAsia"/>
              </w:rPr>
              <w:t xml:space="preserve">有效成分及其含量： </w:t>
            </w:r>
          </w:p>
          <w:p w14:paraId="2745120D">
            <w:r>
              <w:rPr>
                <w:rFonts w:hint="eastAsia"/>
              </w:rPr>
              <w:t xml:space="preserve">    西草净55%    </w:t>
            </w:r>
          </w:p>
        </w:tc>
      </w:tr>
      <w:tr w14:paraId="5EC43644">
        <w:tblPrEx>
          <w:tblCellMar>
            <w:top w:w="0" w:type="dxa"/>
            <w:left w:w="0" w:type="dxa"/>
            <w:bottom w:w="0" w:type="dxa"/>
            <w:right w:w="0" w:type="dxa"/>
          </w:tblCellMar>
        </w:tblPrEx>
        <w:trPr>
          <w:wBefore w:w="0" w:type="auto"/>
          <w:tblCellSpacing w:w="0" w:type="dxa"/>
        </w:trPr>
        <w:tc>
          <w:tcPr>
            <w:tcW w:w="0" w:type="auto"/>
            <w:noWrap w:val="0"/>
            <w:vAlign w:val="center"/>
          </w:tcPr>
          <w:p w14:paraId="143D0E6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AB10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8C35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94E6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F687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0D4C43">
                  <w:r>
                    <w:rPr>
                      <w:rStyle w:val="11"/>
                      <w:rFonts w:hint="eastAsia"/>
                    </w:rPr>
                    <w:t>施用方式</w:t>
                  </w:r>
                </w:p>
              </w:tc>
            </w:tr>
            <w:tr w14:paraId="5EE8BA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B47B76">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2FC26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99F0E4">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59AA12">
                  <w:r>
                    <w:rPr>
                      <w:rStyle w:val="11"/>
                      <w:rFonts w:hint="eastAsia"/>
                    </w:rPr>
                    <w:t>药土法</w:t>
                  </w:r>
                </w:p>
              </w:tc>
            </w:tr>
          </w:tbl>
          <w:p w14:paraId="27A46D97">
            <w:pPr>
              <w:rPr>
                <w:rFonts w:ascii="Times New Roman" w:hAnsi="Times New Roman" w:cs="Times New Roman"/>
                <w:sz w:val="20"/>
                <w:szCs w:val="20"/>
              </w:rPr>
            </w:pPr>
          </w:p>
        </w:tc>
      </w:tr>
      <w:tr w14:paraId="7DE33420">
        <w:tblPrEx>
          <w:tblCellMar>
            <w:top w:w="0" w:type="dxa"/>
            <w:left w:w="0" w:type="dxa"/>
            <w:bottom w:w="0" w:type="dxa"/>
            <w:right w:w="0" w:type="dxa"/>
          </w:tblCellMar>
        </w:tblPrEx>
        <w:trPr>
          <w:wBefore w:w="0" w:type="auto"/>
          <w:tblCellSpacing w:w="0" w:type="dxa"/>
        </w:trPr>
        <w:tc>
          <w:tcPr>
            <w:tcW w:w="0" w:type="auto"/>
            <w:noWrap w:val="0"/>
            <w:vAlign w:val="center"/>
          </w:tcPr>
          <w:p w14:paraId="059D6028">
            <w:r>
              <w:rPr>
                <w:rStyle w:val="10"/>
                <w:rFonts w:hint="eastAsia"/>
              </w:rPr>
              <w:t>使用技术要求:</w:t>
            </w:r>
            <w:r>
              <w:rPr>
                <w:rFonts w:hint="eastAsia"/>
              </w:rPr>
              <w:br w:type="textWrapping"/>
            </w:r>
            <w:r>
              <w:rPr>
                <w:rStyle w:val="11"/>
                <w:rFonts w:hint="eastAsia"/>
              </w:rPr>
              <w:t>1、本品每季最多使用次数为1次。施药时应有3-5厘米水层，并保持5-7天。按亩用量进行药土法撒施，撒施要均匀。 2、水层勿淹没水稻心叶避免药害，施药期间高温易造成药害。4、勿超剂量使用，避免药害；2.水层勿淹没水稻心叶避免药害；施药过早、苗小苗弱或者施药期间高温均易造成药害。</w:t>
            </w:r>
          </w:p>
        </w:tc>
      </w:tr>
      <w:tr w14:paraId="5509590A">
        <w:tblPrEx>
          <w:tblCellMar>
            <w:top w:w="0" w:type="dxa"/>
            <w:left w:w="0" w:type="dxa"/>
            <w:bottom w:w="0" w:type="dxa"/>
            <w:right w:w="0" w:type="dxa"/>
          </w:tblCellMar>
        </w:tblPrEx>
        <w:trPr>
          <w:wBefore w:w="0" w:type="auto"/>
          <w:tblCellSpacing w:w="0" w:type="dxa"/>
        </w:trPr>
        <w:tc>
          <w:tcPr>
            <w:tcW w:w="0" w:type="auto"/>
            <w:noWrap w:val="0"/>
            <w:vAlign w:val="center"/>
          </w:tcPr>
          <w:p w14:paraId="0DE19C0A">
            <w:r>
              <w:rPr>
                <w:rStyle w:val="10"/>
                <w:rFonts w:hint="eastAsia"/>
              </w:rPr>
              <w:t>产品性能:</w:t>
            </w:r>
            <w:r>
              <w:rPr>
                <w:rFonts w:hint="eastAsia"/>
              </w:rPr>
              <w:br w:type="textWrapping"/>
            </w:r>
            <w:r>
              <w:rPr>
                <w:rStyle w:val="11"/>
                <w:rFonts w:hint="eastAsia"/>
              </w:rPr>
              <w:t>本品是内吸传导型均三氮苯类除草剂，主要通过植物根系吸收传导到全株，抑制植物的光合作用，阻碍糖类的合成和淀粉的积累，使之因生理饥饿而死亡，能有效防除移栽水稻田一年生杂草。</w:t>
            </w:r>
          </w:p>
        </w:tc>
      </w:tr>
      <w:tr w14:paraId="09359050">
        <w:tblPrEx>
          <w:tblCellMar>
            <w:top w:w="0" w:type="dxa"/>
            <w:left w:w="0" w:type="dxa"/>
            <w:bottom w:w="0" w:type="dxa"/>
            <w:right w:w="0" w:type="dxa"/>
          </w:tblCellMar>
        </w:tblPrEx>
        <w:trPr>
          <w:wBefore w:w="0" w:type="auto"/>
          <w:tblCellSpacing w:w="0" w:type="dxa"/>
        </w:trPr>
        <w:tc>
          <w:tcPr>
            <w:tcW w:w="0" w:type="auto"/>
            <w:noWrap w:val="0"/>
            <w:vAlign w:val="center"/>
          </w:tcPr>
          <w:p w14:paraId="0AD3B9F3">
            <w:r>
              <w:rPr>
                <w:rStyle w:val="10"/>
                <w:rFonts w:hint="eastAsia"/>
              </w:rPr>
              <w:t>注意事项：</w:t>
            </w:r>
            <w:r>
              <w:rPr>
                <w:rFonts w:hint="eastAsia"/>
              </w:rPr>
              <w:br w:type="textWrapping"/>
            </w:r>
            <w:r>
              <w:rPr>
                <w:rStyle w:val="11"/>
                <w:rFonts w:hint="eastAsia"/>
              </w:rPr>
              <w:t>1、用药量要准确，避免重施。采用毒土法，撒药均匀。2、.该药在土壤中移动性较强，要求地平整，土壤质地 pH 对安全性影响较大 ，有机质含量少的砂质土，低洼排水不良地及重碱或强酸性土使用，易发生药害，不宜使用。 3、西草净在高温下易产生药害，用药时温度应在 30℃以下，超过 30℃易产生药害。4、施药器具清洗干净后才能喷洒其它作物。5、使用本品时穿戴长衣、长裤、帽子、口罩、手套等安全防护措施。，避免吸入药液。施药期间不可吃东西和饮水等。施药后应及时洗手和洗脸等。 6、远离水产养殖区、河塘等水体施药；禁止在河塘等水体中清洗施药器具； 清洗器具的废水不能排入河流、池塘等；废弃物要妥善处理，不能随意丢弃，也不能做他用。7、避免孕妇及哺乳期的妇女接触。8、鱼或虾蟹套养稻田禁用，施药后的田水不得直接排入水体，赤眼蜂等天敌放飞区域禁用。桑园及蚕室附近禁用。</w:t>
            </w:r>
          </w:p>
        </w:tc>
      </w:tr>
      <w:tr w14:paraId="263AB422">
        <w:tblPrEx>
          <w:tblCellMar>
            <w:top w:w="0" w:type="dxa"/>
            <w:left w:w="0" w:type="dxa"/>
            <w:bottom w:w="0" w:type="dxa"/>
            <w:right w:w="0" w:type="dxa"/>
          </w:tblCellMar>
        </w:tblPrEx>
        <w:trPr>
          <w:wBefore w:w="0" w:type="auto"/>
          <w:tblCellSpacing w:w="0" w:type="dxa"/>
        </w:trPr>
        <w:tc>
          <w:tcPr>
            <w:tcW w:w="0" w:type="auto"/>
            <w:noWrap w:val="0"/>
            <w:vAlign w:val="center"/>
          </w:tcPr>
          <w:p w14:paraId="36F28FFB">
            <w:r>
              <w:rPr>
                <w:rStyle w:val="10"/>
                <w:rFonts w:hint="eastAsia"/>
              </w:rPr>
              <w:t>中毒急救措施：</w:t>
            </w:r>
            <w:r>
              <w:rPr>
                <w:rFonts w:hint="eastAsia"/>
              </w:rPr>
              <w:br w:type="textWrapping"/>
            </w:r>
            <w:r>
              <w:rPr>
                <w:rStyle w:val="11"/>
                <w:rFonts w:hint="eastAsia"/>
              </w:rPr>
              <w:t>1、使用过程中如感觉身体不适，应立即停止工作，采取急救措施。如药液溅到皮肤，立即用肥皂和大量清水清洗，如症状持续，立即就医；如药液溅到眼内，应用足量清水冲洗 20 分钟病就医；如吸入应立即转移至空气流通处，并漱口。切忌吞服，如吞服，则应立即催吐，并携此标签立即去医院对症诊治。 2、无特殊解毒剂，由医生对症治疗。</w:t>
            </w:r>
          </w:p>
        </w:tc>
      </w:tr>
      <w:tr w14:paraId="57556EBD">
        <w:tblPrEx>
          <w:tblCellMar>
            <w:top w:w="0" w:type="dxa"/>
            <w:left w:w="0" w:type="dxa"/>
            <w:bottom w:w="0" w:type="dxa"/>
            <w:right w:w="0" w:type="dxa"/>
          </w:tblCellMar>
        </w:tblPrEx>
        <w:trPr>
          <w:wBefore w:w="0" w:type="auto"/>
          <w:tblCellSpacing w:w="0" w:type="dxa"/>
        </w:trPr>
        <w:tc>
          <w:tcPr>
            <w:tcW w:w="0" w:type="auto"/>
            <w:noWrap w:val="0"/>
            <w:vAlign w:val="center"/>
          </w:tcPr>
          <w:p w14:paraId="1C379D33">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26486B91">
        <w:tblPrEx>
          <w:tblCellMar>
            <w:top w:w="0" w:type="dxa"/>
            <w:left w:w="0" w:type="dxa"/>
            <w:bottom w:w="0" w:type="dxa"/>
            <w:right w:w="0" w:type="dxa"/>
          </w:tblCellMar>
        </w:tblPrEx>
        <w:trPr>
          <w:wBefore w:w="0" w:type="auto"/>
          <w:tblCellSpacing w:w="0" w:type="dxa"/>
        </w:trPr>
        <w:tc>
          <w:tcPr>
            <w:tcW w:w="0" w:type="auto"/>
            <w:noWrap w:val="0"/>
            <w:vAlign w:val="center"/>
          </w:tcPr>
          <w:p w14:paraId="74C93948">
            <w:r>
              <w:rPr>
                <w:rStyle w:val="10"/>
                <w:rFonts w:hint="eastAsia"/>
              </w:rPr>
              <w:t>质量保证期：</w:t>
            </w:r>
            <w:r>
              <w:rPr>
                <w:rStyle w:val="11"/>
                <w:rFonts w:hint="eastAsia"/>
              </w:rPr>
              <w:t>2年</w:t>
            </w:r>
          </w:p>
        </w:tc>
      </w:tr>
      <w:tr w14:paraId="1EA9551D">
        <w:tblPrEx>
          <w:tblCellMar>
            <w:top w:w="0" w:type="dxa"/>
            <w:left w:w="0" w:type="dxa"/>
            <w:bottom w:w="0" w:type="dxa"/>
            <w:right w:w="0" w:type="dxa"/>
          </w:tblCellMar>
        </w:tblPrEx>
        <w:trPr>
          <w:wBefore w:w="0" w:type="auto"/>
          <w:tblCellSpacing w:w="0" w:type="dxa"/>
        </w:trPr>
        <w:tc>
          <w:tcPr>
            <w:tcW w:w="0" w:type="auto"/>
            <w:noWrap w:val="0"/>
            <w:vAlign w:val="center"/>
          </w:tcPr>
          <w:p w14:paraId="0139BD68">
            <w:r>
              <w:rPr>
                <w:rStyle w:val="10"/>
                <w:rFonts w:hint="eastAsia"/>
              </w:rPr>
              <w:t>备注：</w:t>
            </w:r>
          </w:p>
        </w:tc>
      </w:tr>
    </w:tbl>
    <w:p w14:paraId="72CC7D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6DEDA4">
        <w:tblPrEx>
          <w:tblCellMar>
            <w:top w:w="0" w:type="dxa"/>
            <w:left w:w="0" w:type="dxa"/>
            <w:bottom w:w="0" w:type="dxa"/>
            <w:right w:w="0" w:type="dxa"/>
          </w:tblCellMar>
        </w:tblPrEx>
        <w:trPr>
          <w:wBefore w:w="0" w:type="auto"/>
          <w:tblCellSpacing w:w="0" w:type="dxa"/>
        </w:trPr>
        <w:tc>
          <w:tcPr>
            <w:tcW w:w="0" w:type="auto"/>
            <w:noWrap w:val="0"/>
            <w:vAlign w:val="center"/>
          </w:tcPr>
          <w:p w14:paraId="5166F2BA">
            <w:r>
              <w:rPr>
                <w:rStyle w:val="10"/>
                <w:rFonts w:hint="eastAsia"/>
              </w:rPr>
              <w:t>登记证号：</w:t>
            </w:r>
            <w:r>
              <w:rPr>
                <w:rFonts w:hint="eastAsia"/>
              </w:rPr>
              <w:t>PD20212772</w:t>
            </w:r>
          </w:p>
        </w:tc>
      </w:tr>
      <w:tr w14:paraId="29E7D631">
        <w:tblPrEx>
          <w:tblCellMar>
            <w:top w:w="0" w:type="dxa"/>
            <w:left w:w="0" w:type="dxa"/>
            <w:bottom w:w="0" w:type="dxa"/>
            <w:right w:w="0" w:type="dxa"/>
          </w:tblCellMar>
        </w:tblPrEx>
        <w:trPr>
          <w:wBefore w:w="0" w:type="auto"/>
          <w:tblCellSpacing w:w="0" w:type="dxa"/>
        </w:trPr>
        <w:tc>
          <w:tcPr>
            <w:tcW w:w="0" w:type="auto"/>
            <w:noWrap w:val="0"/>
            <w:vAlign w:val="center"/>
          </w:tcPr>
          <w:p w14:paraId="694EEB4E">
            <w:r>
              <w:rPr>
                <w:rStyle w:val="10"/>
                <w:rFonts w:hint="eastAsia"/>
              </w:rPr>
              <w:t>登记证持有人：</w:t>
            </w:r>
            <w:r>
              <w:rPr>
                <w:rFonts w:hint="eastAsia"/>
              </w:rPr>
              <w:t>河南省周口市先达化工有限公司</w:t>
            </w:r>
          </w:p>
        </w:tc>
      </w:tr>
      <w:tr w14:paraId="7F9D831E">
        <w:tblPrEx>
          <w:tblCellMar>
            <w:top w:w="0" w:type="dxa"/>
            <w:left w:w="0" w:type="dxa"/>
            <w:bottom w:w="0" w:type="dxa"/>
            <w:right w:w="0" w:type="dxa"/>
          </w:tblCellMar>
        </w:tblPrEx>
        <w:trPr>
          <w:wBefore w:w="0" w:type="auto"/>
          <w:tblCellSpacing w:w="0" w:type="dxa"/>
        </w:trPr>
        <w:tc>
          <w:tcPr>
            <w:tcW w:w="0" w:type="auto"/>
            <w:noWrap w:val="0"/>
            <w:vAlign w:val="center"/>
          </w:tcPr>
          <w:p w14:paraId="63D810A6">
            <w:r>
              <w:rPr>
                <w:rStyle w:val="10"/>
                <w:rFonts w:hint="eastAsia"/>
              </w:rPr>
              <w:t>农药名称：</w:t>
            </w:r>
            <w:r>
              <w:rPr>
                <w:rFonts w:hint="eastAsia"/>
              </w:rPr>
              <w:t>吲丁·诱抗素</w:t>
            </w:r>
          </w:p>
        </w:tc>
      </w:tr>
      <w:tr w14:paraId="094843B6">
        <w:tblPrEx>
          <w:tblCellMar>
            <w:top w:w="0" w:type="dxa"/>
            <w:left w:w="0" w:type="dxa"/>
            <w:bottom w:w="0" w:type="dxa"/>
            <w:right w:w="0" w:type="dxa"/>
          </w:tblCellMar>
        </w:tblPrEx>
        <w:trPr>
          <w:wBefore w:w="0" w:type="auto"/>
          <w:tblCellSpacing w:w="0" w:type="dxa"/>
        </w:trPr>
        <w:tc>
          <w:tcPr>
            <w:tcW w:w="0" w:type="auto"/>
            <w:noWrap w:val="0"/>
            <w:vAlign w:val="center"/>
          </w:tcPr>
          <w:p w14:paraId="4654B6DA">
            <w:r>
              <w:rPr>
                <w:rStyle w:val="10"/>
                <w:rFonts w:hint="eastAsia"/>
              </w:rPr>
              <w:t>剂型：</w:t>
            </w:r>
            <w:r>
              <w:rPr>
                <w:rFonts w:hint="eastAsia"/>
              </w:rPr>
              <w:t>微乳剂</w:t>
            </w:r>
          </w:p>
        </w:tc>
      </w:tr>
      <w:tr w14:paraId="6FC214E0">
        <w:tblPrEx>
          <w:tblCellMar>
            <w:top w:w="0" w:type="dxa"/>
            <w:left w:w="0" w:type="dxa"/>
            <w:bottom w:w="0" w:type="dxa"/>
            <w:right w:w="0" w:type="dxa"/>
          </w:tblCellMar>
        </w:tblPrEx>
        <w:trPr>
          <w:wBefore w:w="0" w:type="auto"/>
          <w:tblCellSpacing w:w="0" w:type="dxa"/>
        </w:trPr>
        <w:tc>
          <w:tcPr>
            <w:tcW w:w="0" w:type="auto"/>
            <w:noWrap w:val="0"/>
            <w:vAlign w:val="center"/>
          </w:tcPr>
          <w:p w14:paraId="1830510B">
            <w:r>
              <w:rPr>
                <w:rStyle w:val="10"/>
                <w:rFonts w:hint="eastAsia"/>
              </w:rPr>
              <w:t>毒性及其标识：</w:t>
            </w:r>
            <w:r>
              <w:rPr>
                <w:rFonts w:hint="eastAsia"/>
              </w:rPr>
              <w:t xml:space="preserve"> </w:t>
            </w:r>
            <w:r>
              <w:rPr>
                <w:lang/>
              </w:rPr>
              <w:drawing>
                <wp:inline distT="0" distB="0" distL="114300" distR="114300">
                  <wp:extent cx="476250" cy="323850"/>
                  <wp:effectExtent l="0" t="0" r="0" b="0"/>
                  <wp:docPr id="160" name="图片 1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6873DE">
        <w:tblPrEx>
          <w:tblCellMar>
            <w:top w:w="0" w:type="dxa"/>
            <w:left w:w="0" w:type="dxa"/>
            <w:bottom w:w="0" w:type="dxa"/>
            <w:right w:w="0" w:type="dxa"/>
          </w:tblCellMar>
        </w:tblPrEx>
        <w:trPr>
          <w:wBefore w:w="0" w:type="auto"/>
          <w:tblCellSpacing w:w="0" w:type="dxa"/>
        </w:trPr>
        <w:tc>
          <w:tcPr>
            <w:tcW w:w="0" w:type="auto"/>
            <w:noWrap w:val="0"/>
            <w:vAlign w:val="center"/>
          </w:tcPr>
          <w:p w14:paraId="57E84DCA">
            <w:r>
              <w:rPr>
                <w:rStyle w:val="10"/>
                <w:rFonts w:hint="eastAsia"/>
              </w:rPr>
              <w:t>总有效成分含量：</w:t>
            </w:r>
            <w:r>
              <w:rPr>
                <w:rFonts w:hint="eastAsia"/>
              </w:rPr>
              <w:t>1%</w:t>
            </w:r>
          </w:p>
        </w:tc>
      </w:tr>
      <w:tr w14:paraId="1E9586A2">
        <w:tblPrEx>
          <w:tblCellMar>
            <w:top w:w="0" w:type="dxa"/>
            <w:left w:w="0" w:type="dxa"/>
            <w:bottom w:w="0" w:type="dxa"/>
            <w:right w:w="0" w:type="dxa"/>
          </w:tblCellMar>
        </w:tblPrEx>
        <w:trPr>
          <w:wBefore w:w="0" w:type="auto"/>
          <w:tblCellSpacing w:w="0" w:type="dxa"/>
        </w:trPr>
        <w:tc>
          <w:tcPr>
            <w:tcW w:w="0" w:type="auto"/>
            <w:noWrap w:val="0"/>
            <w:vAlign w:val="center"/>
          </w:tcPr>
          <w:p w14:paraId="01A735B9">
            <w:r>
              <w:rPr>
                <w:rFonts w:hint="eastAsia"/>
              </w:rPr>
              <w:t xml:space="preserve">有效成分及其含量： </w:t>
            </w:r>
          </w:p>
          <w:p w14:paraId="0B508E3C">
            <w:r>
              <w:rPr>
                <w:rFonts w:hint="eastAsia"/>
              </w:rPr>
              <w:t xml:space="preserve">    吲哚丁酸0.9%    S-诱抗素0.1%    </w:t>
            </w:r>
          </w:p>
        </w:tc>
      </w:tr>
      <w:tr w14:paraId="2DC57F5B">
        <w:tblPrEx>
          <w:tblCellMar>
            <w:top w:w="0" w:type="dxa"/>
            <w:left w:w="0" w:type="dxa"/>
            <w:bottom w:w="0" w:type="dxa"/>
            <w:right w:w="0" w:type="dxa"/>
          </w:tblCellMar>
        </w:tblPrEx>
        <w:trPr>
          <w:wBefore w:w="0" w:type="auto"/>
          <w:tblCellSpacing w:w="0" w:type="dxa"/>
        </w:trPr>
        <w:tc>
          <w:tcPr>
            <w:tcW w:w="0" w:type="auto"/>
            <w:noWrap w:val="0"/>
            <w:vAlign w:val="center"/>
          </w:tcPr>
          <w:p w14:paraId="63E2F2D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7D67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0739B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649D9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8C5CA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B0C092">
                  <w:r>
                    <w:rPr>
                      <w:rStyle w:val="11"/>
                      <w:rFonts w:hint="eastAsia"/>
                    </w:rPr>
                    <w:t>施用方式</w:t>
                  </w:r>
                </w:p>
              </w:tc>
            </w:tr>
            <w:tr w14:paraId="59AD45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5213F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9DF8A1">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8C2F29">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18FCD7">
                  <w:r>
                    <w:rPr>
                      <w:rStyle w:val="11"/>
                      <w:rFonts w:hint="eastAsia"/>
                    </w:rPr>
                    <w:t>喷雾</w:t>
                  </w:r>
                </w:p>
              </w:tc>
            </w:tr>
          </w:tbl>
          <w:p w14:paraId="7F272215">
            <w:pPr>
              <w:rPr>
                <w:rFonts w:ascii="Times New Roman" w:hAnsi="Times New Roman" w:cs="Times New Roman"/>
                <w:sz w:val="20"/>
                <w:szCs w:val="20"/>
              </w:rPr>
            </w:pPr>
          </w:p>
        </w:tc>
      </w:tr>
      <w:tr w14:paraId="74E961BF">
        <w:tblPrEx>
          <w:tblCellMar>
            <w:top w:w="0" w:type="dxa"/>
            <w:left w:w="0" w:type="dxa"/>
            <w:bottom w:w="0" w:type="dxa"/>
            <w:right w:w="0" w:type="dxa"/>
          </w:tblCellMar>
        </w:tblPrEx>
        <w:trPr>
          <w:wBefore w:w="0" w:type="auto"/>
          <w:tblCellSpacing w:w="0" w:type="dxa"/>
        </w:trPr>
        <w:tc>
          <w:tcPr>
            <w:tcW w:w="0" w:type="auto"/>
            <w:noWrap w:val="0"/>
            <w:vAlign w:val="center"/>
          </w:tcPr>
          <w:p w14:paraId="09EFB4F0">
            <w:r>
              <w:rPr>
                <w:rStyle w:val="10"/>
                <w:rFonts w:hint="eastAsia"/>
              </w:rPr>
              <w:t>使用技术要求:</w:t>
            </w:r>
            <w:r>
              <w:rPr>
                <w:rFonts w:hint="eastAsia"/>
              </w:rPr>
              <w:br w:type="textWrapping"/>
            </w:r>
            <w:r>
              <w:rPr>
                <w:rStyle w:val="11"/>
                <w:rFonts w:hint="eastAsia"/>
              </w:rPr>
              <w:t>1、水稻育秧田插秧前7天秧苗喷施或淋苗1次，注意喷雾均匀。 2.大风或预计1小时内有雨，请勿施药。</w:t>
            </w:r>
          </w:p>
        </w:tc>
      </w:tr>
      <w:tr w14:paraId="45DBCD2D">
        <w:tblPrEx>
          <w:tblCellMar>
            <w:top w:w="0" w:type="dxa"/>
            <w:left w:w="0" w:type="dxa"/>
            <w:bottom w:w="0" w:type="dxa"/>
            <w:right w:w="0" w:type="dxa"/>
          </w:tblCellMar>
        </w:tblPrEx>
        <w:trPr>
          <w:wBefore w:w="0" w:type="auto"/>
          <w:tblCellSpacing w:w="0" w:type="dxa"/>
        </w:trPr>
        <w:tc>
          <w:tcPr>
            <w:tcW w:w="0" w:type="auto"/>
            <w:noWrap w:val="0"/>
            <w:vAlign w:val="center"/>
          </w:tcPr>
          <w:p w14:paraId="18A4385B">
            <w:r>
              <w:rPr>
                <w:rStyle w:val="10"/>
                <w:rFonts w:hint="eastAsia"/>
              </w:rPr>
              <w:t>产品性能:</w:t>
            </w:r>
            <w:r>
              <w:rPr>
                <w:rFonts w:hint="eastAsia"/>
              </w:rPr>
              <w:br w:type="textWrapping"/>
            </w:r>
            <w:r>
              <w:rPr>
                <w:rStyle w:val="11"/>
                <w:rFonts w:hint="eastAsia"/>
              </w:rPr>
              <w:t xml:space="preserve">本品是由吲哚丁酸和S-诱抗素复配而成，为生物化学农药类植物生长调节剂；在水稻育秧田期使用，能促进水稻生根，提高水稻分蘖率。 </w:t>
            </w:r>
          </w:p>
        </w:tc>
      </w:tr>
      <w:tr w14:paraId="02165FE3">
        <w:tblPrEx>
          <w:tblCellMar>
            <w:top w:w="0" w:type="dxa"/>
            <w:left w:w="0" w:type="dxa"/>
            <w:bottom w:w="0" w:type="dxa"/>
            <w:right w:w="0" w:type="dxa"/>
          </w:tblCellMar>
        </w:tblPrEx>
        <w:trPr>
          <w:wBefore w:w="0" w:type="auto"/>
          <w:tblCellSpacing w:w="0" w:type="dxa"/>
        </w:trPr>
        <w:tc>
          <w:tcPr>
            <w:tcW w:w="0" w:type="auto"/>
            <w:noWrap w:val="0"/>
            <w:vAlign w:val="center"/>
          </w:tcPr>
          <w:p w14:paraId="209C7D29">
            <w:r>
              <w:rPr>
                <w:rStyle w:val="10"/>
                <w:rFonts w:hint="eastAsia"/>
              </w:rPr>
              <w:t>注意事项：</w:t>
            </w:r>
            <w:r>
              <w:rPr>
                <w:rFonts w:hint="eastAsia"/>
              </w:rPr>
              <w:br w:type="textWrapping"/>
            </w:r>
            <w:r>
              <w:rPr>
                <w:rStyle w:val="11"/>
                <w:rFonts w:hint="eastAsia"/>
              </w:rPr>
              <w:t>1) 本品不可与碱性农药等物质混用；2)建议与其他不同作用机制的植物生长调节剂轮换使用，以延缓抗性产生。 3） 远离水产养殖区、河塘等水体施药；禁止在河塘等水体中清洗施药器具。 4） 使用本品时应穿防护服和戴手套，避免吸入药液。施药期间不可吃东西和饮水，施药后应及时洗手和洗脸。 5）用过的容器应妥善处理，不可做他用，也不可随意丢弃。 6）孕妇及哺乳期妇女禁止接触本品。7）避免与氧化剂接触。</w:t>
            </w:r>
          </w:p>
        </w:tc>
      </w:tr>
      <w:tr w14:paraId="60E3A29C">
        <w:tblPrEx>
          <w:tblCellMar>
            <w:top w:w="0" w:type="dxa"/>
            <w:left w:w="0" w:type="dxa"/>
            <w:bottom w:w="0" w:type="dxa"/>
            <w:right w:w="0" w:type="dxa"/>
          </w:tblCellMar>
        </w:tblPrEx>
        <w:trPr>
          <w:wBefore w:w="0" w:type="auto"/>
          <w:tblCellSpacing w:w="0" w:type="dxa"/>
        </w:trPr>
        <w:tc>
          <w:tcPr>
            <w:tcW w:w="0" w:type="auto"/>
            <w:noWrap w:val="0"/>
            <w:vAlign w:val="center"/>
          </w:tcPr>
          <w:p w14:paraId="012273FD">
            <w:r>
              <w:rPr>
                <w:rStyle w:val="10"/>
                <w:rFonts w:hint="eastAsia"/>
              </w:rPr>
              <w:t>中毒急救措施：</w:t>
            </w:r>
            <w:r>
              <w:rPr>
                <w:rFonts w:hint="eastAsia"/>
              </w:rPr>
              <w:br w:type="textWrapping"/>
            </w:r>
            <w:r>
              <w:rPr>
                <w:rStyle w:val="11"/>
                <w:rFonts w:hint="eastAsia"/>
              </w:rPr>
              <w:t xml:space="preserve">中毒症状：未见中毒报道。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75E8DE7D">
        <w:tblPrEx>
          <w:tblCellMar>
            <w:top w:w="0" w:type="dxa"/>
            <w:left w:w="0" w:type="dxa"/>
            <w:bottom w:w="0" w:type="dxa"/>
            <w:right w:w="0" w:type="dxa"/>
          </w:tblCellMar>
        </w:tblPrEx>
        <w:trPr>
          <w:wBefore w:w="0" w:type="auto"/>
          <w:tblCellSpacing w:w="0" w:type="dxa"/>
        </w:trPr>
        <w:tc>
          <w:tcPr>
            <w:tcW w:w="0" w:type="auto"/>
            <w:noWrap w:val="0"/>
            <w:vAlign w:val="center"/>
          </w:tcPr>
          <w:p w14:paraId="45350A57">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213EA07D">
        <w:tblPrEx>
          <w:tblCellMar>
            <w:top w:w="0" w:type="dxa"/>
            <w:left w:w="0" w:type="dxa"/>
            <w:bottom w:w="0" w:type="dxa"/>
            <w:right w:w="0" w:type="dxa"/>
          </w:tblCellMar>
        </w:tblPrEx>
        <w:trPr>
          <w:wBefore w:w="0" w:type="auto"/>
          <w:tblCellSpacing w:w="0" w:type="dxa"/>
        </w:trPr>
        <w:tc>
          <w:tcPr>
            <w:tcW w:w="0" w:type="auto"/>
            <w:noWrap w:val="0"/>
            <w:vAlign w:val="center"/>
          </w:tcPr>
          <w:p w14:paraId="64DC33FF">
            <w:r>
              <w:rPr>
                <w:rStyle w:val="10"/>
                <w:rFonts w:hint="eastAsia"/>
              </w:rPr>
              <w:t>质量保证期：</w:t>
            </w:r>
            <w:r>
              <w:rPr>
                <w:rStyle w:val="11"/>
                <w:rFonts w:hint="eastAsia"/>
              </w:rPr>
              <w:t>2年</w:t>
            </w:r>
          </w:p>
        </w:tc>
      </w:tr>
      <w:tr w14:paraId="0E2AEEC9">
        <w:tblPrEx>
          <w:tblCellMar>
            <w:top w:w="0" w:type="dxa"/>
            <w:left w:w="0" w:type="dxa"/>
            <w:bottom w:w="0" w:type="dxa"/>
            <w:right w:w="0" w:type="dxa"/>
          </w:tblCellMar>
        </w:tblPrEx>
        <w:trPr>
          <w:wBefore w:w="0" w:type="auto"/>
          <w:tblCellSpacing w:w="0" w:type="dxa"/>
        </w:trPr>
        <w:tc>
          <w:tcPr>
            <w:tcW w:w="0" w:type="auto"/>
            <w:noWrap w:val="0"/>
            <w:vAlign w:val="center"/>
          </w:tcPr>
          <w:p w14:paraId="3A871DA6">
            <w:r>
              <w:rPr>
                <w:rStyle w:val="10"/>
                <w:rFonts w:hint="eastAsia"/>
              </w:rPr>
              <w:t>备注：</w:t>
            </w:r>
          </w:p>
        </w:tc>
      </w:tr>
    </w:tbl>
    <w:p w14:paraId="3F2EA5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3A23C1">
        <w:tblPrEx>
          <w:tblCellMar>
            <w:top w:w="0" w:type="dxa"/>
            <w:left w:w="0" w:type="dxa"/>
            <w:bottom w:w="0" w:type="dxa"/>
            <w:right w:w="0" w:type="dxa"/>
          </w:tblCellMar>
        </w:tblPrEx>
        <w:trPr>
          <w:wBefore w:w="0" w:type="auto"/>
          <w:tblCellSpacing w:w="0" w:type="dxa"/>
        </w:trPr>
        <w:tc>
          <w:tcPr>
            <w:tcW w:w="0" w:type="auto"/>
            <w:noWrap w:val="0"/>
            <w:vAlign w:val="center"/>
          </w:tcPr>
          <w:p w14:paraId="25401EC8">
            <w:r>
              <w:rPr>
                <w:rStyle w:val="10"/>
                <w:rFonts w:hint="eastAsia"/>
              </w:rPr>
              <w:t>登记证号：</w:t>
            </w:r>
            <w:r>
              <w:rPr>
                <w:rFonts w:hint="eastAsia"/>
              </w:rPr>
              <w:t>PD20212489</w:t>
            </w:r>
          </w:p>
        </w:tc>
      </w:tr>
      <w:tr w14:paraId="17B6E390">
        <w:tblPrEx>
          <w:tblCellMar>
            <w:top w:w="0" w:type="dxa"/>
            <w:left w:w="0" w:type="dxa"/>
            <w:bottom w:w="0" w:type="dxa"/>
            <w:right w:w="0" w:type="dxa"/>
          </w:tblCellMar>
        </w:tblPrEx>
        <w:trPr>
          <w:wBefore w:w="0" w:type="auto"/>
          <w:tblCellSpacing w:w="0" w:type="dxa"/>
        </w:trPr>
        <w:tc>
          <w:tcPr>
            <w:tcW w:w="0" w:type="auto"/>
            <w:noWrap w:val="0"/>
            <w:vAlign w:val="center"/>
          </w:tcPr>
          <w:p w14:paraId="21160069">
            <w:r>
              <w:rPr>
                <w:rStyle w:val="10"/>
                <w:rFonts w:hint="eastAsia"/>
              </w:rPr>
              <w:t>登记证持有人：</w:t>
            </w:r>
            <w:r>
              <w:rPr>
                <w:rFonts w:hint="eastAsia"/>
              </w:rPr>
              <w:t>新乡市莱恩坪安园林有限公司</w:t>
            </w:r>
          </w:p>
        </w:tc>
      </w:tr>
      <w:tr w14:paraId="7FB4B60A">
        <w:tblPrEx>
          <w:tblCellMar>
            <w:top w:w="0" w:type="dxa"/>
            <w:left w:w="0" w:type="dxa"/>
            <w:bottom w:w="0" w:type="dxa"/>
            <w:right w:w="0" w:type="dxa"/>
          </w:tblCellMar>
        </w:tblPrEx>
        <w:trPr>
          <w:wBefore w:w="0" w:type="auto"/>
          <w:tblCellSpacing w:w="0" w:type="dxa"/>
        </w:trPr>
        <w:tc>
          <w:tcPr>
            <w:tcW w:w="0" w:type="auto"/>
            <w:noWrap w:val="0"/>
            <w:vAlign w:val="center"/>
          </w:tcPr>
          <w:p w14:paraId="68B88173">
            <w:r>
              <w:rPr>
                <w:rStyle w:val="10"/>
                <w:rFonts w:hint="eastAsia"/>
              </w:rPr>
              <w:t>农药名称：</w:t>
            </w:r>
            <w:r>
              <w:rPr>
                <w:rFonts w:hint="eastAsia"/>
              </w:rPr>
              <w:t>乙氧·草铵膦</w:t>
            </w:r>
          </w:p>
        </w:tc>
      </w:tr>
      <w:tr w14:paraId="434EA3C1">
        <w:tblPrEx>
          <w:tblCellMar>
            <w:top w:w="0" w:type="dxa"/>
            <w:left w:w="0" w:type="dxa"/>
            <w:bottom w:w="0" w:type="dxa"/>
            <w:right w:w="0" w:type="dxa"/>
          </w:tblCellMar>
        </w:tblPrEx>
        <w:trPr>
          <w:wBefore w:w="0" w:type="auto"/>
          <w:tblCellSpacing w:w="0" w:type="dxa"/>
        </w:trPr>
        <w:tc>
          <w:tcPr>
            <w:tcW w:w="0" w:type="auto"/>
            <w:noWrap w:val="0"/>
            <w:vAlign w:val="center"/>
          </w:tcPr>
          <w:p w14:paraId="47E6C348">
            <w:r>
              <w:rPr>
                <w:rStyle w:val="10"/>
                <w:rFonts w:hint="eastAsia"/>
              </w:rPr>
              <w:t>剂型：</w:t>
            </w:r>
            <w:r>
              <w:rPr>
                <w:rFonts w:hint="eastAsia"/>
              </w:rPr>
              <w:t>微乳剂</w:t>
            </w:r>
          </w:p>
        </w:tc>
      </w:tr>
      <w:tr w14:paraId="38AB5177">
        <w:tblPrEx>
          <w:tblCellMar>
            <w:top w:w="0" w:type="dxa"/>
            <w:left w:w="0" w:type="dxa"/>
            <w:bottom w:w="0" w:type="dxa"/>
            <w:right w:w="0" w:type="dxa"/>
          </w:tblCellMar>
        </w:tblPrEx>
        <w:trPr>
          <w:wBefore w:w="0" w:type="auto"/>
          <w:tblCellSpacing w:w="0" w:type="dxa"/>
        </w:trPr>
        <w:tc>
          <w:tcPr>
            <w:tcW w:w="0" w:type="auto"/>
            <w:noWrap w:val="0"/>
            <w:vAlign w:val="center"/>
          </w:tcPr>
          <w:p w14:paraId="099DAA3B">
            <w:r>
              <w:rPr>
                <w:rStyle w:val="10"/>
                <w:rFonts w:hint="eastAsia"/>
              </w:rPr>
              <w:t>毒性及其标识：</w:t>
            </w:r>
            <w:r>
              <w:rPr>
                <w:rFonts w:hint="eastAsia"/>
              </w:rPr>
              <w:t xml:space="preserve"> </w:t>
            </w:r>
            <w:r>
              <w:rPr>
                <w:lang/>
              </w:rPr>
              <w:drawing>
                <wp:inline distT="0" distB="0" distL="114300" distR="114300">
                  <wp:extent cx="476250" cy="323850"/>
                  <wp:effectExtent l="0" t="0" r="0" b="0"/>
                  <wp:docPr id="161" name="图片 1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AACD72">
        <w:tblPrEx>
          <w:tblCellMar>
            <w:top w:w="0" w:type="dxa"/>
            <w:left w:w="0" w:type="dxa"/>
            <w:bottom w:w="0" w:type="dxa"/>
            <w:right w:w="0" w:type="dxa"/>
          </w:tblCellMar>
        </w:tblPrEx>
        <w:trPr>
          <w:wBefore w:w="0" w:type="auto"/>
          <w:tblCellSpacing w:w="0" w:type="dxa"/>
        </w:trPr>
        <w:tc>
          <w:tcPr>
            <w:tcW w:w="0" w:type="auto"/>
            <w:noWrap w:val="0"/>
            <w:vAlign w:val="center"/>
          </w:tcPr>
          <w:p w14:paraId="725A27B4">
            <w:r>
              <w:rPr>
                <w:rStyle w:val="10"/>
                <w:rFonts w:hint="eastAsia"/>
              </w:rPr>
              <w:t>总有效成分含量：</w:t>
            </w:r>
            <w:r>
              <w:rPr>
                <w:rFonts w:hint="eastAsia"/>
              </w:rPr>
              <w:t>17%</w:t>
            </w:r>
          </w:p>
        </w:tc>
      </w:tr>
      <w:tr w14:paraId="6C47FD7C">
        <w:tblPrEx>
          <w:tblCellMar>
            <w:top w:w="0" w:type="dxa"/>
            <w:left w:w="0" w:type="dxa"/>
            <w:bottom w:w="0" w:type="dxa"/>
            <w:right w:w="0" w:type="dxa"/>
          </w:tblCellMar>
        </w:tblPrEx>
        <w:trPr>
          <w:wBefore w:w="0" w:type="auto"/>
          <w:tblCellSpacing w:w="0" w:type="dxa"/>
        </w:trPr>
        <w:tc>
          <w:tcPr>
            <w:tcW w:w="0" w:type="auto"/>
            <w:noWrap w:val="0"/>
            <w:vAlign w:val="center"/>
          </w:tcPr>
          <w:p w14:paraId="2D4228F7">
            <w:r>
              <w:rPr>
                <w:rFonts w:hint="eastAsia"/>
              </w:rPr>
              <w:t xml:space="preserve">有效成分及其含量： </w:t>
            </w:r>
          </w:p>
          <w:p w14:paraId="3FEE360B">
            <w:r>
              <w:rPr>
                <w:rFonts w:hint="eastAsia"/>
              </w:rPr>
              <w:t xml:space="preserve">    乙氧氟草醚2.8%    草铵膦14.2%    </w:t>
            </w:r>
          </w:p>
        </w:tc>
      </w:tr>
      <w:tr w14:paraId="2B8283A0">
        <w:tblPrEx>
          <w:tblCellMar>
            <w:top w:w="0" w:type="dxa"/>
            <w:left w:w="0" w:type="dxa"/>
            <w:bottom w:w="0" w:type="dxa"/>
            <w:right w:w="0" w:type="dxa"/>
          </w:tblCellMar>
        </w:tblPrEx>
        <w:trPr>
          <w:wBefore w:w="0" w:type="auto"/>
          <w:tblCellSpacing w:w="0" w:type="dxa"/>
        </w:trPr>
        <w:tc>
          <w:tcPr>
            <w:tcW w:w="0" w:type="auto"/>
            <w:noWrap w:val="0"/>
            <w:vAlign w:val="center"/>
          </w:tcPr>
          <w:p w14:paraId="3384784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C865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ECED3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FD5D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95EC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538E40">
                  <w:r>
                    <w:rPr>
                      <w:rStyle w:val="11"/>
                      <w:rFonts w:hint="eastAsia"/>
                    </w:rPr>
                    <w:t>施用方式</w:t>
                  </w:r>
                </w:p>
              </w:tc>
            </w:tr>
            <w:tr w14:paraId="005591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CC14F8">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88734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57A068">
                  <w:r>
                    <w:rPr>
                      <w:rStyle w:val="11"/>
                      <w:rFonts w:hint="eastAsia"/>
                    </w:rPr>
                    <w:t>200-250毫升/亩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E32472">
                  <w:r>
                    <w:rPr>
                      <w:rStyle w:val="11"/>
                      <w:rFonts w:hint="eastAsia"/>
                    </w:rPr>
                    <w:t>茎叶喷雾</w:t>
                  </w:r>
                </w:p>
              </w:tc>
            </w:tr>
          </w:tbl>
          <w:p w14:paraId="266B3559">
            <w:pPr>
              <w:rPr>
                <w:rFonts w:ascii="Times New Roman" w:hAnsi="Times New Roman" w:cs="Times New Roman"/>
                <w:sz w:val="20"/>
                <w:szCs w:val="20"/>
              </w:rPr>
            </w:pPr>
          </w:p>
        </w:tc>
      </w:tr>
      <w:tr w14:paraId="11131857">
        <w:tblPrEx>
          <w:tblCellMar>
            <w:top w:w="0" w:type="dxa"/>
            <w:left w:w="0" w:type="dxa"/>
            <w:bottom w:w="0" w:type="dxa"/>
            <w:right w:w="0" w:type="dxa"/>
          </w:tblCellMar>
        </w:tblPrEx>
        <w:trPr>
          <w:wBefore w:w="0" w:type="auto"/>
          <w:tblCellSpacing w:w="0" w:type="dxa"/>
        </w:trPr>
        <w:tc>
          <w:tcPr>
            <w:tcW w:w="0" w:type="auto"/>
            <w:noWrap w:val="0"/>
            <w:vAlign w:val="center"/>
          </w:tcPr>
          <w:p w14:paraId="5E95F665">
            <w:r>
              <w:rPr>
                <w:rStyle w:val="10"/>
                <w:rFonts w:hint="eastAsia"/>
              </w:rPr>
              <w:t>使用技术要求:</w:t>
            </w:r>
            <w:r>
              <w:rPr>
                <w:rFonts w:hint="eastAsia"/>
              </w:rPr>
              <w:br w:type="textWrapping"/>
            </w:r>
            <w:r>
              <w:rPr>
                <w:rStyle w:val="11"/>
                <w:rFonts w:hint="eastAsia"/>
              </w:rPr>
              <w:t>1.本品于非耕地杂草生长旺盛期茎叶均匀喷雾1次，应避免高温时施药。施药时，如遇草龄较大或者持续干旱，请酌情增加喷药量。 2. 避免飘移药害；禁止在田间道路、田埂、果树行间、休耕地、林场林地等农林业区域使用。 3. 大风天或预计1小时内降雨，勿施药。 4. 需要清水配制药液，现配现用，不宜久置。</w:t>
            </w:r>
          </w:p>
        </w:tc>
      </w:tr>
      <w:tr w14:paraId="16E17F3E">
        <w:tblPrEx>
          <w:tblCellMar>
            <w:top w:w="0" w:type="dxa"/>
            <w:left w:w="0" w:type="dxa"/>
            <w:bottom w:w="0" w:type="dxa"/>
            <w:right w:w="0" w:type="dxa"/>
          </w:tblCellMar>
        </w:tblPrEx>
        <w:trPr>
          <w:wBefore w:w="0" w:type="auto"/>
          <w:tblCellSpacing w:w="0" w:type="dxa"/>
        </w:trPr>
        <w:tc>
          <w:tcPr>
            <w:tcW w:w="0" w:type="auto"/>
            <w:noWrap w:val="0"/>
            <w:vAlign w:val="center"/>
          </w:tcPr>
          <w:p w14:paraId="35E838A9">
            <w:r>
              <w:rPr>
                <w:rStyle w:val="10"/>
                <w:rFonts w:hint="eastAsia"/>
              </w:rPr>
              <w:t>产品性能:</w:t>
            </w:r>
            <w:r>
              <w:rPr>
                <w:rFonts w:hint="eastAsia"/>
              </w:rPr>
              <w:br w:type="textWrapping"/>
            </w:r>
            <w:r>
              <w:rPr>
                <w:rStyle w:val="11"/>
                <w:rFonts w:hint="eastAsia"/>
              </w:rPr>
              <w:t>本产品为非选择性杂草茎叶处理除草剂，其独特的“一封一杀”除草机理，使得该品具有杀草谱广、杀草速度快、持效期较长、耐雨水冲刷等特点，对非耕地杂草有较好防效。</w:t>
            </w:r>
          </w:p>
        </w:tc>
      </w:tr>
      <w:tr w14:paraId="1EB0CC6D">
        <w:tblPrEx>
          <w:tblCellMar>
            <w:top w:w="0" w:type="dxa"/>
            <w:left w:w="0" w:type="dxa"/>
            <w:bottom w:w="0" w:type="dxa"/>
            <w:right w:w="0" w:type="dxa"/>
          </w:tblCellMar>
        </w:tblPrEx>
        <w:trPr>
          <w:wBefore w:w="0" w:type="auto"/>
          <w:tblCellSpacing w:w="0" w:type="dxa"/>
        </w:trPr>
        <w:tc>
          <w:tcPr>
            <w:tcW w:w="0" w:type="auto"/>
            <w:noWrap w:val="0"/>
            <w:vAlign w:val="center"/>
          </w:tcPr>
          <w:p w14:paraId="2C40C6C6">
            <w:r>
              <w:rPr>
                <w:rStyle w:val="10"/>
                <w:rFonts w:hint="eastAsia"/>
              </w:rPr>
              <w:t>注意事项：</w:t>
            </w:r>
            <w:r>
              <w:rPr>
                <w:rFonts w:hint="eastAsia"/>
              </w:rPr>
              <w:br w:type="textWrapping"/>
            </w:r>
            <w:r>
              <w:rPr>
                <w:rStyle w:val="11"/>
                <w:rFonts w:hint="eastAsia"/>
              </w:rPr>
              <w:t>1. 本品施药后5天内勿割草、放牧、翻地等。本品仅用于防除非耕地杂草。2. 本品对蜜蜂、鱼类等水生物、家蚕有毒，施药期间应避免对周围蜂群的影响，禁止在开花植物花期，蚕室和桑园附近使用。赤眼蜂等天敌放飞区域禁用。3. 本品对眼睛有刺激性，使用时避免接触眼睛，穿戴长衣、长裤、帽子、口罩、手套等防护措施，严禁吸烟和饮食；施药后洗净手脸等接触部位。4. 清洗器具的废水不能排入河流、池塘等水源，用过的容器应妥善处理，不可做他用，也不可随意丢弃。 5. 避免孕妇、哺乳期妇女及过敏者接触。6. 水产养殖区、河塘等水体附近禁用，禁止在河塘等水域清洗施药器具；鸟类保护区附近禁用。7. 应选择无风、湿润的晴朗天施药，避免在连续霜冻和严重干旱时施药，以免降低药效。施用后6小时后下雨不影响药效。</w:t>
            </w:r>
          </w:p>
        </w:tc>
      </w:tr>
      <w:tr w14:paraId="62C5029E">
        <w:tblPrEx>
          <w:tblCellMar>
            <w:top w:w="0" w:type="dxa"/>
            <w:left w:w="0" w:type="dxa"/>
            <w:bottom w:w="0" w:type="dxa"/>
            <w:right w:w="0" w:type="dxa"/>
          </w:tblCellMar>
        </w:tblPrEx>
        <w:trPr>
          <w:wBefore w:w="0" w:type="auto"/>
          <w:tblCellSpacing w:w="0" w:type="dxa"/>
        </w:trPr>
        <w:tc>
          <w:tcPr>
            <w:tcW w:w="0" w:type="auto"/>
            <w:noWrap w:val="0"/>
            <w:vAlign w:val="center"/>
          </w:tcPr>
          <w:p w14:paraId="00FF63E8">
            <w:r>
              <w:rPr>
                <w:rStyle w:val="10"/>
                <w:rFonts w:hint="eastAsia"/>
              </w:rPr>
              <w:t>中毒急救措施：</w:t>
            </w:r>
            <w:r>
              <w:rPr>
                <w:rFonts w:hint="eastAsia"/>
              </w:rPr>
              <w:br w:type="textWrapping"/>
            </w:r>
            <w:r>
              <w:rPr>
                <w:rStyle w:val="11"/>
                <w:rFonts w:hint="eastAsia"/>
              </w:rPr>
              <w:t xml:space="preserve">中毒症状：对眼睛、皮肤或粘膜有刺激作用。急救措施：使用中或使用后如果感觉不适，应立即停止工作，采取急救措施，并携带标签送医院就诊。1. 皮肤接触：脱去污染的衣物，用软布去除沾染农药，立即用大量清水和肥皂冲洗。2. 眼睛接触：立即用流动的清水至少冲洗15分钟，仍有不适应立即就医。3. 吸入：立即离开施药现场，转移到空气清新处。4. 如误服，立即停止服用，用清水充分漱口后，立即携带标签到医院对症治疗。 </w:t>
            </w:r>
          </w:p>
        </w:tc>
      </w:tr>
      <w:tr w14:paraId="4E2784B3">
        <w:tblPrEx>
          <w:tblCellMar>
            <w:top w:w="0" w:type="dxa"/>
            <w:left w:w="0" w:type="dxa"/>
            <w:bottom w:w="0" w:type="dxa"/>
            <w:right w:w="0" w:type="dxa"/>
          </w:tblCellMar>
        </w:tblPrEx>
        <w:trPr>
          <w:wBefore w:w="0" w:type="auto"/>
          <w:tblCellSpacing w:w="0" w:type="dxa"/>
        </w:trPr>
        <w:tc>
          <w:tcPr>
            <w:tcW w:w="0" w:type="auto"/>
            <w:noWrap w:val="0"/>
            <w:vAlign w:val="center"/>
          </w:tcPr>
          <w:p w14:paraId="78906E17">
            <w:r>
              <w:rPr>
                <w:rStyle w:val="10"/>
                <w:rFonts w:hint="eastAsia"/>
              </w:rPr>
              <w:t>储存和运输方法：</w:t>
            </w:r>
            <w:r>
              <w:rPr>
                <w:rFonts w:hint="eastAsia"/>
              </w:rPr>
              <w:br w:type="textWrapping"/>
            </w:r>
            <w:r>
              <w:rPr>
                <w:rStyle w:val="11"/>
                <w:rFonts w:hint="eastAsia"/>
              </w:rPr>
              <w:t>1. 本品应贮存在干燥、阴凉、通风、防雨处，远离火源或热源。储存和运输时严防潮湿和日晒。 2. 本品应置于儿童、无关人员及动物触及不到之处，并加锁保存。 3. 不能与食品、饮料、粮食、饲料等混合储存。</w:t>
            </w:r>
          </w:p>
        </w:tc>
      </w:tr>
      <w:tr w14:paraId="6AD4C407">
        <w:tblPrEx>
          <w:tblCellMar>
            <w:top w:w="0" w:type="dxa"/>
            <w:left w:w="0" w:type="dxa"/>
            <w:bottom w:w="0" w:type="dxa"/>
            <w:right w:w="0" w:type="dxa"/>
          </w:tblCellMar>
        </w:tblPrEx>
        <w:trPr>
          <w:wBefore w:w="0" w:type="auto"/>
          <w:tblCellSpacing w:w="0" w:type="dxa"/>
        </w:trPr>
        <w:tc>
          <w:tcPr>
            <w:tcW w:w="0" w:type="auto"/>
            <w:noWrap w:val="0"/>
            <w:vAlign w:val="center"/>
          </w:tcPr>
          <w:p w14:paraId="2F1775D7">
            <w:r>
              <w:rPr>
                <w:rStyle w:val="10"/>
                <w:rFonts w:hint="eastAsia"/>
              </w:rPr>
              <w:t>质量保证期：</w:t>
            </w:r>
            <w:r>
              <w:rPr>
                <w:rStyle w:val="11"/>
                <w:rFonts w:hint="eastAsia"/>
              </w:rPr>
              <w:t>2年</w:t>
            </w:r>
          </w:p>
        </w:tc>
      </w:tr>
      <w:tr w14:paraId="4CDF9C2B">
        <w:tblPrEx>
          <w:tblCellMar>
            <w:top w:w="0" w:type="dxa"/>
            <w:left w:w="0" w:type="dxa"/>
            <w:bottom w:w="0" w:type="dxa"/>
            <w:right w:w="0" w:type="dxa"/>
          </w:tblCellMar>
        </w:tblPrEx>
        <w:trPr>
          <w:wBefore w:w="0" w:type="auto"/>
          <w:tblCellSpacing w:w="0" w:type="dxa"/>
        </w:trPr>
        <w:tc>
          <w:tcPr>
            <w:tcW w:w="0" w:type="auto"/>
            <w:noWrap w:val="0"/>
            <w:vAlign w:val="center"/>
          </w:tcPr>
          <w:p w14:paraId="38A93A38">
            <w:r>
              <w:rPr>
                <w:rStyle w:val="10"/>
                <w:rFonts w:hint="eastAsia"/>
              </w:rPr>
              <w:t>备注：</w:t>
            </w:r>
          </w:p>
        </w:tc>
      </w:tr>
    </w:tbl>
    <w:p w14:paraId="0BC049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1CA61E">
        <w:tblPrEx>
          <w:tblCellMar>
            <w:top w:w="0" w:type="dxa"/>
            <w:left w:w="0" w:type="dxa"/>
            <w:bottom w:w="0" w:type="dxa"/>
            <w:right w:w="0" w:type="dxa"/>
          </w:tblCellMar>
        </w:tblPrEx>
        <w:trPr>
          <w:wBefore w:w="0" w:type="auto"/>
          <w:tblCellSpacing w:w="0" w:type="dxa"/>
        </w:trPr>
        <w:tc>
          <w:tcPr>
            <w:tcW w:w="0" w:type="auto"/>
            <w:noWrap w:val="0"/>
            <w:vAlign w:val="center"/>
          </w:tcPr>
          <w:p w14:paraId="6075E384">
            <w:r>
              <w:rPr>
                <w:rStyle w:val="10"/>
                <w:rFonts w:hint="eastAsia"/>
              </w:rPr>
              <w:t>登记证号：</w:t>
            </w:r>
            <w:r>
              <w:rPr>
                <w:rFonts w:hint="eastAsia"/>
              </w:rPr>
              <w:t>PD20212393</w:t>
            </w:r>
          </w:p>
        </w:tc>
      </w:tr>
      <w:tr w14:paraId="68649816">
        <w:tblPrEx>
          <w:tblCellMar>
            <w:top w:w="0" w:type="dxa"/>
            <w:left w:w="0" w:type="dxa"/>
            <w:bottom w:w="0" w:type="dxa"/>
            <w:right w:w="0" w:type="dxa"/>
          </w:tblCellMar>
        </w:tblPrEx>
        <w:trPr>
          <w:wBefore w:w="0" w:type="auto"/>
          <w:tblCellSpacing w:w="0" w:type="dxa"/>
        </w:trPr>
        <w:tc>
          <w:tcPr>
            <w:tcW w:w="0" w:type="auto"/>
            <w:noWrap w:val="0"/>
            <w:vAlign w:val="center"/>
          </w:tcPr>
          <w:p w14:paraId="66EC785F">
            <w:r>
              <w:rPr>
                <w:rStyle w:val="10"/>
                <w:rFonts w:hint="eastAsia"/>
              </w:rPr>
              <w:t>登记证持有人：</w:t>
            </w:r>
            <w:r>
              <w:rPr>
                <w:rFonts w:hint="eastAsia"/>
              </w:rPr>
              <w:t>开封一田生物科技有限公司</w:t>
            </w:r>
          </w:p>
        </w:tc>
      </w:tr>
      <w:tr w14:paraId="3B21803E">
        <w:tblPrEx>
          <w:tblCellMar>
            <w:top w:w="0" w:type="dxa"/>
            <w:left w:w="0" w:type="dxa"/>
            <w:bottom w:w="0" w:type="dxa"/>
            <w:right w:w="0" w:type="dxa"/>
          </w:tblCellMar>
        </w:tblPrEx>
        <w:trPr>
          <w:wBefore w:w="0" w:type="auto"/>
          <w:tblCellSpacing w:w="0" w:type="dxa"/>
        </w:trPr>
        <w:tc>
          <w:tcPr>
            <w:tcW w:w="0" w:type="auto"/>
            <w:noWrap w:val="0"/>
            <w:vAlign w:val="center"/>
          </w:tcPr>
          <w:p w14:paraId="0D3D42E3">
            <w:r>
              <w:rPr>
                <w:rStyle w:val="10"/>
                <w:rFonts w:hint="eastAsia"/>
              </w:rPr>
              <w:t>农药名称：</w:t>
            </w:r>
            <w:r>
              <w:rPr>
                <w:rFonts w:hint="eastAsia"/>
              </w:rPr>
              <w:t>联苯·噻虫胺</w:t>
            </w:r>
          </w:p>
        </w:tc>
      </w:tr>
      <w:tr w14:paraId="158685C3">
        <w:tblPrEx>
          <w:tblCellMar>
            <w:top w:w="0" w:type="dxa"/>
            <w:left w:w="0" w:type="dxa"/>
            <w:bottom w:w="0" w:type="dxa"/>
            <w:right w:w="0" w:type="dxa"/>
          </w:tblCellMar>
        </w:tblPrEx>
        <w:trPr>
          <w:wBefore w:w="0" w:type="auto"/>
          <w:tblCellSpacing w:w="0" w:type="dxa"/>
        </w:trPr>
        <w:tc>
          <w:tcPr>
            <w:tcW w:w="0" w:type="auto"/>
            <w:noWrap w:val="0"/>
            <w:vAlign w:val="center"/>
          </w:tcPr>
          <w:p w14:paraId="21E6120F">
            <w:r>
              <w:rPr>
                <w:rStyle w:val="10"/>
                <w:rFonts w:hint="eastAsia"/>
              </w:rPr>
              <w:t>剂型：</w:t>
            </w:r>
            <w:r>
              <w:rPr>
                <w:rFonts w:hint="eastAsia"/>
              </w:rPr>
              <w:t>悬浮剂</w:t>
            </w:r>
          </w:p>
        </w:tc>
      </w:tr>
      <w:tr w14:paraId="3FCC8FDE">
        <w:tblPrEx>
          <w:tblCellMar>
            <w:top w:w="0" w:type="dxa"/>
            <w:left w:w="0" w:type="dxa"/>
            <w:bottom w:w="0" w:type="dxa"/>
            <w:right w:w="0" w:type="dxa"/>
          </w:tblCellMar>
        </w:tblPrEx>
        <w:trPr>
          <w:wBefore w:w="0" w:type="auto"/>
          <w:tblCellSpacing w:w="0" w:type="dxa"/>
        </w:trPr>
        <w:tc>
          <w:tcPr>
            <w:tcW w:w="0" w:type="auto"/>
            <w:noWrap w:val="0"/>
            <w:vAlign w:val="center"/>
          </w:tcPr>
          <w:p w14:paraId="244F8CBE">
            <w:r>
              <w:rPr>
                <w:rStyle w:val="10"/>
                <w:rFonts w:hint="eastAsia"/>
              </w:rPr>
              <w:t>毒性及其标识：</w:t>
            </w:r>
            <w:r>
              <w:rPr>
                <w:rFonts w:hint="eastAsia"/>
              </w:rPr>
              <w:t xml:space="preserve"> </w:t>
            </w:r>
            <w:r>
              <w:rPr>
                <w:lang/>
              </w:rPr>
              <w:drawing>
                <wp:inline distT="0" distB="0" distL="114300" distR="114300">
                  <wp:extent cx="476250" cy="323850"/>
                  <wp:effectExtent l="0" t="0" r="0" b="0"/>
                  <wp:docPr id="162" name="图片 1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E346402">
        <w:tblPrEx>
          <w:tblCellMar>
            <w:top w:w="0" w:type="dxa"/>
            <w:left w:w="0" w:type="dxa"/>
            <w:bottom w:w="0" w:type="dxa"/>
            <w:right w:w="0" w:type="dxa"/>
          </w:tblCellMar>
        </w:tblPrEx>
        <w:trPr>
          <w:wBefore w:w="0" w:type="auto"/>
          <w:tblCellSpacing w:w="0" w:type="dxa"/>
        </w:trPr>
        <w:tc>
          <w:tcPr>
            <w:tcW w:w="0" w:type="auto"/>
            <w:noWrap w:val="0"/>
            <w:vAlign w:val="center"/>
          </w:tcPr>
          <w:p w14:paraId="15C6C1B7">
            <w:r>
              <w:rPr>
                <w:rStyle w:val="10"/>
                <w:rFonts w:hint="eastAsia"/>
              </w:rPr>
              <w:t>总有效成分含量：</w:t>
            </w:r>
            <w:r>
              <w:rPr>
                <w:rFonts w:hint="eastAsia"/>
              </w:rPr>
              <w:t>10%</w:t>
            </w:r>
          </w:p>
        </w:tc>
      </w:tr>
      <w:tr w14:paraId="19C0C1A2">
        <w:tblPrEx>
          <w:tblCellMar>
            <w:top w:w="0" w:type="dxa"/>
            <w:left w:w="0" w:type="dxa"/>
            <w:bottom w:w="0" w:type="dxa"/>
            <w:right w:w="0" w:type="dxa"/>
          </w:tblCellMar>
        </w:tblPrEx>
        <w:trPr>
          <w:wBefore w:w="0" w:type="auto"/>
          <w:tblCellSpacing w:w="0" w:type="dxa"/>
        </w:trPr>
        <w:tc>
          <w:tcPr>
            <w:tcW w:w="0" w:type="auto"/>
            <w:noWrap w:val="0"/>
            <w:vAlign w:val="center"/>
          </w:tcPr>
          <w:p w14:paraId="0968643B">
            <w:r>
              <w:rPr>
                <w:rFonts w:hint="eastAsia"/>
              </w:rPr>
              <w:t xml:space="preserve">有效成分及其含量： </w:t>
            </w:r>
          </w:p>
          <w:p w14:paraId="088BB7E2">
            <w:r>
              <w:rPr>
                <w:rFonts w:hint="eastAsia"/>
              </w:rPr>
              <w:t xml:space="preserve">    联苯菊酯5%    噻虫胺5%    </w:t>
            </w:r>
          </w:p>
        </w:tc>
      </w:tr>
      <w:tr w14:paraId="77B1037B">
        <w:tblPrEx>
          <w:tblCellMar>
            <w:top w:w="0" w:type="dxa"/>
            <w:left w:w="0" w:type="dxa"/>
            <w:bottom w:w="0" w:type="dxa"/>
            <w:right w:w="0" w:type="dxa"/>
          </w:tblCellMar>
        </w:tblPrEx>
        <w:trPr>
          <w:wBefore w:w="0" w:type="auto"/>
          <w:tblCellSpacing w:w="0" w:type="dxa"/>
        </w:trPr>
        <w:tc>
          <w:tcPr>
            <w:tcW w:w="0" w:type="auto"/>
            <w:noWrap w:val="0"/>
            <w:vAlign w:val="center"/>
          </w:tcPr>
          <w:p w14:paraId="389291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23AF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5DC5F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069C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D1159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EBA185">
                  <w:r>
                    <w:rPr>
                      <w:rStyle w:val="11"/>
                      <w:rFonts w:hint="eastAsia"/>
                    </w:rPr>
                    <w:t>施用方式</w:t>
                  </w:r>
                </w:p>
              </w:tc>
            </w:tr>
            <w:tr w14:paraId="580F2C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CF666F">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162CE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6CBAFC">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A1213B">
                  <w:r>
                    <w:rPr>
                      <w:rStyle w:val="11"/>
                      <w:rFonts w:hint="eastAsia"/>
                    </w:rPr>
                    <w:t>喷雾</w:t>
                  </w:r>
                </w:p>
              </w:tc>
            </w:tr>
          </w:tbl>
          <w:p w14:paraId="5A14C5EB">
            <w:pPr>
              <w:rPr>
                <w:rFonts w:ascii="Times New Roman" w:hAnsi="Times New Roman" w:cs="Times New Roman"/>
                <w:sz w:val="20"/>
                <w:szCs w:val="20"/>
              </w:rPr>
            </w:pPr>
          </w:p>
        </w:tc>
      </w:tr>
      <w:tr w14:paraId="35C9AE77">
        <w:tblPrEx>
          <w:tblCellMar>
            <w:top w:w="0" w:type="dxa"/>
            <w:left w:w="0" w:type="dxa"/>
            <w:bottom w:w="0" w:type="dxa"/>
            <w:right w:w="0" w:type="dxa"/>
          </w:tblCellMar>
        </w:tblPrEx>
        <w:trPr>
          <w:wBefore w:w="0" w:type="auto"/>
          <w:tblCellSpacing w:w="0" w:type="dxa"/>
        </w:trPr>
        <w:tc>
          <w:tcPr>
            <w:tcW w:w="0" w:type="auto"/>
            <w:noWrap w:val="0"/>
            <w:vAlign w:val="center"/>
          </w:tcPr>
          <w:p w14:paraId="1A9054DF">
            <w:r>
              <w:rPr>
                <w:rStyle w:val="10"/>
                <w:rFonts w:hint="eastAsia"/>
              </w:rPr>
              <w:t>使用技术要求:</w:t>
            </w:r>
            <w:r>
              <w:rPr>
                <w:rFonts w:hint="eastAsia"/>
              </w:rPr>
              <w:br w:type="textWrapping"/>
            </w:r>
            <w:r>
              <w:rPr>
                <w:rStyle w:val="11"/>
                <w:rFonts w:hint="eastAsia"/>
              </w:rPr>
              <w:t>1.本品适宜施药时期为小麦蚜虫发生始盛期施药一次，注意喷雾均匀、周到。 2.本品在小麦上使用的安全间隔期为14天，每季作物最多使用1次。 3.大风天或预计1小时内降雨，请勿施药。</w:t>
            </w:r>
          </w:p>
        </w:tc>
      </w:tr>
      <w:tr w14:paraId="33230F49">
        <w:tblPrEx>
          <w:tblCellMar>
            <w:top w:w="0" w:type="dxa"/>
            <w:left w:w="0" w:type="dxa"/>
            <w:bottom w:w="0" w:type="dxa"/>
            <w:right w:w="0" w:type="dxa"/>
          </w:tblCellMar>
        </w:tblPrEx>
        <w:trPr>
          <w:wBefore w:w="0" w:type="auto"/>
          <w:tblCellSpacing w:w="0" w:type="dxa"/>
        </w:trPr>
        <w:tc>
          <w:tcPr>
            <w:tcW w:w="0" w:type="auto"/>
            <w:noWrap w:val="0"/>
            <w:vAlign w:val="center"/>
          </w:tcPr>
          <w:p w14:paraId="10B7B09B">
            <w:r>
              <w:rPr>
                <w:rStyle w:val="10"/>
                <w:rFonts w:hint="eastAsia"/>
              </w:rPr>
              <w:t>产品性能:</w:t>
            </w:r>
            <w:r>
              <w:rPr>
                <w:rFonts w:hint="eastAsia"/>
              </w:rPr>
              <w:br w:type="textWrapping"/>
            </w:r>
            <w:r>
              <w:rPr>
                <w:rStyle w:val="11"/>
                <w:rFonts w:hint="eastAsia"/>
              </w:rPr>
              <w:t>本品为两种不同作用机理的有效成分联苯菊酯和噻虫胺的混配制剂。噻虫胺是新型氯代烟碱类杀虫剂，联苯菊酯是拟除虫菊酯类杀虫剂，二者混用具有内吸、触杀和胃毒的作用。按登记剂量使用时，对小麦蚜虫具有较好的防治效果。</w:t>
            </w:r>
          </w:p>
        </w:tc>
      </w:tr>
      <w:tr w14:paraId="007969E5">
        <w:tblPrEx>
          <w:tblCellMar>
            <w:top w:w="0" w:type="dxa"/>
            <w:left w:w="0" w:type="dxa"/>
            <w:bottom w:w="0" w:type="dxa"/>
            <w:right w:w="0" w:type="dxa"/>
          </w:tblCellMar>
        </w:tblPrEx>
        <w:trPr>
          <w:wBefore w:w="0" w:type="auto"/>
          <w:tblCellSpacing w:w="0" w:type="dxa"/>
        </w:trPr>
        <w:tc>
          <w:tcPr>
            <w:tcW w:w="0" w:type="auto"/>
            <w:noWrap w:val="0"/>
            <w:vAlign w:val="center"/>
          </w:tcPr>
          <w:p w14:paraId="0157BA12">
            <w:r>
              <w:rPr>
                <w:rStyle w:val="10"/>
                <w:rFonts w:hint="eastAsia"/>
              </w:rPr>
              <w:t>注意事项：</w:t>
            </w:r>
            <w:r>
              <w:rPr>
                <w:rFonts w:hint="eastAsia"/>
              </w:rPr>
              <w:br w:type="textWrapping"/>
            </w:r>
            <w:r>
              <w:rPr>
                <w:rStyle w:val="11"/>
                <w:rFonts w:hint="eastAsia"/>
              </w:rPr>
              <w:t>1. 严格按规定用药量和方法使用。2.建议与其他作用机制不同的杀虫剂轮换使用，以延缓抗性产生。3. 本品对蜜蜂、鱼、蚕、溞、蚯蚓有毒，蚕室及桑园附近禁用；（周围）开花植物花期禁用，使用时应密切关注对附近蜂群的影响 ；赤眼蜂、瓢虫等天敌放飞区域禁用；水产养殖区、河塘等水体附近禁用，禁止在河塘等水域清洗施药器具。4. 使用本品时应穿戴长衣、长裤、帽子、口罩、手套等防护措施。避免吸入药液。施药期间不可吃东西和饮水，施药后应及时洗手和洗脸。 5. 用药后包装物及用过的容器应妥善处理，不可做他用，也不可随意丢弃。 6. 孕妇及哺乳期妇女禁止接触本品。7. 避免与氧化剂接触。</w:t>
            </w:r>
          </w:p>
        </w:tc>
      </w:tr>
      <w:tr w14:paraId="6CCAB7F4">
        <w:tblPrEx>
          <w:tblCellMar>
            <w:top w:w="0" w:type="dxa"/>
            <w:left w:w="0" w:type="dxa"/>
            <w:bottom w:w="0" w:type="dxa"/>
            <w:right w:w="0" w:type="dxa"/>
          </w:tblCellMar>
        </w:tblPrEx>
        <w:trPr>
          <w:wBefore w:w="0" w:type="auto"/>
          <w:tblCellSpacing w:w="0" w:type="dxa"/>
        </w:trPr>
        <w:tc>
          <w:tcPr>
            <w:tcW w:w="0" w:type="auto"/>
            <w:noWrap w:val="0"/>
            <w:vAlign w:val="center"/>
          </w:tcPr>
          <w:p w14:paraId="05E1DB47">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1.皮肤接触：立即脱掉被污染的衣物，用大量清水冲洗被污染的皮肤，再用肥皂清洗，然后用清水冲净。2.眼睛溅药：立刻用大量清水冲洗至少15 分钟。如配戴隐形眼镜，先冲洗1-2分钟后再摘掉眼镜冲洗。携此标签去医院诊治。3.发生吸入：立即将吸入者转移到空气新鲜处，请尽快就医诊治。4.误服：喝大量的水，并携本标签把患者送医院诊治。 </w:t>
            </w:r>
          </w:p>
        </w:tc>
      </w:tr>
      <w:tr w14:paraId="65679693">
        <w:tblPrEx>
          <w:tblCellMar>
            <w:top w:w="0" w:type="dxa"/>
            <w:left w:w="0" w:type="dxa"/>
            <w:bottom w:w="0" w:type="dxa"/>
            <w:right w:w="0" w:type="dxa"/>
          </w:tblCellMar>
        </w:tblPrEx>
        <w:trPr>
          <w:wBefore w:w="0" w:type="auto"/>
          <w:tblCellSpacing w:w="0" w:type="dxa"/>
        </w:trPr>
        <w:tc>
          <w:tcPr>
            <w:tcW w:w="0" w:type="auto"/>
            <w:noWrap w:val="0"/>
            <w:vAlign w:val="center"/>
          </w:tcPr>
          <w:p w14:paraId="1D1DEAA3">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1544DA95">
        <w:tblPrEx>
          <w:tblCellMar>
            <w:top w:w="0" w:type="dxa"/>
            <w:left w:w="0" w:type="dxa"/>
            <w:bottom w:w="0" w:type="dxa"/>
            <w:right w:w="0" w:type="dxa"/>
          </w:tblCellMar>
        </w:tblPrEx>
        <w:trPr>
          <w:wBefore w:w="0" w:type="auto"/>
          <w:tblCellSpacing w:w="0" w:type="dxa"/>
        </w:trPr>
        <w:tc>
          <w:tcPr>
            <w:tcW w:w="0" w:type="auto"/>
            <w:noWrap w:val="0"/>
            <w:vAlign w:val="center"/>
          </w:tcPr>
          <w:p w14:paraId="418F4613">
            <w:r>
              <w:rPr>
                <w:rStyle w:val="10"/>
                <w:rFonts w:hint="eastAsia"/>
              </w:rPr>
              <w:t>质量保证期：</w:t>
            </w:r>
            <w:r>
              <w:rPr>
                <w:rStyle w:val="11"/>
                <w:rFonts w:hint="eastAsia"/>
              </w:rPr>
              <w:t>2年</w:t>
            </w:r>
          </w:p>
        </w:tc>
      </w:tr>
      <w:tr w14:paraId="05114C1F">
        <w:tblPrEx>
          <w:tblCellMar>
            <w:top w:w="0" w:type="dxa"/>
            <w:left w:w="0" w:type="dxa"/>
            <w:bottom w:w="0" w:type="dxa"/>
            <w:right w:w="0" w:type="dxa"/>
          </w:tblCellMar>
        </w:tblPrEx>
        <w:trPr>
          <w:wBefore w:w="0" w:type="auto"/>
          <w:tblCellSpacing w:w="0" w:type="dxa"/>
        </w:trPr>
        <w:tc>
          <w:tcPr>
            <w:tcW w:w="0" w:type="auto"/>
            <w:noWrap w:val="0"/>
            <w:vAlign w:val="center"/>
          </w:tcPr>
          <w:p w14:paraId="2AA8A95B">
            <w:r>
              <w:rPr>
                <w:rStyle w:val="10"/>
                <w:rFonts w:hint="eastAsia"/>
              </w:rPr>
              <w:t>备注：</w:t>
            </w:r>
          </w:p>
        </w:tc>
      </w:tr>
    </w:tbl>
    <w:p w14:paraId="69081B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FB844E">
        <w:tblPrEx>
          <w:tblCellMar>
            <w:top w:w="0" w:type="dxa"/>
            <w:left w:w="0" w:type="dxa"/>
            <w:bottom w:w="0" w:type="dxa"/>
            <w:right w:w="0" w:type="dxa"/>
          </w:tblCellMar>
        </w:tblPrEx>
        <w:trPr>
          <w:wBefore w:w="0" w:type="auto"/>
          <w:tblCellSpacing w:w="0" w:type="dxa"/>
        </w:trPr>
        <w:tc>
          <w:tcPr>
            <w:tcW w:w="0" w:type="auto"/>
            <w:noWrap w:val="0"/>
            <w:vAlign w:val="center"/>
          </w:tcPr>
          <w:p w14:paraId="0F442B3F">
            <w:r>
              <w:rPr>
                <w:rStyle w:val="10"/>
                <w:rFonts w:hint="eastAsia"/>
              </w:rPr>
              <w:t>登记证号：</w:t>
            </w:r>
            <w:r>
              <w:rPr>
                <w:rFonts w:hint="eastAsia"/>
              </w:rPr>
              <w:t>PD20212690</w:t>
            </w:r>
          </w:p>
        </w:tc>
      </w:tr>
      <w:tr w14:paraId="2B5260B1">
        <w:tblPrEx>
          <w:tblCellMar>
            <w:top w:w="0" w:type="dxa"/>
            <w:left w:w="0" w:type="dxa"/>
            <w:bottom w:w="0" w:type="dxa"/>
            <w:right w:w="0" w:type="dxa"/>
          </w:tblCellMar>
        </w:tblPrEx>
        <w:trPr>
          <w:wBefore w:w="0" w:type="auto"/>
          <w:tblCellSpacing w:w="0" w:type="dxa"/>
        </w:trPr>
        <w:tc>
          <w:tcPr>
            <w:tcW w:w="0" w:type="auto"/>
            <w:noWrap w:val="0"/>
            <w:vAlign w:val="center"/>
          </w:tcPr>
          <w:p w14:paraId="0CD7F9B0">
            <w:r>
              <w:rPr>
                <w:rStyle w:val="10"/>
                <w:rFonts w:hint="eastAsia"/>
              </w:rPr>
              <w:t>登记证持有人：</w:t>
            </w:r>
            <w:r>
              <w:rPr>
                <w:rFonts w:hint="eastAsia"/>
              </w:rPr>
              <w:t>山东惠民中联生物科技有限公司</w:t>
            </w:r>
          </w:p>
        </w:tc>
      </w:tr>
      <w:tr w14:paraId="07B65F6C">
        <w:tblPrEx>
          <w:tblCellMar>
            <w:top w:w="0" w:type="dxa"/>
            <w:left w:w="0" w:type="dxa"/>
            <w:bottom w:w="0" w:type="dxa"/>
            <w:right w:w="0" w:type="dxa"/>
          </w:tblCellMar>
        </w:tblPrEx>
        <w:trPr>
          <w:wBefore w:w="0" w:type="auto"/>
          <w:tblCellSpacing w:w="0" w:type="dxa"/>
        </w:trPr>
        <w:tc>
          <w:tcPr>
            <w:tcW w:w="0" w:type="auto"/>
            <w:noWrap w:val="0"/>
            <w:vAlign w:val="center"/>
          </w:tcPr>
          <w:p w14:paraId="14E2E09A">
            <w:r>
              <w:rPr>
                <w:rStyle w:val="10"/>
                <w:rFonts w:hint="eastAsia"/>
              </w:rPr>
              <w:t>农药名称：</w:t>
            </w:r>
            <w:r>
              <w:rPr>
                <w:rFonts w:hint="eastAsia"/>
              </w:rPr>
              <w:t>宁南霉素</w:t>
            </w:r>
          </w:p>
        </w:tc>
      </w:tr>
      <w:tr w14:paraId="179A3DAD">
        <w:tblPrEx>
          <w:tblCellMar>
            <w:top w:w="0" w:type="dxa"/>
            <w:left w:w="0" w:type="dxa"/>
            <w:bottom w:w="0" w:type="dxa"/>
            <w:right w:w="0" w:type="dxa"/>
          </w:tblCellMar>
        </w:tblPrEx>
        <w:trPr>
          <w:wBefore w:w="0" w:type="auto"/>
          <w:tblCellSpacing w:w="0" w:type="dxa"/>
        </w:trPr>
        <w:tc>
          <w:tcPr>
            <w:tcW w:w="0" w:type="auto"/>
            <w:noWrap w:val="0"/>
            <w:vAlign w:val="center"/>
          </w:tcPr>
          <w:p w14:paraId="449E233A">
            <w:r>
              <w:rPr>
                <w:rStyle w:val="10"/>
                <w:rFonts w:hint="eastAsia"/>
              </w:rPr>
              <w:t>剂型：</w:t>
            </w:r>
            <w:r>
              <w:rPr>
                <w:rFonts w:hint="eastAsia"/>
              </w:rPr>
              <w:t>可溶液剂</w:t>
            </w:r>
          </w:p>
        </w:tc>
      </w:tr>
      <w:tr w14:paraId="3B29AB69">
        <w:tblPrEx>
          <w:tblCellMar>
            <w:top w:w="0" w:type="dxa"/>
            <w:left w:w="0" w:type="dxa"/>
            <w:bottom w:w="0" w:type="dxa"/>
            <w:right w:w="0" w:type="dxa"/>
          </w:tblCellMar>
        </w:tblPrEx>
        <w:trPr>
          <w:wBefore w:w="0" w:type="auto"/>
          <w:tblCellSpacing w:w="0" w:type="dxa"/>
        </w:trPr>
        <w:tc>
          <w:tcPr>
            <w:tcW w:w="0" w:type="auto"/>
            <w:noWrap w:val="0"/>
            <w:vAlign w:val="center"/>
          </w:tcPr>
          <w:p w14:paraId="31B37DF7">
            <w:r>
              <w:rPr>
                <w:rStyle w:val="10"/>
                <w:rFonts w:hint="eastAsia"/>
              </w:rPr>
              <w:t>毒性及其标识：</w:t>
            </w:r>
            <w:r>
              <w:rPr>
                <w:rFonts w:hint="eastAsia"/>
              </w:rPr>
              <w:t xml:space="preserve"> 微毒 </w:t>
            </w:r>
          </w:p>
        </w:tc>
      </w:tr>
      <w:tr w14:paraId="0FF24154">
        <w:tblPrEx>
          <w:tblCellMar>
            <w:top w:w="0" w:type="dxa"/>
            <w:left w:w="0" w:type="dxa"/>
            <w:bottom w:w="0" w:type="dxa"/>
            <w:right w:w="0" w:type="dxa"/>
          </w:tblCellMar>
        </w:tblPrEx>
        <w:trPr>
          <w:wBefore w:w="0" w:type="auto"/>
          <w:tblCellSpacing w:w="0" w:type="dxa"/>
        </w:trPr>
        <w:tc>
          <w:tcPr>
            <w:tcW w:w="0" w:type="auto"/>
            <w:noWrap w:val="0"/>
            <w:vAlign w:val="center"/>
          </w:tcPr>
          <w:p w14:paraId="52B89CCC">
            <w:r>
              <w:rPr>
                <w:rStyle w:val="10"/>
                <w:rFonts w:hint="eastAsia"/>
              </w:rPr>
              <w:t>总有效成分含量：</w:t>
            </w:r>
            <w:r>
              <w:rPr>
                <w:rFonts w:hint="eastAsia"/>
              </w:rPr>
              <w:t>8%</w:t>
            </w:r>
          </w:p>
        </w:tc>
      </w:tr>
      <w:tr w14:paraId="13D1737E">
        <w:tblPrEx>
          <w:tblCellMar>
            <w:top w:w="0" w:type="dxa"/>
            <w:left w:w="0" w:type="dxa"/>
            <w:bottom w:w="0" w:type="dxa"/>
            <w:right w:w="0" w:type="dxa"/>
          </w:tblCellMar>
        </w:tblPrEx>
        <w:trPr>
          <w:wBefore w:w="0" w:type="auto"/>
          <w:tblCellSpacing w:w="0" w:type="dxa"/>
        </w:trPr>
        <w:tc>
          <w:tcPr>
            <w:tcW w:w="0" w:type="auto"/>
            <w:noWrap w:val="0"/>
            <w:vAlign w:val="center"/>
          </w:tcPr>
          <w:p w14:paraId="221BF6D7">
            <w:r>
              <w:rPr>
                <w:rFonts w:hint="eastAsia"/>
              </w:rPr>
              <w:t xml:space="preserve">有效成分及其含量： </w:t>
            </w:r>
          </w:p>
          <w:p w14:paraId="4EC30ACF">
            <w:r>
              <w:rPr>
                <w:rFonts w:hint="eastAsia"/>
              </w:rPr>
              <w:t xml:space="preserve">    宁南霉素8%    </w:t>
            </w:r>
          </w:p>
        </w:tc>
      </w:tr>
      <w:tr w14:paraId="5A3DFB2E">
        <w:tblPrEx>
          <w:tblCellMar>
            <w:top w:w="0" w:type="dxa"/>
            <w:left w:w="0" w:type="dxa"/>
            <w:bottom w:w="0" w:type="dxa"/>
            <w:right w:w="0" w:type="dxa"/>
          </w:tblCellMar>
        </w:tblPrEx>
        <w:trPr>
          <w:wBefore w:w="0" w:type="auto"/>
          <w:tblCellSpacing w:w="0" w:type="dxa"/>
        </w:trPr>
        <w:tc>
          <w:tcPr>
            <w:tcW w:w="0" w:type="auto"/>
            <w:noWrap w:val="0"/>
            <w:vAlign w:val="center"/>
          </w:tcPr>
          <w:p w14:paraId="179E8E7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6D1F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0D70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84D4FA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0FE40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7C4634">
                  <w:r>
                    <w:rPr>
                      <w:rStyle w:val="11"/>
                      <w:rFonts w:hint="eastAsia"/>
                    </w:rPr>
                    <w:t>施用方式</w:t>
                  </w:r>
                </w:p>
              </w:tc>
            </w:tr>
            <w:tr w14:paraId="5D9597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9DE07A">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6D787B">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278D07">
                  <w:r>
                    <w:rPr>
                      <w:rStyle w:val="11"/>
                      <w:rFonts w:hint="eastAsia"/>
                    </w:rPr>
                    <w:t>85-100毫升/亩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617734">
                  <w:r>
                    <w:rPr>
                      <w:rStyle w:val="11"/>
                      <w:rFonts w:hint="eastAsia"/>
                    </w:rPr>
                    <w:t>喷雾</w:t>
                  </w:r>
                </w:p>
              </w:tc>
            </w:tr>
          </w:tbl>
          <w:p w14:paraId="7B17A4D2">
            <w:pPr>
              <w:rPr>
                <w:rFonts w:ascii="Times New Roman" w:hAnsi="Times New Roman" w:cs="Times New Roman"/>
                <w:sz w:val="20"/>
                <w:szCs w:val="20"/>
              </w:rPr>
            </w:pPr>
          </w:p>
        </w:tc>
      </w:tr>
      <w:tr w14:paraId="0F98C0D6">
        <w:tblPrEx>
          <w:tblCellMar>
            <w:top w:w="0" w:type="dxa"/>
            <w:left w:w="0" w:type="dxa"/>
            <w:bottom w:w="0" w:type="dxa"/>
            <w:right w:w="0" w:type="dxa"/>
          </w:tblCellMar>
        </w:tblPrEx>
        <w:trPr>
          <w:wBefore w:w="0" w:type="auto"/>
          <w:tblCellSpacing w:w="0" w:type="dxa"/>
        </w:trPr>
        <w:tc>
          <w:tcPr>
            <w:tcW w:w="0" w:type="auto"/>
            <w:noWrap w:val="0"/>
            <w:vAlign w:val="center"/>
          </w:tcPr>
          <w:p w14:paraId="374B993A">
            <w:r>
              <w:rPr>
                <w:rStyle w:val="10"/>
                <w:rFonts w:hint="eastAsia"/>
              </w:rPr>
              <w:t>使用技术要求:</w:t>
            </w:r>
            <w:r>
              <w:rPr>
                <w:rFonts w:hint="eastAsia"/>
              </w:rPr>
              <w:br w:type="textWrapping"/>
            </w:r>
            <w:r>
              <w:rPr>
                <w:rStyle w:val="11"/>
                <w:rFonts w:hint="eastAsia"/>
              </w:rPr>
              <w:t>1.本品应在病害发病前或发生初期用药，每隔7-10天左右喷施一次，连续用药2-3次，施药时应注意均匀、周到。 2.本品在番茄上使用的安全间隔期为10天，每季最多使用次数为3次。 3. 大风天或预计1小时内降雨，请勿施药，施药后6小时内遇雨需补喷。</w:t>
            </w:r>
          </w:p>
        </w:tc>
      </w:tr>
      <w:tr w14:paraId="1D94E543">
        <w:tblPrEx>
          <w:tblCellMar>
            <w:top w:w="0" w:type="dxa"/>
            <w:left w:w="0" w:type="dxa"/>
            <w:bottom w:w="0" w:type="dxa"/>
            <w:right w:w="0" w:type="dxa"/>
          </w:tblCellMar>
        </w:tblPrEx>
        <w:trPr>
          <w:wBefore w:w="0" w:type="auto"/>
          <w:tblCellSpacing w:w="0" w:type="dxa"/>
        </w:trPr>
        <w:tc>
          <w:tcPr>
            <w:tcW w:w="0" w:type="auto"/>
            <w:noWrap w:val="0"/>
            <w:vAlign w:val="center"/>
          </w:tcPr>
          <w:p w14:paraId="608C8206">
            <w:r>
              <w:rPr>
                <w:rStyle w:val="10"/>
                <w:rFonts w:hint="eastAsia"/>
              </w:rPr>
              <w:t>产品性能:</w:t>
            </w:r>
            <w:r>
              <w:rPr>
                <w:rFonts w:hint="eastAsia"/>
              </w:rPr>
              <w:br w:type="textWrapping"/>
            </w:r>
            <w:r>
              <w:rPr>
                <w:rStyle w:val="11"/>
                <w:rFonts w:hint="eastAsia"/>
              </w:rPr>
              <w:t>本品属于胞嘧啶核苷肽型广谱抗生素杀菌剂，具有预防、治疗作用。本品可延长病毒潜育期、破坏病毒粒体结构，降低病毒粒体浓度，提高植株抵抗病毒的能力而达到防治病毒病的作用；同时本品还可抑制真菌菌丝生长，并能诱导植物体产生抗性蛋白，提高植物体的免疫力。本品对番茄病毒病有较好的防治效果。</w:t>
            </w:r>
          </w:p>
        </w:tc>
      </w:tr>
      <w:tr w14:paraId="174F5D40">
        <w:tblPrEx>
          <w:tblCellMar>
            <w:top w:w="0" w:type="dxa"/>
            <w:left w:w="0" w:type="dxa"/>
            <w:bottom w:w="0" w:type="dxa"/>
            <w:right w:w="0" w:type="dxa"/>
          </w:tblCellMar>
        </w:tblPrEx>
        <w:trPr>
          <w:wBefore w:w="0" w:type="auto"/>
          <w:tblCellSpacing w:w="0" w:type="dxa"/>
        </w:trPr>
        <w:tc>
          <w:tcPr>
            <w:tcW w:w="0" w:type="auto"/>
            <w:noWrap w:val="0"/>
            <w:vAlign w:val="center"/>
          </w:tcPr>
          <w:p w14:paraId="2F645B5F">
            <w:r>
              <w:rPr>
                <w:rStyle w:val="10"/>
                <w:rFonts w:hint="eastAsia"/>
              </w:rPr>
              <w:t>注意事项：</w:t>
            </w:r>
            <w:r>
              <w:rPr>
                <w:rFonts w:hint="eastAsia"/>
              </w:rPr>
              <w:br w:type="textWrapping"/>
            </w:r>
            <w:r>
              <w:rPr>
                <w:rStyle w:val="11"/>
                <w:rFonts w:hint="eastAsia"/>
              </w:rPr>
              <w:t>1. 本品不得与碱性农药及其它强氧化剂相混。2. 本品对眼睛有刺激性，使用时避免接触眼睛，穿戴长衣、长裤、帽子、口罩、手套等防护措施。避免皮肤接触及口鼻吸入，使用中不准吸烟、饮水、进食，使用后要及时清洗手、脸等暴露部位并更换衣物。3. 本品对蜜蜂、鱼类等水生生物、家蚕有毒，开花作物花期，蚕室及桑园附近禁用，瓢虫等天敌放飞区域禁用。远离水产养殖区施药，禁止在河塘等水域内清洗施药器具。施药后及时清洗药械，不可将废液、清洗液倒入河塘等水源。4. 使用过的空包装、容器，用清水冲洗三次后妥善处理，切勿重复使用或改作其它用途，也不可随意丢弃。5. 避免儿童、孕妇及哺乳期妇女接触本品。</w:t>
            </w:r>
          </w:p>
        </w:tc>
      </w:tr>
      <w:tr w14:paraId="12EAAB01">
        <w:tblPrEx>
          <w:tblCellMar>
            <w:top w:w="0" w:type="dxa"/>
            <w:left w:w="0" w:type="dxa"/>
            <w:bottom w:w="0" w:type="dxa"/>
            <w:right w:w="0" w:type="dxa"/>
          </w:tblCellMar>
        </w:tblPrEx>
        <w:trPr>
          <w:wBefore w:w="0" w:type="auto"/>
          <w:tblCellSpacing w:w="0" w:type="dxa"/>
        </w:trPr>
        <w:tc>
          <w:tcPr>
            <w:tcW w:w="0" w:type="auto"/>
            <w:noWrap w:val="0"/>
            <w:vAlign w:val="center"/>
          </w:tcPr>
          <w:p w14:paraId="525E0D9F">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1.皮肤接触：立即脱掉被污染的衣物，用大量清水彻底清洗受污染的皮肤，如皮肤刺激感持续，请医生诊治。 2.眼睛溅药：立即将眼睑翻开，用清水冲洗至少15分钟，再请医生诊治。 3.吸入：立即将吸入者转移到空气新鲜处，如果吸入者停止呼吸，需进行人工呼吸。注意保暖和休息，请医生诊治。 4.误食：立即停止服用，用清水充分漱口后，立即携此标签将病人送医院诊治。</w:t>
            </w:r>
          </w:p>
        </w:tc>
      </w:tr>
      <w:tr w14:paraId="79A24333">
        <w:tblPrEx>
          <w:tblCellMar>
            <w:top w:w="0" w:type="dxa"/>
            <w:left w:w="0" w:type="dxa"/>
            <w:bottom w:w="0" w:type="dxa"/>
            <w:right w:w="0" w:type="dxa"/>
          </w:tblCellMar>
        </w:tblPrEx>
        <w:trPr>
          <w:wBefore w:w="0" w:type="auto"/>
          <w:tblCellSpacing w:w="0" w:type="dxa"/>
        </w:trPr>
        <w:tc>
          <w:tcPr>
            <w:tcW w:w="0" w:type="auto"/>
            <w:noWrap w:val="0"/>
            <w:vAlign w:val="center"/>
          </w:tcPr>
          <w:p w14:paraId="4543C48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本品应贮存在干燥、阴凉、通风、防雨处，远离火源或热源。置于儿童、无关人员及动物触及不到之处，并加锁保存。勿与食品、饮料、饲料和粮食等及其它易燃易爆物品同贮同运。</w:t>
            </w:r>
          </w:p>
        </w:tc>
      </w:tr>
      <w:tr w14:paraId="0FF515FA">
        <w:tblPrEx>
          <w:tblCellMar>
            <w:top w:w="0" w:type="dxa"/>
            <w:left w:w="0" w:type="dxa"/>
            <w:bottom w:w="0" w:type="dxa"/>
            <w:right w:w="0" w:type="dxa"/>
          </w:tblCellMar>
        </w:tblPrEx>
        <w:trPr>
          <w:wBefore w:w="0" w:type="auto"/>
          <w:tblCellSpacing w:w="0" w:type="dxa"/>
        </w:trPr>
        <w:tc>
          <w:tcPr>
            <w:tcW w:w="0" w:type="auto"/>
            <w:noWrap w:val="0"/>
            <w:vAlign w:val="center"/>
          </w:tcPr>
          <w:p w14:paraId="68B86469">
            <w:r>
              <w:rPr>
                <w:rStyle w:val="10"/>
                <w:rFonts w:hint="eastAsia"/>
              </w:rPr>
              <w:t>质量保证期：</w:t>
            </w:r>
            <w:r>
              <w:rPr>
                <w:rStyle w:val="11"/>
                <w:rFonts w:hint="eastAsia"/>
              </w:rPr>
              <w:t>2年</w:t>
            </w:r>
          </w:p>
        </w:tc>
      </w:tr>
      <w:tr w14:paraId="7FD8E3CB">
        <w:tblPrEx>
          <w:tblCellMar>
            <w:top w:w="0" w:type="dxa"/>
            <w:left w:w="0" w:type="dxa"/>
            <w:bottom w:w="0" w:type="dxa"/>
            <w:right w:w="0" w:type="dxa"/>
          </w:tblCellMar>
        </w:tblPrEx>
        <w:trPr>
          <w:wBefore w:w="0" w:type="auto"/>
          <w:tblCellSpacing w:w="0" w:type="dxa"/>
        </w:trPr>
        <w:tc>
          <w:tcPr>
            <w:tcW w:w="0" w:type="auto"/>
            <w:noWrap w:val="0"/>
            <w:vAlign w:val="center"/>
          </w:tcPr>
          <w:p w14:paraId="01D92350">
            <w:r>
              <w:rPr>
                <w:rStyle w:val="10"/>
                <w:rFonts w:hint="eastAsia"/>
              </w:rPr>
              <w:t>备注：</w:t>
            </w:r>
          </w:p>
        </w:tc>
      </w:tr>
    </w:tbl>
    <w:p w14:paraId="69FE8C9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BE3047">
        <w:tblPrEx>
          <w:tblCellMar>
            <w:top w:w="0" w:type="dxa"/>
            <w:left w:w="0" w:type="dxa"/>
            <w:bottom w:w="0" w:type="dxa"/>
            <w:right w:w="0" w:type="dxa"/>
          </w:tblCellMar>
        </w:tblPrEx>
        <w:trPr>
          <w:wBefore w:w="0" w:type="auto"/>
          <w:tblCellSpacing w:w="0" w:type="dxa"/>
        </w:trPr>
        <w:tc>
          <w:tcPr>
            <w:tcW w:w="0" w:type="auto"/>
            <w:noWrap w:val="0"/>
            <w:vAlign w:val="center"/>
          </w:tcPr>
          <w:p w14:paraId="622BC653">
            <w:r>
              <w:rPr>
                <w:rStyle w:val="10"/>
                <w:rFonts w:hint="eastAsia"/>
              </w:rPr>
              <w:t>登记证号：</w:t>
            </w:r>
            <w:r>
              <w:rPr>
                <w:rFonts w:hint="eastAsia"/>
              </w:rPr>
              <w:t>PD20212733</w:t>
            </w:r>
          </w:p>
        </w:tc>
      </w:tr>
      <w:tr w14:paraId="08ECF834">
        <w:tblPrEx>
          <w:tblCellMar>
            <w:top w:w="0" w:type="dxa"/>
            <w:left w:w="0" w:type="dxa"/>
            <w:bottom w:w="0" w:type="dxa"/>
            <w:right w:w="0" w:type="dxa"/>
          </w:tblCellMar>
        </w:tblPrEx>
        <w:trPr>
          <w:wBefore w:w="0" w:type="auto"/>
          <w:tblCellSpacing w:w="0" w:type="dxa"/>
        </w:trPr>
        <w:tc>
          <w:tcPr>
            <w:tcW w:w="0" w:type="auto"/>
            <w:noWrap w:val="0"/>
            <w:vAlign w:val="center"/>
          </w:tcPr>
          <w:p w14:paraId="247640E9">
            <w:r>
              <w:rPr>
                <w:rStyle w:val="10"/>
                <w:rFonts w:hint="eastAsia"/>
              </w:rPr>
              <w:t>登记证持有人：</w:t>
            </w:r>
            <w:r>
              <w:rPr>
                <w:rFonts w:hint="eastAsia"/>
              </w:rPr>
              <w:t>河南欣农化工有限公司</w:t>
            </w:r>
          </w:p>
        </w:tc>
      </w:tr>
      <w:tr w14:paraId="185BE324">
        <w:tblPrEx>
          <w:tblCellMar>
            <w:top w:w="0" w:type="dxa"/>
            <w:left w:w="0" w:type="dxa"/>
            <w:bottom w:w="0" w:type="dxa"/>
            <w:right w:w="0" w:type="dxa"/>
          </w:tblCellMar>
        </w:tblPrEx>
        <w:trPr>
          <w:wBefore w:w="0" w:type="auto"/>
          <w:tblCellSpacing w:w="0" w:type="dxa"/>
        </w:trPr>
        <w:tc>
          <w:tcPr>
            <w:tcW w:w="0" w:type="auto"/>
            <w:noWrap w:val="0"/>
            <w:vAlign w:val="center"/>
          </w:tcPr>
          <w:p w14:paraId="1A92A1E1">
            <w:r>
              <w:rPr>
                <w:rStyle w:val="10"/>
                <w:rFonts w:hint="eastAsia"/>
              </w:rPr>
              <w:t>农药名称：</w:t>
            </w:r>
            <w:r>
              <w:rPr>
                <w:rFonts w:hint="eastAsia"/>
              </w:rPr>
              <w:t>氟节胺</w:t>
            </w:r>
          </w:p>
        </w:tc>
      </w:tr>
      <w:tr w14:paraId="6D31FDB1">
        <w:tblPrEx>
          <w:tblCellMar>
            <w:top w:w="0" w:type="dxa"/>
            <w:left w:w="0" w:type="dxa"/>
            <w:bottom w:w="0" w:type="dxa"/>
            <w:right w:w="0" w:type="dxa"/>
          </w:tblCellMar>
        </w:tblPrEx>
        <w:trPr>
          <w:wBefore w:w="0" w:type="auto"/>
          <w:tblCellSpacing w:w="0" w:type="dxa"/>
        </w:trPr>
        <w:tc>
          <w:tcPr>
            <w:tcW w:w="0" w:type="auto"/>
            <w:noWrap w:val="0"/>
            <w:vAlign w:val="center"/>
          </w:tcPr>
          <w:p w14:paraId="47D3F7DD">
            <w:r>
              <w:rPr>
                <w:rStyle w:val="10"/>
                <w:rFonts w:hint="eastAsia"/>
              </w:rPr>
              <w:t>剂型：</w:t>
            </w:r>
            <w:r>
              <w:rPr>
                <w:rFonts w:hint="eastAsia"/>
              </w:rPr>
              <w:t>悬浮剂</w:t>
            </w:r>
          </w:p>
        </w:tc>
      </w:tr>
      <w:tr w14:paraId="23499692">
        <w:tblPrEx>
          <w:tblCellMar>
            <w:top w:w="0" w:type="dxa"/>
            <w:left w:w="0" w:type="dxa"/>
            <w:bottom w:w="0" w:type="dxa"/>
            <w:right w:w="0" w:type="dxa"/>
          </w:tblCellMar>
        </w:tblPrEx>
        <w:trPr>
          <w:wBefore w:w="0" w:type="auto"/>
          <w:tblCellSpacing w:w="0" w:type="dxa"/>
        </w:trPr>
        <w:tc>
          <w:tcPr>
            <w:tcW w:w="0" w:type="auto"/>
            <w:noWrap w:val="0"/>
            <w:vAlign w:val="center"/>
          </w:tcPr>
          <w:p w14:paraId="4BD5169F">
            <w:r>
              <w:rPr>
                <w:rStyle w:val="10"/>
                <w:rFonts w:hint="eastAsia"/>
              </w:rPr>
              <w:t>毒性及其标识：</w:t>
            </w:r>
            <w:r>
              <w:rPr>
                <w:rFonts w:hint="eastAsia"/>
              </w:rPr>
              <w:t xml:space="preserve"> </w:t>
            </w:r>
            <w:r>
              <w:rPr>
                <w:lang/>
              </w:rPr>
              <w:drawing>
                <wp:inline distT="0" distB="0" distL="114300" distR="114300">
                  <wp:extent cx="476250" cy="323850"/>
                  <wp:effectExtent l="0" t="0" r="0" b="0"/>
                  <wp:docPr id="163" name="图片 1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56BE1C">
        <w:tblPrEx>
          <w:tblCellMar>
            <w:top w:w="0" w:type="dxa"/>
            <w:left w:w="0" w:type="dxa"/>
            <w:bottom w:w="0" w:type="dxa"/>
            <w:right w:w="0" w:type="dxa"/>
          </w:tblCellMar>
        </w:tblPrEx>
        <w:trPr>
          <w:wBefore w:w="0" w:type="auto"/>
          <w:tblCellSpacing w:w="0" w:type="dxa"/>
        </w:trPr>
        <w:tc>
          <w:tcPr>
            <w:tcW w:w="0" w:type="auto"/>
            <w:noWrap w:val="0"/>
            <w:vAlign w:val="center"/>
          </w:tcPr>
          <w:p w14:paraId="25CE7002">
            <w:r>
              <w:rPr>
                <w:rStyle w:val="10"/>
                <w:rFonts w:hint="eastAsia"/>
              </w:rPr>
              <w:t>总有效成分含量：</w:t>
            </w:r>
            <w:r>
              <w:rPr>
                <w:rFonts w:hint="eastAsia"/>
              </w:rPr>
              <w:t>25%</w:t>
            </w:r>
          </w:p>
        </w:tc>
      </w:tr>
      <w:tr w14:paraId="297F807F">
        <w:tblPrEx>
          <w:tblCellMar>
            <w:top w:w="0" w:type="dxa"/>
            <w:left w:w="0" w:type="dxa"/>
            <w:bottom w:w="0" w:type="dxa"/>
            <w:right w:w="0" w:type="dxa"/>
          </w:tblCellMar>
        </w:tblPrEx>
        <w:trPr>
          <w:wBefore w:w="0" w:type="auto"/>
          <w:tblCellSpacing w:w="0" w:type="dxa"/>
        </w:trPr>
        <w:tc>
          <w:tcPr>
            <w:tcW w:w="0" w:type="auto"/>
            <w:noWrap w:val="0"/>
            <w:vAlign w:val="center"/>
          </w:tcPr>
          <w:p w14:paraId="136FAB49">
            <w:r>
              <w:rPr>
                <w:rFonts w:hint="eastAsia"/>
              </w:rPr>
              <w:t xml:space="preserve">有效成分及其含量： </w:t>
            </w:r>
          </w:p>
          <w:p w14:paraId="7C02B3AE">
            <w:r>
              <w:rPr>
                <w:rFonts w:hint="eastAsia"/>
              </w:rPr>
              <w:t xml:space="preserve">    氟节胺25%    </w:t>
            </w:r>
          </w:p>
        </w:tc>
      </w:tr>
      <w:tr w14:paraId="6DB631D4">
        <w:tblPrEx>
          <w:tblCellMar>
            <w:top w:w="0" w:type="dxa"/>
            <w:left w:w="0" w:type="dxa"/>
            <w:bottom w:w="0" w:type="dxa"/>
            <w:right w:w="0" w:type="dxa"/>
          </w:tblCellMar>
        </w:tblPrEx>
        <w:trPr>
          <w:wBefore w:w="0" w:type="auto"/>
          <w:tblCellSpacing w:w="0" w:type="dxa"/>
        </w:trPr>
        <w:tc>
          <w:tcPr>
            <w:tcW w:w="0" w:type="auto"/>
            <w:noWrap w:val="0"/>
            <w:vAlign w:val="center"/>
          </w:tcPr>
          <w:p w14:paraId="3E8725A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5C7C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8CD0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57FA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2E3E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A9FAA8">
                  <w:r>
                    <w:rPr>
                      <w:rStyle w:val="11"/>
                      <w:rFonts w:hint="eastAsia"/>
                    </w:rPr>
                    <w:t>施用方式</w:t>
                  </w:r>
                </w:p>
              </w:tc>
            </w:tr>
            <w:tr w14:paraId="2CD036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7C2267">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F0F2B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AC48FD">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70D434">
                  <w:r>
                    <w:rPr>
                      <w:rStyle w:val="11"/>
                      <w:rFonts w:hint="eastAsia"/>
                    </w:rPr>
                    <w:t>喷雾</w:t>
                  </w:r>
                </w:p>
              </w:tc>
            </w:tr>
          </w:tbl>
          <w:p w14:paraId="3161C17C">
            <w:pPr>
              <w:rPr>
                <w:rFonts w:ascii="Times New Roman" w:hAnsi="Times New Roman" w:cs="Times New Roman"/>
                <w:sz w:val="20"/>
                <w:szCs w:val="20"/>
              </w:rPr>
            </w:pPr>
          </w:p>
        </w:tc>
      </w:tr>
      <w:tr w14:paraId="5E41FCA8">
        <w:tblPrEx>
          <w:tblCellMar>
            <w:top w:w="0" w:type="dxa"/>
            <w:left w:w="0" w:type="dxa"/>
            <w:bottom w:w="0" w:type="dxa"/>
            <w:right w:w="0" w:type="dxa"/>
          </w:tblCellMar>
        </w:tblPrEx>
        <w:trPr>
          <w:wBefore w:w="0" w:type="auto"/>
          <w:tblCellSpacing w:w="0" w:type="dxa"/>
        </w:trPr>
        <w:tc>
          <w:tcPr>
            <w:tcW w:w="0" w:type="auto"/>
            <w:noWrap w:val="0"/>
            <w:vAlign w:val="center"/>
          </w:tcPr>
          <w:p w14:paraId="55D3A50A">
            <w:r>
              <w:rPr>
                <w:rStyle w:val="10"/>
                <w:rFonts w:hint="eastAsia"/>
              </w:rPr>
              <w:t>使用技术要求:</w:t>
            </w:r>
            <w:r>
              <w:rPr>
                <w:rFonts w:hint="eastAsia"/>
              </w:rPr>
              <w:br w:type="textWrapping"/>
            </w:r>
            <w:r>
              <w:rPr>
                <w:rStyle w:val="11"/>
                <w:rFonts w:hint="eastAsia"/>
              </w:rPr>
              <w:t>1、在棉花蕾期和花铃期各使用一次，使用本品60-80毫升/亩均匀茎叶喷雾处理。 2、每季最多使用2次，安全间隔期为20天。 3、大风天或预计1小时内降雨，请勿施药。</w:t>
            </w:r>
          </w:p>
        </w:tc>
      </w:tr>
      <w:tr w14:paraId="75BF8B12">
        <w:tblPrEx>
          <w:tblCellMar>
            <w:top w:w="0" w:type="dxa"/>
            <w:left w:w="0" w:type="dxa"/>
            <w:bottom w:w="0" w:type="dxa"/>
            <w:right w:w="0" w:type="dxa"/>
          </w:tblCellMar>
        </w:tblPrEx>
        <w:trPr>
          <w:wBefore w:w="0" w:type="auto"/>
          <w:tblCellSpacing w:w="0" w:type="dxa"/>
        </w:trPr>
        <w:tc>
          <w:tcPr>
            <w:tcW w:w="0" w:type="auto"/>
            <w:noWrap w:val="0"/>
            <w:vAlign w:val="center"/>
          </w:tcPr>
          <w:p w14:paraId="58014E28">
            <w:r>
              <w:rPr>
                <w:rStyle w:val="10"/>
                <w:rFonts w:hint="eastAsia"/>
              </w:rPr>
              <w:t>产品性能:</w:t>
            </w:r>
            <w:r>
              <w:rPr>
                <w:rFonts w:hint="eastAsia"/>
              </w:rPr>
              <w:br w:type="textWrapping"/>
            </w:r>
            <w:r>
              <w:rPr>
                <w:rStyle w:val="11"/>
                <w:rFonts w:hint="eastAsia"/>
              </w:rPr>
              <w:t>本品为接触兼局部内吸性植物生长调节剂，可用于棉花抑制顶芽（顶端）生长，同时可塑造理想株型，促进早熟，提高棉花品质，增加棉花产量，替代人工打顶。</w:t>
            </w:r>
          </w:p>
        </w:tc>
      </w:tr>
      <w:tr w14:paraId="68C72F3E">
        <w:tblPrEx>
          <w:tblCellMar>
            <w:top w:w="0" w:type="dxa"/>
            <w:left w:w="0" w:type="dxa"/>
            <w:bottom w:w="0" w:type="dxa"/>
            <w:right w:w="0" w:type="dxa"/>
          </w:tblCellMar>
        </w:tblPrEx>
        <w:trPr>
          <w:wBefore w:w="0" w:type="auto"/>
          <w:tblCellSpacing w:w="0" w:type="dxa"/>
        </w:trPr>
        <w:tc>
          <w:tcPr>
            <w:tcW w:w="0" w:type="auto"/>
            <w:noWrap w:val="0"/>
            <w:vAlign w:val="center"/>
          </w:tcPr>
          <w:p w14:paraId="497D8CFE">
            <w:r>
              <w:rPr>
                <w:rStyle w:val="10"/>
                <w:rFonts w:hint="eastAsia"/>
              </w:rPr>
              <w:t>注意事项：</w:t>
            </w:r>
            <w:r>
              <w:rPr>
                <w:rFonts w:hint="eastAsia"/>
              </w:rPr>
              <w:br w:type="textWrapping"/>
            </w:r>
            <w:r>
              <w:rPr>
                <w:rStyle w:val="11"/>
                <w:rFonts w:hint="eastAsia"/>
              </w:rPr>
              <w:t>1、请按《农药安全使用准则》施药。避免药液接触皮肤、眼睛、污染衣服，避免吸入雾滴。切勿在施药现场吸烟或饮食。在饮水、进食或吸烟前，应先洗手、洗脸。2、配药时，应戴防护手套、防护面罩或护目镜，穿长袖衣服和长裤。 3、施药时，应戴防护手套，穿长袖衣、长裤和靴子。 4、水产养殖区、河塘等水体附近禁用，禁止在河塘等水域清洗施药器具。 5、施药后，彻底清洗防护用具，洗澡并更换和清洗工作服。 6、使用过的空包装，用清水冲洗三次后妥善处理，切勿重复使用或改作其他用途。所有施药器具，用后应立即用清水或适当的洗涤剂清洗。7、孕妇及哺乳期妇女避免接触本品。 8、远离蚕桑养殖区域，蚕室及桑园附近禁用，赤眼蜂等天敌放飞区禁用。</w:t>
            </w:r>
          </w:p>
        </w:tc>
      </w:tr>
      <w:tr w14:paraId="75D22F00">
        <w:tblPrEx>
          <w:tblCellMar>
            <w:top w:w="0" w:type="dxa"/>
            <w:left w:w="0" w:type="dxa"/>
            <w:bottom w:w="0" w:type="dxa"/>
            <w:right w:w="0" w:type="dxa"/>
          </w:tblCellMar>
        </w:tblPrEx>
        <w:trPr>
          <w:wBefore w:w="0" w:type="auto"/>
          <w:tblCellSpacing w:w="0" w:type="dxa"/>
        </w:trPr>
        <w:tc>
          <w:tcPr>
            <w:tcW w:w="0" w:type="auto"/>
            <w:noWrap w:val="0"/>
            <w:vAlign w:val="center"/>
          </w:tcPr>
          <w:p w14:paraId="177FA737">
            <w:r>
              <w:rPr>
                <w:rStyle w:val="10"/>
                <w:rFonts w:hint="eastAsia"/>
              </w:rPr>
              <w:t>中毒急救措施：</w:t>
            </w:r>
            <w:r>
              <w:rPr>
                <w:rFonts w:hint="eastAsia"/>
              </w:rPr>
              <w:br w:type="textWrapping"/>
            </w:r>
            <w:r>
              <w:rPr>
                <w:rStyle w:val="11"/>
                <w:rFonts w:hint="eastAsia"/>
              </w:rPr>
              <w:t>中毒症状：无典型中毒症状。 皮肤接触：脱去污染衣服，用肥皂水及清水彻底冲洗皮肤。 眼睛接触：立即翻开上下眼皮，用流动的清水或生理盐水冲洗至少15分钟，就医。 吸入：迅速脱离现场至空气新鲜处。保持呼吸道通畅。呼吸困难时给输氧。如呼吸及心跳停止，立即进行人工呼吸和心脏按摩术，就医。 误食：请勿引吐，立即携带标签，送医就诊。紧急医疗措施，迅速喝下大量牛奶、蛋清或大量水。 注意：对昏迷病人，切勿经口喂入任何东西或引吐。无专用解毒剂，对症治疗。</w:t>
            </w:r>
          </w:p>
        </w:tc>
      </w:tr>
      <w:tr w14:paraId="65653B4A">
        <w:tblPrEx>
          <w:tblCellMar>
            <w:top w:w="0" w:type="dxa"/>
            <w:left w:w="0" w:type="dxa"/>
            <w:bottom w:w="0" w:type="dxa"/>
            <w:right w:w="0" w:type="dxa"/>
          </w:tblCellMar>
        </w:tblPrEx>
        <w:trPr>
          <w:wBefore w:w="0" w:type="auto"/>
          <w:tblCellSpacing w:w="0" w:type="dxa"/>
        </w:trPr>
        <w:tc>
          <w:tcPr>
            <w:tcW w:w="0" w:type="auto"/>
            <w:noWrap w:val="0"/>
            <w:vAlign w:val="center"/>
          </w:tcPr>
          <w:p w14:paraId="773AEE19">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 2.本品应贮藏在常温、避光、干燥、通风处。 3.贮藏时应注意防火。 4.运输时应注意避光、防高温、雨淋。</w:t>
            </w:r>
          </w:p>
        </w:tc>
      </w:tr>
      <w:tr w14:paraId="1FD57456">
        <w:tblPrEx>
          <w:tblCellMar>
            <w:top w:w="0" w:type="dxa"/>
            <w:left w:w="0" w:type="dxa"/>
            <w:bottom w:w="0" w:type="dxa"/>
            <w:right w:w="0" w:type="dxa"/>
          </w:tblCellMar>
        </w:tblPrEx>
        <w:trPr>
          <w:wBefore w:w="0" w:type="auto"/>
          <w:tblCellSpacing w:w="0" w:type="dxa"/>
        </w:trPr>
        <w:tc>
          <w:tcPr>
            <w:tcW w:w="0" w:type="auto"/>
            <w:noWrap w:val="0"/>
            <w:vAlign w:val="center"/>
          </w:tcPr>
          <w:p w14:paraId="7EE015AD">
            <w:r>
              <w:rPr>
                <w:rStyle w:val="10"/>
                <w:rFonts w:hint="eastAsia"/>
              </w:rPr>
              <w:t>质量保证期：</w:t>
            </w:r>
            <w:r>
              <w:rPr>
                <w:rStyle w:val="11"/>
                <w:rFonts w:hint="eastAsia"/>
              </w:rPr>
              <w:t>2年</w:t>
            </w:r>
          </w:p>
        </w:tc>
      </w:tr>
      <w:tr w14:paraId="23A31AAB">
        <w:tblPrEx>
          <w:tblCellMar>
            <w:top w:w="0" w:type="dxa"/>
            <w:left w:w="0" w:type="dxa"/>
            <w:bottom w:w="0" w:type="dxa"/>
            <w:right w:w="0" w:type="dxa"/>
          </w:tblCellMar>
        </w:tblPrEx>
        <w:trPr>
          <w:wBefore w:w="0" w:type="auto"/>
          <w:tblCellSpacing w:w="0" w:type="dxa"/>
        </w:trPr>
        <w:tc>
          <w:tcPr>
            <w:tcW w:w="0" w:type="auto"/>
            <w:noWrap w:val="0"/>
            <w:vAlign w:val="center"/>
          </w:tcPr>
          <w:p w14:paraId="60C79C02">
            <w:r>
              <w:rPr>
                <w:rStyle w:val="10"/>
                <w:rFonts w:hint="eastAsia"/>
              </w:rPr>
              <w:t>备注：</w:t>
            </w:r>
          </w:p>
        </w:tc>
      </w:tr>
    </w:tbl>
    <w:p w14:paraId="78F18C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B7693C">
        <w:tblPrEx>
          <w:tblCellMar>
            <w:top w:w="0" w:type="dxa"/>
            <w:left w:w="0" w:type="dxa"/>
            <w:bottom w:w="0" w:type="dxa"/>
            <w:right w:w="0" w:type="dxa"/>
          </w:tblCellMar>
        </w:tblPrEx>
        <w:trPr>
          <w:wBefore w:w="0" w:type="auto"/>
          <w:tblCellSpacing w:w="0" w:type="dxa"/>
        </w:trPr>
        <w:tc>
          <w:tcPr>
            <w:tcW w:w="0" w:type="auto"/>
            <w:noWrap w:val="0"/>
            <w:vAlign w:val="center"/>
          </w:tcPr>
          <w:p w14:paraId="49DEBB5F">
            <w:r>
              <w:rPr>
                <w:rStyle w:val="10"/>
                <w:rFonts w:hint="eastAsia"/>
              </w:rPr>
              <w:t>登记证号：</w:t>
            </w:r>
            <w:r>
              <w:rPr>
                <w:rFonts w:hint="eastAsia"/>
              </w:rPr>
              <w:t>PD20212359</w:t>
            </w:r>
          </w:p>
        </w:tc>
      </w:tr>
      <w:tr w14:paraId="018C7A51">
        <w:tblPrEx>
          <w:tblCellMar>
            <w:top w:w="0" w:type="dxa"/>
            <w:left w:w="0" w:type="dxa"/>
            <w:bottom w:w="0" w:type="dxa"/>
            <w:right w:w="0" w:type="dxa"/>
          </w:tblCellMar>
        </w:tblPrEx>
        <w:trPr>
          <w:wBefore w:w="0" w:type="auto"/>
          <w:tblCellSpacing w:w="0" w:type="dxa"/>
        </w:trPr>
        <w:tc>
          <w:tcPr>
            <w:tcW w:w="0" w:type="auto"/>
            <w:noWrap w:val="0"/>
            <w:vAlign w:val="center"/>
          </w:tcPr>
          <w:p w14:paraId="04EFCBE0">
            <w:r>
              <w:rPr>
                <w:rStyle w:val="10"/>
                <w:rFonts w:hint="eastAsia"/>
              </w:rPr>
              <w:t>登记证持有人：</w:t>
            </w:r>
            <w:r>
              <w:rPr>
                <w:rFonts w:hint="eastAsia"/>
              </w:rPr>
              <w:t>安道麦安邦（江苏）有限公司</w:t>
            </w:r>
          </w:p>
        </w:tc>
      </w:tr>
      <w:tr w14:paraId="5D21E778">
        <w:tblPrEx>
          <w:tblCellMar>
            <w:top w:w="0" w:type="dxa"/>
            <w:left w:w="0" w:type="dxa"/>
            <w:bottom w:w="0" w:type="dxa"/>
            <w:right w:w="0" w:type="dxa"/>
          </w:tblCellMar>
        </w:tblPrEx>
        <w:trPr>
          <w:wBefore w:w="0" w:type="auto"/>
          <w:tblCellSpacing w:w="0" w:type="dxa"/>
        </w:trPr>
        <w:tc>
          <w:tcPr>
            <w:tcW w:w="0" w:type="auto"/>
            <w:noWrap w:val="0"/>
            <w:vAlign w:val="center"/>
          </w:tcPr>
          <w:p w14:paraId="5FAC8A1A">
            <w:r>
              <w:rPr>
                <w:rStyle w:val="10"/>
                <w:rFonts w:hint="eastAsia"/>
              </w:rPr>
              <w:t>农药名称：</w:t>
            </w:r>
            <w:r>
              <w:rPr>
                <w:rFonts w:hint="eastAsia"/>
              </w:rPr>
              <w:t>甲维·啶虫脒</w:t>
            </w:r>
          </w:p>
        </w:tc>
      </w:tr>
      <w:tr w14:paraId="3749A406">
        <w:tblPrEx>
          <w:tblCellMar>
            <w:top w:w="0" w:type="dxa"/>
            <w:left w:w="0" w:type="dxa"/>
            <w:bottom w:w="0" w:type="dxa"/>
            <w:right w:w="0" w:type="dxa"/>
          </w:tblCellMar>
        </w:tblPrEx>
        <w:trPr>
          <w:wBefore w:w="0" w:type="auto"/>
          <w:tblCellSpacing w:w="0" w:type="dxa"/>
        </w:trPr>
        <w:tc>
          <w:tcPr>
            <w:tcW w:w="0" w:type="auto"/>
            <w:noWrap w:val="0"/>
            <w:vAlign w:val="center"/>
          </w:tcPr>
          <w:p w14:paraId="4210CB07">
            <w:r>
              <w:rPr>
                <w:rStyle w:val="10"/>
                <w:rFonts w:hint="eastAsia"/>
              </w:rPr>
              <w:t>剂型：</w:t>
            </w:r>
            <w:r>
              <w:rPr>
                <w:rFonts w:hint="eastAsia"/>
              </w:rPr>
              <w:t>乳油</w:t>
            </w:r>
          </w:p>
        </w:tc>
      </w:tr>
      <w:tr w14:paraId="6D01BAD6">
        <w:tblPrEx>
          <w:tblCellMar>
            <w:top w:w="0" w:type="dxa"/>
            <w:left w:w="0" w:type="dxa"/>
            <w:bottom w:w="0" w:type="dxa"/>
            <w:right w:w="0" w:type="dxa"/>
          </w:tblCellMar>
        </w:tblPrEx>
        <w:trPr>
          <w:wBefore w:w="0" w:type="auto"/>
          <w:tblCellSpacing w:w="0" w:type="dxa"/>
        </w:trPr>
        <w:tc>
          <w:tcPr>
            <w:tcW w:w="0" w:type="auto"/>
            <w:noWrap w:val="0"/>
            <w:vAlign w:val="center"/>
          </w:tcPr>
          <w:p w14:paraId="5398FEB6">
            <w:r>
              <w:rPr>
                <w:rStyle w:val="10"/>
                <w:rFonts w:hint="eastAsia"/>
              </w:rPr>
              <w:t>毒性及其标识：</w:t>
            </w:r>
            <w:r>
              <w:rPr>
                <w:rFonts w:hint="eastAsia"/>
              </w:rPr>
              <w:t xml:space="preserve"> </w:t>
            </w:r>
            <w:r>
              <w:rPr>
                <w:lang/>
              </w:rPr>
              <w:drawing>
                <wp:inline distT="0" distB="0" distL="114300" distR="114300">
                  <wp:extent cx="476250" cy="323850"/>
                  <wp:effectExtent l="0" t="0" r="0" b="0"/>
                  <wp:docPr id="164" name="图片 1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55A22F">
        <w:tblPrEx>
          <w:tblCellMar>
            <w:top w:w="0" w:type="dxa"/>
            <w:left w:w="0" w:type="dxa"/>
            <w:bottom w:w="0" w:type="dxa"/>
            <w:right w:w="0" w:type="dxa"/>
          </w:tblCellMar>
        </w:tblPrEx>
        <w:trPr>
          <w:wBefore w:w="0" w:type="auto"/>
          <w:tblCellSpacing w:w="0" w:type="dxa"/>
        </w:trPr>
        <w:tc>
          <w:tcPr>
            <w:tcW w:w="0" w:type="auto"/>
            <w:noWrap w:val="0"/>
            <w:vAlign w:val="center"/>
          </w:tcPr>
          <w:p w14:paraId="40957A80">
            <w:r>
              <w:rPr>
                <w:rStyle w:val="10"/>
                <w:rFonts w:hint="eastAsia"/>
              </w:rPr>
              <w:t>总有效成分含量：</w:t>
            </w:r>
            <w:r>
              <w:rPr>
                <w:rFonts w:hint="eastAsia"/>
              </w:rPr>
              <w:t>10.4%</w:t>
            </w:r>
          </w:p>
        </w:tc>
      </w:tr>
      <w:tr w14:paraId="1E644710">
        <w:tblPrEx>
          <w:tblCellMar>
            <w:top w:w="0" w:type="dxa"/>
            <w:left w:w="0" w:type="dxa"/>
            <w:bottom w:w="0" w:type="dxa"/>
            <w:right w:w="0" w:type="dxa"/>
          </w:tblCellMar>
        </w:tblPrEx>
        <w:trPr>
          <w:wBefore w:w="0" w:type="auto"/>
          <w:tblCellSpacing w:w="0" w:type="dxa"/>
        </w:trPr>
        <w:tc>
          <w:tcPr>
            <w:tcW w:w="0" w:type="auto"/>
            <w:noWrap w:val="0"/>
            <w:vAlign w:val="center"/>
          </w:tcPr>
          <w:p w14:paraId="08FCA836">
            <w:r>
              <w:rPr>
                <w:rFonts w:hint="eastAsia"/>
              </w:rPr>
              <w:t xml:space="preserve">有效成分及其含量： </w:t>
            </w:r>
          </w:p>
          <w:p w14:paraId="14D5422C">
            <w:r>
              <w:rPr>
                <w:rFonts w:hint="eastAsia"/>
              </w:rPr>
              <w:t xml:space="preserve">    甲氨基阿维菌素4.1%    啶虫脒6.3%    </w:t>
            </w:r>
          </w:p>
        </w:tc>
      </w:tr>
      <w:tr w14:paraId="65BF7961">
        <w:tblPrEx>
          <w:tblCellMar>
            <w:top w:w="0" w:type="dxa"/>
            <w:left w:w="0" w:type="dxa"/>
            <w:bottom w:w="0" w:type="dxa"/>
            <w:right w:w="0" w:type="dxa"/>
          </w:tblCellMar>
        </w:tblPrEx>
        <w:trPr>
          <w:wBefore w:w="0" w:type="auto"/>
          <w:tblCellSpacing w:w="0" w:type="dxa"/>
        </w:trPr>
        <w:tc>
          <w:tcPr>
            <w:tcW w:w="0" w:type="auto"/>
            <w:noWrap w:val="0"/>
            <w:vAlign w:val="center"/>
          </w:tcPr>
          <w:p w14:paraId="7C6B6D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9DB7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B7EEE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30615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3343C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06652D">
                  <w:r>
                    <w:rPr>
                      <w:rStyle w:val="11"/>
                      <w:rFonts w:hint="eastAsia"/>
                    </w:rPr>
                    <w:t>施用方式</w:t>
                  </w:r>
                </w:p>
              </w:tc>
            </w:tr>
            <w:tr w14:paraId="1ABEAD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AAC2C7">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C38537">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7F0ECA">
                  <w:r>
                    <w:rPr>
                      <w:rStyle w:val="11"/>
                      <w:rFonts w:hint="eastAsia"/>
                    </w:rPr>
                    <w:t>4.5-6.5毫升/亩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19AC34">
                  <w:r>
                    <w:rPr>
                      <w:rStyle w:val="11"/>
                      <w:rFonts w:hint="eastAsia"/>
                    </w:rPr>
                    <w:t>喷雾</w:t>
                  </w:r>
                </w:p>
              </w:tc>
            </w:tr>
          </w:tbl>
          <w:p w14:paraId="4ED0E13E">
            <w:pPr>
              <w:rPr>
                <w:rFonts w:ascii="Times New Roman" w:hAnsi="Times New Roman" w:cs="Times New Roman"/>
                <w:sz w:val="20"/>
                <w:szCs w:val="20"/>
              </w:rPr>
            </w:pPr>
          </w:p>
        </w:tc>
      </w:tr>
      <w:tr w14:paraId="386BDC3D">
        <w:tblPrEx>
          <w:tblCellMar>
            <w:top w:w="0" w:type="dxa"/>
            <w:left w:w="0" w:type="dxa"/>
            <w:bottom w:w="0" w:type="dxa"/>
            <w:right w:w="0" w:type="dxa"/>
          </w:tblCellMar>
        </w:tblPrEx>
        <w:trPr>
          <w:wBefore w:w="0" w:type="auto"/>
          <w:tblCellSpacing w:w="0" w:type="dxa"/>
        </w:trPr>
        <w:tc>
          <w:tcPr>
            <w:tcW w:w="0" w:type="auto"/>
            <w:noWrap w:val="0"/>
            <w:vAlign w:val="center"/>
          </w:tcPr>
          <w:p w14:paraId="46ABF325">
            <w:r>
              <w:rPr>
                <w:rStyle w:val="10"/>
                <w:rFonts w:hint="eastAsia"/>
              </w:rPr>
              <w:t>使用技术要求:</w:t>
            </w:r>
            <w:r>
              <w:rPr>
                <w:rFonts w:hint="eastAsia"/>
              </w:rPr>
              <w:br w:type="textWrapping"/>
            </w:r>
            <w:r>
              <w:rPr>
                <w:rStyle w:val="11"/>
                <w:rFonts w:hint="eastAsia"/>
              </w:rPr>
              <w:t>1. 本品应于甘蓝小菜蛾低龄幼虫发生初期喷雾施药1次。 2. 使用时根据需要量现用现配，兑水后应搅拌均匀。大风天气或1小时内预计有雨请勿施药。3、本品在甘蓝上使用安全间隔期为7天，每季作物最多使用1次。</w:t>
            </w:r>
          </w:p>
        </w:tc>
      </w:tr>
      <w:tr w14:paraId="37667F7C">
        <w:tblPrEx>
          <w:tblCellMar>
            <w:top w:w="0" w:type="dxa"/>
            <w:left w:w="0" w:type="dxa"/>
            <w:bottom w:w="0" w:type="dxa"/>
            <w:right w:w="0" w:type="dxa"/>
          </w:tblCellMar>
        </w:tblPrEx>
        <w:trPr>
          <w:wBefore w:w="0" w:type="auto"/>
          <w:tblCellSpacing w:w="0" w:type="dxa"/>
        </w:trPr>
        <w:tc>
          <w:tcPr>
            <w:tcW w:w="0" w:type="auto"/>
            <w:noWrap w:val="0"/>
            <w:vAlign w:val="center"/>
          </w:tcPr>
          <w:p w14:paraId="672D78D2">
            <w:r>
              <w:rPr>
                <w:rStyle w:val="10"/>
                <w:rFonts w:hint="eastAsia"/>
              </w:rPr>
              <w:t>产品性能:</w:t>
            </w:r>
            <w:r>
              <w:rPr>
                <w:rFonts w:hint="eastAsia"/>
              </w:rPr>
              <w:br w:type="textWrapping"/>
            </w:r>
            <w:r>
              <w:rPr>
                <w:rStyle w:val="11"/>
                <w:rFonts w:hint="eastAsia"/>
              </w:rPr>
              <w:t>本品为甲氨基阿维菌素苯甲酸盐和啶虫脒的复配制剂。其中甲氨基阿维菌素苯甲酸盐为大环内酯双糖类物质，通过阻碍害虫运动神经信息传递而使虫体麻痹死亡。作用方式以胃毒为主，兼有触杀作用，对作物无内吸性，但能有效渗入施用作物表皮组织。啶虫脒属氯化烟酰亚胺类杀虫剂，有触杀、胃毒和渗透作用。作用于昆虫神经系统突触后膜的烟碱乙酰胆碱受体。该复配制剂可用于防治甘蓝小菜蛾。</w:t>
            </w:r>
          </w:p>
        </w:tc>
      </w:tr>
      <w:tr w14:paraId="2AA7AB30">
        <w:tblPrEx>
          <w:tblCellMar>
            <w:top w:w="0" w:type="dxa"/>
            <w:left w:w="0" w:type="dxa"/>
            <w:bottom w:w="0" w:type="dxa"/>
            <w:right w:w="0" w:type="dxa"/>
          </w:tblCellMar>
        </w:tblPrEx>
        <w:trPr>
          <w:wBefore w:w="0" w:type="auto"/>
          <w:tblCellSpacing w:w="0" w:type="dxa"/>
        </w:trPr>
        <w:tc>
          <w:tcPr>
            <w:tcW w:w="0" w:type="auto"/>
            <w:noWrap w:val="0"/>
            <w:vAlign w:val="center"/>
          </w:tcPr>
          <w:p w14:paraId="1FEE12FF">
            <w:r>
              <w:rPr>
                <w:rStyle w:val="10"/>
                <w:rFonts w:hint="eastAsia"/>
              </w:rPr>
              <w:t>注意事项：</w:t>
            </w:r>
            <w:r>
              <w:rPr>
                <w:rFonts w:hint="eastAsia"/>
              </w:rPr>
              <w:br w:type="textWrapping"/>
            </w:r>
            <w:r>
              <w:rPr>
                <w:rStyle w:val="11"/>
                <w:rFonts w:hint="eastAsia"/>
              </w:rPr>
              <w:t>1、本品不宜与碱性物质混用。建议和其它作用机理不同的杀虫剂轮换使用。2、对甲氨基阿维菌素和啶虫脒产生抗药性的地区不宜使用本品。3、本品对家蚕、蜜蜂、天敌赤眼蜂等有毒。施药期间应避免对周围蜂群的影响，开花植物花期、蚕室和桑园附近禁用，赤眼蜂等天敌放飞区域禁用。鸟类保护区附近禁用；远离水产养殖区、河塘等水体附近施药，禁止在河塘等水体中清洗施药器具。用后包装物等应回收妥善处理。4、避免药剂与皮肤、眼睛接触，防止由口鼻吸入。施药时应穿防护服，戴防护眼镜和手套，不要迎风施药。施药期间不可吃东西和饮水，施药后应及时洗手和洗脸。5、孕妇、哺乳期妇女及过敏者禁用。</w:t>
            </w:r>
          </w:p>
        </w:tc>
      </w:tr>
      <w:tr w14:paraId="1359314A">
        <w:tblPrEx>
          <w:tblCellMar>
            <w:top w:w="0" w:type="dxa"/>
            <w:left w:w="0" w:type="dxa"/>
            <w:bottom w:w="0" w:type="dxa"/>
            <w:right w:w="0" w:type="dxa"/>
          </w:tblCellMar>
        </w:tblPrEx>
        <w:trPr>
          <w:wBefore w:w="0" w:type="auto"/>
          <w:tblCellSpacing w:w="0" w:type="dxa"/>
        </w:trPr>
        <w:tc>
          <w:tcPr>
            <w:tcW w:w="0" w:type="auto"/>
            <w:noWrap w:val="0"/>
            <w:vAlign w:val="center"/>
          </w:tcPr>
          <w:p w14:paraId="5DF1A257">
            <w:r>
              <w:rPr>
                <w:rStyle w:val="10"/>
                <w:rFonts w:hint="eastAsia"/>
              </w:rPr>
              <w:t>中毒急救措施：</w:t>
            </w:r>
            <w:r>
              <w:rPr>
                <w:rFonts w:hint="eastAsia"/>
              </w:rPr>
              <w:br w:type="textWrapping"/>
            </w:r>
            <w:r>
              <w:rPr>
                <w:rStyle w:val="11"/>
                <w:rFonts w:hint="eastAsia"/>
              </w:rPr>
              <w:t>该产品对眼睛有刺激性，使用时避免接触眼睛。中毒症状：早期症状为瞳孔放大，行动失调，肌肉颤抖，严重时导致呕吐。若沾染皮肤或进入眼睛，立即用大量清水冲洗至少15分钟，并请医生诊治。误服：立即送医院对症治疗，如是甲氨基阿维菌素中毒，可引吐并给患者服用吐根糖浆或麻黄素，但勿给昏迷患者催吐或灌任何东西。抢救时避免给患者使用增强γ-氨基丁酸活性的药物(如巴比妥、丙戊酸等)。</w:t>
            </w:r>
          </w:p>
        </w:tc>
      </w:tr>
      <w:tr w14:paraId="14EF283C">
        <w:tblPrEx>
          <w:tblCellMar>
            <w:top w:w="0" w:type="dxa"/>
            <w:left w:w="0" w:type="dxa"/>
            <w:bottom w:w="0" w:type="dxa"/>
            <w:right w:w="0" w:type="dxa"/>
          </w:tblCellMar>
        </w:tblPrEx>
        <w:trPr>
          <w:wBefore w:w="0" w:type="auto"/>
          <w:tblCellSpacing w:w="0" w:type="dxa"/>
        </w:trPr>
        <w:tc>
          <w:tcPr>
            <w:tcW w:w="0" w:type="auto"/>
            <w:noWrap w:val="0"/>
            <w:vAlign w:val="center"/>
          </w:tcPr>
          <w:p w14:paraId="56ADD4EE">
            <w:r>
              <w:rPr>
                <w:rStyle w:val="10"/>
                <w:rFonts w:hint="eastAsia"/>
              </w:rPr>
              <w:t>储存和运输方法：</w:t>
            </w:r>
            <w:r>
              <w:rPr>
                <w:rFonts w:hint="eastAsia"/>
              </w:rPr>
              <w:br w:type="textWrapping"/>
            </w:r>
            <w:r>
              <w:rPr>
                <w:rStyle w:val="11"/>
                <w:rFonts w:hint="eastAsia"/>
              </w:rPr>
              <w:t>1、本品应贮存于通风、阴凉、干燥处。严防潮湿和日晒。 2、本品为易燃品，应远离火源，贮运时应用专用工具运输，应有危险性特性说明和标志。 3、本品应远离儿童、无关人员存放，上锁保管。 4、不能与食品、饮料、粮食、饲料等物品同贮同运。</w:t>
            </w:r>
          </w:p>
        </w:tc>
      </w:tr>
      <w:tr w14:paraId="5DFE6C67">
        <w:tblPrEx>
          <w:tblCellMar>
            <w:top w:w="0" w:type="dxa"/>
            <w:left w:w="0" w:type="dxa"/>
            <w:bottom w:w="0" w:type="dxa"/>
            <w:right w:w="0" w:type="dxa"/>
          </w:tblCellMar>
        </w:tblPrEx>
        <w:trPr>
          <w:wBefore w:w="0" w:type="auto"/>
          <w:tblCellSpacing w:w="0" w:type="dxa"/>
        </w:trPr>
        <w:tc>
          <w:tcPr>
            <w:tcW w:w="0" w:type="auto"/>
            <w:noWrap w:val="0"/>
            <w:vAlign w:val="center"/>
          </w:tcPr>
          <w:p w14:paraId="38EFA215">
            <w:r>
              <w:rPr>
                <w:rStyle w:val="10"/>
                <w:rFonts w:hint="eastAsia"/>
              </w:rPr>
              <w:t>质量保证期：</w:t>
            </w:r>
            <w:r>
              <w:rPr>
                <w:rStyle w:val="11"/>
                <w:rFonts w:hint="eastAsia"/>
              </w:rPr>
              <w:t>2年</w:t>
            </w:r>
          </w:p>
        </w:tc>
      </w:tr>
      <w:tr w14:paraId="44BE1C3F">
        <w:tblPrEx>
          <w:tblCellMar>
            <w:top w:w="0" w:type="dxa"/>
            <w:left w:w="0" w:type="dxa"/>
            <w:bottom w:w="0" w:type="dxa"/>
            <w:right w:w="0" w:type="dxa"/>
          </w:tblCellMar>
        </w:tblPrEx>
        <w:trPr>
          <w:wBefore w:w="0" w:type="auto"/>
          <w:tblCellSpacing w:w="0" w:type="dxa"/>
        </w:trPr>
        <w:tc>
          <w:tcPr>
            <w:tcW w:w="0" w:type="auto"/>
            <w:noWrap w:val="0"/>
            <w:vAlign w:val="center"/>
          </w:tcPr>
          <w:p w14:paraId="4F7C3CA8">
            <w:r>
              <w:rPr>
                <w:rStyle w:val="10"/>
                <w:rFonts w:hint="eastAsia"/>
              </w:rPr>
              <w:t>备注：</w:t>
            </w:r>
          </w:p>
        </w:tc>
      </w:tr>
    </w:tbl>
    <w:p w14:paraId="3461DAD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F6B821">
        <w:tblPrEx>
          <w:tblCellMar>
            <w:top w:w="0" w:type="dxa"/>
            <w:left w:w="0" w:type="dxa"/>
            <w:bottom w:w="0" w:type="dxa"/>
            <w:right w:w="0" w:type="dxa"/>
          </w:tblCellMar>
        </w:tblPrEx>
        <w:trPr>
          <w:wBefore w:w="0" w:type="auto"/>
          <w:tblCellSpacing w:w="0" w:type="dxa"/>
        </w:trPr>
        <w:tc>
          <w:tcPr>
            <w:tcW w:w="0" w:type="auto"/>
            <w:noWrap w:val="0"/>
            <w:vAlign w:val="center"/>
          </w:tcPr>
          <w:p w14:paraId="35DAE5AF">
            <w:r>
              <w:rPr>
                <w:rStyle w:val="10"/>
                <w:rFonts w:hint="eastAsia"/>
              </w:rPr>
              <w:t>登记证号：</w:t>
            </w:r>
            <w:r>
              <w:rPr>
                <w:rFonts w:hint="eastAsia"/>
              </w:rPr>
              <w:t>PD20212685</w:t>
            </w:r>
          </w:p>
        </w:tc>
      </w:tr>
      <w:tr w14:paraId="65AB199D">
        <w:tblPrEx>
          <w:tblCellMar>
            <w:top w:w="0" w:type="dxa"/>
            <w:left w:w="0" w:type="dxa"/>
            <w:bottom w:w="0" w:type="dxa"/>
            <w:right w:w="0" w:type="dxa"/>
          </w:tblCellMar>
        </w:tblPrEx>
        <w:trPr>
          <w:wBefore w:w="0" w:type="auto"/>
          <w:tblCellSpacing w:w="0" w:type="dxa"/>
        </w:trPr>
        <w:tc>
          <w:tcPr>
            <w:tcW w:w="0" w:type="auto"/>
            <w:noWrap w:val="0"/>
            <w:vAlign w:val="center"/>
          </w:tcPr>
          <w:p w14:paraId="3BFD2BF5">
            <w:r>
              <w:rPr>
                <w:rStyle w:val="10"/>
                <w:rFonts w:hint="eastAsia"/>
              </w:rPr>
              <w:t>登记证持有人：</w:t>
            </w:r>
            <w:r>
              <w:rPr>
                <w:rFonts w:hint="eastAsia"/>
              </w:rPr>
              <w:t>天津市华宇农药有限公司</w:t>
            </w:r>
          </w:p>
        </w:tc>
      </w:tr>
      <w:tr w14:paraId="005B8B5F">
        <w:tblPrEx>
          <w:tblCellMar>
            <w:top w:w="0" w:type="dxa"/>
            <w:left w:w="0" w:type="dxa"/>
            <w:bottom w:w="0" w:type="dxa"/>
            <w:right w:w="0" w:type="dxa"/>
          </w:tblCellMar>
        </w:tblPrEx>
        <w:trPr>
          <w:wBefore w:w="0" w:type="auto"/>
          <w:tblCellSpacing w:w="0" w:type="dxa"/>
        </w:trPr>
        <w:tc>
          <w:tcPr>
            <w:tcW w:w="0" w:type="auto"/>
            <w:noWrap w:val="0"/>
            <w:vAlign w:val="center"/>
          </w:tcPr>
          <w:p w14:paraId="6358301E">
            <w:r>
              <w:rPr>
                <w:rStyle w:val="10"/>
                <w:rFonts w:hint="eastAsia"/>
              </w:rPr>
              <w:t>农药名称：</w:t>
            </w:r>
            <w:r>
              <w:rPr>
                <w:rFonts w:hint="eastAsia"/>
              </w:rPr>
              <w:t>络氨铜</w:t>
            </w:r>
          </w:p>
        </w:tc>
      </w:tr>
      <w:tr w14:paraId="37722E49">
        <w:tblPrEx>
          <w:tblCellMar>
            <w:top w:w="0" w:type="dxa"/>
            <w:left w:w="0" w:type="dxa"/>
            <w:bottom w:w="0" w:type="dxa"/>
            <w:right w:w="0" w:type="dxa"/>
          </w:tblCellMar>
        </w:tblPrEx>
        <w:trPr>
          <w:wBefore w:w="0" w:type="auto"/>
          <w:tblCellSpacing w:w="0" w:type="dxa"/>
        </w:trPr>
        <w:tc>
          <w:tcPr>
            <w:tcW w:w="0" w:type="auto"/>
            <w:noWrap w:val="0"/>
            <w:vAlign w:val="center"/>
          </w:tcPr>
          <w:p w14:paraId="350FF380">
            <w:r>
              <w:rPr>
                <w:rStyle w:val="10"/>
                <w:rFonts w:hint="eastAsia"/>
              </w:rPr>
              <w:t>剂型：</w:t>
            </w:r>
            <w:r>
              <w:rPr>
                <w:rFonts w:hint="eastAsia"/>
              </w:rPr>
              <w:t>可溶液剂</w:t>
            </w:r>
          </w:p>
        </w:tc>
      </w:tr>
      <w:tr w14:paraId="23F4DD51">
        <w:tblPrEx>
          <w:tblCellMar>
            <w:top w:w="0" w:type="dxa"/>
            <w:left w:w="0" w:type="dxa"/>
            <w:bottom w:w="0" w:type="dxa"/>
            <w:right w:w="0" w:type="dxa"/>
          </w:tblCellMar>
        </w:tblPrEx>
        <w:trPr>
          <w:wBefore w:w="0" w:type="auto"/>
          <w:tblCellSpacing w:w="0" w:type="dxa"/>
        </w:trPr>
        <w:tc>
          <w:tcPr>
            <w:tcW w:w="0" w:type="auto"/>
            <w:noWrap w:val="0"/>
            <w:vAlign w:val="center"/>
          </w:tcPr>
          <w:p w14:paraId="3736CB4C">
            <w:r>
              <w:rPr>
                <w:rStyle w:val="10"/>
                <w:rFonts w:hint="eastAsia"/>
              </w:rPr>
              <w:t>毒性及其标识：</w:t>
            </w:r>
            <w:r>
              <w:rPr>
                <w:rFonts w:hint="eastAsia"/>
              </w:rPr>
              <w:t xml:space="preserve"> </w:t>
            </w:r>
            <w:r>
              <w:rPr>
                <w:lang/>
              </w:rPr>
              <w:drawing>
                <wp:inline distT="0" distB="0" distL="114300" distR="114300">
                  <wp:extent cx="476250" cy="323850"/>
                  <wp:effectExtent l="0" t="0" r="0" b="0"/>
                  <wp:docPr id="165" name="图片 1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3800B9">
        <w:tblPrEx>
          <w:tblCellMar>
            <w:top w:w="0" w:type="dxa"/>
            <w:left w:w="0" w:type="dxa"/>
            <w:bottom w:w="0" w:type="dxa"/>
            <w:right w:w="0" w:type="dxa"/>
          </w:tblCellMar>
        </w:tblPrEx>
        <w:trPr>
          <w:wBefore w:w="0" w:type="auto"/>
          <w:tblCellSpacing w:w="0" w:type="dxa"/>
        </w:trPr>
        <w:tc>
          <w:tcPr>
            <w:tcW w:w="0" w:type="auto"/>
            <w:noWrap w:val="0"/>
            <w:vAlign w:val="center"/>
          </w:tcPr>
          <w:p w14:paraId="78D528FF">
            <w:r>
              <w:rPr>
                <w:rStyle w:val="10"/>
                <w:rFonts w:hint="eastAsia"/>
              </w:rPr>
              <w:t>总有效成分含量：</w:t>
            </w:r>
            <w:r>
              <w:rPr>
                <w:rFonts w:hint="eastAsia"/>
              </w:rPr>
              <w:t>15%</w:t>
            </w:r>
          </w:p>
        </w:tc>
      </w:tr>
      <w:tr w14:paraId="4E260B51">
        <w:tblPrEx>
          <w:tblCellMar>
            <w:top w:w="0" w:type="dxa"/>
            <w:left w:w="0" w:type="dxa"/>
            <w:bottom w:w="0" w:type="dxa"/>
            <w:right w:w="0" w:type="dxa"/>
          </w:tblCellMar>
        </w:tblPrEx>
        <w:trPr>
          <w:wBefore w:w="0" w:type="auto"/>
          <w:tblCellSpacing w:w="0" w:type="dxa"/>
        </w:trPr>
        <w:tc>
          <w:tcPr>
            <w:tcW w:w="0" w:type="auto"/>
            <w:noWrap w:val="0"/>
            <w:vAlign w:val="center"/>
          </w:tcPr>
          <w:p w14:paraId="5445FE2B">
            <w:r>
              <w:rPr>
                <w:rFonts w:hint="eastAsia"/>
              </w:rPr>
              <w:t xml:space="preserve">有效成分及其含量： </w:t>
            </w:r>
          </w:p>
          <w:p w14:paraId="13F5A7F3">
            <w:r>
              <w:rPr>
                <w:rFonts w:hint="eastAsia"/>
              </w:rPr>
              <w:t xml:space="preserve">    络氨铜15%    </w:t>
            </w:r>
          </w:p>
        </w:tc>
      </w:tr>
      <w:tr w14:paraId="699EE5EF">
        <w:tblPrEx>
          <w:tblCellMar>
            <w:top w:w="0" w:type="dxa"/>
            <w:left w:w="0" w:type="dxa"/>
            <w:bottom w:w="0" w:type="dxa"/>
            <w:right w:w="0" w:type="dxa"/>
          </w:tblCellMar>
        </w:tblPrEx>
        <w:trPr>
          <w:wBefore w:w="0" w:type="auto"/>
          <w:tblCellSpacing w:w="0" w:type="dxa"/>
        </w:trPr>
        <w:tc>
          <w:tcPr>
            <w:tcW w:w="0" w:type="auto"/>
            <w:noWrap w:val="0"/>
            <w:vAlign w:val="center"/>
          </w:tcPr>
          <w:p w14:paraId="14B879C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389FD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5DAE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E3DB7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2179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103A7C">
                  <w:r>
                    <w:rPr>
                      <w:rStyle w:val="11"/>
                      <w:rFonts w:hint="eastAsia"/>
                    </w:rPr>
                    <w:t>施用方式</w:t>
                  </w:r>
                </w:p>
              </w:tc>
            </w:tr>
            <w:tr w14:paraId="6713B3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2DAD7A">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A57868">
                  <w:r>
                    <w:rPr>
                      <w:rStyle w:val="11"/>
                      <w:rFonts w:hint="eastAsia"/>
                    </w:rPr>
                    <w:t>枯萎病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5B45BE">
                  <w:r>
                    <w:rPr>
                      <w:rStyle w:val="11"/>
                      <w:rFonts w:hint="eastAsia"/>
                    </w:rPr>
                    <w:t>1.3-1.6毫升/株</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82EEAA">
                  <w:r>
                    <w:rPr>
                      <w:rStyle w:val="11"/>
                      <w:rFonts w:hint="eastAsia"/>
                    </w:rPr>
                    <w:t>灌根</w:t>
                  </w:r>
                </w:p>
              </w:tc>
            </w:tr>
          </w:tbl>
          <w:p w14:paraId="5510D4A2">
            <w:pPr>
              <w:rPr>
                <w:rFonts w:ascii="Times New Roman" w:hAnsi="Times New Roman" w:cs="Times New Roman"/>
                <w:sz w:val="20"/>
                <w:szCs w:val="20"/>
              </w:rPr>
            </w:pPr>
          </w:p>
        </w:tc>
      </w:tr>
      <w:tr w14:paraId="6B80768A">
        <w:tblPrEx>
          <w:tblCellMar>
            <w:top w:w="0" w:type="dxa"/>
            <w:left w:w="0" w:type="dxa"/>
            <w:bottom w:w="0" w:type="dxa"/>
            <w:right w:w="0" w:type="dxa"/>
          </w:tblCellMar>
        </w:tblPrEx>
        <w:trPr>
          <w:wBefore w:w="0" w:type="auto"/>
          <w:tblCellSpacing w:w="0" w:type="dxa"/>
        </w:trPr>
        <w:tc>
          <w:tcPr>
            <w:tcW w:w="0" w:type="auto"/>
            <w:noWrap w:val="0"/>
            <w:vAlign w:val="center"/>
          </w:tcPr>
          <w:p w14:paraId="645DBD3D">
            <w:r>
              <w:rPr>
                <w:rStyle w:val="10"/>
                <w:rFonts w:hint="eastAsia"/>
              </w:rPr>
              <w:t>使用技术要求:</w:t>
            </w:r>
            <w:r>
              <w:rPr>
                <w:rFonts w:hint="eastAsia"/>
              </w:rPr>
              <w:br w:type="textWrapping"/>
            </w:r>
            <w:r>
              <w:rPr>
                <w:rStyle w:val="11"/>
                <w:rFonts w:hint="eastAsia"/>
              </w:rPr>
              <w:t>1.于西瓜移栽缓苗后，病害发生前或发病初期灌根施药，可施药2-3次，每次间隔7-10天。2.安全间隔期30天，每季最多使用3次。</w:t>
            </w:r>
          </w:p>
        </w:tc>
      </w:tr>
      <w:tr w14:paraId="40490ED0">
        <w:tblPrEx>
          <w:tblCellMar>
            <w:top w:w="0" w:type="dxa"/>
            <w:left w:w="0" w:type="dxa"/>
            <w:bottom w:w="0" w:type="dxa"/>
            <w:right w:w="0" w:type="dxa"/>
          </w:tblCellMar>
        </w:tblPrEx>
        <w:trPr>
          <w:wBefore w:w="0" w:type="auto"/>
          <w:tblCellSpacing w:w="0" w:type="dxa"/>
        </w:trPr>
        <w:tc>
          <w:tcPr>
            <w:tcW w:w="0" w:type="auto"/>
            <w:noWrap w:val="0"/>
            <w:vAlign w:val="center"/>
          </w:tcPr>
          <w:p w14:paraId="1450C807">
            <w:r>
              <w:rPr>
                <w:rStyle w:val="10"/>
                <w:rFonts w:hint="eastAsia"/>
              </w:rPr>
              <w:t>产品性能:</w:t>
            </w:r>
            <w:r>
              <w:rPr>
                <w:rFonts w:hint="eastAsia"/>
              </w:rPr>
              <w:br w:type="textWrapping"/>
            </w:r>
            <w:r>
              <w:rPr>
                <w:rStyle w:val="11"/>
                <w:rFonts w:hint="eastAsia"/>
              </w:rPr>
              <w:t>本品外观为蓝色均匀液体，主要通过铜离子发挥杀菌作用，铜离子与病原菌细胞膜表面上的K＋离子、H＋离子等阳离子交换，使病原菌细胞膜上的蛋白质凝固，同时部分铜离子渗透入病原菌细胞内与某些酶结合，影响其活性。用于防治西瓜枯萎病。</w:t>
            </w:r>
          </w:p>
        </w:tc>
      </w:tr>
      <w:tr w14:paraId="52A24D0E">
        <w:tblPrEx>
          <w:tblCellMar>
            <w:top w:w="0" w:type="dxa"/>
            <w:left w:w="0" w:type="dxa"/>
            <w:bottom w:w="0" w:type="dxa"/>
            <w:right w:w="0" w:type="dxa"/>
          </w:tblCellMar>
        </w:tblPrEx>
        <w:trPr>
          <w:wBefore w:w="0" w:type="auto"/>
          <w:tblCellSpacing w:w="0" w:type="dxa"/>
        </w:trPr>
        <w:tc>
          <w:tcPr>
            <w:tcW w:w="0" w:type="auto"/>
            <w:noWrap w:val="0"/>
            <w:vAlign w:val="center"/>
          </w:tcPr>
          <w:p w14:paraId="79E5B22B">
            <w:r>
              <w:rPr>
                <w:rStyle w:val="10"/>
                <w:rFonts w:hint="eastAsia"/>
              </w:rPr>
              <w:t>注意事项：</w:t>
            </w:r>
            <w:r>
              <w:rPr>
                <w:rFonts w:hint="eastAsia"/>
              </w:rPr>
              <w:br w:type="textWrapping"/>
            </w:r>
            <w:r>
              <w:rPr>
                <w:rStyle w:val="11"/>
                <w:rFonts w:hint="eastAsia"/>
              </w:rPr>
              <w:t>1.本产品对对鱼、水生生物毒性大，远离水产养殖区用药，禁止在河塘清洗施药器具，不要污染池塘和河流等水源，使用过的包装物也须妥善处理，以免污染环境。鸟类保护区附近禁用。 2.施药时应戴防护用具，防止药液口鼻吸入；不得吸烟、饮食、饮水，施药后应清洗手、脸及身体被污染部分。 3.为减缓病害抗性产生，建议与其他作用机制不同的杀菌剂轮换使用。 4.不得与酸性物质混用，以免降低药效。 5.土壤为酸性砂壤土壤，适于铜离子活化和迁移，应严格按登记剂量的低限使用。 6.避免孕妇和哺乳期妇女接触本产品。</w:t>
            </w:r>
          </w:p>
        </w:tc>
      </w:tr>
      <w:tr w14:paraId="5DC3B1FC">
        <w:tblPrEx>
          <w:tblCellMar>
            <w:top w:w="0" w:type="dxa"/>
            <w:left w:w="0" w:type="dxa"/>
            <w:bottom w:w="0" w:type="dxa"/>
            <w:right w:w="0" w:type="dxa"/>
          </w:tblCellMar>
        </w:tblPrEx>
        <w:trPr>
          <w:wBefore w:w="0" w:type="auto"/>
          <w:tblCellSpacing w:w="0" w:type="dxa"/>
        </w:trPr>
        <w:tc>
          <w:tcPr>
            <w:tcW w:w="0" w:type="auto"/>
            <w:noWrap w:val="0"/>
            <w:vAlign w:val="center"/>
          </w:tcPr>
          <w:p w14:paraId="116F85E6">
            <w:r>
              <w:rPr>
                <w:rStyle w:val="10"/>
                <w:rFonts w:hint="eastAsia"/>
              </w:rPr>
              <w:t>中毒急救措施：</w:t>
            </w:r>
            <w:r>
              <w:rPr>
                <w:rFonts w:hint="eastAsia"/>
              </w:rPr>
              <w:br w:type="textWrapping"/>
            </w:r>
            <w:r>
              <w:rPr>
                <w:rStyle w:val="11"/>
                <w:rFonts w:hint="eastAsia"/>
              </w:rPr>
              <w:t>对眼睛有刺激性，使用时避免接触眼睛。不慎吸入，应将病人移至空气流通处。不慎接触皮肤或溅入眼睛，应用大量清水冲洗至少15分钟以上。经口中毒，立即催吐、洗胃。携此标签将病人送往医院诊治。解毒剂为依地酸二钠钙，并配合对症治疗。</w:t>
            </w:r>
          </w:p>
        </w:tc>
      </w:tr>
      <w:tr w14:paraId="5347CA33">
        <w:tblPrEx>
          <w:tblCellMar>
            <w:top w:w="0" w:type="dxa"/>
            <w:left w:w="0" w:type="dxa"/>
            <w:bottom w:w="0" w:type="dxa"/>
            <w:right w:w="0" w:type="dxa"/>
          </w:tblCellMar>
        </w:tblPrEx>
        <w:trPr>
          <w:wBefore w:w="0" w:type="auto"/>
          <w:tblCellSpacing w:w="0" w:type="dxa"/>
        </w:trPr>
        <w:tc>
          <w:tcPr>
            <w:tcW w:w="0" w:type="auto"/>
            <w:noWrap w:val="0"/>
            <w:vAlign w:val="center"/>
          </w:tcPr>
          <w:p w14:paraId="44FC3C52">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1B72D2D4">
        <w:tblPrEx>
          <w:tblCellMar>
            <w:top w:w="0" w:type="dxa"/>
            <w:left w:w="0" w:type="dxa"/>
            <w:bottom w:w="0" w:type="dxa"/>
            <w:right w:w="0" w:type="dxa"/>
          </w:tblCellMar>
        </w:tblPrEx>
        <w:trPr>
          <w:wBefore w:w="0" w:type="auto"/>
          <w:tblCellSpacing w:w="0" w:type="dxa"/>
        </w:trPr>
        <w:tc>
          <w:tcPr>
            <w:tcW w:w="0" w:type="auto"/>
            <w:noWrap w:val="0"/>
            <w:vAlign w:val="center"/>
          </w:tcPr>
          <w:p w14:paraId="09C69BA9">
            <w:r>
              <w:rPr>
                <w:rStyle w:val="10"/>
                <w:rFonts w:hint="eastAsia"/>
              </w:rPr>
              <w:t>质量保证期：</w:t>
            </w:r>
            <w:r>
              <w:rPr>
                <w:rStyle w:val="11"/>
                <w:rFonts w:hint="eastAsia"/>
              </w:rPr>
              <w:t>2年</w:t>
            </w:r>
          </w:p>
        </w:tc>
      </w:tr>
      <w:tr w14:paraId="48361CAA">
        <w:tblPrEx>
          <w:tblCellMar>
            <w:top w:w="0" w:type="dxa"/>
            <w:left w:w="0" w:type="dxa"/>
            <w:bottom w:w="0" w:type="dxa"/>
            <w:right w:w="0" w:type="dxa"/>
          </w:tblCellMar>
        </w:tblPrEx>
        <w:trPr>
          <w:wBefore w:w="0" w:type="auto"/>
          <w:tblCellSpacing w:w="0" w:type="dxa"/>
        </w:trPr>
        <w:tc>
          <w:tcPr>
            <w:tcW w:w="0" w:type="auto"/>
            <w:noWrap w:val="0"/>
            <w:vAlign w:val="center"/>
          </w:tcPr>
          <w:p w14:paraId="218B80FC">
            <w:r>
              <w:rPr>
                <w:rStyle w:val="10"/>
                <w:rFonts w:hint="eastAsia"/>
              </w:rPr>
              <w:t>备注：</w:t>
            </w:r>
          </w:p>
        </w:tc>
      </w:tr>
    </w:tbl>
    <w:p w14:paraId="343E0F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49555C">
        <w:tblPrEx>
          <w:tblCellMar>
            <w:top w:w="0" w:type="dxa"/>
            <w:left w:w="0" w:type="dxa"/>
            <w:bottom w:w="0" w:type="dxa"/>
            <w:right w:w="0" w:type="dxa"/>
          </w:tblCellMar>
        </w:tblPrEx>
        <w:trPr>
          <w:wBefore w:w="0" w:type="auto"/>
          <w:tblCellSpacing w:w="0" w:type="dxa"/>
        </w:trPr>
        <w:tc>
          <w:tcPr>
            <w:tcW w:w="0" w:type="auto"/>
            <w:noWrap w:val="0"/>
            <w:vAlign w:val="center"/>
          </w:tcPr>
          <w:p w14:paraId="4DE8C6F2">
            <w:r>
              <w:rPr>
                <w:rStyle w:val="10"/>
                <w:rFonts w:hint="eastAsia"/>
              </w:rPr>
              <w:t>登记证号：</w:t>
            </w:r>
            <w:r>
              <w:rPr>
                <w:rFonts w:hint="eastAsia"/>
              </w:rPr>
              <w:t>PD20212411</w:t>
            </w:r>
          </w:p>
        </w:tc>
      </w:tr>
      <w:tr w14:paraId="7338592E">
        <w:tblPrEx>
          <w:tblCellMar>
            <w:top w:w="0" w:type="dxa"/>
            <w:left w:w="0" w:type="dxa"/>
            <w:bottom w:w="0" w:type="dxa"/>
            <w:right w:w="0" w:type="dxa"/>
          </w:tblCellMar>
        </w:tblPrEx>
        <w:trPr>
          <w:wBefore w:w="0" w:type="auto"/>
          <w:tblCellSpacing w:w="0" w:type="dxa"/>
        </w:trPr>
        <w:tc>
          <w:tcPr>
            <w:tcW w:w="0" w:type="auto"/>
            <w:noWrap w:val="0"/>
            <w:vAlign w:val="center"/>
          </w:tcPr>
          <w:p w14:paraId="1403D9F3">
            <w:r>
              <w:rPr>
                <w:rStyle w:val="10"/>
                <w:rFonts w:hint="eastAsia"/>
              </w:rPr>
              <w:t>登记证持有人：</w:t>
            </w:r>
            <w:r>
              <w:rPr>
                <w:rFonts w:hint="eastAsia"/>
              </w:rPr>
              <w:t>顶秀作物科技有限公司</w:t>
            </w:r>
          </w:p>
        </w:tc>
      </w:tr>
      <w:tr w14:paraId="27C6142B">
        <w:tblPrEx>
          <w:tblCellMar>
            <w:top w:w="0" w:type="dxa"/>
            <w:left w:w="0" w:type="dxa"/>
            <w:bottom w:w="0" w:type="dxa"/>
            <w:right w:w="0" w:type="dxa"/>
          </w:tblCellMar>
        </w:tblPrEx>
        <w:trPr>
          <w:wBefore w:w="0" w:type="auto"/>
          <w:tblCellSpacing w:w="0" w:type="dxa"/>
        </w:trPr>
        <w:tc>
          <w:tcPr>
            <w:tcW w:w="0" w:type="auto"/>
            <w:noWrap w:val="0"/>
            <w:vAlign w:val="center"/>
          </w:tcPr>
          <w:p w14:paraId="0D5135C4">
            <w:r>
              <w:rPr>
                <w:rStyle w:val="10"/>
                <w:rFonts w:hint="eastAsia"/>
              </w:rPr>
              <w:t>农药名称：</w:t>
            </w:r>
            <w:r>
              <w:rPr>
                <w:rFonts w:hint="eastAsia"/>
              </w:rPr>
              <w:t>虱螨脲</w:t>
            </w:r>
          </w:p>
        </w:tc>
      </w:tr>
      <w:tr w14:paraId="0B4DF270">
        <w:tblPrEx>
          <w:tblCellMar>
            <w:top w:w="0" w:type="dxa"/>
            <w:left w:w="0" w:type="dxa"/>
            <w:bottom w:w="0" w:type="dxa"/>
            <w:right w:w="0" w:type="dxa"/>
          </w:tblCellMar>
        </w:tblPrEx>
        <w:trPr>
          <w:wBefore w:w="0" w:type="auto"/>
          <w:tblCellSpacing w:w="0" w:type="dxa"/>
        </w:trPr>
        <w:tc>
          <w:tcPr>
            <w:tcW w:w="0" w:type="auto"/>
            <w:noWrap w:val="0"/>
            <w:vAlign w:val="center"/>
          </w:tcPr>
          <w:p w14:paraId="2D326B89">
            <w:r>
              <w:rPr>
                <w:rStyle w:val="10"/>
                <w:rFonts w:hint="eastAsia"/>
              </w:rPr>
              <w:t>剂型：</w:t>
            </w:r>
            <w:r>
              <w:rPr>
                <w:rFonts w:hint="eastAsia"/>
              </w:rPr>
              <w:t>悬浮剂</w:t>
            </w:r>
          </w:p>
        </w:tc>
      </w:tr>
      <w:tr w14:paraId="38F429C4">
        <w:tblPrEx>
          <w:tblCellMar>
            <w:top w:w="0" w:type="dxa"/>
            <w:left w:w="0" w:type="dxa"/>
            <w:bottom w:w="0" w:type="dxa"/>
            <w:right w:w="0" w:type="dxa"/>
          </w:tblCellMar>
        </w:tblPrEx>
        <w:trPr>
          <w:wBefore w:w="0" w:type="auto"/>
          <w:tblCellSpacing w:w="0" w:type="dxa"/>
        </w:trPr>
        <w:tc>
          <w:tcPr>
            <w:tcW w:w="0" w:type="auto"/>
            <w:noWrap w:val="0"/>
            <w:vAlign w:val="center"/>
          </w:tcPr>
          <w:p w14:paraId="492CD040">
            <w:r>
              <w:rPr>
                <w:rStyle w:val="10"/>
                <w:rFonts w:hint="eastAsia"/>
              </w:rPr>
              <w:t>毒性及其标识：</w:t>
            </w:r>
            <w:r>
              <w:rPr>
                <w:rFonts w:hint="eastAsia"/>
              </w:rPr>
              <w:t xml:space="preserve"> 微毒 </w:t>
            </w:r>
          </w:p>
        </w:tc>
      </w:tr>
      <w:tr w14:paraId="217718A1">
        <w:tblPrEx>
          <w:tblCellMar>
            <w:top w:w="0" w:type="dxa"/>
            <w:left w:w="0" w:type="dxa"/>
            <w:bottom w:w="0" w:type="dxa"/>
            <w:right w:w="0" w:type="dxa"/>
          </w:tblCellMar>
        </w:tblPrEx>
        <w:trPr>
          <w:wBefore w:w="0" w:type="auto"/>
          <w:tblCellSpacing w:w="0" w:type="dxa"/>
        </w:trPr>
        <w:tc>
          <w:tcPr>
            <w:tcW w:w="0" w:type="auto"/>
            <w:noWrap w:val="0"/>
            <w:vAlign w:val="center"/>
          </w:tcPr>
          <w:p w14:paraId="74FD711C">
            <w:r>
              <w:rPr>
                <w:rStyle w:val="10"/>
                <w:rFonts w:hint="eastAsia"/>
              </w:rPr>
              <w:t>总有效成分含量：</w:t>
            </w:r>
            <w:r>
              <w:rPr>
                <w:rFonts w:hint="eastAsia"/>
              </w:rPr>
              <w:t>10%</w:t>
            </w:r>
          </w:p>
        </w:tc>
      </w:tr>
      <w:tr w14:paraId="6EE0D6D2">
        <w:tblPrEx>
          <w:tblCellMar>
            <w:top w:w="0" w:type="dxa"/>
            <w:left w:w="0" w:type="dxa"/>
            <w:bottom w:w="0" w:type="dxa"/>
            <w:right w:w="0" w:type="dxa"/>
          </w:tblCellMar>
        </w:tblPrEx>
        <w:trPr>
          <w:wBefore w:w="0" w:type="auto"/>
          <w:tblCellSpacing w:w="0" w:type="dxa"/>
        </w:trPr>
        <w:tc>
          <w:tcPr>
            <w:tcW w:w="0" w:type="auto"/>
            <w:noWrap w:val="0"/>
            <w:vAlign w:val="center"/>
          </w:tcPr>
          <w:p w14:paraId="7792150C">
            <w:r>
              <w:rPr>
                <w:rFonts w:hint="eastAsia"/>
              </w:rPr>
              <w:t xml:space="preserve">有效成分及其含量： </w:t>
            </w:r>
          </w:p>
          <w:p w14:paraId="3BB57778">
            <w:r>
              <w:rPr>
                <w:rFonts w:hint="eastAsia"/>
              </w:rPr>
              <w:t xml:space="preserve">    虱螨脲10%    </w:t>
            </w:r>
          </w:p>
        </w:tc>
      </w:tr>
      <w:tr w14:paraId="68299B87">
        <w:tblPrEx>
          <w:tblCellMar>
            <w:top w:w="0" w:type="dxa"/>
            <w:left w:w="0" w:type="dxa"/>
            <w:bottom w:w="0" w:type="dxa"/>
            <w:right w:w="0" w:type="dxa"/>
          </w:tblCellMar>
        </w:tblPrEx>
        <w:trPr>
          <w:wBefore w:w="0" w:type="auto"/>
          <w:tblCellSpacing w:w="0" w:type="dxa"/>
        </w:trPr>
        <w:tc>
          <w:tcPr>
            <w:tcW w:w="0" w:type="auto"/>
            <w:noWrap w:val="0"/>
            <w:vAlign w:val="center"/>
          </w:tcPr>
          <w:p w14:paraId="77D420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811A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FCD75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A6A6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00397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EFDD47">
                  <w:r>
                    <w:rPr>
                      <w:rStyle w:val="11"/>
                      <w:rFonts w:hint="eastAsia"/>
                    </w:rPr>
                    <w:t>施用方式</w:t>
                  </w:r>
                </w:p>
              </w:tc>
            </w:tr>
            <w:tr w14:paraId="5E4D01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6C427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8CB57A">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82F6A8">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1D86D2">
                  <w:r>
                    <w:rPr>
                      <w:rStyle w:val="11"/>
                      <w:rFonts w:hint="eastAsia"/>
                    </w:rPr>
                    <w:t>喷雾</w:t>
                  </w:r>
                </w:p>
              </w:tc>
            </w:tr>
          </w:tbl>
          <w:p w14:paraId="64D5F45C">
            <w:pPr>
              <w:rPr>
                <w:rFonts w:ascii="Times New Roman" w:hAnsi="Times New Roman" w:cs="Times New Roman"/>
                <w:sz w:val="20"/>
                <w:szCs w:val="20"/>
              </w:rPr>
            </w:pPr>
          </w:p>
        </w:tc>
      </w:tr>
      <w:tr w14:paraId="5C9E7FE2">
        <w:tblPrEx>
          <w:tblCellMar>
            <w:top w:w="0" w:type="dxa"/>
            <w:left w:w="0" w:type="dxa"/>
            <w:bottom w:w="0" w:type="dxa"/>
            <w:right w:w="0" w:type="dxa"/>
          </w:tblCellMar>
        </w:tblPrEx>
        <w:trPr>
          <w:wBefore w:w="0" w:type="auto"/>
          <w:tblCellSpacing w:w="0" w:type="dxa"/>
        </w:trPr>
        <w:tc>
          <w:tcPr>
            <w:tcW w:w="0" w:type="auto"/>
            <w:noWrap w:val="0"/>
            <w:vAlign w:val="center"/>
          </w:tcPr>
          <w:p w14:paraId="55B89A29">
            <w:r>
              <w:rPr>
                <w:rStyle w:val="10"/>
                <w:rFonts w:hint="eastAsia"/>
              </w:rPr>
              <w:t>使用技术要求:</w:t>
            </w:r>
            <w:r>
              <w:rPr>
                <w:rFonts w:hint="eastAsia"/>
              </w:rPr>
              <w:br w:type="textWrapping"/>
            </w:r>
            <w:r>
              <w:rPr>
                <w:rStyle w:val="11"/>
                <w:rFonts w:hint="eastAsia"/>
              </w:rPr>
              <w:t>1.在甘蓝甜菜夜蛾产卵初期至3龄幼虫前施药1次。喷雾时应对叶片的正反面进行均匀喷雾。 2.在晴天的下午近傍晚喷药，大风天或预计1小时内有雨，请勿施药。3.在甘蓝上安全间隔期7天，每季作物最多使用1次。</w:t>
            </w:r>
          </w:p>
        </w:tc>
      </w:tr>
      <w:tr w14:paraId="3C745D59">
        <w:tblPrEx>
          <w:tblCellMar>
            <w:top w:w="0" w:type="dxa"/>
            <w:left w:w="0" w:type="dxa"/>
            <w:bottom w:w="0" w:type="dxa"/>
            <w:right w:w="0" w:type="dxa"/>
          </w:tblCellMar>
        </w:tblPrEx>
        <w:trPr>
          <w:wBefore w:w="0" w:type="auto"/>
          <w:tblCellSpacing w:w="0" w:type="dxa"/>
        </w:trPr>
        <w:tc>
          <w:tcPr>
            <w:tcW w:w="0" w:type="auto"/>
            <w:noWrap w:val="0"/>
            <w:vAlign w:val="center"/>
          </w:tcPr>
          <w:p w14:paraId="48FD6D73">
            <w:r>
              <w:rPr>
                <w:rStyle w:val="10"/>
                <w:rFonts w:hint="eastAsia"/>
              </w:rPr>
              <w:t>产品性能:</w:t>
            </w:r>
            <w:r>
              <w:rPr>
                <w:rFonts w:hint="eastAsia"/>
              </w:rPr>
              <w:br w:type="textWrapping"/>
            </w:r>
            <w:r>
              <w:rPr>
                <w:rStyle w:val="11"/>
                <w:rFonts w:hint="eastAsia"/>
              </w:rPr>
              <w:t xml:space="preserve">本品是一种抗生素类杀虫剂，通过阻碍害虫运动神经信息传递而使大量氯离子进入害虫神经细胞，使害虫停止取食后麻痹死亡，具有胃毒和触杀作用，渗透性较强，能有效进入作物表皮组织。 </w:t>
            </w:r>
          </w:p>
        </w:tc>
      </w:tr>
      <w:tr w14:paraId="675943F6">
        <w:tblPrEx>
          <w:tblCellMar>
            <w:top w:w="0" w:type="dxa"/>
            <w:left w:w="0" w:type="dxa"/>
            <w:bottom w:w="0" w:type="dxa"/>
            <w:right w:w="0" w:type="dxa"/>
          </w:tblCellMar>
        </w:tblPrEx>
        <w:trPr>
          <w:wBefore w:w="0" w:type="auto"/>
          <w:tblCellSpacing w:w="0" w:type="dxa"/>
        </w:trPr>
        <w:tc>
          <w:tcPr>
            <w:tcW w:w="0" w:type="auto"/>
            <w:noWrap w:val="0"/>
            <w:vAlign w:val="center"/>
          </w:tcPr>
          <w:p w14:paraId="51D697B4">
            <w:r>
              <w:rPr>
                <w:rStyle w:val="10"/>
                <w:rFonts w:hint="eastAsia"/>
              </w:rPr>
              <w:t>注意事项：</w:t>
            </w:r>
            <w:r>
              <w:rPr>
                <w:rFonts w:hint="eastAsia"/>
              </w:rPr>
              <w:br w:type="textWrapping"/>
            </w:r>
            <w:r>
              <w:rPr>
                <w:rStyle w:val="11"/>
                <w:rFonts w:hint="eastAsia"/>
              </w:rPr>
              <w:t>1.严格按照规定用药量和方法使用。2.本品不能与碱性农药混用，建议与作用机制不同的杀虫剂轮换使用，以延缓抗性的产生。 3.水产养殖区、河塘等水体附近禁用，禁止在河塘等水域清洗施药器具。4．使用本品时应穿防护服、戴手套和护目镜等，避免与皮肤、眼睛接触，施药期间不可吃东西和饮水，施药后应及时洗手和洗脸。5.避免孕妇及哺乳期妇女接触。 6.用过的容器应妥善处理，不可做他用，也不可随意丢弃。</w:t>
            </w:r>
          </w:p>
        </w:tc>
      </w:tr>
      <w:tr w14:paraId="58190557">
        <w:tblPrEx>
          <w:tblCellMar>
            <w:top w:w="0" w:type="dxa"/>
            <w:left w:w="0" w:type="dxa"/>
            <w:bottom w:w="0" w:type="dxa"/>
            <w:right w:w="0" w:type="dxa"/>
          </w:tblCellMar>
        </w:tblPrEx>
        <w:trPr>
          <w:wBefore w:w="0" w:type="auto"/>
          <w:tblCellSpacing w:w="0" w:type="dxa"/>
        </w:trPr>
        <w:tc>
          <w:tcPr>
            <w:tcW w:w="0" w:type="auto"/>
            <w:noWrap w:val="0"/>
            <w:vAlign w:val="center"/>
          </w:tcPr>
          <w:p w14:paraId="2C1DCB2D">
            <w:r>
              <w:rPr>
                <w:rStyle w:val="10"/>
                <w:rFonts w:hint="eastAsia"/>
              </w:rPr>
              <w:t>中毒急救措施：</w:t>
            </w:r>
            <w:r>
              <w:rPr>
                <w:rFonts w:hint="eastAsia"/>
              </w:rPr>
              <w:br w:type="textWrapping"/>
            </w:r>
            <w:r>
              <w:rPr>
                <w:rStyle w:val="11"/>
                <w:rFonts w:hint="eastAsia"/>
              </w:rPr>
              <w:t>早期中毒症状为瞳孔放大，行动失调，肌肉颤抖，严重时导致呕吐。对眼睛有刺激性。不慎吸入，应将病人移至空气流通处。不慎沾染皮肤或眼睛，请用大量清水冲洗至少15分钟。误服中毒后立即引吐并携带标签就医，给患者服用吐根糖浆或麻黄素，但勿给患者催吐或灌任何东西，抢救时避免给患者使用增强γ-氨基酚活性药物如巴比妥、丙戊酸。</w:t>
            </w:r>
          </w:p>
        </w:tc>
      </w:tr>
      <w:tr w14:paraId="62C34DF6">
        <w:tblPrEx>
          <w:tblCellMar>
            <w:top w:w="0" w:type="dxa"/>
            <w:left w:w="0" w:type="dxa"/>
            <w:bottom w:w="0" w:type="dxa"/>
            <w:right w:w="0" w:type="dxa"/>
          </w:tblCellMar>
        </w:tblPrEx>
        <w:trPr>
          <w:wBefore w:w="0" w:type="auto"/>
          <w:tblCellSpacing w:w="0" w:type="dxa"/>
        </w:trPr>
        <w:tc>
          <w:tcPr>
            <w:tcW w:w="0" w:type="auto"/>
            <w:noWrap w:val="0"/>
            <w:vAlign w:val="center"/>
          </w:tcPr>
          <w:p w14:paraId="7BA5C8EA">
            <w:r>
              <w:rPr>
                <w:rStyle w:val="10"/>
                <w:rFonts w:hint="eastAsia"/>
              </w:rPr>
              <w:t>储存和运输方法：</w:t>
            </w:r>
            <w:r>
              <w:rPr>
                <w:rFonts w:hint="eastAsia"/>
              </w:rPr>
              <w:br w:type="textWrapping"/>
            </w:r>
            <w:r>
              <w:rPr>
                <w:rStyle w:val="11"/>
                <w:rFonts w:hint="eastAsia"/>
              </w:rPr>
              <w:t>本品贮存应注意阴凉、干燥、通风，远离火源，不能与食品、饮料、粮食、饲料等同贮同运，贮存在儿童及无关人员接触不到的地方，并加锁，装卸运输时注意检查包装是否密封完整，轻拿轻放。</w:t>
            </w:r>
          </w:p>
        </w:tc>
      </w:tr>
      <w:tr w14:paraId="03A79055">
        <w:tblPrEx>
          <w:tblCellMar>
            <w:top w:w="0" w:type="dxa"/>
            <w:left w:w="0" w:type="dxa"/>
            <w:bottom w:w="0" w:type="dxa"/>
            <w:right w:w="0" w:type="dxa"/>
          </w:tblCellMar>
        </w:tblPrEx>
        <w:trPr>
          <w:wBefore w:w="0" w:type="auto"/>
          <w:tblCellSpacing w:w="0" w:type="dxa"/>
        </w:trPr>
        <w:tc>
          <w:tcPr>
            <w:tcW w:w="0" w:type="auto"/>
            <w:noWrap w:val="0"/>
            <w:vAlign w:val="center"/>
          </w:tcPr>
          <w:p w14:paraId="744C3A09">
            <w:r>
              <w:rPr>
                <w:rStyle w:val="10"/>
                <w:rFonts w:hint="eastAsia"/>
              </w:rPr>
              <w:t>质量保证期：</w:t>
            </w:r>
            <w:r>
              <w:rPr>
                <w:rStyle w:val="11"/>
                <w:rFonts w:hint="eastAsia"/>
              </w:rPr>
              <w:t>2年</w:t>
            </w:r>
          </w:p>
        </w:tc>
      </w:tr>
      <w:tr w14:paraId="5EB6FC1F">
        <w:tblPrEx>
          <w:tblCellMar>
            <w:top w:w="0" w:type="dxa"/>
            <w:left w:w="0" w:type="dxa"/>
            <w:bottom w:w="0" w:type="dxa"/>
            <w:right w:w="0" w:type="dxa"/>
          </w:tblCellMar>
        </w:tblPrEx>
        <w:trPr>
          <w:wBefore w:w="0" w:type="auto"/>
          <w:tblCellSpacing w:w="0" w:type="dxa"/>
        </w:trPr>
        <w:tc>
          <w:tcPr>
            <w:tcW w:w="0" w:type="auto"/>
            <w:noWrap w:val="0"/>
            <w:vAlign w:val="center"/>
          </w:tcPr>
          <w:p w14:paraId="7BB58702">
            <w:r>
              <w:rPr>
                <w:rStyle w:val="10"/>
                <w:rFonts w:hint="eastAsia"/>
              </w:rPr>
              <w:t>备注：</w:t>
            </w:r>
          </w:p>
        </w:tc>
      </w:tr>
    </w:tbl>
    <w:p w14:paraId="78F766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BE7211">
        <w:tblPrEx>
          <w:tblCellMar>
            <w:top w:w="0" w:type="dxa"/>
            <w:left w:w="0" w:type="dxa"/>
            <w:bottom w:w="0" w:type="dxa"/>
            <w:right w:w="0" w:type="dxa"/>
          </w:tblCellMar>
        </w:tblPrEx>
        <w:trPr>
          <w:wBefore w:w="0" w:type="auto"/>
          <w:tblCellSpacing w:w="0" w:type="dxa"/>
        </w:trPr>
        <w:tc>
          <w:tcPr>
            <w:tcW w:w="0" w:type="auto"/>
            <w:noWrap w:val="0"/>
            <w:vAlign w:val="center"/>
          </w:tcPr>
          <w:p w14:paraId="7D0B5DC6">
            <w:r>
              <w:rPr>
                <w:rStyle w:val="10"/>
                <w:rFonts w:hint="eastAsia"/>
              </w:rPr>
              <w:t>登记证号：</w:t>
            </w:r>
            <w:r>
              <w:rPr>
                <w:rFonts w:hint="eastAsia"/>
              </w:rPr>
              <w:t>PD20212612</w:t>
            </w:r>
          </w:p>
        </w:tc>
      </w:tr>
      <w:tr w14:paraId="24AFF55B">
        <w:tblPrEx>
          <w:tblCellMar>
            <w:top w:w="0" w:type="dxa"/>
            <w:left w:w="0" w:type="dxa"/>
            <w:bottom w:w="0" w:type="dxa"/>
            <w:right w:w="0" w:type="dxa"/>
          </w:tblCellMar>
        </w:tblPrEx>
        <w:trPr>
          <w:wBefore w:w="0" w:type="auto"/>
          <w:tblCellSpacing w:w="0" w:type="dxa"/>
        </w:trPr>
        <w:tc>
          <w:tcPr>
            <w:tcW w:w="0" w:type="auto"/>
            <w:noWrap w:val="0"/>
            <w:vAlign w:val="center"/>
          </w:tcPr>
          <w:p w14:paraId="277F7D6C">
            <w:r>
              <w:rPr>
                <w:rStyle w:val="10"/>
                <w:rFonts w:hint="eastAsia"/>
              </w:rPr>
              <w:t>登记证持有人：</w:t>
            </w:r>
            <w:r>
              <w:rPr>
                <w:rFonts w:hint="eastAsia"/>
              </w:rPr>
              <w:t>广西田园生化股份有限公司</w:t>
            </w:r>
          </w:p>
        </w:tc>
      </w:tr>
      <w:tr w14:paraId="4D3E58AE">
        <w:tblPrEx>
          <w:tblCellMar>
            <w:top w:w="0" w:type="dxa"/>
            <w:left w:w="0" w:type="dxa"/>
            <w:bottom w:w="0" w:type="dxa"/>
            <w:right w:w="0" w:type="dxa"/>
          </w:tblCellMar>
        </w:tblPrEx>
        <w:trPr>
          <w:wBefore w:w="0" w:type="auto"/>
          <w:tblCellSpacing w:w="0" w:type="dxa"/>
        </w:trPr>
        <w:tc>
          <w:tcPr>
            <w:tcW w:w="0" w:type="auto"/>
            <w:noWrap w:val="0"/>
            <w:vAlign w:val="center"/>
          </w:tcPr>
          <w:p w14:paraId="65726FE1">
            <w:r>
              <w:rPr>
                <w:rStyle w:val="10"/>
                <w:rFonts w:hint="eastAsia"/>
              </w:rPr>
              <w:t>农药名称：</w:t>
            </w:r>
            <w:r>
              <w:rPr>
                <w:rFonts w:hint="eastAsia"/>
              </w:rPr>
              <w:t>五氟磺草胺</w:t>
            </w:r>
          </w:p>
        </w:tc>
      </w:tr>
      <w:tr w14:paraId="2DAE4BB4">
        <w:tblPrEx>
          <w:tblCellMar>
            <w:top w:w="0" w:type="dxa"/>
            <w:left w:w="0" w:type="dxa"/>
            <w:bottom w:w="0" w:type="dxa"/>
            <w:right w:w="0" w:type="dxa"/>
          </w:tblCellMar>
        </w:tblPrEx>
        <w:trPr>
          <w:wBefore w:w="0" w:type="auto"/>
          <w:tblCellSpacing w:w="0" w:type="dxa"/>
        </w:trPr>
        <w:tc>
          <w:tcPr>
            <w:tcW w:w="0" w:type="auto"/>
            <w:noWrap w:val="0"/>
            <w:vAlign w:val="center"/>
          </w:tcPr>
          <w:p w14:paraId="44025C80">
            <w:r>
              <w:rPr>
                <w:rStyle w:val="10"/>
                <w:rFonts w:hint="eastAsia"/>
              </w:rPr>
              <w:t>剂型：</w:t>
            </w:r>
            <w:r>
              <w:rPr>
                <w:rFonts w:hint="eastAsia"/>
              </w:rPr>
              <w:t>颗粒剂</w:t>
            </w:r>
          </w:p>
        </w:tc>
      </w:tr>
      <w:tr w14:paraId="058AA549">
        <w:tblPrEx>
          <w:tblCellMar>
            <w:top w:w="0" w:type="dxa"/>
            <w:left w:w="0" w:type="dxa"/>
            <w:bottom w:w="0" w:type="dxa"/>
            <w:right w:w="0" w:type="dxa"/>
          </w:tblCellMar>
        </w:tblPrEx>
        <w:trPr>
          <w:wBefore w:w="0" w:type="auto"/>
          <w:tblCellSpacing w:w="0" w:type="dxa"/>
        </w:trPr>
        <w:tc>
          <w:tcPr>
            <w:tcW w:w="0" w:type="auto"/>
            <w:noWrap w:val="0"/>
            <w:vAlign w:val="center"/>
          </w:tcPr>
          <w:p w14:paraId="5AD7868B">
            <w:r>
              <w:rPr>
                <w:rStyle w:val="10"/>
                <w:rFonts w:hint="eastAsia"/>
              </w:rPr>
              <w:t>毒性及其标识：</w:t>
            </w:r>
            <w:r>
              <w:rPr>
                <w:rFonts w:hint="eastAsia"/>
              </w:rPr>
              <w:t xml:space="preserve"> </w:t>
            </w:r>
            <w:r>
              <w:rPr>
                <w:lang/>
              </w:rPr>
              <w:drawing>
                <wp:inline distT="0" distB="0" distL="114300" distR="114300">
                  <wp:extent cx="476250" cy="323850"/>
                  <wp:effectExtent l="0" t="0" r="0" b="0"/>
                  <wp:docPr id="166" name="图片 1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0F72A7">
        <w:tblPrEx>
          <w:tblCellMar>
            <w:top w:w="0" w:type="dxa"/>
            <w:left w:w="0" w:type="dxa"/>
            <w:bottom w:w="0" w:type="dxa"/>
            <w:right w:w="0" w:type="dxa"/>
          </w:tblCellMar>
        </w:tblPrEx>
        <w:trPr>
          <w:wBefore w:w="0" w:type="auto"/>
          <w:tblCellSpacing w:w="0" w:type="dxa"/>
        </w:trPr>
        <w:tc>
          <w:tcPr>
            <w:tcW w:w="0" w:type="auto"/>
            <w:noWrap w:val="0"/>
            <w:vAlign w:val="center"/>
          </w:tcPr>
          <w:p w14:paraId="3D5A4A34">
            <w:r>
              <w:rPr>
                <w:rStyle w:val="10"/>
                <w:rFonts w:hint="eastAsia"/>
              </w:rPr>
              <w:t>总有效成分含量：</w:t>
            </w:r>
            <w:r>
              <w:rPr>
                <w:rFonts w:hint="eastAsia"/>
              </w:rPr>
              <w:t>0.03%</w:t>
            </w:r>
          </w:p>
        </w:tc>
      </w:tr>
      <w:tr w14:paraId="1E959021">
        <w:tblPrEx>
          <w:tblCellMar>
            <w:top w:w="0" w:type="dxa"/>
            <w:left w:w="0" w:type="dxa"/>
            <w:bottom w:w="0" w:type="dxa"/>
            <w:right w:w="0" w:type="dxa"/>
          </w:tblCellMar>
        </w:tblPrEx>
        <w:trPr>
          <w:wBefore w:w="0" w:type="auto"/>
          <w:tblCellSpacing w:w="0" w:type="dxa"/>
        </w:trPr>
        <w:tc>
          <w:tcPr>
            <w:tcW w:w="0" w:type="auto"/>
            <w:noWrap w:val="0"/>
            <w:vAlign w:val="center"/>
          </w:tcPr>
          <w:p w14:paraId="7564FE0F">
            <w:r>
              <w:rPr>
                <w:rFonts w:hint="eastAsia"/>
              </w:rPr>
              <w:t xml:space="preserve">有效成分及其含量： </w:t>
            </w:r>
          </w:p>
          <w:p w14:paraId="5A6DB24C">
            <w:r>
              <w:rPr>
                <w:rFonts w:hint="eastAsia"/>
              </w:rPr>
              <w:t xml:space="preserve">    五氟磺草胺0.03%    </w:t>
            </w:r>
          </w:p>
        </w:tc>
      </w:tr>
      <w:tr w14:paraId="16B9D986">
        <w:tblPrEx>
          <w:tblCellMar>
            <w:top w:w="0" w:type="dxa"/>
            <w:left w:w="0" w:type="dxa"/>
            <w:bottom w:w="0" w:type="dxa"/>
            <w:right w:w="0" w:type="dxa"/>
          </w:tblCellMar>
        </w:tblPrEx>
        <w:trPr>
          <w:wBefore w:w="0" w:type="auto"/>
          <w:tblCellSpacing w:w="0" w:type="dxa"/>
        </w:trPr>
        <w:tc>
          <w:tcPr>
            <w:tcW w:w="0" w:type="auto"/>
            <w:noWrap w:val="0"/>
            <w:vAlign w:val="center"/>
          </w:tcPr>
          <w:p w14:paraId="470FC5A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5A05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288B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FA5A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CC5F7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1BB220">
                  <w:r>
                    <w:rPr>
                      <w:rStyle w:val="11"/>
                      <w:rFonts w:hint="eastAsia"/>
                    </w:rPr>
                    <w:t>施用方式</w:t>
                  </w:r>
                </w:p>
              </w:tc>
            </w:tr>
            <w:tr w14:paraId="76BDE7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38B389">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324C2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0CED8B">
                  <w:r>
                    <w:rPr>
                      <w:rStyle w:val="11"/>
                      <w:rFonts w:hint="eastAsia"/>
                    </w:rPr>
                    <w:t>6000-12000克/亩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402992">
                  <w:r>
                    <w:rPr>
                      <w:rStyle w:val="11"/>
                      <w:rFonts w:hint="eastAsia"/>
                    </w:rPr>
                    <w:t>撒施</w:t>
                  </w:r>
                </w:p>
              </w:tc>
            </w:tr>
          </w:tbl>
          <w:p w14:paraId="26B92723">
            <w:pPr>
              <w:rPr>
                <w:rFonts w:ascii="Times New Roman" w:hAnsi="Times New Roman" w:cs="Times New Roman"/>
                <w:sz w:val="20"/>
                <w:szCs w:val="20"/>
              </w:rPr>
            </w:pPr>
          </w:p>
        </w:tc>
      </w:tr>
      <w:tr w14:paraId="09A3050B">
        <w:tblPrEx>
          <w:tblCellMar>
            <w:top w:w="0" w:type="dxa"/>
            <w:left w:w="0" w:type="dxa"/>
            <w:bottom w:w="0" w:type="dxa"/>
            <w:right w:w="0" w:type="dxa"/>
          </w:tblCellMar>
        </w:tblPrEx>
        <w:trPr>
          <w:wBefore w:w="0" w:type="auto"/>
          <w:tblCellSpacing w:w="0" w:type="dxa"/>
        </w:trPr>
        <w:tc>
          <w:tcPr>
            <w:tcW w:w="0" w:type="auto"/>
            <w:noWrap w:val="0"/>
            <w:vAlign w:val="center"/>
          </w:tcPr>
          <w:p w14:paraId="5F093CB3">
            <w:r>
              <w:rPr>
                <w:rStyle w:val="10"/>
                <w:rFonts w:hint="eastAsia"/>
              </w:rPr>
              <w:t>使用技术要求:</w:t>
            </w:r>
            <w:r>
              <w:rPr>
                <w:rFonts w:hint="eastAsia"/>
              </w:rPr>
              <w:br w:type="textWrapping"/>
            </w:r>
            <w:r>
              <w:rPr>
                <w:rStyle w:val="11"/>
                <w:rFonts w:hint="eastAsia"/>
              </w:rPr>
              <w:t>1．于水稻移栽后5-7天，直接撒施施药，施药时田内保持3-5厘米水层，勿使田水淹没稻苗心叶，保水5-7天。 2．施药量按稗草密度和叶龄确定，稗草密度大、草龄大，使用上限用药量。 3．每季最多使用1次。</w:t>
            </w:r>
          </w:p>
        </w:tc>
      </w:tr>
      <w:tr w14:paraId="57614E31">
        <w:tblPrEx>
          <w:tblCellMar>
            <w:top w:w="0" w:type="dxa"/>
            <w:left w:w="0" w:type="dxa"/>
            <w:bottom w:w="0" w:type="dxa"/>
            <w:right w:w="0" w:type="dxa"/>
          </w:tblCellMar>
        </w:tblPrEx>
        <w:trPr>
          <w:wBefore w:w="0" w:type="auto"/>
          <w:tblCellSpacing w:w="0" w:type="dxa"/>
        </w:trPr>
        <w:tc>
          <w:tcPr>
            <w:tcW w:w="0" w:type="auto"/>
            <w:noWrap w:val="0"/>
            <w:vAlign w:val="center"/>
          </w:tcPr>
          <w:p w14:paraId="24C27EDB">
            <w:r>
              <w:rPr>
                <w:rStyle w:val="10"/>
                <w:rFonts w:hint="eastAsia"/>
              </w:rPr>
              <w:t>产品性能:</w:t>
            </w:r>
            <w:r>
              <w:rPr>
                <w:rFonts w:hint="eastAsia"/>
              </w:rPr>
              <w:br w:type="textWrapping"/>
            </w:r>
            <w:r>
              <w:rPr>
                <w:rStyle w:val="11"/>
                <w:rFonts w:hint="eastAsia"/>
              </w:rPr>
              <w:t>本品为三唑并嘧啶磺酰胺类除草剂，并能为水稻生长提供肥效，可以防除水稻田中的稗草（包括稻稗）、一年生阔叶草和一年生莎草等杂草。</w:t>
            </w:r>
          </w:p>
        </w:tc>
      </w:tr>
      <w:tr w14:paraId="27370E41">
        <w:tblPrEx>
          <w:tblCellMar>
            <w:top w:w="0" w:type="dxa"/>
            <w:left w:w="0" w:type="dxa"/>
            <w:bottom w:w="0" w:type="dxa"/>
            <w:right w:w="0" w:type="dxa"/>
          </w:tblCellMar>
        </w:tblPrEx>
        <w:trPr>
          <w:wBefore w:w="0" w:type="auto"/>
          <w:tblCellSpacing w:w="0" w:type="dxa"/>
        </w:trPr>
        <w:tc>
          <w:tcPr>
            <w:tcW w:w="0" w:type="auto"/>
            <w:noWrap w:val="0"/>
            <w:vAlign w:val="center"/>
          </w:tcPr>
          <w:p w14:paraId="130A1913">
            <w:r>
              <w:rPr>
                <w:rStyle w:val="10"/>
                <w:rFonts w:hint="eastAsia"/>
              </w:rPr>
              <w:t>注意事项：</w:t>
            </w:r>
            <w:r>
              <w:rPr>
                <w:rFonts w:hint="eastAsia"/>
              </w:rPr>
              <w:br w:type="textWrapping"/>
            </w:r>
            <w:r>
              <w:rPr>
                <w:rStyle w:val="11"/>
                <w:rFonts w:hint="eastAsia"/>
              </w:rPr>
              <w:t>1．使用本品时应穿长衣长裤、靴子、戴手套、眼镜、口罩防护用具），避免吸入药剂。施药期间不可吃东西和饮水等。施药后应及时洗手和洗脸等。 2．本品对水生生物有毒，应远离水产养殖区施药，禁止在河塘等水体中清洗施药器具。 3．远离水产养殖区、河塘等水体施药；禁止在河塘等水体中清洗施药器具； 鱼或虾蟹套养稻田禁用，施药后的田水不得直接排入水体。 用过的容器应妥善处理，不可做他用，也不可随意丢弃。 4．请严格按照标签说明使用。 5、避免孕妇及哺乳期的妇女接触。</w:t>
            </w:r>
          </w:p>
        </w:tc>
      </w:tr>
      <w:tr w14:paraId="03F5A183">
        <w:tblPrEx>
          <w:tblCellMar>
            <w:top w:w="0" w:type="dxa"/>
            <w:left w:w="0" w:type="dxa"/>
            <w:bottom w:w="0" w:type="dxa"/>
            <w:right w:w="0" w:type="dxa"/>
          </w:tblCellMar>
        </w:tblPrEx>
        <w:trPr>
          <w:wBefore w:w="0" w:type="auto"/>
          <w:tblCellSpacing w:w="0" w:type="dxa"/>
        </w:trPr>
        <w:tc>
          <w:tcPr>
            <w:tcW w:w="0" w:type="auto"/>
            <w:noWrap w:val="0"/>
            <w:vAlign w:val="center"/>
          </w:tcPr>
          <w:p w14:paraId="4FC20EB7">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4.发生吸入：立即将吸入者转移到空气新鲜处，注意保暖和休息，请医生诊治。 5.误服：立即携带标签，送医就诊。无专用解毒剂，对症治疗。</w:t>
            </w:r>
          </w:p>
        </w:tc>
      </w:tr>
      <w:tr w14:paraId="5C675176">
        <w:tblPrEx>
          <w:tblCellMar>
            <w:top w:w="0" w:type="dxa"/>
            <w:left w:w="0" w:type="dxa"/>
            <w:bottom w:w="0" w:type="dxa"/>
            <w:right w:w="0" w:type="dxa"/>
          </w:tblCellMar>
        </w:tblPrEx>
        <w:trPr>
          <w:wBefore w:w="0" w:type="auto"/>
          <w:tblCellSpacing w:w="0" w:type="dxa"/>
        </w:trPr>
        <w:tc>
          <w:tcPr>
            <w:tcW w:w="0" w:type="auto"/>
            <w:noWrap w:val="0"/>
            <w:vAlign w:val="center"/>
          </w:tcPr>
          <w:p w14:paraId="1DB81AAD">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本品应贮存在干燥、阴凉、通风、防雨处，远离火源或热源。置于儿童接触不到之处，并加锁。勿与食品、饮料、粮食、饲料等其他商品同贮同运。</w:t>
            </w:r>
          </w:p>
        </w:tc>
      </w:tr>
      <w:tr w14:paraId="1B54F313">
        <w:tblPrEx>
          <w:tblCellMar>
            <w:top w:w="0" w:type="dxa"/>
            <w:left w:w="0" w:type="dxa"/>
            <w:bottom w:w="0" w:type="dxa"/>
            <w:right w:w="0" w:type="dxa"/>
          </w:tblCellMar>
        </w:tblPrEx>
        <w:trPr>
          <w:wBefore w:w="0" w:type="auto"/>
          <w:tblCellSpacing w:w="0" w:type="dxa"/>
        </w:trPr>
        <w:tc>
          <w:tcPr>
            <w:tcW w:w="0" w:type="auto"/>
            <w:noWrap w:val="0"/>
            <w:vAlign w:val="center"/>
          </w:tcPr>
          <w:p w14:paraId="32DAC0C3">
            <w:r>
              <w:rPr>
                <w:rStyle w:val="10"/>
                <w:rFonts w:hint="eastAsia"/>
              </w:rPr>
              <w:t>质量保证期：</w:t>
            </w:r>
            <w:r>
              <w:rPr>
                <w:rStyle w:val="11"/>
                <w:rFonts w:hint="eastAsia"/>
              </w:rPr>
              <w:t>2年</w:t>
            </w:r>
          </w:p>
        </w:tc>
      </w:tr>
      <w:tr w14:paraId="561E4EF3">
        <w:tblPrEx>
          <w:tblCellMar>
            <w:top w:w="0" w:type="dxa"/>
            <w:left w:w="0" w:type="dxa"/>
            <w:bottom w:w="0" w:type="dxa"/>
            <w:right w:w="0" w:type="dxa"/>
          </w:tblCellMar>
        </w:tblPrEx>
        <w:trPr>
          <w:wBefore w:w="0" w:type="auto"/>
          <w:tblCellSpacing w:w="0" w:type="dxa"/>
        </w:trPr>
        <w:tc>
          <w:tcPr>
            <w:tcW w:w="0" w:type="auto"/>
            <w:noWrap w:val="0"/>
            <w:vAlign w:val="center"/>
          </w:tcPr>
          <w:p w14:paraId="7A2E29D2">
            <w:r>
              <w:rPr>
                <w:rStyle w:val="10"/>
                <w:rFonts w:hint="eastAsia"/>
              </w:rPr>
              <w:t>备注：</w:t>
            </w:r>
          </w:p>
        </w:tc>
      </w:tr>
    </w:tbl>
    <w:p w14:paraId="6B8AC24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3D3C19">
        <w:tblPrEx>
          <w:tblCellMar>
            <w:top w:w="0" w:type="dxa"/>
            <w:left w:w="0" w:type="dxa"/>
            <w:bottom w:w="0" w:type="dxa"/>
            <w:right w:w="0" w:type="dxa"/>
          </w:tblCellMar>
        </w:tblPrEx>
        <w:trPr>
          <w:wBefore w:w="0" w:type="auto"/>
          <w:tblCellSpacing w:w="0" w:type="dxa"/>
        </w:trPr>
        <w:tc>
          <w:tcPr>
            <w:tcW w:w="0" w:type="auto"/>
            <w:noWrap w:val="0"/>
            <w:vAlign w:val="center"/>
          </w:tcPr>
          <w:p w14:paraId="0AE65AAF">
            <w:r>
              <w:rPr>
                <w:rStyle w:val="10"/>
                <w:rFonts w:hint="eastAsia"/>
              </w:rPr>
              <w:t>登记证号：</w:t>
            </w:r>
            <w:r>
              <w:rPr>
                <w:rFonts w:hint="eastAsia"/>
              </w:rPr>
              <w:t>PD20212482</w:t>
            </w:r>
          </w:p>
        </w:tc>
      </w:tr>
      <w:tr w14:paraId="1A791E29">
        <w:tblPrEx>
          <w:tblCellMar>
            <w:top w:w="0" w:type="dxa"/>
            <w:left w:w="0" w:type="dxa"/>
            <w:bottom w:w="0" w:type="dxa"/>
            <w:right w:w="0" w:type="dxa"/>
          </w:tblCellMar>
        </w:tblPrEx>
        <w:trPr>
          <w:wBefore w:w="0" w:type="auto"/>
          <w:tblCellSpacing w:w="0" w:type="dxa"/>
        </w:trPr>
        <w:tc>
          <w:tcPr>
            <w:tcW w:w="0" w:type="auto"/>
            <w:noWrap w:val="0"/>
            <w:vAlign w:val="center"/>
          </w:tcPr>
          <w:p w14:paraId="59E12EA2">
            <w:r>
              <w:rPr>
                <w:rStyle w:val="10"/>
                <w:rFonts w:hint="eastAsia"/>
              </w:rPr>
              <w:t>登记证持有人：</w:t>
            </w:r>
            <w:r>
              <w:rPr>
                <w:rFonts w:hint="eastAsia"/>
              </w:rPr>
              <w:t>安徽省四达农药化工有限公司</w:t>
            </w:r>
          </w:p>
        </w:tc>
      </w:tr>
      <w:tr w14:paraId="2D7007AB">
        <w:tblPrEx>
          <w:tblCellMar>
            <w:top w:w="0" w:type="dxa"/>
            <w:left w:w="0" w:type="dxa"/>
            <w:bottom w:w="0" w:type="dxa"/>
            <w:right w:w="0" w:type="dxa"/>
          </w:tblCellMar>
        </w:tblPrEx>
        <w:trPr>
          <w:wBefore w:w="0" w:type="auto"/>
          <w:tblCellSpacing w:w="0" w:type="dxa"/>
        </w:trPr>
        <w:tc>
          <w:tcPr>
            <w:tcW w:w="0" w:type="auto"/>
            <w:noWrap w:val="0"/>
            <w:vAlign w:val="center"/>
          </w:tcPr>
          <w:p w14:paraId="4CA416D0">
            <w:r>
              <w:rPr>
                <w:rStyle w:val="10"/>
                <w:rFonts w:hint="eastAsia"/>
              </w:rPr>
              <w:t>农药名称：</w:t>
            </w:r>
            <w:r>
              <w:rPr>
                <w:rFonts w:hint="eastAsia"/>
              </w:rPr>
              <w:t>唑啉草酯</w:t>
            </w:r>
          </w:p>
        </w:tc>
      </w:tr>
      <w:tr w14:paraId="394F7087">
        <w:tblPrEx>
          <w:tblCellMar>
            <w:top w:w="0" w:type="dxa"/>
            <w:left w:w="0" w:type="dxa"/>
            <w:bottom w:w="0" w:type="dxa"/>
            <w:right w:w="0" w:type="dxa"/>
          </w:tblCellMar>
        </w:tblPrEx>
        <w:trPr>
          <w:wBefore w:w="0" w:type="auto"/>
          <w:tblCellSpacing w:w="0" w:type="dxa"/>
        </w:trPr>
        <w:tc>
          <w:tcPr>
            <w:tcW w:w="0" w:type="auto"/>
            <w:noWrap w:val="0"/>
            <w:vAlign w:val="center"/>
          </w:tcPr>
          <w:p w14:paraId="731CF125">
            <w:r>
              <w:rPr>
                <w:rStyle w:val="10"/>
                <w:rFonts w:hint="eastAsia"/>
              </w:rPr>
              <w:t>剂型：</w:t>
            </w:r>
            <w:r>
              <w:rPr>
                <w:rFonts w:hint="eastAsia"/>
              </w:rPr>
              <w:t>乳油</w:t>
            </w:r>
          </w:p>
        </w:tc>
      </w:tr>
      <w:tr w14:paraId="0E5BD002">
        <w:tblPrEx>
          <w:tblCellMar>
            <w:top w:w="0" w:type="dxa"/>
            <w:left w:w="0" w:type="dxa"/>
            <w:bottom w:w="0" w:type="dxa"/>
            <w:right w:w="0" w:type="dxa"/>
          </w:tblCellMar>
        </w:tblPrEx>
        <w:trPr>
          <w:wBefore w:w="0" w:type="auto"/>
          <w:tblCellSpacing w:w="0" w:type="dxa"/>
        </w:trPr>
        <w:tc>
          <w:tcPr>
            <w:tcW w:w="0" w:type="auto"/>
            <w:noWrap w:val="0"/>
            <w:vAlign w:val="center"/>
          </w:tcPr>
          <w:p w14:paraId="62022F18">
            <w:r>
              <w:rPr>
                <w:rStyle w:val="10"/>
                <w:rFonts w:hint="eastAsia"/>
              </w:rPr>
              <w:t>毒性及其标识：</w:t>
            </w:r>
            <w:r>
              <w:rPr>
                <w:rFonts w:hint="eastAsia"/>
              </w:rPr>
              <w:t xml:space="preserve"> </w:t>
            </w:r>
            <w:r>
              <w:rPr>
                <w:lang/>
              </w:rPr>
              <w:drawing>
                <wp:inline distT="0" distB="0" distL="114300" distR="114300">
                  <wp:extent cx="476250" cy="323850"/>
                  <wp:effectExtent l="0" t="0" r="0" b="0"/>
                  <wp:docPr id="167" name="图片 1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DCE64E">
        <w:tblPrEx>
          <w:tblCellMar>
            <w:top w:w="0" w:type="dxa"/>
            <w:left w:w="0" w:type="dxa"/>
            <w:bottom w:w="0" w:type="dxa"/>
            <w:right w:w="0" w:type="dxa"/>
          </w:tblCellMar>
        </w:tblPrEx>
        <w:trPr>
          <w:wBefore w:w="0" w:type="auto"/>
          <w:tblCellSpacing w:w="0" w:type="dxa"/>
        </w:trPr>
        <w:tc>
          <w:tcPr>
            <w:tcW w:w="0" w:type="auto"/>
            <w:noWrap w:val="0"/>
            <w:vAlign w:val="center"/>
          </w:tcPr>
          <w:p w14:paraId="4FBACF01">
            <w:r>
              <w:rPr>
                <w:rStyle w:val="10"/>
                <w:rFonts w:hint="eastAsia"/>
              </w:rPr>
              <w:t>总有效成分含量：</w:t>
            </w:r>
            <w:r>
              <w:rPr>
                <w:rFonts w:hint="eastAsia"/>
              </w:rPr>
              <w:t>10%</w:t>
            </w:r>
          </w:p>
        </w:tc>
      </w:tr>
      <w:tr w14:paraId="43AF7AB3">
        <w:trPr>
          <w:wBefore w:w="0" w:type="auto"/>
          <w:tblCellSpacing w:w="0" w:type="dxa"/>
        </w:trPr>
        <w:tc>
          <w:tcPr>
            <w:tcW w:w="0" w:type="auto"/>
            <w:noWrap w:val="0"/>
            <w:vAlign w:val="center"/>
          </w:tcPr>
          <w:p w14:paraId="56F74CB9">
            <w:r>
              <w:rPr>
                <w:rFonts w:hint="eastAsia"/>
              </w:rPr>
              <w:t xml:space="preserve">有效成分及其含量： </w:t>
            </w:r>
          </w:p>
          <w:p w14:paraId="6009735E">
            <w:r>
              <w:rPr>
                <w:rFonts w:hint="eastAsia"/>
              </w:rPr>
              <w:t xml:space="preserve">    唑啉草酯10%    </w:t>
            </w:r>
          </w:p>
        </w:tc>
      </w:tr>
      <w:tr w14:paraId="0CA5F4B2">
        <w:tblPrEx>
          <w:tblCellMar>
            <w:top w:w="0" w:type="dxa"/>
            <w:left w:w="0" w:type="dxa"/>
            <w:bottom w:w="0" w:type="dxa"/>
            <w:right w:w="0" w:type="dxa"/>
          </w:tblCellMar>
        </w:tblPrEx>
        <w:trPr>
          <w:wBefore w:w="0" w:type="auto"/>
          <w:tblCellSpacing w:w="0" w:type="dxa"/>
        </w:trPr>
        <w:tc>
          <w:tcPr>
            <w:tcW w:w="0" w:type="auto"/>
            <w:noWrap w:val="0"/>
            <w:vAlign w:val="center"/>
          </w:tcPr>
          <w:p w14:paraId="52120B2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6FB1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5912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0556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057A0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97A072">
                  <w:r>
                    <w:rPr>
                      <w:rStyle w:val="11"/>
                      <w:rFonts w:hint="eastAsia"/>
                    </w:rPr>
                    <w:t>施用方式</w:t>
                  </w:r>
                </w:p>
              </w:tc>
            </w:tr>
            <w:tr w14:paraId="217A6D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5BF033">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96650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BB8076">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D46FA3">
                  <w:r>
                    <w:rPr>
                      <w:rStyle w:val="11"/>
                      <w:rFonts w:hint="eastAsia"/>
                    </w:rPr>
                    <w:t>茎叶喷雾</w:t>
                  </w:r>
                </w:p>
              </w:tc>
            </w:tr>
          </w:tbl>
          <w:p w14:paraId="57355B3E">
            <w:pPr>
              <w:rPr>
                <w:rFonts w:ascii="Times New Roman" w:hAnsi="Times New Roman" w:cs="Times New Roman"/>
                <w:sz w:val="20"/>
                <w:szCs w:val="20"/>
              </w:rPr>
            </w:pPr>
          </w:p>
        </w:tc>
      </w:tr>
      <w:tr w14:paraId="62B3E3BF">
        <w:tblPrEx>
          <w:tblCellMar>
            <w:top w:w="0" w:type="dxa"/>
            <w:left w:w="0" w:type="dxa"/>
            <w:bottom w:w="0" w:type="dxa"/>
            <w:right w:w="0" w:type="dxa"/>
          </w:tblCellMar>
        </w:tblPrEx>
        <w:trPr>
          <w:wBefore w:w="0" w:type="auto"/>
          <w:tblCellSpacing w:w="0" w:type="dxa"/>
        </w:trPr>
        <w:tc>
          <w:tcPr>
            <w:tcW w:w="0" w:type="auto"/>
            <w:noWrap w:val="0"/>
            <w:vAlign w:val="center"/>
          </w:tcPr>
          <w:p w14:paraId="5FB3ADAE">
            <w:r>
              <w:rPr>
                <w:rStyle w:val="10"/>
                <w:rFonts w:hint="eastAsia"/>
              </w:rPr>
              <w:t>使用技术要求:</w:t>
            </w:r>
            <w:r>
              <w:rPr>
                <w:rFonts w:hint="eastAsia"/>
              </w:rPr>
              <w:br w:type="textWrapping"/>
            </w:r>
            <w:r>
              <w:rPr>
                <w:rStyle w:val="11"/>
                <w:rFonts w:hint="eastAsia"/>
              </w:rPr>
              <w:t>1、一年生禾本科杂草3-5叶期茎叶喷雾处理。每亩兑水30-40公斤。2、不推荐与激素类除草剂混用，如2,4-D、2甲4氯、麦草畏等；与其他除草剂、农药、肥料混用建议先进行测试，3、避免在极端气候如气温大幅波动， 异常干旱，极端低温高温，田间积水，小麦生长不良等条件下使用，否则可能影响药效或导致作物药害4. 严格按推荐剂量，田间喷液量要均匀一致，严禁重喷、多喷和漏喷。杂草草龄较大或发生密度较大时，采用批准登记高剂量。5、每季最多使用1次。</w:t>
            </w:r>
          </w:p>
        </w:tc>
      </w:tr>
      <w:tr w14:paraId="622A50B6">
        <w:tblPrEx>
          <w:tblCellMar>
            <w:top w:w="0" w:type="dxa"/>
            <w:left w:w="0" w:type="dxa"/>
            <w:bottom w:w="0" w:type="dxa"/>
            <w:right w:w="0" w:type="dxa"/>
          </w:tblCellMar>
        </w:tblPrEx>
        <w:trPr>
          <w:wBefore w:w="0" w:type="auto"/>
          <w:tblCellSpacing w:w="0" w:type="dxa"/>
        </w:trPr>
        <w:tc>
          <w:tcPr>
            <w:tcW w:w="0" w:type="auto"/>
            <w:noWrap w:val="0"/>
            <w:vAlign w:val="center"/>
          </w:tcPr>
          <w:p w14:paraId="4C3E1E70">
            <w:r>
              <w:rPr>
                <w:rStyle w:val="10"/>
                <w:rFonts w:hint="eastAsia"/>
              </w:rPr>
              <w:t>产品性能:</w:t>
            </w:r>
            <w:r>
              <w:rPr>
                <w:rFonts w:hint="eastAsia"/>
              </w:rPr>
              <w:br w:type="textWrapping"/>
            </w:r>
            <w:r>
              <w:rPr>
                <w:rStyle w:val="11"/>
                <w:rFonts w:hint="eastAsia"/>
              </w:rPr>
              <w:t>唑啉草酯属新苯基吡唑啉类除草剂，作用机理为乙酰辅酶A羧化酶（ACC）抑制剂。造成脂肪酸合成受阻，使细胞生长分裂停止，细胞膜含脂结构被破坏，导致杂草死亡。具有内吸传导性，主要用于冬小麦田防除一年生禾本科杂草，可防除野燕麦、看麦娘、狗尾草、稗草等大多数一年生禾本科杂草。</w:t>
            </w:r>
          </w:p>
        </w:tc>
      </w:tr>
      <w:tr w14:paraId="012C88AA">
        <w:tblPrEx>
          <w:tblCellMar>
            <w:top w:w="0" w:type="dxa"/>
            <w:left w:w="0" w:type="dxa"/>
            <w:bottom w:w="0" w:type="dxa"/>
            <w:right w:w="0" w:type="dxa"/>
          </w:tblCellMar>
        </w:tblPrEx>
        <w:trPr>
          <w:wBefore w:w="0" w:type="auto"/>
          <w:tblCellSpacing w:w="0" w:type="dxa"/>
        </w:trPr>
        <w:tc>
          <w:tcPr>
            <w:tcW w:w="0" w:type="auto"/>
            <w:noWrap w:val="0"/>
            <w:vAlign w:val="center"/>
          </w:tcPr>
          <w:p w14:paraId="46BD1517">
            <w:r>
              <w:rPr>
                <w:rStyle w:val="10"/>
                <w:rFonts w:hint="eastAsia"/>
              </w:rPr>
              <w:t>注意事项：</w:t>
            </w:r>
            <w:r>
              <w:rPr>
                <w:rFonts w:hint="eastAsia"/>
              </w:rPr>
              <w:br w:type="textWrapping"/>
            </w:r>
            <w:r>
              <w:rPr>
                <w:rStyle w:val="11"/>
                <w:rFonts w:hint="eastAsia"/>
              </w:rPr>
              <w:t>1、正常使用技术条件下对后茬作物安全。2、使用本品时应穿戴防护服、手套等，避免吸入药液；施药期间不可吃东西、饮水等。施药后应及时洗手、洗脸等。3、清洗施药器具的废水不能排入河流、池塘等水源。废弃物应妥善处理，不可做他用，也不可随意丢弃。4、禁止在河塘等水体清洗施药器械。5、勿将药液或空包装弃于水中，避免影响鱼类和污染水源。6、孕妇及哺乳期妇女应避免接触本品。7、本品对眼睛有刺激性，使用时要注意避免药液与眼睛接触。</w:t>
            </w:r>
          </w:p>
        </w:tc>
      </w:tr>
      <w:tr w14:paraId="2757CBB0">
        <w:tblPrEx>
          <w:tblCellMar>
            <w:top w:w="0" w:type="dxa"/>
            <w:left w:w="0" w:type="dxa"/>
            <w:bottom w:w="0" w:type="dxa"/>
            <w:right w:w="0" w:type="dxa"/>
          </w:tblCellMar>
        </w:tblPrEx>
        <w:trPr>
          <w:wBefore w:w="0" w:type="auto"/>
          <w:tblCellSpacing w:w="0" w:type="dxa"/>
        </w:trPr>
        <w:tc>
          <w:tcPr>
            <w:tcW w:w="0" w:type="auto"/>
            <w:noWrap w:val="0"/>
            <w:vAlign w:val="center"/>
          </w:tcPr>
          <w:p w14:paraId="051C808B">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眼睛溅入∶立刻用大量清水冲洗15-20分钟，如配戴隐形眼镜，冲洗5分钟后摘掉眼镜再冲洗15分钟。携此标签去医院诊治。 2．误食∶立即饮用一杯或两杯水。任何时候，不要试图让失去知觉的人呕吐或通过口部为其喂食。并请立即带标签就医。 3．皮肤沾附∶脱去被溅到衣服。立即用大量清水冲洗皮肤。衣服彻底清洗后方可再穿。 4．误吸∶转移至空气清新处，如症状持续，向医生咨询。 5．给医护人员的提示：无特效解毒药，请医生根据症状治疗。</w:t>
            </w:r>
          </w:p>
        </w:tc>
      </w:tr>
      <w:tr w14:paraId="7CC98050">
        <w:tblPrEx>
          <w:tblCellMar>
            <w:top w:w="0" w:type="dxa"/>
            <w:left w:w="0" w:type="dxa"/>
            <w:bottom w:w="0" w:type="dxa"/>
            <w:right w:w="0" w:type="dxa"/>
          </w:tblCellMar>
        </w:tblPrEx>
        <w:trPr>
          <w:wBefore w:w="0" w:type="auto"/>
          <w:tblCellSpacing w:w="0" w:type="dxa"/>
        </w:trPr>
        <w:tc>
          <w:tcPr>
            <w:tcW w:w="0" w:type="auto"/>
            <w:noWrap w:val="0"/>
            <w:vAlign w:val="center"/>
          </w:tcPr>
          <w:p w14:paraId="6CD378EF">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3、勿与食品、饮料、粮食、饲料等其他商品同贮同运。</w:t>
            </w:r>
          </w:p>
        </w:tc>
      </w:tr>
      <w:tr w14:paraId="769BEE8E">
        <w:tblPrEx>
          <w:tblCellMar>
            <w:top w:w="0" w:type="dxa"/>
            <w:left w:w="0" w:type="dxa"/>
            <w:bottom w:w="0" w:type="dxa"/>
            <w:right w:w="0" w:type="dxa"/>
          </w:tblCellMar>
        </w:tblPrEx>
        <w:trPr>
          <w:wBefore w:w="0" w:type="auto"/>
          <w:tblCellSpacing w:w="0" w:type="dxa"/>
        </w:trPr>
        <w:tc>
          <w:tcPr>
            <w:tcW w:w="0" w:type="auto"/>
            <w:noWrap w:val="0"/>
            <w:vAlign w:val="center"/>
          </w:tcPr>
          <w:p w14:paraId="01B9F331">
            <w:r>
              <w:rPr>
                <w:rStyle w:val="10"/>
                <w:rFonts w:hint="eastAsia"/>
              </w:rPr>
              <w:t>质量保证期：</w:t>
            </w:r>
            <w:r>
              <w:rPr>
                <w:rStyle w:val="11"/>
                <w:rFonts w:hint="eastAsia"/>
              </w:rPr>
              <w:t>2年</w:t>
            </w:r>
          </w:p>
        </w:tc>
      </w:tr>
      <w:tr w14:paraId="10A17ED4">
        <w:tblPrEx>
          <w:tblCellMar>
            <w:top w:w="0" w:type="dxa"/>
            <w:left w:w="0" w:type="dxa"/>
            <w:bottom w:w="0" w:type="dxa"/>
            <w:right w:w="0" w:type="dxa"/>
          </w:tblCellMar>
        </w:tblPrEx>
        <w:trPr>
          <w:wBefore w:w="0" w:type="auto"/>
          <w:tblCellSpacing w:w="0" w:type="dxa"/>
        </w:trPr>
        <w:tc>
          <w:tcPr>
            <w:tcW w:w="0" w:type="auto"/>
            <w:noWrap w:val="0"/>
            <w:vAlign w:val="center"/>
          </w:tcPr>
          <w:p w14:paraId="1EBB44AA">
            <w:r>
              <w:rPr>
                <w:rStyle w:val="10"/>
                <w:rFonts w:hint="eastAsia"/>
              </w:rPr>
              <w:t>备注：</w:t>
            </w:r>
          </w:p>
        </w:tc>
      </w:tr>
    </w:tbl>
    <w:p w14:paraId="11245A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699D29">
        <w:tblPrEx>
          <w:tblCellMar>
            <w:top w:w="0" w:type="dxa"/>
            <w:left w:w="0" w:type="dxa"/>
            <w:bottom w:w="0" w:type="dxa"/>
            <w:right w:w="0" w:type="dxa"/>
          </w:tblCellMar>
        </w:tblPrEx>
        <w:trPr>
          <w:wBefore w:w="0" w:type="auto"/>
          <w:tblCellSpacing w:w="0" w:type="dxa"/>
        </w:trPr>
        <w:tc>
          <w:tcPr>
            <w:tcW w:w="0" w:type="auto"/>
            <w:noWrap w:val="0"/>
            <w:vAlign w:val="center"/>
          </w:tcPr>
          <w:p w14:paraId="0904D356">
            <w:r>
              <w:rPr>
                <w:rStyle w:val="10"/>
                <w:rFonts w:hint="eastAsia"/>
              </w:rPr>
              <w:t>登记证号：</w:t>
            </w:r>
            <w:r>
              <w:rPr>
                <w:rFonts w:hint="eastAsia"/>
              </w:rPr>
              <w:t>PD20212706</w:t>
            </w:r>
          </w:p>
        </w:tc>
      </w:tr>
      <w:tr w14:paraId="0C99C69D">
        <w:tblPrEx>
          <w:tblCellMar>
            <w:top w:w="0" w:type="dxa"/>
            <w:left w:w="0" w:type="dxa"/>
            <w:bottom w:w="0" w:type="dxa"/>
            <w:right w:w="0" w:type="dxa"/>
          </w:tblCellMar>
        </w:tblPrEx>
        <w:trPr>
          <w:wBefore w:w="0" w:type="auto"/>
          <w:tblCellSpacing w:w="0" w:type="dxa"/>
        </w:trPr>
        <w:tc>
          <w:tcPr>
            <w:tcW w:w="0" w:type="auto"/>
            <w:noWrap w:val="0"/>
            <w:vAlign w:val="center"/>
          </w:tcPr>
          <w:p w14:paraId="6DB1308E">
            <w:r>
              <w:rPr>
                <w:rStyle w:val="10"/>
                <w:rFonts w:hint="eastAsia"/>
              </w:rPr>
              <w:t>登记证持有人：</w:t>
            </w:r>
            <w:r>
              <w:rPr>
                <w:rFonts w:hint="eastAsia"/>
              </w:rPr>
              <w:t>江阴苏利化学股份有限公司</w:t>
            </w:r>
          </w:p>
        </w:tc>
      </w:tr>
      <w:tr w14:paraId="68C2654B">
        <w:tblPrEx>
          <w:tblCellMar>
            <w:top w:w="0" w:type="dxa"/>
            <w:left w:w="0" w:type="dxa"/>
            <w:bottom w:w="0" w:type="dxa"/>
            <w:right w:w="0" w:type="dxa"/>
          </w:tblCellMar>
        </w:tblPrEx>
        <w:trPr>
          <w:wBefore w:w="0" w:type="auto"/>
          <w:tblCellSpacing w:w="0" w:type="dxa"/>
        </w:trPr>
        <w:tc>
          <w:tcPr>
            <w:tcW w:w="0" w:type="auto"/>
            <w:noWrap w:val="0"/>
            <w:vAlign w:val="center"/>
          </w:tcPr>
          <w:p w14:paraId="761886F0">
            <w:r>
              <w:rPr>
                <w:rStyle w:val="10"/>
                <w:rFonts w:hint="eastAsia"/>
              </w:rPr>
              <w:t>农药名称：</w:t>
            </w:r>
            <w:r>
              <w:rPr>
                <w:rFonts w:hint="eastAsia"/>
              </w:rPr>
              <w:t>种菌唑</w:t>
            </w:r>
          </w:p>
        </w:tc>
      </w:tr>
      <w:tr w14:paraId="018F9125">
        <w:tblPrEx>
          <w:tblCellMar>
            <w:top w:w="0" w:type="dxa"/>
            <w:left w:w="0" w:type="dxa"/>
            <w:bottom w:w="0" w:type="dxa"/>
            <w:right w:w="0" w:type="dxa"/>
          </w:tblCellMar>
        </w:tblPrEx>
        <w:trPr>
          <w:wBefore w:w="0" w:type="auto"/>
          <w:tblCellSpacing w:w="0" w:type="dxa"/>
        </w:trPr>
        <w:tc>
          <w:tcPr>
            <w:tcW w:w="0" w:type="auto"/>
            <w:noWrap w:val="0"/>
            <w:vAlign w:val="center"/>
          </w:tcPr>
          <w:p w14:paraId="7031EF70">
            <w:r>
              <w:rPr>
                <w:rStyle w:val="10"/>
                <w:rFonts w:hint="eastAsia"/>
              </w:rPr>
              <w:t>剂型：</w:t>
            </w:r>
            <w:r>
              <w:rPr>
                <w:rFonts w:hint="eastAsia"/>
              </w:rPr>
              <w:t>种子处理悬浮剂</w:t>
            </w:r>
          </w:p>
        </w:tc>
      </w:tr>
      <w:tr w14:paraId="79928DC4">
        <w:tblPrEx>
          <w:tblCellMar>
            <w:top w:w="0" w:type="dxa"/>
            <w:left w:w="0" w:type="dxa"/>
            <w:bottom w:w="0" w:type="dxa"/>
            <w:right w:w="0" w:type="dxa"/>
          </w:tblCellMar>
        </w:tblPrEx>
        <w:trPr>
          <w:wBefore w:w="0" w:type="auto"/>
          <w:tblCellSpacing w:w="0" w:type="dxa"/>
        </w:trPr>
        <w:tc>
          <w:tcPr>
            <w:tcW w:w="0" w:type="auto"/>
            <w:noWrap w:val="0"/>
            <w:vAlign w:val="center"/>
          </w:tcPr>
          <w:p w14:paraId="01702DCE">
            <w:r>
              <w:rPr>
                <w:rStyle w:val="10"/>
                <w:rFonts w:hint="eastAsia"/>
              </w:rPr>
              <w:t>毒性及其标识：</w:t>
            </w:r>
            <w:r>
              <w:rPr>
                <w:rFonts w:hint="eastAsia"/>
              </w:rPr>
              <w:t xml:space="preserve"> </w:t>
            </w:r>
            <w:r>
              <w:rPr>
                <w:lang/>
              </w:rPr>
              <w:drawing>
                <wp:inline distT="0" distB="0" distL="114300" distR="114300">
                  <wp:extent cx="476250" cy="323850"/>
                  <wp:effectExtent l="0" t="0" r="0" b="0"/>
                  <wp:docPr id="168" name="图片 1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05BF6A">
        <w:tblPrEx>
          <w:tblCellMar>
            <w:top w:w="0" w:type="dxa"/>
            <w:left w:w="0" w:type="dxa"/>
            <w:bottom w:w="0" w:type="dxa"/>
            <w:right w:w="0" w:type="dxa"/>
          </w:tblCellMar>
        </w:tblPrEx>
        <w:trPr>
          <w:wBefore w:w="0" w:type="auto"/>
          <w:tblCellSpacing w:w="0" w:type="dxa"/>
        </w:trPr>
        <w:tc>
          <w:tcPr>
            <w:tcW w:w="0" w:type="auto"/>
            <w:noWrap w:val="0"/>
            <w:vAlign w:val="center"/>
          </w:tcPr>
          <w:p w14:paraId="692D42BA">
            <w:r>
              <w:rPr>
                <w:rStyle w:val="10"/>
                <w:rFonts w:hint="eastAsia"/>
              </w:rPr>
              <w:t>总有效成分含量：</w:t>
            </w:r>
            <w:r>
              <w:rPr>
                <w:rFonts w:hint="eastAsia"/>
              </w:rPr>
              <w:t>100克/升</w:t>
            </w:r>
          </w:p>
        </w:tc>
      </w:tr>
      <w:tr w14:paraId="6CC0713D">
        <w:tblPrEx>
          <w:tblCellMar>
            <w:top w:w="0" w:type="dxa"/>
            <w:left w:w="0" w:type="dxa"/>
            <w:bottom w:w="0" w:type="dxa"/>
            <w:right w:w="0" w:type="dxa"/>
          </w:tblCellMar>
        </w:tblPrEx>
        <w:trPr>
          <w:wBefore w:w="0" w:type="auto"/>
          <w:tblCellSpacing w:w="0" w:type="dxa"/>
        </w:trPr>
        <w:tc>
          <w:tcPr>
            <w:tcW w:w="0" w:type="auto"/>
            <w:noWrap w:val="0"/>
            <w:vAlign w:val="center"/>
          </w:tcPr>
          <w:p w14:paraId="7AEC4406">
            <w:r>
              <w:rPr>
                <w:rFonts w:hint="eastAsia"/>
              </w:rPr>
              <w:t xml:space="preserve">有效成分及其含量： </w:t>
            </w:r>
          </w:p>
          <w:p w14:paraId="5610FFCB">
            <w:r>
              <w:rPr>
                <w:rFonts w:hint="eastAsia"/>
              </w:rPr>
              <w:t xml:space="preserve">    种菌唑100克/升    </w:t>
            </w:r>
          </w:p>
        </w:tc>
      </w:tr>
      <w:tr w14:paraId="20508DC6">
        <w:tblPrEx>
          <w:tblCellMar>
            <w:top w:w="0" w:type="dxa"/>
            <w:left w:w="0" w:type="dxa"/>
            <w:bottom w:w="0" w:type="dxa"/>
            <w:right w:w="0" w:type="dxa"/>
          </w:tblCellMar>
        </w:tblPrEx>
        <w:trPr>
          <w:wBefore w:w="0" w:type="auto"/>
          <w:tblCellSpacing w:w="0" w:type="dxa"/>
        </w:trPr>
        <w:tc>
          <w:tcPr>
            <w:tcW w:w="0" w:type="auto"/>
            <w:noWrap w:val="0"/>
            <w:vAlign w:val="center"/>
          </w:tcPr>
          <w:p w14:paraId="0AFB80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4C01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2B90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2159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15364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724C1A">
                  <w:r>
                    <w:rPr>
                      <w:rStyle w:val="11"/>
                      <w:rFonts w:hint="eastAsia"/>
                    </w:rPr>
                    <w:t>施用方式</w:t>
                  </w:r>
                </w:p>
              </w:tc>
            </w:tr>
            <w:tr w14:paraId="4F7754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A4E887">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BFB7D4">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7BC5D7">
                  <w:r>
                    <w:rPr>
                      <w:rStyle w:val="11"/>
                      <w:rFonts w:hint="eastAsia"/>
                    </w:rPr>
                    <w:t>150-250毫升/100千克种子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BCD0A1">
                  <w:r>
                    <w:rPr>
                      <w:rStyle w:val="11"/>
                      <w:rFonts w:hint="eastAsia"/>
                    </w:rPr>
                    <w:t>种子包衣</w:t>
                  </w:r>
                </w:p>
              </w:tc>
            </w:tr>
          </w:tbl>
          <w:p w14:paraId="5BB98FED">
            <w:pPr>
              <w:rPr>
                <w:rFonts w:ascii="Times New Roman" w:hAnsi="Times New Roman" w:cs="Times New Roman"/>
                <w:sz w:val="20"/>
                <w:szCs w:val="20"/>
              </w:rPr>
            </w:pPr>
          </w:p>
        </w:tc>
      </w:tr>
      <w:tr w14:paraId="3F6FE6D5">
        <w:tblPrEx>
          <w:tblCellMar>
            <w:top w:w="0" w:type="dxa"/>
            <w:left w:w="0" w:type="dxa"/>
            <w:bottom w:w="0" w:type="dxa"/>
            <w:right w:w="0" w:type="dxa"/>
          </w:tblCellMar>
        </w:tblPrEx>
        <w:trPr>
          <w:wBefore w:w="0" w:type="auto"/>
          <w:tblCellSpacing w:w="0" w:type="dxa"/>
        </w:trPr>
        <w:tc>
          <w:tcPr>
            <w:tcW w:w="0" w:type="auto"/>
            <w:noWrap w:val="0"/>
            <w:vAlign w:val="center"/>
          </w:tcPr>
          <w:p w14:paraId="3E3B8537">
            <w:r>
              <w:rPr>
                <w:rStyle w:val="10"/>
                <w:rFonts w:hint="eastAsia"/>
              </w:rPr>
              <w:t>使用技术要求:</w:t>
            </w:r>
            <w:r>
              <w:rPr>
                <w:rFonts w:hint="eastAsia"/>
              </w:rPr>
              <w:br w:type="textWrapping"/>
            </w:r>
            <w:r>
              <w:rPr>
                <w:rStyle w:val="11"/>
                <w:rFonts w:hint="eastAsia"/>
              </w:rPr>
              <w:t>1.本品使用方便，可供农户直接包衣，亦可供种子公司作种子包衣剂。2.用于处理的种子应达到国家良种标准。3.配制好的药液应在24小时内使用。4.种子包衣方法：以包100公斤种子为例，按推荐用药量，用水稀释至1-2升，将药浆与种子充分搅拌，直到药液均匀分布到种子表面，晾干后即可。5.本品在上述作物新品种上大面积应用时，必须先进行小范围的安全性试验。6.本产品拌种使用，每季用药1次。7.存放过程中可能会出现沉淀或分层，需摇匀后使用。</w:t>
            </w:r>
          </w:p>
        </w:tc>
      </w:tr>
      <w:tr w14:paraId="636299DA">
        <w:tblPrEx>
          <w:tblCellMar>
            <w:top w:w="0" w:type="dxa"/>
            <w:left w:w="0" w:type="dxa"/>
            <w:bottom w:w="0" w:type="dxa"/>
            <w:right w:w="0" w:type="dxa"/>
          </w:tblCellMar>
        </w:tblPrEx>
        <w:trPr>
          <w:wBefore w:w="0" w:type="auto"/>
          <w:tblCellSpacing w:w="0" w:type="dxa"/>
        </w:trPr>
        <w:tc>
          <w:tcPr>
            <w:tcW w:w="0" w:type="auto"/>
            <w:noWrap w:val="0"/>
            <w:vAlign w:val="center"/>
          </w:tcPr>
          <w:p w14:paraId="126EAF31">
            <w:r>
              <w:rPr>
                <w:rStyle w:val="10"/>
                <w:rFonts w:hint="eastAsia"/>
              </w:rPr>
              <w:t>产品性能:</w:t>
            </w:r>
            <w:r>
              <w:rPr>
                <w:rFonts w:hint="eastAsia"/>
              </w:rPr>
              <w:br w:type="textWrapping"/>
            </w:r>
            <w:r>
              <w:rPr>
                <w:rStyle w:val="11"/>
                <w:rFonts w:hint="eastAsia"/>
              </w:rPr>
              <w:t>本品外观为红色液体，有微弱气味，非易燃易品。其作用机制为麦角甾醇生物合成抑制剂，兼具内吸、保护和治疗作用。</w:t>
            </w:r>
          </w:p>
        </w:tc>
      </w:tr>
      <w:tr w14:paraId="507FF45B">
        <w:tblPrEx>
          <w:tblCellMar>
            <w:top w:w="0" w:type="dxa"/>
            <w:left w:w="0" w:type="dxa"/>
            <w:bottom w:w="0" w:type="dxa"/>
            <w:right w:w="0" w:type="dxa"/>
          </w:tblCellMar>
        </w:tblPrEx>
        <w:trPr>
          <w:wBefore w:w="0" w:type="auto"/>
          <w:tblCellSpacing w:w="0" w:type="dxa"/>
        </w:trPr>
        <w:tc>
          <w:tcPr>
            <w:tcW w:w="0" w:type="auto"/>
            <w:noWrap w:val="0"/>
            <w:vAlign w:val="center"/>
          </w:tcPr>
          <w:p w14:paraId="75D342FA">
            <w:r>
              <w:rPr>
                <w:rStyle w:val="10"/>
                <w:rFonts w:hint="eastAsia"/>
              </w:rPr>
              <w:t>注意事项：</w:t>
            </w:r>
            <w:r>
              <w:rPr>
                <w:rFonts w:hint="eastAsia"/>
              </w:rPr>
              <w:br w:type="textWrapping"/>
            </w:r>
            <w:r>
              <w:rPr>
                <w:rStyle w:val="11"/>
                <w:rFonts w:hint="eastAsia"/>
              </w:rPr>
              <w:t>1.配药和种子处理时应在通风处进行，操作人员需提前做好保护措施，戴好手套、面罩或护目镜等，严禁抽烟或者饮食。2.种子处理结束后，彻底清洗防护用具，并更换和清洗工作服。3.处理后的种子必须放置在有明显标签的容器内，勿与食物、饲料一起存放，禁止用于饲喂禽畜。4.避免与三氧化铬等氧化剂接触。5. 远离水产养殖区、河塘等水体施药，禁止在河塘等水体中清洗施药器具；鱼或虾蟹套养稻田禁用、施药后的田水不得直接排入水体。6.鸟类保护区附近禁用，严禁畜禽进入。拌种播种后立即覆土。7.使用后的包装袋应妥善处理，不得他用或随意丢弃。8.孕妇及哺乳期妇女禁止接触本品。过敏者禁用。</w:t>
            </w:r>
          </w:p>
        </w:tc>
      </w:tr>
      <w:tr w14:paraId="47357737">
        <w:tblPrEx>
          <w:tblCellMar>
            <w:top w:w="0" w:type="dxa"/>
            <w:left w:w="0" w:type="dxa"/>
            <w:bottom w:w="0" w:type="dxa"/>
            <w:right w:w="0" w:type="dxa"/>
          </w:tblCellMar>
        </w:tblPrEx>
        <w:trPr>
          <w:wBefore w:w="0" w:type="auto"/>
          <w:tblCellSpacing w:w="0" w:type="dxa"/>
        </w:trPr>
        <w:tc>
          <w:tcPr>
            <w:tcW w:w="0" w:type="auto"/>
            <w:noWrap w:val="0"/>
            <w:vAlign w:val="center"/>
          </w:tcPr>
          <w:p w14:paraId="49154121">
            <w:r>
              <w:rPr>
                <w:rStyle w:val="10"/>
                <w:rFonts w:hint="eastAsia"/>
              </w:rPr>
              <w:t>中毒急救措施：</w:t>
            </w:r>
            <w:r>
              <w:rPr>
                <w:rFonts w:hint="eastAsia"/>
              </w:rPr>
              <w:br w:type="textWrapping"/>
            </w:r>
            <w:r>
              <w:rPr>
                <w:rStyle w:val="11"/>
                <w:rFonts w:hint="eastAsia"/>
              </w:rPr>
              <w:t>1.如不慎接触眼睛，立刻用清水轻柔冲洗15-20分钟，并携此标签请医生治疗。 2.如不慎接触皮肤，脱掉被污染的衣服，立刻用清水冲洗15-20分钟，并携此标签请医生治疗。 3.如不慎吞服，立刻携标签请医生治疗。除非在医生的指导下否则不要催吐。 4.如不慎吸入，转移至新鲜空气处，立刻请医生治疗。</w:t>
            </w:r>
          </w:p>
        </w:tc>
      </w:tr>
      <w:tr w14:paraId="7E888A0B">
        <w:tblPrEx>
          <w:tblCellMar>
            <w:top w:w="0" w:type="dxa"/>
            <w:left w:w="0" w:type="dxa"/>
            <w:bottom w:w="0" w:type="dxa"/>
            <w:right w:w="0" w:type="dxa"/>
          </w:tblCellMar>
        </w:tblPrEx>
        <w:trPr>
          <w:wBefore w:w="0" w:type="auto"/>
          <w:tblCellSpacing w:w="0" w:type="dxa"/>
        </w:trPr>
        <w:tc>
          <w:tcPr>
            <w:tcW w:w="0" w:type="auto"/>
            <w:noWrap w:val="0"/>
            <w:vAlign w:val="center"/>
          </w:tcPr>
          <w:p w14:paraId="53850D2E">
            <w:r>
              <w:rPr>
                <w:rStyle w:val="10"/>
                <w:rFonts w:hint="eastAsia"/>
              </w:rPr>
              <w:t>储存和运输方法：</w:t>
            </w:r>
            <w:r>
              <w:rPr>
                <w:rFonts w:hint="eastAsia"/>
              </w:rPr>
              <w:br w:type="textWrapping"/>
            </w:r>
            <w:r>
              <w:rPr>
                <w:rStyle w:val="11"/>
                <w:rFonts w:hint="eastAsia"/>
              </w:rPr>
              <w:t>1.本品应应贮存在避光、干燥、阴凉、通风处，储藏温度应避免低于-5℃或高于35℃。2.置于儿童和动物触及不到的地方，并加锁保存。3.运输时应注意避光，防高温、雨淋。4.不能与食品、饮料、粮食、饲料和种子等混合储运。</w:t>
            </w:r>
          </w:p>
        </w:tc>
      </w:tr>
      <w:tr w14:paraId="326568CA">
        <w:tblPrEx>
          <w:tblCellMar>
            <w:top w:w="0" w:type="dxa"/>
            <w:left w:w="0" w:type="dxa"/>
            <w:bottom w:w="0" w:type="dxa"/>
            <w:right w:w="0" w:type="dxa"/>
          </w:tblCellMar>
        </w:tblPrEx>
        <w:trPr>
          <w:wBefore w:w="0" w:type="auto"/>
          <w:tblCellSpacing w:w="0" w:type="dxa"/>
        </w:trPr>
        <w:tc>
          <w:tcPr>
            <w:tcW w:w="0" w:type="auto"/>
            <w:noWrap w:val="0"/>
            <w:vAlign w:val="center"/>
          </w:tcPr>
          <w:p w14:paraId="29BD31F5">
            <w:r>
              <w:rPr>
                <w:rStyle w:val="10"/>
                <w:rFonts w:hint="eastAsia"/>
              </w:rPr>
              <w:t>质量保证期：</w:t>
            </w:r>
            <w:r>
              <w:rPr>
                <w:rStyle w:val="11"/>
                <w:rFonts w:hint="eastAsia"/>
              </w:rPr>
              <w:t>2年</w:t>
            </w:r>
          </w:p>
        </w:tc>
      </w:tr>
      <w:tr w14:paraId="45313683">
        <w:tblPrEx>
          <w:tblCellMar>
            <w:top w:w="0" w:type="dxa"/>
            <w:left w:w="0" w:type="dxa"/>
            <w:bottom w:w="0" w:type="dxa"/>
            <w:right w:w="0" w:type="dxa"/>
          </w:tblCellMar>
        </w:tblPrEx>
        <w:trPr>
          <w:wBefore w:w="0" w:type="auto"/>
          <w:tblCellSpacing w:w="0" w:type="dxa"/>
        </w:trPr>
        <w:tc>
          <w:tcPr>
            <w:tcW w:w="0" w:type="auto"/>
            <w:noWrap w:val="0"/>
            <w:vAlign w:val="center"/>
          </w:tcPr>
          <w:p w14:paraId="52C5BC60">
            <w:r>
              <w:rPr>
                <w:rStyle w:val="10"/>
                <w:rFonts w:hint="eastAsia"/>
              </w:rPr>
              <w:t>备注：</w:t>
            </w:r>
            <w:r>
              <w:rPr>
                <w:rFonts w:hint="eastAsia"/>
              </w:rPr>
              <w:br w:type="textWrapping"/>
            </w:r>
            <w:r>
              <w:rPr>
                <w:rStyle w:val="11"/>
                <w:rFonts w:hint="eastAsia"/>
              </w:rPr>
              <w:t>质量分散9.5%。</w:t>
            </w:r>
          </w:p>
        </w:tc>
      </w:tr>
    </w:tbl>
    <w:p w14:paraId="5EDC992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CB3E31">
        <w:tblPrEx>
          <w:tblCellMar>
            <w:top w:w="0" w:type="dxa"/>
            <w:left w:w="0" w:type="dxa"/>
            <w:bottom w:w="0" w:type="dxa"/>
            <w:right w:w="0" w:type="dxa"/>
          </w:tblCellMar>
        </w:tblPrEx>
        <w:trPr>
          <w:wBefore w:w="0" w:type="auto"/>
          <w:tblCellSpacing w:w="0" w:type="dxa"/>
        </w:trPr>
        <w:tc>
          <w:tcPr>
            <w:tcW w:w="0" w:type="auto"/>
            <w:noWrap w:val="0"/>
            <w:vAlign w:val="center"/>
          </w:tcPr>
          <w:p w14:paraId="398294F5">
            <w:r>
              <w:rPr>
                <w:rStyle w:val="10"/>
                <w:rFonts w:hint="eastAsia"/>
              </w:rPr>
              <w:t>登记证号：</w:t>
            </w:r>
            <w:r>
              <w:rPr>
                <w:rFonts w:hint="eastAsia"/>
              </w:rPr>
              <w:t>PD20212724</w:t>
            </w:r>
          </w:p>
        </w:tc>
      </w:tr>
      <w:tr w14:paraId="676FDF7A">
        <w:tblPrEx>
          <w:tblCellMar>
            <w:top w:w="0" w:type="dxa"/>
            <w:left w:w="0" w:type="dxa"/>
            <w:bottom w:w="0" w:type="dxa"/>
            <w:right w:w="0" w:type="dxa"/>
          </w:tblCellMar>
        </w:tblPrEx>
        <w:trPr>
          <w:wBefore w:w="0" w:type="auto"/>
          <w:tblCellSpacing w:w="0" w:type="dxa"/>
        </w:trPr>
        <w:tc>
          <w:tcPr>
            <w:tcW w:w="0" w:type="auto"/>
            <w:noWrap w:val="0"/>
            <w:vAlign w:val="center"/>
          </w:tcPr>
          <w:p w14:paraId="18CE265D">
            <w:r>
              <w:rPr>
                <w:rStyle w:val="10"/>
                <w:rFonts w:hint="eastAsia"/>
              </w:rPr>
              <w:t>登记证持有人：</w:t>
            </w:r>
            <w:r>
              <w:rPr>
                <w:rFonts w:hint="eastAsia"/>
              </w:rPr>
              <w:t>江苏好收成韦恩农化股份有限公司</w:t>
            </w:r>
          </w:p>
        </w:tc>
      </w:tr>
      <w:tr w14:paraId="5A36C647">
        <w:tblPrEx>
          <w:tblCellMar>
            <w:top w:w="0" w:type="dxa"/>
            <w:left w:w="0" w:type="dxa"/>
            <w:bottom w:w="0" w:type="dxa"/>
            <w:right w:w="0" w:type="dxa"/>
          </w:tblCellMar>
        </w:tblPrEx>
        <w:trPr>
          <w:wBefore w:w="0" w:type="auto"/>
          <w:tblCellSpacing w:w="0" w:type="dxa"/>
        </w:trPr>
        <w:tc>
          <w:tcPr>
            <w:tcW w:w="0" w:type="auto"/>
            <w:noWrap w:val="0"/>
            <w:vAlign w:val="center"/>
          </w:tcPr>
          <w:p w14:paraId="7137F481">
            <w:r>
              <w:rPr>
                <w:rStyle w:val="10"/>
                <w:rFonts w:hint="eastAsia"/>
              </w:rPr>
              <w:t>农药名称：</w:t>
            </w:r>
            <w:r>
              <w:rPr>
                <w:rFonts w:hint="eastAsia"/>
              </w:rPr>
              <w:t>吡唑醚菌酯</w:t>
            </w:r>
          </w:p>
        </w:tc>
      </w:tr>
      <w:tr w14:paraId="6CD19767">
        <w:tblPrEx>
          <w:tblCellMar>
            <w:top w:w="0" w:type="dxa"/>
            <w:left w:w="0" w:type="dxa"/>
            <w:bottom w:w="0" w:type="dxa"/>
            <w:right w:w="0" w:type="dxa"/>
          </w:tblCellMar>
        </w:tblPrEx>
        <w:trPr>
          <w:wBefore w:w="0" w:type="auto"/>
          <w:tblCellSpacing w:w="0" w:type="dxa"/>
        </w:trPr>
        <w:tc>
          <w:tcPr>
            <w:tcW w:w="0" w:type="auto"/>
            <w:noWrap w:val="0"/>
            <w:vAlign w:val="center"/>
          </w:tcPr>
          <w:p w14:paraId="79B0C525">
            <w:r>
              <w:rPr>
                <w:rStyle w:val="10"/>
                <w:rFonts w:hint="eastAsia"/>
              </w:rPr>
              <w:t>剂型：</w:t>
            </w:r>
            <w:r>
              <w:rPr>
                <w:rFonts w:hint="eastAsia"/>
              </w:rPr>
              <w:t>乳油</w:t>
            </w:r>
          </w:p>
        </w:tc>
      </w:tr>
      <w:tr w14:paraId="35367A44">
        <w:tblPrEx>
          <w:tblCellMar>
            <w:top w:w="0" w:type="dxa"/>
            <w:left w:w="0" w:type="dxa"/>
            <w:bottom w:w="0" w:type="dxa"/>
            <w:right w:w="0" w:type="dxa"/>
          </w:tblCellMar>
        </w:tblPrEx>
        <w:trPr>
          <w:wBefore w:w="0" w:type="auto"/>
          <w:tblCellSpacing w:w="0" w:type="dxa"/>
        </w:trPr>
        <w:tc>
          <w:tcPr>
            <w:tcW w:w="0" w:type="auto"/>
            <w:noWrap w:val="0"/>
            <w:vAlign w:val="center"/>
          </w:tcPr>
          <w:p w14:paraId="146E25CF">
            <w:r>
              <w:rPr>
                <w:rStyle w:val="10"/>
                <w:rFonts w:hint="eastAsia"/>
              </w:rPr>
              <w:t>毒性及其标识：</w:t>
            </w:r>
            <w:r>
              <w:rPr>
                <w:rFonts w:hint="eastAsia"/>
              </w:rPr>
              <w:t xml:space="preserve"> </w:t>
            </w:r>
            <w:r>
              <w:rPr>
                <w:lang/>
              </w:rPr>
              <w:drawing>
                <wp:inline distT="0" distB="0" distL="114300" distR="114300">
                  <wp:extent cx="476250" cy="323850"/>
                  <wp:effectExtent l="0" t="0" r="0" b="0"/>
                  <wp:docPr id="169" name="图片 16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F1914A2">
        <w:tblPrEx>
          <w:tblCellMar>
            <w:top w:w="0" w:type="dxa"/>
            <w:left w:w="0" w:type="dxa"/>
            <w:bottom w:w="0" w:type="dxa"/>
            <w:right w:w="0" w:type="dxa"/>
          </w:tblCellMar>
        </w:tblPrEx>
        <w:trPr>
          <w:wBefore w:w="0" w:type="auto"/>
          <w:tblCellSpacing w:w="0" w:type="dxa"/>
        </w:trPr>
        <w:tc>
          <w:tcPr>
            <w:tcW w:w="0" w:type="auto"/>
            <w:noWrap w:val="0"/>
            <w:vAlign w:val="center"/>
          </w:tcPr>
          <w:p w14:paraId="6B9406BB">
            <w:r>
              <w:rPr>
                <w:rStyle w:val="10"/>
                <w:rFonts w:hint="eastAsia"/>
              </w:rPr>
              <w:t>总有效成分含量：</w:t>
            </w:r>
            <w:r>
              <w:rPr>
                <w:rFonts w:hint="eastAsia"/>
              </w:rPr>
              <w:t>250克/升</w:t>
            </w:r>
          </w:p>
        </w:tc>
      </w:tr>
      <w:tr w14:paraId="48A17E87">
        <w:tblPrEx>
          <w:tblCellMar>
            <w:top w:w="0" w:type="dxa"/>
            <w:left w:w="0" w:type="dxa"/>
            <w:bottom w:w="0" w:type="dxa"/>
            <w:right w:w="0" w:type="dxa"/>
          </w:tblCellMar>
        </w:tblPrEx>
        <w:trPr>
          <w:wBefore w:w="0" w:type="auto"/>
          <w:tblCellSpacing w:w="0" w:type="dxa"/>
        </w:trPr>
        <w:tc>
          <w:tcPr>
            <w:tcW w:w="0" w:type="auto"/>
            <w:noWrap w:val="0"/>
            <w:vAlign w:val="center"/>
          </w:tcPr>
          <w:p w14:paraId="6140A22B">
            <w:r>
              <w:rPr>
                <w:rFonts w:hint="eastAsia"/>
              </w:rPr>
              <w:t xml:space="preserve">有效成分及其含量： </w:t>
            </w:r>
          </w:p>
          <w:p w14:paraId="32B45A84">
            <w:r>
              <w:rPr>
                <w:rFonts w:hint="eastAsia"/>
              </w:rPr>
              <w:t xml:space="preserve">    吡唑醚菌酯250克/升    </w:t>
            </w:r>
          </w:p>
        </w:tc>
      </w:tr>
      <w:tr w14:paraId="19A6CB7E">
        <w:tblPrEx>
          <w:tblCellMar>
            <w:top w:w="0" w:type="dxa"/>
            <w:left w:w="0" w:type="dxa"/>
            <w:bottom w:w="0" w:type="dxa"/>
            <w:right w:w="0" w:type="dxa"/>
          </w:tblCellMar>
        </w:tblPrEx>
        <w:trPr>
          <w:wBefore w:w="0" w:type="auto"/>
          <w:tblCellSpacing w:w="0" w:type="dxa"/>
        </w:trPr>
        <w:tc>
          <w:tcPr>
            <w:tcW w:w="0" w:type="auto"/>
            <w:noWrap w:val="0"/>
            <w:vAlign w:val="center"/>
          </w:tcPr>
          <w:p w14:paraId="276E09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BB9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9BE3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27B42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8DD7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9A3073">
                  <w:r>
                    <w:rPr>
                      <w:rStyle w:val="11"/>
                      <w:rFonts w:hint="eastAsia"/>
                    </w:rPr>
                    <w:t>施用方式</w:t>
                  </w:r>
                </w:p>
              </w:tc>
            </w:tr>
            <w:tr w14:paraId="67B52D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7108FF">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9D5489">
                  <w:r>
                    <w:rPr>
                      <w:rStyle w:val="11"/>
                      <w:rFonts w:hint="eastAsia"/>
                    </w:rPr>
                    <w:t>叶斑病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BC524F">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44687B">
                  <w:r>
                    <w:rPr>
                      <w:rStyle w:val="11"/>
                      <w:rFonts w:hint="eastAsia"/>
                    </w:rPr>
                    <w:t>喷雾</w:t>
                  </w:r>
                </w:p>
              </w:tc>
            </w:tr>
          </w:tbl>
          <w:p w14:paraId="3198EA43">
            <w:pPr>
              <w:rPr>
                <w:rFonts w:ascii="Times New Roman" w:hAnsi="Times New Roman" w:cs="Times New Roman"/>
                <w:sz w:val="20"/>
                <w:szCs w:val="20"/>
              </w:rPr>
            </w:pPr>
          </w:p>
        </w:tc>
      </w:tr>
      <w:tr w14:paraId="0B84BEC2">
        <w:tblPrEx>
          <w:tblCellMar>
            <w:top w:w="0" w:type="dxa"/>
            <w:left w:w="0" w:type="dxa"/>
            <w:bottom w:w="0" w:type="dxa"/>
            <w:right w:w="0" w:type="dxa"/>
          </w:tblCellMar>
        </w:tblPrEx>
        <w:trPr>
          <w:wBefore w:w="0" w:type="auto"/>
          <w:tblCellSpacing w:w="0" w:type="dxa"/>
        </w:trPr>
        <w:tc>
          <w:tcPr>
            <w:tcW w:w="0" w:type="auto"/>
            <w:noWrap w:val="0"/>
            <w:vAlign w:val="center"/>
          </w:tcPr>
          <w:p w14:paraId="2952FCDB">
            <w:r>
              <w:rPr>
                <w:rStyle w:val="10"/>
                <w:rFonts w:hint="eastAsia"/>
              </w:rPr>
              <w:t>使用技术要求:</w:t>
            </w:r>
            <w:r>
              <w:rPr>
                <w:rFonts w:hint="eastAsia"/>
              </w:rPr>
              <w:br w:type="textWrapping"/>
            </w:r>
            <w:r>
              <w:rPr>
                <w:rStyle w:val="11"/>
                <w:rFonts w:hint="eastAsia"/>
              </w:rPr>
              <w:t>本品应于香蕉叶斑病发病前或发病初期，喷雾施药，每季作物最多施药3次，施药间隔10天，安全间隔期为42天。</w:t>
            </w:r>
          </w:p>
        </w:tc>
      </w:tr>
      <w:tr w14:paraId="7AC6C3BE">
        <w:tblPrEx>
          <w:tblCellMar>
            <w:top w:w="0" w:type="dxa"/>
            <w:left w:w="0" w:type="dxa"/>
            <w:bottom w:w="0" w:type="dxa"/>
            <w:right w:w="0" w:type="dxa"/>
          </w:tblCellMar>
        </w:tblPrEx>
        <w:trPr>
          <w:wBefore w:w="0" w:type="auto"/>
          <w:tblCellSpacing w:w="0" w:type="dxa"/>
        </w:trPr>
        <w:tc>
          <w:tcPr>
            <w:tcW w:w="0" w:type="auto"/>
            <w:noWrap w:val="0"/>
            <w:vAlign w:val="center"/>
          </w:tcPr>
          <w:p w14:paraId="7E41E12C">
            <w:r>
              <w:rPr>
                <w:rStyle w:val="10"/>
                <w:rFonts w:hint="eastAsia"/>
              </w:rPr>
              <w:t>产品性能:</w:t>
            </w:r>
            <w:r>
              <w:rPr>
                <w:rFonts w:hint="eastAsia"/>
              </w:rPr>
              <w:br w:type="textWrapping"/>
            </w:r>
            <w:r>
              <w:rPr>
                <w:rStyle w:val="11"/>
                <w:rFonts w:hint="eastAsia"/>
              </w:rPr>
              <w:t>吡唑醚菌酯为甲氧基丙烯酸酯类杀菌剂，通过阻碍细胞色素之间的电子传递来抑制线粒体呼吸作用，可用于防治香蕉叶斑病。</w:t>
            </w:r>
          </w:p>
        </w:tc>
      </w:tr>
      <w:tr w14:paraId="28506C3E">
        <w:tblPrEx>
          <w:tblCellMar>
            <w:top w:w="0" w:type="dxa"/>
            <w:left w:w="0" w:type="dxa"/>
            <w:bottom w:w="0" w:type="dxa"/>
            <w:right w:w="0" w:type="dxa"/>
          </w:tblCellMar>
        </w:tblPrEx>
        <w:trPr>
          <w:wBefore w:w="0" w:type="auto"/>
          <w:tblCellSpacing w:w="0" w:type="dxa"/>
        </w:trPr>
        <w:tc>
          <w:tcPr>
            <w:tcW w:w="0" w:type="auto"/>
            <w:noWrap w:val="0"/>
            <w:vAlign w:val="center"/>
          </w:tcPr>
          <w:p w14:paraId="7FDEEA1E">
            <w:r>
              <w:rPr>
                <w:rStyle w:val="10"/>
                <w:rFonts w:hint="eastAsia"/>
              </w:rPr>
              <w:t>注意事项：</w:t>
            </w:r>
            <w:r>
              <w:rPr>
                <w:rFonts w:hint="eastAsia"/>
              </w:rPr>
              <w:br w:type="textWrapping"/>
            </w:r>
            <w:r>
              <w:rPr>
                <w:rStyle w:val="11"/>
                <w:rFonts w:hint="eastAsia"/>
              </w:rPr>
              <w:t>1. 使用本品应采取相应的安全防护措施，穿戴帽子、口罩、长衣、长裤、手套、鞋等，避免皮肤接触及口鼻吸入。使用中不可吸烟、饮水及吃东西，使用后及时用大量清水和肥皂清洗手、脸等暴露部位皮肤并更换衣物。 2. 本品对鱼类等水生生物有毒，远离水产养殖区、河塘等水体施药；禁止在河塘等水体中清洗施药器具, 清洗施药器具的水也不能排入河塘等水体。用过的容器应妥善处理，不可作他用，也不可随意丢弃。 3. 桑园及蚕室附近禁用，禁止使用最外围桑树桑叶饲喂家蚕。 4. 禁止儿童、孕妇及哺乳期的妇女接触。过敏者禁用，使用中有任何不良反应请及时就医。 5. 避免与氧化剂接触。</w:t>
            </w:r>
          </w:p>
        </w:tc>
      </w:tr>
      <w:tr w14:paraId="5D93D315">
        <w:tblPrEx>
          <w:tblCellMar>
            <w:top w:w="0" w:type="dxa"/>
            <w:left w:w="0" w:type="dxa"/>
            <w:bottom w:w="0" w:type="dxa"/>
            <w:right w:w="0" w:type="dxa"/>
          </w:tblCellMar>
        </w:tblPrEx>
        <w:trPr>
          <w:wBefore w:w="0" w:type="auto"/>
          <w:tblCellSpacing w:w="0" w:type="dxa"/>
        </w:trPr>
        <w:tc>
          <w:tcPr>
            <w:tcW w:w="0" w:type="auto"/>
            <w:noWrap w:val="0"/>
            <w:vAlign w:val="center"/>
          </w:tcPr>
          <w:p w14:paraId="01713837">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无特效解毒剂，对症治疗。 </w:t>
            </w:r>
          </w:p>
        </w:tc>
      </w:tr>
      <w:tr w14:paraId="7FE26CEF">
        <w:tblPrEx>
          <w:tblCellMar>
            <w:top w:w="0" w:type="dxa"/>
            <w:left w:w="0" w:type="dxa"/>
            <w:bottom w:w="0" w:type="dxa"/>
            <w:right w:w="0" w:type="dxa"/>
          </w:tblCellMar>
        </w:tblPrEx>
        <w:trPr>
          <w:wBefore w:w="0" w:type="auto"/>
          <w:tblCellSpacing w:w="0" w:type="dxa"/>
        </w:trPr>
        <w:tc>
          <w:tcPr>
            <w:tcW w:w="0" w:type="auto"/>
            <w:noWrap w:val="0"/>
            <w:vAlign w:val="center"/>
          </w:tcPr>
          <w:p w14:paraId="07E0C846">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本品应贮存在干燥、阴凉、通风、防雨处，远离火源或热源。置于儿童接触不到的地方。不得与食物、饮料、种子、饲料混放混运。</w:t>
            </w:r>
          </w:p>
        </w:tc>
      </w:tr>
      <w:tr w14:paraId="08B77E99">
        <w:tblPrEx>
          <w:tblCellMar>
            <w:top w:w="0" w:type="dxa"/>
            <w:left w:w="0" w:type="dxa"/>
            <w:bottom w:w="0" w:type="dxa"/>
            <w:right w:w="0" w:type="dxa"/>
          </w:tblCellMar>
        </w:tblPrEx>
        <w:trPr>
          <w:wBefore w:w="0" w:type="auto"/>
          <w:tblCellSpacing w:w="0" w:type="dxa"/>
        </w:trPr>
        <w:tc>
          <w:tcPr>
            <w:tcW w:w="0" w:type="auto"/>
            <w:noWrap w:val="0"/>
            <w:vAlign w:val="center"/>
          </w:tcPr>
          <w:p w14:paraId="1C263FDE">
            <w:r>
              <w:rPr>
                <w:rStyle w:val="10"/>
                <w:rFonts w:hint="eastAsia"/>
              </w:rPr>
              <w:t>质量保证期：</w:t>
            </w:r>
            <w:r>
              <w:rPr>
                <w:rStyle w:val="11"/>
                <w:rFonts w:hint="eastAsia"/>
              </w:rPr>
              <w:t>2年</w:t>
            </w:r>
          </w:p>
        </w:tc>
      </w:tr>
      <w:tr w14:paraId="17723E12">
        <w:tblPrEx>
          <w:tblCellMar>
            <w:top w:w="0" w:type="dxa"/>
            <w:left w:w="0" w:type="dxa"/>
            <w:bottom w:w="0" w:type="dxa"/>
            <w:right w:w="0" w:type="dxa"/>
          </w:tblCellMar>
        </w:tblPrEx>
        <w:trPr>
          <w:wBefore w:w="0" w:type="auto"/>
          <w:tblCellSpacing w:w="0" w:type="dxa"/>
        </w:trPr>
        <w:tc>
          <w:tcPr>
            <w:tcW w:w="0" w:type="auto"/>
            <w:noWrap w:val="0"/>
            <w:vAlign w:val="center"/>
          </w:tcPr>
          <w:p w14:paraId="61FB9A7F">
            <w:r>
              <w:rPr>
                <w:rStyle w:val="10"/>
                <w:rFonts w:hint="eastAsia"/>
              </w:rPr>
              <w:t>备注：</w:t>
            </w:r>
            <w:r>
              <w:rPr>
                <w:rFonts w:hint="eastAsia"/>
              </w:rPr>
              <w:br w:type="textWrapping"/>
            </w:r>
            <w:r>
              <w:rPr>
                <w:rStyle w:val="11"/>
                <w:rFonts w:hint="eastAsia"/>
              </w:rPr>
              <w:t>吡唑醚菌酯24.5%。</w:t>
            </w:r>
          </w:p>
        </w:tc>
      </w:tr>
    </w:tbl>
    <w:p w14:paraId="6892DDB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D120DC">
        <w:tblPrEx>
          <w:tblCellMar>
            <w:top w:w="0" w:type="dxa"/>
            <w:left w:w="0" w:type="dxa"/>
            <w:bottom w:w="0" w:type="dxa"/>
            <w:right w:w="0" w:type="dxa"/>
          </w:tblCellMar>
        </w:tblPrEx>
        <w:trPr>
          <w:wBefore w:w="0" w:type="auto"/>
          <w:tblCellSpacing w:w="0" w:type="dxa"/>
        </w:trPr>
        <w:tc>
          <w:tcPr>
            <w:tcW w:w="0" w:type="auto"/>
            <w:noWrap w:val="0"/>
            <w:vAlign w:val="center"/>
          </w:tcPr>
          <w:p w14:paraId="7CE4A467">
            <w:r>
              <w:rPr>
                <w:rStyle w:val="10"/>
                <w:rFonts w:hint="eastAsia"/>
              </w:rPr>
              <w:t>登记证号：</w:t>
            </w:r>
            <w:r>
              <w:rPr>
                <w:rFonts w:hint="eastAsia"/>
              </w:rPr>
              <w:t>PD20212573</w:t>
            </w:r>
          </w:p>
        </w:tc>
      </w:tr>
      <w:tr w14:paraId="2616A4E9">
        <w:tblPrEx>
          <w:tblCellMar>
            <w:top w:w="0" w:type="dxa"/>
            <w:left w:w="0" w:type="dxa"/>
            <w:bottom w:w="0" w:type="dxa"/>
            <w:right w:w="0" w:type="dxa"/>
          </w:tblCellMar>
        </w:tblPrEx>
        <w:trPr>
          <w:wBefore w:w="0" w:type="auto"/>
          <w:tblCellSpacing w:w="0" w:type="dxa"/>
        </w:trPr>
        <w:tc>
          <w:tcPr>
            <w:tcW w:w="0" w:type="auto"/>
            <w:noWrap w:val="0"/>
            <w:vAlign w:val="center"/>
          </w:tcPr>
          <w:p w14:paraId="198EEFCC">
            <w:r>
              <w:rPr>
                <w:rStyle w:val="10"/>
                <w:rFonts w:hint="eastAsia"/>
              </w:rPr>
              <w:t>登记证持有人：</w:t>
            </w:r>
            <w:r>
              <w:rPr>
                <w:rFonts w:hint="eastAsia"/>
              </w:rPr>
              <w:t>河南巴博斯生物科技有限公司</w:t>
            </w:r>
          </w:p>
        </w:tc>
      </w:tr>
      <w:tr w14:paraId="7EAD4DA7">
        <w:tblPrEx>
          <w:tblCellMar>
            <w:top w:w="0" w:type="dxa"/>
            <w:left w:w="0" w:type="dxa"/>
            <w:bottom w:w="0" w:type="dxa"/>
            <w:right w:w="0" w:type="dxa"/>
          </w:tblCellMar>
        </w:tblPrEx>
        <w:trPr>
          <w:wBefore w:w="0" w:type="auto"/>
          <w:tblCellSpacing w:w="0" w:type="dxa"/>
        </w:trPr>
        <w:tc>
          <w:tcPr>
            <w:tcW w:w="0" w:type="auto"/>
            <w:noWrap w:val="0"/>
            <w:vAlign w:val="center"/>
          </w:tcPr>
          <w:p w14:paraId="6CCD98C8">
            <w:r>
              <w:rPr>
                <w:rStyle w:val="10"/>
                <w:rFonts w:hint="eastAsia"/>
              </w:rPr>
              <w:t>农药名称：</w:t>
            </w:r>
            <w:r>
              <w:rPr>
                <w:rFonts w:hint="eastAsia"/>
              </w:rPr>
              <w:t>氧氟·草铵膦</w:t>
            </w:r>
          </w:p>
        </w:tc>
      </w:tr>
      <w:tr w14:paraId="2EAB4F56">
        <w:tblPrEx>
          <w:tblCellMar>
            <w:top w:w="0" w:type="dxa"/>
            <w:left w:w="0" w:type="dxa"/>
            <w:bottom w:w="0" w:type="dxa"/>
            <w:right w:w="0" w:type="dxa"/>
          </w:tblCellMar>
        </w:tblPrEx>
        <w:trPr>
          <w:wBefore w:w="0" w:type="auto"/>
          <w:tblCellSpacing w:w="0" w:type="dxa"/>
        </w:trPr>
        <w:tc>
          <w:tcPr>
            <w:tcW w:w="0" w:type="auto"/>
            <w:noWrap w:val="0"/>
            <w:vAlign w:val="center"/>
          </w:tcPr>
          <w:p w14:paraId="242D5DE7">
            <w:r>
              <w:rPr>
                <w:rStyle w:val="10"/>
                <w:rFonts w:hint="eastAsia"/>
              </w:rPr>
              <w:t>剂型：</w:t>
            </w:r>
            <w:r>
              <w:rPr>
                <w:rFonts w:hint="eastAsia"/>
              </w:rPr>
              <w:t>悬浮剂</w:t>
            </w:r>
          </w:p>
        </w:tc>
      </w:tr>
      <w:tr w14:paraId="557DC6E0">
        <w:tblPrEx>
          <w:tblCellMar>
            <w:top w:w="0" w:type="dxa"/>
            <w:left w:w="0" w:type="dxa"/>
            <w:bottom w:w="0" w:type="dxa"/>
            <w:right w:w="0" w:type="dxa"/>
          </w:tblCellMar>
        </w:tblPrEx>
        <w:trPr>
          <w:wBefore w:w="0" w:type="auto"/>
          <w:tblCellSpacing w:w="0" w:type="dxa"/>
        </w:trPr>
        <w:tc>
          <w:tcPr>
            <w:tcW w:w="0" w:type="auto"/>
            <w:noWrap w:val="0"/>
            <w:vAlign w:val="center"/>
          </w:tcPr>
          <w:p w14:paraId="607397A8">
            <w:r>
              <w:rPr>
                <w:rStyle w:val="10"/>
                <w:rFonts w:hint="eastAsia"/>
              </w:rPr>
              <w:t>毒性及其标识：</w:t>
            </w:r>
            <w:r>
              <w:rPr>
                <w:rFonts w:hint="eastAsia"/>
              </w:rPr>
              <w:t xml:space="preserve"> </w:t>
            </w:r>
            <w:r>
              <w:rPr>
                <w:lang/>
              </w:rPr>
              <w:drawing>
                <wp:inline distT="0" distB="0" distL="114300" distR="114300">
                  <wp:extent cx="476250" cy="323850"/>
                  <wp:effectExtent l="0" t="0" r="0" b="0"/>
                  <wp:docPr id="170" name="图片 1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5B1B02">
        <w:tblPrEx>
          <w:tblCellMar>
            <w:top w:w="0" w:type="dxa"/>
            <w:left w:w="0" w:type="dxa"/>
            <w:bottom w:w="0" w:type="dxa"/>
            <w:right w:w="0" w:type="dxa"/>
          </w:tblCellMar>
        </w:tblPrEx>
        <w:trPr>
          <w:wBefore w:w="0" w:type="auto"/>
          <w:tblCellSpacing w:w="0" w:type="dxa"/>
        </w:trPr>
        <w:tc>
          <w:tcPr>
            <w:tcW w:w="0" w:type="auto"/>
            <w:noWrap w:val="0"/>
            <w:vAlign w:val="center"/>
          </w:tcPr>
          <w:p w14:paraId="21313AC5">
            <w:r>
              <w:rPr>
                <w:rStyle w:val="10"/>
                <w:rFonts w:hint="eastAsia"/>
              </w:rPr>
              <w:t>总有效成分含量：</w:t>
            </w:r>
            <w:r>
              <w:rPr>
                <w:rFonts w:hint="eastAsia"/>
              </w:rPr>
              <w:t>32%</w:t>
            </w:r>
          </w:p>
        </w:tc>
      </w:tr>
      <w:tr w14:paraId="77CD500E">
        <w:tblPrEx>
          <w:tblCellMar>
            <w:top w:w="0" w:type="dxa"/>
            <w:left w:w="0" w:type="dxa"/>
            <w:bottom w:w="0" w:type="dxa"/>
            <w:right w:w="0" w:type="dxa"/>
          </w:tblCellMar>
        </w:tblPrEx>
        <w:trPr>
          <w:wBefore w:w="0" w:type="auto"/>
          <w:tblCellSpacing w:w="0" w:type="dxa"/>
        </w:trPr>
        <w:tc>
          <w:tcPr>
            <w:tcW w:w="0" w:type="auto"/>
            <w:noWrap w:val="0"/>
            <w:vAlign w:val="center"/>
          </w:tcPr>
          <w:p w14:paraId="5AA003E4">
            <w:r>
              <w:rPr>
                <w:rFonts w:hint="eastAsia"/>
              </w:rPr>
              <w:t xml:space="preserve">有效成分及其含量： </w:t>
            </w:r>
          </w:p>
          <w:p w14:paraId="5A9AA6D9">
            <w:r>
              <w:rPr>
                <w:rFonts w:hint="eastAsia"/>
              </w:rPr>
              <w:t xml:space="preserve">    乙氧氟草醚8%    草铵膦24%    </w:t>
            </w:r>
          </w:p>
        </w:tc>
      </w:tr>
      <w:tr w14:paraId="4B5BDDC4">
        <w:tblPrEx>
          <w:tblCellMar>
            <w:top w:w="0" w:type="dxa"/>
            <w:left w:w="0" w:type="dxa"/>
            <w:bottom w:w="0" w:type="dxa"/>
            <w:right w:w="0" w:type="dxa"/>
          </w:tblCellMar>
        </w:tblPrEx>
        <w:trPr>
          <w:wBefore w:w="0" w:type="auto"/>
          <w:tblCellSpacing w:w="0" w:type="dxa"/>
        </w:trPr>
        <w:tc>
          <w:tcPr>
            <w:tcW w:w="0" w:type="auto"/>
            <w:noWrap w:val="0"/>
            <w:vAlign w:val="center"/>
          </w:tcPr>
          <w:p w14:paraId="20AC67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9BF9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E27AC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3220C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3414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4DB25B">
                  <w:r>
                    <w:rPr>
                      <w:rStyle w:val="11"/>
                      <w:rFonts w:hint="eastAsia"/>
                    </w:rPr>
                    <w:t>施用方式</w:t>
                  </w:r>
                </w:p>
              </w:tc>
            </w:tr>
            <w:tr w14:paraId="12D957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70CCD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6D62E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FA6527">
                  <w:r>
                    <w:rPr>
                      <w:rStyle w:val="11"/>
                      <w:rFonts w:hint="eastAsia"/>
                    </w:rPr>
                    <w:t>180-250毫升/亩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AC7894">
                  <w:r>
                    <w:rPr>
                      <w:rStyle w:val="11"/>
                      <w:rFonts w:hint="eastAsia"/>
                    </w:rPr>
                    <w:t>茎叶喷雾</w:t>
                  </w:r>
                </w:p>
              </w:tc>
            </w:tr>
          </w:tbl>
          <w:p w14:paraId="482138BB">
            <w:pPr>
              <w:rPr>
                <w:rFonts w:ascii="Times New Roman" w:hAnsi="Times New Roman" w:cs="Times New Roman"/>
                <w:sz w:val="20"/>
                <w:szCs w:val="20"/>
              </w:rPr>
            </w:pPr>
          </w:p>
        </w:tc>
      </w:tr>
      <w:tr w14:paraId="5D2BDCEF">
        <w:tblPrEx>
          <w:tblCellMar>
            <w:top w:w="0" w:type="dxa"/>
            <w:left w:w="0" w:type="dxa"/>
            <w:bottom w:w="0" w:type="dxa"/>
            <w:right w:w="0" w:type="dxa"/>
          </w:tblCellMar>
        </w:tblPrEx>
        <w:trPr>
          <w:wBefore w:w="0" w:type="auto"/>
          <w:tblCellSpacing w:w="0" w:type="dxa"/>
        </w:trPr>
        <w:tc>
          <w:tcPr>
            <w:tcW w:w="0" w:type="auto"/>
            <w:noWrap w:val="0"/>
            <w:vAlign w:val="center"/>
          </w:tcPr>
          <w:p w14:paraId="544853CA">
            <w:r>
              <w:rPr>
                <w:rStyle w:val="10"/>
                <w:rFonts w:hint="eastAsia"/>
              </w:rPr>
              <w:t>使用技术要求:</w:t>
            </w:r>
            <w:r>
              <w:rPr>
                <w:rFonts w:hint="eastAsia"/>
              </w:rPr>
              <w:br w:type="textWrapping"/>
            </w:r>
            <w:r>
              <w:rPr>
                <w:rStyle w:val="11"/>
                <w:rFonts w:hint="eastAsia"/>
              </w:rPr>
              <w:t>1. 在非耕地杂草生长旺盛期，茎叶喷雾施药，每亩兑水30-45公斤均匀喷雾。 2. 大风天或预计1小时内降雨，请勿施药。 3.每季作物最多使用1次。3. 禁止在田间道路、田埂、果树行间、休耕地、林场林地等农林业区域使用。</w:t>
            </w:r>
          </w:p>
        </w:tc>
      </w:tr>
      <w:tr w14:paraId="36DA169D">
        <w:tblPrEx>
          <w:tblCellMar>
            <w:top w:w="0" w:type="dxa"/>
            <w:left w:w="0" w:type="dxa"/>
            <w:bottom w:w="0" w:type="dxa"/>
            <w:right w:w="0" w:type="dxa"/>
          </w:tblCellMar>
        </w:tblPrEx>
        <w:trPr>
          <w:wBefore w:w="0" w:type="auto"/>
          <w:tblCellSpacing w:w="0" w:type="dxa"/>
        </w:trPr>
        <w:tc>
          <w:tcPr>
            <w:tcW w:w="0" w:type="auto"/>
            <w:noWrap w:val="0"/>
            <w:vAlign w:val="center"/>
          </w:tcPr>
          <w:p w14:paraId="475A1483">
            <w:r>
              <w:rPr>
                <w:rStyle w:val="10"/>
                <w:rFonts w:hint="eastAsia"/>
              </w:rPr>
              <w:t>产品性能:</w:t>
            </w:r>
            <w:r>
              <w:rPr>
                <w:rFonts w:hint="eastAsia"/>
              </w:rPr>
              <w:br w:type="textWrapping"/>
            </w:r>
            <w:r>
              <w:rPr>
                <w:rStyle w:val="11"/>
                <w:rFonts w:hint="eastAsia"/>
              </w:rPr>
              <w:t>本品为非选择性触杀型除草剂。可用于杀灭非耕地一年生和多年生杂草。产品具有杀草谱广、杀草速度快、持效期长、耐雨水冲刷的特点，可有效解决抗草甘膦杂草的防治问题。</w:t>
            </w:r>
          </w:p>
        </w:tc>
      </w:tr>
      <w:tr w14:paraId="5F87E323">
        <w:tblPrEx>
          <w:tblCellMar>
            <w:top w:w="0" w:type="dxa"/>
            <w:left w:w="0" w:type="dxa"/>
            <w:bottom w:w="0" w:type="dxa"/>
            <w:right w:w="0" w:type="dxa"/>
          </w:tblCellMar>
        </w:tblPrEx>
        <w:trPr>
          <w:wBefore w:w="0" w:type="auto"/>
          <w:tblCellSpacing w:w="0" w:type="dxa"/>
        </w:trPr>
        <w:tc>
          <w:tcPr>
            <w:tcW w:w="0" w:type="auto"/>
            <w:noWrap w:val="0"/>
            <w:vAlign w:val="center"/>
          </w:tcPr>
          <w:p w14:paraId="50A6EB08">
            <w:r>
              <w:rPr>
                <w:rStyle w:val="10"/>
                <w:rFonts w:hint="eastAsia"/>
              </w:rPr>
              <w:t>注意事项：</w:t>
            </w:r>
            <w:r>
              <w:rPr>
                <w:rFonts w:hint="eastAsia"/>
              </w:rPr>
              <w:br w:type="textWrapping"/>
            </w:r>
            <w:r>
              <w:rPr>
                <w:rStyle w:val="11"/>
                <w:rFonts w:hint="eastAsia"/>
              </w:rPr>
              <w:t>1. 请按照农药安全使用规范使用本品。应根据田间杂草草相及抗性等具体情况，科学合理用药。 2. 配药时应在喷雾器内先加入少量清水，再加入施药量，最后补足余量清水混匀后喷施。 3. 干旱及杂草密度大或防除大龄杂草及多年生恶性杂草时，使用高剂量。避免药剂与其它作物接触。 4.本品对眼睛有刺激性，使用时穿戴长衣、长裤、帽子、口罩、手套等防护措施。施药期间不可饮食，施药后应及时洗手和洗脸。避免药液接触皮肤、眼睛或衣物。 5. 水产养殖区、河塘等水体附近禁用，禁止在河塘等水域清洗施药器具。桑园及蚕室附近禁用。6. 用过的容器应妥善处理，不可做他用，也不可随意丢弃。 7. 避免孕妇及哺乳期妇女接触。 8. 结合当地实际情况，在农业技术人员指导下使用。9. 避免与氧化剂接触。</w:t>
            </w:r>
          </w:p>
        </w:tc>
      </w:tr>
      <w:tr w14:paraId="02654AD9">
        <w:tblPrEx>
          <w:tblCellMar>
            <w:top w:w="0" w:type="dxa"/>
            <w:left w:w="0" w:type="dxa"/>
            <w:bottom w:w="0" w:type="dxa"/>
            <w:right w:w="0" w:type="dxa"/>
          </w:tblCellMar>
        </w:tblPrEx>
        <w:trPr>
          <w:wBefore w:w="0" w:type="auto"/>
          <w:tblCellSpacing w:w="0" w:type="dxa"/>
        </w:trPr>
        <w:tc>
          <w:tcPr>
            <w:tcW w:w="0" w:type="auto"/>
            <w:noWrap w:val="0"/>
            <w:vAlign w:val="center"/>
          </w:tcPr>
          <w:p w14:paraId="6FA09447">
            <w:r>
              <w:rPr>
                <w:rStyle w:val="10"/>
                <w:rFonts w:hint="eastAsia"/>
              </w:rPr>
              <w:t>中毒急救措施：</w:t>
            </w:r>
            <w:r>
              <w:rPr>
                <w:rFonts w:hint="eastAsia"/>
              </w:rPr>
              <w:br w:type="textWrapping"/>
            </w:r>
            <w:r>
              <w:rPr>
                <w:rStyle w:val="11"/>
                <w:rFonts w:hint="eastAsia"/>
              </w:rPr>
              <w:t>1. 中毒症状：本品对眼睛、上呼吸道有刺激作用。2. 不慎吸入，应将病人移至空气流通处。不慎接触皮肤或溅入眼睛，应用大量清水冲洗干净。3. 误服则应立即携此标签将病人送医院诊治。本品无特殊解毒剂，请医生对症治疗。</w:t>
            </w:r>
          </w:p>
        </w:tc>
      </w:tr>
      <w:tr w14:paraId="7935D4DC">
        <w:tblPrEx>
          <w:tblCellMar>
            <w:top w:w="0" w:type="dxa"/>
            <w:left w:w="0" w:type="dxa"/>
            <w:bottom w:w="0" w:type="dxa"/>
            <w:right w:w="0" w:type="dxa"/>
          </w:tblCellMar>
        </w:tblPrEx>
        <w:trPr>
          <w:wBefore w:w="0" w:type="auto"/>
          <w:tblCellSpacing w:w="0" w:type="dxa"/>
        </w:trPr>
        <w:tc>
          <w:tcPr>
            <w:tcW w:w="0" w:type="auto"/>
            <w:noWrap w:val="0"/>
            <w:vAlign w:val="center"/>
          </w:tcPr>
          <w:p w14:paraId="73A2695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5773542A">
        <w:tblPrEx>
          <w:tblCellMar>
            <w:top w:w="0" w:type="dxa"/>
            <w:left w:w="0" w:type="dxa"/>
            <w:bottom w:w="0" w:type="dxa"/>
            <w:right w:w="0" w:type="dxa"/>
          </w:tblCellMar>
        </w:tblPrEx>
        <w:trPr>
          <w:wBefore w:w="0" w:type="auto"/>
          <w:tblCellSpacing w:w="0" w:type="dxa"/>
        </w:trPr>
        <w:tc>
          <w:tcPr>
            <w:tcW w:w="0" w:type="auto"/>
            <w:noWrap w:val="0"/>
            <w:vAlign w:val="center"/>
          </w:tcPr>
          <w:p w14:paraId="4E737956">
            <w:r>
              <w:rPr>
                <w:rStyle w:val="10"/>
                <w:rFonts w:hint="eastAsia"/>
              </w:rPr>
              <w:t>质量保证期：</w:t>
            </w:r>
            <w:r>
              <w:rPr>
                <w:rStyle w:val="11"/>
                <w:rFonts w:hint="eastAsia"/>
              </w:rPr>
              <w:t>2年</w:t>
            </w:r>
          </w:p>
        </w:tc>
      </w:tr>
      <w:tr w14:paraId="24416F09">
        <w:tblPrEx>
          <w:tblCellMar>
            <w:top w:w="0" w:type="dxa"/>
            <w:left w:w="0" w:type="dxa"/>
            <w:bottom w:w="0" w:type="dxa"/>
            <w:right w:w="0" w:type="dxa"/>
          </w:tblCellMar>
        </w:tblPrEx>
        <w:trPr>
          <w:wBefore w:w="0" w:type="auto"/>
          <w:tblCellSpacing w:w="0" w:type="dxa"/>
        </w:trPr>
        <w:tc>
          <w:tcPr>
            <w:tcW w:w="0" w:type="auto"/>
            <w:noWrap w:val="0"/>
            <w:vAlign w:val="center"/>
          </w:tcPr>
          <w:p w14:paraId="408AB96D">
            <w:r>
              <w:rPr>
                <w:rStyle w:val="10"/>
                <w:rFonts w:hint="eastAsia"/>
              </w:rPr>
              <w:t>备注：</w:t>
            </w:r>
          </w:p>
        </w:tc>
      </w:tr>
    </w:tbl>
    <w:p w14:paraId="2CE7AC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67EC38">
        <w:tblPrEx>
          <w:tblCellMar>
            <w:top w:w="0" w:type="dxa"/>
            <w:left w:w="0" w:type="dxa"/>
            <w:bottom w:w="0" w:type="dxa"/>
            <w:right w:w="0" w:type="dxa"/>
          </w:tblCellMar>
        </w:tblPrEx>
        <w:trPr>
          <w:wBefore w:w="0" w:type="auto"/>
          <w:tblCellSpacing w:w="0" w:type="dxa"/>
        </w:trPr>
        <w:tc>
          <w:tcPr>
            <w:tcW w:w="0" w:type="auto"/>
            <w:noWrap w:val="0"/>
            <w:vAlign w:val="center"/>
          </w:tcPr>
          <w:p w14:paraId="27AE15D2">
            <w:r>
              <w:rPr>
                <w:rStyle w:val="10"/>
                <w:rFonts w:hint="eastAsia"/>
              </w:rPr>
              <w:t>登记证号：</w:t>
            </w:r>
            <w:r>
              <w:rPr>
                <w:rFonts w:hint="eastAsia"/>
              </w:rPr>
              <w:t>PD20212553</w:t>
            </w:r>
          </w:p>
        </w:tc>
      </w:tr>
      <w:tr w14:paraId="1F0D0582">
        <w:tblPrEx>
          <w:tblCellMar>
            <w:top w:w="0" w:type="dxa"/>
            <w:left w:w="0" w:type="dxa"/>
            <w:bottom w:w="0" w:type="dxa"/>
            <w:right w:w="0" w:type="dxa"/>
          </w:tblCellMar>
        </w:tblPrEx>
        <w:trPr>
          <w:wBefore w:w="0" w:type="auto"/>
          <w:tblCellSpacing w:w="0" w:type="dxa"/>
        </w:trPr>
        <w:tc>
          <w:tcPr>
            <w:tcW w:w="0" w:type="auto"/>
            <w:noWrap w:val="0"/>
            <w:vAlign w:val="center"/>
          </w:tcPr>
          <w:p w14:paraId="3477E683">
            <w:r>
              <w:rPr>
                <w:rStyle w:val="10"/>
                <w:rFonts w:hint="eastAsia"/>
              </w:rPr>
              <w:t>登记证持有人：</w:t>
            </w:r>
            <w:r>
              <w:rPr>
                <w:rFonts w:hint="eastAsia"/>
              </w:rPr>
              <w:t>湖北泰盛化工有限公司</w:t>
            </w:r>
          </w:p>
        </w:tc>
      </w:tr>
      <w:tr w14:paraId="5E8B6770">
        <w:tblPrEx>
          <w:tblCellMar>
            <w:top w:w="0" w:type="dxa"/>
            <w:left w:w="0" w:type="dxa"/>
            <w:bottom w:w="0" w:type="dxa"/>
            <w:right w:w="0" w:type="dxa"/>
          </w:tblCellMar>
        </w:tblPrEx>
        <w:trPr>
          <w:wBefore w:w="0" w:type="auto"/>
          <w:tblCellSpacing w:w="0" w:type="dxa"/>
        </w:trPr>
        <w:tc>
          <w:tcPr>
            <w:tcW w:w="0" w:type="auto"/>
            <w:noWrap w:val="0"/>
            <w:vAlign w:val="center"/>
          </w:tcPr>
          <w:p w14:paraId="7A362693">
            <w:r>
              <w:rPr>
                <w:rStyle w:val="10"/>
                <w:rFonts w:hint="eastAsia"/>
              </w:rPr>
              <w:t>农药名称：</w:t>
            </w:r>
            <w:r>
              <w:rPr>
                <w:rFonts w:hint="eastAsia"/>
              </w:rPr>
              <w:t>草铵·草甘膦</w:t>
            </w:r>
          </w:p>
        </w:tc>
      </w:tr>
      <w:tr w14:paraId="1ED727FA">
        <w:tblPrEx>
          <w:tblCellMar>
            <w:top w:w="0" w:type="dxa"/>
            <w:left w:w="0" w:type="dxa"/>
            <w:bottom w:w="0" w:type="dxa"/>
            <w:right w:w="0" w:type="dxa"/>
          </w:tblCellMar>
        </w:tblPrEx>
        <w:trPr>
          <w:wBefore w:w="0" w:type="auto"/>
          <w:tblCellSpacing w:w="0" w:type="dxa"/>
        </w:trPr>
        <w:tc>
          <w:tcPr>
            <w:tcW w:w="0" w:type="auto"/>
            <w:noWrap w:val="0"/>
            <w:vAlign w:val="center"/>
          </w:tcPr>
          <w:p w14:paraId="5011BCFD">
            <w:r>
              <w:rPr>
                <w:rStyle w:val="10"/>
                <w:rFonts w:hint="eastAsia"/>
              </w:rPr>
              <w:t>剂型：</w:t>
            </w:r>
            <w:r>
              <w:rPr>
                <w:rFonts w:hint="eastAsia"/>
              </w:rPr>
              <w:t>可溶液剂</w:t>
            </w:r>
          </w:p>
        </w:tc>
      </w:tr>
      <w:tr w14:paraId="65FEFEAE">
        <w:tblPrEx>
          <w:tblCellMar>
            <w:top w:w="0" w:type="dxa"/>
            <w:left w:w="0" w:type="dxa"/>
            <w:bottom w:w="0" w:type="dxa"/>
            <w:right w:w="0" w:type="dxa"/>
          </w:tblCellMar>
        </w:tblPrEx>
        <w:trPr>
          <w:wBefore w:w="0" w:type="auto"/>
          <w:tblCellSpacing w:w="0" w:type="dxa"/>
        </w:trPr>
        <w:tc>
          <w:tcPr>
            <w:tcW w:w="0" w:type="auto"/>
            <w:noWrap w:val="0"/>
            <w:vAlign w:val="center"/>
          </w:tcPr>
          <w:p w14:paraId="46AECA17">
            <w:r>
              <w:rPr>
                <w:rStyle w:val="10"/>
                <w:rFonts w:hint="eastAsia"/>
              </w:rPr>
              <w:t>毒性及其标识：</w:t>
            </w:r>
            <w:r>
              <w:rPr>
                <w:rFonts w:hint="eastAsia"/>
              </w:rPr>
              <w:t xml:space="preserve"> </w:t>
            </w:r>
            <w:r>
              <w:rPr>
                <w:lang/>
              </w:rPr>
              <w:drawing>
                <wp:inline distT="0" distB="0" distL="114300" distR="114300">
                  <wp:extent cx="476250" cy="323850"/>
                  <wp:effectExtent l="0" t="0" r="0" b="0"/>
                  <wp:docPr id="171" name="图片 1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414B3A">
        <w:tblPrEx>
          <w:tblCellMar>
            <w:top w:w="0" w:type="dxa"/>
            <w:left w:w="0" w:type="dxa"/>
            <w:bottom w:w="0" w:type="dxa"/>
            <w:right w:w="0" w:type="dxa"/>
          </w:tblCellMar>
        </w:tblPrEx>
        <w:trPr>
          <w:wBefore w:w="0" w:type="auto"/>
          <w:tblCellSpacing w:w="0" w:type="dxa"/>
        </w:trPr>
        <w:tc>
          <w:tcPr>
            <w:tcW w:w="0" w:type="auto"/>
            <w:noWrap w:val="0"/>
            <w:vAlign w:val="center"/>
          </w:tcPr>
          <w:p w14:paraId="45431E1E">
            <w:r>
              <w:rPr>
                <w:rStyle w:val="10"/>
                <w:rFonts w:hint="eastAsia"/>
              </w:rPr>
              <w:t>总有效成分含量：</w:t>
            </w:r>
            <w:r>
              <w:rPr>
                <w:rFonts w:hint="eastAsia"/>
              </w:rPr>
              <w:t>36%</w:t>
            </w:r>
          </w:p>
        </w:tc>
      </w:tr>
      <w:tr w14:paraId="45FBE9F6">
        <w:tblPrEx>
          <w:tblCellMar>
            <w:top w:w="0" w:type="dxa"/>
            <w:left w:w="0" w:type="dxa"/>
            <w:bottom w:w="0" w:type="dxa"/>
            <w:right w:w="0" w:type="dxa"/>
          </w:tblCellMar>
        </w:tblPrEx>
        <w:trPr>
          <w:wBefore w:w="0" w:type="auto"/>
          <w:tblCellSpacing w:w="0" w:type="dxa"/>
        </w:trPr>
        <w:tc>
          <w:tcPr>
            <w:tcW w:w="0" w:type="auto"/>
            <w:noWrap w:val="0"/>
            <w:vAlign w:val="center"/>
          </w:tcPr>
          <w:p w14:paraId="1D5C98A0">
            <w:r>
              <w:rPr>
                <w:rFonts w:hint="eastAsia"/>
              </w:rPr>
              <w:t xml:space="preserve">有效成分及其含量： </w:t>
            </w:r>
          </w:p>
          <w:p w14:paraId="59F2160D">
            <w:r>
              <w:rPr>
                <w:rFonts w:hint="eastAsia"/>
              </w:rPr>
              <w:t xml:space="preserve">    草甘膦30%    草铵膦6%    </w:t>
            </w:r>
          </w:p>
        </w:tc>
      </w:tr>
      <w:tr w14:paraId="567AD144">
        <w:tblPrEx>
          <w:tblCellMar>
            <w:top w:w="0" w:type="dxa"/>
            <w:left w:w="0" w:type="dxa"/>
            <w:bottom w:w="0" w:type="dxa"/>
            <w:right w:w="0" w:type="dxa"/>
          </w:tblCellMar>
        </w:tblPrEx>
        <w:trPr>
          <w:wBefore w:w="0" w:type="auto"/>
          <w:tblCellSpacing w:w="0" w:type="dxa"/>
        </w:trPr>
        <w:tc>
          <w:tcPr>
            <w:tcW w:w="0" w:type="auto"/>
            <w:noWrap w:val="0"/>
            <w:vAlign w:val="center"/>
          </w:tcPr>
          <w:p w14:paraId="0EE2AD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F45C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5C4C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8A3D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DE836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79127F">
                  <w:r>
                    <w:rPr>
                      <w:rStyle w:val="11"/>
                      <w:rFonts w:hint="eastAsia"/>
                    </w:rPr>
                    <w:t>施用方式</w:t>
                  </w:r>
                </w:p>
              </w:tc>
            </w:tr>
            <w:tr w14:paraId="29320F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9507A4">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B5FF6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AED17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EAEC55">
                  <w:r>
                    <w:rPr>
                      <w:rStyle w:val="11"/>
                      <w:rFonts w:hint="eastAsia"/>
                    </w:rPr>
                    <w:t>茎叶喷雾</w:t>
                  </w:r>
                </w:p>
              </w:tc>
            </w:tr>
          </w:tbl>
          <w:p w14:paraId="1A503FDB">
            <w:pPr>
              <w:rPr>
                <w:rFonts w:ascii="Times New Roman" w:hAnsi="Times New Roman" w:cs="Times New Roman"/>
                <w:sz w:val="20"/>
                <w:szCs w:val="20"/>
              </w:rPr>
            </w:pPr>
          </w:p>
        </w:tc>
      </w:tr>
      <w:tr w14:paraId="2F138CFB">
        <w:tblPrEx>
          <w:tblCellMar>
            <w:top w:w="0" w:type="dxa"/>
            <w:left w:w="0" w:type="dxa"/>
            <w:bottom w:w="0" w:type="dxa"/>
            <w:right w:w="0" w:type="dxa"/>
          </w:tblCellMar>
        </w:tblPrEx>
        <w:trPr>
          <w:wBefore w:w="0" w:type="auto"/>
          <w:tblCellSpacing w:w="0" w:type="dxa"/>
        </w:trPr>
        <w:tc>
          <w:tcPr>
            <w:tcW w:w="0" w:type="auto"/>
            <w:noWrap w:val="0"/>
            <w:vAlign w:val="center"/>
          </w:tcPr>
          <w:p w14:paraId="1C4C9DFB">
            <w:r>
              <w:rPr>
                <w:rStyle w:val="10"/>
                <w:rFonts w:hint="eastAsia"/>
              </w:rPr>
              <w:t>使用技术要求:</w:t>
            </w:r>
            <w:r>
              <w:rPr>
                <w:rFonts w:hint="eastAsia"/>
              </w:rPr>
              <w:br w:type="textWrapping"/>
            </w:r>
            <w:r>
              <w:rPr>
                <w:rStyle w:val="11"/>
                <w:rFonts w:hint="eastAsia"/>
              </w:rPr>
              <w:t>1、本品应于非耕地杂草生长旺盛期，茎叶喷雾施药。 2、需用清水配制药液，现配现用，不宜久置。 3、施药时应避免药液漂移到其它作物上，以防产生药害。 4、选无风、湿润的晴天施用，避免在严重干旱等恶劣气候时施用。施药后6小时内遇雨会降低药效，应酌情补喷。5、禁止在田间道路、田埂、果树行间、休耕地、林场林地等农林业区域使用。</w:t>
            </w:r>
          </w:p>
        </w:tc>
      </w:tr>
      <w:tr w14:paraId="01D7A5C1">
        <w:tblPrEx>
          <w:tblCellMar>
            <w:top w:w="0" w:type="dxa"/>
            <w:left w:w="0" w:type="dxa"/>
            <w:bottom w:w="0" w:type="dxa"/>
            <w:right w:w="0" w:type="dxa"/>
          </w:tblCellMar>
        </w:tblPrEx>
        <w:trPr>
          <w:wBefore w:w="0" w:type="auto"/>
          <w:tblCellSpacing w:w="0" w:type="dxa"/>
        </w:trPr>
        <w:tc>
          <w:tcPr>
            <w:tcW w:w="0" w:type="auto"/>
            <w:noWrap w:val="0"/>
            <w:vAlign w:val="center"/>
          </w:tcPr>
          <w:p w14:paraId="02FEF18A">
            <w:r>
              <w:rPr>
                <w:rStyle w:val="10"/>
                <w:rFonts w:hint="eastAsia"/>
              </w:rPr>
              <w:t>产品性能:</w:t>
            </w:r>
            <w:r>
              <w:rPr>
                <w:rFonts w:hint="eastAsia"/>
              </w:rPr>
              <w:br w:type="textWrapping"/>
            </w:r>
            <w:r>
              <w:rPr>
                <w:rStyle w:val="11"/>
                <w:rFonts w:hint="eastAsia"/>
              </w:rPr>
              <w:t>本品是由草铵膦和草甘膦复配而成的灭生性除草剂，草铵膦是以积铵触杀为主，草甘膦是以内吸传导为主，两者复配能够提高速效性，扩大杀草谱，弥补草甘膦在杀草谱上的不足。</w:t>
            </w:r>
          </w:p>
        </w:tc>
      </w:tr>
      <w:tr w14:paraId="2E677FE0">
        <w:tblPrEx>
          <w:tblCellMar>
            <w:top w:w="0" w:type="dxa"/>
            <w:left w:w="0" w:type="dxa"/>
            <w:bottom w:w="0" w:type="dxa"/>
            <w:right w:w="0" w:type="dxa"/>
          </w:tblCellMar>
        </w:tblPrEx>
        <w:trPr>
          <w:wBefore w:w="0" w:type="auto"/>
          <w:tblCellSpacing w:w="0" w:type="dxa"/>
        </w:trPr>
        <w:tc>
          <w:tcPr>
            <w:tcW w:w="0" w:type="auto"/>
            <w:noWrap w:val="0"/>
            <w:vAlign w:val="center"/>
          </w:tcPr>
          <w:p w14:paraId="10754100">
            <w:r>
              <w:rPr>
                <w:rStyle w:val="10"/>
                <w:rFonts w:hint="eastAsia"/>
              </w:rPr>
              <w:t>注意事项：</w:t>
            </w:r>
            <w:r>
              <w:rPr>
                <w:rFonts w:hint="eastAsia"/>
              </w:rPr>
              <w:br w:type="textWrapping"/>
            </w:r>
            <w:r>
              <w:rPr>
                <w:rStyle w:val="11"/>
                <w:rFonts w:hint="eastAsia"/>
              </w:rPr>
              <w:t>1、使用前请务必仔细阅读此标签，并严格按照标签说明使用。定向茎叶喷雾，注意不要喷到其他作物上，以免产生药害。施药后5天内不能割草、放牧、翻地等。 2、使用时穿戴长衣、长裤、帽子、口罩、手套等防护措施，避免吸入药液。施药期间不可吃东西和饮水等。施药后，彻底清洗器械，并立即用肥皂洗手和洗脸。 3、本品应避免与氧化剂接触，遇土钝化，因此在稀释和配制本品药液时，应使用清水，禁止用浑浊的河水或沟渠水配药，以最大限度地提高除草的效果。 4、本品对蜜蜂、鱼类等水生生物、家蚕有毒，施药期间应避免对周围蜂群的影响、开花植物花期、蚕室和桑园附近禁用，可将最外围桑树作为隔离带，不可使用最外围桑树上的叶片饲喂家蚕。远离水产养殖区施药，禁止在河塘等水体中清洗施药器具。 5、用过的容器应妥善处理，不可做他用，也不可随意丢弃。 6、孕妇及哺乳期的妇女避免接触本品。7、避免与具有氧化性物质接触或混合。</w:t>
            </w:r>
          </w:p>
        </w:tc>
      </w:tr>
      <w:tr w14:paraId="2A875F24">
        <w:tblPrEx>
          <w:tblCellMar>
            <w:top w:w="0" w:type="dxa"/>
            <w:left w:w="0" w:type="dxa"/>
            <w:bottom w:w="0" w:type="dxa"/>
            <w:right w:w="0" w:type="dxa"/>
          </w:tblCellMar>
        </w:tblPrEx>
        <w:trPr>
          <w:wBefore w:w="0" w:type="auto"/>
          <w:tblCellSpacing w:w="0" w:type="dxa"/>
        </w:trPr>
        <w:tc>
          <w:tcPr>
            <w:tcW w:w="0" w:type="auto"/>
            <w:noWrap w:val="0"/>
            <w:vAlign w:val="center"/>
          </w:tcPr>
          <w:p w14:paraId="038E56DB">
            <w:r>
              <w:rPr>
                <w:rStyle w:val="10"/>
                <w:rFonts w:hint="eastAsia"/>
              </w:rPr>
              <w:t>中毒急救措施：</w:t>
            </w:r>
            <w:r>
              <w:rPr>
                <w:rFonts w:hint="eastAsia"/>
              </w:rPr>
              <w:br w:type="textWrapping"/>
            </w:r>
            <w:r>
              <w:rPr>
                <w:rStyle w:val="11"/>
                <w:rFonts w:hint="eastAsia"/>
              </w:rPr>
              <w:t>该产品对眼睛有刺激性，使用时避免接触眼睛。 如不慎接触皮肤，应立即用大量清水冲洗；若溅到眼睛中，立即用大量清水冲洗至少15分钟；不慎吸入，应将病人立即移至空气清新处；如不慎误服，立即引吐，并携本标签及时把病人送往医院对症治疗。本品无特效解毒剂。</w:t>
            </w:r>
          </w:p>
        </w:tc>
      </w:tr>
      <w:tr w14:paraId="2B585D91">
        <w:tblPrEx>
          <w:tblCellMar>
            <w:top w:w="0" w:type="dxa"/>
            <w:left w:w="0" w:type="dxa"/>
            <w:bottom w:w="0" w:type="dxa"/>
            <w:right w:w="0" w:type="dxa"/>
          </w:tblCellMar>
        </w:tblPrEx>
        <w:trPr>
          <w:wBefore w:w="0" w:type="auto"/>
          <w:tblCellSpacing w:w="0" w:type="dxa"/>
        </w:trPr>
        <w:tc>
          <w:tcPr>
            <w:tcW w:w="0" w:type="auto"/>
            <w:noWrap w:val="0"/>
            <w:vAlign w:val="center"/>
          </w:tcPr>
          <w:p w14:paraId="12019DE2">
            <w:r>
              <w:rPr>
                <w:rStyle w:val="10"/>
                <w:rFonts w:hint="eastAsia"/>
              </w:rPr>
              <w:t>储存和运输方法：</w:t>
            </w:r>
            <w:r>
              <w:rPr>
                <w:rFonts w:hint="eastAsia"/>
              </w:rPr>
              <w:br w:type="textWrapping"/>
            </w:r>
            <w:r>
              <w:rPr>
                <w:rStyle w:val="11"/>
                <w:rFonts w:hint="eastAsia"/>
              </w:rPr>
              <w:t>本品应贮存在干燥、通风的库房中，远离火源或热源。贮存时，严防潮湿和日晒，不能与食品、饮料、粮食、种子、饲料等物品同贮同运。置于儿童触及不到之处，并加锁。</w:t>
            </w:r>
          </w:p>
        </w:tc>
      </w:tr>
      <w:tr w14:paraId="6DFFE77D">
        <w:tblPrEx>
          <w:tblCellMar>
            <w:top w:w="0" w:type="dxa"/>
            <w:left w:w="0" w:type="dxa"/>
            <w:bottom w:w="0" w:type="dxa"/>
            <w:right w:w="0" w:type="dxa"/>
          </w:tblCellMar>
        </w:tblPrEx>
        <w:trPr>
          <w:wBefore w:w="0" w:type="auto"/>
          <w:tblCellSpacing w:w="0" w:type="dxa"/>
        </w:trPr>
        <w:tc>
          <w:tcPr>
            <w:tcW w:w="0" w:type="auto"/>
            <w:noWrap w:val="0"/>
            <w:vAlign w:val="center"/>
          </w:tcPr>
          <w:p w14:paraId="0A8635D2">
            <w:r>
              <w:rPr>
                <w:rStyle w:val="10"/>
                <w:rFonts w:hint="eastAsia"/>
              </w:rPr>
              <w:t>质量保证期：</w:t>
            </w:r>
            <w:r>
              <w:rPr>
                <w:rStyle w:val="11"/>
                <w:rFonts w:hint="eastAsia"/>
              </w:rPr>
              <w:t>2年</w:t>
            </w:r>
          </w:p>
        </w:tc>
      </w:tr>
      <w:tr w14:paraId="5635A8A8">
        <w:tblPrEx>
          <w:tblCellMar>
            <w:top w:w="0" w:type="dxa"/>
            <w:left w:w="0" w:type="dxa"/>
            <w:bottom w:w="0" w:type="dxa"/>
            <w:right w:w="0" w:type="dxa"/>
          </w:tblCellMar>
        </w:tblPrEx>
        <w:trPr>
          <w:wBefore w:w="0" w:type="auto"/>
          <w:tblCellSpacing w:w="0" w:type="dxa"/>
        </w:trPr>
        <w:tc>
          <w:tcPr>
            <w:tcW w:w="0" w:type="auto"/>
            <w:noWrap w:val="0"/>
            <w:vAlign w:val="center"/>
          </w:tcPr>
          <w:p w14:paraId="089B9978">
            <w:r>
              <w:rPr>
                <w:rStyle w:val="10"/>
                <w:rFonts w:hint="eastAsia"/>
              </w:rPr>
              <w:t>备注：</w:t>
            </w:r>
          </w:p>
        </w:tc>
      </w:tr>
    </w:tbl>
    <w:p w14:paraId="65C413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5F10D8">
        <w:tblPrEx>
          <w:tblCellMar>
            <w:top w:w="0" w:type="dxa"/>
            <w:left w:w="0" w:type="dxa"/>
            <w:bottom w:w="0" w:type="dxa"/>
            <w:right w:w="0" w:type="dxa"/>
          </w:tblCellMar>
        </w:tblPrEx>
        <w:trPr>
          <w:wBefore w:w="0" w:type="auto"/>
          <w:tblCellSpacing w:w="0" w:type="dxa"/>
        </w:trPr>
        <w:tc>
          <w:tcPr>
            <w:tcW w:w="0" w:type="auto"/>
            <w:noWrap w:val="0"/>
            <w:vAlign w:val="center"/>
          </w:tcPr>
          <w:p w14:paraId="0F0A0439">
            <w:r>
              <w:rPr>
                <w:rStyle w:val="10"/>
                <w:rFonts w:hint="eastAsia"/>
              </w:rPr>
              <w:t>登记证号：</w:t>
            </w:r>
            <w:r>
              <w:rPr>
                <w:rFonts w:hint="eastAsia"/>
              </w:rPr>
              <w:t>WP20210421</w:t>
            </w:r>
          </w:p>
        </w:tc>
      </w:tr>
      <w:tr w14:paraId="306DF341">
        <w:tblPrEx>
          <w:tblCellMar>
            <w:top w:w="0" w:type="dxa"/>
            <w:left w:w="0" w:type="dxa"/>
            <w:bottom w:w="0" w:type="dxa"/>
            <w:right w:w="0" w:type="dxa"/>
          </w:tblCellMar>
        </w:tblPrEx>
        <w:trPr>
          <w:wBefore w:w="0" w:type="auto"/>
          <w:tblCellSpacing w:w="0" w:type="dxa"/>
        </w:trPr>
        <w:tc>
          <w:tcPr>
            <w:tcW w:w="0" w:type="auto"/>
            <w:noWrap w:val="0"/>
            <w:vAlign w:val="center"/>
          </w:tcPr>
          <w:p w14:paraId="7458C3AC">
            <w:r>
              <w:rPr>
                <w:rStyle w:val="10"/>
                <w:rFonts w:hint="eastAsia"/>
              </w:rPr>
              <w:t>登记证持有人：</w:t>
            </w:r>
            <w:r>
              <w:rPr>
                <w:rFonts w:hint="eastAsia"/>
              </w:rPr>
              <w:t>广东莱雅新化工科技有限公司</w:t>
            </w:r>
          </w:p>
        </w:tc>
      </w:tr>
      <w:tr w14:paraId="607F0457">
        <w:tblPrEx>
          <w:tblCellMar>
            <w:top w:w="0" w:type="dxa"/>
            <w:left w:w="0" w:type="dxa"/>
            <w:bottom w:w="0" w:type="dxa"/>
            <w:right w:w="0" w:type="dxa"/>
          </w:tblCellMar>
        </w:tblPrEx>
        <w:trPr>
          <w:wBefore w:w="0" w:type="auto"/>
          <w:tblCellSpacing w:w="0" w:type="dxa"/>
        </w:trPr>
        <w:tc>
          <w:tcPr>
            <w:tcW w:w="0" w:type="auto"/>
            <w:noWrap w:val="0"/>
            <w:vAlign w:val="center"/>
          </w:tcPr>
          <w:p w14:paraId="28E1D698">
            <w:r>
              <w:rPr>
                <w:rStyle w:val="10"/>
                <w:rFonts w:hint="eastAsia"/>
              </w:rPr>
              <w:t>农药名称：</w:t>
            </w:r>
            <w:r>
              <w:rPr>
                <w:rFonts w:hint="eastAsia"/>
              </w:rPr>
              <w:t>杀虫气雾剂</w:t>
            </w:r>
          </w:p>
        </w:tc>
      </w:tr>
      <w:tr w14:paraId="402F3B40">
        <w:tblPrEx>
          <w:tblCellMar>
            <w:top w:w="0" w:type="dxa"/>
            <w:left w:w="0" w:type="dxa"/>
            <w:bottom w:w="0" w:type="dxa"/>
            <w:right w:w="0" w:type="dxa"/>
          </w:tblCellMar>
        </w:tblPrEx>
        <w:trPr>
          <w:wBefore w:w="0" w:type="auto"/>
          <w:tblCellSpacing w:w="0" w:type="dxa"/>
        </w:trPr>
        <w:tc>
          <w:tcPr>
            <w:tcW w:w="0" w:type="auto"/>
            <w:noWrap w:val="0"/>
            <w:vAlign w:val="center"/>
          </w:tcPr>
          <w:p w14:paraId="4CE55F79">
            <w:r>
              <w:rPr>
                <w:rStyle w:val="10"/>
                <w:rFonts w:hint="eastAsia"/>
              </w:rPr>
              <w:t>剂型：</w:t>
            </w:r>
            <w:r>
              <w:rPr>
                <w:rFonts w:hint="eastAsia"/>
              </w:rPr>
              <w:t>气雾剂</w:t>
            </w:r>
          </w:p>
        </w:tc>
      </w:tr>
      <w:tr w14:paraId="55C3490D">
        <w:tblPrEx>
          <w:tblCellMar>
            <w:top w:w="0" w:type="dxa"/>
            <w:left w:w="0" w:type="dxa"/>
            <w:bottom w:w="0" w:type="dxa"/>
            <w:right w:w="0" w:type="dxa"/>
          </w:tblCellMar>
        </w:tblPrEx>
        <w:trPr>
          <w:wBefore w:w="0" w:type="auto"/>
          <w:tblCellSpacing w:w="0" w:type="dxa"/>
        </w:trPr>
        <w:tc>
          <w:tcPr>
            <w:tcW w:w="0" w:type="auto"/>
            <w:noWrap w:val="0"/>
            <w:vAlign w:val="center"/>
          </w:tcPr>
          <w:p w14:paraId="5F4A65AB">
            <w:r>
              <w:rPr>
                <w:rStyle w:val="10"/>
                <w:rFonts w:hint="eastAsia"/>
              </w:rPr>
              <w:t>毒性及其标识：</w:t>
            </w:r>
            <w:r>
              <w:rPr>
                <w:rFonts w:hint="eastAsia"/>
              </w:rPr>
              <w:t xml:space="preserve"> 微毒 </w:t>
            </w:r>
          </w:p>
        </w:tc>
      </w:tr>
      <w:tr w14:paraId="212EDF31">
        <w:tblPrEx>
          <w:tblCellMar>
            <w:top w:w="0" w:type="dxa"/>
            <w:left w:w="0" w:type="dxa"/>
            <w:bottom w:w="0" w:type="dxa"/>
            <w:right w:w="0" w:type="dxa"/>
          </w:tblCellMar>
        </w:tblPrEx>
        <w:trPr>
          <w:wBefore w:w="0" w:type="auto"/>
          <w:tblCellSpacing w:w="0" w:type="dxa"/>
        </w:trPr>
        <w:tc>
          <w:tcPr>
            <w:tcW w:w="0" w:type="auto"/>
            <w:noWrap w:val="0"/>
            <w:vAlign w:val="center"/>
          </w:tcPr>
          <w:p w14:paraId="32819AA3">
            <w:r>
              <w:rPr>
                <w:rStyle w:val="10"/>
                <w:rFonts w:hint="eastAsia"/>
              </w:rPr>
              <w:t>总有效成分含量：</w:t>
            </w:r>
            <w:r>
              <w:rPr>
                <w:rFonts w:hint="eastAsia"/>
              </w:rPr>
              <w:t>2%</w:t>
            </w:r>
          </w:p>
        </w:tc>
      </w:tr>
      <w:tr w14:paraId="092AA2DB">
        <w:tblPrEx>
          <w:tblCellMar>
            <w:top w:w="0" w:type="dxa"/>
            <w:left w:w="0" w:type="dxa"/>
            <w:bottom w:w="0" w:type="dxa"/>
            <w:right w:w="0" w:type="dxa"/>
          </w:tblCellMar>
        </w:tblPrEx>
        <w:trPr>
          <w:wBefore w:w="0" w:type="auto"/>
          <w:tblCellSpacing w:w="0" w:type="dxa"/>
        </w:trPr>
        <w:tc>
          <w:tcPr>
            <w:tcW w:w="0" w:type="auto"/>
            <w:noWrap w:val="0"/>
            <w:vAlign w:val="center"/>
          </w:tcPr>
          <w:p w14:paraId="72D0DC3B">
            <w:r>
              <w:rPr>
                <w:rFonts w:hint="eastAsia"/>
              </w:rPr>
              <w:t xml:space="preserve">有效成分及其含量： </w:t>
            </w:r>
          </w:p>
          <w:p w14:paraId="4E973CE3">
            <w:r>
              <w:rPr>
                <w:rFonts w:hint="eastAsia"/>
              </w:rPr>
              <w:t xml:space="preserve">    氯菊酯2%    </w:t>
            </w:r>
          </w:p>
        </w:tc>
      </w:tr>
      <w:tr w14:paraId="44C479C1">
        <w:tblPrEx>
          <w:tblCellMar>
            <w:top w:w="0" w:type="dxa"/>
            <w:left w:w="0" w:type="dxa"/>
            <w:bottom w:w="0" w:type="dxa"/>
            <w:right w:w="0" w:type="dxa"/>
          </w:tblCellMar>
        </w:tblPrEx>
        <w:trPr>
          <w:wBefore w:w="0" w:type="auto"/>
          <w:tblCellSpacing w:w="0" w:type="dxa"/>
        </w:trPr>
        <w:tc>
          <w:tcPr>
            <w:tcW w:w="0" w:type="auto"/>
            <w:noWrap w:val="0"/>
            <w:vAlign w:val="center"/>
          </w:tcPr>
          <w:p w14:paraId="431DF8A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7057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C8BCF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E423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1523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71C23A">
                  <w:r>
                    <w:rPr>
                      <w:rStyle w:val="11"/>
                      <w:rFonts w:hint="eastAsia"/>
                    </w:rPr>
                    <w:t>施用方式</w:t>
                  </w:r>
                </w:p>
              </w:tc>
            </w:tr>
            <w:tr w14:paraId="7795C7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362E8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189B5B">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A41E7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5898B2">
                  <w:r>
                    <w:rPr>
                      <w:rStyle w:val="11"/>
                      <w:rFonts w:hint="eastAsia"/>
                    </w:rPr>
                    <w:t>喷雾</w:t>
                  </w:r>
                </w:p>
              </w:tc>
            </w:tr>
          </w:tbl>
          <w:p w14:paraId="31405A79">
            <w:pPr>
              <w:rPr>
                <w:rFonts w:ascii="Times New Roman" w:hAnsi="Times New Roman" w:cs="Times New Roman"/>
                <w:sz w:val="20"/>
                <w:szCs w:val="20"/>
              </w:rPr>
            </w:pPr>
          </w:p>
        </w:tc>
      </w:tr>
      <w:tr w14:paraId="56934BE5">
        <w:tblPrEx>
          <w:tblCellMar>
            <w:top w:w="0" w:type="dxa"/>
            <w:left w:w="0" w:type="dxa"/>
            <w:bottom w:w="0" w:type="dxa"/>
            <w:right w:w="0" w:type="dxa"/>
          </w:tblCellMar>
        </w:tblPrEx>
        <w:trPr>
          <w:wBefore w:w="0" w:type="auto"/>
          <w:tblCellSpacing w:w="0" w:type="dxa"/>
        </w:trPr>
        <w:tc>
          <w:tcPr>
            <w:tcW w:w="0" w:type="auto"/>
            <w:noWrap w:val="0"/>
            <w:vAlign w:val="center"/>
          </w:tcPr>
          <w:p w14:paraId="4BCDE841">
            <w:r>
              <w:rPr>
                <w:rStyle w:val="10"/>
                <w:rFonts w:hint="eastAsia"/>
              </w:rPr>
              <w:t>使用技术要求:</w:t>
            </w:r>
            <w:r>
              <w:rPr>
                <w:rFonts w:hint="eastAsia"/>
              </w:rPr>
              <w:br w:type="textWrapping"/>
            </w:r>
            <w:r>
              <w:rPr>
                <w:rStyle w:val="11"/>
                <w:rFonts w:hint="eastAsia"/>
              </w:rPr>
              <w:t>本品为民航器专用。驱杀蚊、蝇时，按房间面积向空间适量喷雾。驱杀蜚蠊（俗称蟑螂）时，向其出没或栖息处适量喷雾。使用后人畜立即离开房间，关闭门窗，20分钟后打开门窗，充分通风后方可再次进入房间。</w:t>
            </w:r>
          </w:p>
        </w:tc>
      </w:tr>
      <w:tr w14:paraId="7492314B">
        <w:tblPrEx>
          <w:tblCellMar>
            <w:top w:w="0" w:type="dxa"/>
            <w:left w:w="0" w:type="dxa"/>
            <w:bottom w:w="0" w:type="dxa"/>
            <w:right w:w="0" w:type="dxa"/>
          </w:tblCellMar>
        </w:tblPrEx>
        <w:trPr>
          <w:wBefore w:w="0" w:type="auto"/>
          <w:tblCellSpacing w:w="0" w:type="dxa"/>
        </w:trPr>
        <w:tc>
          <w:tcPr>
            <w:tcW w:w="0" w:type="auto"/>
            <w:noWrap w:val="0"/>
            <w:vAlign w:val="center"/>
          </w:tcPr>
          <w:p w14:paraId="1C9408B4">
            <w:r>
              <w:rPr>
                <w:rStyle w:val="10"/>
                <w:rFonts w:hint="eastAsia"/>
              </w:rPr>
              <w:t>产品性能:</w:t>
            </w:r>
            <w:r>
              <w:rPr>
                <w:rFonts w:hint="eastAsia"/>
              </w:rPr>
              <w:br w:type="textWrapping"/>
            </w:r>
            <w:r>
              <w:rPr>
                <w:rStyle w:val="11"/>
                <w:rFonts w:hint="eastAsia"/>
              </w:rPr>
              <w:t>本品有效成分为氯菊酯，可用于飞机客舱、货舱等环境，对蚊、蝇、蟑螂具有击倒及驱杀作用。本品为航空器专用。</w:t>
            </w:r>
          </w:p>
        </w:tc>
      </w:tr>
      <w:tr w14:paraId="16825E6C">
        <w:tblPrEx>
          <w:tblCellMar>
            <w:top w:w="0" w:type="dxa"/>
            <w:left w:w="0" w:type="dxa"/>
            <w:bottom w:w="0" w:type="dxa"/>
            <w:right w:w="0" w:type="dxa"/>
          </w:tblCellMar>
        </w:tblPrEx>
        <w:trPr>
          <w:wBefore w:w="0" w:type="auto"/>
          <w:tblCellSpacing w:w="0" w:type="dxa"/>
        </w:trPr>
        <w:tc>
          <w:tcPr>
            <w:tcW w:w="0" w:type="auto"/>
            <w:noWrap w:val="0"/>
            <w:vAlign w:val="center"/>
          </w:tcPr>
          <w:p w14:paraId="64EC29E9">
            <w:r>
              <w:rPr>
                <w:rStyle w:val="10"/>
                <w:rFonts w:hint="eastAsia"/>
              </w:rPr>
              <w:t>注意事项：</w:t>
            </w:r>
            <w:r>
              <w:rPr>
                <w:rFonts w:hint="eastAsia"/>
              </w:rPr>
              <w:br w:type="textWrapping"/>
            </w:r>
            <w:r>
              <w:rPr>
                <w:rStyle w:val="11"/>
                <w:rFonts w:hint="eastAsia"/>
              </w:rPr>
              <w:t>1.请按指示使用，置于儿童接触不到的地方。 2.使用后注意通风。勿倒置使用。用后洗手。勿向人体及食物喷雾。 3.本品对鱼类、蜂和蚕毒性高，蚕室及其附近禁用。 4.过敏者禁用。使用中有任何不良反应请及时就医。 5.本品属压力包装，切勿毁坏及焚烧，勿近火喷射，空罐勿投入火中。 6.切勿撞击，切勿空罐再次充装，切勿将罐体戳破。 7.避免孕妇和哺乳期妇女接触。8.该产品极易燃。9.仅用于室内。</w:t>
            </w:r>
          </w:p>
        </w:tc>
      </w:tr>
      <w:tr w14:paraId="55E575F4">
        <w:tblPrEx>
          <w:tblCellMar>
            <w:top w:w="0" w:type="dxa"/>
            <w:left w:w="0" w:type="dxa"/>
            <w:bottom w:w="0" w:type="dxa"/>
            <w:right w:w="0" w:type="dxa"/>
          </w:tblCellMar>
        </w:tblPrEx>
        <w:trPr>
          <w:wBefore w:w="0" w:type="auto"/>
          <w:tblCellSpacing w:w="0" w:type="dxa"/>
        </w:trPr>
        <w:tc>
          <w:tcPr>
            <w:tcW w:w="0" w:type="auto"/>
            <w:noWrap w:val="0"/>
            <w:vAlign w:val="center"/>
          </w:tcPr>
          <w:p w14:paraId="10798C2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4、误食：立即停止服用，用清水充分漱口后，立即携带农药标签到医院就诊。</w:t>
            </w:r>
          </w:p>
        </w:tc>
      </w:tr>
      <w:tr w14:paraId="1EEF3454">
        <w:tblPrEx>
          <w:tblCellMar>
            <w:top w:w="0" w:type="dxa"/>
            <w:left w:w="0" w:type="dxa"/>
            <w:bottom w:w="0" w:type="dxa"/>
            <w:right w:w="0" w:type="dxa"/>
          </w:tblCellMar>
        </w:tblPrEx>
        <w:trPr>
          <w:wBefore w:w="0" w:type="auto"/>
          <w:tblCellSpacing w:w="0" w:type="dxa"/>
        </w:trPr>
        <w:tc>
          <w:tcPr>
            <w:tcW w:w="0" w:type="auto"/>
            <w:noWrap w:val="0"/>
            <w:vAlign w:val="center"/>
          </w:tcPr>
          <w:p w14:paraId="16A7AEAC">
            <w:r>
              <w:rPr>
                <w:rStyle w:val="10"/>
                <w:rFonts w:hint="eastAsia"/>
              </w:rPr>
              <w:t>储存和运输方法：</w:t>
            </w:r>
            <w:r>
              <w:rPr>
                <w:rFonts w:hint="eastAsia"/>
              </w:rPr>
              <w:br w:type="textWrapping"/>
            </w:r>
            <w:r>
              <w:rPr>
                <w:rStyle w:val="11"/>
                <w:rFonts w:hint="eastAsia"/>
              </w:rPr>
              <w:t>本品应置于50℃以下通风、阴凉、干燥、防雨处，远离火源或热源；置于儿童触及不到之处；勿与食品、种子、饮料、饲料、粮食及易燃易爆品同贮同运。搬运时要轻取轻放，防止猛烈碰撞、日晒、重压。</w:t>
            </w:r>
          </w:p>
        </w:tc>
      </w:tr>
      <w:tr w14:paraId="261E88A4">
        <w:tblPrEx>
          <w:tblCellMar>
            <w:top w:w="0" w:type="dxa"/>
            <w:left w:w="0" w:type="dxa"/>
            <w:bottom w:w="0" w:type="dxa"/>
            <w:right w:w="0" w:type="dxa"/>
          </w:tblCellMar>
        </w:tblPrEx>
        <w:trPr>
          <w:wBefore w:w="0" w:type="auto"/>
          <w:tblCellSpacing w:w="0" w:type="dxa"/>
        </w:trPr>
        <w:tc>
          <w:tcPr>
            <w:tcW w:w="0" w:type="auto"/>
            <w:noWrap w:val="0"/>
            <w:vAlign w:val="center"/>
          </w:tcPr>
          <w:p w14:paraId="4C800F29">
            <w:r>
              <w:rPr>
                <w:rStyle w:val="10"/>
                <w:rFonts w:hint="eastAsia"/>
              </w:rPr>
              <w:t>质量保证期：</w:t>
            </w:r>
            <w:r>
              <w:rPr>
                <w:rStyle w:val="11"/>
                <w:rFonts w:hint="eastAsia"/>
              </w:rPr>
              <w:t>2年</w:t>
            </w:r>
          </w:p>
        </w:tc>
      </w:tr>
      <w:tr w14:paraId="36EB4530">
        <w:tblPrEx>
          <w:tblCellMar>
            <w:top w:w="0" w:type="dxa"/>
            <w:left w:w="0" w:type="dxa"/>
            <w:bottom w:w="0" w:type="dxa"/>
            <w:right w:w="0" w:type="dxa"/>
          </w:tblCellMar>
        </w:tblPrEx>
        <w:trPr>
          <w:wBefore w:w="0" w:type="auto"/>
          <w:tblCellSpacing w:w="0" w:type="dxa"/>
        </w:trPr>
        <w:tc>
          <w:tcPr>
            <w:tcW w:w="0" w:type="auto"/>
            <w:noWrap w:val="0"/>
            <w:vAlign w:val="center"/>
          </w:tcPr>
          <w:p w14:paraId="12811C2F">
            <w:r>
              <w:rPr>
                <w:rStyle w:val="10"/>
                <w:rFonts w:hint="eastAsia"/>
              </w:rPr>
              <w:t>备注：</w:t>
            </w:r>
          </w:p>
        </w:tc>
      </w:tr>
    </w:tbl>
    <w:p w14:paraId="4DC1D2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F29690">
        <w:tblPrEx>
          <w:tblCellMar>
            <w:top w:w="0" w:type="dxa"/>
            <w:left w:w="0" w:type="dxa"/>
            <w:bottom w:w="0" w:type="dxa"/>
            <w:right w:w="0" w:type="dxa"/>
          </w:tblCellMar>
        </w:tblPrEx>
        <w:trPr>
          <w:wBefore w:w="0" w:type="auto"/>
          <w:tblCellSpacing w:w="0" w:type="dxa"/>
        </w:trPr>
        <w:tc>
          <w:tcPr>
            <w:tcW w:w="0" w:type="auto"/>
            <w:noWrap w:val="0"/>
            <w:vAlign w:val="center"/>
          </w:tcPr>
          <w:p w14:paraId="7E526FE6">
            <w:r>
              <w:rPr>
                <w:rStyle w:val="10"/>
                <w:rFonts w:hint="eastAsia"/>
              </w:rPr>
              <w:t>登记证号：</w:t>
            </w:r>
            <w:r>
              <w:rPr>
                <w:rFonts w:hint="eastAsia"/>
              </w:rPr>
              <w:t>PD20212663</w:t>
            </w:r>
          </w:p>
        </w:tc>
      </w:tr>
      <w:tr w14:paraId="7CFE9255">
        <w:tblPrEx>
          <w:tblCellMar>
            <w:top w:w="0" w:type="dxa"/>
            <w:left w:w="0" w:type="dxa"/>
            <w:bottom w:w="0" w:type="dxa"/>
            <w:right w:w="0" w:type="dxa"/>
          </w:tblCellMar>
        </w:tblPrEx>
        <w:trPr>
          <w:wBefore w:w="0" w:type="auto"/>
          <w:tblCellSpacing w:w="0" w:type="dxa"/>
        </w:trPr>
        <w:tc>
          <w:tcPr>
            <w:tcW w:w="0" w:type="auto"/>
            <w:noWrap w:val="0"/>
            <w:vAlign w:val="center"/>
          </w:tcPr>
          <w:p w14:paraId="3F3AC443">
            <w:r>
              <w:rPr>
                <w:rStyle w:val="10"/>
                <w:rFonts w:hint="eastAsia"/>
              </w:rPr>
              <w:t>登记证持有人：</w:t>
            </w:r>
            <w:r>
              <w:rPr>
                <w:rFonts w:hint="eastAsia"/>
              </w:rPr>
              <w:t>安徽丰乐农化有限责任公司</w:t>
            </w:r>
          </w:p>
        </w:tc>
      </w:tr>
      <w:tr w14:paraId="30B884E7">
        <w:tblPrEx>
          <w:tblCellMar>
            <w:top w:w="0" w:type="dxa"/>
            <w:left w:w="0" w:type="dxa"/>
            <w:bottom w:w="0" w:type="dxa"/>
            <w:right w:w="0" w:type="dxa"/>
          </w:tblCellMar>
        </w:tblPrEx>
        <w:trPr>
          <w:wBefore w:w="0" w:type="auto"/>
          <w:tblCellSpacing w:w="0" w:type="dxa"/>
        </w:trPr>
        <w:tc>
          <w:tcPr>
            <w:tcW w:w="0" w:type="auto"/>
            <w:noWrap w:val="0"/>
            <w:vAlign w:val="center"/>
          </w:tcPr>
          <w:p w14:paraId="417D50B5">
            <w:r>
              <w:rPr>
                <w:rStyle w:val="10"/>
                <w:rFonts w:hint="eastAsia"/>
              </w:rPr>
              <w:t>农药名称：</w:t>
            </w:r>
            <w:r>
              <w:rPr>
                <w:rFonts w:hint="eastAsia"/>
              </w:rPr>
              <w:t>春雷·喹啉铜</w:t>
            </w:r>
          </w:p>
        </w:tc>
      </w:tr>
      <w:tr w14:paraId="49192EEA">
        <w:tblPrEx>
          <w:tblCellMar>
            <w:top w:w="0" w:type="dxa"/>
            <w:left w:w="0" w:type="dxa"/>
            <w:bottom w:w="0" w:type="dxa"/>
            <w:right w:w="0" w:type="dxa"/>
          </w:tblCellMar>
        </w:tblPrEx>
        <w:trPr>
          <w:wBefore w:w="0" w:type="auto"/>
          <w:tblCellSpacing w:w="0" w:type="dxa"/>
        </w:trPr>
        <w:tc>
          <w:tcPr>
            <w:tcW w:w="0" w:type="auto"/>
            <w:noWrap w:val="0"/>
            <w:vAlign w:val="center"/>
          </w:tcPr>
          <w:p w14:paraId="7A737A3A">
            <w:r>
              <w:rPr>
                <w:rStyle w:val="10"/>
                <w:rFonts w:hint="eastAsia"/>
              </w:rPr>
              <w:t>剂型：</w:t>
            </w:r>
            <w:r>
              <w:rPr>
                <w:rFonts w:hint="eastAsia"/>
              </w:rPr>
              <w:t>悬浮剂</w:t>
            </w:r>
          </w:p>
        </w:tc>
      </w:tr>
      <w:tr w14:paraId="003A5EBA">
        <w:tblPrEx>
          <w:tblCellMar>
            <w:top w:w="0" w:type="dxa"/>
            <w:left w:w="0" w:type="dxa"/>
            <w:bottom w:w="0" w:type="dxa"/>
            <w:right w:w="0" w:type="dxa"/>
          </w:tblCellMar>
        </w:tblPrEx>
        <w:trPr>
          <w:wBefore w:w="0" w:type="auto"/>
          <w:tblCellSpacing w:w="0" w:type="dxa"/>
        </w:trPr>
        <w:tc>
          <w:tcPr>
            <w:tcW w:w="0" w:type="auto"/>
            <w:noWrap w:val="0"/>
            <w:vAlign w:val="center"/>
          </w:tcPr>
          <w:p w14:paraId="0280AC21">
            <w:r>
              <w:rPr>
                <w:rStyle w:val="10"/>
                <w:rFonts w:hint="eastAsia"/>
              </w:rPr>
              <w:t>毒性及其标识：</w:t>
            </w:r>
            <w:r>
              <w:rPr>
                <w:rFonts w:hint="eastAsia"/>
              </w:rPr>
              <w:t xml:space="preserve"> </w:t>
            </w:r>
            <w:r>
              <w:rPr>
                <w:lang/>
              </w:rPr>
              <w:drawing>
                <wp:inline distT="0" distB="0" distL="114300" distR="114300">
                  <wp:extent cx="476250" cy="323850"/>
                  <wp:effectExtent l="0" t="0" r="0" b="0"/>
                  <wp:docPr id="172" name="图片 1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E910ED">
        <w:tblPrEx>
          <w:tblCellMar>
            <w:top w:w="0" w:type="dxa"/>
            <w:left w:w="0" w:type="dxa"/>
            <w:bottom w:w="0" w:type="dxa"/>
            <w:right w:w="0" w:type="dxa"/>
          </w:tblCellMar>
        </w:tblPrEx>
        <w:trPr>
          <w:wBefore w:w="0" w:type="auto"/>
          <w:tblCellSpacing w:w="0" w:type="dxa"/>
        </w:trPr>
        <w:tc>
          <w:tcPr>
            <w:tcW w:w="0" w:type="auto"/>
            <w:noWrap w:val="0"/>
            <w:vAlign w:val="center"/>
          </w:tcPr>
          <w:p w14:paraId="1B5899A5">
            <w:r>
              <w:rPr>
                <w:rStyle w:val="10"/>
                <w:rFonts w:hint="eastAsia"/>
              </w:rPr>
              <w:t>总有效成分含量：</w:t>
            </w:r>
            <w:r>
              <w:rPr>
                <w:rFonts w:hint="eastAsia"/>
              </w:rPr>
              <w:t>36%</w:t>
            </w:r>
          </w:p>
        </w:tc>
      </w:tr>
      <w:tr w14:paraId="49BDF58B">
        <w:tblPrEx>
          <w:tblCellMar>
            <w:top w:w="0" w:type="dxa"/>
            <w:left w:w="0" w:type="dxa"/>
            <w:bottom w:w="0" w:type="dxa"/>
            <w:right w:w="0" w:type="dxa"/>
          </w:tblCellMar>
        </w:tblPrEx>
        <w:trPr>
          <w:wBefore w:w="0" w:type="auto"/>
          <w:tblCellSpacing w:w="0" w:type="dxa"/>
        </w:trPr>
        <w:tc>
          <w:tcPr>
            <w:tcW w:w="0" w:type="auto"/>
            <w:noWrap w:val="0"/>
            <w:vAlign w:val="center"/>
          </w:tcPr>
          <w:p w14:paraId="3B258412">
            <w:r>
              <w:rPr>
                <w:rFonts w:hint="eastAsia"/>
              </w:rPr>
              <w:t xml:space="preserve">有效成分及其含量： </w:t>
            </w:r>
          </w:p>
          <w:p w14:paraId="0DB71D10">
            <w:r>
              <w:rPr>
                <w:rFonts w:hint="eastAsia"/>
              </w:rPr>
              <w:t xml:space="preserve">    春雷霉素3%    喹啉铜33%    </w:t>
            </w:r>
          </w:p>
        </w:tc>
      </w:tr>
      <w:tr w14:paraId="62354F2A">
        <w:tblPrEx>
          <w:tblCellMar>
            <w:top w:w="0" w:type="dxa"/>
            <w:left w:w="0" w:type="dxa"/>
            <w:bottom w:w="0" w:type="dxa"/>
            <w:right w:w="0" w:type="dxa"/>
          </w:tblCellMar>
        </w:tblPrEx>
        <w:trPr>
          <w:wBefore w:w="0" w:type="auto"/>
          <w:tblCellSpacing w:w="0" w:type="dxa"/>
        </w:trPr>
        <w:tc>
          <w:tcPr>
            <w:tcW w:w="0" w:type="auto"/>
            <w:noWrap w:val="0"/>
            <w:vAlign w:val="center"/>
          </w:tcPr>
          <w:p w14:paraId="18A948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7DB1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E5011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8F0E7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71AB9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B15C28">
                  <w:r>
                    <w:rPr>
                      <w:rStyle w:val="11"/>
                      <w:rFonts w:hint="eastAsia"/>
                    </w:rPr>
                    <w:t>施用方式</w:t>
                  </w:r>
                </w:p>
              </w:tc>
            </w:tr>
            <w:tr w14:paraId="29540F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E16B05">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BC5682">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47AB49">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C989A5">
                  <w:r>
                    <w:rPr>
                      <w:rStyle w:val="11"/>
                      <w:rFonts w:hint="eastAsia"/>
                    </w:rPr>
                    <w:t>喷雾</w:t>
                  </w:r>
                </w:p>
              </w:tc>
            </w:tr>
          </w:tbl>
          <w:p w14:paraId="0FD46D39">
            <w:pPr>
              <w:rPr>
                <w:rFonts w:ascii="Times New Roman" w:hAnsi="Times New Roman" w:cs="Times New Roman"/>
                <w:sz w:val="20"/>
                <w:szCs w:val="20"/>
              </w:rPr>
            </w:pPr>
          </w:p>
        </w:tc>
      </w:tr>
      <w:tr w14:paraId="68FA8C63">
        <w:tblPrEx>
          <w:tblCellMar>
            <w:top w:w="0" w:type="dxa"/>
            <w:left w:w="0" w:type="dxa"/>
            <w:bottom w:w="0" w:type="dxa"/>
            <w:right w:w="0" w:type="dxa"/>
          </w:tblCellMar>
        </w:tblPrEx>
        <w:trPr>
          <w:wBefore w:w="0" w:type="auto"/>
          <w:tblCellSpacing w:w="0" w:type="dxa"/>
        </w:trPr>
        <w:tc>
          <w:tcPr>
            <w:tcW w:w="0" w:type="auto"/>
            <w:noWrap w:val="0"/>
            <w:vAlign w:val="center"/>
          </w:tcPr>
          <w:p w14:paraId="46B6D4F6">
            <w:r>
              <w:rPr>
                <w:rStyle w:val="10"/>
                <w:rFonts w:hint="eastAsia"/>
              </w:rPr>
              <w:t>使用技术要求:</w:t>
            </w:r>
            <w:r>
              <w:rPr>
                <w:rFonts w:hint="eastAsia"/>
              </w:rPr>
              <w:br w:type="textWrapping"/>
            </w:r>
            <w:r>
              <w:rPr>
                <w:rStyle w:val="11"/>
                <w:rFonts w:hint="eastAsia"/>
              </w:rPr>
              <w:t>1.在柑橘溃疡病发病之前或病发初期施药，连续施药3次，每次间隔7-10天。2.使用前需充分摇匀，叶片正反面均匀喷雾。3.大风天或预计药后1小时内降雨，或在极端温湿度条件下及作物长势很弱时，请勿使用本品。4. 每季作物最多施药3次，安全间隔期为21天。</w:t>
            </w:r>
          </w:p>
        </w:tc>
      </w:tr>
      <w:tr w14:paraId="3403AE82">
        <w:tblPrEx>
          <w:tblCellMar>
            <w:top w:w="0" w:type="dxa"/>
            <w:left w:w="0" w:type="dxa"/>
            <w:bottom w:w="0" w:type="dxa"/>
            <w:right w:w="0" w:type="dxa"/>
          </w:tblCellMar>
        </w:tblPrEx>
        <w:trPr>
          <w:wBefore w:w="0" w:type="auto"/>
          <w:tblCellSpacing w:w="0" w:type="dxa"/>
        </w:trPr>
        <w:tc>
          <w:tcPr>
            <w:tcW w:w="0" w:type="auto"/>
            <w:noWrap w:val="0"/>
            <w:vAlign w:val="center"/>
          </w:tcPr>
          <w:p w14:paraId="650B0687">
            <w:r>
              <w:rPr>
                <w:rStyle w:val="10"/>
                <w:rFonts w:hint="eastAsia"/>
              </w:rPr>
              <w:t>产品性能:</w:t>
            </w:r>
            <w:r>
              <w:rPr>
                <w:rFonts w:hint="eastAsia"/>
              </w:rPr>
              <w:br w:type="textWrapping"/>
            </w:r>
            <w:r>
              <w:rPr>
                <w:rStyle w:val="11"/>
                <w:rFonts w:hint="eastAsia"/>
              </w:rPr>
              <w:t>本品为春雷霉素和喹啉铜复配，春雷霉素是农用抗菌素，具有较强的内吸性，该药主要干扰氨基酸的代谢酯酶系统，从而影响蛋白质的合成，抑制菌丝伸长和造成细胞颗粒化。喹啉铜是一种有机铜</w:t>
            </w:r>
            <w:r>
              <w:rPr>
                <w:rStyle w:val="11"/>
                <w:rFonts w:hint="eastAsia"/>
                <w:lang w:eastAsia="zh-CN"/>
              </w:rPr>
              <w:t>螯合物</w:t>
            </w:r>
            <w:r>
              <w:rPr>
                <w:rStyle w:val="11"/>
                <w:rFonts w:hint="eastAsia"/>
              </w:rPr>
              <w:t>。在作物表面形成一层严密的保护膜，抑制病菌萌发和侵入，从而达到防病治病的目的。本品对柑橘溃疡病具有较好的防治效果。外观为绿色悬浮液体，无刺激性气味。</w:t>
            </w:r>
          </w:p>
        </w:tc>
      </w:tr>
      <w:tr w14:paraId="57C63E57">
        <w:tblPrEx>
          <w:tblCellMar>
            <w:top w:w="0" w:type="dxa"/>
            <w:left w:w="0" w:type="dxa"/>
            <w:bottom w:w="0" w:type="dxa"/>
            <w:right w:w="0" w:type="dxa"/>
          </w:tblCellMar>
        </w:tblPrEx>
        <w:trPr>
          <w:wBefore w:w="0" w:type="auto"/>
          <w:tblCellSpacing w:w="0" w:type="dxa"/>
        </w:trPr>
        <w:tc>
          <w:tcPr>
            <w:tcW w:w="0" w:type="auto"/>
            <w:noWrap w:val="0"/>
            <w:vAlign w:val="center"/>
          </w:tcPr>
          <w:p w14:paraId="771C0C5F">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本品对眼睛有刺激性，使用时避免接触眼睛，穿戴长衣、长裤、帽子、口罩、手套等防护措施。请勿吸烟及饮食；施用后及时清洗外露的皮肤、用过的器具和污染的衣物。2. 远离水产养殖区、河塘等水体施药；禁止在河塘等水体中清洗施药器具。3. 蚕室及桑园附近禁用。药液及其废液不得污染各类水域、土壤等环境。4. 孕妇和哺乳期妇女禁止接触本品。5. 用过的容器和废弃包装应妥善处理，不可随意丢弃或做他用。</w:t>
            </w:r>
          </w:p>
        </w:tc>
      </w:tr>
      <w:tr w14:paraId="1F4D0A9D">
        <w:tblPrEx>
          <w:tblCellMar>
            <w:top w:w="0" w:type="dxa"/>
            <w:left w:w="0" w:type="dxa"/>
            <w:bottom w:w="0" w:type="dxa"/>
            <w:right w:w="0" w:type="dxa"/>
          </w:tblCellMar>
        </w:tblPrEx>
        <w:trPr>
          <w:wBefore w:w="0" w:type="auto"/>
          <w:tblCellSpacing w:w="0" w:type="dxa"/>
        </w:trPr>
        <w:tc>
          <w:tcPr>
            <w:tcW w:w="0" w:type="auto"/>
            <w:noWrap w:val="0"/>
            <w:vAlign w:val="center"/>
          </w:tcPr>
          <w:p w14:paraId="1375DB48">
            <w:r>
              <w:rPr>
                <w:rStyle w:val="10"/>
                <w:rFonts w:hint="eastAsia"/>
              </w:rPr>
              <w:t>中毒急救措施：</w:t>
            </w:r>
            <w:r>
              <w:rPr>
                <w:rFonts w:hint="eastAsia"/>
              </w:rPr>
              <w:br w:type="textWrapping"/>
            </w:r>
            <w:r>
              <w:rPr>
                <w:rStyle w:val="11"/>
                <w:rFonts w:hint="eastAsia"/>
              </w:rPr>
              <w:t>中毒症状：1.如有药液溅到皮肤或眼睛上，应立即用清水冲洗至少15分钟，若严重者请及时就医。若误服中毒请勿引吐，立即携带标签送医就诊；紧急医疗措施；使用医用活性炭洗胃，注意防止胃容物进入呼吸道。不慎吸入，立即将吸入者转移到空气新鲜处，若吸入者停止呼吸，需进行人工呼吸；注意保暖和休息。3. 本品无特殊解毒剂，对症治疗。</w:t>
            </w:r>
          </w:p>
        </w:tc>
      </w:tr>
      <w:tr w14:paraId="3116A730">
        <w:tblPrEx>
          <w:tblCellMar>
            <w:top w:w="0" w:type="dxa"/>
            <w:left w:w="0" w:type="dxa"/>
            <w:bottom w:w="0" w:type="dxa"/>
            <w:right w:w="0" w:type="dxa"/>
          </w:tblCellMar>
        </w:tblPrEx>
        <w:trPr>
          <w:wBefore w:w="0" w:type="auto"/>
          <w:tblCellSpacing w:w="0" w:type="dxa"/>
        </w:trPr>
        <w:tc>
          <w:tcPr>
            <w:tcW w:w="0" w:type="auto"/>
            <w:noWrap w:val="0"/>
            <w:vAlign w:val="center"/>
          </w:tcPr>
          <w:p w14:paraId="29A661C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51CCB34F">
        <w:tblPrEx>
          <w:tblCellMar>
            <w:top w:w="0" w:type="dxa"/>
            <w:left w:w="0" w:type="dxa"/>
            <w:bottom w:w="0" w:type="dxa"/>
            <w:right w:w="0" w:type="dxa"/>
          </w:tblCellMar>
        </w:tblPrEx>
        <w:trPr>
          <w:wBefore w:w="0" w:type="auto"/>
          <w:tblCellSpacing w:w="0" w:type="dxa"/>
        </w:trPr>
        <w:tc>
          <w:tcPr>
            <w:tcW w:w="0" w:type="auto"/>
            <w:noWrap w:val="0"/>
            <w:vAlign w:val="center"/>
          </w:tcPr>
          <w:p w14:paraId="54BA6442">
            <w:r>
              <w:rPr>
                <w:rStyle w:val="10"/>
                <w:rFonts w:hint="eastAsia"/>
              </w:rPr>
              <w:t>质量保证期：</w:t>
            </w:r>
            <w:r>
              <w:rPr>
                <w:rStyle w:val="11"/>
                <w:rFonts w:hint="eastAsia"/>
              </w:rPr>
              <w:t>2年</w:t>
            </w:r>
          </w:p>
        </w:tc>
      </w:tr>
      <w:tr w14:paraId="1EC0F37B">
        <w:tblPrEx>
          <w:tblCellMar>
            <w:top w:w="0" w:type="dxa"/>
            <w:left w:w="0" w:type="dxa"/>
            <w:bottom w:w="0" w:type="dxa"/>
            <w:right w:w="0" w:type="dxa"/>
          </w:tblCellMar>
        </w:tblPrEx>
        <w:trPr>
          <w:wBefore w:w="0" w:type="auto"/>
          <w:tblCellSpacing w:w="0" w:type="dxa"/>
        </w:trPr>
        <w:tc>
          <w:tcPr>
            <w:tcW w:w="0" w:type="auto"/>
            <w:noWrap w:val="0"/>
            <w:vAlign w:val="center"/>
          </w:tcPr>
          <w:p w14:paraId="0A54293F">
            <w:r>
              <w:rPr>
                <w:rStyle w:val="10"/>
                <w:rFonts w:hint="eastAsia"/>
              </w:rPr>
              <w:t>备注：</w:t>
            </w:r>
          </w:p>
        </w:tc>
      </w:tr>
    </w:tbl>
    <w:p w14:paraId="3899FD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79A45C">
        <w:tblPrEx>
          <w:tblCellMar>
            <w:top w:w="0" w:type="dxa"/>
            <w:left w:w="0" w:type="dxa"/>
            <w:bottom w:w="0" w:type="dxa"/>
            <w:right w:w="0" w:type="dxa"/>
          </w:tblCellMar>
        </w:tblPrEx>
        <w:trPr>
          <w:wBefore w:w="0" w:type="auto"/>
          <w:tblCellSpacing w:w="0" w:type="dxa"/>
        </w:trPr>
        <w:tc>
          <w:tcPr>
            <w:tcW w:w="0" w:type="auto"/>
            <w:noWrap w:val="0"/>
            <w:vAlign w:val="center"/>
          </w:tcPr>
          <w:p w14:paraId="6C69F325">
            <w:r>
              <w:rPr>
                <w:rStyle w:val="10"/>
                <w:rFonts w:hint="eastAsia"/>
              </w:rPr>
              <w:t>登记证号：</w:t>
            </w:r>
            <w:r>
              <w:rPr>
                <w:rFonts w:hint="eastAsia"/>
              </w:rPr>
              <w:t>WP20210369</w:t>
            </w:r>
          </w:p>
        </w:tc>
      </w:tr>
      <w:tr w14:paraId="4E9E3FA2">
        <w:tblPrEx>
          <w:tblCellMar>
            <w:top w:w="0" w:type="dxa"/>
            <w:left w:w="0" w:type="dxa"/>
            <w:bottom w:w="0" w:type="dxa"/>
            <w:right w:w="0" w:type="dxa"/>
          </w:tblCellMar>
        </w:tblPrEx>
        <w:trPr>
          <w:wBefore w:w="0" w:type="auto"/>
          <w:tblCellSpacing w:w="0" w:type="dxa"/>
        </w:trPr>
        <w:tc>
          <w:tcPr>
            <w:tcW w:w="0" w:type="auto"/>
            <w:noWrap w:val="0"/>
            <w:vAlign w:val="center"/>
          </w:tcPr>
          <w:p w14:paraId="57A94FAA">
            <w:r>
              <w:rPr>
                <w:rStyle w:val="10"/>
                <w:rFonts w:hint="eastAsia"/>
              </w:rPr>
              <w:t>登记证持有人：</w:t>
            </w:r>
            <w:r>
              <w:rPr>
                <w:rFonts w:hint="eastAsia"/>
              </w:rPr>
              <w:t>开封一田生物科技有限公司</w:t>
            </w:r>
          </w:p>
        </w:tc>
      </w:tr>
      <w:tr w14:paraId="7AFA1F3D">
        <w:tblPrEx>
          <w:tblCellMar>
            <w:top w:w="0" w:type="dxa"/>
            <w:left w:w="0" w:type="dxa"/>
            <w:bottom w:w="0" w:type="dxa"/>
            <w:right w:w="0" w:type="dxa"/>
          </w:tblCellMar>
        </w:tblPrEx>
        <w:trPr>
          <w:wBefore w:w="0" w:type="auto"/>
          <w:tblCellSpacing w:w="0" w:type="dxa"/>
        </w:trPr>
        <w:tc>
          <w:tcPr>
            <w:tcW w:w="0" w:type="auto"/>
            <w:noWrap w:val="0"/>
            <w:vAlign w:val="center"/>
          </w:tcPr>
          <w:p w14:paraId="41FF7194">
            <w:r>
              <w:rPr>
                <w:rStyle w:val="10"/>
                <w:rFonts w:hint="eastAsia"/>
              </w:rPr>
              <w:t>农药名称：</w:t>
            </w:r>
            <w:r>
              <w:rPr>
                <w:rFonts w:hint="eastAsia"/>
              </w:rPr>
              <w:t>吡丙·噻虫嗪</w:t>
            </w:r>
          </w:p>
        </w:tc>
      </w:tr>
      <w:tr w14:paraId="5BB9034C">
        <w:tblPrEx>
          <w:tblCellMar>
            <w:top w:w="0" w:type="dxa"/>
            <w:left w:w="0" w:type="dxa"/>
            <w:bottom w:w="0" w:type="dxa"/>
            <w:right w:w="0" w:type="dxa"/>
          </w:tblCellMar>
        </w:tblPrEx>
        <w:trPr>
          <w:wBefore w:w="0" w:type="auto"/>
          <w:tblCellSpacing w:w="0" w:type="dxa"/>
        </w:trPr>
        <w:tc>
          <w:tcPr>
            <w:tcW w:w="0" w:type="auto"/>
            <w:noWrap w:val="0"/>
            <w:vAlign w:val="center"/>
          </w:tcPr>
          <w:p w14:paraId="353249BC">
            <w:r>
              <w:rPr>
                <w:rStyle w:val="10"/>
                <w:rFonts w:hint="eastAsia"/>
              </w:rPr>
              <w:t>剂型：</w:t>
            </w:r>
            <w:r>
              <w:rPr>
                <w:rFonts w:hint="eastAsia"/>
              </w:rPr>
              <w:t>可溶液剂</w:t>
            </w:r>
          </w:p>
        </w:tc>
      </w:tr>
      <w:tr w14:paraId="1CB9D0D2">
        <w:tblPrEx>
          <w:tblCellMar>
            <w:top w:w="0" w:type="dxa"/>
            <w:left w:w="0" w:type="dxa"/>
            <w:bottom w:w="0" w:type="dxa"/>
            <w:right w:w="0" w:type="dxa"/>
          </w:tblCellMar>
        </w:tblPrEx>
        <w:trPr>
          <w:wBefore w:w="0" w:type="auto"/>
          <w:tblCellSpacing w:w="0" w:type="dxa"/>
        </w:trPr>
        <w:tc>
          <w:tcPr>
            <w:tcW w:w="0" w:type="auto"/>
            <w:noWrap w:val="0"/>
            <w:vAlign w:val="center"/>
          </w:tcPr>
          <w:p w14:paraId="1DD55355">
            <w:r>
              <w:rPr>
                <w:rStyle w:val="10"/>
                <w:rFonts w:hint="eastAsia"/>
              </w:rPr>
              <w:t>毒性及其标识：</w:t>
            </w:r>
            <w:r>
              <w:rPr>
                <w:rFonts w:hint="eastAsia"/>
              </w:rPr>
              <w:t xml:space="preserve"> </w:t>
            </w:r>
            <w:r>
              <w:rPr>
                <w:lang/>
              </w:rPr>
              <w:drawing>
                <wp:inline distT="0" distB="0" distL="114300" distR="114300">
                  <wp:extent cx="476250" cy="323850"/>
                  <wp:effectExtent l="0" t="0" r="0" b="0"/>
                  <wp:docPr id="173" name="图片 1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76E7F4">
        <w:tblPrEx>
          <w:tblCellMar>
            <w:top w:w="0" w:type="dxa"/>
            <w:left w:w="0" w:type="dxa"/>
            <w:bottom w:w="0" w:type="dxa"/>
            <w:right w:w="0" w:type="dxa"/>
          </w:tblCellMar>
        </w:tblPrEx>
        <w:trPr>
          <w:wBefore w:w="0" w:type="auto"/>
          <w:tblCellSpacing w:w="0" w:type="dxa"/>
        </w:trPr>
        <w:tc>
          <w:tcPr>
            <w:tcW w:w="0" w:type="auto"/>
            <w:noWrap w:val="0"/>
            <w:vAlign w:val="center"/>
          </w:tcPr>
          <w:p w14:paraId="2386D048">
            <w:r>
              <w:rPr>
                <w:rStyle w:val="10"/>
                <w:rFonts w:hint="eastAsia"/>
              </w:rPr>
              <w:t>总有效成分含量：</w:t>
            </w:r>
            <w:r>
              <w:rPr>
                <w:rFonts w:hint="eastAsia"/>
              </w:rPr>
              <w:t>9%</w:t>
            </w:r>
          </w:p>
        </w:tc>
      </w:tr>
      <w:tr w14:paraId="7E5288C1">
        <w:tblPrEx>
          <w:tblCellMar>
            <w:top w:w="0" w:type="dxa"/>
            <w:left w:w="0" w:type="dxa"/>
            <w:bottom w:w="0" w:type="dxa"/>
            <w:right w:w="0" w:type="dxa"/>
          </w:tblCellMar>
        </w:tblPrEx>
        <w:trPr>
          <w:wBefore w:w="0" w:type="auto"/>
          <w:tblCellSpacing w:w="0" w:type="dxa"/>
        </w:trPr>
        <w:tc>
          <w:tcPr>
            <w:tcW w:w="0" w:type="auto"/>
            <w:noWrap w:val="0"/>
            <w:vAlign w:val="center"/>
          </w:tcPr>
          <w:p w14:paraId="7DD9BCD9">
            <w:r>
              <w:rPr>
                <w:rFonts w:hint="eastAsia"/>
              </w:rPr>
              <w:t xml:space="preserve">有效成分及其含量： </w:t>
            </w:r>
          </w:p>
          <w:p w14:paraId="5C4E68A5">
            <w:r>
              <w:rPr>
                <w:rFonts w:hint="eastAsia"/>
              </w:rPr>
              <w:t xml:space="preserve">    吡丙醚5%    噻虫嗪4%    </w:t>
            </w:r>
          </w:p>
        </w:tc>
      </w:tr>
      <w:tr w14:paraId="35BC8365">
        <w:tblPrEx>
          <w:tblCellMar>
            <w:top w:w="0" w:type="dxa"/>
            <w:left w:w="0" w:type="dxa"/>
            <w:bottom w:w="0" w:type="dxa"/>
            <w:right w:w="0" w:type="dxa"/>
          </w:tblCellMar>
        </w:tblPrEx>
        <w:trPr>
          <w:wBefore w:w="0" w:type="auto"/>
          <w:tblCellSpacing w:w="0" w:type="dxa"/>
        </w:trPr>
        <w:tc>
          <w:tcPr>
            <w:tcW w:w="0" w:type="auto"/>
            <w:noWrap w:val="0"/>
            <w:vAlign w:val="center"/>
          </w:tcPr>
          <w:p w14:paraId="525805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FE01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1CB9F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2147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7CA36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E2470C">
                  <w:r>
                    <w:rPr>
                      <w:rStyle w:val="11"/>
                      <w:rFonts w:hint="eastAsia"/>
                    </w:rPr>
                    <w:t>施用方式</w:t>
                  </w:r>
                </w:p>
              </w:tc>
            </w:tr>
            <w:tr w14:paraId="19D43B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625BD1">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137236">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76CE48">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8FEBDE">
                  <w:r>
                    <w:rPr>
                      <w:rStyle w:val="11"/>
                      <w:rFonts w:hint="eastAsia"/>
                    </w:rPr>
                    <w:t>喷洒</w:t>
                  </w:r>
                </w:p>
              </w:tc>
            </w:tr>
          </w:tbl>
          <w:p w14:paraId="3522B37D">
            <w:pPr>
              <w:rPr>
                <w:rFonts w:ascii="Times New Roman" w:hAnsi="Times New Roman" w:cs="Times New Roman"/>
                <w:sz w:val="20"/>
                <w:szCs w:val="20"/>
              </w:rPr>
            </w:pPr>
          </w:p>
        </w:tc>
      </w:tr>
      <w:tr w14:paraId="7AAAB6CE">
        <w:tblPrEx>
          <w:tblCellMar>
            <w:top w:w="0" w:type="dxa"/>
            <w:left w:w="0" w:type="dxa"/>
            <w:bottom w:w="0" w:type="dxa"/>
            <w:right w:w="0" w:type="dxa"/>
          </w:tblCellMar>
        </w:tblPrEx>
        <w:trPr>
          <w:wBefore w:w="0" w:type="auto"/>
          <w:tblCellSpacing w:w="0" w:type="dxa"/>
        </w:trPr>
        <w:tc>
          <w:tcPr>
            <w:tcW w:w="0" w:type="auto"/>
            <w:noWrap w:val="0"/>
            <w:vAlign w:val="center"/>
          </w:tcPr>
          <w:p w14:paraId="31CD6E9B">
            <w:r>
              <w:rPr>
                <w:rStyle w:val="10"/>
                <w:rFonts w:hint="eastAsia"/>
              </w:rPr>
              <w:t>使用技术要求:</w:t>
            </w:r>
            <w:r>
              <w:rPr>
                <w:rFonts w:hint="eastAsia"/>
              </w:rPr>
              <w:br w:type="textWrapping"/>
            </w:r>
            <w:r>
              <w:rPr>
                <w:rStyle w:val="11"/>
                <w:rFonts w:hint="eastAsia"/>
              </w:rPr>
              <w:t xml:space="preserve">本产品用于防治蝇（幼虫），适用于蝇（幼虫）孳生地。 </w:t>
            </w:r>
          </w:p>
        </w:tc>
      </w:tr>
      <w:tr w14:paraId="5EE4F24F">
        <w:tblPrEx>
          <w:tblCellMar>
            <w:top w:w="0" w:type="dxa"/>
            <w:left w:w="0" w:type="dxa"/>
            <w:bottom w:w="0" w:type="dxa"/>
            <w:right w:w="0" w:type="dxa"/>
          </w:tblCellMar>
        </w:tblPrEx>
        <w:trPr>
          <w:wBefore w:w="0" w:type="auto"/>
          <w:tblCellSpacing w:w="0" w:type="dxa"/>
        </w:trPr>
        <w:tc>
          <w:tcPr>
            <w:tcW w:w="0" w:type="auto"/>
            <w:noWrap w:val="0"/>
            <w:vAlign w:val="center"/>
          </w:tcPr>
          <w:p w14:paraId="0120F9EF">
            <w:r>
              <w:rPr>
                <w:rStyle w:val="10"/>
                <w:rFonts w:hint="eastAsia"/>
              </w:rPr>
              <w:t>产品性能:</w:t>
            </w:r>
            <w:r>
              <w:rPr>
                <w:rFonts w:hint="eastAsia"/>
              </w:rPr>
              <w:br w:type="textWrapping"/>
            </w:r>
            <w:r>
              <w:rPr>
                <w:rStyle w:val="11"/>
                <w:rFonts w:hint="eastAsia"/>
              </w:rPr>
              <w:t>本产品仅用于室外，施药时，将制剂用一定量的清水稀释后，在蝇（幼虫）孳生地直接喷洒。</w:t>
            </w:r>
          </w:p>
        </w:tc>
      </w:tr>
      <w:tr w14:paraId="4EE5ACEC">
        <w:tblPrEx>
          <w:tblCellMar>
            <w:top w:w="0" w:type="dxa"/>
            <w:left w:w="0" w:type="dxa"/>
            <w:bottom w:w="0" w:type="dxa"/>
            <w:right w:w="0" w:type="dxa"/>
          </w:tblCellMar>
        </w:tblPrEx>
        <w:trPr>
          <w:wBefore w:w="0" w:type="auto"/>
          <w:tblCellSpacing w:w="0" w:type="dxa"/>
        </w:trPr>
        <w:tc>
          <w:tcPr>
            <w:tcW w:w="0" w:type="auto"/>
            <w:noWrap w:val="0"/>
            <w:vAlign w:val="center"/>
          </w:tcPr>
          <w:p w14:paraId="37F12DF5">
            <w:r>
              <w:rPr>
                <w:rStyle w:val="10"/>
                <w:rFonts w:hint="eastAsia"/>
              </w:rPr>
              <w:t>注意事项：</w:t>
            </w:r>
            <w:r>
              <w:rPr>
                <w:rFonts w:hint="eastAsia"/>
              </w:rPr>
              <w:br w:type="textWrapping"/>
            </w:r>
            <w:r>
              <w:rPr>
                <w:rStyle w:val="11"/>
                <w:rFonts w:hint="eastAsia"/>
              </w:rPr>
              <w:t>1. 本品供专业人士使用，本品对眼睛有刺激性，使用时避免接触眼睛，穿戴长衣、长裤、帽子、口罩、手套等防护措施。避免经口、鼻吸入，不要让药液沾染粘膜、伤口和眼睛。2. 使用后，及时洗手、洗脸，清洗暴露在外的皮肤和工作服等。 3. 用过的容器应妥善处理，不可做他用，也不可以随意丢弃。4. 鸟类保护区附近禁用。蚕室及桑园附近禁用，桑园最外围一排作为隔离带。（周围）开花植物花期禁用，使用时应密切关注对附近蜂群的影响。5. 本品对鱼类高毒，远离水产养殖区、河塘等水体施药，不得直接用于河塘等流动水体。禁止在河塘等水域清洗施药器具。 6. 周围开花植物花期禁用。7. 不能与食品、饲料存放一起。尽管本品低毒，但在施药时应遵照安全使用农药守则。8. 孕妇、哺乳期妇女及过敏者应远离本品。9. 避免与具有氧化性质物质接触或混合。</w:t>
            </w:r>
          </w:p>
        </w:tc>
      </w:tr>
      <w:tr w14:paraId="7316DDDC">
        <w:tblPrEx>
          <w:tblCellMar>
            <w:top w:w="0" w:type="dxa"/>
            <w:left w:w="0" w:type="dxa"/>
            <w:bottom w:w="0" w:type="dxa"/>
            <w:right w:w="0" w:type="dxa"/>
          </w:tblCellMar>
        </w:tblPrEx>
        <w:trPr>
          <w:wBefore w:w="0" w:type="auto"/>
          <w:tblCellSpacing w:w="0" w:type="dxa"/>
        </w:trPr>
        <w:tc>
          <w:tcPr>
            <w:tcW w:w="0" w:type="auto"/>
            <w:noWrap w:val="0"/>
            <w:vAlign w:val="center"/>
          </w:tcPr>
          <w:p w14:paraId="351E4DA7">
            <w:r>
              <w:rPr>
                <w:rStyle w:val="10"/>
                <w:rFonts w:hint="eastAsia"/>
              </w:rPr>
              <w:t>中毒急救措施：</w:t>
            </w:r>
            <w:r>
              <w:rPr>
                <w:rFonts w:hint="eastAsia"/>
              </w:rPr>
              <w:br w:type="textWrapping"/>
            </w:r>
            <w:r>
              <w:rPr>
                <w:rStyle w:val="11"/>
                <w:rFonts w:hint="eastAsia"/>
              </w:rPr>
              <w:t xml:space="preserve">中毒症状：对眼睛有刺激作用。 急救措施：使用中或使用后如果感觉不适，应立即停止工作，采取急救措施，并携带标签送医院就诊。1. 皮肤接触：脱去污染的衣物，用软布去除沾染农药，立即用大量清水和肥皂冲洗；2. 眼睛接触：立即用流动的清水至少冲洗15分钟，仍有不适应立即就医；3. 吸入：立即离开施药现场，转移到空气清新处。4. 如误服，立即停止服用，用清水充分漱口后，立即携带标签到医院对症治疗。 </w:t>
            </w:r>
          </w:p>
        </w:tc>
      </w:tr>
      <w:tr w14:paraId="56D8BC59">
        <w:tblPrEx>
          <w:tblCellMar>
            <w:top w:w="0" w:type="dxa"/>
            <w:left w:w="0" w:type="dxa"/>
            <w:bottom w:w="0" w:type="dxa"/>
            <w:right w:w="0" w:type="dxa"/>
          </w:tblCellMar>
        </w:tblPrEx>
        <w:trPr>
          <w:wBefore w:w="0" w:type="auto"/>
          <w:tblCellSpacing w:w="0" w:type="dxa"/>
        </w:trPr>
        <w:tc>
          <w:tcPr>
            <w:tcW w:w="0" w:type="auto"/>
            <w:noWrap w:val="0"/>
            <w:vAlign w:val="center"/>
          </w:tcPr>
          <w:p w14:paraId="0D6062E0">
            <w:r>
              <w:rPr>
                <w:rStyle w:val="10"/>
                <w:rFonts w:hint="eastAsia"/>
              </w:rPr>
              <w:t>储存和运输方法：</w:t>
            </w:r>
            <w:r>
              <w:rPr>
                <w:rFonts w:hint="eastAsia"/>
              </w:rPr>
              <w:br w:type="textWrapping"/>
            </w:r>
            <w:r>
              <w:rPr>
                <w:rStyle w:val="11"/>
                <w:rFonts w:hint="eastAsia"/>
              </w:rPr>
              <w:t xml:space="preserve">本品应贮存在干燥、通风、阴凉、防雨处，本品属易燃液体，远离火源或热源；本品应置于儿童、无关人员及动物接触不到的地方，并加锁保存；勿与食品、饮料、饲料、粮食等其他商品同贮同运；运输时应注意避光、防高温、雨淋。 </w:t>
            </w:r>
          </w:p>
        </w:tc>
      </w:tr>
      <w:tr w14:paraId="107CCD4D">
        <w:tblPrEx>
          <w:tblCellMar>
            <w:top w:w="0" w:type="dxa"/>
            <w:left w:w="0" w:type="dxa"/>
            <w:bottom w:w="0" w:type="dxa"/>
            <w:right w:w="0" w:type="dxa"/>
          </w:tblCellMar>
        </w:tblPrEx>
        <w:trPr>
          <w:wBefore w:w="0" w:type="auto"/>
          <w:tblCellSpacing w:w="0" w:type="dxa"/>
        </w:trPr>
        <w:tc>
          <w:tcPr>
            <w:tcW w:w="0" w:type="auto"/>
            <w:noWrap w:val="0"/>
            <w:vAlign w:val="center"/>
          </w:tcPr>
          <w:p w14:paraId="7F9F7CF6">
            <w:r>
              <w:rPr>
                <w:rStyle w:val="10"/>
                <w:rFonts w:hint="eastAsia"/>
              </w:rPr>
              <w:t>质量保证期：</w:t>
            </w:r>
            <w:r>
              <w:rPr>
                <w:rStyle w:val="11"/>
                <w:rFonts w:hint="eastAsia"/>
              </w:rPr>
              <w:t>2年</w:t>
            </w:r>
          </w:p>
        </w:tc>
      </w:tr>
      <w:tr w14:paraId="79D7F247">
        <w:tblPrEx>
          <w:tblCellMar>
            <w:top w:w="0" w:type="dxa"/>
            <w:left w:w="0" w:type="dxa"/>
            <w:bottom w:w="0" w:type="dxa"/>
            <w:right w:w="0" w:type="dxa"/>
          </w:tblCellMar>
        </w:tblPrEx>
        <w:trPr>
          <w:wBefore w:w="0" w:type="auto"/>
          <w:tblCellSpacing w:w="0" w:type="dxa"/>
        </w:trPr>
        <w:tc>
          <w:tcPr>
            <w:tcW w:w="0" w:type="auto"/>
            <w:noWrap w:val="0"/>
            <w:vAlign w:val="center"/>
          </w:tcPr>
          <w:p w14:paraId="18BAEDA8">
            <w:r>
              <w:rPr>
                <w:rStyle w:val="10"/>
                <w:rFonts w:hint="eastAsia"/>
              </w:rPr>
              <w:t>备注：</w:t>
            </w:r>
          </w:p>
        </w:tc>
      </w:tr>
    </w:tbl>
    <w:p w14:paraId="5AD791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63D0FF">
        <w:tblPrEx>
          <w:tblCellMar>
            <w:top w:w="0" w:type="dxa"/>
            <w:left w:w="0" w:type="dxa"/>
            <w:bottom w:w="0" w:type="dxa"/>
            <w:right w:w="0" w:type="dxa"/>
          </w:tblCellMar>
        </w:tblPrEx>
        <w:trPr>
          <w:wBefore w:w="0" w:type="auto"/>
          <w:tblCellSpacing w:w="0" w:type="dxa"/>
        </w:trPr>
        <w:tc>
          <w:tcPr>
            <w:tcW w:w="0" w:type="auto"/>
            <w:noWrap w:val="0"/>
            <w:vAlign w:val="center"/>
          </w:tcPr>
          <w:p w14:paraId="69E50322">
            <w:r>
              <w:rPr>
                <w:rStyle w:val="10"/>
                <w:rFonts w:hint="eastAsia"/>
              </w:rPr>
              <w:t>登记证号：</w:t>
            </w:r>
            <w:r>
              <w:rPr>
                <w:rFonts w:hint="eastAsia"/>
              </w:rPr>
              <w:t>PD20212538</w:t>
            </w:r>
          </w:p>
        </w:tc>
      </w:tr>
      <w:tr w14:paraId="218DE20C">
        <w:tblPrEx>
          <w:tblCellMar>
            <w:top w:w="0" w:type="dxa"/>
            <w:left w:w="0" w:type="dxa"/>
            <w:bottom w:w="0" w:type="dxa"/>
            <w:right w:w="0" w:type="dxa"/>
          </w:tblCellMar>
        </w:tblPrEx>
        <w:trPr>
          <w:wBefore w:w="0" w:type="auto"/>
          <w:tblCellSpacing w:w="0" w:type="dxa"/>
        </w:trPr>
        <w:tc>
          <w:tcPr>
            <w:tcW w:w="0" w:type="auto"/>
            <w:noWrap w:val="0"/>
            <w:vAlign w:val="center"/>
          </w:tcPr>
          <w:p w14:paraId="20558335">
            <w:r>
              <w:rPr>
                <w:rStyle w:val="10"/>
                <w:rFonts w:hint="eastAsia"/>
              </w:rPr>
              <w:t>登记证持有人：</w:t>
            </w:r>
            <w:r>
              <w:rPr>
                <w:rFonts w:hint="eastAsia"/>
              </w:rPr>
              <w:t>山东滨农科技有限公司</w:t>
            </w:r>
          </w:p>
        </w:tc>
      </w:tr>
      <w:tr w14:paraId="4BA8F743">
        <w:tblPrEx>
          <w:tblCellMar>
            <w:top w:w="0" w:type="dxa"/>
            <w:left w:w="0" w:type="dxa"/>
            <w:bottom w:w="0" w:type="dxa"/>
            <w:right w:w="0" w:type="dxa"/>
          </w:tblCellMar>
        </w:tblPrEx>
        <w:trPr>
          <w:wBefore w:w="0" w:type="auto"/>
          <w:tblCellSpacing w:w="0" w:type="dxa"/>
        </w:trPr>
        <w:tc>
          <w:tcPr>
            <w:tcW w:w="0" w:type="auto"/>
            <w:noWrap w:val="0"/>
            <w:vAlign w:val="center"/>
          </w:tcPr>
          <w:p w14:paraId="5FF79ED0">
            <w:r>
              <w:rPr>
                <w:rStyle w:val="10"/>
                <w:rFonts w:hint="eastAsia"/>
              </w:rPr>
              <w:t>农药名称：</w:t>
            </w:r>
            <w:r>
              <w:rPr>
                <w:rFonts w:hint="eastAsia"/>
              </w:rPr>
              <w:t>精草铵膦铵盐</w:t>
            </w:r>
          </w:p>
        </w:tc>
      </w:tr>
      <w:tr w14:paraId="1431C989">
        <w:tblPrEx>
          <w:tblCellMar>
            <w:top w:w="0" w:type="dxa"/>
            <w:left w:w="0" w:type="dxa"/>
            <w:bottom w:w="0" w:type="dxa"/>
            <w:right w:w="0" w:type="dxa"/>
          </w:tblCellMar>
        </w:tblPrEx>
        <w:trPr>
          <w:wBefore w:w="0" w:type="auto"/>
          <w:tblCellSpacing w:w="0" w:type="dxa"/>
        </w:trPr>
        <w:tc>
          <w:tcPr>
            <w:tcW w:w="0" w:type="auto"/>
            <w:noWrap w:val="0"/>
            <w:vAlign w:val="center"/>
          </w:tcPr>
          <w:p w14:paraId="54D1FEA6">
            <w:r>
              <w:rPr>
                <w:rStyle w:val="10"/>
                <w:rFonts w:hint="eastAsia"/>
              </w:rPr>
              <w:t>剂型：</w:t>
            </w:r>
            <w:r>
              <w:rPr>
                <w:rFonts w:hint="eastAsia"/>
              </w:rPr>
              <w:t>可溶液剂</w:t>
            </w:r>
          </w:p>
        </w:tc>
      </w:tr>
      <w:tr w14:paraId="59AF8850">
        <w:tblPrEx>
          <w:tblCellMar>
            <w:top w:w="0" w:type="dxa"/>
            <w:left w:w="0" w:type="dxa"/>
            <w:bottom w:w="0" w:type="dxa"/>
            <w:right w:w="0" w:type="dxa"/>
          </w:tblCellMar>
        </w:tblPrEx>
        <w:trPr>
          <w:wBefore w:w="0" w:type="auto"/>
          <w:tblCellSpacing w:w="0" w:type="dxa"/>
        </w:trPr>
        <w:tc>
          <w:tcPr>
            <w:tcW w:w="0" w:type="auto"/>
            <w:noWrap w:val="0"/>
            <w:vAlign w:val="center"/>
          </w:tcPr>
          <w:p w14:paraId="491ED2B9">
            <w:r>
              <w:rPr>
                <w:rStyle w:val="10"/>
                <w:rFonts w:hint="eastAsia"/>
              </w:rPr>
              <w:t>毒性及其标识：</w:t>
            </w:r>
            <w:r>
              <w:rPr>
                <w:rFonts w:hint="eastAsia"/>
              </w:rPr>
              <w:t xml:space="preserve"> </w:t>
            </w:r>
            <w:r>
              <w:rPr>
                <w:lang/>
              </w:rPr>
              <w:drawing>
                <wp:inline distT="0" distB="0" distL="114300" distR="114300">
                  <wp:extent cx="476250" cy="323850"/>
                  <wp:effectExtent l="0" t="0" r="0" b="0"/>
                  <wp:docPr id="174" name="图片 1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832143">
        <w:tblPrEx>
          <w:tblCellMar>
            <w:top w:w="0" w:type="dxa"/>
            <w:left w:w="0" w:type="dxa"/>
            <w:bottom w:w="0" w:type="dxa"/>
            <w:right w:w="0" w:type="dxa"/>
          </w:tblCellMar>
        </w:tblPrEx>
        <w:trPr>
          <w:wBefore w:w="0" w:type="auto"/>
          <w:tblCellSpacing w:w="0" w:type="dxa"/>
        </w:trPr>
        <w:tc>
          <w:tcPr>
            <w:tcW w:w="0" w:type="auto"/>
            <w:noWrap w:val="0"/>
            <w:vAlign w:val="center"/>
          </w:tcPr>
          <w:p w14:paraId="5FEE7ED1">
            <w:r>
              <w:rPr>
                <w:rStyle w:val="10"/>
                <w:rFonts w:hint="eastAsia"/>
              </w:rPr>
              <w:t>总有效成分含量：</w:t>
            </w:r>
            <w:r>
              <w:rPr>
                <w:rFonts w:hint="eastAsia"/>
              </w:rPr>
              <w:t>10%</w:t>
            </w:r>
          </w:p>
        </w:tc>
      </w:tr>
      <w:tr w14:paraId="25A93AB4">
        <w:tblPrEx>
          <w:tblCellMar>
            <w:top w:w="0" w:type="dxa"/>
            <w:left w:w="0" w:type="dxa"/>
            <w:bottom w:w="0" w:type="dxa"/>
            <w:right w:w="0" w:type="dxa"/>
          </w:tblCellMar>
        </w:tblPrEx>
        <w:trPr>
          <w:wBefore w:w="0" w:type="auto"/>
          <w:tblCellSpacing w:w="0" w:type="dxa"/>
        </w:trPr>
        <w:tc>
          <w:tcPr>
            <w:tcW w:w="0" w:type="auto"/>
            <w:noWrap w:val="0"/>
            <w:vAlign w:val="center"/>
          </w:tcPr>
          <w:p w14:paraId="2CDAA25F">
            <w:r>
              <w:rPr>
                <w:rFonts w:hint="eastAsia"/>
              </w:rPr>
              <w:t xml:space="preserve">有效成分及其含量： </w:t>
            </w:r>
          </w:p>
          <w:p w14:paraId="4B84B253">
            <w:r>
              <w:rPr>
                <w:rFonts w:hint="eastAsia"/>
              </w:rPr>
              <w:t xml:space="preserve">    精草铵膦10%    </w:t>
            </w:r>
          </w:p>
        </w:tc>
      </w:tr>
      <w:tr w14:paraId="5F2909D0">
        <w:tblPrEx>
          <w:tblCellMar>
            <w:top w:w="0" w:type="dxa"/>
            <w:left w:w="0" w:type="dxa"/>
            <w:bottom w:w="0" w:type="dxa"/>
            <w:right w:w="0" w:type="dxa"/>
          </w:tblCellMar>
        </w:tblPrEx>
        <w:trPr>
          <w:wBefore w:w="0" w:type="auto"/>
          <w:tblCellSpacing w:w="0" w:type="dxa"/>
        </w:trPr>
        <w:tc>
          <w:tcPr>
            <w:tcW w:w="0" w:type="auto"/>
            <w:noWrap w:val="0"/>
            <w:vAlign w:val="center"/>
          </w:tcPr>
          <w:p w14:paraId="394F72D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175C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54A9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5E6F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36B9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D8BFD0">
                  <w:r>
                    <w:rPr>
                      <w:rStyle w:val="11"/>
                      <w:rFonts w:hint="eastAsia"/>
                    </w:rPr>
                    <w:t>施用方式</w:t>
                  </w:r>
                </w:p>
              </w:tc>
            </w:tr>
            <w:tr w14:paraId="179759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7952B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C574F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1D50C1">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C012D9">
                  <w:r>
                    <w:rPr>
                      <w:rStyle w:val="11"/>
                      <w:rFonts w:hint="eastAsia"/>
                    </w:rPr>
                    <w:t>茎叶喷雾</w:t>
                  </w:r>
                </w:p>
              </w:tc>
            </w:tr>
          </w:tbl>
          <w:p w14:paraId="535EA4E5">
            <w:pPr>
              <w:rPr>
                <w:rFonts w:ascii="Times New Roman" w:hAnsi="Times New Roman" w:cs="Times New Roman"/>
                <w:sz w:val="20"/>
                <w:szCs w:val="20"/>
              </w:rPr>
            </w:pPr>
          </w:p>
        </w:tc>
      </w:tr>
      <w:tr w14:paraId="2A5605E6">
        <w:tblPrEx>
          <w:tblCellMar>
            <w:top w:w="0" w:type="dxa"/>
            <w:left w:w="0" w:type="dxa"/>
            <w:bottom w:w="0" w:type="dxa"/>
            <w:right w:w="0" w:type="dxa"/>
          </w:tblCellMar>
        </w:tblPrEx>
        <w:trPr>
          <w:wBefore w:w="0" w:type="auto"/>
          <w:tblCellSpacing w:w="0" w:type="dxa"/>
        </w:trPr>
        <w:tc>
          <w:tcPr>
            <w:tcW w:w="0" w:type="auto"/>
            <w:noWrap w:val="0"/>
            <w:vAlign w:val="center"/>
          </w:tcPr>
          <w:p w14:paraId="37AE56EC">
            <w:r>
              <w:rPr>
                <w:rStyle w:val="10"/>
                <w:rFonts w:hint="eastAsia"/>
              </w:rPr>
              <w:t>使用技术要求:</w:t>
            </w:r>
            <w:r>
              <w:rPr>
                <w:rFonts w:hint="eastAsia"/>
              </w:rPr>
              <w:br w:type="textWrapping"/>
            </w:r>
            <w:r>
              <w:rPr>
                <w:rStyle w:val="11"/>
                <w:rFonts w:hint="eastAsia"/>
              </w:rPr>
              <w:t>用于防治非耕地杂草；制剂用药量200-400毫升/亩；于非耕地杂草生长旺盛期，每亩兑水30-50公斤，均匀茎叶喷雾1次；2.大风天或预计1小时内有雨，请勿施药。禁止在田间道路、田埂、果树行间、休耕地、林场地等农林区域使用。</w:t>
            </w:r>
          </w:p>
        </w:tc>
      </w:tr>
      <w:tr w14:paraId="72F98182">
        <w:tblPrEx>
          <w:tblCellMar>
            <w:top w:w="0" w:type="dxa"/>
            <w:left w:w="0" w:type="dxa"/>
            <w:bottom w:w="0" w:type="dxa"/>
            <w:right w:w="0" w:type="dxa"/>
          </w:tblCellMar>
        </w:tblPrEx>
        <w:trPr>
          <w:wBefore w:w="0" w:type="auto"/>
          <w:tblCellSpacing w:w="0" w:type="dxa"/>
        </w:trPr>
        <w:tc>
          <w:tcPr>
            <w:tcW w:w="0" w:type="auto"/>
            <w:noWrap w:val="0"/>
            <w:vAlign w:val="center"/>
          </w:tcPr>
          <w:p w14:paraId="577D6781">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药后短时间内，植物体内铵代谢陷于紊乱，细胞毒剂铵离子在植物体内累积，与此同时，光合作用被抑制，达到除草目的，适用于防除非耕地杂草。</w:t>
            </w:r>
          </w:p>
        </w:tc>
      </w:tr>
      <w:tr w14:paraId="597758ED">
        <w:tblPrEx>
          <w:tblCellMar>
            <w:top w:w="0" w:type="dxa"/>
            <w:left w:w="0" w:type="dxa"/>
            <w:bottom w:w="0" w:type="dxa"/>
            <w:right w:w="0" w:type="dxa"/>
          </w:tblCellMar>
        </w:tblPrEx>
        <w:trPr>
          <w:wBefore w:w="0" w:type="auto"/>
          <w:tblCellSpacing w:w="0" w:type="dxa"/>
        </w:trPr>
        <w:tc>
          <w:tcPr>
            <w:tcW w:w="0" w:type="auto"/>
            <w:noWrap w:val="0"/>
            <w:vAlign w:val="center"/>
          </w:tcPr>
          <w:p w14:paraId="25612328">
            <w:r>
              <w:rPr>
                <w:rStyle w:val="10"/>
                <w:rFonts w:hint="eastAsia"/>
              </w:rPr>
              <w:t>注意事项：</w:t>
            </w:r>
            <w:r>
              <w:rPr>
                <w:rFonts w:hint="eastAsia"/>
              </w:rPr>
              <w:br w:type="textWrapping"/>
            </w:r>
            <w:r>
              <w:rPr>
                <w:rStyle w:val="11"/>
                <w:rFonts w:hint="eastAsia"/>
              </w:rPr>
              <w:t>1. 使用时需均匀全面喷雾，喷湿喷透，施药时喷头上应加装保护罩，避免药液飘移到临近作物。具体施用时，需在当地农技植保部门指导下使用。2. 本品遇土钝化，因此在稀释和配制本品药液时，应使用清水，禁止用浑浊的河水或沟渠水配药，以最大限度地提高除草的效果。3. 施药时穿戴长衣、长裤、帽子、口罩、手套等防护措施，不能吃东西、喝水、吸烟等；施药完毕请立即用肥皂水清洗手和脸。4. 刚施药后的区域防止人畜进入；容器的洗涤用水和残留农药不得流入河流、鱼塘等水域。远离水产养殖区、河塘等水域施药，禁止在河塘等水体清洗施药器具。鸟类保护区附近禁用。蚕室及桑园附近禁用。瓢虫等天敌放飞区域禁用。5. 孕妇及哺乳期的妇女避免接触此药。6. 用过的容器应妥善处理，不可做它用，也不可随意丢弃。7. 使用中有任何不良反应请及时携标签就医。8. 避免与氧化剂接触。</w:t>
            </w:r>
          </w:p>
        </w:tc>
      </w:tr>
      <w:tr w14:paraId="018A2798">
        <w:tblPrEx>
          <w:tblCellMar>
            <w:top w:w="0" w:type="dxa"/>
            <w:left w:w="0" w:type="dxa"/>
            <w:bottom w:w="0" w:type="dxa"/>
            <w:right w:w="0" w:type="dxa"/>
          </w:tblCellMar>
        </w:tblPrEx>
        <w:trPr>
          <w:wBefore w:w="0" w:type="auto"/>
          <w:tblCellSpacing w:w="0" w:type="dxa"/>
        </w:trPr>
        <w:tc>
          <w:tcPr>
            <w:tcW w:w="0" w:type="auto"/>
            <w:noWrap w:val="0"/>
            <w:vAlign w:val="center"/>
          </w:tcPr>
          <w:p w14:paraId="5629EB50">
            <w:r>
              <w:rPr>
                <w:rStyle w:val="10"/>
                <w:rFonts w:hint="eastAsia"/>
              </w:rPr>
              <w:t>中毒急救措施：</w:t>
            </w:r>
            <w:r>
              <w:rPr>
                <w:rFonts w:hint="eastAsia"/>
              </w:rPr>
              <w:br w:type="textWrapping"/>
            </w:r>
            <w:r>
              <w:rPr>
                <w:rStyle w:val="11"/>
                <w:rFonts w:hint="eastAsia"/>
              </w:rPr>
              <w:t>中毒症状：本品对皮肤和眼睛有刺激作用。如不慎接触皮肤，应立即用大 量清水冲洗；若溅到眼睛中，立即用大量清水冲洗至少15分钟，严重时就医；不慎吸入，应将病人立即移至空气清新处；如不慎误服，立即引吐，并携本标签及时把病人送往医院对症治疗。本品无特效解毒剂。</w:t>
            </w:r>
          </w:p>
        </w:tc>
      </w:tr>
      <w:tr w14:paraId="7C61B79A">
        <w:tblPrEx>
          <w:tblCellMar>
            <w:top w:w="0" w:type="dxa"/>
            <w:left w:w="0" w:type="dxa"/>
            <w:bottom w:w="0" w:type="dxa"/>
            <w:right w:w="0" w:type="dxa"/>
          </w:tblCellMar>
        </w:tblPrEx>
        <w:trPr>
          <w:wBefore w:w="0" w:type="auto"/>
          <w:tblCellSpacing w:w="0" w:type="dxa"/>
        </w:trPr>
        <w:tc>
          <w:tcPr>
            <w:tcW w:w="0" w:type="auto"/>
            <w:noWrap w:val="0"/>
            <w:vAlign w:val="center"/>
          </w:tcPr>
          <w:p w14:paraId="436EA03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603FFB39">
        <w:tblPrEx>
          <w:tblCellMar>
            <w:top w:w="0" w:type="dxa"/>
            <w:left w:w="0" w:type="dxa"/>
            <w:bottom w:w="0" w:type="dxa"/>
            <w:right w:w="0" w:type="dxa"/>
          </w:tblCellMar>
        </w:tblPrEx>
        <w:trPr>
          <w:wBefore w:w="0" w:type="auto"/>
          <w:tblCellSpacing w:w="0" w:type="dxa"/>
        </w:trPr>
        <w:tc>
          <w:tcPr>
            <w:tcW w:w="0" w:type="auto"/>
            <w:noWrap w:val="0"/>
            <w:vAlign w:val="center"/>
          </w:tcPr>
          <w:p w14:paraId="3517703C">
            <w:r>
              <w:rPr>
                <w:rStyle w:val="10"/>
                <w:rFonts w:hint="eastAsia"/>
              </w:rPr>
              <w:t>质量保证期：</w:t>
            </w:r>
            <w:r>
              <w:rPr>
                <w:rStyle w:val="11"/>
                <w:rFonts w:hint="eastAsia"/>
              </w:rPr>
              <w:t>2年</w:t>
            </w:r>
          </w:p>
        </w:tc>
      </w:tr>
      <w:tr w14:paraId="3331A80C">
        <w:tblPrEx>
          <w:tblCellMar>
            <w:top w:w="0" w:type="dxa"/>
            <w:left w:w="0" w:type="dxa"/>
            <w:bottom w:w="0" w:type="dxa"/>
            <w:right w:w="0" w:type="dxa"/>
          </w:tblCellMar>
        </w:tblPrEx>
        <w:trPr>
          <w:wBefore w:w="0" w:type="auto"/>
          <w:tblCellSpacing w:w="0" w:type="dxa"/>
        </w:trPr>
        <w:tc>
          <w:tcPr>
            <w:tcW w:w="0" w:type="auto"/>
            <w:noWrap w:val="0"/>
            <w:vAlign w:val="center"/>
          </w:tcPr>
          <w:p w14:paraId="17E92C50">
            <w:r>
              <w:rPr>
                <w:rStyle w:val="10"/>
                <w:rFonts w:hint="eastAsia"/>
              </w:rPr>
              <w:t>备注：</w:t>
            </w:r>
            <w:r>
              <w:rPr>
                <w:rFonts w:hint="eastAsia"/>
              </w:rPr>
              <w:br w:type="textWrapping"/>
            </w:r>
            <w:r>
              <w:rPr>
                <w:rStyle w:val="11"/>
                <w:rFonts w:hint="eastAsia"/>
              </w:rPr>
              <w:t>精草铵膦铵盐10.9%。</w:t>
            </w:r>
          </w:p>
        </w:tc>
      </w:tr>
    </w:tbl>
    <w:p w14:paraId="3EB1B4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5A73C5">
        <w:tblPrEx>
          <w:tblCellMar>
            <w:top w:w="0" w:type="dxa"/>
            <w:left w:w="0" w:type="dxa"/>
            <w:bottom w:w="0" w:type="dxa"/>
            <w:right w:w="0" w:type="dxa"/>
          </w:tblCellMar>
        </w:tblPrEx>
        <w:trPr>
          <w:wBefore w:w="0" w:type="auto"/>
          <w:tblCellSpacing w:w="0" w:type="dxa"/>
        </w:trPr>
        <w:tc>
          <w:tcPr>
            <w:tcW w:w="0" w:type="auto"/>
            <w:noWrap w:val="0"/>
            <w:vAlign w:val="center"/>
          </w:tcPr>
          <w:p w14:paraId="77FB1F98">
            <w:r>
              <w:rPr>
                <w:rStyle w:val="10"/>
                <w:rFonts w:hint="eastAsia"/>
              </w:rPr>
              <w:t>登记证号：</w:t>
            </w:r>
            <w:r>
              <w:rPr>
                <w:rFonts w:hint="eastAsia"/>
              </w:rPr>
              <w:t>PD20212648</w:t>
            </w:r>
          </w:p>
        </w:tc>
      </w:tr>
      <w:tr w14:paraId="647332E5">
        <w:tblPrEx>
          <w:tblCellMar>
            <w:top w:w="0" w:type="dxa"/>
            <w:left w:w="0" w:type="dxa"/>
            <w:bottom w:w="0" w:type="dxa"/>
            <w:right w:w="0" w:type="dxa"/>
          </w:tblCellMar>
        </w:tblPrEx>
        <w:trPr>
          <w:wBefore w:w="0" w:type="auto"/>
          <w:tblCellSpacing w:w="0" w:type="dxa"/>
        </w:trPr>
        <w:tc>
          <w:tcPr>
            <w:tcW w:w="0" w:type="auto"/>
            <w:noWrap w:val="0"/>
            <w:vAlign w:val="center"/>
          </w:tcPr>
          <w:p w14:paraId="0C478924">
            <w:r>
              <w:rPr>
                <w:rStyle w:val="10"/>
                <w:rFonts w:hint="eastAsia"/>
              </w:rPr>
              <w:t>登记证持有人：</w:t>
            </w:r>
            <w:r>
              <w:rPr>
                <w:rFonts w:hint="eastAsia"/>
              </w:rPr>
              <w:t>青岛润商生物科技有限公司</w:t>
            </w:r>
          </w:p>
        </w:tc>
      </w:tr>
      <w:tr w14:paraId="649138FA">
        <w:tblPrEx>
          <w:tblCellMar>
            <w:top w:w="0" w:type="dxa"/>
            <w:left w:w="0" w:type="dxa"/>
            <w:bottom w:w="0" w:type="dxa"/>
            <w:right w:w="0" w:type="dxa"/>
          </w:tblCellMar>
        </w:tblPrEx>
        <w:trPr>
          <w:wBefore w:w="0" w:type="auto"/>
          <w:tblCellSpacing w:w="0" w:type="dxa"/>
        </w:trPr>
        <w:tc>
          <w:tcPr>
            <w:tcW w:w="0" w:type="auto"/>
            <w:noWrap w:val="0"/>
            <w:vAlign w:val="center"/>
          </w:tcPr>
          <w:p w14:paraId="769A19A4">
            <w:r>
              <w:rPr>
                <w:rStyle w:val="10"/>
                <w:rFonts w:hint="eastAsia"/>
              </w:rPr>
              <w:t>农药名称：</w:t>
            </w:r>
            <w:r>
              <w:rPr>
                <w:rFonts w:hint="eastAsia"/>
              </w:rPr>
              <w:t>乙羧·草铵膦</w:t>
            </w:r>
          </w:p>
        </w:tc>
      </w:tr>
      <w:tr w14:paraId="5F1CA648">
        <w:tblPrEx>
          <w:tblCellMar>
            <w:top w:w="0" w:type="dxa"/>
            <w:left w:w="0" w:type="dxa"/>
            <w:bottom w:w="0" w:type="dxa"/>
            <w:right w:w="0" w:type="dxa"/>
          </w:tblCellMar>
        </w:tblPrEx>
        <w:trPr>
          <w:wBefore w:w="0" w:type="auto"/>
          <w:tblCellSpacing w:w="0" w:type="dxa"/>
        </w:trPr>
        <w:tc>
          <w:tcPr>
            <w:tcW w:w="0" w:type="auto"/>
            <w:noWrap w:val="0"/>
            <w:vAlign w:val="center"/>
          </w:tcPr>
          <w:p w14:paraId="67CD3D74">
            <w:r>
              <w:rPr>
                <w:rStyle w:val="10"/>
                <w:rFonts w:hint="eastAsia"/>
              </w:rPr>
              <w:t>剂型：</w:t>
            </w:r>
            <w:r>
              <w:rPr>
                <w:rFonts w:hint="eastAsia"/>
              </w:rPr>
              <w:t>水乳剂</w:t>
            </w:r>
          </w:p>
        </w:tc>
      </w:tr>
      <w:tr w14:paraId="5B94E9FC">
        <w:tblPrEx>
          <w:tblCellMar>
            <w:top w:w="0" w:type="dxa"/>
            <w:left w:w="0" w:type="dxa"/>
            <w:bottom w:w="0" w:type="dxa"/>
            <w:right w:w="0" w:type="dxa"/>
          </w:tblCellMar>
        </w:tblPrEx>
        <w:trPr>
          <w:wBefore w:w="0" w:type="auto"/>
          <w:tblCellSpacing w:w="0" w:type="dxa"/>
        </w:trPr>
        <w:tc>
          <w:tcPr>
            <w:tcW w:w="0" w:type="auto"/>
            <w:noWrap w:val="0"/>
            <w:vAlign w:val="center"/>
          </w:tcPr>
          <w:p w14:paraId="094A1EA5">
            <w:r>
              <w:rPr>
                <w:rStyle w:val="10"/>
                <w:rFonts w:hint="eastAsia"/>
              </w:rPr>
              <w:t>毒性及其标识：</w:t>
            </w:r>
            <w:r>
              <w:rPr>
                <w:rFonts w:hint="eastAsia"/>
              </w:rPr>
              <w:t xml:space="preserve"> </w:t>
            </w:r>
            <w:r>
              <w:rPr>
                <w:lang/>
              </w:rPr>
              <w:drawing>
                <wp:inline distT="0" distB="0" distL="114300" distR="114300">
                  <wp:extent cx="476250" cy="323850"/>
                  <wp:effectExtent l="0" t="0" r="0" b="0"/>
                  <wp:docPr id="175" name="图片 1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8E0A4C">
        <w:tblPrEx>
          <w:tblCellMar>
            <w:top w:w="0" w:type="dxa"/>
            <w:left w:w="0" w:type="dxa"/>
            <w:bottom w:w="0" w:type="dxa"/>
            <w:right w:w="0" w:type="dxa"/>
          </w:tblCellMar>
        </w:tblPrEx>
        <w:trPr>
          <w:wBefore w:w="0" w:type="auto"/>
          <w:tblCellSpacing w:w="0" w:type="dxa"/>
        </w:trPr>
        <w:tc>
          <w:tcPr>
            <w:tcW w:w="0" w:type="auto"/>
            <w:noWrap w:val="0"/>
            <w:vAlign w:val="center"/>
          </w:tcPr>
          <w:p w14:paraId="14C0999E">
            <w:r>
              <w:rPr>
                <w:rStyle w:val="10"/>
                <w:rFonts w:hint="eastAsia"/>
              </w:rPr>
              <w:t>总有效成分含量：</w:t>
            </w:r>
            <w:r>
              <w:rPr>
                <w:rFonts w:hint="eastAsia"/>
              </w:rPr>
              <w:t>20%</w:t>
            </w:r>
          </w:p>
        </w:tc>
      </w:tr>
      <w:tr w14:paraId="03161D82">
        <w:tblPrEx>
          <w:tblCellMar>
            <w:top w:w="0" w:type="dxa"/>
            <w:left w:w="0" w:type="dxa"/>
            <w:bottom w:w="0" w:type="dxa"/>
            <w:right w:w="0" w:type="dxa"/>
          </w:tblCellMar>
        </w:tblPrEx>
        <w:trPr>
          <w:wBefore w:w="0" w:type="auto"/>
          <w:tblCellSpacing w:w="0" w:type="dxa"/>
        </w:trPr>
        <w:tc>
          <w:tcPr>
            <w:tcW w:w="0" w:type="auto"/>
            <w:noWrap w:val="0"/>
            <w:vAlign w:val="center"/>
          </w:tcPr>
          <w:p w14:paraId="50E0F9E9">
            <w:r>
              <w:rPr>
                <w:rFonts w:hint="eastAsia"/>
              </w:rPr>
              <w:t xml:space="preserve">有效成分及其含量： </w:t>
            </w:r>
          </w:p>
          <w:p w14:paraId="55FD78F9">
            <w:r>
              <w:rPr>
                <w:rFonts w:hint="eastAsia"/>
              </w:rPr>
              <w:t xml:space="preserve">    草铵膦19%    乙羧氟草醚1%    </w:t>
            </w:r>
          </w:p>
        </w:tc>
      </w:tr>
      <w:tr w14:paraId="6C0A453F">
        <w:tblPrEx>
          <w:tblCellMar>
            <w:top w:w="0" w:type="dxa"/>
            <w:left w:w="0" w:type="dxa"/>
            <w:bottom w:w="0" w:type="dxa"/>
            <w:right w:w="0" w:type="dxa"/>
          </w:tblCellMar>
        </w:tblPrEx>
        <w:trPr>
          <w:wBefore w:w="0" w:type="auto"/>
          <w:tblCellSpacing w:w="0" w:type="dxa"/>
        </w:trPr>
        <w:tc>
          <w:tcPr>
            <w:tcW w:w="0" w:type="auto"/>
            <w:noWrap w:val="0"/>
            <w:vAlign w:val="center"/>
          </w:tcPr>
          <w:p w14:paraId="680B1B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9149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5874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366E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3F6F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F674AA">
                  <w:r>
                    <w:rPr>
                      <w:rStyle w:val="11"/>
                      <w:rFonts w:hint="eastAsia"/>
                    </w:rPr>
                    <w:t>施用方式</w:t>
                  </w:r>
                </w:p>
              </w:tc>
            </w:tr>
            <w:tr w14:paraId="122448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771B9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39A62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43D4BB">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BA2DFF">
                  <w:r>
                    <w:rPr>
                      <w:rStyle w:val="11"/>
                      <w:rFonts w:hint="eastAsia"/>
                    </w:rPr>
                    <w:t>喷雾</w:t>
                  </w:r>
                </w:p>
              </w:tc>
            </w:tr>
          </w:tbl>
          <w:p w14:paraId="3E8267D6">
            <w:pPr>
              <w:rPr>
                <w:rFonts w:ascii="Times New Roman" w:hAnsi="Times New Roman" w:cs="Times New Roman"/>
                <w:sz w:val="20"/>
                <w:szCs w:val="20"/>
              </w:rPr>
            </w:pPr>
          </w:p>
        </w:tc>
      </w:tr>
      <w:tr w14:paraId="2DB46D8F">
        <w:tblPrEx>
          <w:tblCellMar>
            <w:top w:w="0" w:type="dxa"/>
            <w:left w:w="0" w:type="dxa"/>
            <w:bottom w:w="0" w:type="dxa"/>
            <w:right w:w="0" w:type="dxa"/>
          </w:tblCellMar>
        </w:tblPrEx>
        <w:trPr>
          <w:wBefore w:w="0" w:type="auto"/>
          <w:tblCellSpacing w:w="0" w:type="dxa"/>
        </w:trPr>
        <w:tc>
          <w:tcPr>
            <w:tcW w:w="0" w:type="auto"/>
            <w:noWrap w:val="0"/>
            <w:vAlign w:val="center"/>
          </w:tcPr>
          <w:p w14:paraId="44E8EEAA">
            <w:r>
              <w:rPr>
                <w:rStyle w:val="10"/>
                <w:rFonts w:hint="eastAsia"/>
              </w:rPr>
              <w:t>使用技术要求:</w:t>
            </w:r>
            <w:r>
              <w:rPr>
                <w:rFonts w:hint="eastAsia"/>
              </w:rPr>
              <w:br w:type="textWrapping"/>
            </w:r>
            <w:r>
              <w:rPr>
                <w:rStyle w:val="11"/>
                <w:rFonts w:hint="eastAsia"/>
              </w:rPr>
              <w:t>1. 于非耕地杂草生长旺盛期，茎叶喷雾施药。每亩兑水30-50公斤，进行杂草茎叶定向喷雾处理。 2. 干旱及杂草密度大或防除大龄杂草及多年生恶性杂草时，采用较高的推荐制剂用量和兑水量。3. 避免飘移药害。4. 禁止在田间道路、田埂、果树行间、休耕地、林场林地等农林业区域使用。</w:t>
            </w:r>
          </w:p>
        </w:tc>
      </w:tr>
      <w:tr w14:paraId="7FBCC7E1">
        <w:tblPrEx>
          <w:tblCellMar>
            <w:top w:w="0" w:type="dxa"/>
            <w:left w:w="0" w:type="dxa"/>
            <w:bottom w:w="0" w:type="dxa"/>
            <w:right w:w="0" w:type="dxa"/>
          </w:tblCellMar>
        </w:tblPrEx>
        <w:trPr>
          <w:wBefore w:w="0" w:type="auto"/>
          <w:tblCellSpacing w:w="0" w:type="dxa"/>
        </w:trPr>
        <w:tc>
          <w:tcPr>
            <w:tcW w:w="0" w:type="auto"/>
            <w:noWrap w:val="0"/>
            <w:vAlign w:val="center"/>
          </w:tcPr>
          <w:p w14:paraId="41507C01">
            <w:r>
              <w:rPr>
                <w:rStyle w:val="10"/>
                <w:rFonts w:hint="eastAsia"/>
              </w:rPr>
              <w:t>产品性能:</w:t>
            </w:r>
            <w:r>
              <w:rPr>
                <w:rFonts w:hint="eastAsia"/>
              </w:rPr>
              <w:br w:type="textWrapping"/>
            </w:r>
            <w:r>
              <w:rPr>
                <w:rStyle w:val="11"/>
                <w:rFonts w:hint="eastAsia"/>
              </w:rPr>
              <w:t>本品为非选择性触杀型杂草茎叶处理剂，是膦酸类拟天然化感仿生物源除草剂草铵膦与二苯醚类除草剂乙羧氟草醚复配而成的水乳剂。</w:t>
            </w:r>
          </w:p>
        </w:tc>
      </w:tr>
      <w:tr w14:paraId="6B6DA2EB">
        <w:tblPrEx>
          <w:tblCellMar>
            <w:top w:w="0" w:type="dxa"/>
            <w:left w:w="0" w:type="dxa"/>
            <w:bottom w:w="0" w:type="dxa"/>
            <w:right w:w="0" w:type="dxa"/>
          </w:tblCellMar>
        </w:tblPrEx>
        <w:trPr>
          <w:wBefore w:w="0" w:type="auto"/>
          <w:tblCellSpacing w:w="0" w:type="dxa"/>
        </w:trPr>
        <w:tc>
          <w:tcPr>
            <w:tcW w:w="0" w:type="auto"/>
            <w:noWrap w:val="0"/>
            <w:vAlign w:val="center"/>
          </w:tcPr>
          <w:p w14:paraId="04B653FD">
            <w:r>
              <w:rPr>
                <w:rStyle w:val="10"/>
                <w:rFonts w:hint="eastAsia"/>
              </w:rPr>
              <w:t>注意事项：</w:t>
            </w:r>
            <w:r>
              <w:rPr>
                <w:rFonts w:hint="eastAsia"/>
              </w:rPr>
              <w:br w:type="textWrapping"/>
            </w:r>
            <w:r>
              <w:rPr>
                <w:rStyle w:val="11"/>
                <w:rFonts w:hint="eastAsia"/>
              </w:rPr>
              <w:t>1. 防除多年生杂草或进入花期的杂草应使用推荐的高剂量。 2. 配药时用清水配制，浑水会影响药效。本品与土壤接触立即失去活性，宜作茎叶处理。 3、喷药后4小时内降雨，药效会降低，可酌情补喷。 4. 注意风向，防止药雾飘移到附近作物上造成药害。 5. 使用本品时应穿戴长衣、长裤、帽子、口罩、手套等防护用具，避免吸入药液。施药期间不可吃东西、喝水和吸烟。施药后应及时洗手和洗脸。水产养殖区、河塘等水体附近禁用，禁止在河塘等水域清洗施药器具。6. 剩余药液或用过的容器要妥善处理，不可随意丢弃，亦不可做它用，不要污染水源、水系及污染食物和饲料。 7. 孕妇和哺乳期妇女禁止接触此药。8. 本品对蜜蜂、鱼类等水生生物、家蚕有毒，施药期间应避免对周围蜂群的影响、开花作物花期、蚕室和桑园附近禁用。9. 赤眼蜂等天敌放飞区域禁用。10. 避免与氧化剂接触。</w:t>
            </w:r>
          </w:p>
        </w:tc>
      </w:tr>
      <w:tr w14:paraId="3F1ADE77">
        <w:tblPrEx>
          <w:tblCellMar>
            <w:top w:w="0" w:type="dxa"/>
            <w:left w:w="0" w:type="dxa"/>
            <w:bottom w:w="0" w:type="dxa"/>
            <w:right w:w="0" w:type="dxa"/>
          </w:tblCellMar>
        </w:tblPrEx>
        <w:trPr>
          <w:wBefore w:w="0" w:type="auto"/>
          <w:tblCellSpacing w:w="0" w:type="dxa"/>
        </w:trPr>
        <w:tc>
          <w:tcPr>
            <w:tcW w:w="0" w:type="auto"/>
            <w:noWrap w:val="0"/>
            <w:vAlign w:val="center"/>
          </w:tcPr>
          <w:p w14:paraId="385DDD50">
            <w:r>
              <w:rPr>
                <w:rStyle w:val="10"/>
                <w:rFonts w:hint="eastAsia"/>
              </w:rPr>
              <w:t>中毒急救措施：</w:t>
            </w:r>
            <w:r>
              <w:rPr>
                <w:rFonts w:hint="eastAsia"/>
              </w:rPr>
              <w:br w:type="textWrapping"/>
            </w:r>
            <w:r>
              <w:rPr>
                <w:rStyle w:val="11"/>
                <w:rFonts w:hint="eastAsia"/>
              </w:rPr>
              <w:t>对皮肤、眼睛和上呼吸道有刺激作用，无经口中毒报道。急救措施：不慎吸入，应将病人移至空气流通处。不慎接触皮肤，应用大量清水冲洗，若溅入眼睛，应用大量清水冲洗至少15分钟；本品无特效 解毒剂，如误服，严禁引吐，应先立即用清水漱口，再携带本标签到医院诊治。</w:t>
            </w:r>
          </w:p>
        </w:tc>
      </w:tr>
      <w:tr w14:paraId="69AE3132">
        <w:tblPrEx>
          <w:tblCellMar>
            <w:top w:w="0" w:type="dxa"/>
            <w:left w:w="0" w:type="dxa"/>
            <w:bottom w:w="0" w:type="dxa"/>
            <w:right w:w="0" w:type="dxa"/>
          </w:tblCellMar>
        </w:tblPrEx>
        <w:trPr>
          <w:wBefore w:w="0" w:type="auto"/>
          <w:tblCellSpacing w:w="0" w:type="dxa"/>
        </w:trPr>
        <w:tc>
          <w:tcPr>
            <w:tcW w:w="0" w:type="auto"/>
            <w:noWrap w:val="0"/>
            <w:vAlign w:val="center"/>
          </w:tcPr>
          <w:p w14:paraId="196B499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本品应贮存在干燥、阴凉、通风、防雨处，远离火源或热源。置于儿童、无关人员触及不到之处，并加锁保存。勿与食品、饮料、粮食、饲料等物其他商品同贮同运。</w:t>
            </w:r>
          </w:p>
        </w:tc>
      </w:tr>
      <w:tr w14:paraId="39E0B1D1">
        <w:tblPrEx>
          <w:tblCellMar>
            <w:top w:w="0" w:type="dxa"/>
            <w:left w:w="0" w:type="dxa"/>
            <w:bottom w:w="0" w:type="dxa"/>
            <w:right w:w="0" w:type="dxa"/>
          </w:tblCellMar>
        </w:tblPrEx>
        <w:trPr>
          <w:wBefore w:w="0" w:type="auto"/>
          <w:tblCellSpacing w:w="0" w:type="dxa"/>
        </w:trPr>
        <w:tc>
          <w:tcPr>
            <w:tcW w:w="0" w:type="auto"/>
            <w:noWrap w:val="0"/>
            <w:vAlign w:val="center"/>
          </w:tcPr>
          <w:p w14:paraId="7D1C0E99">
            <w:r>
              <w:rPr>
                <w:rStyle w:val="10"/>
                <w:rFonts w:hint="eastAsia"/>
              </w:rPr>
              <w:t>质量保证期：</w:t>
            </w:r>
            <w:r>
              <w:rPr>
                <w:rStyle w:val="11"/>
                <w:rFonts w:hint="eastAsia"/>
              </w:rPr>
              <w:t>2年</w:t>
            </w:r>
          </w:p>
        </w:tc>
      </w:tr>
      <w:tr w14:paraId="60A184F0">
        <w:tblPrEx>
          <w:tblCellMar>
            <w:top w:w="0" w:type="dxa"/>
            <w:left w:w="0" w:type="dxa"/>
            <w:bottom w:w="0" w:type="dxa"/>
            <w:right w:w="0" w:type="dxa"/>
          </w:tblCellMar>
        </w:tblPrEx>
        <w:trPr>
          <w:wBefore w:w="0" w:type="auto"/>
          <w:tblCellSpacing w:w="0" w:type="dxa"/>
        </w:trPr>
        <w:tc>
          <w:tcPr>
            <w:tcW w:w="0" w:type="auto"/>
            <w:noWrap w:val="0"/>
            <w:vAlign w:val="center"/>
          </w:tcPr>
          <w:p w14:paraId="050A40B2">
            <w:r>
              <w:rPr>
                <w:rStyle w:val="10"/>
                <w:rFonts w:hint="eastAsia"/>
              </w:rPr>
              <w:t>备注：</w:t>
            </w:r>
          </w:p>
        </w:tc>
      </w:tr>
    </w:tbl>
    <w:p w14:paraId="64C30C6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84F6E2">
        <w:tblPrEx>
          <w:tblCellMar>
            <w:top w:w="0" w:type="dxa"/>
            <w:left w:w="0" w:type="dxa"/>
            <w:bottom w:w="0" w:type="dxa"/>
            <w:right w:w="0" w:type="dxa"/>
          </w:tblCellMar>
        </w:tblPrEx>
        <w:trPr>
          <w:wBefore w:w="0" w:type="auto"/>
          <w:tblCellSpacing w:w="0" w:type="dxa"/>
        </w:trPr>
        <w:tc>
          <w:tcPr>
            <w:tcW w:w="0" w:type="auto"/>
            <w:noWrap w:val="0"/>
            <w:vAlign w:val="center"/>
          </w:tcPr>
          <w:p w14:paraId="66E37EA7">
            <w:r>
              <w:rPr>
                <w:rStyle w:val="10"/>
                <w:rFonts w:hint="eastAsia"/>
              </w:rPr>
              <w:t>登记证号：</w:t>
            </w:r>
            <w:r>
              <w:rPr>
                <w:rFonts w:hint="eastAsia"/>
              </w:rPr>
              <w:t>PD20212632</w:t>
            </w:r>
          </w:p>
        </w:tc>
      </w:tr>
      <w:tr w14:paraId="4948F1A8">
        <w:tblPrEx>
          <w:tblCellMar>
            <w:top w:w="0" w:type="dxa"/>
            <w:left w:w="0" w:type="dxa"/>
            <w:bottom w:w="0" w:type="dxa"/>
            <w:right w:w="0" w:type="dxa"/>
          </w:tblCellMar>
        </w:tblPrEx>
        <w:trPr>
          <w:wBefore w:w="0" w:type="auto"/>
          <w:tblCellSpacing w:w="0" w:type="dxa"/>
        </w:trPr>
        <w:tc>
          <w:tcPr>
            <w:tcW w:w="0" w:type="auto"/>
            <w:noWrap w:val="0"/>
            <w:vAlign w:val="center"/>
          </w:tcPr>
          <w:p w14:paraId="334FB258">
            <w:r>
              <w:rPr>
                <w:rStyle w:val="10"/>
                <w:rFonts w:hint="eastAsia"/>
              </w:rPr>
              <w:t>登记证持有人：</w:t>
            </w:r>
            <w:r>
              <w:rPr>
                <w:rFonts w:hint="eastAsia"/>
              </w:rPr>
              <w:t>浙江中山化工集团股份有限公司</w:t>
            </w:r>
          </w:p>
        </w:tc>
      </w:tr>
      <w:tr w14:paraId="7E77B73B">
        <w:tblPrEx>
          <w:tblCellMar>
            <w:top w:w="0" w:type="dxa"/>
            <w:left w:w="0" w:type="dxa"/>
            <w:bottom w:w="0" w:type="dxa"/>
            <w:right w:w="0" w:type="dxa"/>
          </w:tblCellMar>
        </w:tblPrEx>
        <w:trPr>
          <w:wBefore w:w="0" w:type="auto"/>
          <w:tblCellSpacing w:w="0" w:type="dxa"/>
        </w:trPr>
        <w:tc>
          <w:tcPr>
            <w:tcW w:w="0" w:type="auto"/>
            <w:noWrap w:val="0"/>
            <w:vAlign w:val="center"/>
          </w:tcPr>
          <w:p w14:paraId="3CD19E3B">
            <w:r>
              <w:rPr>
                <w:rStyle w:val="10"/>
                <w:rFonts w:hint="eastAsia"/>
              </w:rPr>
              <w:t>农药名称：</w:t>
            </w:r>
            <w:r>
              <w:rPr>
                <w:rFonts w:hint="eastAsia"/>
              </w:rPr>
              <w:t>甲磺草胺</w:t>
            </w:r>
          </w:p>
        </w:tc>
      </w:tr>
      <w:tr w14:paraId="635C30AC">
        <w:tblPrEx>
          <w:tblCellMar>
            <w:top w:w="0" w:type="dxa"/>
            <w:left w:w="0" w:type="dxa"/>
            <w:bottom w:w="0" w:type="dxa"/>
            <w:right w:w="0" w:type="dxa"/>
          </w:tblCellMar>
        </w:tblPrEx>
        <w:trPr>
          <w:wBefore w:w="0" w:type="auto"/>
          <w:tblCellSpacing w:w="0" w:type="dxa"/>
        </w:trPr>
        <w:tc>
          <w:tcPr>
            <w:tcW w:w="0" w:type="auto"/>
            <w:noWrap w:val="0"/>
            <w:vAlign w:val="center"/>
          </w:tcPr>
          <w:p w14:paraId="4A71F3F4">
            <w:r>
              <w:rPr>
                <w:rStyle w:val="10"/>
                <w:rFonts w:hint="eastAsia"/>
              </w:rPr>
              <w:t>剂型：</w:t>
            </w:r>
            <w:r>
              <w:rPr>
                <w:rFonts w:hint="eastAsia"/>
              </w:rPr>
              <w:t>悬浮剂</w:t>
            </w:r>
          </w:p>
        </w:tc>
      </w:tr>
      <w:tr w14:paraId="02C9F48D">
        <w:tblPrEx>
          <w:tblCellMar>
            <w:top w:w="0" w:type="dxa"/>
            <w:left w:w="0" w:type="dxa"/>
            <w:bottom w:w="0" w:type="dxa"/>
            <w:right w:w="0" w:type="dxa"/>
          </w:tblCellMar>
        </w:tblPrEx>
        <w:trPr>
          <w:wBefore w:w="0" w:type="auto"/>
          <w:tblCellSpacing w:w="0" w:type="dxa"/>
        </w:trPr>
        <w:tc>
          <w:tcPr>
            <w:tcW w:w="0" w:type="auto"/>
            <w:noWrap w:val="0"/>
            <w:vAlign w:val="center"/>
          </w:tcPr>
          <w:p w14:paraId="1E81EAAA">
            <w:r>
              <w:rPr>
                <w:rStyle w:val="10"/>
                <w:rFonts w:hint="eastAsia"/>
              </w:rPr>
              <w:t>毒性及其标识：</w:t>
            </w:r>
            <w:r>
              <w:rPr>
                <w:rFonts w:hint="eastAsia"/>
              </w:rPr>
              <w:t xml:space="preserve"> </w:t>
            </w:r>
            <w:r>
              <w:rPr>
                <w:lang/>
              </w:rPr>
              <w:drawing>
                <wp:inline distT="0" distB="0" distL="114300" distR="114300">
                  <wp:extent cx="476250" cy="323850"/>
                  <wp:effectExtent l="0" t="0" r="0" b="0"/>
                  <wp:docPr id="176" name="图片 1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3998308">
        <w:tblPrEx>
          <w:tblCellMar>
            <w:top w:w="0" w:type="dxa"/>
            <w:left w:w="0" w:type="dxa"/>
            <w:bottom w:w="0" w:type="dxa"/>
            <w:right w:w="0" w:type="dxa"/>
          </w:tblCellMar>
        </w:tblPrEx>
        <w:trPr>
          <w:wBefore w:w="0" w:type="auto"/>
          <w:tblCellSpacing w:w="0" w:type="dxa"/>
        </w:trPr>
        <w:tc>
          <w:tcPr>
            <w:tcW w:w="0" w:type="auto"/>
            <w:noWrap w:val="0"/>
            <w:vAlign w:val="center"/>
          </w:tcPr>
          <w:p w14:paraId="32FBC3BD">
            <w:r>
              <w:rPr>
                <w:rStyle w:val="10"/>
                <w:rFonts w:hint="eastAsia"/>
              </w:rPr>
              <w:t>总有效成分含量：</w:t>
            </w:r>
            <w:r>
              <w:rPr>
                <w:rFonts w:hint="eastAsia"/>
              </w:rPr>
              <w:t>50%</w:t>
            </w:r>
          </w:p>
        </w:tc>
      </w:tr>
      <w:tr w14:paraId="659ED6BC">
        <w:tblPrEx>
          <w:tblCellMar>
            <w:top w:w="0" w:type="dxa"/>
            <w:left w:w="0" w:type="dxa"/>
            <w:bottom w:w="0" w:type="dxa"/>
            <w:right w:w="0" w:type="dxa"/>
          </w:tblCellMar>
        </w:tblPrEx>
        <w:trPr>
          <w:wBefore w:w="0" w:type="auto"/>
          <w:tblCellSpacing w:w="0" w:type="dxa"/>
        </w:trPr>
        <w:tc>
          <w:tcPr>
            <w:tcW w:w="0" w:type="auto"/>
            <w:noWrap w:val="0"/>
            <w:vAlign w:val="center"/>
          </w:tcPr>
          <w:p w14:paraId="0A8E5371">
            <w:r>
              <w:rPr>
                <w:rFonts w:hint="eastAsia"/>
              </w:rPr>
              <w:t xml:space="preserve">有效成分及其含量： </w:t>
            </w:r>
          </w:p>
          <w:p w14:paraId="65FC6596">
            <w:r>
              <w:rPr>
                <w:rFonts w:hint="eastAsia"/>
              </w:rPr>
              <w:t xml:space="preserve">    甲磺草胺50%    </w:t>
            </w:r>
          </w:p>
        </w:tc>
      </w:tr>
      <w:tr w14:paraId="6F9ABCF0">
        <w:tblPrEx>
          <w:tblCellMar>
            <w:top w:w="0" w:type="dxa"/>
            <w:left w:w="0" w:type="dxa"/>
            <w:bottom w:w="0" w:type="dxa"/>
            <w:right w:w="0" w:type="dxa"/>
          </w:tblCellMar>
        </w:tblPrEx>
        <w:trPr>
          <w:wBefore w:w="0" w:type="auto"/>
          <w:tblCellSpacing w:w="0" w:type="dxa"/>
        </w:trPr>
        <w:tc>
          <w:tcPr>
            <w:tcW w:w="0" w:type="auto"/>
            <w:noWrap w:val="0"/>
            <w:vAlign w:val="center"/>
          </w:tcPr>
          <w:p w14:paraId="5E63F2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9E00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C1034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B5B9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BA0F5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E6884B">
                  <w:r>
                    <w:rPr>
                      <w:rStyle w:val="11"/>
                      <w:rFonts w:hint="eastAsia"/>
                    </w:rPr>
                    <w:t>施用方式</w:t>
                  </w:r>
                </w:p>
              </w:tc>
            </w:tr>
            <w:tr w14:paraId="6C6A48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4E67B4">
                  <w:r>
                    <w:rPr>
                      <w:rStyle w:val="11"/>
                      <w:rFonts w:hint="eastAsia"/>
                    </w:rPr>
                    <w:t>甘蔗田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CD93D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D19993">
                  <w:r>
                    <w:rPr>
                      <w:rStyle w:val="11"/>
                      <w:rFonts w:hint="eastAsia"/>
                    </w:rPr>
                    <w:t>48-72毫升/亩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29BE21">
                  <w:r>
                    <w:rPr>
                      <w:rStyle w:val="11"/>
                      <w:rFonts w:hint="eastAsia"/>
                    </w:rPr>
                    <w:t>土壤喷雾</w:t>
                  </w:r>
                </w:p>
              </w:tc>
            </w:tr>
          </w:tbl>
          <w:p w14:paraId="7CFA15CA">
            <w:pPr>
              <w:rPr>
                <w:rFonts w:ascii="Times New Roman" w:hAnsi="Times New Roman" w:cs="Times New Roman"/>
                <w:sz w:val="20"/>
                <w:szCs w:val="20"/>
              </w:rPr>
            </w:pPr>
          </w:p>
        </w:tc>
      </w:tr>
      <w:tr w14:paraId="55490128">
        <w:tblPrEx>
          <w:tblCellMar>
            <w:top w:w="0" w:type="dxa"/>
            <w:left w:w="0" w:type="dxa"/>
            <w:bottom w:w="0" w:type="dxa"/>
            <w:right w:w="0" w:type="dxa"/>
          </w:tblCellMar>
        </w:tblPrEx>
        <w:trPr>
          <w:wBefore w:w="0" w:type="auto"/>
          <w:tblCellSpacing w:w="0" w:type="dxa"/>
        </w:trPr>
        <w:tc>
          <w:tcPr>
            <w:tcW w:w="0" w:type="auto"/>
            <w:noWrap w:val="0"/>
            <w:vAlign w:val="center"/>
          </w:tcPr>
          <w:p w14:paraId="41E8B6C4">
            <w:r>
              <w:rPr>
                <w:rStyle w:val="10"/>
                <w:rFonts w:hint="eastAsia"/>
              </w:rPr>
              <w:t>使用技术要求:</w:t>
            </w:r>
            <w:r>
              <w:rPr>
                <w:rFonts w:hint="eastAsia"/>
              </w:rPr>
              <w:br w:type="textWrapping"/>
            </w:r>
            <w:r>
              <w:rPr>
                <w:rStyle w:val="11"/>
                <w:rFonts w:hint="eastAsia"/>
              </w:rPr>
              <w:t>1、应于甘蔗种植后，田间一年生杂草出苗前，土壤喷雾施药。 2、大风天或预计1小时之内有雨，请勿施药。 3、每季最多使用1次。</w:t>
            </w:r>
          </w:p>
        </w:tc>
      </w:tr>
      <w:tr w14:paraId="5535D590">
        <w:tblPrEx>
          <w:tblCellMar>
            <w:top w:w="0" w:type="dxa"/>
            <w:left w:w="0" w:type="dxa"/>
            <w:bottom w:w="0" w:type="dxa"/>
            <w:right w:w="0" w:type="dxa"/>
          </w:tblCellMar>
        </w:tblPrEx>
        <w:trPr>
          <w:wBefore w:w="0" w:type="auto"/>
          <w:tblCellSpacing w:w="0" w:type="dxa"/>
        </w:trPr>
        <w:tc>
          <w:tcPr>
            <w:tcW w:w="0" w:type="auto"/>
            <w:noWrap w:val="0"/>
            <w:vAlign w:val="center"/>
          </w:tcPr>
          <w:p w14:paraId="1C5542D5">
            <w:r>
              <w:rPr>
                <w:rStyle w:val="10"/>
                <w:rFonts w:hint="eastAsia"/>
              </w:rPr>
              <w:t>产品性能:</w:t>
            </w:r>
            <w:r>
              <w:rPr>
                <w:rFonts w:hint="eastAsia"/>
              </w:rPr>
              <w:br w:type="textWrapping"/>
            </w:r>
            <w:r>
              <w:rPr>
                <w:rStyle w:val="11"/>
                <w:rFonts w:hint="eastAsia"/>
              </w:rPr>
              <w:t>本品属三唑啉酮类除草剂，适用于甘蔗田内防除一年生杂草、禾本科杂草和莎草等，如马唐、反枝苋、旱稗、牛筋草等。</w:t>
            </w:r>
          </w:p>
        </w:tc>
      </w:tr>
      <w:tr w14:paraId="2F697DBB">
        <w:tblPrEx>
          <w:tblCellMar>
            <w:top w:w="0" w:type="dxa"/>
            <w:left w:w="0" w:type="dxa"/>
            <w:bottom w:w="0" w:type="dxa"/>
            <w:right w:w="0" w:type="dxa"/>
          </w:tblCellMar>
        </w:tblPrEx>
        <w:trPr>
          <w:wBefore w:w="0" w:type="auto"/>
          <w:tblCellSpacing w:w="0" w:type="dxa"/>
        </w:trPr>
        <w:tc>
          <w:tcPr>
            <w:tcW w:w="0" w:type="auto"/>
            <w:noWrap w:val="0"/>
            <w:vAlign w:val="center"/>
          </w:tcPr>
          <w:p w14:paraId="2E687050">
            <w:r>
              <w:rPr>
                <w:rStyle w:val="10"/>
                <w:rFonts w:hint="eastAsia"/>
              </w:rPr>
              <w:t>注意事项：</w:t>
            </w:r>
            <w:r>
              <w:rPr>
                <w:rFonts w:hint="eastAsia"/>
              </w:rPr>
              <w:br w:type="textWrapping"/>
            </w:r>
            <w:r>
              <w:rPr>
                <w:rStyle w:val="11"/>
                <w:rFonts w:hint="eastAsia"/>
              </w:rPr>
              <w:t>1、请严格按照农药安全使用准则使用本品，每季最多使用1次。2、使用本品时应戴防护镜、口罩、手套、护目镜、穿防护服等安全防护用品。应避免药液接触皮肤和眼睛等身体部位。3、本品对鸟类和家蚕有一定风险，在鸟类保护区附近禁用，蚕室及桑园附近限制使用，最外围桑树应为隔离带，不能用于饲养家蚕，谨慎施药。4、施药时避免雾滴飘移到临近作物，以免产生药害，施药后的作物不得用于饲喂动物。5、操作本品时应禁止饮食、吸烟和饮水等。6、施药后应及时洗澡，清洗防护用具和衣物等。 7、使用过的空包装应妥善处理，切勿重复使用或作他用，也不可随意丢弃。8、药品及废液严禁污染各类水域、土壤等环境；水产养殖区、河塘等水体附近禁用，禁止在河塘等水域清洗施药器具。9、禁止孕妇及哺乳期妇女接触本品。</w:t>
            </w:r>
          </w:p>
        </w:tc>
      </w:tr>
      <w:tr w14:paraId="3F90CB16">
        <w:tblPrEx>
          <w:tblCellMar>
            <w:top w:w="0" w:type="dxa"/>
            <w:left w:w="0" w:type="dxa"/>
            <w:bottom w:w="0" w:type="dxa"/>
            <w:right w:w="0" w:type="dxa"/>
          </w:tblCellMar>
        </w:tblPrEx>
        <w:trPr>
          <w:wBefore w:w="0" w:type="auto"/>
          <w:tblCellSpacing w:w="0" w:type="dxa"/>
        </w:trPr>
        <w:tc>
          <w:tcPr>
            <w:tcW w:w="0" w:type="auto"/>
            <w:noWrap w:val="0"/>
            <w:vAlign w:val="center"/>
          </w:tcPr>
          <w:p w14:paraId="594ACA06">
            <w:r>
              <w:rPr>
                <w:rStyle w:val="10"/>
                <w:rFonts w:hint="eastAsia"/>
              </w:rPr>
              <w:t>中毒急救措施：</w:t>
            </w:r>
            <w:r>
              <w:rPr>
                <w:rFonts w:hint="eastAsia"/>
              </w:rPr>
              <w:br w:type="textWrapping"/>
            </w:r>
            <w:r>
              <w:rPr>
                <w:rStyle w:val="11"/>
                <w:rFonts w:hint="eastAsia"/>
              </w:rPr>
              <w:t>使用时也应戴好防护手套和口罩，穿干净的防护服。不慎吸入，应将病人移至空气流通处。不慎接触皮肤和溅入眼睛，用大量清水冲洗至少15分钟，仍有不适时，就医。</w:t>
            </w:r>
          </w:p>
        </w:tc>
      </w:tr>
      <w:tr w14:paraId="6EBC20A1">
        <w:tblPrEx>
          <w:tblCellMar>
            <w:top w:w="0" w:type="dxa"/>
            <w:left w:w="0" w:type="dxa"/>
            <w:bottom w:w="0" w:type="dxa"/>
            <w:right w:w="0" w:type="dxa"/>
          </w:tblCellMar>
        </w:tblPrEx>
        <w:trPr>
          <w:wBefore w:w="0" w:type="auto"/>
          <w:tblCellSpacing w:w="0" w:type="dxa"/>
        </w:trPr>
        <w:tc>
          <w:tcPr>
            <w:tcW w:w="0" w:type="auto"/>
            <w:noWrap w:val="0"/>
            <w:vAlign w:val="center"/>
          </w:tcPr>
          <w:p w14:paraId="18A9F0BA">
            <w:r>
              <w:rPr>
                <w:rStyle w:val="10"/>
                <w:rFonts w:hint="eastAsia"/>
              </w:rPr>
              <w:t>储存和运输方法：</w:t>
            </w:r>
            <w:r>
              <w:rPr>
                <w:rFonts w:hint="eastAsia"/>
              </w:rPr>
              <w:br w:type="textWrapping"/>
            </w:r>
            <w:r>
              <w:rPr>
                <w:rStyle w:val="11"/>
                <w:rFonts w:hint="eastAsia"/>
              </w:rPr>
              <w:t>1.置于儿童接触不到的地方，并加锁。 2.不能与食品、饮料、粮食、饲料等同贮同运，严防潮湿和日晒。 3.应贮存于通风、干燥、阴凉的库房中，远离火源或热源。</w:t>
            </w:r>
          </w:p>
        </w:tc>
      </w:tr>
      <w:tr w14:paraId="1CDDEABB">
        <w:tblPrEx>
          <w:tblCellMar>
            <w:top w:w="0" w:type="dxa"/>
            <w:left w:w="0" w:type="dxa"/>
            <w:bottom w:w="0" w:type="dxa"/>
            <w:right w:w="0" w:type="dxa"/>
          </w:tblCellMar>
        </w:tblPrEx>
        <w:trPr>
          <w:wBefore w:w="0" w:type="auto"/>
          <w:tblCellSpacing w:w="0" w:type="dxa"/>
        </w:trPr>
        <w:tc>
          <w:tcPr>
            <w:tcW w:w="0" w:type="auto"/>
            <w:noWrap w:val="0"/>
            <w:vAlign w:val="center"/>
          </w:tcPr>
          <w:p w14:paraId="76EFA9AA">
            <w:r>
              <w:rPr>
                <w:rStyle w:val="10"/>
                <w:rFonts w:hint="eastAsia"/>
              </w:rPr>
              <w:t>质量保证期：</w:t>
            </w:r>
            <w:r>
              <w:rPr>
                <w:rStyle w:val="11"/>
                <w:rFonts w:hint="eastAsia"/>
              </w:rPr>
              <w:t>2年</w:t>
            </w:r>
          </w:p>
        </w:tc>
      </w:tr>
      <w:tr w14:paraId="06965BE9">
        <w:tblPrEx>
          <w:tblCellMar>
            <w:top w:w="0" w:type="dxa"/>
            <w:left w:w="0" w:type="dxa"/>
            <w:bottom w:w="0" w:type="dxa"/>
            <w:right w:w="0" w:type="dxa"/>
          </w:tblCellMar>
        </w:tblPrEx>
        <w:trPr>
          <w:wBefore w:w="0" w:type="auto"/>
          <w:tblCellSpacing w:w="0" w:type="dxa"/>
        </w:trPr>
        <w:tc>
          <w:tcPr>
            <w:tcW w:w="0" w:type="auto"/>
            <w:noWrap w:val="0"/>
            <w:vAlign w:val="center"/>
          </w:tcPr>
          <w:p w14:paraId="35A409C3">
            <w:r>
              <w:rPr>
                <w:rStyle w:val="10"/>
                <w:rFonts w:hint="eastAsia"/>
              </w:rPr>
              <w:t>备注：</w:t>
            </w:r>
          </w:p>
        </w:tc>
      </w:tr>
    </w:tbl>
    <w:p w14:paraId="0F7F2D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B2422D">
        <w:tblPrEx>
          <w:tblCellMar>
            <w:top w:w="0" w:type="dxa"/>
            <w:left w:w="0" w:type="dxa"/>
            <w:bottom w:w="0" w:type="dxa"/>
            <w:right w:w="0" w:type="dxa"/>
          </w:tblCellMar>
        </w:tblPrEx>
        <w:trPr>
          <w:wBefore w:w="0" w:type="auto"/>
          <w:tblCellSpacing w:w="0" w:type="dxa"/>
        </w:trPr>
        <w:tc>
          <w:tcPr>
            <w:tcW w:w="0" w:type="auto"/>
            <w:noWrap w:val="0"/>
            <w:vAlign w:val="center"/>
          </w:tcPr>
          <w:p w14:paraId="4130A857">
            <w:r>
              <w:rPr>
                <w:rStyle w:val="10"/>
                <w:rFonts w:hint="eastAsia"/>
              </w:rPr>
              <w:t>登记证号：</w:t>
            </w:r>
            <w:r>
              <w:rPr>
                <w:rFonts w:hint="eastAsia"/>
              </w:rPr>
              <w:t>PD20212493</w:t>
            </w:r>
          </w:p>
        </w:tc>
      </w:tr>
      <w:tr w14:paraId="07DC5445">
        <w:tblPrEx>
          <w:tblCellMar>
            <w:top w:w="0" w:type="dxa"/>
            <w:left w:w="0" w:type="dxa"/>
            <w:bottom w:w="0" w:type="dxa"/>
            <w:right w:w="0" w:type="dxa"/>
          </w:tblCellMar>
        </w:tblPrEx>
        <w:trPr>
          <w:wBefore w:w="0" w:type="auto"/>
          <w:tblCellSpacing w:w="0" w:type="dxa"/>
        </w:trPr>
        <w:tc>
          <w:tcPr>
            <w:tcW w:w="0" w:type="auto"/>
            <w:noWrap w:val="0"/>
            <w:vAlign w:val="center"/>
          </w:tcPr>
          <w:p w14:paraId="49D69CFD">
            <w:r>
              <w:rPr>
                <w:rStyle w:val="10"/>
                <w:rFonts w:hint="eastAsia"/>
              </w:rPr>
              <w:t>登记证持有人：</w:t>
            </w:r>
            <w:r>
              <w:rPr>
                <w:rFonts w:hint="eastAsia"/>
              </w:rPr>
              <w:t>浙江世佳科技股份有限公司</w:t>
            </w:r>
          </w:p>
        </w:tc>
      </w:tr>
      <w:tr w14:paraId="38463A3A">
        <w:tblPrEx>
          <w:tblCellMar>
            <w:top w:w="0" w:type="dxa"/>
            <w:left w:w="0" w:type="dxa"/>
            <w:bottom w:w="0" w:type="dxa"/>
            <w:right w:w="0" w:type="dxa"/>
          </w:tblCellMar>
        </w:tblPrEx>
        <w:trPr>
          <w:wBefore w:w="0" w:type="auto"/>
          <w:tblCellSpacing w:w="0" w:type="dxa"/>
        </w:trPr>
        <w:tc>
          <w:tcPr>
            <w:tcW w:w="0" w:type="auto"/>
            <w:noWrap w:val="0"/>
            <w:vAlign w:val="center"/>
          </w:tcPr>
          <w:p w14:paraId="1CAFE882">
            <w:r>
              <w:rPr>
                <w:rStyle w:val="10"/>
                <w:rFonts w:hint="eastAsia"/>
              </w:rPr>
              <w:t>农药名称：</w:t>
            </w:r>
            <w:r>
              <w:rPr>
                <w:rFonts w:hint="eastAsia"/>
              </w:rPr>
              <w:t>精草铵膦</w:t>
            </w:r>
          </w:p>
        </w:tc>
      </w:tr>
      <w:tr w14:paraId="6B037DD6">
        <w:tblPrEx>
          <w:tblCellMar>
            <w:top w:w="0" w:type="dxa"/>
            <w:left w:w="0" w:type="dxa"/>
            <w:bottom w:w="0" w:type="dxa"/>
            <w:right w:w="0" w:type="dxa"/>
          </w:tblCellMar>
        </w:tblPrEx>
        <w:trPr>
          <w:wBefore w:w="0" w:type="auto"/>
          <w:tblCellSpacing w:w="0" w:type="dxa"/>
        </w:trPr>
        <w:tc>
          <w:tcPr>
            <w:tcW w:w="0" w:type="auto"/>
            <w:noWrap w:val="0"/>
            <w:vAlign w:val="center"/>
          </w:tcPr>
          <w:p w14:paraId="0E033812">
            <w:r>
              <w:rPr>
                <w:rStyle w:val="10"/>
                <w:rFonts w:hint="eastAsia"/>
              </w:rPr>
              <w:t>剂型：</w:t>
            </w:r>
            <w:r>
              <w:rPr>
                <w:rFonts w:hint="eastAsia"/>
              </w:rPr>
              <w:t>可溶液剂</w:t>
            </w:r>
          </w:p>
        </w:tc>
      </w:tr>
      <w:tr w14:paraId="64D1A036">
        <w:tblPrEx>
          <w:tblCellMar>
            <w:top w:w="0" w:type="dxa"/>
            <w:left w:w="0" w:type="dxa"/>
            <w:bottom w:w="0" w:type="dxa"/>
            <w:right w:w="0" w:type="dxa"/>
          </w:tblCellMar>
        </w:tblPrEx>
        <w:trPr>
          <w:wBefore w:w="0" w:type="auto"/>
          <w:tblCellSpacing w:w="0" w:type="dxa"/>
        </w:trPr>
        <w:tc>
          <w:tcPr>
            <w:tcW w:w="0" w:type="auto"/>
            <w:noWrap w:val="0"/>
            <w:vAlign w:val="center"/>
          </w:tcPr>
          <w:p w14:paraId="41DB4EB2">
            <w:r>
              <w:rPr>
                <w:rStyle w:val="10"/>
                <w:rFonts w:hint="eastAsia"/>
              </w:rPr>
              <w:t>毒性及其标识：</w:t>
            </w:r>
            <w:r>
              <w:rPr>
                <w:rFonts w:hint="eastAsia"/>
              </w:rPr>
              <w:t xml:space="preserve"> </w:t>
            </w:r>
            <w:r>
              <w:rPr>
                <w:lang/>
              </w:rPr>
              <w:drawing>
                <wp:inline distT="0" distB="0" distL="114300" distR="114300">
                  <wp:extent cx="476250" cy="323850"/>
                  <wp:effectExtent l="0" t="0" r="0" b="0"/>
                  <wp:docPr id="177" name="图片 1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458C20">
        <w:tblPrEx>
          <w:tblCellMar>
            <w:top w:w="0" w:type="dxa"/>
            <w:left w:w="0" w:type="dxa"/>
            <w:bottom w:w="0" w:type="dxa"/>
            <w:right w:w="0" w:type="dxa"/>
          </w:tblCellMar>
        </w:tblPrEx>
        <w:trPr>
          <w:wBefore w:w="0" w:type="auto"/>
          <w:tblCellSpacing w:w="0" w:type="dxa"/>
        </w:trPr>
        <w:tc>
          <w:tcPr>
            <w:tcW w:w="0" w:type="auto"/>
            <w:noWrap w:val="0"/>
            <w:vAlign w:val="center"/>
          </w:tcPr>
          <w:p w14:paraId="58678F41">
            <w:r>
              <w:rPr>
                <w:rStyle w:val="10"/>
                <w:rFonts w:hint="eastAsia"/>
              </w:rPr>
              <w:t>总有效成分含量：</w:t>
            </w:r>
            <w:r>
              <w:rPr>
                <w:rFonts w:hint="eastAsia"/>
              </w:rPr>
              <w:t>10%</w:t>
            </w:r>
          </w:p>
        </w:tc>
      </w:tr>
      <w:tr w14:paraId="553B7066">
        <w:tblPrEx>
          <w:tblCellMar>
            <w:top w:w="0" w:type="dxa"/>
            <w:left w:w="0" w:type="dxa"/>
            <w:bottom w:w="0" w:type="dxa"/>
            <w:right w:w="0" w:type="dxa"/>
          </w:tblCellMar>
        </w:tblPrEx>
        <w:trPr>
          <w:wBefore w:w="0" w:type="auto"/>
          <w:tblCellSpacing w:w="0" w:type="dxa"/>
        </w:trPr>
        <w:tc>
          <w:tcPr>
            <w:tcW w:w="0" w:type="auto"/>
            <w:noWrap w:val="0"/>
            <w:vAlign w:val="center"/>
          </w:tcPr>
          <w:p w14:paraId="24CD76DB">
            <w:r>
              <w:rPr>
                <w:rFonts w:hint="eastAsia"/>
              </w:rPr>
              <w:t xml:space="preserve">有效成分及其含量： </w:t>
            </w:r>
          </w:p>
          <w:p w14:paraId="23667FCA">
            <w:r>
              <w:rPr>
                <w:rFonts w:hint="eastAsia"/>
              </w:rPr>
              <w:t xml:space="preserve">    精草铵膦10%    </w:t>
            </w:r>
          </w:p>
        </w:tc>
      </w:tr>
      <w:tr w14:paraId="4E0EB804">
        <w:tblPrEx>
          <w:tblCellMar>
            <w:top w:w="0" w:type="dxa"/>
            <w:left w:w="0" w:type="dxa"/>
            <w:bottom w:w="0" w:type="dxa"/>
            <w:right w:w="0" w:type="dxa"/>
          </w:tblCellMar>
        </w:tblPrEx>
        <w:trPr>
          <w:wBefore w:w="0" w:type="auto"/>
          <w:tblCellSpacing w:w="0" w:type="dxa"/>
        </w:trPr>
        <w:tc>
          <w:tcPr>
            <w:tcW w:w="0" w:type="auto"/>
            <w:noWrap w:val="0"/>
            <w:vAlign w:val="center"/>
          </w:tcPr>
          <w:p w14:paraId="384474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529C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EEF55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7979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76AB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1AC21E">
                  <w:r>
                    <w:rPr>
                      <w:rStyle w:val="11"/>
                      <w:rFonts w:hint="eastAsia"/>
                    </w:rPr>
                    <w:t>施用方式</w:t>
                  </w:r>
                </w:p>
              </w:tc>
            </w:tr>
            <w:tr w14:paraId="40A47A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0BFE8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8870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AD30C8">
                  <w:r>
                    <w:rPr>
                      <w:rStyle w:val="11"/>
                      <w:rFonts w:hint="eastAsia"/>
                    </w:rPr>
                    <w:t>300-400毫升/亩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43D676">
                  <w:r>
                    <w:rPr>
                      <w:rStyle w:val="11"/>
                      <w:rFonts w:hint="eastAsia"/>
                    </w:rPr>
                    <w:t>茎叶喷雾</w:t>
                  </w:r>
                </w:p>
              </w:tc>
            </w:tr>
          </w:tbl>
          <w:p w14:paraId="4E16F57F">
            <w:pPr>
              <w:rPr>
                <w:rFonts w:ascii="Times New Roman" w:hAnsi="Times New Roman" w:cs="Times New Roman"/>
                <w:sz w:val="20"/>
                <w:szCs w:val="20"/>
              </w:rPr>
            </w:pPr>
          </w:p>
        </w:tc>
      </w:tr>
      <w:tr w14:paraId="34666301">
        <w:tblPrEx>
          <w:tblCellMar>
            <w:top w:w="0" w:type="dxa"/>
            <w:left w:w="0" w:type="dxa"/>
            <w:bottom w:w="0" w:type="dxa"/>
            <w:right w:w="0" w:type="dxa"/>
          </w:tblCellMar>
        </w:tblPrEx>
        <w:trPr>
          <w:wBefore w:w="0" w:type="auto"/>
          <w:tblCellSpacing w:w="0" w:type="dxa"/>
        </w:trPr>
        <w:tc>
          <w:tcPr>
            <w:tcW w:w="0" w:type="auto"/>
            <w:noWrap w:val="0"/>
            <w:vAlign w:val="center"/>
          </w:tcPr>
          <w:p w14:paraId="6155A7C3">
            <w:r>
              <w:rPr>
                <w:rStyle w:val="10"/>
                <w:rFonts w:hint="eastAsia"/>
              </w:rPr>
              <w:t>使用技术要求:</w:t>
            </w:r>
            <w:r>
              <w:rPr>
                <w:rFonts w:hint="eastAsia"/>
              </w:rPr>
              <w:br w:type="textWrapping"/>
            </w:r>
            <w:r>
              <w:rPr>
                <w:rStyle w:val="11"/>
                <w:rFonts w:hint="eastAsia"/>
              </w:rPr>
              <w:t>1、本品用于防治非耕地杂草；制剂用药量为300-400毫升/亩；于杂草生长期均匀茎叶喷雾1次。2、大风天或预计1小时内有雨，请勿施药。3、禁止在田间道路、田埂、果树行间、休耕地、林场林地等农林业区域使用。</w:t>
            </w:r>
          </w:p>
        </w:tc>
      </w:tr>
      <w:tr w14:paraId="19518CA6">
        <w:tblPrEx>
          <w:tblCellMar>
            <w:top w:w="0" w:type="dxa"/>
            <w:left w:w="0" w:type="dxa"/>
            <w:bottom w:w="0" w:type="dxa"/>
            <w:right w:w="0" w:type="dxa"/>
          </w:tblCellMar>
        </w:tblPrEx>
        <w:trPr>
          <w:wBefore w:w="0" w:type="auto"/>
          <w:tblCellSpacing w:w="0" w:type="dxa"/>
        </w:trPr>
        <w:tc>
          <w:tcPr>
            <w:tcW w:w="0" w:type="auto"/>
            <w:noWrap w:val="0"/>
            <w:vAlign w:val="center"/>
          </w:tcPr>
          <w:p w14:paraId="2BBEE078">
            <w:r>
              <w:rPr>
                <w:rStyle w:val="10"/>
                <w:rFonts w:hint="eastAsia"/>
              </w:rPr>
              <w:t>产品性能:</w:t>
            </w:r>
            <w:r>
              <w:rPr>
                <w:rFonts w:hint="eastAsia"/>
              </w:rPr>
              <w:br w:type="textWrapping"/>
            </w:r>
            <w:r>
              <w:rPr>
                <w:rStyle w:val="11"/>
                <w:rFonts w:hint="eastAsia"/>
              </w:rPr>
              <w:t>本品属触杀灭生性除草剂，兼具一定的内吸性，属于膦酸类除草剂，是谷氨酰胺合成抑制剂。施药后杂草细胞中铵离子在体内累积，与此同时，光合作用被抑制，使杂草死亡，达到除草目的。本品用于防治非耕地杂草。</w:t>
            </w:r>
          </w:p>
        </w:tc>
      </w:tr>
      <w:tr w14:paraId="067A2FE7">
        <w:tblPrEx>
          <w:tblCellMar>
            <w:top w:w="0" w:type="dxa"/>
            <w:left w:w="0" w:type="dxa"/>
            <w:bottom w:w="0" w:type="dxa"/>
            <w:right w:w="0" w:type="dxa"/>
          </w:tblCellMar>
        </w:tblPrEx>
        <w:trPr>
          <w:wBefore w:w="0" w:type="auto"/>
          <w:tblCellSpacing w:w="0" w:type="dxa"/>
        </w:trPr>
        <w:tc>
          <w:tcPr>
            <w:tcW w:w="0" w:type="auto"/>
            <w:noWrap w:val="0"/>
            <w:vAlign w:val="center"/>
          </w:tcPr>
          <w:p w14:paraId="0806DC81">
            <w:r>
              <w:rPr>
                <w:rStyle w:val="10"/>
                <w:rFonts w:hint="eastAsia"/>
              </w:rPr>
              <w:t>注意事项：</w:t>
            </w:r>
            <w:r>
              <w:rPr>
                <w:rFonts w:hint="eastAsia"/>
              </w:rPr>
              <w:br w:type="textWrapping"/>
            </w:r>
            <w:r>
              <w:rPr>
                <w:rStyle w:val="11"/>
                <w:rFonts w:hint="eastAsia"/>
              </w:rPr>
              <w:t>1.使用时需均匀全面喷雾，喷湿喷透，施药时喷头上应加装保护罩，避免药液飘移到临近作物。具体施用时，可根据需要在当地农技植保部门指导下使用。2.本品遇土钝化，因此在稀释和配制本品药液时，应使用清水，禁止用浑浊的河水或沟渠水配药，以最大限度地提高除草的效果。3.使用时穿戴长衣、长裤、帽子、口罩、手套等防护措施。 不可饮食、吸烟等；施药完毕请立即用肥皂水清洗手和脸。4.刚施药后的区域防止人畜进入；容器的洗涤用水和残留农药不得流入河流、鱼塘等水域。远离水产养殖区、河塘等水域施药，禁止在河塘等水体清洗施药器具。鸟类保护区附近禁用。蚕室及桑园附近禁用。瓢虫等天敌放飞区域禁用。5.孕妇及哺乳期的妇女避免接触此药。6.用过的容器应妥善处理，不可做它用，也不可随意丢弃。7、使用中有任何不良反应请及时携标签就医。8、避免与氧化剂接触。</w:t>
            </w:r>
          </w:p>
        </w:tc>
      </w:tr>
      <w:tr w14:paraId="044FD962">
        <w:tblPrEx>
          <w:tblCellMar>
            <w:top w:w="0" w:type="dxa"/>
            <w:left w:w="0" w:type="dxa"/>
            <w:bottom w:w="0" w:type="dxa"/>
            <w:right w:w="0" w:type="dxa"/>
          </w:tblCellMar>
        </w:tblPrEx>
        <w:trPr>
          <w:wBefore w:w="0" w:type="auto"/>
          <w:tblCellSpacing w:w="0" w:type="dxa"/>
        </w:trPr>
        <w:tc>
          <w:tcPr>
            <w:tcW w:w="0" w:type="auto"/>
            <w:noWrap w:val="0"/>
            <w:vAlign w:val="center"/>
          </w:tcPr>
          <w:p w14:paraId="59B5371B">
            <w:r>
              <w:rPr>
                <w:rStyle w:val="10"/>
                <w:rFonts w:hint="eastAsia"/>
              </w:rPr>
              <w:t>中毒急救措施：</w:t>
            </w:r>
            <w:r>
              <w:rPr>
                <w:rFonts w:hint="eastAsia"/>
              </w:rPr>
              <w:br w:type="textWrapping"/>
            </w:r>
            <w:r>
              <w:rPr>
                <w:rStyle w:val="11"/>
                <w:rFonts w:hint="eastAsia"/>
              </w:rPr>
              <w:t>该产品对眼睛、皮肤有刺激性，使用时避免接触眼睛、皮肤。中毒急救： 1.用药时如果感觉不适，立即停止工作，采取急救措施，并携此标签送医就诊。 2.皮肤接触：立即脱掉被污染的衣物，用大量清水冲洗被污染的皮肤,如皮肤刺激感持续，请医生诊治。再次使用前需清洗被污染的衣物。 3.眼睛溅药：立即将眼睑翻开，用大量清水冲洗至少15分钟。取下隐形眼镜。需要立即就医。 4.发生吸入：将患者转移到空气新鲜处。如果呼吸不正常或停止，实施人工呼吸。注意患者保暖和休息。立即呼叫医生或毒物控制中心。 5.误服：如果误服，立即联系医生，并出示此容器或标签。请勿引吐。解毒剂：无特效解毒剂，对症治疗。</w:t>
            </w:r>
          </w:p>
        </w:tc>
      </w:tr>
      <w:tr w14:paraId="4779D20F">
        <w:tblPrEx>
          <w:tblCellMar>
            <w:top w:w="0" w:type="dxa"/>
            <w:left w:w="0" w:type="dxa"/>
            <w:bottom w:w="0" w:type="dxa"/>
            <w:right w:w="0" w:type="dxa"/>
          </w:tblCellMar>
        </w:tblPrEx>
        <w:trPr>
          <w:wBefore w:w="0" w:type="auto"/>
          <w:tblCellSpacing w:w="0" w:type="dxa"/>
        </w:trPr>
        <w:tc>
          <w:tcPr>
            <w:tcW w:w="0" w:type="auto"/>
            <w:noWrap w:val="0"/>
            <w:vAlign w:val="center"/>
          </w:tcPr>
          <w:p w14:paraId="6C853CD1">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 2.本品应贮藏在避光、干燥、通风处。运输时应注意避光、防高温、雨淋。 3.贮藏温度应避免低于-10℃或高于35℃。 4.产品码放高度不宜超过2米，以免损坏包装。</w:t>
            </w:r>
          </w:p>
        </w:tc>
      </w:tr>
      <w:tr w14:paraId="7ED9C12A">
        <w:tblPrEx>
          <w:tblCellMar>
            <w:top w:w="0" w:type="dxa"/>
            <w:left w:w="0" w:type="dxa"/>
            <w:bottom w:w="0" w:type="dxa"/>
            <w:right w:w="0" w:type="dxa"/>
          </w:tblCellMar>
        </w:tblPrEx>
        <w:trPr>
          <w:wBefore w:w="0" w:type="auto"/>
          <w:tblCellSpacing w:w="0" w:type="dxa"/>
        </w:trPr>
        <w:tc>
          <w:tcPr>
            <w:tcW w:w="0" w:type="auto"/>
            <w:noWrap w:val="0"/>
            <w:vAlign w:val="center"/>
          </w:tcPr>
          <w:p w14:paraId="287CB29F">
            <w:r>
              <w:rPr>
                <w:rStyle w:val="10"/>
                <w:rFonts w:hint="eastAsia"/>
              </w:rPr>
              <w:t>质量保证期：</w:t>
            </w:r>
            <w:r>
              <w:rPr>
                <w:rStyle w:val="11"/>
                <w:rFonts w:hint="eastAsia"/>
              </w:rPr>
              <w:t>2年</w:t>
            </w:r>
          </w:p>
        </w:tc>
      </w:tr>
      <w:tr w14:paraId="5795DC97">
        <w:tblPrEx>
          <w:tblCellMar>
            <w:top w:w="0" w:type="dxa"/>
            <w:left w:w="0" w:type="dxa"/>
            <w:bottom w:w="0" w:type="dxa"/>
            <w:right w:w="0" w:type="dxa"/>
          </w:tblCellMar>
        </w:tblPrEx>
        <w:trPr>
          <w:wBefore w:w="0" w:type="auto"/>
          <w:tblCellSpacing w:w="0" w:type="dxa"/>
        </w:trPr>
        <w:tc>
          <w:tcPr>
            <w:tcW w:w="0" w:type="auto"/>
            <w:noWrap w:val="0"/>
            <w:vAlign w:val="center"/>
          </w:tcPr>
          <w:p w14:paraId="38B06171">
            <w:r>
              <w:rPr>
                <w:rStyle w:val="10"/>
                <w:rFonts w:hint="eastAsia"/>
              </w:rPr>
              <w:t>备注：</w:t>
            </w:r>
          </w:p>
        </w:tc>
      </w:tr>
    </w:tbl>
    <w:p w14:paraId="707F6E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4FD244">
        <w:tblPrEx>
          <w:tblCellMar>
            <w:top w:w="0" w:type="dxa"/>
            <w:left w:w="0" w:type="dxa"/>
            <w:bottom w:w="0" w:type="dxa"/>
            <w:right w:w="0" w:type="dxa"/>
          </w:tblCellMar>
        </w:tblPrEx>
        <w:trPr>
          <w:wBefore w:w="0" w:type="auto"/>
          <w:tblCellSpacing w:w="0" w:type="dxa"/>
        </w:trPr>
        <w:tc>
          <w:tcPr>
            <w:tcW w:w="0" w:type="auto"/>
            <w:noWrap w:val="0"/>
            <w:vAlign w:val="center"/>
          </w:tcPr>
          <w:p w14:paraId="3D353C4A">
            <w:r>
              <w:rPr>
                <w:rStyle w:val="10"/>
                <w:rFonts w:hint="eastAsia"/>
              </w:rPr>
              <w:t>登记证号：</w:t>
            </w:r>
            <w:r>
              <w:rPr>
                <w:rFonts w:hint="eastAsia"/>
              </w:rPr>
              <w:t>PD20212430</w:t>
            </w:r>
          </w:p>
        </w:tc>
      </w:tr>
      <w:tr w14:paraId="39B94E12">
        <w:tblPrEx>
          <w:tblCellMar>
            <w:top w:w="0" w:type="dxa"/>
            <w:left w:w="0" w:type="dxa"/>
            <w:bottom w:w="0" w:type="dxa"/>
            <w:right w:w="0" w:type="dxa"/>
          </w:tblCellMar>
        </w:tblPrEx>
        <w:trPr>
          <w:wBefore w:w="0" w:type="auto"/>
          <w:tblCellSpacing w:w="0" w:type="dxa"/>
        </w:trPr>
        <w:tc>
          <w:tcPr>
            <w:tcW w:w="0" w:type="auto"/>
            <w:noWrap w:val="0"/>
            <w:vAlign w:val="center"/>
          </w:tcPr>
          <w:p w14:paraId="1100BAB8">
            <w:r>
              <w:rPr>
                <w:rStyle w:val="10"/>
                <w:rFonts w:hint="eastAsia"/>
              </w:rPr>
              <w:t>登记证持有人：</w:t>
            </w:r>
            <w:r>
              <w:rPr>
                <w:rFonts w:hint="eastAsia"/>
              </w:rPr>
              <w:t>广西金穗通实业有限公司</w:t>
            </w:r>
          </w:p>
        </w:tc>
      </w:tr>
      <w:tr w14:paraId="65E5C41D">
        <w:tblPrEx>
          <w:tblCellMar>
            <w:top w:w="0" w:type="dxa"/>
            <w:left w:w="0" w:type="dxa"/>
            <w:bottom w:w="0" w:type="dxa"/>
            <w:right w:w="0" w:type="dxa"/>
          </w:tblCellMar>
        </w:tblPrEx>
        <w:trPr>
          <w:wBefore w:w="0" w:type="auto"/>
          <w:tblCellSpacing w:w="0" w:type="dxa"/>
        </w:trPr>
        <w:tc>
          <w:tcPr>
            <w:tcW w:w="0" w:type="auto"/>
            <w:noWrap w:val="0"/>
            <w:vAlign w:val="center"/>
          </w:tcPr>
          <w:p w14:paraId="24438406">
            <w:r>
              <w:rPr>
                <w:rStyle w:val="10"/>
                <w:rFonts w:hint="eastAsia"/>
              </w:rPr>
              <w:t>农药名称：</w:t>
            </w:r>
            <w:r>
              <w:rPr>
                <w:rFonts w:hint="eastAsia"/>
              </w:rPr>
              <w:t>阿维菌素</w:t>
            </w:r>
          </w:p>
        </w:tc>
      </w:tr>
      <w:tr w14:paraId="61FD8BBD">
        <w:tblPrEx>
          <w:tblCellMar>
            <w:top w:w="0" w:type="dxa"/>
            <w:left w:w="0" w:type="dxa"/>
            <w:bottom w:w="0" w:type="dxa"/>
            <w:right w:w="0" w:type="dxa"/>
          </w:tblCellMar>
        </w:tblPrEx>
        <w:trPr>
          <w:wBefore w:w="0" w:type="auto"/>
          <w:tblCellSpacing w:w="0" w:type="dxa"/>
        </w:trPr>
        <w:tc>
          <w:tcPr>
            <w:tcW w:w="0" w:type="auto"/>
            <w:noWrap w:val="0"/>
            <w:vAlign w:val="center"/>
          </w:tcPr>
          <w:p w14:paraId="2904E6D3">
            <w:r>
              <w:rPr>
                <w:rStyle w:val="10"/>
                <w:rFonts w:hint="eastAsia"/>
              </w:rPr>
              <w:t>剂型：</w:t>
            </w:r>
            <w:r>
              <w:rPr>
                <w:rFonts w:hint="eastAsia"/>
              </w:rPr>
              <w:t>微乳剂</w:t>
            </w:r>
          </w:p>
        </w:tc>
      </w:tr>
      <w:tr w14:paraId="68D8882A">
        <w:tblPrEx>
          <w:tblCellMar>
            <w:top w:w="0" w:type="dxa"/>
            <w:left w:w="0" w:type="dxa"/>
            <w:bottom w:w="0" w:type="dxa"/>
            <w:right w:w="0" w:type="dxa"/>
          </w:tblCellMar>
        </w:tblPrEx>
        <w:trPr>
          <w:wBefore w:w="0" w:type="auto"/>
          <w:tblCellSpacing w:w="0" w:type="dxa"/>
        </w:trPr>
        <w:tc>
          <w:tcPr>
            <w:tcW w:w="0" w:type="auto"/>
            <w:noWrap w:val="0"/>
            <w:vAlign w:val="center"/>
          </w:tcPr>
          <w:p w14:paraId="4F075AED">
            <w:r>
              <w:rPr>
                <w:rStyle w:val="10"/>
                <w:rFonts w:hint="eastAsia"/>
              </w:rPr>
              <w:t>毒性及其标识：</w:t>
            </w:r>
            <w:r>
              <w:rPr>
                <w:rFonts w:hint="eastAsia"/>
              </w:rPr>
              <w:t xml:space="preserve"> </w:t>
            </w:r>
            <w:r>
              <w:rPr>
                <w:lang/>
              </w:rPr>
              <w:drawing>
                <wp:inline distT="0" distB="0" distL="114300" distR="114300">
                  <wp:extent cx="476250" cy="323850"/>
                  <wp:effectExtent l="0" t="0" r="0" b="0"/>
                  <wp:docPr id="178" name="图片 178"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47EA0F03">
        <w:tblPrEx>
          <w:tblCellMar>
            <w:top w:w="0" w:type="dxa"/>
            <w:left w:w="0" w:type="dxa"/>
            <w:bottom w:w="0" w:type="dxa"/>
            <w:right w:w="0" w:type="dxa"/>
          </w:tblCellMar>
        </w:tblPrEx>
        <w:trPr>
          <w:wBefore w:w="0" w:type="auto"/>
          <w:tblCellSpacing w:w="0" w:type="dxa"/>
        </w:trPr>
        <w:tc>
          <w:tcPr>
            <w:tcW w:w="0" w:type="auto"/>
            <w:noWrap w:val="0"/>
            <w:vAlign w:val="center"/>
          </w:tcPr>
          <w:p w14:paraId="184EDE30">
            <w:r>
              <w:rPr>
                <w:rStyle w:val="10"/>
                <w:rFonts w:hint="eastAsia"/>
              </w:rPr>
              <w:t>总有效成分含量：</w:t>
            </w:r>
            <w:r>
              <w:rPr>
                <w:rFonts w:hint="eastAsia"/>
              </w:rPr>
              <w:t>5%</w:t>
            </w:r>
          </w:p>
        </w:tc>
      </w:tr>
      <w:tr w14:paraId="6239B785">
        <w:tblPrEx>
          <w:tblCellMar>
            <w:top w:w="0" w:type="dxa"/>
            <w:left w:w="0" w:type="dxa"/>
            <w:bottom w:w="0" w:type="dxa"/>
            <w:right w:w="0" w:type="dxa"/>
          </w:tblCellMar>
        </w:tblPrEx>
        <w:trPr>
          <w:wBefore w:w="0" w:type="auto"/>
          <w:tblCellSpacing w:w="0" w:type="dxa"/>
        </w:trPr>
        <w:tc>
          <w:tcPr>
            <w:tcW w:w="0" w:type="auto"/>
            <w:noWrap w:val="0"/>
            <w:vAlign w:val="center"/>
          </w:tcPr>
          <w:p w14:paraId="0FC84CFC">
            <w:r>
              <w:rPr>
                <w:rFonts w:hint="eastAsia"/>
              </w:rPr>
              <w:t xml:space="preserve">有效成分及其含量： </w:t>
            </w:r>
          </w:p>
          <w:p w14:paraId="6DA5D219">
            <w:r>
              <w:rPr>
                <w:rFonts w:hint="eastAsia"/>
              </w:rPr>
              <w:t xml:space="preserve">    阿维菌素5%    </w:t>
            </w:r>
          </w:p>
        </w:tc>
      </w:tr>
      <w:tr w14:paraId="64F18C18">
        <w:tblPrEx>
          <w:tblCellMar>
            <w:top w:w="0" w:type="dxa"/>
            <w:left w:w="0" w:type="dxa"/>
            <w:bottom w:w="0" w:type="dxa"/>
            <w:right w:w="0" w:type="dxa"/>
          </w:tblCellMar>
        </w:tblPrEx>
        <w:trPr>
          <w:wBefore w:w="0" w:type="auto"/>
          <w:tblCellSpacing w:w="0" w:type="dxa"/>
        </w:trPr>
        <w:tc>
          <w:tcPr>
            <w:tcW w:w="0" w:type="auto"/>
            <w:noWrap w:val="0"/>
            <w:vAlign w:val="center"/>
          </w:tcPr>
          <w:p w14:paraId="4E84D4B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5928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C1565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65BC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BB7ED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E5167F">
                  <w:r>
                    <w:rPr>
                      <w:rStyle w:val="11"/>
                      <w:rFonts w:hint="eastAsia"/>
                    </w:rPr>
                    <w:t>施用方式</w:t>
                  </w:r>
                </w:p>
              </w:tc>
            </w:tr>
            <w:tr w14:paraId="1687A3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98E4D0">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2A6C2">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8F323D">
                  <w:r>
                    <w:rPr>
                      <w:rStyle w:val="11"/>
                      <w:rFonts w:hint="eastAsia"/>
                    </w:rPr>
                    <w:t>10-15毫升/亩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B34734">
                  <w:r>
                    <w:rPr>
                      <w:rStyle w:val="11"/>
                      <w:rFonts w:hint="eastAsia"/>
                    </w:rPr>
                    <w:t>喷雾</w:t>
                  </w:r>
                </w:p>
              </w:tc>
            </w:tr>
          </w:tbl>
          <w:p w14:paraId="0E8B5755">
            <w:pPr>
              <w:rPr>
                <w:rFonts w:ascii="Times New Roman" w:hAnsi="Times New Roman" w:cs="Times New Roman"/>
                <w:sz w:val="20"/>
                <w:szCs w:val="20"/>
              </w:rPr>
            </w:pPr>
          </w:p>
        </w:tc>
      </w:tr>
      <w:tr w14:paraId="0593726E">
        <w:tblPrEx>
          <w:tblCellMar>
            <w:top w:w="0" w:type="dxa"/>
            <w:left w:w="0" w:type="dxa"/>
            <w:bottom w:w="0" w:type="dxa"/>
            <w:right w:w="0" w:type="dxa"/>
          </w:tblCellMar>
        </w:tblPrEx>
        <w:trPr>
          <w:wBefore w:w="0" w:type="auto"/>
          <w:tblCellSpacing w:w="0" w:type="dxa"/>
        </w:trPr>
        <w:tc>
          <w:tcPr>
            <w:tcW w:w="0" w:type="auto"/>
            <w:noWrap w:val="0"/>
            <w:vAlign w:val="center"/>
          </w:tcPr>
          <w:p w14:paraId="7198BF06">
            <w:r>
              <w:rPr>
                <w:rStyle w:val="10"/>
                <w:rFonts w:hint="eastAsia"/>
              </w:rPr>
              <w:t>使用技术要求:</w:t>
            </w:r>
            <w:r>
              <w:rPr>
                <w:rFonts w:hint="eastAsia"/>
              </w:rPr>
              <w:br w:type="textWrapping"/>
            </w:r>
            <w:r>
              <w:rPr>
                <w:rStyle w:val="11"/>
                <w:rFonts w:hint="eastAsia"/>
              </w:rPr>
              <w:t>1.于甘蓝小菜蛾低龄幼虫发生初期喷雾施药1次。 2.本品在甘蓝上每季最多使用1次，安全间隔期7天。 3.大风天或预计1小时内降雨，请勿施药。</w:t>
            </w:r>
          </w:p>
        </w:tc>
      </w:tr>
      <w:tr w14:paraId="7621D4D5">
        <w:tblPrEx>
          <w:tblCellMar>
            <w:top w:w="0" w:type="dxa"/>
            <w:left w:w="0" w:type="dxa"/>
            <w:bottom w:w="0" w:type="dxa"/>
            <w:right w:w="0" w:type="dxa"/>
          </w:tblCellMar>
        </w:tblPrEx>
        <w:trPr>
          <w:wBefore w:w="0" w:type="auto"/>
          <w:tblCellSpacing w:w="0" w:type="dxa"/>
        </w:trPr>
        <w:tc>
          <w:tcPr>
            <w:tcW w:w="0" w:type="auto"/>
            <w:noWrap w:val="0"/>
            <w:vAlign w:val="center"/>
          </w:tcPr>
          <w:p w14:paraId="305E1AAE">
            <w:r>
              <w:rPr>
                <w:rStyle w:val="10"/>
                <w:rFonts w:hint="eastAsia"/>
              </w:rPr>
              <w:t>产品性能:</w:t>
            </w:r>
            <w:r>
              <w:rPr>
                <w:rFonts w:hint="eastAsia"/>
              </w:rPr>
              <w:br w:type="textWrapping"/>
            </w:r>
            <w:r>
              <w:rPr>
                <w:rStyle w:val="11"/>
                <w:rFonts w:hint="eastAsia"/>
              </w:rPr>
              <w:t>本品有效成分阿维菌素是一种大环内酯双糖类杀虫剂，具有触杀、胃毒和熏蒸作用，对叶面有较强的渗透作用，可杀死表皮下的害虫，且残效期较长。其作用机制是干扰神经生理活动，刺激释放ｒ-氨基丁酸，而ｒ-氨基丁酸对节肢动物的神经传导有抑制作用。对甘蓝的鳞翅目害虫小菜蛾有良好的防治效果。</w:t>
            </w:r>
          </w:p>
        </w:tc>
      </w:tr>
      <w:tr w14:paraId="0D8D4E5B">
        <w:tblPrEx>
          <w:tblCellMar>
            <w:top w:w="0" w:type="dxa"/>
            <w:left w:w="0" w:type="dxa"/>
            <w:bottom w:w="0" w:type="dxa"/>
            <w:right w:w="0" w:type="dxa"/>
          </w:tblCellMar>
        </w:tblPrEx>
        <w:trPr>
          <w:wBefore w:w="0" w:type="auto"/>
          <w:tblCellSpacing w:w="0" w:type="dxa"/>
        </w:trPr>
        <w:tc>
          <w:tcPr>
            <w:tcW w:w="0" w:type="auto"/>
            <w:noWrap w:val="0"/>
            <w:vAlign w:val="center"/>
          </w:tcPr>
          <w:p w14:paraId="555B3689">
            <w:r>
              <w:rPr>
                <w:rStyle w:val="10"/>
                <w:rFonts w:hint="eastAsia"/>
              </w:rPr>
              <w:t>注意事项：</w:t>
            </w:r>
            <w:r>
              <w:rPr>
                <w:rFonts w:hint="eastAsia"/>
              </w:rPr>
              <w:br w:type="textWrapping"/>
            </w:r>
            <w:r>
              <w:rPr>
                <w:rStyle w:val="11"/>
                <w:rFonts w:hint="eastAsia"/>
              </w:rPr>
              <w:t>1.本品对鱼、蚕高毒，对蜜蜂有毒，（周围）开花植物花期禁用，使用时应密切关注对附近蜂群的影响，蚕室、桑园附近禁用。鸟类保护区附近禁用；赤眼蜂等天敌放飞区禁用。水产养殖区、河塘等水体附近禁用，禁止在河塘等水域清洗施药器具。2.使用本产品应采取相应的安全防护措施，穿戴长衣、长裤、帽子、口罩、手套等防护措施，避免皮肤、伤口、黏膜、眼睛接触及口鼻吸入。使用中不可吸烟、饮水及吃东西，使得后及时清洗手、脸等暴露部位皮肤并更换衣物。 3.用过的容器应该妥善处理，不可作他用，也不可随意丢弃。农药包装废弃物及时交回农药经营者。 4.建议与不同作用机制的杀虫剂轮换使用。 5.避免孕妇及哺乳期妇女接触。6.避免与氧化剂接触。</w:t>
            </w:r>
          </w:p>
        </w:tc>
      </w:tr>
      <w:tr w14:paraId="7A99918F">
        <w:tblPrEx>
          <w:tblCellMar>
            <w:top w:w="0" w:type="dxa"/>
            <w:left w:w="0" w:type="dxa"/>
            <w:bottom w:w="0" w:type="dxa"/>
            <w:right w:w="0" w:type="dxa"/>
          </w:tblCellMar>
        </w:tblPrEx>
        <w:trPr>
          <w:wBefore w:w="0" w:type="auto"/>
          <w:tblCellSpacing w:w="0" w:type="dxa"/>
        </w:trPr>
        <w:tc>
          <w:tcPr>
            <w:tcW w:w="0" w:type="auto"/>
            <w:noWrap w:val="0"/>
            <w:vAlign w:val="center"/>
          </w:tcPr>
          <w:p w14:paraId="4FEBA7D3">
            <w:r>
              <w:rPr>
                <w:rStyle w:val="10"/>
                <w:rFonts w:hint="eastAsia"/>
              </w:rPr>
              <w:t>中毒急救措施：</w:t>
            </w:r>
            <w:r>
              <w:rPr>
                <w:rFonts w:hint="eastAsia"/>
              </w:rPr>
              <w:br w:type="textWrapping"/>
            </w:r>
            <w:r>
              <w:rPr>
                <w:rStyle w:val="11"/>
                <w:rFonts w:hint="eastAsia"/>
              </w:rPr>
              <w:t>该产品对眼睛有刺激性，使用时避免接触眼睛。 中毒症状：头痛、恶心、呕吐、胸闷等。 中毒急救：1.皮肤接触：立即脱掉被污染的衣物，用大量清水冲洗被污染的皮肤，再用肥皂清洗，然后用清水冲净。2.眼睛溅药：立即将眼睑翻开，用清水冲洗至少15分钟，再请医生诊治。 3.发生吸入：立即将吸入者转移到空气新鲜处，如果吸入者停止呼吸， 需进行人工呼吸。请医生诊治。 4.误服：请用清水充分漱口后，立即携带标签，送医就诊。5.解毒剂：无专用解毒剂，对症治疗。</w:t>
            </w:r>
          </w:p>
        </w:tc>
      </w:tr>
      <w:tr w14:paraId="20D3BDF1">
        <w:tblPrEx>
          <w:tblCellMar>
            <w:top w:w="0" w:type="dxa"/>
            <w:left w:w="0" w:type="dxa"/>
            <w:bottom w:w="0" w:type="dxa"/>
            <w:right w:w="0" w:type="dxa"/>
          </w:tblCellMar>
        </w:tblPrEx>
        <w:trPr>
          <w:wBefore w:w="0" w:type="auto"/>
          <w:tblCellSpacing w:w="0" w:type="dxa"/>
        </w:trPr>
        <w:tc>
          <w:tcPr>
            <w:tcW w:w="0" w:type="auto"/>
            <w:noWrap w:val="0"/>
            <w:vAlign w:val="center"/>
          </w:tcPr>
          <w:p w14:paraId="31D97A67">
            <w:r>
              <w:rPr>
                <w:rStyle w:val="10"/>
                <w:rFonts w:hint="eastAsia"/>
              </w:rPr>
              <w:t>储存和运输方法：</w:t>
            </w:r>
            <w:r>
              <w:rPr>
                <w:rFonts w:hint="eastAsia"/>
              </w:rPr>
              <w:br w:type="textWrapping"/>
            </w:r>
            <w:r>
              <w:rPr>
                <w:rStyle w:val="11"/>
                <w:rFonts w:hint="eastAsia"/>
              </w:rPr>
              <w:t>本品应远离火源、热源，贮存于通风、阴凉、干燥，小孩接触不到的地方，并加锁保存，勿与食品、饲料、粮食、饲料等混合存放、运输。</w:t>
            </w:r>
          </w:p>
        </w:tc>
      </w:tr>
      <w:tr w14:paraId="1A3292B1">
        <w:tblPrEx>
          <w:tblCellMar>
            <w:top w:w="0" w:type="dxa"/>
            <w:left w:w="0" w:type="dxa"/>
            <w:bottom w:w="0" w:type="dxa"/>
            <w:right w:w="0" w:type="dxa"/>
          </w:tblCellMar>
        </w:tblPrEx>
        <w:trPr>
          <w:wBefore w:w="0" w:type="auto"/>
          <w:tblCellSpacing w:w="0" w:type="dxa"/>
        </w:trPr>
        <w:tc>
          <w:tcPr>
            <w:tcW w:w="0" w:type="auto"/>
            <w:noWrap w:val="0"/>
            <w:vAlign w:val="center"/>
          </w:tcPr>
          <w:p w14:paraId="29537BD7">
            <w:r>
              <w:rPr>
                <w:rStyle w:val="10"/>
                <w:rFonts w:hint="eastAsia"/>
              </w:rPr>
              <w:t>质量保证期：</w:t>
            </w:r>
            <w:r>
              <w:rPr>
                <w:rStyle w:val="11"/>
                <w:rFonts w:hint="eastAsia"/>
              </w:rPr>
              <w:t>2年</w:t>
            </w:r>
          </w:p>
        </w:tc>
      </w:tr>
      <w:tr w14:paraId="1E33CE7C">
        <w:tblPrEx>
          <w:tblCellMar>
            <w:top w:w="0" w:type="dxa"/>
            <w:left w:w="0" w:type="dxa"/>
            <w:bottom w:w="0" w:type="dxa"/>
            <w:right w:w="0" w:type="dxa"/>
          </w:tblCellMar>
        </w:tblPrEx>
        <w:trPr>
          <w:wBefore w:w="0" w:type="auto"/>
          <w:tblCellSpacing w:w="0" w:type="dxa"/>
        </w:trPr>
        <w:tc>
          <w:tcPr>
            <w:tcW w:w="0" w:type="auto"/>
            <w:noWrap w:val="0"/>
            <w:vAlign w:val="center"/>
          </w:tcPr>
          <w:p w14:paraId="073744E7">
            <w:r>
              <w:rPr>
                <w:rStyle w:val="10"/>
                <w:rFonts w:hint="eastAsia"/>
              </w:rPr>
              <w:t>备注：</w:t>
            </w:r>
          </w:p>
        </w:tc>
      </w:tr>
    </w:tbl>
    <w:p w14:paraId="387B794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AD3043">
        <w:tblPrEx>
          <w:tblCellMar>
            <w:top w:w="0" w:type="dxa"/>
            <w:left w:w="0" w:type="dxa"/>
            <w:bottom w:w="0" w:type="dxa"/>
            <w:right w:w="0" w:type="dxa"/>
          </w:tblCellMar>
        </w:tblPrEx>
        <w:trPr>
          <w:wBefore w:w="0" w:type="auto"/>
          <w:tblCellSpacing w:w="0" w:type="dxa"/>
        </w:trPr>
        <w:tc>
          <w:tcPr>
            <w:tcW w:w="0" w:type="auto"/>
            <w:noWrap w:val="0"/>
            <w:vAlign w:val="center"/>
          </w:tcPr>
          <w:p w14:paraId="5E1EB1DA">
            <w:r>
              <w:rPr>
                <w:rStyle w:val="10"/>
                <w:rFonts w:hint="eastAsia"/>
              </w:rPr>
              <w:t>登记证号：</w:t>
            </w:r>
            <w:r>
              <w:rPr>
                <w:rFonts w:hint="eastAsia"/>
              </w:rPr>
              <w:t>WP20210373</w:t>
            </w:r>
          </w:p>
        </w:tc>
      </w:tr>
      <w:tr w14:paraId="388BB303">
        <w:tblPrEx>
          <w:tblCellMar>
            <w:top w:w="0" w:type="dxa"/>
            <w:left w:w="0" w:type="dxa"/>
            <w:bottom w:w="0" w:type="dxa"/>
            <w:right w:w="0" w:type="dxa"/>
          </w:tblCellMar>
        </w:tblPrEx>
        <w:trPr>
          <w:wBefore w:w="0" w:type="auto"/>
          <w:tblCellSpacing w:w="0" w:type="dxa"/>
        </w:trPr>
        <w:tc>
          <w:tcPr>
            <w:tcW w:w="0" w:type="auto"/>
            <w:noWrap w:val="0"/>
            <w:vAlign w:val="center"/>
          </w:tcPr>
          <w:p w14:paraId="7325AA51">
            <w:r>
              <w:rPr>
                <w:rStyle w:val="10"/>
                <w:rFonts w:hint="eastAsia"/>
              </w:rPr>
              <w:t>登记证持有人：</w:t>
            </w:r>
            <w:r>
              <w:rPr>
                <w:rFonts w:hint="eastAsia"/>
              </w:rPr>
              <w:t>广东黑旋风日用制品有限公司</w:t>
            </w:r>
          </w:p>
        </w:tc>
      </w:tr>
      <w:tr w14:paraId="41D39888">
        <w:tblPrEx>
          <w:tblCellMar>
            <w:top w:w="0" w:type="dxa"/>
            <w:left w:w="0" w:type="dxa"/>
            <w:bottom w:w="0" w:type="dxa"/>
            <w:right w:w="0" w:type="dxa"/>
          </w:tblCellMar>
        </w:tblPrEx>
        <w:trPr>
          <w:wBefore w:w="0" w:type="auto"/>
          <w:tblCellSpacing w:w="0" w:type="dxa"/>
        </w:trPr>
        <w:tc>
          <w:tcPr>
            <w:tcW w:w="0" w:type="auto"/>
            <w:noWrap w:val="0"/>
            <w:vAlign w:val="center"/>
          </w:tcPr>
          <w:p w14:paraId="6335BA3C">
            <w:r>
              <w:rPr>
                <w:rStyle w:val="10"/>
                <w:rFonts w:hint="eastAsia"/>
              </w:rPr>
              <w:t>农药名称：</w:t>
            </w:r>
            <w:r>
              <w:rPr>
                <w:rFonts w:hint="eastAsia"/>
              </w:rPr>
              <w:t>杀虫气雾剂</w:t>
            </w:r>
          </w:p>
        </w:tc>
      </w:tr>
      <w:tr w14:paraId="36A3559E">
        <w:tblPrEx>
          <w:tblCellMar>
            <w:top w:w="0" w:type="dxa"/>
            <w:left w:w="0" w:type="dxa"/>
            <w:bottom w:w="0" w:type="dxa"/>
            <w:right w:w="0" w:type="dxa"/>
          </w:tblCellMar>
        </w:tblPrEx>
        <w:trPr>
          <w:wBefore w:w="0" w:type="auto"/>
          <w:tblCellSpacing w:w="0" w:type="dxa"/>
        </w:trPr>
        <w:tc>
          <w:tcPr>
            <w:tcW w:w="0" w:type="auto"/>
            <w:noWrap w:val="0"/>
            <w:vAlign w:val="center"/>
          </w:tcPr>
          <w:p w14:paraId="0BA8A1DF">
            <w:r>
              <w:rPr>
                <w:rStyle w:val="10"/>
                <w:rFonts w:hint="eastAsia"/>
              </w:rPr>
              <w:t>剂型：</w:t>
            </w:r>
            <w:r>
              <w:rPr>
                <w:rFonts w:hint="eastAsia"/>
              </w:rPr>
              <w:t>气雾剂</w:t>
            </w:r>
          </w:p>
        </w:tc>
      </w:tr>
      <w:tr w14:paraId="0DE23170">
        <w:tblPrEx>
          <w:tblCellMar>
            <w:top w:w="0" w:type="dxa"/>
            <w:left w:w="0" w:type="dxa"/>
            <w:bottom w:w="0" w:type="dxa"/>
            <w:right w:w="0" w:type="dxa"/>
          </w:tblCellMar>
        </w:tblPrEx>
        <w:trPr>
          <w:wBefore w:w="0" w:type="auto"/>
          <w:tblCellSpacing w:w="0" w:type="dxa"/>
        </w:trPr>
        <w:tc>
          <w:tcPr>
            <w:tcW w:w="0" w:type="auto"/>
            <w:noWrap w:val="0"/>
            <w:vAlign w:val="center"/>
          </w:tcPr>
          <w:p w14:paraId="351013B2">
            <w:r>
              <w:rPr>
                <w:rStyle w:val="10"/>
                <w:rFonts w:hint="eastAsia"/>
              </w:rPr>
              <w:t>毒性及其标识：</w:t>
            </w:r>
            <w:r>
              <w:rPr>
                <w:rFonts w:hint="eastAsia"/>
              </w:rPr>
              <w:t xml:space="preserve"> 微毒 </w:t>
            </w:r>
          </w:p>
        </w:tc>
      </w:tr>
      <w:tr w14:paraId="00067AAD">
        <w:tblPrEx>
          <w:tblCellMar>
            <w:top w:w="0" w:type="dxa"/>
            <w:left w:w="0" w:type="dxa"/>
            <w:bottom w:w="0" w:type="dxa"/>
            <w:right w:w="0" w:type="dxa"/>
          </w:tblCellMar>
        </w:tblPrEx>
        <w:trPr>
          <w:wBefore w:w="0" w:type="auto"/>
          <w:tblCellSpacing w:w="0" w:type="dxa"/>
        </w:trPr>
        <w:tc>
          <w:tcPr>
            <w:tcW w:w="0" w:type="auto"/>
            <w:noWrap w:val="0"/>
            <w:vAlign w:val="center"/>
          </w:tcPr>
          <w:p w14:paraId="62189CF2">
            <w:r>
              <w:rPr>
                <w:rStyle w:val="10"/>
                <w:rFonts w:hint="eastAsia"/>
              </w:rPr>
              <w:t>总有效成分含量：</w:t>
            </w:r>
            <w:r>
              <w:rPr>
                <w:rFonts w:hint="eastAsia"/>
              </w:rPr>
              <w:t>0.35%</w:t>
            </w:r>
          </w:p>
        </w:tc>
      </w:tr>
      <w:tr w14:paraId="133EAFA4">
        <w:tblPrEx>
          <w:tblCellMar>
            <w:top w:w="0" w:type="dxa"/>
            <w:left w:w="0" w:type="dxa"/>
            <w:bottom w:w="0" w:type="dxa"/>
            <w:right w:w="0" w:type="dxa"/>
          </w:tblCellMar>
        </w:tblPrEx>
        <w:trPr>
          <w:wBefore w:w="0" w:type="auto"/>
          <w:tblCellSpacing w:w="0" w:type="dxa"/>
        </w:trPr>
        <w:tc>
          <w:tcPr>
            <w:tcW w:w="0" w:type="auto"/>
            <w:noWrap w:val="0"/>
            <w:vAlign w:val="center"/>
          </w:tcPr>
          <w:p w14:paraId="40164F12">
            <w:r>
              <w:rPr>
                <w:rFonts w:hint="eastAsia"/>
              </w:rPr>
              <w:t xml:space="preserve">有效成分及其含量： </w:t>
            </w:r>
          </w:p>
          <w:p w14:paraId="550195C2">
            <w:r>
              <w:rPr>
                <w:rFonts w:hint="eastAsia"/>
              </w:rPr>
              <w:t xml:space="preserve">    氯菊酯0.3%    右旋反式氯丙炔菊酯0.05%    </w:t>
            </w:r>
          </w:p>
        </w:tc>
      </w:tr>
      <w:tr w14:paraId="11B568DD">
        <w:tblPrEx>
          <w:tblCellMar>
            <w:top w:w="0" w:type="dxa"/>
            <w:left w:w="0" w:type="dxa"/>
            <w:bottom w:w="0" w:type="dxa"/>
            <w:right w:w="0" w:type="dxa"/>
          </w:tblCellMar>
        </w:tblPrEx>
        <w:trPr>
          <w:wBefore w:w="0" w:type="auto"/>
          <w:tblCellSpacing w:w="0" w:type="dxa"/>
        </w:trPr>
        <w:tc>
          <w:tcPr>
            <w:tcW w:w="0" w:type="auto"/>
            <w:noWrap w:val="0"/>
            <w:vAlign w:val="center"/>
          </w:tcPr>
          <w:p w14:paraId="6B8FBC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80A5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55E5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F98B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4ACFB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D83A0B">
                  <w:r>
                    <w:rPr>
                      <w:rStyle w:val="11"/>
                      <w:rFonts w:hint="eastAsia"/>
                    </w:rPr>
                    <w:t>施用方式</w:t>
                  </w:r>
                </w:p>
              </w:tc>
            </w:tr>
            <w:tr w14:paraId="7006F7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283AD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4EEEB1">
                  <w:r>
                    <w:rPr>
                      <w:rStyle w:val="11"/>
                      <w:rFonts w:hint="eastAsia"/>
                    </w:rPr>
                    <w:t>臭虫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1A7A3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0F6027">
                  <w:r>
                    <w:rPr>
                      <w:rStyle w:val="11"/>
                      <w:rFonts w:hint="eastAsia"/>
                    </w:rPr>
                    <w:t>喷雾</w:t>
                  </w:r>
                </w:p>
              </w:tc>
            </w:tr>
            <w:tr w14:paraId="1E5E2A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3B015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3A1B37">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962F83">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233CB5">
                  <w:r>
                    <w:rPr>
                      <w:rStyle w:val="11"/>
                      <w:rFonts w:hint="eastAsia"/>
                    </w:rPr>
                    <w:t>喷雾</w:t>
                  </w:r>
                </w:p>
              </w:tc>
            </w:tr>
            <w:tr w14:paraId="1E6522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A73E9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FC235A">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F39AD5">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DBBFB9">
                  <w:r>
                    <w:rPr>
                      <w:rStyle w:val="11"/>
                      <w:rFonts w:hint="eastAsia"/>
                    </w:rPr>
                    <w:t>喷雾</w:t>
                  </w:r>
                </w:p>
              </w:tc>
            </w:tr>
            <w:tr w14:paraId="788D08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02A52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FC12DB">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FC78B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F20273">
                  <w:r>
                    <w:rPr>
                      <w:rStyle w:val="11"/>
                      <w:rFonts w:hint="eastAsia"/>
                    </w:rPr>
                    <w:t>喷雾</w:t>
                  </w:r>
                </w:p>
              </w:tc>
            </w:tr>
          </w:tbl>
          <w:p w14:paraId="187D961F">
            <w:pPr>
              <w:rPr>
                <w:rFonts w:ascii="Times New Roman" w:hAnsi="Times New Roman" w:cs="Times New Roman"/>
                <w:sz w:val="20"/>
                <w:szCs w:val="20"/>
              </w:rPr>
            </w:pPr>
          </w:p>
        </w:tc>
      </w:tr>
      <w:tr w14:paraId="7F91B1C6">
        <w:tblPrEx>
          <w:tblCellMar>
            <w:top w:w="0" w:type="dxa"/>
            <w:left w:w="0" w:type="dxa"/>
            <w:bottom w:w="0" w:type="dxa"/>
            <w:right w:w="0" w:type="dxa"/>
          </w:tblCellMar>
        </w:tblPrEx>
        <w:trPr>
          <w:wBefore w:w="0" w:type="auto"/>
          <w:tblCellSpacing w:w="0" w:type="dxa"/>
        </w:trPr>
        <w:tc>
          <w:tcPr>
            <w:tcW w:w="0" w:type="auto"/>
            <w:noWrap w:val="0"/>
            <w:vAlign w:val="center"/>
          </w:tcPr>
          <w:p w14:paraId="2379FA9B">
            <w:r>
              <w:rPr>
                <w:rStyle w:val="10"/>
                <w:rFonts w:hint="eastAsia"/>
              </w:rPr>
              <w:t>使用技术要求:</w:t>
            </w:r>
            <w:r>
              <w:rPr>
                <w:rFonts w:hint="eastAsia"/>
              </w:rPr>
              <w:br w:type="textWrapping"/>
            </w:r>
            <w:r>
              <w:rPr>
                <w:rStyle w:val="11"/>
                <w:rFonts w:hint="eastAsia"/>
              </w:rPr>
              <w:t>使用前摇匀，直接按下喷嘴，向空间及所需处喷雾。 对付蚊、蝇，臭虫，蚂蚁，跳蚤直接对准喷雾或向室内各处适量喷雾。 对付蜚蠊，直接对准喷雾或向经常出没的地方适量喷雾。 使用后人畜应立即离开房间，关闭门窗，再次进入房间必须充分通风后方可进入。</w:t>
            </w:r>
          </w:p>
        </w:tc>
      </w:tr>
      <w:tr w14:paraId="563561EF">
        <w:tblPrEx>
          <w:tblCellMar>
            <w:top w:w="0" w:type="dxa"/>
            <w:left w:w="0" w:type="dxa"/>
            <w:bottom w:w="0" w:type="dxa"/>
            <w:right w:w="0" w:type="dxa"/>
          </w:tblCellMar>
        </w:tblPrEx>
        <w:trPr>
          <w:wBefore w:w="0" w:type="auto"/>
          <w:tblCellSpacing w:w="0" w:type="dxa"/>
        </w:trPr>
        <w:tc>
          <w:tcPr>
            <w:tcW w:w="0" w:type="auto"/>
            <w:noWrap w:val="0"/>
            <w:vAlign w:val="center"/>
          </w:tcPr>
          <w:p w14:paraId="5DB08059">
            <w:r>
              <w:rPr>
                <w:rStyle w:val="10"/>
                <w:rFonts w:hint="eastAsia"/>
              </w:rPr>
              <w:t>产品性能:</w:t>
            </w:r>
            <w:r>
              <w:rPr>
                <w:rFonts w:hint="eastAsia"/>
              </w:rPr>
              <w:br w:type="textWrapping"/>
            </w:r>
            <w:r>
              <w:rPr>
                <w:rStyle w:val="11"/>
                <w:rFonts w:hint="eastAsia"/>
              </w:rPr>
              <w:t>本品以拟除虫菊酯为有效成份，对蚊子、苍蝇、臭虫，蚂蚁，跳蚤，蜚蠊(俗称蟑螂)卫生害虫有良好的驱杀效果。</w:t>
            </w:r>
          </w:p>
        </w:tc>
      </w:tr>
      <w:tr w14:paraId="678D3619">
        <w:tblPrEx>
          <w:tblCellMar>
            <w:top w:w="0" w:type="dxa"/>
            <w:left w:w="0" w:type="dxa"/>
            <w:bottom w:w="0" w:type="dxa"/>
            <w:right w:w="0" w:type="dxa"/>
          </w:tblCellMar>
        </w:tblPrEx>
        <w:trPr>
          <w:wBefore w:w="0" w:type="auto"/>
          <w:tblCellSpacing w:w="0" w:type="dxa"/>
        </w:trPr>
        <w:tc>
          <w:tcPr>
            <w:tcW w:w="0" w:type="auto"/>
            <w:noWrap w:val="0"/>
            <w:vAlign w:val="center"/>
          </w:tcPr>
          <w:p w14:paraId="0EF17845">
            <w:r>
              <w:rPr>
                <w:rStyle w:val="10"/>
                <w:rFonts w:hint="eastAsia"/>
              </w:rPr>
              <w:t>注意事项：</w:t>
            </w:r>
            <w:r>
              <w:rPr>
                <w:rFonts w:hint="eastAsia"/>
              </w:rPr>
              <w:br w:type="textWrapping"/>
            </w:r>
            <w:r>
              <w:rPr>
                <w:rStyle w:val="11"/>
                <w:rFonts w:hint="eastAsia"/>
              </w:rPr>
              <w:t>1. 切勿向火焰喷射，切勿放置在温度超过摄氏50度的地方。 2. 喷射后进入房间前，务必开门窗充分通风。 3. 切勿将罐戳破，切勿倒置喷射，切忌服食。 4. 空罐严禁回收充装，切勿向人体或食物喷射。 5. 孕妇及哺乳期妇女禁止接触。 6. 本品对蚕、鱼有毒。蚕室及桑园附近禁用，鱼塘或河流禁用。 7. 过敏者禁用。任何中有任何不良反应请及时就医。</w:t>
            </w:r>
          </w:p>
        </w:tc>
      </w:tr>
      <w:tr w14:paraId="4B95D35B">
        <w:tblPrEx>
          <w:tblCellMar>
            <w:top w:w="0" w:type="dxa"/>
            <w:left w:w="0" w:type="dxa"/>
            <w:bottom w:w="0" w:type="dxa"/>
            <w:right w:w="0" w:type="dxa"/>
          </w:tblCellMar>
        </w:tblPrEx>
        <w:trPr>
          <w:wBefore w:w="0" w:type="auto"/>
          <w:tblCellSpacing w:w="0" w:type="dxa"/>
        </w:trPr>
        <w:tc>
          <w:tcPr>
            <w:tcW w:w="0" w:type="auto"/>
            <w:noWrap w:val="0"/>
            <w:vAlign w:val="center"/>
          </w:tcPr>
          <w:p w14:paraId="1A17EE22">
            <w:r>
              <w:rPr>
                <w:rStyle w:val="10"/>
                <w:rFonts w:hint="eastAsia"/>
              </w:rPr>
              <w:t>中毒急救措施：</w:t>
            </w:r>
            <w:r>
              <w:rPr>
                <w:rFonts w:hint="eastAsia"/>
              </w:rPr>
              <w:br w:type="textWrapping"/>
            </w:r>
            <w:r>
              <w:rPr>
                <w:rStyle w:val="11"/>
                <w:rFonts w:hint="eastAsia"/>
              </w:rPr>
              <w:t xml:space="preserve">中毒急救措施： 1. 如误食，严重者请即刻送医就诊。 2. 如眼睛、皮肤接触 药液，请用清水冲洗。 </w:t>
            </w:r>
          </w:p>
        </w:tc>
      </w:tr>
      <w:tr w14:paraId="7AECD90E">
        <w:tblPrEx>
          <w:tblCellMar>
            <w:top w:w="0" w:type="dxa"/>
            <w:left w:w="0" w:type="dxa"/>
            <w:bottom w:w="0" w:type="dxa"/>
            <w:right w:w="0" w:type="dxa"/>
          </w:tblCellMar>
        </w:tblPrEx>
        <w:trPr>
          <w:wBefore w:w="0" w:type="auto"/>
          <w:tblCellSpacing w:w="0" w:type="dxa"/>
        </w:trPr>
        <w:tc>
          <w:tcPr>
            <w:tcW w:w="0" w:type="auto"/>
            <w:noWrap w:val="0"/>
            <w:vAlign w:val="center"/>
          </w:tcPr>
          <w:p w14:paraId="05618246">
            <w:r>
              <w:rPr>
                <w:rStyle w:val="10"/>
                <w:rFonts w:hint="eastAsia"/>
              </w:rPr>
              <w:t>储存和运输方法：</w:t>
            </w:r>
            <w:r>
              <w:rPr>
                <w:rFonts w:hint="eastAsia"/>
              </w:rPr>
              <w:br w:type="textWrapping"/>
            </w:r>
            <w:r>
              <w:rPr>
                <w:rStyle w:val="11"/>
                <w:rFonts w:hint="eastAsia"/>
              </w:rPr>
              <w:t>1. 置于儿童、无关人员触及不到之处，并加锁，勿与食品、饮料、饲料、种子及易燃易爆品同贮同运。 2. 运输装卸要小心轻放，严禁猛烈撞击，不得倒置。 3. 本品应贮存在干燥、阴凉、通风、防雨处，远离火源或热源。</w:t>
            </w:r>
          </w:p>
        </w:tc>
      </w:tr>
      <w:tr w14:paraId="2C7E30D2">
        <w:tblPrEx>
          <w:tblCellMar>
            <w:top w:w="0" w:type="dxa"/>
            <w:left w:w="0" w:type="dxa"/>
            <w:bottom w:w="0" w:type="dxa"/>
            <w:right w:w="0" w:type="dxa"/>
          </w:tblCellMar>
        </w:tblPrEx>
        <w:trPr>
          <w:wBefore w:w="0" w:type="auto"/>
          <w:tblCellSpacing w:w="0" w:type="dxa"/>
        </w:trPr>
        <w:tc>
          <w:tcPr>
            <w:tcW w:w="0" w:type="auto"/>
            <w:noWrap w:val="0"/>
            <w:vAlign w:val="center"/>
          </w:tcPr>
          <w:p w14:paraId="0BDE7419">
            <w:r>
              <w:rPr>
                <w:rStyle w:val="10"/>
                <w:rFonts w:hint="eastAsia"/>
              </w:rPr>
              <w:t>质量保证期：</w:t>
            </w:r>
            <w:r>
              <w:rPr>
                <w:rStyle w:val="11"/>
                <w:rFonts w:hint="eastAsia"/>
              </w:rPr>
              <w:t>3年</w:t>
            </w:r>
          </w:p>
        </w:tc>
      </w:tr>
      <w:tr w14:paraId="349A466C">
        <w:tblPrEx>
          <w:tblCellMar>
            <w:top w:w="0" w:type="dxa"/>
            <w:left w:w="0" w:type="dxa"/>
            <w:bottom w:w="0" w:type="dxa"/>
            <w:right w:w="0" w:type="dxa"/>
          </w:tblCellMar>
        </w:tblPrEx>
        <w:trPr>
          <w:wBefore w:w="0" w:type="auto"/>
          <w:tblCellSpacing w:w="0" w:type="dxa"/>
        </w:trPr>
        <w:tc>
          <w:tcPr>
            <w:tcW w:w="0" w:type="auto"/>
            <w:noWrap w:val="0"/>
            <w:vAlign w:val="center"/>
          </w:tcPr>
          <w:p w14:paraId="5E194CDF">
            <w:r>
              <w:rPr>
                <w:rStyle w:val="10"/>
                <w:rFonts w:hint="eastAsia"/>
              </w:rPr>
              <w:t>备注：</w:t>
            </w:r>
          </w:p>
        </w:tc>
      </w:tr>
    </w:tbl>
    <w:p w14:paraId="1315B4B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8ED112">
        <w:tblPrEx>
          <w:tblCellMar>
            <w:top w:w="0" w:type="dxa"/>
            <w:left w:w="0" w:type="dxa"/>
            <w:bottom w:w="0" w:type="dxa"/>
            <w:right w:w="0" w:type="dxa"/>
          </w:tblCellMar>
        </w:tblPrEx>
        <w:trPr>
          <w:wBefore w:w="0" w:type="auto"/>
          <w:tblCellSpacing w:w="0" w:type="dxa"/>
        </w:trPr>
        <w:tc>
          <w:tcPr>
            <w:tcW w:w="0" w:type="auto"/>
            <w:noWrap w:val="0"/>
            <w:vAlign w:val="center"/>
          </w:tcPr>
          <w:p w14:paraId="6B4DAF9B">
            <w:r>
              <w:rPr>
                <w:rStyle w:val="10"/>
                <w:rFonts w:hint="eastAsia"/>
              </w:rPr>
              <w:t>登记证号：</w:t>
            </w:r>
            <w:r>
              <w:rPr>
                <w:rFonts w:hint="eastAsia"/>
              </w:rPr>
              <w:t>WP20210381</w:t>
            </w:r>
          </w:p>
        </w:tc>
      </w:tr>
      <w:tr w14:paraId="273DDD96">
        <w:tblPrEx>
          <w:tblCellMar>
            <w:top w:w="0" w:type="dxa"/>
            <w:left w:w="0" w:type="dxa"/>
            <w:bottom w:w="0" w:type="dxa"/>
            <w:right w:w="0" w:type="dxa"/>
          </w:tblCellMar>
        </w:tblPrEx>
        <w:trPr>
          <w:wBefore w:w="0" w:type="auto"/>
          <w:tblCellSpacing w:w="0" w:type="dxa"/>
        </w:trPr>
        <w:tc>
          <w:tcPr>
            <w:tcW w:w="0" w:type="auto"/>
            <w:noWrap w:val="0"/>
            <w:vAlign w:val="center"/>
          </w:tcPr>
          <w:p w14:paraId="30F23A3A">
            <w:r>
              <w:rPr>
                <w:rStyle w:val="10"/>
                <w:rFonts w:hint="eastAsia"/>
              </w:rPr>
              <w:t>登记证持有人：</w:t>
            </w:r>
            <w:r>
              <w:rPr>
                <w:rFonts w:hint="eastAsia"/>
              </w:rPr>
              <w:t>广州超威日用化学用品有限公司</w:t>
            </w:r>
          </w:p>
        </w:tc>
      </w:tr>
      <w:tr w14:paraId="1F5C0020">
        <w:tblPrEx>
          <w:tblCellMar>
            <w:top w:w="0" w:type="dxa"/>
            <w:left w:w="0" w:type="dxa"/>
            <w:bottom w:w="0" w:type="dxa"/>
            <w:right w:w="0" w:type="dxa"/>
          </w:tblCellMar>
        </w:tblPrEx>
        <w:trPr>
          <w:wBefore w:w="0" w:type="auto"/>
          <w:tblCellSpacing w:w="0" w:type="dxa"/>
        </w:trPr>
        <w:tc>
          <w:tcPr>
            <w:tcW w:w="0" w:type="auto"/>
            <w:noWrap w:val="0"/>
            <w:vAlign w:val="center"/>
          </w:tcPr>
          <w:p w14:paraId="5A12FFE0">
            <w:r>
              <w:rPr>
                <w:rStyle w:val="10"/>
                <w:rFonts w:hint="eastAsia"/>
              </w:rPr>
              <w:t>农药名称：</w:t>
            </w:r>
            <w:r>
              <w:rPr>
                <w:rFonts w:hint="eastAsia"/>
              </w:rPr>
              <w:t>电热蚊香液</w:t>
            </w:r>
          </w:p>
        </w:tc>
      </w:tr>
      <w:tr w14:paraId="73AB6219">
        <w:tblPrEx>
          <w:tblCellMar>
            <w:top w:w="0" w:type="dxa"/>
            <w:left w:w="0" w:type="dxa"/>
            <w:bottom w:w="0" w:type="dxa"/>
            <w:right w:w="0" w:type="dxa"/>
          </w:tblCellMar>
        </w:tblPrEx>
        <w:trPr>
          <w:wBefore w:w="0" w:type="auto"/>
          <w:tblCellSpacing w:w="0" w:type="dxa"/>
        </w:trPr>
        <w:tc>
          <w:tcPr>
            <w:tcW w:w="0" w:type="auto"/>
            <w:noWrap w:val="0"/>
            <w:vAlign w:val="center"/>
          </w:tcPr>
          <w:p w14:paraId="4E1761F6">
            <w:r>
              <w:rPr>
                <w:rStyle w:val="10"/>
                <w:rFonts w:hint="eastAsia"/>
              </w:rPr>
              <w:t>剂型：</w:t>
            </w:r>
            <w:r>
              <w:rPr>
                <w:rFonts w:hint="eastAsia"/>
              </w:rPr>
              <w:t>电热香蚊液</w:t>
            </w:r>
          </w:p>
        </w:tc>
      </w:tr>
      <w:tr w14:paraId="4E9E8E70">
        <w:tblPrEx>
          <w:tblCellMar>
            <w:top w:w="0" w:type="dxa"/>
            <w:left w:w="0" w:type="dxa"/>
            <w:bottom w:w="0" w:type="dxa"/>
            <w:right w:w="0" w:type="dxa"/>
          </w:tblCellMar>
        </w:tblPrEx>
        <w:trPr>
          <w:wBefore w:w="0" w:type="auto"/>
          <w:tblCellSpacing w:w="0" w:type="dxa"/>
        </w:trPr>
        <w:tc>
          <w:tcPr>
            <w:tcW w:w="0" w:type="auto"/>
            <w:noWrap w:val="0"/>
            <w:vAlign w:val="center"/>
          </w:tcPr>
          <w:p w14:paraId="24DA1DF7">
            <w:r>
              <w:rPr>
                <w:rStyle w:val="10"/>
                <w:rFonts w:hint="eastAsia"/>
              </w:rPr>
              <w:t>毒性及其标识：</w:t>
            </w:r>
            <w:r>
              <w:rPr>
                <w:rFonts w:hint="eastAsia"/>
              </w:rPr>
              <w:t xml:space="preserve"> 微毒 </w:t>
            </w:r>
          </w:p>
        </w:tc>
      </w:tr>
      <w:tr w14:paraId="29744C89">
        <w:tblPrEx>
          <w:tblCellMar>
            <w:top w:w="0" w:type="dxa"/>
            <w:left w:w="0" w:type="dxa"/>
            <w:bottom w:w="0" w:type="dxa"/>
            <w:right w:w="0" w:type="dxa"/>
          </w:tblCellMar>
        </w:tblPrEx>
        <w:trPr>
          <w:wBefore w:w="0" w:type="auto"/>
          <w:tblCellSpacing w:w="0" w:type="dxa"/>
        </w:trPr>
        <w:tc>
          <w:tcPr>
            <w:tcW w:w="0" w:type="auto"/>
            <w:noWrap w:val="0"/>
            <w:vAlign w:val="center"/>
          </w:tcPr>
          <w:p w14:paraId="65973869">
            <w:r>
              <w:rPr>
                <w:rStyle w:val="10"/>
                <w:rFonts w:hint="eastAsia"/>
              </w:rPr>
              <w:t>总有效成分含量：</w:t>
            </w:r>
            <w:r>
              <w:rPr>
                <w:rFonts w:hint="eastAsia"/>
              </w:rPr>
              <w:t>0.31%</w:t>
            </w:r>
          </w:p>
        </w:tc>
      </w:tr>
      <w:tr w14:paraId="49B1A96B">
        <w:tblPrEx>
          <w:tblCellMar>
            <w:top w:w="0" w:type="dxa"/>
            <w:left w:w="0" w:type="dxa"/>
            <w:bottom w:w="0" w:type="dxa"/>
            <w:right w:w="0" w:type="dxa"/>
          </w:tblCellMar>
        </w:tblPrEx>
        <w:trPr>
          <w:wBefore w:w="0" w:type="auto"/>
          <w:tblCellSpacing w:w="0" w:type="dxa"/>
        </w:trPr>
        <w:tc>
          <w:tcPr>
            <w:tcW w:w="0" w:type="auto"/>
            <w:noWrap w:val="0"/>
            <w:vAlign w:val="center"/>
          </w:tcPr>
          <w:p w14:paraId="2F101AD9">
            <w:r>
              <w:rPr>
                <w:rFonts w:hint="eastAsia"/>
              </w:rPr>
              <w:t xml:space="preserve">有效成分及其含量： </w:t>
            </w:r>
          </w:p>
          <w:p w14:paraId="5145E9ED">
            <w:r>
              <w:rPr>
                <w:rFonts w:hint="eastAsia"/>
              </w:rPr>
              <w:t xml:space="preserve">    四氟甲醚菊酯0.31%    </w:t>
            </w:r>
          </w:p>
        </w:tc>
      </w:tr>
      <w:tr w14:paraId="57333CF4">
        <w:tblPrEx>
          <w:tblCellMar>
            <w:top w:w="0" w:type="dxa"/>
            <w:left w:w="0" w:type="dxa"/>
            <w:bottom w:w="0" w:type="dxa"/>
            <w:right w:w="0" w:type="dxa"/>
          </w:tblCellMar>
        </w:tblPrEx>
        <w:trPr>
          <w:wBefore w:w="0" w:type="auto"/>
          <w:tblCellSpacing w:w="0" w:type="dxa"/>
        </w:trPr>
        <w:tc>
          <w:tcPr>
            <w:tcW w:w="0" w:type="auto"/>
            <w:noWrap w:val="0"/>
            <w:vAlign w:val="center"/>
          </w:tcPr>
          <w:p w14:paraId="623CFE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8C9E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A15A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1CE6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84E3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A5E917">
                  <w:r>
                    <w:rPr>
                      <w:rStyle w:val="11"/>
                      <w:rFonts w:hint="eastAsia"/>
                    </w:rPr>
                    <w:t>施用方式</w:t>
                  </w:r>
                </w:p>
              </w:tc>
            </w:tr>
            <w:tr w14:paraId="3C45F8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439D7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E8AFFF">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78A5F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6710B9">
                  <w:r>
                    <w:rPr>
                      <w:rStyle w:val="11"/>
                      <w:rFonts w:hint="eastAsia"/>
                    </w:rPr>
                    <w:t>电热加温</w:t>
                  </w:r>
                </w:p>
              </w:tc>
            </w:tr>
          </w:tbl>
          <w:p w14:paraId="599B9140">
            <w:pPr>
              <w:rPr>
                <w:rFonts w:ascii="Times New Roman" w:hAnsi="Times New Roman" w:cs="Times New Roman"/>
                <w:sz w:val="20"/>
                <w:szCs w:val="20"/>
              </w:rPr>
            </w:pPr>
          </w:p>
        </w:tc>
      </w:tr>
      <w:tr w14:paraId="1EE99866">
        <w:tblPrEx>
          <w:tblCellMar>
            <w:top w:w="0" w:type="dxa"/>
            <w:left w:w="0" w:type="dxa"/>
            <w:bottom w:w="0" w:type="dxa"/>
            <w:right w:w="0" w:type="dxa"/>
          </w:tblCellMar>
        </w:tblPrEx>
        <w:trPr>
          <w:wBefore w:w="0" w:type="auto"/>
          <w:tblCellSpacing w:w="0" w:type="dxa"/>
        </w:trPr>
        <w:tc>
          <w:tcPr>
            <w:tcW w:w="0" w:type="auto"/>
            <w:noWrap w:val="0"/>
            <w:vAlign w:val="center"/>
          </w:tcPr>
          <w:p w14:paraId="40C02514">
            <w:r>
              <w:rPr>
                <w:rStyle w:val="10"/>
                <w:rFonts w:hint="eastAsia"/>
              </w:rPr>
              <w:t>使用技术要求:</w:t>
            </w:r>
            <w:r>
              <w:rPr>
                <w:rFonts w:hint="eastAsia"/>
              </w:rPr>
              <w:br w:type="textWrapping"/>
            </w:r>
            <w:r>
              <w:rPr>
                <w:rStyle w:val="11"/>
                <w:rFonts w:hint="eastAsia"/>
              </w:rPr>
              <w:t>拧开电热蚊香液的瓶盖。将蚊香液瓶旋紧于加热器内； 接通电源，按下开关，指示灯亮即可；蚊香液用尽，请关闭电源后，更换一瓶新的蚊香液； 若想取得最佳效果，请配套使用超威牌电热蚊香液加热器，使用时请保持蚊香液瓶竖直向上；使用时请将加热置于上风处，离人体2米为宜。 提前半小时使用，效果更佳。 适用于15平方米以下房间，大于此面积建议同时使用2套以上本产品。</w:t>
            </w:r>
          </w:p>
        </w:tc>
      </w:tr>
      <w:tr w14:paraId="77690401">
        <w:tblPrEx>
          <w:tblCellMar>
            <w:top w:w="0" w:type="dxa"/>
            <w:left w:w="0" w:type="dxa"/>
            <w:bottom w:w="0" w:type="dxa"/>
            <w:right w:w="0" w:type="dxa"/>
          </w:tblCellMar>
        </w:tblPrEx>
        <w:trPr>
          <w:wBefore w:w="0" w:type="auto"/>
          <w:tblCellSpacing w:w="0" w:type="dxa"/>
        </w:trPr>
        <w:tc>
          <w:tcPr>
            <w:tcW w:w="0" w:type="auto"/>
            <w:noWrap w:val="0"/>
            <w:vAlign w:val="center"/>
          </w:tcPr>
          <w:p w14:paraId="6E6948DB">
            <w:r>
              <w:rPr>
                <w:rStyle w:val="10"/>
                <w:rFonts w:hint="eastAsia"/>
              </w:rPr>
              <w:t>产品性能:</w:t>
            </w:r>
            <w:r>
              <w:rPr>
                <w:rFonts w:hint="eastAsia"/>
              </w:rPr>
              <w:br w:type="textWrapping"/>
            </w:r>
            <w:r>
              <w:rPr>
                <w:rStyle w:val="11"/>
                <w:rFonts w:hint="eastAsia"/>
              </w:rPr>
              <w:t>本品含四氟甲醚菊酯成分，有效驱蚊； 特选优质芯棒，不易堵塞； 电热蚊香液可持续使用，无需每天添加或更换。</w:t>
            </w:r>
          </w:p>
        </w:tc>
      </w:tr>
      <w:tr w14:paraId="7D689BF4">
        <w:tblPrEx>
          <w:tblCellMar>
            <w:top w:w="0" w:type="dxa"/>
            <w:left w:w="0" w:type="dxa"/>
            <w:bottom w:w="0" w:type="dxa"/>
            <w:right w:w="0" w:type="dxa"/>
          </w:tblCellMar>
        </w:tblPrEx>
        <w:trPr>
          <w:wBefore w:w="0" w:type="auto"/>
          <w:tblCellSpacing w:w="0" w:type="dxa"/>
        </w:trPr>
        <w:tc>
          <w:tcPr>
            <w:tcW w:w="0" w:type="auto"/>
            <w:noWrap w:val="0"/>
            <w:vAlign w:val="center"/>
          </w:tcPr>
          <w:p w14:paraId="19AB34AB">
            <w:r>
              <w:rPr>
                <w:rStyle w:val="10"/>
                <w:rFonts w:hint="eastAsia"/>
              </w:rPr>
              <w:t>注意事项：</w:t>
            </w:r>
            <w:r>
              <w:rPr>
                <w:rFonts w:hint="eastAsia"/>
              </w:rPr>
              <w:br w:type="textWrapping"/>
            </w:r>
            <w:r>
              <w:rPr>
                <w:rStyle w:val="11"/>
                <w:rFonts w:hint="eastAsia"/>
              </w:rPr>
              <w:t>仅限室内使用。置于儿童接触不到的地方。使用时注意通风；不要在加热器表面覆盖任何物品。注意用电及防火安全；本品对鱼、蚕有毒，蚕室及桑园附近禁用；勿用手触摸芯棒，以免药效发挥不稳定；用后洗手。孕妇及哺乳期妇女禁止接触。过敏者禁用；使用中有任何不良反应请及时就医。</w:t>
            </w:r>
          </w:p>
        </w:tc>
      </w:tr>
      <w:tr w14:paraId="28390D65">
        <w:tblPrEx>
          <w:tblCellMar>
            <w:top w:w="0" w:type="dxa"/>
            <w:left w:w="0" w:type="dxa"/>
            <w:bottom w:w="0" w:type="dxa"/>
            <w:right w:w="0" w:type="dxa"/>
          </w:tblCellMar>
        </w:tblPrEx>
        <w:trPr>
          <w:wBefore w:w="0" w:type="auto"/>
          <w:tblCellSpacing w:w="0" w:type="dxa"/>
        </w:trPr>
        <w:tc>
          <w:tcPr>
            <w:tcW w:w="0" w:type="auto"/>
            <w:noWrap w:val="0"/>
            <w:vAlign w:val="center"/>
          </w:tcPr>
          <w:p w14:paraId="56BA0DA4">
            <w:r>
              <w:rPr>
                <w:rStyle w:val="10"/>
                <w:rFonts w:hint="eastAsia"/>
              </w:rPr>
              <w:t>中毒急救措施：</w:t>
            </w:r>
            <w:r>
              <w:rPr>
                <w:rFonts w:hint="eastAsia"/>
              </w:rPr>
              <w:br w:type="textWrapping"/>
            </w:r>
            <w:r>
              <w:rPr>
                <w:rStyle w:val="11"/>
                <w:rFonts w:hint="eastAsia"/>
              </w:rPr>
              <w:t>如眼睛或皮肤接触药液，请即用清水冲洗； 如误饮，请即饮大量清水并携包装及时就诊。</w:t>
            </w:r>
          </w:p>
        </w:tc>
      </w:tr>
      <w:tr w14:paraId="3117B25E">
        <w:tblPrEx>
          <w:tblCellMar>
            <w:top w:w="0" w:type="dxa"/>
            <w:left w:w="0" w:type="dxa"/>
            <w:bottom w:w="0" w:type="dxa"/>
            <w:right w:w="0" w:type="dxa"/>
          </w:tblCellMar>
        </w:tblPrEx>
        <w:trPr>
          <w:wBefore w:w="0" w:type="auto"/>
          <w:tblCellSpacing w:w="0" w:type="dxa"/>
        </w:trPr>
        <w:tc>
          <w:tcPr>
            <w:tcW w:w="0" w:type="auto"/>
            <w:noWrap w:val="0"/>
            <w:vAlign w:val="center"/>
          </w:tcPr>
          <w:p w14:paraId="65D15A9C">
            <w:r>
              <w:rPr>
                <w:rStyle w:val="10"/>
                <w:rFonts w:hint="eastAsia"/>
              </w:rPr>
              <w:t>储存和运输方法：</w:t>
            </w:r>
            <w:r>
              <w:rPr>
                <w:rFonts w:hint="eastAsia"/>
              </w:rPr>
              <w:br w:type="textWrapping"/>
            </w:r>
            <w:r>
              <w:rPr>
                <w:rStyle w:val="11"/>
                <w:rFonts w:hint="eastAsia"/>
              </w:rPr>
              <w:t xml:space="preserve">本品应贮存在干燥、阴凉、通风、防雨处，远离火源或热源，勿让阳光直接照射； 勿与食品、饮料、饲料等商品同贮同运； 置于儿童接触不到的地方。 </w:t>
            </w:r>
          </w:p>
        </w:tc>
      </w:tr>
      <w:tr w14:paraId="29B09C08">
        <w:tblPrEx>
          <w:tblCellMar>
            <w:top w:w="0" w:type="dxa"/>
            <w:left w:w="0" w:type="dxa"/>
            <w:bottom w:w="0" w:type="dxa"/>
            <w:right w:w="0" w:type="dxa"/>
          </w:tblCellMar>
        </w:tblPrEx>
        <w:trPr>
          <w:wBefore w:w="0" w:type="auto"/>
          <w:tblCellSpacing w:w="0" w:type="dxa"/>
        </w:trPr>
        <w:tc>
          <w:tcPr>
            <w:tcW w:w="0" w:type="auto"/>
            <w:noWrap w:val="0"/>
            <w:vAlign w:val="center"/>
          </w:tcPr>
          <w:p w14:paraId="328E2D98">
            <w:r>
              <w:rPr>
                <w:rStyle w:val="10"/>
                <w:rFonts w:hint="eastAsia"/>
              </w:rPr>
              <w:t>质量保证期：</w:t>
            </w:r>
            <w:r>
              <w:rPr>
                <w:rStyle w:val="11"/>
                <w:rFonts w:hint="eastAsia"/>
              </w:rPr>
              <w:t>2年</w:t>
            </w:r>
          </w:p>
        </w:tc>
      </w:tr>
      <w:tr w14:paraId="45FA26BB">
        <w:tblPrEx>
          <w:tblCellMar>
            <w:top w:w="0" w:type="dxa"/>
            <w:left w:w="0" w:type="dxa"/>
            <w:bottom w:w="0" w:type="dxa"/>
            <w:right w:w="0" w:type="dxa"/>
          </w:tblCellMar>
        </w:tblPrEx>
        <w:trPr>
          <w:wBefore w:w="0" w:type="auto"/>
          <w:tblCellSpacing w:w="0" w:type="dxa"/>
        </w:trPr>
        <w:tc>
          <w:tcPr>
            <w:tcW w:w="0" w:type="auto"/>
            <w:noWrap w:val="0"/>
            <w:vAlign w:val="center"/>
          </w:tcPr>
          <w:p w14:paraId="0F13FF2C">
            <w:r>
              <w:rPr>
                <w:rStyle w:val="10"/>
                <w:rFonts w:hint="eastAsia"/>
              </w:rPr>
              <w:t>备注：</w:t>
            </w:r>
          </w:p>
        </w:tc>
      </w:tr>
    </w:tbl>
    <w:p w14:paraId="16D1EA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06150B">
        <w:tblPrEx>
          <w:tblCellMar>
            <w:top w:w="0" w:type="dxa"/>
            <w:left w:w="0" w:type="dxa"/>
            <w:bottom w:w="0" w:type="dxa"/>
            <w:right w:w="0" w:type="dxa"/>
          </w:tblCellMar>
        </w:tblPrEx>
        <w:trPr>
          <w:wBefore w:w="0" w:type="auto"/>
          <w:tblCellSpacing w:w="0" w:type="dxa"/>
        </w:trPr>
        <w:tc>
          <w:tcPr>
            <w:tcW w:w="0" w:type="auto"/>
            <w:noWrap w:val="0"/>
            <w:vAlign w:val="center"/>
          </w:tcPr>
          <w:p w14:paraId="77AFD9B4">
            <w:r>
              <w:rPr>
                <w:rStyle w:val="10"/>
                <w:rFonts w:hint="eastAsia"/>
              </w:rPr>
              <w:t>登记证号：</w:t>
            </w:r>
            <w:r>
              <w:rPr>
                <w:rFonts w:hint="eastAsia"/>
              </w:rPr>
              <w:t>PD20212630</w:t>
            </w:r>
          </w:p>
        </w:tc>
      </w:tr>
      <w:tr w14:paraId="64077E8B">
        <w:tblPrEx>
          <w:tblCellMar>
            <w:top w:w="0" w:type="dxa"/>
            <w:left w:w="0" w:type="dxa"/>
            <w:bottom w:w="0" w:type="dxa"/>
            <w:right w:w="0" w:type="dxa"/>
          </w:tblCellMar>
        </w:tblPrEx>
        <w:trPr>
          <w:wBefore w:w="0" w:type="auto"/>
          <w:tblCellSpacing w:w="0" w:type="dxa"/>
        </w:trPr>
        <w:tc>
          <w:tcPr>
            <w:tcW w:w="0" w:type="auto"/>
            <w:noWrap w:val="0"/>
            <w:vAlign w:val="center"/>
          </w:tcPr>
          <w:p w14:paraId="5E1CBEC8">
            <w:r>
              <w:rPr>
                <w:rStyle w:val="10"/>
                <w:rFonts w:hint="eastAsia"/>
              </w:rPr>
              <w:t>登记证持有人：</w:t>
            </w:r>
            <w:r>
              <w:rPr>
                <w:rFonts w:hint="eastAsia"/>
              </w:rPr>
              <w:t>东莞市瑞德丰生物科技有限公司</w:t>
            </w:r>
          </w:p>
        </w:tc>
      </w:tr>
      <w:tr w14:paraId="095206C0">
        <w:tblPrEx>
          <w:tblCellMar>
            <w:top w:w="0" w:type="dxa"/>
            <w:left w:w="0" w:type="dxa"/>
            <w:bottom w:w="0" w:type="dxa"/>
            <w:right w:w="0" w:type="dxa"/>
          </w:tblCellMar>
        </w:tblPrEx>
        <w:trPr>
          <w:wBefore w:w="0" w:type="auto"/>
          <w:tblCellSpacing w:w="0" w:type="dxa"/>
        </w:trPr>
        <w:tc>
          <w:tcPr>
            <w:tcW w:w="0" w:type="auto"/>
            <w:noWrap w:val="0"/>
            <w:vAlign w:val="center"/>
          </w:tcPr>
          <w:p w14:paraId="7ACFB240">
            <w:r>
              <w:rPr>
                <w:rStyle w:val="10"/>
                <w:rFonts w:hint="eastAsia"/>
              </w:rPr>
              <w:t>农药名称：</w:t>
            </w:r>
            <w:r>
              <w:rPr>
                <w:rFonts w:hint="eastAsia"/>
              </w:rPr>
              <w:t>嘧啶肟草醚</w:t>
            </w:r>
          </w:p>
        </w:tc>
      </w:tr>
      <w:tr w14:paraId="461467DB">
        <w:tblPrEx>
          <w:tblCellMar>
            <w:top w:w="0" w:type="dxa"/>
            <w:left w:w="0" w:type="dxa"/>
            <w:bottom w:w="0" w:type="dxa"/>
            <w:right w:w="0" w:type="dxa"/>
          </w:tblCellMar>
        </w:tblPrEx>
        <w:trPr>
          <w:wBefore w:w="0" w:type="auto"/>
          <w:tblCellSpacing w:w="0" w:type="dxa"/>
        </w:trPr>
        <w:tc>
          <w:tcPr>
            <w:tcW w:w="0" w:type="auto"/>
            <w:noWrap w:val="0"/>
            <w:vAlign w:val="center"/>
          </w:tcPr>
          <w:p w14:paraId="024E0154">
            <w:r>
              <w:rPr>
                <w:rStyle w:val="10"/>
                <w:rFonts w:hint="eastAsia"/>
              </w:rPr>
              <w:t>剂型：</w:t>
            </w:r>
            <w:r>
              <w:rPr>
                <w:rFonts w:hint="eastAsia"/>
              </w:rPr>
              <w:t>可分散油悬浮剂</w:t>
            </w:r>
          </w:p>
        </w:tc>
      </w:tr>
      <w:tr w14:paraId="6913AC9D">
        <w:tblPrEx>
          <w:tblCellMar>
            <w:top w:w="0" w:type="dxa"/>
            <w:left w:w="0" w:type="dxa"/>
            <w:bottom w:w="0" w:type="dxa"/>
            <w:right w:w="0" w:type="dxa"/>
          </w:tblCellMar>
        </w:tblPrEx>
        <w:trPr>
          <w:wBefore w:w="0" w:type="auto"/>
          <w:tblCellSpacing w:w="0" w:type="dxa"/>
        </w:trPr>
        <w:tc>
          <w:tcPr>
            <w:tcW w:w="0" w:type="auto"/>
            <w:noWrap w:val="0"/>
            <w:vAlign w:val="center"/>
          </w:tcPr>
          <w:p w14:paraId="4DFA89E9">
            <w:r>
              <w:rPr>
                <w:rStyle w:val="10"/>
                <w:rFonts w:hint="eastAsia"/>
              </w:rPr>
              <w:t>毒性及其标识：</w:t>
            </w:r>
            <w:r>
              <w:rPr>
                <w:rFonts w:hint="eastAsia"/>
              </w:rPr>
              <w:t xml:space="preserve"> 微毒 </w:t>
            </w:r>
          </w:p>
        </w:tc>
      </w:tr>
      <w:tr w14:paraId="5B72694F">
        <w:tblPrEx>
          <w:tblCellMar>
            <w:top w:w="0" w:type="dxa"/>
            <w:left w:w="0" w:type="dxa"/>
            <w:bottom w:w="0" w:type="dxa"/>
            <w:right w:w="0" w:type="dxa"/>
          </w:tblCellMar>
        </w:tblPrEx>
        <w:trPr>
          <w:wBefore w:w="0" w:type="auto"/>
          <w:tblCellSpacing w:w="0" w:type="dxa"/>
        </w:trPr>
        <w:tc>
          <w:tcPr>
            <w:tcW w:w="0" w:type="auto"/>
            <w:noWrap w:val="0"/>
            <w:vAlign w:val="center"/>
          </w:tcPr>
          <w:p w14:paraId="3FC52A8F">
            <w:r>
              <w:rPr>
                <w:rStyle w:val="10"/>
                <w:rFonts w:hint="eastAsia"/>
              </w:rPr>
              <w:t>总有效成分含量：</w:t>
            </w:r>
            <w:r>
              <w:rPr>
                <w:rFonts w:hint="eastAsia"/>
              </w:rPr>
              <w:t>10%</w:t>
            </w:r>
          </w:p>
        </w:tc>
      </w:tr>
      <w:tr w14:paraId="7191E304">
        <w:tblPrEx>
          <w:tblCellMar>
            <w:top w:w="0" w:type="dxa"/>
            <w:left w:w="0" w:type="dxa"/>
            <w:bottom w:w="0" w:type="dxa"/>
            <w:right w:w="0" w:type="dxa"/>
          </w:tblCellMar>
        </w:tblPrEx>
        <w:trPr>
          <w:wBefore w:w="0" w:type="auto"/>
          <w:tblCellSpacing w:w="0" w:type="dxa"/>
        </w:trPr>
        <w:tc>
          <w:tcPr>
            <w:tcW w:w="0" w:type="auto"/>
            <w:noWrap w:val="0"/>
            <w:vAlign w:val="center"/>
          </w:tcPr>
          <w:p w14:paraId="6F0F2696">
            <w:r>
              <w:rPr>
                <w:rFonts w:hint="eastAsia"/>
              </w:rPr>
              <w:t xml:space="preserve">有效成分及其含量： </w:t>
            </w:r>
          </w:p>
          <w:p w14:paraId="0F68D404">
            <w:r>
              <w:rPr>
                <w:rFonts w:hint="eastAsia"/>
              </w:rPr>
              <w:t xml:space="preserve">    嘧啶肟草醚10%    </w:t>
            </w:r>
          </w:p>
        </w:tc>
      </w:tr>
      <w:tr w14:paraId="5C60F8C3">
        <w:tblPrEx>
          <w:tblCellMar>
            <w:top w:w="0" w:type="dxa"/>
            <w:left w:w="0" w:type="dxa"/>
            <w:bottom w:w="0" w:type="dxa"/>
            <w:right w:w="0" w:type="dxa"/>
          </w:tblCellMar>
        </w:tblPrEx>
        <w:trPr>
          <w:wBefore w:w="0" w:type="auto"/>
          <w:tblCellSpacing w:w="0" w:type="dxa"/>
        </w:trPr>
        <w:tc>
          <w:tcPr>
            <w:tcW w:w="0" w:type="auto"/>
            <w:noWrap w:val="0"/>
            <w:vAlign w:val="center"/>
          </w:tcPr>
          <w:p w14:paraId="4A5370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8036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D05C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5740C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F980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1DDBCD">
                  <w:r>
                    <w:rPr>
                      <w:rStyle w:val="11"/>
                      <w:rFonts w:hint="eastAsia"/>
                    </w:rPr>
                    <w:t>施用方式</w:t>
                  </w:r>
                </w:p>
              </w:tc>
            </w:tr>
            <w:tr w14:paraId="1C8C7A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233A30">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6BB01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9EE572">
                  <w:r>
                    <w:rPr>
                      <w:rStyle w:val="11"/>
                      <w:rFonts w:hint="eastAsia"/>
                    </w:rPr>
                    <w:t>南方地区：20-25毫升/亩；北方地区：25-30毫升/亩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B3B656">
                  <w:r>
                    <w:rPr>
                      <w:rStyle w:val="11"/>
                      <w:rFonts w:hint="eastAsia"/>
                    </w:rPr>
                    <w:t>茎叶喷雾</w:t>
                  </w:r>
                </w:p>
              </w:tc>
            </w:tr>
          </w:tbl>
          <w:p w14:paraId="350DFAD4">
            <w:pPr>
              <w:rPr>
                <w:rFonts w:ascii="Times New Roman" w:hAnsi="Times New Roman" w:cs="Times New Roman"/>
                <w:sz w:val="20"/>
                <w:szCs w:val="20"/>
              </w:rPr>
            </w:pPr>
          </w:p>
        </w:tc>
      </w:tr>
      <w:tr w14:paraId="4E0AEC66">
        <w:tblPrEx>
          <w:tblCellMar>
            <w:top w:w="0" w:type="dxa"/>
            <w:left w:w="0" w:type="dxa"/>
            <w:bottom w:w="0" w:type="dxa"/>
            <w:right w:w="0" w:type="dxa"/>
          </w:tblCellMar>
        </w:tblPrEx>
        <w:trPr>
          <w:wBefore w:w="0" w:type="auto"/>
          <w:tblCellSpacing w:w="0" w:type="dxa"/>
        </w:trPr>
        <w:tc>
          <w:tcPr>
            <w:tcW w:w="0" w:type="auto"/>
            <w:noWrap w:val="0"/>
            <w:vAlign w:val="center"/>
          </w:tcPr>
          <w:p w14:paraId="5F9C6096">
            <w:r>
              <w:rPr>
                <w:rStyle w:val="10"/>
                <w:rFonts w:hint="eastAsia"/>
              </w:rPr>
              <w:t>使用技术要求:</w:t>
            </w:r>
            <w:r>
              <w:rPr>
                <w:rFonts w:hint="eastAsia"/>
              </w:rPr>
              <w:br w:type="textWrapping"/>
            </w:r>
            <w:r>
              <w:rPr>
                <w:rStyle w:val="11"/>
                <w:rFonts w:hint="eastAsia"/>
              </w:rPr>
              <w:t>1.本品应于水稻2-5叶期、杂草2-4叶期每亩兑水20-30公斤进行茎叶喷雾；2.施药前一天排干水，使杂草暴露充分接触药剂，施药后48小时内复水，保持水层深度3-5厘米，保水5-7天；3.施药应选择在晴朗无风或微风天气下进行，大风天或预计1小时内降雨，请勿施药；4.每季作物最多使用1次。</w:t>
            </w:r>
          </w:p>
        </w:tc>
      </w:tr>
      <w:tr w14:paraId="17C52A6E">
        <w:tblPrEx>
          <w:tblCellMar>
            <w:top w:w="0" w:type="dxa"/>
            <w:left w:w="0" w:type="dxa"/>
            <w:bottom w:w="0" w:type="dxa"/>
            <w:right w:w="0" w:type="dxa"/>
          </w:tblCellMar>
        </w:tblPrEx>
        <w:trPr>
          <w:wBefore w:w="0" w:type="auto"/>
          <w:tblCellSpacing w:w="0" w:type="dxa"/>
        </w:trPr>
        <w:tc>
          <w:tcPr>
            <w:tcW w:w="0" w:type="auto"/>
            <w:noWrap w:val="0"/>
            <w:vAlign w:val="center"/>
          </w:tcPr>
          <w:p w14:paraId="4EDEEACC">
            <w:r>
              <w:rPr>
                <w:rStyle w:val="10"/>
                <w:rFonts w:hint="eastAsia"/>
              </w:rPr>
              <w:t>产品性能:</w:t>
            </w:r>
            <w:r>
              <w:rPr>
                <w:rFonts w:hint="eastAsia"/>
              </w:rPr>
              <w:br w:type="textWrapping"/>
            </w:r>
            <w:r>
              <w:rPr>
                <w:rStyle w:val="11"/>
                <w:rFonts w:hint="eastAsia"/>
              </w:rPr>
              <w:t>本品是乙酰乳酸合成酶抑制剂，可被植物的茎叶吸收，抑制杂草氨基酸的合成，使幼芽和根停止生长，心叶发黄，随后整株枯死。用于直播水稻田苗后茎叶处理防除一年生单子叶杂草及部分双子叶杂草。</w:t>
            </w:r>
          </w:p>
        </w:tc>
      </w:tr>
      <w:tr w14:paraId="6FFFCE9C">
        <w:tblPrEx>
          <w:tblCellMar>
            <w:top w:w="0" w:type="dxa"/>
            <w:left w:w="0" w:type="dxa"/>
            <w:bottom w:w="0" w:type="dxa"/>
            <w:right w:w="0" w:type="dxa"/>
          </w:tblCellMar>
        </w:tblPrEx>
        <w:trPr>
          <w:wBefore w:w="0" w:type="auto"/>
          <w:tblCellSpacing w:w="0" w:type="dxa"/>
        </w:trPr>
        <w:tc>
          <w:tcPr>
            <w:tcW w:w="0" w:type="auto"/>
            <w:noWrap w:val="0"/>
            <w:vAlign w:val="center"/>
          </w:tcPr>
          <w:p w14:paraId="0136D5A7">
            <w:r>
              <w:rPr>
                <w:rStyle w:val="10"/>
                <w:rFonts w:hint="eastAsia"/>
              </w:rPr>
              <w:t>注意事项：</w:t>
            </w:r>
            <w:r>
              <w:rPr>
                <w:rFonts w:hint="eastAsia"/>
              </w:rPr>
              <w:br w:type="textWrapping"/>
            </w:r>
            <w:r>
              <w:rPr>
                <w:rStyle w:val="11"/>
                <w:rFonts w:hint="eastAsia"/>
              </w:rPr>
              <w:t>[1]配药和施药时，应穿防护服，戴口罩或防毒面具以及胶皮手套，以避免污染皮肤和眼睛，施药完毕后应及时换洗衣物，洗净手、脸和被污染的皮肤； [2]施药前、后要彻底清洗喷药器械，洗涤后的废水不应污染河流等水源，未用完的药液应密封后妥善放置； [3]本品久置后可能会存在分层现象，属于正常现象，使用前应充分摇匀； [4]开启封口应小心药液溅出，废弃包装瓶子应冲洗压扁后妥善处理，不可随意丢弃或做他用； [5]孕妇及哺乳期妇女禁止接触本品； [6]在施药、排水时注意不让本品漂移到阔叶作物上。</w:t>
            </w:r>
          </w:p>
        </w:tc>
      </w:tr>
      <w:tr w14:paraId="1C978F10">
        <w:tblPrEx>
          <w:tblCellMar>
            <w:top w:w="0" w:type="dxa"/>
            <w:left w:w="0" w:type="dxa"/>
            <w:bottom w:w="0" w:type="dxa"/>
            <w:right w:w="0" w:type="dxa"/>
          </w:tblCellMar>
        </w:tblPrEx>
        <w:trPr>
          <w:wBefore w:w="0" w:type="auto"/>
          <w:tblCellSpacing w:w="0" w:type="dxa"/>
        </w:trPr>
        <w:tc>
          <w:tcPr>
            <w:tcW w:w="0" w:type="auto"/>
            <w:noWrap w:val="0"/>
            <w:vAlign w:val="center"/>
          </w:tcPr>
          <w:p w14:paraId="04DE4B21">
            <w:r>
              <w:rPr>
                <w:rStyle w:val="10"/>
                <w:rFonts w:hint="eastAsia"/>
              </w:rPr>
              <w:t>中毒急救措施：</w:t>
            </w:r>
            <w:r>
              <w:rPr>
                <w:rFonts w:hint="eastAsia"/>
              </w:rPr>
              <w:br w:type="textWrapping"/>
            </w:r>
            <w:r>
              <w:rPr>
                <w:rStyle w:val="11"/>
                <w:rFonts w:hint="eastAsia"/>
              </w:rPr>
              <w:t>本品对眼睛、皮肤有刺激性。不慎吸入，应将病人移至空气流通处，保持呼吸道畅通；不慎接触皮肤或溅入眼睛，应用大量清水冲洗至少15分钟；误服，立即携带标签送医院就诊。无特效解毒药，对症治疗。</w:t>
            </w:r>
          </w:p>
        </w:tc>
      </w:tr>
      <w:tr w14:paraId="2943B922">
        <w:tblPrEx>
          <w:tblCellMar>
            <w:top w:w="0" w:type="dxa"/>
            <w:left w:w="0" w:type="dxa"/>
            <w:bottom w:w="0" w:type="dxa"/>
            <w:right w:w="0" w:type="dxa"/>
          </w:tblCellMar>
        </w:tblPrEx>
        <w:trPr>
          <w:wBefore w:w="0" w:type="auto"/>
          <w:tblCellSpacing w:w="0" w:type="dxa"/>
        </w:trPr>
        <w:tc>
          <w:tcPr>
            <w:tcW w:w="0" w:type="auto"/>
            <w:noWrap w:val="0"/>
            <w:vAlign w:val="center"/>
          </w:tcPr>
          <w:p w14:paraId="2D4F0B24">
            <w:r>
              <w:rPr>
                <w:rStyle w:val="10"/>
                <w:rFonts w:hint="eastAsia"/>
              </w:rPr>
              <w:t>储存和运输方法：</w:t>
            </w:r>
            <w:r>
              <w:rPr>
                <w:rFonts w:hint="eastAsia"/>
              </w:rPr>
              <w:br w:type="textWrapping"/>
            </w:r>
            <w:r>
              <w:rPr>
                <w:rStyle w:val="11"/>
                <w:rFonts w:hint="eastAsia"/>
              </w:rPr>
              <w:t>1.本品应贮存于阴凉、干燥、通风、防雨处，远离火源或热源；2.置于儿童、无关人员触及不到之处，并加锁，勿与食品、饮料、粮食、饲料等同贮同运；3.搬运及运输过程中，轻拿轻放，防止倒置，注意防雨防潮。</w:t>
            </w:r>
          </w:p>
        </w:tc>
      </w:tr>
      <w:tr w14:paraId="76F3D287">
        <w:tblPrEx>
          <w:tblCellMar>
            <w:top w:w="0" w:type="dxa"/>
            <w:left w:w="0" w:type="dxa"/>
            <w:bottom w:w="0" w:type="dxa"/>
            <w:right w:w="0" w:type="dxa"/>
          </w:tblCellMar>
        </w:tblPrEx>
        <w:trPr>
          <w:wBefore w:w="0" w:type="auto"/>
          <w:tblCellSpacing w:w="0" w:type="dxa"/>
        </w:trPr>
        <w:tc>
          <w:tcPr>
            <w:tcW w:w="0" w:type="auto"/>
            <w:noWrap w:val="0"/>
            <w:vAlign w:val="center"/>
          </w:tcPr>
          <w:p w14:paraId="2ACF050D">
            <w:r>
              <w:rPr>
                <w:rStyle w:val="10"/>
                <w:rFonts w:hint="eastAsia"/>
              </w:rPr>
              <w:t>质量保证期：</w:t>
            </w:r>
            <w:r>
              <w:rPr>
                <w:rStyle w:val="11"/>
                <w:rFonts w:hint="eastAsia"/>
              </w:rPr>
              <w:t>2年</w:t>
            </w:r>
          </w:p>
        </w:tc>
      </w:tr>
      <w:tr w14:paraId="19AEB3A4">
        <w:tblPrEx>
          <w:tblCellMar>
            <w:top w:w="0" w:type="dxa"/>
            <w:left w:w="0" w:type="dxa"/>
            <w:bottom w:w="0" w:type="dxa"/>
            <w:right w:w="0" w:type="dxa"/>
          </w:tblCellMar>
        </w:tblPrEx>
        <w:trPr>
          <w:wBefore w:w="0" w:type="auto"/>
          <w:tblCellSpacing w:w="0" w:type="dxa"/>
        </w:trPr>
        <w:tc>
          <w:tcPr>
            <w:tcW w:w="0" w:type="auto"/>
            <w:noWrap w:val="0"/>
            <w:vAlign w:val="center"/>
          </w:tcPr>
          <w:p w14:paraId="75CE2171">
            <w:r>
              <w:rPr>
                <w:rStyle w:val="10"/>
                <w:rFonts w:hint="eastAsia"/>
              </w:rPr>
              <w:t>备注：</w:t>
            </w:r>
          </w:p>
        </w:tc>
      </w:tr>
    </w:tbl>
    <w:p w14:paraId="7203148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A35DA1">
        <w:tblPrEx>
          <w:tblCellMar>
            <w:top w:w="0" w:type="dxa"/>
            <w:left w:w="0" w:type="dxa"/>
            <w:bottom w:w="0" w:type="dxa"/>
            <w:right w:w="0" w:type="dxa"/>
          </w:tblCellMar>
        </w:tblPrEx>
        <w:trPr>
          <w:wBefore w:w="0" w:type="auto"/>
          <w:tblCellSpacing w:w="0" w:type="dxa"/>
        </w:trPr>
        <w:tc>
          <w:tcPr>
            <w:tcW w:w="0" w:type="auto"/>
            <w:noWrap w:val="0"/>
            <w:vAlign w:val="center"/>
          </w:tcPr>
          <w:p w14:paraId="52335A68">
            <w:r>
              <w:rPr>
                <w:rStyle w:val="10"/>
                <w:rFonts w:hint="eastAsia"/>
              </w:rPr>
              <w:t>登记证号：</w:t>
            </w:r>
            <w:r>
              <w:rPr>
                <w:rFonts w:hint="eastAsia"/>
              </w:rPr>
              <w:t>PD20212756</w:t>
            </w:r>
          </w:p>
        </w:tc>
      </w:tr>
      <w:tr w14:paraId="5212B545">
        <w:tblPrEx>
          <w:tblCellMar>
            <w:top w:w="0" w:type="dxa"/>
            <w:left w:w="0" w:type="dxa"/>
            <w:bottom w:w="0" w:type="dxa"/>
            <w:right w:w="0" w:type="dxa"/>
          </w:tblCellMar>
        </w:tblPrEx>
        <w:trPr>
          <w:wBefore w:w="0" w:type="auto"/>
          <w:tblCellSpacing w:w="0" w:type="dxa"/>
        </w:trPr>
        <w:tc>
          <w:tcPr>
            <w:tcW w:w="0" w:type="auto"/>
            <w:noWrap w:val="0"/>
            <w:vAlign w:val="center"/>
          </w:tcPr>
          <w:p w14:paraId="3E896EE8">
            <w:r>
              <w:rPr>
                <w:rStyle w:val="10"/>
                <w:rFonts w:hint="eastAsia"/>
              </w:rPr>
              <w:t>登记证持有人：</w:t>
            </w:r>
            <w:r>
              <w:rPr>
                <w:rFonts w:hint="eastAsia"/>
              </w:rPr>
              <w:t>浙江大鹏药业股份有限公司</w:t>
            </w:r>
          </w:p>
        </w:tc>
      </w:tr>
      <w:tr w14:paraId="47B1C490">
        <w:tblPrEx>
          <w:tblCellMar>
            <w:top w:w="0" w:type="dxa"/>
            <w:left w:w="0" w:type="dxa"/>
            <w:bottom w:w="0" w:type="dxa"/>
            <w:right w:w="0" w:type="dxa"/>
          </w:tblCellMar>
        </w:tblPrEx>
        <w:trPr>
          <w:wBefore w:w="0" w:type="auto"/>
          <w:tblCellSpacing w:w="0" w:type="dxa"/>
        </w:trPr>
        <w:tc>
          <w:tcPr>
            <w:tcW w:w="0" w:type="auto"/>
            <w:noWrap w:val="0"/>
            <w:vAlign w:val="center"/>
          </w:tcPr>
          <w:p w14:paraId="7C80AFEE">
            <w:r>
              <w:rPr>
                <w:rStyle w:val="10"/>
                <w:rFonts w:hint="eastAsia"/>
              </w:rPr>
              <w:t>农药名称：</w:t>
            </w:r>
            <w:r>
              <w:rPr>
                <w:rFonts w:hint="eastAsia"/>
              </w:rPr>
              <w:t>赤霉酸·氯吡脲</w:t>
            </w:r>
          </w:p>
        </w:tc>
      </w:tr>
      <w:tr w14:paraId="6FF4349E">
        <w:tblPrEx>
          <w:tblCellMar>
            <w:top w:w="0" w:type="dxa"/>
            <w:left w:w="0" w:type="dxa"/>
            <w:bottom w:w="0" w:type="dxa"/>
            <w:right w:w="0" w:type="dxa"/>
          </w:tblCellMar>
        </w:tblPrEx>
        <w:trPr>
          <w:wBefore w:w="0" w:type="auto"/>
          <w:tblCellSpacing w:w="0" w:type="dxa"/>
        </w:trPr>
        <w:tc>
          <w:tcPr>
            <w:tcW w:w="0" w:type="auto"/>
            <w:noWrap w:val="0"/>
            <w:vAlign w:val="center"/>
          </w:tcPr>
          <w:p w14:paraId="7245768B">
            <w:r>
              <w:rPr>
                <w:rStyle w:val="10"/>
                <w:rFonts w:hint="eastAsia"/>
              </w:rPr>
              <w:t>剂型：</w:t>
            </w:r>
            <w:r>
              <w:rPr>
                <w:rFonts w:hint="eastAsia"/>
              </w:rPr>
              <w:t>可溶液剂</w:t>
            </w:r>
          </w:p>
        </w:tc>
      </w:tr>
      <w:tr w14:paraId="13D69555">
        <w:tblPrEx>
          <w:tblCellMar>
            <w:top w:w="0" w:type="dxa"/>
            <w:left w:w="0" w:type="dxa"/>
            <w:bottom w:w="0" w:type="dxa"/>
            <w:right w:w="0" w:type="dxa"/>
          </w:tblCellMar>
        </w:tblPrEx>
        <w:trPr>
          <w:wBefore w:w="0" w:type="auto"/>
          <w:tblCellSpacing w:w="0" w:type="dxa"/>
        </w:trPr>
        <w:tc>
          <w:tcPr>
            <w:tcW w:w="0" w:type="auto"/>
            <w:noWrap w:val="0"/>
            <w:vAlign w:val="center"/>
          </w:tcPr>
          <w:p w14:paraId="27B2AAA2">
            <w:r>
              <w:rPr>
                <w:rStyle w:val="10"/>
                <w:rFonts w:hint="eastAsia"/>
              </w:rPr>
              <w:t>毒性及其标识：</w:t>
            </w:r>
            <w:r>
              <w:rPr>
                <w:rFonts w:hint="eastAsia"/>
              </w:rPr>
              <w:t xml:space="preserve"> </w:t>
            </w:r>
            <w:r>
              <w:rPr>
                <w:lang/>
              </w:rPr>
              <w:drawing>
                <wp:inline distT="0" distB="0" distL="114300" distR="114300">
                  <wp:extent cx="476250" cy="323850"/>
                  <wp:effectExtent l="0" t="0" r="0" b="0"/>
                  <wp:docPr id="179" name="图片 1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24DA18">
        <w:tblPrEx>
          <w:tblCellMar>
            <w:top w:w="0" w:type="dxa"/>
            <w:left w:w="0" w:type="dxa"/>
            <w:bottom w:w="0" w:type="dxa"/>
            <w:right w:w="0" w:type="dxa"/>
          </w:tblCellMar>
        </w:tblPrEx>
        <w:trPr>
          <w:wBefore w:w="0" w:type="auto"/>
          <w:tblCellSpacing w:w="0" w:type="dxa"/>
        </w:trPr>
        <w:tc>
          <w:tcPr>
            <w:tcW w:w="0" w:type="auto"/>
            <w:noWrap w:val="0"/>
            <w:vAlign w:val="center"/>
          </w:tcPr>
          <w:p w14:paraId="39369D49">
            <w:r>
              <w:rPr>
                <w:rStyle w:val="10"/>
                <w:rFonts w:hint="eastAsia"/>
              </w:rPr>
              <w:t>总有效成分含量：</w:t>
            </w:r>
            <w:r>
              <w:rPr>
                <w:rFonts w:hint="eastAsia"/>
              </w:rPr>
              <w:t>0.5%</w:t>
            </w:r>
          </w:p>
        </w:tc>
      </w:tr>
      <w:tr w14:paraId="4C3B97CD">
        <w:tblPrEx>
          <w:tblCellMar>
            <w:top w:w="0" w:type="dxa"/>
            <w:left w:w="0" w:type="dxa"/>
            <w:bottom w:w="0" w:type="dxa"/>
            <w:right w:w="0" w:type="dxa"/>
          </w:tblCellMar>
        </w:tblPrEx>
        <w:trPr>
          <w:wBefore w:w="0" w:type="auto"/>
          <w:tblCellSpacing w:w="0" w:type="dxa"/>
        </w:trPr>
        <w:tc>
          <w:tcPr>
            <w:tcW w:w="0" w:type="auto"/>
            <w:noWrap w:val="0"/>
            <w:vAlign w:val="center"/>
          </w:tcPr>
          <w:p w14:paraId="6C0531E6">
            <w:r>
              <w:rPr>
                <w:rFonts w:hint="eastAsia"/>
              </w:rPr>
              <w:t xml:space="preserve">有效成分及其含量： </w:t>
            </w:r>
          </w:p>
          <w:p w14:paraId="6BB7896C">
            <w:r>
              <w:rPr>
                <w:rFonts w:hint="eastAsia"/>
              </w:rPr>
              <w:t xml:space="preserve">    赤霉酸0.4%    氯吡脲0.1%    </w:t>
            </w:r>
          </w:p>
        </w:tc>
      </w:tr>
      <w:tr w14:paraId="68B1BB3B">
        <w:tblPrEx>
          <w:tblCellMar>
            <w:top w:w="0" w:type="dxa"/>
            <w:left w:w="0" w:type="dxa"/>
            <w:bottom w:w="0" w:type="dxa"/>
            <w:right w:w="0" w:type="dxa"/>
          </w:tblCellMar>
        </w:tblPrEx>
        <w:trPr>
          <w:wBefore w:w="0" w:type="auto"/>
          <w:tblCellSpacing w:w="0" w:type="dxa"/>
        </w:trPr>
        <w:tc>
          <w:tcPr>
            <w:tcW w:w="0" w:type="auto"/>
            <w:noWrap w:val="0"/>
            <w:vAlign w:val="center"/>
          </w:tcPr>
          <w:p w14:paraId="62A925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056F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2234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004D6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C544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29A050E">
                  <w:r>
                    <w:rPr>
                      <w:rStyle w:val="11"/>
                      <w:rFonts w:hint="eastAsia"/>
                    </w:rPr>
                    <w:t>施用方式</w:t>
                  </w:r>
                </w:p>
              </w:tc>
            </w:tr>
            <w:tr w14:paraId="090EE3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879FB82">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69141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4979E4">
                  <w:r>
                    <w:rPr>
                      <w:rStyle w:val="11"/>
                      <w:rFonts w:hint="eastAsia"/>
                    </w:rPr>
                    <w:t>150-250倍液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7B0BDF">
                  <w:r>
                    <w:rPr>
                      <w:rStyle w:val="11"/>
                      <w:rFonts w:hint="eastAsia"/>
                    </w:rPr>
                    <w:t>浸果穗</w:t>
                  </w:r>
                </w:p>
              </w:tc>
            </w:tr>
          </w:tbl>
          <w:p w14:paraId="36356D28">
            <w:pPr>
              <w:rPr>
                <w:rFonts w:ascii="Times New Roman" w:hAnsi="Times New Roman" w:cs="Times New Roman"/>
                <w:sz w:val="20"/>
                <w:szCs w:val="20"/>
              </w:rPr>
            </w:pPr>
          </w:p>
        </w:tc>
      </w:tr>
      <w:tr w14:paraId="14C2B45F">
        <w:tblPrEx>
          <w:tblCellMar>
            <w:top w:w="0" w:type="dxa"/>
            <w:left w:w="0" w:type="dxa"/>
            <w:bottom w:w="0" w:type="dxa"/>
            <w:right w:w="0" w:type="dxa"/>
          </w:tblCellMar>
        </w:tblPrEx>
        <w:trPr>
          <w:wBefore w:w="0" w:type="auto"/>
          <w:tblCellSpacing w:w="0" w:type="dxa"/>
        </w:trPr>
        <w:tc>
          <w:tcPr>
            <w:tcW w:w="0" w:type="auto"/>
            <w:noWrap w:val="0"/>
            <w:vAlign w:val="center"/>
          </w:tcPr>
          <w:p w14:paraId="337549F5">
            <w:r>
              <w:rPr>
                <w:rStyle w:val="10"/>
                <w:rFonts w:hint="eastAsia"/>
              </w:rPr>
              <w:t>使用技术要求:</w:t>
            </w:r>
            <w:r>
              <w:rPr>
                <w:rFonts w:hint="eastAsia"/>
              </w:rPr>
              <w:br w:type="textWrapping"/>
            </w:r>
            <w:r>
              <w:rPr>
                <w:rStyle w:val="11"/>
                <w:rFonts w:hint="eastAsia"/>
              </w:rPr>
              <w:t>1、于葡萄谢花后15天左右、果粒直径10-12mm浸果穗1次。2、现配现用，稀释宜用清洁冷水，不可用热水。3、施用时气温在18℃以上为好。大风天或预计1小时内降雨，气温超过30℃请勿施药。</w:t>
            </w:r>
          </w:p>
        </w:tc>
      </w:tr>
      <w:tr w14:paraId="6185277E">
        <w:tblPrEx>
          <w:tblCellMar>
            <w:top w:w="0" w:type="dxa"/>
            <w:left w:w="0" w:type="dxa"/>
            <w:bottom w:w="0" w:type="dxa"/>
            <w:right w:w="0" w:type="dxa"/>
          </w:tblCellMar>
        </w:tblPrEx>
        <w:trPr>
          <w:wBefore w:w="0" w:type="auto"/>
          <w:tblCellSpacing w:w="0" w:type="dxa"/>
        </w:trPr>
        <w:tc>
          <w:tcPr>
            <w:tcW w:w="0" w:type="auto"/>
            <w:noWrap w:val="0"/>
            <w:vAlign w:val="center"/>
          </w:tcPr>
          <w:p w14:paraId="12E36D22">
            <w:r>
              <w:rPr>
                <w:rStyle w:val="10"/>
                <w:rFonts w:hint="eastAsia"/>
              </w:rPr>
              <w:t>产品性能:</w:t>
            </w:r>
            <w:r>
              <w:rPr>
                <w:rFonts w:hint="eastAsia"/>
              </w:rPr>
              <w:br w:type="textWrapping"/>
            </w:r>
            <w:r>
              <w:rPr>
                <w:rStyle w:val="11"/>
                <w:rFonts w:hint="eastAsia"/>
              </w:rPr>
              <w:t>本品采用细胞分裂素与赤霉酸复配而成，具有促进细胞分裂、分化、扩大、伸长的作用，能显著提高座果率，增大果实，促进果实快速生长发育成商品果，改善果型。</w:t>
            </w:r>
          </w:p>
        </w:tc>
      </w:tr>
      <w:tr w14:paraId="67D9B47F">
        <w:tblPrEx>
          <w:tblCellMar>
            <w:top w:w="0" w:type="dxa"/>
            <w:left w:w="0" w:type="dxa"/>
            <w:bottom w:w="0" w:type="dxa"/>
            <w:right w:w="0" w:type="dxa"/>
          </w:tblCellMar>
        </w:tblPrEx>
        <w:trPr>
          <w:wBefore w:w="0" w:type="auto"/>
          <w:tblCellSpacing w:w="0" w:type="dxa"/>
        </w:trPr>
        <w:tc>
          <w:tcPr>
            <w:tcW w:w="0" w:type="auto"/>
            <w:noWrap w:val="0"/>
            <w:vAlign w:val="center"/>
          </w:tcPr>
          <w:p w14:paraId="69263453">
            <w:r>
              <w:rPr>
                <w:rStyle w:val="10"/>
                <w:rFonts w:hint="eastAsia"/>
              </w:rPr>
              <w:t>注意事项：</w:t>
            </w:r>
            <w:r>
              <w:rPr>
                <w:rFonts w:hint="eastAsia"/>
              </w:rPr>
              <w:br w:type="textWrapping"/>
            </w:r>
            <w:r>
              <w:rPr>
                <w:rStyle w:val="11"/>
                <w:rFonts w:hint="eastAsia"/>
              </w:rPr>
              <w:t>1、用药要均匀，整个生长期只使用1次；2、管理不善、长势不健壮的植株严禁使用；3、本品只适用于强壮植株，需加强田间管理和病虫害预防，保持肥水平衡、植株健壮；4、勿与碱性农药或肥料混用，用药后6小时内遇雨会影响药效；5、最佳使用时间及兑水量受品种特性、气温、栽培管理水平的影响，应酌情调整或在技术老师正确指导下合理使用，如遇气候异常、植株生长异常等情况应及时进行技术咨询后再使用本品或采取应急措施；6、施药时穿长衣长裤、戴手套、护目镜等，此时不得吃东西、饮水、吸烟等，施药后洗干净手脸等；7、水产养殖区、河塘等水体附近禁用；清洗器具的废水不能排入河流、池塘等水源，废弃包装要妥善处理，不能作它用；8、孕妇及哺乳期的妇女禁止接触本品。9、本品属高度易燃液体，注意储运和使用安全。</w:t>
            </w:r>
          </w:p>
        </w:tc>
      </w:tr>
      <w:tr w14:paraId="1047DCA8">
        <w:tblPrEx>
          <w:tblCellMar>
            <w:top w:w="0" w:type="dxa"/>
            <w:left w:w="0" w:type="dxa"/>
            <w:bottom w:w="0" w:type="dxa"/>
            <w:right w:w="0" w:type="dxa"/>
          </w:tblCellMar>
        </w:tblPrEx>
        <w:trPr>
          <w:wBefore w:w="0" w:type="auto"/>
          <w:tblCellSpacing w:w="0" w:type="dxa"/>
        </w:trPr>
        <w:tc>
          <w:tcPr>
            <w:tcW w:w="0" w:type="auto"/>
            <w:noWrap w:val="0"/>
            <w:vAlign w:val="center"/>
          </w:tcPr>
          <w:p w14:paraId="0A603D09">
            <w:r>
              <w:rPr>
                <w:rStyle w:val="10"/>
                <w:rFonts w:hint="eastAsia"/>
              </w:rPr>
              <w:t>中毒急救措施：</w:t>
            </w:r>
            <w:r>
              <w:rPr>
                <w:rFonts w:hint="eastAsia"/>
              </w:rPr>
              <w:br w:type="textWrapping"/>
            </w:r>
            <w:r>
              <w:rPr>
                <w:rStyle w:val="11"/>
                <w:rFonts w:hint="eastAsia"/>
              </w:rPr>
              <w:t>1、本产品低毒，若皮肤、眼睛接触药液，立即用清水彻底冲洗至少15分钟，仍有不适时，就医。2、如误服中毒，请携此标签送医院对症治疗，无特效解毒剂。</w:t>
            </w:r>
          </w:p>
        </w:tc>
      </w:tr>
      <w:tr w14:paraId="56366567">
        <w:tblPrEx>
          <w:tblCellMar>
            <w:top w:w="0" w:type="dxa"/>
            <w:left w:w="0" w:type="dxa"/>
            <w:bottom w:w="0" w:type="dxa"/>
            <w:right w:w="0" w:type="dxa"/>
          </w:tblCellMar>
        </w:tblPrEx>
        <w:trPr>
          <w:wBefore w:w="0" w:type="auto"/>
          <w:tblCellSpacing w:w="0" w:type="dxa"/>
        </w:trPr>
        <w:tc>
          <w:tcPr>
            <w:tcW w:w="0" w:type="auto"/>
            <w:noWrap w:val="0"/>
            <w:vAlign w:val="center"/>
          </w:tcPr>
          <w:p w14:paraId="66462CE5">
            <w:r>
              <w:rPr>
                <w:rStyle w:val="10"/>
                <w:rFonts w:hint="eastAsia"/>
              </w:rPr>
              <w:t>储存和运输方法：</w:t>
            </w:r>
            <w:r>
              <w:rPr>
                <w:rFonts w:hint="eastAsia"/>
              </w:rPr>
              <w:br w:type="textWrapping"/>
            </w:r>
            <w:r>
              <w:rPr>
                <w:rStyle w:val="11"/>
                <w:rFonts w:hint="eastAsia"/>
              </w:rPr>
              <w:t>储存、运输时，严禁日晒、雨淋。本品储存于阴凉，干燥及通风良好的场所中，注意防潮，远离火源或热源。 药品应贮存在儿童触及不到的地方，并加锁。不能与食品、饮料、食具、饲料、种子等其他物品同贮同运。</w:t>
            </w:r>
          </w:p>
        </w:tc>
      </w:tr>
      <w:tr w14:paraId="7EF91445">
        <w:tblPrEx>
          <w:tblCellMar>
            <w:top w:w="0" w:type="dxa"/>
            <w:left w:w="0" w:type="dxa"/>
            <w:bottom w:w="0" w:type="dxa"/>
            <w:right w:w="0" w:type="dxa"/>
          </w:tblCellMar>
        </w:tblPrEx>
        <w:trPr>
          <w:wBefore w:w="0" w:type="auto"/>
          <w:tblCellSpacing w:w="0" w:type="dxa"/>
        </w:trPr>
        <w:tc>
          <w:tcPr>
            <w:tcW w:w="0" w:type="auto"/>
            <w:noWrap w:val="0"/>
            <w:vAlign w:val="center"/>
          </w:tcPr>
          <w:p w14:paraId="5A20057A">
            <w:r>
              <w:rPr>
                <w:rStyle w:val="10"/>
                <w:rFonts w:hint="eastAsia"/>
              </w:rPr>
              <w:t>质量保证期：</w:t>
            </w:r>
            <w:r>
              <w:rPr>
                <w:rStyle w:val="11"/>
                <w:rFonts w:hint="eastAsia"/>
              </w:rPr>
              <w:t>2年</w:t>
            </w:r>
          </w:p>
        </w:tc>
      </w:tr>
      <w:tr w14:paraId="40F1F302">
        <w:tblPrEx>
          <w:tblCellMar>
            <w:top w:w="0" w:type="dxa"/>
            <w:left w:w="0" w:type="dxa"/>
            <w:bottom w:w="0" w:type="dxa"/>
            <w:right w:w="0" w:type="dxa"/>
          </w:tblCellMar>
        </w:tblPrEx>
        <w:trPr>
          <w:wBefore w:w="0" w:type="auto"/>
          <w:tblCellSpacing w:w="0" w:type="dxa"/>
        </w:trPr>
        <w:tc>
          <w:tcPr>
            <w:tcW w:w="0" w:type="auto"/>
            <w:noWrap w:val="0"/>
            <w:vAlign w:val="center"/>
          </w:tcPr>
          <w:p w14:paraId="2ABE648F">
            <w:r>
              <w:rPr>
                <w:rStyle w:val="10"/>
                <w:rFonts w:hint="eastAsia"/>
              </w:rPr>
              <w:t>备注：</w:t>
            </w:r>
          </w:p>
        </w:tc>
      </w:tr>
    </w:tbl>
    <w:p w14:paraId="1EE3E7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54D2EC">
        <w:tblPrEx>
          <w:tblCellMar>
            <w:top w:w="0" w:type="dxa"/>
            <w:left w:w="0" w:type="dxa"/>
            <w:bottom w:w="0" w:type="dxa"/>
            <w:right w:w="0" w:type="dxa"/>
          </w:tblCellMar>
        </w:tblPrEx>
        <w:trPr>
          <w:wBefore w:w="0" w:type="auto"/>
          <w:tblCellSpacing w:w="0" w:type="dxa"/>
        </w:trPr>
        <w:tc>
          <w:tcPr>
            <w:tcW w:w="0" w:type="auto"/>
            <w:noWrap w:val="0"/>
            <w:vAlign w:val="center"/>
          </w:tcPr>
          <w:p w14:paraId="402D7DC6">
            <w:r>
              <w:rPr>
                <w:rStyle w:val="10"/>
                <w:rFonts w:hint="eastAsia"/>
              </w:rPr>
              <w:t>登记证号：</w:t>
            </w:r>
            <w:r>
              <w:rPr>
                <w:rFonts w:hint="eastAsia"/>
              </w:rPr>
              <w:t>PD20212597</w:t>
            </w:r>
          </w:p>
        </w:tc>
      </w:tr>
      <w:tr w14:paraId="4C836FA5">
        <w:tblPrEx>
          <w:tblCellMar>
            <w:top w:w="0" w:type="dxa"/>
            <w:left w:w="0" w:type="dxa"/>
            <w:bottom w:w="0" w:type="dxa"/>
            <w:right w:w="0" w:type="dxa"/>
          </w:tblCellMar>
        </w:tblPrEx>
        <w:trPr>
          <w:wBefore w:w="0" w:type="auto"/>
          <w:tblCellSpacing w:w="0" w:type="dxa"/>
        </w:trPr>
        <w:tc>
          <w:tcPr>
            <w:tcW w:w="0" w:type="auto"/>
            <w:noWrap w:val="0"/>
            <w:vAlign w:val="center"/>
          </w:tcPr>
          <w:p w14:paraId="0EA310E7">
            <w:r>
              <w:rPr>
                <w:rStyle w:val="10"/>
                <w:rFonts w:hint="eastAsia"/>
              </w:rPr>
              <w:t>登记证持有人：</w:t>
            </w:r>
            <w:r>
              <w:rPr>
                <w:rFonts w:hint="eastAsia"/>
              </w:rPr>
              <w:t>湖北泰盛化工有限公司</w:t>
            </w:r>
          </w:p>
        </w:tc>
      </w:tr>
      <w:tr w14:paraId="14A1967A">
        <w:tblPrEx>
          <w:tblCellMar>
            <w:top w:w="0" w:type="dxa"/>
            <w:left w:w="0" w:type="dxa"/>
            <w:bottom w:w="0" w:type="dxa"/>
            <w:right w:w="0" w:type="dxa"/>
          </w:tblCellMar>
        </w:tblPrEx>
        <w:trPr>
          <w:wBefore w:w="0" w:type="auto"/>
          <w:tblCellSpacing w:w="0" w:type="dxa"/>
        </w:trPr>
        <w:tc>
          <w:tcPr>
            <w:tcW w:w="0" w:type="auto"/>
            <w:noWrap w:val="0"/>
            <w:vAlign w:val="center"/>
          </w:tcPr>
          <w:p w14:paraId="3E465148">
            <w:r>
              <w:rPr>
                <w:rStyle w:val="10"/>
                <w:rFonts w:hint="eastAsia"/>
              </w:rPr>
              <w:t>农药名称：</w:t>
            </w:r>
            <w:r>
              <w:rPr>
                <w:rFonts w:hint="eastAsia"/>
              </w:rPr>
              <w:t>草铵膦</w:t>
            </w:r>
          </w:p>
        </w:tc>
      </w:tr>
      <w:tr w14:paraId="12215839">
        <w:tblPrEx>
          <w:tblCellMar>
            <w:top w:w="0" w:type="dxa"/>
            <w:left w:w="0" w:type="dxa"/>
            <w:bottom w:w="0" w:type="dxa"/>
            <w:right w:w="0" w:type="dxa"/>
          </w:tblCellMar>
        </w:tblPrEx>
        <w:trPr>
          <w:wBefore w:w="0" w:type="auto"/>
          <w:tblCellSpacing w:w="0" w:type="dxa"/>
        </w:trPr>
        <w:tc>
          <w:tcPr>
            <w:tcW w:w="0" w:type="auto"/>
            <w:noWrap w:val="0"/>
            <w:vAlign w:val="center"/>
          </w:tcPr>
          <w:p w14:paraId="3C01A885">
            <w:r>
              <w:rPr>
                <w:rStyle w:val="10"/>
                <w:rFonts w:hint="eastAsia"/>
              </w:rPr>
              <w:t>剂型：</w:t>
            </w:r>
            <w:r>
              <w:rPr>
                <w:rFonts w:hint="eastAsia"/>
              </w:rPr>
              <w:t>可溶液剂</w:t>
            </w:r>
          </w:p>
        </w:tc>
      </w:tr>
      <w:tr w14:paraId="3462138A">
        <w:tblPrEx>
          <w:tblCellMar>
            <w:top w:w="0" w:type="dxa"/>
            <w:left w:w="0" w:type="dxa"/>
            <w:bottom w:w="0" w:type="dxa"/>
            <w:right w:w="0" w:type="dxa"/>
          </w:tblCellMar>
        </w:tblPrEx>
        <w:trPr>
          <w:wBefore w:w="0" w:type="auto"/>
          <w:tblCellSpacing w:w="0" w:type="dxa"/>
        </w:trPr>
        <w:tc>
          <w:tcPr>
            <w:tcW w:w="0" w:type="auto"/>
            <w:noWrap w:val="0"/>
            <w:vAlign w:val="center"/>
          </w:tcPr>
          <w:p w14:paraId="0DC61EC1">
            <w:r>
              <w:rPr>
                <w:rStyle w:val="10"/>
                <w:rFonts w:hint="eastAsia"/>
              </w:rPr>
              <w:t>毒性及其标识：</w:t>
            </w:r>
            <w:r>
              <w:rPr>
                <w:rFonts w:hint="eastAsia"/>
              </w:rPr>
              <w:t xml:space="preserve"> </w:t>
            </w:r>
            <w:r>
              <w:rPr>
                <w:lang/>
              </w:rPr>
              <w:drawing>
                <wp:inline distT="0" distB="0" distL="114300" distR="114300">
                  <wp:extent cx="476250" cy="323850"/>
                  <wp:effectExtent l="0" t="0" r="0" b="0"/>
                  <wp:docPr id="180" name="图片 1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DFE3CF">
        <w:tblPrEx>
          <w:tblCellMar>
            <w:top w:w="0" w:type="dxa"/>
            <w:left w:w="0" w:type="dxa"/>
            <w:bottom w:w="0" w:type="dxa"/>
            <w:right w:w="0" w:type="dxa"/>
          </w:tblCellMar>
        </w:tblPrEx>
        <w:trPr>
          <w:wBefore w:w="0" w:type="auto"/>
          <w:tblCellSpacing w:w="0" w:type="dxa"/>
        </w:trPr>
        <w:tc>
          <w:tcPr>
            <w:tcW w:w="0" w:type="auto"/>
            <w:noWrap w:val="0"/>
            <w:vAlign w:val="center"/>
          </w:tcPr>
          <w:p w14:paraId="6A04A0D8">
            <w:r>
              <w:rPr>
                <w:rStyle w:val="10"/>
                <w:rFonts w:hint="eastAsia"/>
              </w:rPr>
              <w:t>总有效成分含量：</w:t>
            </w:r>
            <w:r>
              <w:rPr>
                <w:rFonts w:hint="eastAsia"/>
              </w:rPr>
              <w:t>10%</w:t>
            </w:r>
          </w:p>
        </w:tc>
      </w:tr>
      <w:tr w14:paraId="3AF097BC">
        <w:tblPrEx>
          <w:tblCellMar>
            <w:top w:w="0" w:type="dxa"/>
            <w:left w:w="0" w:type="dxa"/>
            <w:bottom w:w="0" w:type="dxa"/>
            <w:right w:w="0" w:type="dxa"/>
          </w:tblCellMar>
        </w:tblPrEx>
        <w:trPr>
          <w:wBefore w:w="0" w:type="auto"/>
          <w:tblCellSpacing w:w="0" w:type="dxa"/>
        </w:trPr>
        <w:tc>
          <w:tcPr>
            <w:tcW w:w="0" w:type="auto"/>
            <w:noWrap w:val="0"/>
            <w:vAlign w:val="center"/>
          </w:tcPr>
          <w:p w14:paraId="63B2B349">
            <w:r>
              <w:rPr>
                <w:rFonts w:hint="eastAsia"/>
              </w:rPr>
              <w:t xml:space="preserve">有效成分及其含量： </w:t>
            </w:r>
          </w:p>
          <w:p w14:paraId="1A554F73">
            <w:r>
              <w:rPr>
                <w:rFonts w:hint="eastAsia"/>
              </w:rPr>
              <w:t xml:space="preserve">    草铵膦10%    </w:t>
            </w:r>
          </w:p>
        </w:tc>
      </w:tr>
      <w:tr w14:paraId="7DE66AFB">
        <w:tblPrEx>
          <w:tblCellMar>
            <w:top w:w="0" w:type="dxa"/>
            <w:left w:w="0" w:type="dxa"/>
            <w:bottom w:w="0" w:type="dxa"/>
            <w:right w:w="0" w:type="dxa"/>
          </w:tblCellMar>
        </w:tblPrEx>
        <w:trPr>
          <w:wBefore w:w="0" w:type="auto"/>
          <w:tblCellSpacing w:w="0" w:type="dxa"/>
        </w:trPr>
        <w:tc>
          <w:tcPr>
            <w:tcW w:w="0" w:type="auto"/>
            <w:noWrap w:val="0"/>
            <w:vAlign w:val="center"/>
          </w:tcPr>
          <w:p w14:paraId="4090DD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3C50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289C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75771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5FEB9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5A8046">
                  <w:r>
                    <w:rPr>
                      <w:rStyle w:val="11"/>
                      <w:rFonts w:hint="eastAsia"/>
                    </w:rPr>
                    <w:t>施用方式</w:t>
                  </w:r>
                </w:p>
              </w:tc>
            </w:tr>
            <w:tr w14:paraId="5B408A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1A70B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210E5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721A14">
                  <w:r>
                    <w:rPr>
                      <w:rStyle w:val="11"/>
                      <w:rFonts w:hint="eastAsia"/>
                    </w:rPr>
                    <w:t>600-800毫升/亩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751722">
                  <w:r>
                    <w:rPr>
                      <w:rStyle w:val="11"/>
                      <w:rFonts w:hint="eastAsia"/>
                    </w:rPr>
                    <w:t>茎叶喷雾</w:t>
                  </w:r>
                </w:p>
              </w:tc>
            </w:tr>
          </w:tbl>
          <w:p w14:paraId="5DFA6408">
            <w:pPr>
              <w:rPr>
                <w:rFonts w:ascii="Times New Roman" w:hAnsi="Times New Roman" w:cs="Times New Roman"/>
                <w:sz w:val="20"/>
                <w:szCs w:val="20"/>
              </w:rPr>
            </w:pPr>
          </w:p>
        </w:tc>
      </w:tr>
      <w:tr w14:paraId="66C06CAF">
        <w:tblPrEx>
          <w:tblCellMar>
            <w:top w:w="0" w:type="dxa"/>
            <w:left w:w="0" w:type="dxa"/>
            <w:bottom w:w="0" w:type="dxa"/>
            <w:right w:w="0" w:type="dxa"/>
          </w:tblCellMar>
        </w:tblPrEx>
        <w:trPr>
          <w:wBefore w:w="0" w:type="auto"/>
          <w:tblCellSpacing w:w="0" w:type="dxa"/>
        </w:trPr>
        <w:tc>
          <w:tcPr>
            <w:tcW w:w="0" w:type="auto"/>
            <w:noWrap w:val="0"/>
            <w:vAlign w:val="center"/>
          </w:tcPr>
          <w:p w14:paraId="491986C6">
            <w:r>
              <w:rPr>
                <w:rStyle w:val="10"/>
                <w:rFonts w:hint="eastAsia"/>
              </w:rPr>
              <w:t>使用技术要求:</w:t>
            </w:r>
            <w:r>
              <w:rPr>
                <w:rFonts w:hint="eastAsia"/>
              </w:rPr>
              <w:br w:type="textWrapping"/>
            </w:r>
            <w:r>
              <w:rPr>
                <w:rStyle w:val="11"/>
                <w:rFonts w:hint="eastAsia"/>
              </w:rPr>
              <w:t>1、于杂草生长旺盛期进行均匀茎叶喷雾处理施药。 2、大风天或预计1小时内有雨，请勿施药。3、禁止在田间道路、田埂、果树行间、休耕地、林场林地等农林业区域使用。</w:t>
            </w:r>
          </w:p>
        </w:tc>
      </w:tr>
      <w:tr w14:paraId="22026212">
        <w:tblPrEx>
          <w:tblCellMar>
            <w:top w:w="0" w:type="dxa"/>
            <w:left w:w="0" w:type="dxa"/>
            <w:bottom w:w="0" w:type="dxa"/>
            <w:right w:w="0" w:type="dxa"/>
          </w:tblCellMar>
        </w:tblPrEx>
        <w:trPr>
          <w:wBefore w:w="0" w:type="auto"/>
          <w:tblCellSpacing w:w="0" w:type="dxa"/>
        </w:trPr>
        <w:tc>
          <w:tcPr>
            <w:tcW w:w="0" w:type="auto"/>
            <w:noWrap w:val="0"/>
            <w:vAlign w:val="center"/>
          </w:tcPr>
          <w:p w14:paraId="788B47C7">
            <w:r>
              <w:rPr>
                <w:rStyle w:val="10"/>
                <w:rFonts w:hint="eastAsia"/>
              </w:rPr>
              <w:t>产品性能:</w:t>
            </w:r>
            <w:r>
              <w:rPr>
                <w:rFonts w:hint="eastAsia"/>
              </w:rPr>
              <w:br w:type="textWrapping"/>
            </w:r>
            <w:r>
              <w:rPr>
                <w:rStyle w:val="11"/>
                <w:rFonts w:hint="eastAsia"/>
              </w:rPr>
              <w:t>本品属磷酸类除草剂，是谷氨酰胺合成抑制剂，具有部分内吸作用的非选择性触杀除草剂。施药后短时间内，植物体内铵代谢陷于紊乱，细胞毒剂铵离子在植物体内累积，与此同时，光合作用被严重抑制，达到除草目的。适用于防除非耕地杂草。</w:t>
            </w:r>
          </w:p>
        </w:tc>
      </w:tr>
      <w:tr w14:paraId="1682A896">
        <w:tblPrEx>
          <w:tblCellMar>
            <w:top w:w="0" w:type="dxa"/>
            <w:left w:w="0" w:type="dxa"/>
            <w:bottom w:w="0" w:type="dxa"/>
            <w:right w:w="0" w:type="dxa"/>
          </w:tblCellMar>
        </w:tblPrEx>
        <w:trPr>
          <w:wBefore w:w="0" w:type="auto"/>
          <w:tblCellSpacing w:w="0" w:type="dxa"/>
        </w:trPr>
        <w:tc>
          <w:tcPr>
            <w:tcW w:w="0" w:type="auto"/>
            <w:noWrap w:val="0"/>
            <w:vAlign w:val="center"/>
          </w:tcPr>
          <w:p w14:paraId="5C1968D0">
            <w:r>
              <w:rPr>
                <w:rStyle w:val="10"/>
                <w:rFonts w:hint="eastAsia"/>
              </w:rPr>
              <w:t>注意事项：</w:t>
            </w:r>
            <w:r>
              <w:rPr>
                <w:rFonts w:hint="eastAsia"/>
              </w:rPr>
              <w:br w:type="textWrapping"/>
            </w:r>
            <w:r>
              <w:rPr>
                <w:rStyle w:val="11"/>
                <w:rFonts w:hint="eastAsia"/>
              </w:rPr>
              <w:t>1、严格按规定用药量和方法使用。 2、本品遇土钝化，配制药液时，应使用清水，禁止用浑浊的河水或沟渠水配药。 3、本品为非选择性除草剂，不宜与其他除草剂混用，以免降低活性，影响药效。喷雾时应注意防止药液漂移到其他作物上，防止产生药害。 4、使用本品时穿戴长衣、长裤、帽子、口罩、手套等防护措施。 避免吸入药液。施药期间不可吃东西和饮水。施药后应及时洗手和洗脸。 5、本品对蜜蜂、鱼类等水生生物、家蚕有毒，施药期间应避免对周围蜂群的影响、开花植物花期、蚕室和桑园附近禁用，可将最外围桑树作为隔离带，不可使用最外围桑树上的叶片饲喂家蚕。赤眼蜂等天敌放飞区域禁用。远离水产养殖区施药，禁止在河塘等水体中清洗施药器具。 6、用过的容器应妥善处理，不可做他用，也不可随意丢弃。 7、孕妇及哺乳期妇女应避免接触本品。</w:t>
            </w:r>
          </w:p>
        </w:tc>
      </w:tr>
      <w:tr w14:paraId="5D5726FA">
        <w:tblPrEx>
          <w:tblCellMar>
            <w:top w:w="0" w:type="dxa"/>
            <w:left w:w="0" w:type="dxa"/>
            <w:bottom w:w="0" w:type="dxa"/>
            <w:right w:w="0" w:type="dxa"/>
          </w:tblCellMar>
        </w:tblPrEx>
        <w:trPr>
          <w:wBefore w:w="0" w:type="auto"/>
          <w:tblCellSpacing w:w="0" w:type="dxa"/>
        </w:trPr>
        <w:tc>
          <w:tcPr>
            <w:tcW w:w="0" w:type="auto"/>
            <w:noWrap w:val="0"/>
            <w:vAlign w:val="center"/>
          </w:tcPr>
          <w:p w14:paraId="069D3A61">
            <w:r>
              <w:rPr>
                <w:rStyle w:val="10"/>
                <w:rFonts w:hint="eastAsia"/>
              </w:rPr>
              <w:t>中毒急救措施：</w:t>
            </w:r>
            <w:r>
              <w:rPr>
                <w:rFonts w:hint="eastAsia"/>
              </w:rPr>
              <w:br w:type="textWrapping"/>
            </w:r>
            <w:r>
              <w:rPr>
                <w:rStyle w:val="11"/>
                <w:rFonts w:hint="eastAsia"/>
              </w:rPr>
              <w:t>急救治疗：使用中或使用后如果感觉不适，应立即停止工作，采取急救措施，并携带标签送医院就诊。 1、皮肤接触：脱掉被污染的衣物，用软布去除沾染农药，用大量清水和肥皂清洗。 2、眼睛溅入：立即将眼睑翻开，用清水冲洗15-20分钟，再请医生诊治。 3、吸入：立即离开施药现场，转移到空气清新处。 4、误服：立即停止服用，用清水充分漱口后，立即携带农药标签到医院就诊。</w:t>
            </w:r>
          </w:p>
        </w:tc>
      </w:tr>
      <w:tr w14:paraId="5F465F9E">
        <w:tblPrEx>
          <w:tblCellMar>
            <w:top w:w="0" w:type="dxa"/>
            <w:left w:w="0" w:type="dxa"/>
            <w:bottom w:w="0" w:type="dxa"/>
            <w:right w:w="0" w:type="dxa"/>
          </w:tblCellMar>
        </w:tblPrEx>
        <w:trPr>
          <w:wBefore w:w="0" w:type="auto"/>
          <w:tblCellSpacing w:w="0" w:type="dxa"/>
        </w:trPr>
        <w:tc>
          <w:tcPr>
            <w:tcW w:w="0" w:type="auto"/>
            <w:noWrap w:val="0"/>
            <w:vAlign w:val="center"/>
          </w:tcPr>
          <w:p w14:paraId="4C2E7CA4">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本品应贮存在干燥、阴凉、通风、防雨处，远离火源或热源。置于儿童触及不到之处，并加锁。勿与食品、饮料、饲料、粮食等其他商品同贮同运。</w:t>
            </w:r>
          </w:p>
        </w:tc>
      </w:tr>
      <w:tr w14:paraId="6A3102C4">
        <w:tblPrEx>
          <w:tblCellMar>
            <w:top w:w="0" w:type="dxa"/>
            <w:left w:w="0" w:type="dxa"/>
            <w:bottom w:w="0" w:type="dxa"/>
            <w:right w:w="0" w:type="dxa"/>
          </w:tblCellMar>
        </w:tblPrEx>
        <w:trPr>
          <w:wBefore w:w="0" w:type="auto"/>
          <w:tblCellSpacing w:w="0" w:type="dxa"/>
        </w:trPr>
        <w:tc>
          <w:tcPr>
            <w:tcW w:w="0" w:type="auto"/>
            <w:noWrap w:val="0"/>
            <w:vAlign w:val="center"/>
          </w:tcPr>
          <w:p w14:paraId="6E7CE45B">
            <w:r>
              <w:rPr>
                <w:rStyle w:val="10"/>
                <w:rFonts w:hint="eastAsia"/>
              </w:rPr>
              <w:t>质量保证期：</w:t>
            </w:r>
            <w:r>
              <w:rPr>
                <w:rStyle w:val="11"/>
                <w:rFonts w:hint="eastAsia"/>
              </w:rPr>
              <w:t>2年</w:t>
            </w:r>
          </w:p>
        </w:tc>
      </w:tr>
      <w:tr w14:paraId="18C10392">
        <w:tblPrEx>
          <w:tblCellMar>
            <w:top w:w="0" w:type="dxa"/>
            <w:left w:w="0" w:type="dxa"/>
            <w:bottom w:w="0" w:type="dxa"/>
            <w:right w:w="0" w:type="dxa"/>
          </w:tblCellMar>
        </w:tblPrEx>
        <w:trPr>
          <w:wBefore w:w="0" w:type="auto"/>
          <w:tblCellSpacing w:w="0" w:type="dxa"/>
        </w:trPr>
        <w:tc>
          <w:tcPr>
            <w:tcW w:w="0" w:type="auto"/>
            <w:noWrap w:val="0"/>
            <w:vAlign w:val="center"/>
          </w:tcPr>
          <w:p w14:paraId="547BD01E">
            <w:r>
              <w:rPr>
                <w:rStyle w:val="10"/>
                <w:rFonts w:hint="eastAsia"/>
              </w:rPr>
              <w:t>备注：</w:t>
            </w:r>
          </w:p>
        </w:tc>
      </w:tr>
    </w:tbl>
    <w:p w14:paraId="38B9BF5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C8570F">
        <w:tblPrEx>
          <w:tblCellMar>
            <w:top w:w="0" w:type="dxa"/>
            <w:left w:w="0" w:type="dxa"/>
            <w:bottom w:w="0" w:type="dxa"/>
            <w:right w:w="0" w:type="dxa"/>
          </w:tblCellMar>
        </w:tblPrEx>
        <w:trPr>
          <w:wBefore w:w="0" w:type="auto"/>
          <w:tblCellSpacing w:w="0" w:type="dxa"/>
        </w:trPr>
        <w:tc>
          <w:tcPr>
            <w:tcW w:w="0" w:type="auto"/>
            <w:noWrap w:val="0"/>
            <w:vAlign w:val="center"/>
          </w:tcPr>
          <w:p w14:paraId="5FE9A11F">
            <w:r>
              <w:rPr>
                <w:rStyle w:val="10"/>
                <w:rFonts w:hint="eastAsia"/>
              </w:rPr>
              <w:t>登记证号：</w:t>
            </w:r>
            <w:r>
              <w:rPr>
                <w:rFonts w:hint="eastAsia"/>
              </w:rPr>
              <w:t>PD20212523</w:t>
            </w:r>
          </w:p>
        </w:tc>
      </w:tr>
      <w:tr w14:paraId="1A30D4AE">
        <w:tblPrEx>
          <w:tblCellMar>
            <w:top w:w="0" w:type="dxa"/>
            <w:left w:w="0" w:type="dxa"/>
            <w:bottom w:w="0" w:type="dxa"/>
            <w:right w:w="0" w:type="dxa"/>
          </w:tblCellMar>
        </w:tblPrEx>
        <w:trPr>
          <w:wBefore w:w="0" w:type="auto"/>
          <w:tblCellSpacing w:w="0" w:type="dxa"/>
        </w:trPr>
        <w:tc>
          <w:tcPr>
            <w:tcW w:w="0" w:type="auto"/>
            <w:noWrap w:val="0"/>
            <w:vAlign w:val="center"/>
          </w:tcPr>
          <w:p w14:paraId="75E638D9">
            <w:r>
              <w:rPr>
                <w:rStyle w:val="10"/>
                <w:rFonts w:hint="eastAsia"/>
              </w:rPr>
              <w:t>登记证持有人：</w:t>
            </w:r>
            <w:r>
              <w:rPr>
                <w:rFonts w:hint="eastAsia"/>
              </w:rPr>
              <w:t>山东玥鸣生物科技有限公司</w:t>
            </w:r>
          </w:p>
        </w:tc>
      </w:tr>
      <w:tr w14:paraId="74464C38">
        <w:tblPrEx>
          <w:tblCellMar>
            <w:top w:w="0" w:type="dxa"/>
            <w:left w:w="0" w:type="dxa"/>
            <w:bottom w:w="0" w:type="dxa"/>
            <w:right w:w="0" w:type="dxa"/>
          </w:tblCellMar>
        </w:tblPrEx>
        <w:trPr>
          <w:wBefore w:w="0" w:type="auto"/>
          <w:tblCellSpacing w:w="0" w:type="dxa"/>
        </w:trPr>
        <w:tc>
          <w:tcPr>
            <w:tcW w:w="0" w:type="auto"/>
            <w:noWrap w:val="0"/>
            <w:vAlign w:val="center"/>
          </w:tcPr>
          <w:p w14:paraId="35D143DD">
            <w:r>
              <w:rPr>
                <w:rStyle w:val="10"/>
                <w:rFonts w:hint="eastAsia"/>
              </w:rPr>
              <w:t>农药名称：</w:t>
            </w:r>
            <w:r>
              <w:rPr>
                <w:rFonts w:hint="eastAsia"/>
              </w:rPr>
              <w:t>氟草·草甘膦</w:t>
            </w:r>
          </w:p>
        </w:tc>
      </w:tr>
      <w:tr w14:paraId="39C3C532">
        <w:tblPrEx>
          <w:tblCellMar>
            <w:top w:w="0" w:type="dxa"/>
            <w:left w:w="0" w:type="dxa"/>
            <w:bottom w:w="0" w:type="dxa"/>
            <w:right w:w="0" w:type="dxa"/>
          </w:tblCellMar>
        </w:tblPrEx>
        <w:trPr>
          <w:wBefore w:w="0" w:type="auto"/>
          <w:tblCellSpacing w:w="0" w:type="dxa"/>
        </w:trPr>
        <w:tc>
          <w:tcPr>
            <w:tcW w:w="0" w:type="auto"/>
            <w:noWrap w:val="0"/>
            <w:vAlign w:val="center"/>
          </w:tcPr>
          <w:p w14:paraId="12851FD1">
            <w:r>
              <w:rPr>
                <w:rStyle w:val="10"/>
                <w:rFonts w:hint="eastAsia"/>
              </w:rPr>
              <w:t>剂型：</w:t>
            </w:r>
            <w:r>
              <w:rPr>
                <w:rFonts w:hint="eastAsia"/>
              </w:rPr>
              <w:t>可湿性粉剂</w:t>
            </w:r>
          </w:p>
        </w:tc>
      </w:tr>
      <w:tr w14:paraId="104C7206">
        <w:tblPrEx>
          <w:tblCellMar>
            <w:top w:w="0" w:type="dxa"/>
            <w:left w:w="0" w:type="dxa"/>
            <w:bottom w:w="0" w:type="dxa"/>
            <w:right w:w="0" w:type="dxa"/>
          </w:tblCellMar>
        </w:tblPrEx>
        <w:trPr>
          <w:wBefore w:w="0" w:type="auto"/>
          <w:tblCellSpacing w:w="0" w:type="dxa"/>
        </w:trPr>
        <w:tc>
          <w:tcPr>
            <w:tcW w:w="0" w:type="auto"/>
            <w:noWrap w:val="0"/>
            <w:vAlign w:val="center"/>
          </w:tcPr>
          <w:p w14:paraId="28C96818">
            <w:r>
              <w:rPr>
                <w:rStyle w:val="10"/>
                <w:rFonts w:hint="eastAsia"/>
              </w:rPr>
              <w:t>毒性及其标识：</w:t>
            </w:r>
            <w:r>
              <w:rPr>
                <w:rFonts w:hint="eastAsia"/>
              </w:rPr>
              <w:t xml:space="preserve"> 微毒 </w:t>
            </w:r>
          </w:p>
        </w:tc>
      </w:tr>
      <w:tr w14:paraId="6B07A9D1">
        <w:tblPrEx>
          <w:tblCellMar>
            <w:top w:w="0" w:type="dxa"/>
            <w:left w:w="0" w:type="dxa"/>
            <w:bottom w:w="0" w:type="dxa"/>
            <w:right w:w="0" w:type="dxa"/>
          </w:tblCellMar>
        </w:tblPrEx>
        <w:trPr>
          <w:wBefore w:w="0" w:type="auto"/>
          <w:tblCellSpacing w:w="0" w:type="dxa"/>
        </w:trPr>
        <w:tc>
          <w:tcPr>
            <w:tcW w:w="0" w:type="auto"/>
            <w:noWrap w:val="0"/>
            <w:vAlign w:val="center"/>
          </w:tcPr>
          <w:p w14:paraId="6E8F747A">
            <w:r>
              <w:rPr>
                <w:rStyle w:val="10"/>
                <w:rFonts w:hint="eastAsia"/>
              </w:rPr>
              <w:t>总有效成分含量：</w:t>
            </w:r>
            <w:r>
              <w:rPr>
                <w:rFonts w:hint="eastAsia"/>
              </w:rPr>
              <w:t>60%</w:t>
            </w:r>
          </w:p>
        </w:tc>
      </w:tr>
      <w:tr w14:paraId="4B90EEF7">
        <w:tblPrEx>
          <w:tblCellMar>
            <w:top w:w="0" w:type="dxa"/>
            <w:left w:w="0" w:type="dxa"/>
            <w:bottom w:w="0" w:type="dxa"/>
            <w:right w:w="0" w:type="dxa"/>
          </w:tblCellMar>
        </w:tblPrEx>
        <w:trPr>
          <w:wBefore w:w="0" w:type="auto"/>
          <w:tblCellSpacing w:w="0" w:type="dxa"/>
        </w:trPr>
        <w:tc>
          <w:tcPr>
            <w:tcW w:w="0" w:type="auto"/>
            <w:noWrap w:val="0"/>
            <w:vAlign w:val="center"/>
          </w:tcPr>
          <w:p w14:paraId="32CD5CE0">
            <w:r>
              <w:rPr>
                <w:rFonts w:hint="eastAsia"/>
              </w:rPr>
              <w:t xml:space="preserve">有效成分及其含量： </w:t>
            </w:r>
          </w:p>
          <w:p w14:paraId="5F595F68">
            <w:r>
              <w:rPr>
                <w:rFonts w:hint="eastAsia"/>
              </w:rPr>
              <w:t xml:space="preserve">    丙炔氟草胺1%    草甘膦59%    </w:t>
            </w:r>
          </w:p>
        </w:tc>
      </w:tr>
      <w:tr w14:paraId="315E3F38">
        <w:tblPrEx>
          <w:tblCellMar>
            <w:top w:w="0" w:type="dxa"/>
            <w:left w:w="0" w:type="dxa"/>
            <w:bottom w:w="0" w:type="dxa"/>
            <w:right w:w="0" w:type="dxa"/>
          </w:tblCellMar>
        </w:tblPrEx>
        <w:trPr>
          <w:wBefore w:w="0" w:type="auto"/>
          <w:tblCellSpacing w:w="0" w:type="dxa"/>
        </w:trPr>
        <w:tc>
          <w:tcPr>
            <w:tcW w:w="0" w:type="auto"/>
            <w:noWrap w:val="0"/>
            <w:vAlign w:val="center"/>
          </w:tcPr>
          <w:p w14:paraId="14EF50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C0FD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4E13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5CEC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F3FEB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CC1A48">
                  <w:r>
                    <w:rPr>
                      <w:rStyle w:val="11"/>
                      <w:rFonts w:hint="eastAsia"/>
                    </w:rPr>
                    <w:t>施用方式</w:t>
                  </w:r>
                </w:p>
              </w:tc>
            </w:tr>
            <w:tr w14:paraId="3A6F68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56CAC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01CF7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5D05AB">
                  <w:r>
                    <w:rPr>
                      <w:rStyle w:val="11"/>
                      <w:rFonts w:hint="eastAsia"/>
                    </w:rPr>
                    <w:t>90-180克/亩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828E90">
                  <w:r>
                    <w:rPr>
                      <w:rStyle w:val="11"/>
                      <w:rFonts w:hint="eastAsia"/>
                    </w:rPr>
                    <w:t>茎叶喷雾</w:t>
                  </w:r>
                </w:p>
              </w:tc>
            </w:tr>
          </w:tbl>
          <w:p w14:paraId="0D190078">
            <w:pPr>
              <w:rPr>
                <w:rFonts w:ascii="Times New Roman" w:hAnsi="Times New Roman" w:cs="Times New Roman"/>
                <w:sz w:val="20"/>
                <w:szCs w:val="20"/>
              </w:rPr>
            </w:pPr>
          </w:p>
        </w:tc>
      </w:tr>
      <w:tr w14:paraId="1A4CA9EF">
        <w:tblPrEx>
          <w:tblCellMar>
            <w:top w:w="0" w:type="dxa"/>
            <w:left w:w="0" w:type="dxa"/>
            <w:bottom w:w="0" w:type="dxa"/>
            <w:right w:w="0" w:type="dxa"/>
          </w:tblCellMar>
        </w:tblPrEx>
        <w:trPr>
          <w:wBefore w:w="0" w:type="auto"/>
          <w:tblCellSpacing w:w="0" w:type="dxa"/>
        </w:trPr>
        <w:tc>
          <w:tcPr>
            <w:tcW w:w="0" w:type="auto"/>
            <w:noWrap w:val="0"/>
            <w:vAlign w:val="center"/>
          </w:tcPr>
          <w:p w14:paraId="335D14FB">
            <w:r>
              <w:rPr>
                <w:rStyle w:val="10"/>
                <w:rFonts w:hint="eastAsia"/>
              </w:rPr>
              <w:t>使用技术要求:</w:t>
            </w:r>
            <w:r>
              <w:rPr>
                <w:rFonts w:hint="eastAsia"/>
              </w:rPr>
              <w:br w:type="textWrapping"/>
            </w:r>
            <w:r>
              <w:rPr>
                <w:rStyle w:val="11"/>
                <w:rFonts w:hint="eastAsia"/>
              </w:rPr>
              <w:t>1、本品于非耕地杂草生长旺盛期茎叶均匀喷雾。 2、施药时，如遇草龄较大或持续干旱，请酌情增加喷药量。 3、大风天或预计1小时内降雨，勿施药。4、每季作物最多使用1次。5、禁止在田间道路、田埂、果树行间、休耕地、林场林地等农林业区域使用。</w:t>
            </w:r>
          </w:p>
        </w:tc>
      </w:tr>
      <w:tr w14:paraId="2F631637">
        <w:tblPrEx>
          <w:tblCellMar>
            <w:top w:w="0" w:type="dxa"/>
            <w:left w:w="0" w:type="dxa"/>
            <w:bottom w:w="0" w:type="dxa"/>
            <w:right w:w="0" w:type="dxa"/>
          </w:tblCellMar>
        </w:tblPrEx>
        <w:trPr>
          <w:wBefore w:w="0" w:type="auto"/>
          <w:tblCellSpacing w:w="0" w:type="dxa"/>
        </w:trPr>
        <w:tc>
          <w:tcPr>
            <w:tcW w:w="0" w:type="auto"/>
            <w:noWrap w:val="0"/>
            <w:vAlign w:val="center"/>
          </w:tcPr>
          <w:p w14:paraId="494A181C">
            <w:r>
              <w:rPr>
                <w:rStyle w:val="10"/>
                <w:rFonts w:hint="eastAsia"/>
              </w:rPr>
              <w:t>产品性能:</w:t>
            </w:r>
            <w:r>
              <w:rPr>
                <w:rFonts w:hint="eastAsia"/>
              </w:rPr>
              <w:br w:type="textWrapping"/>
            </w:r>
            <w:r>
              <w:rPr>
                <w:rStyle w:val="11"/>
                <w:rFonts w:hint="eastAsia"/>
              </w:rPr>
              <w:t>本品是由丙炔氟草胺和草甘膦铵盐复配而成的除草剂，对非耕地杂草有较好的防效。</w:t>
            </w:r>
          </w:p>
        </w:tc>
      </w:tr>
      <w:tr w14:paraId="033A109D">
        <w:tblPrEx>
          <w:tblCellMar>
            <w:top w:w="0" w:type="dxa"/>
            <w:left w:w="0" w:type="dxa"/>
            <w:bottom w:w="0" w:type="dxa"/>
            <w:right w:w="0" w:type="dxa"/>
          </w:tblCellMar>
        </w:tblPrEx>
        <w:trPr>
          <w:wBefore w:w="0" w:type="auto"/>
          <w:tblCellSpacing w:w="0" w:type="dxa"/>
        </w:trPr>
        <w:tc>
          <w:tcPr>
            <w:tcW w:w="0" w:type="auto"/>
            <w:noWrap w:val="0"/>
            <w:vAlign w:val="center"/>
          </w:tcPr>
          <w:p w14:paraId="17F8939D">
            <w:r>
              <w:rPr>
                <w:rStyle w:val="10"/>
                <w:rFonts w:hint="eastAsia"/>
              </w:rPr>
              <w:t>注意事项：</w:t>
            </w:r>
            <w:r>
              <w:rPr>
                <w:rFonts w:hint="eastAsia"/>
              </w:rPr>
              <w:br w:type="textWrapping"/>
            </w:r>
            <w:r>
              <w:rPr>
                <w:rStyle w:val="11"/>
                <w:rFonts w:hint="eastAsia"/>
              </w:rPr>
              <w:t>1、使用前请仔细阅读此标签,并严格按照标签说明使用。 2、喷药时应注意风向，防止飘移到邻近敏感作物上。 3、本品对蜜蜂、鱼类等水生生物、家蚕有毒，施药期间应避免对周围蜂群的影响、蜜蜂作物花期、蚕室和桑园附近禁用。远离水产养殖区施药，禁止在河塘等水体中清洗施药器具。用过的容器应妥善处理，不可做他用，也不可随意丢弃。 4、使用本品时应穿戴防护服、口罩和手套等，避免吸入药液。施药时不可吃东西和饮水。施药后，彻底清洗器械，并立即用肥皂洗手和洗脸。 5、避免孕妇及哺乳期的妇女接触本品。</w:t>
            </w:r>
          </w:p>
        </w:tc>
      </w:tr>
      <w:tr w14:paraId="4460E90C">
        <w:tblPrEx>
          <w:tblCellMar>
            <w:top w:w="0" w:type="dxa"/>
            <w:left w:w="0" w:type="dxa"/>
            <w:bottom w:w="0" w:type="dxa"/>
            <w:right w:w="0" w:type="dxa"/>
          </w:tblCellMar>
        </w:tblPrEx>
        <w:trPr>
          <w:wBefore w:w="0" w:type="auto"/>
          <w:tblCellSpacing w:w="0" w:type="dxa"/>
        </w:trPr>
        <w:tc>
          <w:tcPr>
            <w:tcW w:w="0" w:type="auto"/>
            <w:noWrap w:val="0"/>
            <w:vAlign w:val="center"/>
          </w:tcPr>
          <w:p w14:paraId="6AE6CE1C">
            <w:r>
              <w:rPr>
                <w:rStyle w:val="10"/>
                <w:rFonts w:hint="eastAsia"/>
              </w:rPr>
              <w:t>中毒急救措施：</w:t>
            </w:r>
            <w:r>
              <w:rPr>
                <w:rFonts w:hint="eastAsia"/>
              </w:rPr>
              <w:br w:type="textWrapping"/>
            </w:r>
            <w:r>
              <w:rPr>
                <w:rStyle w:val="11"/>
                <w:rFonts w:hint="eastAsia"/>
              </w:rPr>
              <w:t>本品无专用解毒剂。 不慎误服：用清水将嘴清洗干净，不要自行引吐，携此标签送医诊治。医生洗胃时，应注意保护气管和食管；不慎吸入：应将病人移至空气流通处；不慎眼睛溅入或接触皮肤：用大量清水冲洗至少15分钟。</w:t>
            </w:r>
          </w:p>
        </w:tc>
      </w:tr>
      <w:tr w14:paraId="6C5936EC">
        <w:tblPrEx>
          <w:tblCellMar>
            <w:top w:w="0" w:type="dxa"/>
            <w:left w:w="0" w:type="dxa"/>
            <w:bottom w:w="0" w:type="dxa"/>
            <w:right w:w="0" w:type="dxa"/>
          </w:tblCellMar>
        </w:tblPrEx>
        <w:trPr>
          <w:wBefore w:w="0" w:type="auto"/>
          <w:tblCellSpacing w:w="0" w:type="dxa"/>
        </w:trPr>
        <w:tc>
          <w:tcPr>
            <w:tcW w:w="0" w:type="auto"/>
            <w:noWrap w:val="0"/>
            <w:vAlign w:val="center"/>
          </w:tcPr>
          <w:p w14:paraId="49AC939E">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本品应贮存在干燥、阴凉、通风、防雨处，远离火源或热源。置于儿童及无关人员触及不到之处，并加锁。不能与食品、饮料、粮食、饲料等物品同贮同运。</w:t>
            </w:r>
          </w:p>
        </w:tc>
      </w:tr>
      <w:tr w14:paraId="43A77042">
        <w:tblPrEx>
          <w:tblCellMar>
            <w:top w:w="0" w:type="dxa"/>
            <w:left w:w="0" w:type="dxa"/>
            <w:bottom w:w="0" w:type="dxa"/>
            <w:right w:w="0" w:type="dxa"/>
          </w:tblCellMar>
        </w:tblPrEx>
        <w:trPr>
          <w:wBefore w:w="0" w:type="auto"/>
          <w:tblCellSpacing w:w="0" w:type="dxa"/>
        </w:trPr>
        <w:tc>
          <w:tcPr>
            <w:tcW w:w="0" w:type="auto"/>
            <w:noWrap w:val="0"/>
            <w:vAlign w:val="center"/>
          </w:tcPr>
          <w:p w14:paraId="10B07A37">
            <w:r>
              <w:rPr>
                <w:rStyle w:val="10"/>
                <w:rFonts w:hint="eastAsia"/>
              </w:rPr>
              <w:t>质量保证期：</w:t>
            </w:r>
            <w:r>
              <w:rPr>
                <w:rStyle w:val="11"/>
                <w:rFonts w:hint="eastAsia"/>
              </w:rPr>
              <w:t>2年</w:t>
            </w:r>
          </w:p>
        </w:tc>
      </w:tr>
      <w:tr w14:paraId="01A59FF2">
        <w:tblPrEx>
          <w:tblCellMar>
            <w:top w:w="0" w:type="dxa"/>
            <w:left w:w="0" w:type="dxa"/>
            <w:bottom w:w="0" w:type="dxa"/>
            <w:right w:w="0" w:type="dxa"/>
          </w:tblCellMar>
        </w:tblPrEx>
        <w:trPr>
          <w:wBefore w:w="0" w:type="auto"/>
          <w:tblCellSpacing w:w="0" w:type="dxa"/>
        </w:trPr>
        <w:tc>
          <w:tcPr>
            <w:tcW w:w="0" w:type="auto"/>
            <w:noWrap w:val="0"/>
            <w:vAlign w:val="center"/>
          </w:tcPr>
          <w:p w14:paraId="4E858C77">
            <w:r>
              <w:rPr>
                <w:rStyle w:val="10"/>
                <w:rFonts w:hint="eastAsia"/>
              </w:rPr>
              <w:t>备注：</w:t>
            </w:r>
            <w:r>
              <w:rPr>
                <w:rFonts w:hint="eastAsia"/>
              </w:rPr>
              <w:br w:type="textWrapping"/>
            </w:r>
            <w:r>
              <w:rPr>
                <w:rStyle w:val="11"/>
                <w:rFonts w:hint="eastAsia"/>
              </w:rPr>
              <w:t>草甘膦铵盐65%。</w:t>
            </w:r>
          </w:p>
        </w:tc>
      </w:tr>
    </w:tbl>
    <w:p w14:paraId="30014A8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3906CB">
        <w:tblPrEx>
          <w:tblCellMar>
            <w:top w:w="0" w:type="dxa"/>
            <w:left w:w="0" w:type="dxa"/>
            <w:bottom w:w="0" w:type="dxa"/>
            <w:right w:w="0" w:type="dxa"/>
          </w:tblCellMar>
        </w:tblPrEx>
        <w:trPr>
          <w:wBefore w:w="0" w:type="auto"/>
          <w:tblCellSpacing w:w="0" w:type="dxa"/>
        </w:trPr>
        <w:tc>
          <w:tcPr>
            <w:tcW w:w="0" w:type="auto"/>
            <w:noWrap w:val="0"/>
            <w:vAlign w:val="center"/>
          </w:tcPr>
          <w:p w14:paraId="173C5229">
            <w:r>
              <w:rPr>
                <w:rStyle w:val="10"/>
                <w:rFonts w:hint="eastAsia"/>
              </w:rPr>
              <w:t>登记证号：</w:t>
            </w:r>
            <w:r>
              <w:rPr>
                <w:rFonts w:hint="eastAsia"/>
              </w:rPr>
              <w:t>WP20210411</w:t>
            </w:r>
          </w:p>
        </w:tc>
      </w:tr>
      <w:tr w14:paraId="1C8A9B62">
        <w:tblPrEx>
          <w:tblCellMar>
            <w:top w:w="0" w:type="dxa"/>
            <w:left w:w="0" w:type="dxa"/>
            <w:bottom w:w="0" w:type="dxa"/>
            <w:right w:w="0" w:type="dxa"/>
          </w:tblCellMar>
        </w:tblPrEx>
        <w:trPr>
          <w:wBefore w:w="0" w:type="auto"/>
          <w:tblCellSpacing w:w="0" w:type="dxa"/>
        </w:trPr>
        <w:tc>
          <w:tcPr>
            <w:tcW w:w="0" w:type="auto"/>
            <w:noWrap w:val="0"/>
            <w:vAlign w:val="center"/>
          </w:tcPr>
          <w:p w14:paraId="5AA14F47">
            <w:r>
              <w:rPr>
                <w:rStyle w:val="10"/>
                <w:rFonts w:hint="eastAsia"/>
              </w:rPr>
              <w:t>登记证持有人：</w:t>
            </w:r>
            <w:r>
              <w:rPr>
                <w:rFonts w:hint="eastAsia"/>
              </w:rPr>
              <w:t>辽宁东峰日用品有限公司</w:t>
            </w:r>
          </w:p>
        </w:tc>
      </w:tr>
      <w:tr w14:paraId="479B2CA0">
        <w:tblPrEx>
          <w:tblCellMar>
            <w:top w:w="0" w:type="dxa"/>
            <w:left w:w="0" w:type="dxa"/>
            <w:bottom w:w="0" w:type="dxa"/>
            <w:right w:w="0" w:type="dxa"/>
          </w:tblCellMar>
        </w:tblPrEx>
        <w:trPr>
          <w:wBefore w:w="0" w:type="auto"/>
          <w:tblCellSpacing w:w="0" w:type="dxa"/>
        </w:trPr>
        <w:tc>
          <w:tcPr>
            <w:tcW w:w="0" w:type="auto"/>
            <w:noWrap w:val="0"/>
            <w:vAlign w:val="center"/>
          </w:tcPr>
          <w:p w14:paraId="5B685C58">
            <w:r>
              <w:rPr>
                <w:rStyle w:val="10"/>
                <w:rFonts w:hint="eastAsia"/>
              </w:rPr>
              <w:t>农药名称：</w:t>
            </w:r>
            <w:r>
              <w:rPr>
                <w:rFonts w:hint="eastAsia"/>
              </w:rPr>
              <w:t>杀虫饵剂</w:t>
            </w:r>
          </w:p>
        </w:tc>
      </w:tr>
      <w:tr w14:paraId="409E021A">
        <w:tblPrEx>
          <w:tblCellMar>
            <w:top w:w="0" w:type="dxa"/>
            <w:left w:w="0" w:type="dxa"/>
            <w:bottom w:w="0" w:type="dxa"/>
            <w:right w:w="0" w:type="dxa"/>
          </w:tblCellMar>
        </w:tblPrEx>
        <w:trPr>
          <w:wBefore w:w="0" w:type="auto"/>
          <w:tblCellSpacing w:w="0" w:type="dxa"/>
        </w:trPr>
        <w:tc>
          <w:tcPr>
            <w:tcW w:w="0" w:type="auto"/>
            <w:noWrap w:val="0"/>
            <w:vAlign w:val="center"/>
          </w:tcPr>
          <w:p w14:paraId="317D9128">
            <w:r>
              <w:rPr>
                <w:rStyle w:val="10"/>
                <w:rFonts w:hint="eastAsia"/>
              </w:rPr>
              <w:t>剂型：</w:t>
            </w:r>
            <w:r>
              <w:rPr>
                <w:rFonts w:hint="eastAsia"/>
              </w:rPr>
              <w:t>饵剂</w:t>
            </w:r>
          </w:p>
        </w:tc>
      </w:tr>
      <w:tr w14:paraId="7E09E5F2">
        <w:tblPrEx>
          <w:tblCellMar>
            <w:top w:w="0" w:type="dxa"/>
            <w:left w:w="0" w:type="dxa"/>
            <w:bottom w:w="0" w:type="dxa"/>
            <w:right w:w="0" w:type="dxa"/>
          </w:tblCellMar>
        </w:tblPrEx>
        <w:trPr>
          <w:wBefore w:w="0" w:type="auto"/>
          <w:tblCellSpacing w:w="0" w:type="dxa"/>
        </w:trPr>
        <w:tc>
          <w:tcPr>
            <w:tcW w:w="0" w:type="auto"/>
            <w:noWrap w:val="0"/>
            <w:vAlign w:val="center"/>
          </w:tcPr>
          <w:p w14:paraId="623C1B64">
            <w:r>
              <w:rPr>
                <w:rStyle w:val="10"/>
                <w:rFonts w:hint="eastAsia"/>
              </w:rPr>
              <w:t>毒性及其标识：</w:t>
            </w:r>
            <w:r>
              <w:rPr>
                <w:rFonts w:hint="eastAsia"/>
              </w:rPr>
              <w:t xml:space="preserve"> </w:t>
            </w:r>
            <w:r>
              <w:rPr>
                <w:lang/>
              </w:rPr>
              <w:drawing>
                <wp:inline distT="0" distB="0" distL="114300" distR="114300">
                  <wp:extent cx="476250" cy="323850"/>
                  <wp:effectExtent l="0" t="0" r="0" b="0"/>
                  <wp:docPr id="181" name="图片 1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9B5052">
        <w:tblPrEx>
          <w:tblCellMar>
            <w:top w:w="0" w:type="dxa"/>
            <w:left w:w="0" w:type="dxa"/>
            <w:bottom w:w="0" w:type="dxa"/>
            <w:right w:w="0" w:type="dxa"/>
          </w:tblCellMar>
        </w:tblPrEx>
        <w:trPr>
          <w:wBefore w:w="0" w:type="auto"/>
          <w:tblCellSpacing w:w="0" w:type="dxa"/>
        </w:trPr>
        <w:tc>
          <w:tcPr>
            <w:tcW w:w="0" w:type="auto"/>
            <w:noWrap w:val="0"/>
            <w:vAlign w:val="center"/>
          </w:tcPr>
          <w:p w14:paraId="535A60BD">
            <w:r>
              <w:rPr>
                <w:rStyle w:val="10"/>
                <w:rFonts w:hint="eastAsia"/>
              </w:rPr>
              <w:t>总有效成分含量：</w:t>
            </w:r>
            <w:r>
              <w:rPr>
                <w:rFonts w:hint="eastAsia"/>
              </w:rPr>
              <w:t>0.3%</w:t>
            </w:r>
          </w:p>
        </w:tc>
      </w:tr>
      <w:tr w14:paraId="78B2B4D6">
        <w:tblPrEx>
          <w:tblCellMar>
            <w:top w:w="0" w:type="dxa"/>
            <w:left w:w="0" w:type="dxa"/>
            <w:bottom w:w="0" w:type="dxa"/>
            <w:right w:w="0" w:type="dxa"/>
          </w:tblCellMar>
        </w:tblPrEx>
        <w:trPr>
          <w:wBefore w:w="0" w:type="auto"/>
          <w:tblCellSpacing w:w="0" w:type="dxa"/>
        </w:trPr>
        <w:tc>
          <w:tcPr>
            <w:tcW w:w="0" w:type="auto"/>
            <w:noWrap w:val="0"/>
            <w:vAlign w:val="center"/>
          </w:tcPr>
          <w:p w14:paraId="693EA148">
            <w:r>
              <w:rPr>
                <w:rFonts w:hint="eastAsia"/>
              </w:rPr>
              <w:t xml:space="preserve">有效成分及其含量： </w:t>
            </w:r>
          </w:p>
          <w:p w14:paraId="032BFE67">
            <w:r>
              <w:rPr>
                <w:rFonts w:hint="eastAsia"/>
              </w:rPr>
              <w:t xml:space="preserve">    氟虫腈0.3%    </w:t>
            </w:r>
          </w:p>
        </w:tc>
      </w:tr>
      <w:tr w14:paraId="5860E909">
        <w:tblPrEx>
          <w:tblCellMar>
            <w:top w:w="0" w:type="dxa"/>
            <w:left w:w="0" w:type="dxa"/>
            <w:bottom w:w="0" w:type="dxa"/>
            <w:right w:w="0" w:type="dxa"/>
          </w:tblCellMar>
        </w:tblPrEx>
        <w:trPr>
          <w:wBefore w:w="0" w:type="auto"/>
          <w:tblCellSpacing w:w="0" w:type="dxa"/>
        </w:trPr>
        <w:tc>
          <w:tcPr>
            <w:tcW w:w="0" w:type="auto"/>
            <w:noWrap w:val="0"/>
            <w:vAlign w:val="center"/>
          </w:tcPr>
          <w:p w14:paraId="47148C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AC0C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E6DD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F070B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CF4AC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062C22">
                  <w:r>
                    <w:rPr>
                      <w:rStyle w:val="11"/>
                      <w:rFonts w:hint="eastAsia"/>
                    </w:rPr>
                    <w:t>施用方式</w:t>
                  </w:r>
                </w:p>
              </w:tc>
            </w:tr>
            <w:tr w14:paraId="167328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36BFE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FECBAA">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183FD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6BEE2D">
                  <w:r>
                    <w:rPr>
                      <w:rStyle w:val="11"/>
                      <w:rFonts w:hint="eastAsia"/>
                    </w:rPr>
                    <w:t>投放</w:t>
                  </w:r>
                </w:p>
              </w:tc>
            </w:tr>
            <w:tr w14:paraId="17ED5C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A3242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CD9F3D">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6F6F3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43D877">
                  <w:r>
                    <w:rPr>
                      <w:rStyle w:val="11"/>
                      <w:rFonts w:hint="eastAsia"/>
                    </w:rPr>
                    <w:t>投放</w:t>
                  </w:r>
                </w:p>
              </w:tc>
            </w:tr>
          </w:tbl>
          <w:p w14:paraId="52103BE5">
            <w:pPr>
              <w:rPr>
                <w:rFonts w:ascii="Times New Roman" w:hAnsi="Times New Roman" w:cs="Times New Roman"/>
                <w:sz w:val="20"/>
                <w:szCs w:val="20"/>
              </w:rPr>
            </w:pPr>
          </w:p>
        </w:tc>
      </w:tr>
      <w:tr w14:paraId="5181A685">
        <w:tblPrEx>
          <w:tblCellMar>
            <w:top w:w="0" w:type="dxa"/>
            <w:left w:w="0" w:type="dxa"/>
            <w:bottom w:w="0" w:type="dxa"/>
            <w:right w:w="0" w:type="dxa"/>
          </w:tblCellMar>
        </w:tblPrEx>
        <w:trPr>
          <w:wBefore w:w="0" w:type="auto"/>
          <w:tblCellSpacing w:w="0" w:type="dxa"/>
        </w:trPr>
        <w:tc>
          <w:tcPr>
            <w:tcW w:w="0" w:type="auto"/>
            <w:noWrap w:val="0"/>
            <w:vAlign w:val="center"/>
          </w:tcPr>
          <w:p w14:paraId="70406FF2">
            <w:r>
              <w:rPr>
                <w:rStyle w:val="10"/>
                <w:rFonts w:hint="eastAsia"/>
              </w:rPr>
              <w:t>使用技术要求:</w:t>
            </w:r>
            <w:r>
              <w:rPr>
                <w:rFonts w:hint="eastAsia"/>
              </w:rPr>
              <w:br w:type="textWrapping"/>
            </w:r>
            <w:r>
              <w:rPr>
                <w:rStyle w:val="11"/>
                <w:rFonts w:hint="eastAsia"/>
              </w:rPr>
              <w:t>使用技术要点：1. 蟑螂（蜚蠊）防治：将药品施于蟑螂（蜚蠊））经常出没或栖息的地方（如墙和柜子的边角缝隙、孔洞、冰箱、电视机、电脑、电磁炉、热水器等电器设备的底部，暖气罩和有热源的地方），蟑螂危害严重的地方可适当增加用药量。2. 蚂蚁防治：投放至蚂蚁经常活动的地方、场所，可根据蚂蚁密度适当增加或减少用药量。</w:t>
            </w:r>
          </w:p>
        </w:tc>
      </w:tr>
      <w:tr w14:paraId="7EB6AB0D">
        <w:tblPrEx>
          <w:tblCellMar>
            <w:top w:w="0" w:type="dxa"/>
            <w:left w:w="0" w:type="dxa"/>
            <w:bottom w:w="0" w:type="dxa"/>
            <w:right w:w="0" w:type="dxa"/>
          </w:tblCellMar>
        </w:tblPrEx>
        <w:trPr>
          <w:wBefore w:w="0" w:type="auto"/>
          <w:tblCellSpacing w:w="0" w:type="dxa"/>
        </w:trPr>
        <w:tc>
          <w:tcPr>
            <w:tcW w:w="0" w:type="auto"/>
            <w:noWrap w:val="0"/>
            <w:vAlign w:val="center"/>
          </w:tcPr>
          <w:p w14:paraId="4563AC48">
            <w:r>
              <w:rPr>
                <w:rStyle w:val="10"/>
                <w:rFonts w:hint="eastAsia"/>
              </w:rPr>
              <w:t>产品性能:</w:t>
            </w:r>
            <w:r>
              <w:rPr>
                <w:rFonts w:hint="eastAsia"/>
              </w:rPr>
              <w:br w:type="textWrapping"/>
            </w:r>
            <w:r>
              <w:rPr>
                <w:rStyle w:val="11"/>
                <w:rFonts w:hint="eastAsia"/>
              </w:rPr>
              <w:t>本品是一种低毒高效卫生杀虫剂。内含引诱剂，适口性好，害虫乐于取食，主要通过胃毒的方式致害虫死亡，并同时兼有触杀作用。一只中毒，相互感染，连锁死亡。是消灭蟑螂（蜚蠊）、蚂蚁的有效药剂。适用范围：适用家庭、酒店、宾馆、写字间、微机室及各种高标准公共场所</w:t>
            </w:r>
          </w:p>
        </w:tc>
      </w:tr>
      <w:tr w14:paraId="348596DA">
        <w:tblPrEx>
          <w:tblCellMar>
            <w:top w:w="0" w:type="dxa"/>
            <w:left w:w="0" w:type="dxa"/>
            <w:bottom w:w="0" w:type="dxa"/>
            <w:right w:w="0" w:type="dxa"/>
          </w:tblCellMar>
        </w:tblPrEx>
        <w:trPr>
          <w:wBefore w:w="0" w:type="auto"/>
          <w:tblCellSpacing w:w="0" w:type="dxa"/>
        </w:trPr>
        <w:tc>
          <w:tcPr>
            <w:tcW w:w="0" w:type="auto"/>
            <w:noWrap w:val="0"/>
            <w:vAlign w:val="center"/>
          </w:tcPr>
          <w:p w14:paraId="68DC42D8">
            <w:r>
              <w:rPr>
                <w:rStyle w:val="10"/>
                <w:rFonts w:hint="eastAsia"/>
              </w:rPr>
              <w:t>注意事项：</w:t>
            </w:r>
            <w:r>
              <w:rPr>
                <w:rFonts w:hint="eastAsia"/>
              </w:rPr>
              <w:br w:type="textWrapping"/>
            </w:r>
            <w:r>
              <w:rPr>
                <w:rStyle w:val="11"/>
                <w:rFonts w:hint="eastAsia"/>
              </w:rPr>
              <w:t>1. 本品仅限室内使用。2. 施用本品时应远离儿童以防误食。该产品对眼睛有刺激性，使用时避免接触眼睛。 2.用过的容器应妥善处理，不可做他用，也不可随意丢弃。3. 使用时勿污染食品和饮用水。4. 施药后应及时洗手。5. 孕妇及哺乳期妇女禁止接触。</w:t>
            </w:r>
          </w:p>
        </w:tc>
      </w:tr>
      <w:tr w14:paraId="5213D543">
        <w:tblPrEx>
          <w:tblCellMar>
            <w:top w:w="0" w:type="dxa"/>
            <w:left w:w="0" w:type="dxa"/>
            <w:bottom w:w="0" w:type="dxa"/>
            <w:right w:w="0" w:type="dxa"/>
          </w:tblCellMar>
        </w:tblPrEx>
        <w:trPr>
          <w:wBefore w:w="0" w:type="auto"/>
          <w:tblCellSpacing w:w="0" w:type="dxa"/>
        </w:trPr>
        <w:tc>
          <w:tcPr>
            <w:tcW w:w="0" w:type="auto"/>
            <w:noWrap w:val="0"/>
            <w:vAlign w:val="center"/>
          </w:tcPr>
          <w:p w14:paraId="2ED2AECF">
            <w:r>
              <w:rPr>
                <w:rStyle w:val="10"/>
                <w:rFonts w:hint="eastAsia"/>
              </w:rPr>
              <w:t>中毒急救措施：</w:t>
            </w:r>
            <w:r>
              <w:rPr>
                <w:rFonts w:hint="eastAsia"/>
              </w:rPr>
              <w:br w:type="textWrapping"/>
            </w:r>
            <w:r>
              <w:rPr>
                <w:rStyle w:val="11"/>
                <w:rFonts w:hint="eastAsia"/>
              </w:rPr>
              <w:t>如有中毒，请立即携带本标签，送医就诊</w:t>
            </w:r>
          </w:p>
        </w:tc>
      </w:tr>
      <w:tr w14:paraId="181E51B9">
        <w:tblPrEx>
          <w:tblCellMar>
            <w:top w:w="0" w:type="dxa"/>
            <w:left w:w="0" w:type="dxa"/>
            <w:bottom w:w="0" w:type="dxa"/>
            <w:right w:w="0" w:type="dxa"/>
          </w:tblCellMar>
        </w:tblPrEx>
        <w:trPr>
          <w:wBefore w:w="0" w:type="auto"/>
          <w:tblCellSpacing w:w="0" w:type="dxa"/>
        </w:trPr>
        <w:tc>
          <w:tcPr>
            <w:tcW w:w="0" w:type="auto"/>
            <w:noWrap w:val="0"/>
            <w:vAlign w:val="center"/>
          </w:tcPr>
          <w:p w14:paraId="4F26EE8A">
            <w:r>
              <w:rPr>
                <w:rStyle w:val="10"/>
                <w:rFonts w:hint="eastAsia"/>
              </w:rPr>
              <w:t>储存和运输方法：</w:t>
            </w:r>
            <w:r>
              <w:rPr>
                <w:rFonts w:hint="eastAsia"/>
              </w:rPr>
              <w:br w:type="textWrapping"/>
            </w:r>
            <w:r>
              <w:rPr>
                <w:rStyle w:val="11"/>
                <w:rFonts w:hint="eastAsia"/>
              </w:rPr>
              <w:t>1. 本品应储存在干燥、通风的地方，远离火源及热源。2. 置于儿童、无关人员触及不到之处，并加锁。勿与食品、饮料、饲料、粮食等同贮同运。3. 运输时应防止重压、高温和雨淋。</w:t>
            </w:r>
          </w:p>
        </w:tc>
      </w:tr>
      <w:tr w14:paraId="18B76930">
        <w:tblPrEx>
          <w:tblCellMar>
            <w:top w:w="0" w:type="dxa"/>
            <w:left w:w="0" w:type="dxa"/>
            <w:bottom w:w="0" w:type="dxa"/>
            <w:right w:w="0" w:type="dxa"/>
          </w:tblCellMar>
        </w:tblPrEx>
        <w:trPr>
          <w:wBefore w:w="0" w:type="auto"/>
          <w:tblCellSpacing w:w="0" w:type="dxa"/>
        </w:trPr>
        <w:tc>
          <w:tcPr>
            <w:tcW w:w="0" w:type="auto"/>
            <w:noWrap w:val="0"/>
            <w:vAlign w:val="center"/>
          </w:tcPr>
          <w:p w14:paraId="165C18B0">
            <w:r>
              <w:rPr>
                <w:rStyle w:val="10"/>
                <w:rFonts w:hint="eastAsia"/>
              </w:rPr>
              <w:t>质量保证期：</w:t>
            </w:r>
            <w:r>
              <w:rPr>
                <w:rStyle w:val="11"/>
                <w:rFonts w:hint="eastAsia"/>
              </w:rPr>
              <w:t>2年</w:t>
            </w:r>
          </w:p>
        </w:tc>
      </w:tr>
      <w:tr w14:paraId="11D17F4E">
        <w:tblPrEx>
          <w:tblCellMar>
            <w:top w:w="0" w:type="dxa"/>
            <w:left w:w="0" w:type="dxa"/>
            <w:bottom w:w="0" w:type="dxa"/>
            <w:right w:w="0" w:type="dxa"/>
          </w:tblCellMar>
        </w:tblPrEx>
        <w:trPr>
          <w:wBefore w:w="0" w:type="auto"/>
          <w:tblCellSpacing w:w="0" w:type="dxa"/>
        </w:trPr>
        <w:tc>
          <w:tcPr>
            <w:tcW w:w="0" w:type="auto"/>
            <w:noWrap w:val="0"/>
            <w:vAlign w:val="center"/>
          </w:tcPr>
          <w:p w14:paraId="2181A19D">
            <w:r>
              <w:rPr>
                <w:rStyle w:val="10"/>
                <w:rFonts w:hint="eastAsia"/>
              </w:rPr>
              <w:t>备注：</w:t>
            </w:r>
            <w:r>
              <w:rPr>
                <w:rFonts w:hint="eastAsia"/>
              </w:rPr>
              <w:br w:type="textWrapping"/>
            </w:r>
            <w:r>
              <w:rPr>
                <w:rStyle w:val="11"/>
                <w:rFonts w:hint="eastAsia"/>
              </w:rPr>
              <w:t>标注"限制使用"字样</w:t>
            </w:r>
          </w:p>
        </w:tc>
      </w:tr>
    </w:tbl>
    <w:p w14:paraId="55445F4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49964C">
        <w:tblPrEx>
          <w:tblCellMar>
            <w:top w:w="0" w:type="dxa"/>
            <w:left w:w="0" w:type="dxa"/>
            <w:bottom w:w="0" w:type="dxa"/>
            <w:right w:w="0" w:type="dxa"/>
          </w:tblCellMar>
        </w:tblPrEx>
        <w:trPr>
          <w:wBefore w:w="0" w:type="auto"/>
          <w:tblCellSpacing w:w="0" w:type="dxa"/>
        </w:trPr>
        <w:tc>
          <w:tcPr>
            <w:tcW w:w="0" w:type="auto"/>
            <w:noWrap w:val="0"/>
            <w:vAlign w:val="center"/>
          </w:tcPr>
          <w:p w14:paraId="57ABE5D2">
            <w:r>
              <w:rPr>
                <w:rStyle w:val="10"/>
                <w:rFonts w:hint="eastAsia"/>
              </w:rPr>
              <w:t>登记证号：</w:t>
            </w:r>
            <w:r>
              <w:rPr>
                <w:rFonts w:hint="eastAsia"/>
              </w:rPr>
              <w:t>PD20212528</w:t>
            </w:r>
          </w:p>
        </w:tc>
      </w:tr>
      <w:tr w14:paraId="50FC0182">
        <w:tblPrEx>
          <w:tblCellMar>
            <w:top w:w="0" w:type="dxa"/>
            <w:left w:w="0" w:type="dxa"/>
            <w:bottom w:w="0" w:type="dxa"/>
            <w:right w:w="0" w:type="dxa"/>
          </w:tblCellMar>
        </w:tblPrEx>
        <w:trPr>
          <w:wBefore w:w="0" w:type="auto"/>
          <w:tblCellSpacing w:w="0" w:type="dxa"/>
        </w:trPr>
        <w:tc>
          <w:tcPr>
            <w:tcW w:w="0" w:type="auto"/>
            <w:noWrap w:val="0"/>
            <w:vAlign w:val="center"/>
          </w:tcPr>
          <w:p w14:paraId="5D369BE9">
            <w:r>
              <w:rPr>
                <w:rStyle w:val="10"/>
                <w:rFonts w:hint="eastAsia"/>
              </w:rPr>
              <w:t>登记证持有人：</w:t>
            </w:r>
            <w:r>
              <w:rPr>
                <w:rFonts w:hint="eastAsia"/>
              </w:rPr>
              <w:t>山东玥鸣生物科技有限公司</w:t>
            </w:r>
          </w:p>
        </w:tc>
      </w:tr>
      <w:tr w14:paraId="2DC4EC48">
        <w:tblPrEx>
          <w:tblCellMar>
            <w:top w:w="0" w:type="dxa"/>
            <w:left w:w="0" w:type="dxa"/>
            <w:bottom w:w="0" w:type="dxa"/>
            <w:right w:w="0" w:type="dxa"/>
          </w:tblCellMar>
        </w:tblPrEx>
        <w:trPr>
          <w:wBefore w:w="0" w:type="auto"/>
          <w:tblCellSpacing w:w="0" w:type="dxa"/>
        </w:trPr>
        <w:tc>
          <w:tcPr>
            <w:tcW w:w="0" w:type="auto"/>
            <w:noWrap w:val="0"/>
            <w:vAlign w:val="center"/>
          </w:tcPr>
          <w:p w14:paraId="5216141E">
            <w:r>
              <w:rPr>
                <w:rStyle w:val="10"/>
                <w:rFonts w:hint="eastAsia"/>
              </w:rPr>
              <w:t>农药名称：</w:t>
            </w:r>
            <w:r>
              <w:rPr>
                <w:rFonts w:hint="eastAsia"/>
              </w:rPr>
              <w:t>滴酸·草甘膦</w:t>
            </w:r>
          </w:p>
        </w:tc>
      </w:tr>
      <w:tr w14:paraId="64F8BA32">
        <w:tblPrEx>
          <w:tblCellMar>
            <w:top w:w="0" w:type="dxa"/>
            <w:left w:w="0" w:type="dxa"/>
            <w:bottom w:w="0" w:type="dxa"/>
            <w:right w:w="0" w:type="dxa"/>
          </w:tblCellMar>
        </w:tblPrEx>
        <w:trPr>
          <w:wBefore w:w="0" w:type="auto"/>
          <w:tblCellSpacing w:w="0" w:type="dxa"/>
        </w:trPr>
        <w:tc>
          <w:tcPr>
            <w:tcW w:w="0" w:type="auto"/>
            <w:noWrap w:val="0"/>
            <w:vAlign w:val="center"/>
          </w:tcPr>
          <w:p w14:paraId="66724712">
            <w:r>
              <w:rPr>
                <w:rStyle w:val="10"/>
                <w:rFonts w:hint="eastAsia"/>
              </w:rPr>
              <w:t>剂型：</w:t>
            </w:r>
            <w:r>
              <w:rPr>
                <w:rFonts w:hint="eastAsia"/>
              </w:rPr>
              <w:t>可溶液剂</w:t>
            </w:r>
          </w:p>
        </w:tc>
      </w:tr>
      <w:tr w14:paraId="3ECA1698">
        <w:tblPrEx>
          <w:tblCellMar>
            <w:top w:w="0" w:type="dxa"/>
            <w:left w:w="0" w:type="dxa"/>
            <w:bottom w:w="0" w:type="dxa"/>
            <w:right w:w="0" w:type="dxa"/>
          </w:tblCellMar>
        </w:tblPrEx>
        <w:trPr>
          <w:wBefore w:w="0" w:type="auto"/>
          <w:tblCellSpacing w:w="0" w:type="dxa"/>
        </w:trPr>
        <w:tc>
          <w:tcPr>
            <w:tcW w:w="0" w:type="auto"/>
            <w:noWrap w:val="0"/>
            <w:vAlign w:val="center"/>
          </w:tcPr>
          <w:p w14:paraId="4EF00498">
            <w:r>
              <w:rPr>
                <w:rStyle w:val="10"/>
                <w:rFonts w:hint="eastAsia"/>
              </w:rPr>
              <w:t>毒性及其标识：</w:t>
            </w:r>
            <w:r>
              <w:rPr>
                <w:rFonts w:hint="eastAsia"/>
              </w:rPr>
              <w:t xml:space="preserve"> 微毒 </w:t>
            </w:r>
          </w:p>
        </w:tc>
      </w:tr>
      <w:tr w14:paraId="6ADB757E">
        <w:tblPrEx>
          <w:tblCellMar>
            <w:top w:w="0" w:type="dxa"/>
            <w:left w:w="0" w:type="dxa"/>
            <w:bottom w:w="0" w:type="dxa"/>
            <w:right w:w="0" w:type="dxa"/>
          </w:tblCellMar>
        </w:tblPrEx>
        <w:trPr>
          <w:wBefore w:w="0" w:type="auto"/>
          <w:tblCellSpacing w:w="0" w:type="dxa"/>
        </w:trPr>
        <w:tc>
          <w:tcPr>
            <w:tcW w:w="0" w:type="auto"/>
            <w:noWrap w:val="0"/>
            <w:vAlign w:val="center"/>
          </w:tcPr>
          <w:p w14:paraId="75D36E4F">
            <w:r>
              <w:rPr>
                <w:rStyle w:val="10"/>
                <w:rFonts w:hint="eastAsia"/>
              </w:rPr>
              <w:t>总有效成分含量：</w:t>
            </w:r>
            <w:r>
              <w:rPr>
                <w:rFonts w:hint="eastAsia"/>
              </w:rPr>
              <w:t>32%</w:t>
            </w:r>
          </w:p>
        </w:tc>
      </w:tr>
      <w:tr w14:paraId="37019E1A">
        <w:tblPrEx>
          <w:tblCellMar>
            <w:top w:w="0" w:type="dxa"/>
            <w:left w:w="0" w:type="dxa"/>
            <w:bottom w:w="0" w:type="dxa"/>
            <w:right w:w="0" w:type="dxa"/>
          </w:tblCellMar>
        </w:tblPrEx>
        <w:trPr>
          <w:wBefore w:w="0" w:type="auto"/>
          <w:tblCellSpacing w:w="0" w:type="dxa"/>
        </w:trPr>
        <w:tc>
          <w:tcPr>
            <w:tcW w:w="0" w:type="auto"/>
            <w:noWrap w:val="0"/>
            <w:vAlign w:val="center"/>
          </w:tcPr>
          <w:p w14:paraId="7F9D8E7F">
            <w:r>
              <w:rPr>
                <w:rFonts w:hint="eastAsia"/>
              </w:rPr>
              <w:t xml:space="preserve">有效成分及其含量： </w:t>
            </w:r>
          </w:p>
          <w:p w14:paraId="3A3B072E">
            <w:r>
              <w:rPr>
                <w:rFonts w:hint="eastAsia"/>
              </w:rPr>
              <w:t xml:space="preserve">    2,4-滴2%    草甘膦30%    </w:t>
            </w:r>
          </w:p>
        </w:tc>
      </w:tr>
      <w:tr w14:paraId="1D525DE6">
        <w:tblPrEx>
          <w:tblCellMar>
            <w:top w:w="0" w:type="dxa"/>
            <w:left w:w="0" w:type="dxa"/>
            <w:bottom w:w="0" w:type="dxa"/>
            <w:right w:w="0" w:type="dxa"/>
          </w:tblCellMar>
        </w:tblPrEx>
        <w:trPr>
          <w:wBefore w:w="0" w:type="auto"/>
          <w:tblCellSpacing w:w="0" w:type="dxa"/>
        </w:trPr>
        <w:tc>
          <w:tcPr>
            <w:tcW w:w="0" w:type="auto"/>
            <w:noWrap w:val="0"/>
            <w:vAlign w:val="center"/>
          </w:tcPr>
          <w:p w14:paraId="04AF69C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9BB6A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79FE1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50E5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4E864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23E53D4">
                  <w:r>
                    <w:rPr>
                      <w:rStyle w:val="11"/>
                      <w:rFonts w:hint="eastAsia"/>
                    </w:rPr>
                    <w:t>施用方式</w:t>
                  </w:r>
                </w:p>
              </w:tc>
            </w:tr>
            <w:tr w14:paraId="67F123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3A694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D94A5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E9A67D">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5E29BC">
                  <w:r>
                    <w:rPr>
                      <w:rStyle w:val="11"/>
                      <w:rFonts w:hint="eastAsia"/>
                    </w:rPr>
                    <w:t>茎叶喷雾</w:t>
                  </w:r>
                </w:p>
              </w:tc>
            </w:tr>
          </w:tbl>
          <w:p w14:paraId="223884EA">
            <w:pPr>
              <w:rPr>
                <w:rFonts w:ascii="Times New Roman" w:hAnsi="Times New Roman" w:cs="Times New Roman"/>
                <w:sz w:val="20"/>
                <w:szCs w:val="20"/>
              </w:rPr>
            </w:pPr>
          </w:p>
        </w:tc>
      </w:tr>
      <w:tr w14:paraId="44E57BD7">
        <w:tblPrEx>
          <w:tblCellMar>
            <w:top w:w="0" w:type="dxa"/>
            <w:left w:w="0" w:type="dxa"/>
            <w:bottom w:w="0" w:type="dxa"/>
            <w:right w:w="0" w:type="dxa"/>
          </w:tblCellMar>
        </w:tblPrEx>
        <w:trPr>
          <w:wBefore w:w="0" w:type="auto"/>
          <w:tblCellSpacing w:w="0" w:type="dxa"/>
        </w:trPr>
        <w:tc>
          <w:tcPr>
            <w:tcW w:w="0" w:type="auto"/>
            <w:noWrap w:val="0"/>
            <w:vAlign w:val="center"/>
          </w:tcPr>
          <w:p w14:paraId="7B671DFC">
            <w:r>
              <w:rPr>
                <w:rStyle w:val="10"/>
                <w:rFonts w:hint="eastAsia"/>
              </w:rPr>
              <w:t>使用技术要求:</w:t>
            </w:r>
            <w:r>
              <w:rPr>
                <w:rFonts w:hint="eastAsia"/>
              </w:rPr>
              <w:br w:type="textWrapping"/>
            </w:r>
            <w:r>
              <w:rPr>
                <w:rStyle w:val="11"/>
                <w:rFonts w:hint="eastAsia"/>
              </w:rPr>
              <w:t>1.于非耕地杂草生长旺盛期兑水均匀茎叶喷雾1次。 2. 避免飘移药害；禁止在田间道路、田埂、果树行间、休耕地、林场林地等农林业区域使用。3.大风天或预计6小时内降雨，请勿施药。4. 每季最多使用1次。</w:t>
            </w:r>
          </w:p>
        </w:tc>
      </w:tr>
      <w:tr w14:paraId="32BE1CB3">
        <w:tblPrEx>
          <w:tblCellMar>
            <w:top w:w="0" w:type="dxa"/>
            <w:left w:w="0" w:type="dxa"/>
            <w:bottom w:w="0" w:type="dxa"/>
            <w:right w:w="0" w:type="dxa"/>
          </w:tblCellMar>
        </w:tblPrEx>
        <w:trPr>
          <w:wBefore w:w="0" w:type="auto"/>
          <w:tblCellSpacing w:w="0" w:type="dxa"/>
        </w:trPr>
        <w:tc>
          <w:tcPr>
            <w:tcW w:w="0" w:type="auto"/>
            <w:noWrap w:val="0"/>
            <w:vAlign w:val="center"/>
          </w:tcPr>
          <w:p w14:paraId="7A49930B">
            <w:r>
              <w:rPr>
                <w:rStyle w:val="10"/>
                <w:rFonts w:hint="eastAsia"/>
              </w:rPr>
              <w:t>产品性能:</w:t>
            </w:r>
            <w:r>
              <w:rPr>
                <w:rFonts w:hint="eastAsia"/>
              </w:rPr>
              <w:br w:type="textWrapping"/>
            </w:r>
            <w:r>
              <w:rPr>
                <w:rStyle w:val="11"/>
                <w:rFonts w:hint="eastAsia"/>
              </w:rPr>
              <w:t>2,4-滴为选择性内吸性除草剂，作用机理类似吲哚乙酸。草甘膦为内吸传导型灭生性除草剂。主要抑制植物体内的烯醇丙酮基莽草素磷酸合成酶，从而抑制莽草素向苯丙氨酸、酪氨酸及色氨酸的转化，使蛋白质合成受到干扰，导致植物死亡。两者混配可用于防除非耕地杂草。</w:t>
            </w:r>
          </w:p>
        </w:tc>
      </w:tr>
      <w:tr w14:paraId="5F5D6229">
        <w:tblPrEx>
          <w:tblCellMar>
            <w:top w:w="0" w:type="dxa"/>
            <w:left w:w="0" w:type="dxa"/>
            <w:bottom w:w="0" w:type="dxa"/>
            <w:right w:w="0" w:type="dxa"/>
          </w:tblCellMar>
        </w:tblPrEx>
        <w:trPr>
          <w:wBefore w:w="0" w:type="auto"/>
          <w:tblCellSpacing w:w="0" w:type="dxa"/>
        </w:trPr>
        <w:tc>
          <w:tcPr>
            <w:tcW w:w="0" w:type="auto"/>
            <w:noWrap w:val="0"/>
            <w:vAlign w:val="center"/>
          </w:tcPr>
          <w:p w14:paraId="0B9459CF">
            <w:r>
              <w:rPr>
                <w:rStyle w:val="10"/>
                <w:rFonts w:hint="eastAsia"/>
              </w:rPr>
              <w:t>注意事项：</w:t>
            </w:r>
            <w:r>
              <w:rPr>
                <w:rFonts w:hint="eastAsia"/>
              </w:rPr>
              <w:br w:type="textWrapping"/>
            </w:r>
            <w:r>
              <w:rPr>
                <w:rStyle w:val="11"/>
                <w:rFonts w:hint="eastAsia"/>
              </w:rPr>
              <w:t>1. 本品施药后5天内勿割草、放牧、翻地等。2. 本品不可用铁器存放，并且不能使用无镶衬的铁质喷雾器喷雾。3. 本品对眼睛有、皮肤刺激性，使用时避免接触眼睛、皮肤，穿戴长衣、长裤、帽子、口罩、手套等防护措施。使用中不可吸烟、饮水及吃东西，使用后及时用大量清水和肥皂洗手、脸等暴露部位皮肤并更换衣物。4. 本品对水生生物有毒，远离水产养殖区施药，禁止在河塘等水体中清洗施药器具，清洗器具的废水不能排入河流、池塘等水源。5. 用过的容器要妥善处理，不能随便丢弃，也不能做他用。6. 禁止儿童、孕妇和哺乳期妇女接触。过敏者禁用，使用中有任何不良反应请及时就医。</w:t>
            </w:r>
          </w:p>
        </w:tc>
      </w:tr>
      <w:tr w14:paraId="36D63940">
        <w:tblPrEx>
          <w:tblCellMar>
            <w:top w:w="0" w:type="dxa"/>
            <w:left w:w="0" w:type="dxa"/>
            <w:bottom w:w="0" w:type="dxa"/>
            <w:right w:w="0" w:type="dxa"/>
          </w:tblCellMar>
        </w:tblPrEx>
        <w:trPr>
          <w:wBefore w:w="0" w:type="auto"/>
          <w:tblCellSpacing w:w="0" w:type="dxa"/>
        </w:trPr>
        <w:tc>
          <w:tcPr>
            <w:tcW w:w="0" w:type="auto"/>
            <w:noWrap w:val="0"/>
            <w:vAlign w:val="center"/>
          </w:tcPr>
          <w:p w14:paraId="1E0A36FE">
            <w:r>
              <w:rPr>
                <w:rStyle w:val="10"/>
                <w:rFonts w:hint="eastAsia"/>
              </w:rPr>
              <w:t>中毒急救措施：</w:t>
            </w:r>
            <w:r>
              <w:rPr>
                <w:rFonts w:hint="eastAsia"/>
              </w:rPr>
              <w:br w:type="textWrapping"/>
            </w:r>
            <w:r>
              <w:rPr>
                <w:rStyle w:val="11"/>
                <w:rFonts w:hint="eastAsia"/>
              </w:rPr>
              <w:t>中毒症状：对眼睛和皮肤有刺激作用。急救措施：使用中或使用后如果感觉不适，应立即停止工作，采取急救措施，并携带标签送医院就诊。 皮肤接触：脱去污染的衣物，用软布去除污染农药，立即用大量清水和肥皂冲洗。 眼睛接触：立即用流动清水冲洗至少15分钟。 吸入：立即离开施药现场，转移到空气清新处。误服：立即停止服用，用清水充分漱口后立即携带农药标签到医院就诊。本品无特效解毒剂，对症治疗。</w:t>
            </w:r>
          </w:p>
        </w:tc>
      </w:tr>
      <w:tr w14:paraId="374CD40A">
        <w:tblPrEx>
          <w:tblCellMar>
            <w:top w:w="0" w:type="dxa"/>
            <w:left w:w="0" w:type="dxa"/>
            <w:bottom w:w="0" w:type="dxa"/>
            <w:right w:w="0" w:type="dxa"/>
          </w:tblCellMar>
        </w:tblPrEx>
        <w:trPr>
          <w:wBefore w:w="0" w:type="auto"/>
          <w:tblCellSpacing w:w="0" w:type="dxa"/>
        </w:trPr>
        <w:tc>
          <w:tcPr>
            <w:tcW w:w="0" w:type="auto"/>
            <w:noWrap w:val="0"/>
            <w:vAlign w:val="center"/>
          </w:tcPr>
          <w:p w14:paraId="0F551455">
            <w:r>
              <w:rPr>
                <w:rStyle w:val="10"/>
                <w:rFonts w:hint="eastAsia"/>
              </w:rPr>
              <w:t>储存和运输方法：</w:t>
            </w:r>
            <w:r>
              <w:rPr>
                <w:rFonts w:hint="eastAsia"/>
              </w:rPr>
              <w:br w:type="textWrapping"/>
            </w:r>
            <w:r>
              <w:rPr>
                <w:rStyle w:val="11"/>
                <w:rFonts w:hint="eastAsia"/>
              </w:rPr>
              <w:t>本品应贮存在通风、干燥的库房中。贮运时，严防潮湿和日晒， 远离火源或远离热源。置于儿童、无关人员及动物接触不到的地方，并加锁保存。不得与食物、饮料、种子、饲料等同贮同运。</w:t>
            </w:r>
          </w:p>
        </w:tc>
      </w:tr>
      <w:tr w14:paraId="3C27B4A3">
        <w:tblPrEx>
          <w:tblCellMar>
            <w:top w:w="0" w:type="dxa"/>
            <w:left w:w="0" w:type="dxa"/>
            <w:bottom w:w="0" w:type="dxa"/>
            <w:right w:w="0" w:type="dxa"/>
          </w:tblCellMar>
        </w:tblPrEx>
        <w:trPr>
          <w:wBefore w:w="0" w:type="auto"/>
          <w:tblCellSpacing w:w="0" w:type="dxa"/>
        </w:trPr>
        <w:tc>
          <w:tcPr>
            <w:tcW w:w="0" w:type="auto"/>
            <w:noWrap w:val="0"/>
            <w:vAlign w:val="center"/>
          </w:tcPr>
          <w:p w14:paraId="3BB51C28">
            <w:r>
              <w:rPr>
                <w:rStyle w:val="10"/>
                <w:rFonts w:hint="eastAsia"/>
              </w:rPr>
              <w:t>质量保证期：</w:t>
            </w:r>
            <w:r>
              <w:rPr>
                <w:rStyle w:val="11"/>
                <w:rFonts w:hint="eastAsia"/>
              </w:rPr>
              <w:t>2年</w:t>
            </w:r>
          </w:p>
        </w:tc>
      </w:tr>
      <w:tr w14:paraId="5666D42A">
        <w:tblPrEx>
          <w:tblCellMar>
            <w:top w:w="0" w:type="dxa"/>
            <w:left w:w="0" w:type="dxa"/>
            <w:bottom w:w="0" w:type="dxa"/>
            <w:right w:w="0" w:type="dxa"/>
          </w:tblCellMar>
        </w:tblPrEx>
        <w:trPr>
          <w:wBefore w:w="0" w:type="auto"/>
          <w:tblCellSpacing w:w="0" w:type="dxa"/>
        </w:trPr>
        <w:tc>
          <w:tcPr>
            <w:tcW w:w="0" w:type="auto"/>
            <w:noWrap w:val="0"/>
            <w:vAlign w:val="center"/>
          </w:tcPr>
          <w:p w14:paraId="5E8AD2F2">
            <w:r>
              <w:rPr>
                <w:rStyle w:val="10"/>
                <w:rFonts w:hint="eastAsia"/>
              </w:rPr>
              <w:t>备注：</w:t>
            </w:r>
            <w:r>
              <w:rPr>
                <w:rFonts w:hint="eastAsia"/>
              </w:rPr>
              <w:br w:type="textWrapping"/>
            </w:r>
            <w:r>
              <w:rPr>
                <w:rStyle w:val="11"/>
                <w:rFonts w:hint="eastAsia"/>
              </w:rPr>
              <w:t>2.4-滴钠盐2.2%；草甘膦铵盐33%。</w:t>
            </w:r>
          </w:p>
        </w:tc>
      </w:tr>
    </w:tbl>
    <w:p w14:paraId="593D2E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D04C42">
        <w:tblPrEx>
          <w:tblCellMar>
            <w:top w:w="0" w:type="dxa"/>
            <w:left w:w="0" w:type="dxa"/>
            <w:bottom w:w="0" w:type="dxa"/>
            <w:right w:w="0" w:type="dxa"/>
          </w:tblCellMar>
        </w:tblPrEx>
        <w:trPr>
          <w:wBefore w:w="0" w:type="auto"/>
          <w:tblCellSpacing w:w="0" w:type="dxa"/>
        </w:trPr>
        <w:tc>
          <w:tcPr>
            <w:tcW w:w="0" w:type="auto"/>
            <w:noWrap w:val="0"/>
            <w:vAlign w:val="center"/>
          </w:tcPr>
          <w:p w14:paraId="74A660A5">
            <w:r>
              <w:rPr>
                <w:rStyle w:val="10"/>
                <w:rFonts w:hint="eastAsia"/>
              </w:rPr>
              <w:t>登记证号：</w:t>
            </w:r>
            <w:r>
              <w:rPr>
                <w:rFonts w:hint="eastAsia"/>
              </w:rPr>
              <w:t>WP20210391</w:t>
            </w:r>
          </w:p>
        </w:tc>
      </w:tr>
      <w:tr w14:paraId="5D8A60D7">
        <w:tblPrEx>
          <w:tblCellMar>
            <w:top w:w="0" w:type="dxa"/>
            <w:left w:w="0" w:type="dxa"/>
            <w:bottom w:w="0" w:type="dxa"/>
            <w:right w:w="0" w:type="dxa"/>
          </w:tblCellMar>
        </w:tblPrEx>
        <w:trPr>
          <w:wBefore w:w="0" w:type="auto"/>
          <w:tblCellSpacing w:w="0" w:type="dxa"/>
        </w:trPr>
        <w:tc>
          <w:tcPr>
            <w:tcW w:w="0" w:type="auto"/>
            <w:noWrap w:val="0"/>
            <w:vAlign w:val="center"/>
          </w:tcPr>
          <w:p w14:paraId="64C2AC01">
            <w:r>
              <w:rPr>
                <w:rStyle w:val="10"/>
                <w:rFonts w:hint="eastAsia"/>
              </w:rPr>
              <w:t>登记证持有人：</w:t>
            </w:r>
            <w:r>
              <w:rPr>
                <w:rFonts w:hint="eastAsia"/>
              </w:rPr>
              <w:t>山东惠民中联生物科技有限公司</w:t>
            </w:r>
          </w:p>
        </w:tc>
      </w:tr>
      <w:tr w14:paraId="0D116E10">
        <w:tblPrEx>
          <w:tblCellMar>
            <w:top w:w="0" w:type="dxa"/>
            <w:left w:w="0" w:type="dxa"/>
            <w:bottom w:w="0" w:type="dxa"/>
            <w:right w:w="0" w:type="dxa"/>
          </w:tblCellMar>
        </w:tblPrEx>
        <w:trPr>
          <w:wBefore w:w="0" w:type="auto"/>
          <w:tblCellSpacing w:w="0" w:type="dxa"/>
        </w:trPr>
        <w:tc>
          <w:tcPr>
            <w:tcW w:w="0" w:type="auto"/>
            <w:noWrap w:val="0"/>
            <w:vAlign w:val="center"/>
          </w:tcPr>
          <w:p w14:paraId="011C2E3D">
            <w:r>
              <w:rPr>
                <w:rStyle w:val="10"/>
                <w:rFonts w:hint="eastAsia"/>
              </w:rPr>
              <w:t>农药名称：</w:t>
            </w:r>
            <w:r>
              <w:rPr>
                <w:rFonts w:hint="eastAsia"/>
              </w:rPr>
              <w:t>氟氯·吡虫啉</w:t>
            </w:r>
          </w:p>
        </w:tc>
      </w:tr>
      <w:tr w14:paraId="167E8409">
        <w:tblPrEx>
          <w:tblCellMar>
            <w:top w:w="0" w:type="dxa"/>
            <w:left w:w="0" w:type="dxa"/>
            <w:bottom w:w="0" w:type="dxa"/>
            <w:right w:w="0" w:type="dxa"/>
          </w:tblCellMar>
        </w:tblPrEx>
        <w:trPr>
          <w:wBefore w:w="0" w:type="auto"/>
          <w:tblCellSpacing w:w="0" w:type="dxa"/>
        </w:trPr>
        <w:tc>
          <w:tcPr>
            <w:tcW w:w="0" w:type="auto"/>
            <w:noWrap w:val="0"/>
            <w:vAlign w:val="center"/>
          </w:tcPr>
          <w:p w14:paraId="31D4DEEE">
            <w:r>
              <w:rPr>
                <w:rStyle w:val="10"/>
                <w:rFonts w:hint="eastAsia"/>
              </w:rPr>
              <w:t>剂型：</w:t>
            </w:r>
            <w:r>
              <w:rPr>
                <w:rFonts w:hint="eastAsia"/>
              </w:rPr>
              <w:t>悬浮剂</w:t>
            </w:r>
          </w:p>
        </w:tc>
      </w:tr>
      <w:tr w14:paraId="6B0659A3">
        <w:tblPrEx>
          <w:tblCellMar>
            <w:top w:w="0" w:type="dxa"/>
            <w:left w:w="0" w:type="dxa"/>
            <w:bottom w:w="0" w:type="dxa"/>
            <w:right w:w="0" w:type="dxa"/>
          </w:tblCellMar>
        </w:tblPrEx>
        <w:trPr>
          <w:wBefore w:w="0" w:type="auto"/>
          <w:tblCellSpacing w:w="0" w:type="dxa"/>
        </w:trPr>
        <w:tc>
          <w:tcPr>
            <w:tcW w:w="0" w:type="auto"/>
            <w:noWrap w:val="0"/>
            <w:vAlign w:val="center"/>
          </w:tcPr>
          <w:p w14:paraId="682CA086">
            <w:r>
              <w:rPr>
                <w:rStyle w:val="10"/>
                <w:rFonts w:hint="eastAsia"/>
              </w:rPr>
              <w:t>毒性及其标识：</w:t>
            </w:r>
            <w:r>
              <w:rPr>
                <w:rFonts w:hint="eastAsia"/>
              </w:rPr>
              <w:t xml:space="preserve"> </w:t>
            </w:r>
            <w:r>
              <w:rPr>
                <w:lang/>
              </w:rPr>
              <w:drawing>
                <wp:inline distT="0" distB="0" distL="114300" distR="114300">
                  <wp:extent cx="476250" cy="323850"/>
                  <wp:effectExtent l="0" t="0" r="0" b="0"/>
                  <wp:docPr id="182" name="图片 1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D097C5">
        <w:tblPrEx>
          <w:tblCellMar>
            <w:top w:w="0" w:type="dxa"/>
            <w:left w:w="0" w:type="dxa"/>
            <w:bottom w:w="0" w:type="dxa"/>
            <w:right w:w="0" w:type="dxa"/>
          </w:tblCellMar>
        </w:tblPrEx>
        <w:trPr>
          <w:wBefore w:w="0" w:type="auto"/>
          <w:tblCellSpacing w:w="0" w:type="dxa"/>
        </w:trPr>
        <w:tc>
          <w:tcPr>
            <w:tcW w:w="0" w:type="auto"/>
            <w:noWrap w:val="0"/>
            <w:vAlign w:val="center"/>
          </w:tcPr>
          <w:p w14:paraId="6248EA55">
            <w:r>
              <w:rPr>
                <w:rStyle w:val="10"/>
                <w:rFonts w:hint="eastAsia"/>
              </w:rPr>
              <w:t>总有效成分含量：</w:t>
            </w:r>
            <w:r>
              <w:rPr>
                <w:rFonts w:hint="eastAsia"/>
              </w:rPr>
              <w:t>31%</w:t>
            </w:r>
          </w:p>
        </w:tc>
      </w:tr>
      <w:tr w14:paraId="7613D54F">
        <w:tblPrEx>
          <w:tblCellMar>
            <w:top w:w="0" w:type="dxa"/>
            <w:left w:w="0" w:type="dxa"/>
            <w:bottom w:w="0" w:type="dxa"/>
            <w:right w:w="0" w:type="dxa"/>
          </w:tblCellMar>
        </w:tblPrEx>
        <w:trPr>
          <w:wBefore w:w="0" w:type="auto"/>
          <w:tblCellSpacing w:w="0" w:type="dxa"/>
        </w:trPr>
        <w:tc>
          <w:tcPr>
            <w:tcW w:w="0" w:type="auto"/>
            <w:noWrap w:val="0"/>
            <w:vAlign w:val="center"/>
          </w:tcPr>
          <w:p w14:paraId="68E9420C">
            <w:r>
              <w:rPr>
                <w:rFonts w:hint="eastAsia"/>
              </w:rPr>
              <w:t xml:space="preserve">有效成分及其含量： </w:t>
            </w:r>
          </w:p>
          <w:p w14:paraId="0B7FBB60">
            <w:r>
              <w:rPr>
                <w:rFonts w:hint="eastAsia"/>
              </w:rPr>
              <w:t xml:space="preserve">    高效氟氯氰菊酯10%    吡虫啉21%    </w:t>
            </w:r>
          </w:p>
        </w:tc>
      </w:tr>
      <w:tr w14:paraId="3E5977EE">
        <w:tblPrEx>
          <w:tblCellMar>
            <w:top w:w="0" w:type="dxa"/>
            <w:left w:w="0" w:type="dxa"/>
            <w:bottom w:w="0" w:type="dxa"/>
            <w:right w:w="0" w:type="dxa"/>
          </w:tblCellMar>
        </w:tblPrEx>
        <w:trPr>
          <w:wBefore w:w="0" w:type="auto"/>
          <w:tblCellSpacing w:w="0" w:type="dxa"/>
        </w:trPr>
        <w:tc>
          <w:tcPr>
            <w:tcW w:w="0" w:type="auto"/>
            <w:noWrap w:val="0"/>
            <w:vAlign w:val="center"/>
          </w:tcPr>
          <w:p w14:paraId="0CAA4ED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7242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A1F6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A265D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5AF9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395977">
                  <w:r>
                    <w:rPr>
                      <w:rStyle w:val="11"/>
                      <w:rFonts w:hint="eastAsia"/>
                    </w:rPr>
                    <w:t>施用方式</w:t>
                  </w:r>
                </w:p>
              </w:tc>
            </w:tr>
            <w:tr w14:paraId="7CB79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492FE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0E7270">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D6B9DF">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3F394B">
                  <w:r>
                    <w:rPr>
                      <w:rStyle w:val="11"/>
                      <w:rFonts w:hint="eastAsia"/>
                    </w:rPr>
                    <w:t>滞留喷洒</w:t>
                  </w:r>
                </w:p>
              </w:tc>
            </w:tr>
          </w:tbl>
          <w:p w14:paraId="47FBB889">
            <w:pPr>
              <w:rPr>
                <w:rFonts w:ascii="Times New Roman" w:hAnsi="Times New Roman" w:cs="Times New Roman"/>
                <w:sz w:val="20"/>
                <w:szCs w:val="20"/>
              </w:rPr>
            </w:pPr>
          </w:p>
        </w:tc>
      </w:tr>
      <w:tr w14:paraId="189B59A7">
        <w:tblPrEx>
          <w:tblCellMar>
            <w:top w:w="0" w:type="dxa"/>
            <w:left w:w="0" w:type="dxa"/>
            <w:bottom w:w="0" w:type="dxa"/>
            <w:right w:w="0" w:type="dxa"/>
          </w:tblCellMar>
        </w:tblPrEx>
        <w:trPr>
          <w:wBefore w:w="0" w:type="auto"/>
          <w:tblCellSpacing w:w="0" w:type="dxa"/>
        </w:trPr>
        <w:tc>
          <w:tcPr>
            <w:tcW w:w="0" w:type="auto"/>
            <w:noWrap w:val="0"/>
            <w:vAlign w:val="center"/>
          </w:tcPr>
          <w:p w14:paraId="587B8DBC">
            <w:r>
              <w:rPr>
                <w:rStyle w:val="10"/>
                <w:rFonts w:hint="eastAsia"/>
              </w:rPr>
              <w:t>使用技术要求:</w:t>
            </w:r>
            <w:r>
              <w:rPr>
                <w:rFonts w:hint="eastAsia"/>
              </w:rPr>
              <w:br w:type="textWrapping"/>
            </w:r>
            <w:r>
              <w:rPr>
                <w:rStyle w:val="11"/>
                <w:rFonts w:hint="eastAsia"/>
              </w:rPr>
              <w:t>1.用药前，摇匀瓶中药液。 2.先在喷雾器内倒入所需清水量的一半，把量好的药液倒入喷雾器中，再往喷雾器内加入另一半所需清水。（按1：100比例进行稀释）盖好喷雾器盖，充分混匀喷雾器内的药液。 3.本品用于防治蚊、蝇、蜚蠊，将喷雾器加压至工作压力，按推荐剂量，进行空间喷雾。4、仅限专业人员使用。</w:t>
            </w:r>
          </w:p>
        </w:tc>
      </w:tr>
      <w:tr w14:paraId="59203940">
        <w:tblPrEx>
          <w:tblCellMar>
            <w:top w:w="0" w:type="dxa"/>
            <w:left w:w="0" w:type="dxa"/>
            <w:bottom w:w="0" w:type="dxa"/>
            <w:right w:w="0" w:type="dxa"/>
          </w:tblCellMar>
        </w:tblPrEx>
        <w:trPr>
          <w:wBefore w:w="0" w:type="auto"/>
          <w:tblCellSpacing w:w="0" w:type="dxa"/>
        </w:trPr>
        <w:tc>
          <w:tcPr>
            <w:tcW w:w="0" w:type="auto"/>
            <w:noWrap w:val="0"/>
            <w:vAlign w:val="center"/>
          </w:tcPr>
          <w:p w14:paraId="0D1EFC6E">
            <w:r>
              <w:rPr>
                <w:rStyle w:val="10"/>
                <w:rFonts w:hint="eastAsia"/>
              </w:rPr>
              <w:t>产品性能:</w:t>
            </w:r>
            <w:r>
              <w:rPr>
                <w:rFonts w:hint="eastAsia"/>
              </w:rPr>
              <w:br w:type="textWrapping"/>
            </w:r>
            <w:r>
              <w:rPr>
                <w:rStyle w:val="11"/>
                <w:rFonts w:hint="eastAsia"/>
              </w:rPr>
              <w:t>该产品是硝基亚甲基类内吸杀虫剂与含氟的拟除虫菊酯类杀虫剂的复配制剂，可以快速杀死蚊、蝇、蜚蠊，在环境中能迅速分解。可用于家庭、学校、医院、会所、宾馆、超市、餐厅、办公场所、食品工厂、养殖场等室内环境防治蚊、蝇、蜚蠊有较好的防治效果。</w:t>
            </w:r>
          </w:p>
        </w:tc>
      </w:tr>
      <w:tr w14:paraId="7AE9C461">
        <w:tblPrEx>
          <w:tblCellMar>
            <w:top w:w="0" w:type="dxa"/>
            <w:left w:w="0" w:type="dxa"/>
            <w:bottom w:w="0" w:type="dxa"/>
            <w:right w:w="0" w:type="dxa"/>
          </w:tblCellMar>
        </w:tblPrEx>
        <w:trPr>
          <w:wBefore w:w="0" w:type="auto"/>
          <w:tblCellSpacing w:w="0" w:type="dxa"/>
        </w:trPr>
        <w:tc>
          <w:tcPr>
            <w:tcW w:w="0" w:type="auto"/>
            <w:noWrap w:val="0"/>
            <w:vAlign w:val="center"/>
          </w:tcPr>
          <w:p w14:paraId="47CD7322">
            <w:r>
              <w:rPr>
                <w:rStyle w:val="10"/>
                <w:rFonts w:hint="eastAsia"/>
              </w:rPr>
              <w:t>注意事项：</w:t>
            </w:r>
            <w:r>
              <w:rPr>
                <w:rFonts w:hint="eastAsia"/>
              </w:rPr>
              <w:br w:type="textWrapping"/>
            </w:r>
            <w:r>
              <w:rPr>
                <w:rStyle w:val="11"/>
                <w:rFonts w:hint="eastAsia"/>
              </w:rPr>
              <w:t>1.本品对蜜蜂和虾等水生生物有毒。施药期间应避免对周围蜂群的影响；禁止在蚕室和桑园附近及水产养殖区使用。远离水产养殖区、河塘等水体附近施药，禁止在河塘等水体中清洗施药器具。 2.本品对家蚕有毒，蚕室和桑园附近禁用，赤眼蜂等天敌放飞区禁用；施药后的田水不得直接排入水体。 3.本品不可与碱性的农药混用。 4.使用本品时应穿戴防护服和手套等安全防护用具，施药时要避免接触皮肤、眼睛和衣服。施药期间不可吃东西和饮水。施药后及时洗手洗脸等暴露部位皮肤并更换衣物。 5.孕妇、哺乳期妇女及过敏者禁用。 6.用过的容器应妥善处理，不可做他用，也不可随意丢弃。 7. 过敏者禁用，有任何不良反应请及时就医。</w:t>
            </w:r>
          </w:p>
        </w:tc>
      </w:tr>
      <w:tr w14:paraId="13039026">
        <w:tblPrEx>
          <w:tblCellMar>
            <w:top w:w="0" w:type="dxa"/>
            <w:left w:w="0" w:type="dxa"/>
            <w:bottom w:w="0" w:type="dxa"/>
            <w:right w:w="0" w:type="dxa"/>
          </w:tblCellMar>
        </w:tblPrEx>
        <w:trPr>
          <w:wBefore w:w="0" w:type="auto"/>
          <w:tblCellSpacing w:w="0" w:type="dxa"/>
        </w:trPr>
        <w:tc>
          <w:tcPr>
            <w:tcW w:w="0" w:type="auto"/>
            <w:noWrap w:val="0"/>
            <w:vAlign w:val="center"/>
          </w:tcPr>
          <w:p w14:paraId="7CA65B86">
            <w:r>
              <w:rPr>
                <w:rStyle w:val="10"/>
                <w:rFonts w:hint="eastAsia"/>
              </w:rPr>
              <w:t>中毒急救措施：</w:t>
            </w:r>
            <w:r>
              <w:rPr>
                <w:rFonts w:hint="eastAsia"/>
              </w:rPr>
              <w:br w:type="textWrapping"/>
            </w:r>
            <w:r>
              <w:rPr>
                <w:rStyle w:val="11"/>
                <w:rFonts w:hint="eastAsia"/>
              </w:rPr>
              <w:t>中毒症状：属神经毒剂，接触部位皮肤感到刺痛，但无红斑，尤其在口、鼻周围。很少 引起全身性中毒。接触量大时也会引起头痛，头昏，恶心呕吐，双手颤抖，重者抽搐或惊厥、昏迷、休克。急救措施：如药液溅到皮肤上，应立即用滑石粉吸干，再用肥皂清洗；如药液溅入眼中，立即用清水冲洗至少15分钟；不慎误服,立即携本标签送医院，无特效解毒剂，对症治疗。大量吞服时可洗胃，不能催吐。</w:t>
            </w:r>
          </w:p>
        </w:tc>
      </w:tr>
      <w:tr w14:paraId="0F9A1A0D">
        <w:tblPrEx>
          <w:tblCellMar>
            <w:top w:w="0" w:type="dxa"/>
            <w:left w:w="0" w:type="dxa"/>
            <w:bottom w:w="0" w:type="dxa"/>
            <w:right w:w="0" w:type="dxa"/>
          </w:tblCellMar>
        </w:tblPrEx>
        <w:trPr>
          <w:wBefore w:w="0" w:type="auto"/>
          <w:tblCellSpacing w:w="0" w:type="dxa"/>
        </w:trPr>
        <w:tc>
          <w:tcPr>
            <w:tcW w:w="0" w:type="auto"/>
            <w:noWrap w:val="0"/>
            <w:vAlign w:val="center"/>
          </w:tcPr>
          <w:p w14:paraId="3F06EDC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本品应贮存在干燥、阴凉、通风、防雨处，远离火源或热源。置于儿童、无关人员及动物触及不到之处，并加锁保存。勿与食品、饮料、饲料和粮食等及其它易燃易爆物品同贮同运。</w:t>
            </w:r>
          </w:p>
        </w:tc>
      </w:tr>
      <w:tr w14:paraId="17F3C0C3">
        <w:tblPrEx>
          <w:tblCellMar>
            <w:top w:w="0" w:type="dxa"/>
            <w:left w:w="0" w:type="dxa"/>
            <w:bottom w:w="0" w:type="dxa"/>
            <w:right w:w="0" w:type="dxa"/>
          </w:tblCellMar>
        </w:tblPrEx>
        <w:trPr>
          <w:wBefore w:w="0" w:type="auto"/>
          <w:tblCellSpacing w:w="0" w:type="dxa"/>
        </w:trPr>
        <w:tc>
          <w:tcPr>
            <w:tcW w:w="0" w:type="auto"/>
            <w:noWrap w:val="0"/>
            <w:vAlign w:val="center"/>
          </w:tcPr>
          <w:p w14:paraId="4B9A8DC6">
            <w:r>
              <w:rPr>
                <w:rStyle w:val="10"/>
                <w:rFonts w:hint="eastAsia"/>
              </w:rPr>
              <w:t>质量保证期：</w:t>
            </w:r>
            <w:r>
              <w:rPr>
                <w:rStyle w:val="11"/>
                <w:rFonts w:hint="eastAsia"/>
              </w:rPr>
              <w:t>2年</w:t>
            </w:r>
          </w:p>
        </w:tc>
      </w:tr>
      <w:tr w14:paraId="779761D0">
        <w:tblPrEx>
          <w:tblCellMar>
            <w:top w:w="0" w:type="dxa"/>
            <w:left w:w="0" w:type="dxa"/>
            <w:bottom w:w="0" w:type="dxa"/>
            <w:right w:w="0" w:type="dxa"/>
          </w:tblCellMar>
        </w:tblPrEx>
        <w:trPr>
          <w:wBefore w:w="0" w:type="auto"/>
          <w:tblCellSpacing w:w="0" w:type="dxa"/>
        </w:trPr>
        <w:tc>
          <w:tcPr>
            <w:tcW w:w="0" w:type="auto"/>
            <w:noWrap w:val="0"/>
            <w:vAlign w:val="center"/>
          </w:tcPr>
          <w:p w14:paraId="2DD6A5BF">
            <w:r>
              <w:rPr>
                <w:rStyle w:val="10"/>
                <w:rFonts w:hint="eastAsia"/>
              </w:rPr>
              <w:t>备注：</w:t>
            </w:r>
          </w:p>
        </w:tc>
      </w:tr>
    </w:tbl>
    <w:p w14:paraId="26CD29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649536">
        <w:tblPrEx>
          <w:tblCellMar>
            <w:top w:w="0" w:type="dxa"/>
            <w:left w:w="0" w:type="dxa"/>
            <w:bottom w:w="0" w:type="dxa"/>
            <w:right w:w="0" w:type="dxa"/>
          </w:tblCellMar>
        </w:tblPrEx>
        <w:trPr>
          <w:wBefore w:w="0" w:type="auto"/>
          <w:tblCellSpacing w:w="0" w:type="dxa"/>
        </w:trPr>
        <w:tc>
          <w:tcPr>
            <w:tcW w:w="0" w:type="auto"/>
            <w:noWrap w:val="0"/>
            <w:vAlign w:val="center"/>
          </w:tcPr>
          <w:p w14:paraId="33DC9D4A">
            <w:r>
              <w:rPr>
                <w:rStyle w:val="10"/>
                <w:rFonts w:hint="eastAsia"/>
              </w:rPr>
              <w:t>登记证号：</w:t>
            </w:r>
            <w:r>
              <w:rPr>
                <w:rFonts w:hint="eastAsia"/>
              </w:rPr>
              <w:t>PD20212769</w:t>
            </w:r>
          </w:p>
        </w:tc>
      </w:tr>
      <w:tr w14:paraId="1E49EED9">
        <w:tblPrEx>
          <w:tblCellMar>
            <w:top w:w="0" w:type="dxa"/>
            <w:left w:w="0" w:type="dxa"/>
            <w:bottom w:w="0" w:type="dxa"/>
            <w:right w:w="0" w:type="dxa"/>
          </w:tblCellMar>
        </w:tblPrEx>
        <w:trPr>
          <w:wBefore w:w="0" w:type="auto"/>
          <w:tblCellSpacing w:w="0" w:type="dxa"/>
        </w:trPr>
        <w:tc>
          <w:tcPr>
            <w:tcW w:w="0" w:type="auto"/>
            <w:noWrap w:val="0"/>
            <w:vAlign w:val="center"/>
          </w:tcPr>
          <w:p w14:paraId="20EE1A54">
            <w:r>
              <w:rPr>
                <w:rStyle w:val="10"/>
                <w:rFonts w:hint="eastAsia"/>
              </w:rPr>
              <w:t>登记证持有人：</w:t>
            </w:r>
            <w:r>
              <w:rPr>
                <w:rFonts w:hint="eastAsia"/>
              </w:rPr>
              <w:t>河南瀚正益农农业科技有限公司</w:t>
            </w:r>
          </w:p>
        </w:tc>
      </w:tr>
      <w:tr w14:paraId="223EAF6F">
        <w:tblPrEx>
          <w:tblCellMar>
            <w:top w:w="0" w:type="dxa"/>
            <w:left w:w="0" w:type="dxa"/>
            <w:bottom w:w="0" w:type="dxa"/>
            <w:right w:w="0" w:type="dxa"/>
          </w:tblCellMar>
        </w:tblPrEx>
        <w:trPr>
          <w:wBefore w:w="0" w:type="auto"/>
          <w:tblCellSpacing w:w="0" w:type="dxa"/>
        </w:trPr>
        <w:tc>
          <w:tcPr>
            <w:tcW w:w="0" w:type="auto"/>
            <w:noWrap w:val="0"/>
            <w:vAlign w:val="center"/>
          </w:tcPr>
          <w:p w14:paraId="2F849009">
            <w:r>
              <w:rPr>
                <w:rStyle w:val="10"/>
                <w:rFonts w:hint="eastAsia"/>
              </w:rPr>
              <w:t>农药名称：</w:t>
            </w:r>
            <w:r>
              <w:rPr>
                <w:rFonts w:hint="eastAsia"/>
              </w:rPr>
              <w:t>24-表芸·噻苯隆</w:t>
            </w:r>
          </w:p>
        </w:tc>
      </w:tr>
      <w:tr w14:paraId="35A0E89D">
        <w:tblPrEx>
          <w:tblCellMar>
            <w:top w:w="0" w:type="dxa"/>
            <w:left w:w="0" w:type="dxa"/>
            <w:bottom w:w="0" w:type="dxa"/>
            <w:right w:w="0" w:type="dxa"/>
          </w:tblCellMar>
        </w:tblPrEx>
        <w:trPr>
          <w:wBefore w:w="0" w:type="auto"/>
          <w:tblCellSpacing w:w="0" w:type="dxa"/>
        </w:trPr>
        <w:tc>
          <w:tcPr>
            <w:tcW w:w="0" w:type="auto"/>
            <w:noWrap w:val="0"/>
            <w:vAlign w:val="center"/>
          </w:tcPr>
          <w:p w14:paraId="071C9E84">
            <w:r>
              <w:rPr>
                <w:rStyle w:val="10"/>
                <w:rFonts w:hint="eastAsia"/>
              </w:rPr>
              <w:t>剂型：</w:t>
            </w:r>
            <w:r>
              <w:rPr>
                <w:rFonts w:hint="eastAsia"/>
              </w:rPr>
              <w:t>可溶液剂</w:t>
            </w:r>
          </w:p>
        </w:tc>
      </w:tr>
      <w:tr w14:paraId="52E2B5DD">
        <w:tblPrEx>
          <w:tblCellMar>
            <w:top w:w="0" w:type="dxa"/>
            <w:left w:w="0" w:type="dxa"/>
            <w:bottom w:w="0" w:type="dxa"/>
            <w:right w:w="0" w:type="dxa"/>
          </w:tblCellMar>
        </w:tblPrEx>
        <w:trPr>
          <w:wBefore w:w="0" w:type="auto"/>
          <w:tblCellSpacing w:w="0" w:type="dxa"/>
        </w:trPr>
        <w:tc>
          <w:tcPr>
            <w:tcW w:w="0" w:type="auto"/>
            <w:noWrap w:val="0"/>
            <w:vAlign w:val="center"/>
          </w:tcPr>
          <w:p w14:paraId="552D0D81">
            <w:r>
              <w:rPr>
                <w:rStyle w:val="10"/>
                <w:rFonts w:hint="eastAsia"/>
              </w:rPr>
              <w:t>毒性及其标识：</w:t>
            </w:r>
            <w:r>
              <w:rPr>
                <w:rFonts w:hint="eastAsia"/>
              </w:rPr>
              <w:t xml:space="preserve"> </w:t>
            </w:r>
            <w:r>
              <w:rPr>
                <w:lang/>
              </w:rPr>
              <w:drawing>
                <wp:inline distT="0" distB="0" distL="114300" distR="114300">
                  <wp:extent cx="476250" cy="323850"/>
                  <wp:effectExtent l="0" t="0" r="0" b="0"/>
                  <wp:docPr id="183" name="图片 1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7F4A1B">
        <w:tblPrEx>
          <w:tblCellMar>
            <w:top w:w="0" w:type="dxa"/>
            <w:left w:w="0" w:type="dxa"/>
            <w:bottom w:w="0" w:type="dxa"/>
            <w:right w:w="0" w:type="dxa"/>
          </w:tblCellMar>
        </w:tblPrEx>
        <w:trPr>
          <w:wBefore w:w="0" w:type="auto"/>
          <w:tblCellSpacing w:w="0" w:type="dxa"/>
        </w:trPr>
        <w:tc>
          <w:tcPr>
            <w:tcW w:w="0" w:type="auto"/>
            <w:noWrap w:val="0"/>
            <w:vAlign w:val="center"/>
          </w:tcPr>
          <w:p w14:paraId="251EF9D2">
            <w:r>
              <w:rPr>
                <w:rStyle w:val="10"/>
                <w:rFonts w:hint="eastAsia"/>
              </w:rPr>
              <w:t>总有效成分含量：</w:t>
            </w:r>
            <w:r>
              <w:rPr>
                <w:rFonts w:hint="eastAsia"/>
              </w:rPr>
              <w:t>0.5%</w:t>
            </w:r>
          </w:p>
        </w:tc>
      </w:tr>
      <w:tr w14:paraId="13841A5A">
        <w:tblPrEx>
          <w:tblCellMar>
            <w:top w:w="0" w:type="dxa"/>
            <w:left w:w="0" w:type="dxa"/>
            <w:bottom w:w="0" w:type="dxa"/>
            <w:right w:w="0" w:type="dxa"/>
          </w:tblCellMar>
        </w:tblPrEx>
        <w:trPr>
          <w:wBefore w:w="0" w:type="auto"/>
          <w:tblCellSpacing w:w="0" w:type="dxa"/>
        </w:trPr>
        <w:tc>
          <w:tcPr>
            <w:tcW w:w="0" w:type="auto"/>
            <w:noWrap w:val="0"/>
            <w:vAlign w:val="center"/>
          </w:tcPr>
          <w:p w14:paraId="474D8A7C">
            <w:r>
              <w:rPr>
                <w:rFonts w:hint="eastAsia"/>
              </w:rPr>
              <w:t xml:space="preserve">有效成分及其含量： </w:t>
            </w:r>
          </w:p>
          <w:p w14:paraId="1FE45FFF">
            <w:r>
              <w:rPr>
                <w:rFonts w:hint="eastAsia"/>
              </w:rPr>
              <w:t xml:space="preserve">    24-表芸苔素内酯0.01%    噻苯隆0.49%    </w:t>
            </w:r>
          </w:p>
        </w:tc>
      </w:tr>
      <w:tr w14:paraId="75FBC4E8">
        <w:tblPrEx>
          <w:tblCellMar>
            <w:top w:w="0" w:type="dxa"/>
            <w:left w:w="0" w:type="dxa"/>
            <w:bottom w:w="0" w:type="dxa"/>
            <w:right w:w="0" w:type="dxa"/>
          </w:tblCellMar>
        </w:tblPrEx>
        <w:trPr>
          <w:wBefore w:w="0" w:type="auto"/>
          <w:tblCellSpacing w:w="0" w:type="dxa"/>
        </w:trPr>
        <w:tc>
          <w:tcPr>
            <w:tcW w:w="0" w:type="auto"/>
            <w:noWrap w:val="0"/>
            <w:vAlign w:val="center"/>
          </w:tcPr>
          <w:p w14:paraId="624299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F5CF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1A7D3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53FE9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B7CC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F57A28">
                  <w:r>
                    <w:rPr>
                      <w:rStyle w:val="11"/>
                      <w:rFonts w:hint="eastAsia"/>
                    </w:rPr>
                    <w:t>施用方式</w:t>
                  </w:r>
                </w:p>
              </w:tc>
            </w:tr>
            <w:tr w14:paraId="6E2F72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56B483">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B8026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BDB1C3">
                  <w:r>
                    <w:rPr>
                      <w:rStyle w:val="11"/>
                      <w:rFonts w:hint="eastAsia"/>
                    </w:rPr>
                    <w:t>2500-3500倍液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E1FB1A">
                  <w:r>
                    <w:rPr>
                      <w:rStyle w:val="11"/>
                      <w:rFonts w:hint="eastAsia"/>
                    </w:rPr>
                    <w:t>喷雾</w:t>
                  </w:r>
                </w:p>
              </w:tc>
            </w:tr>
          </w:tbl>
          <w:p w14:paraId="22D37E05">
            <w:pPr>
              <w:rPr>
                <w:rFonts w:ascii="Times New Roman" w:hAnsi="Times New Roman" w:cs="Times New Roman"/>
                <w:sz w:val="20"/>
                <w:szCs w:val="20"/>
              </w:rPr>
            </w:pPr>
          </w:p>
        </w:tc>
      </w:tr>
      <w:tr w14:paraId="3414228B">
        <w:tblPrEx>
          <w:tblCellMar>
            <w:top w:w="0" w:type="dxa"/>
            <w:left w:w="0" w:type="dxa"/>
            <w:bottom w:w="0" w:type="dxa"/>
            <w:right w:w="0" w:type="dxa"/>
          </w:tblCellMar>
        </w:tblPrEx>
        <w:trPr>
          <w:wBefore w:w="0" w:type="auto"/>
          <w:tblCellSpacing w:w="0" w:type="dxa"/>
        </w:trPr>
        <w:tc>
          <w:tcPr>
            <w:tcW w:w="0" w:type="auto"/>
            <w:noWrap w:val="0"/>
            <w:vAlign w:val="center"/>
          </w:tcPr>
          <w:p w14:paraId="4CA8121A">
            <w:r>
              <w:rPr>
                <w:rStyle w:val="10"/>
                <w:rFonts w:hint="eastAsia"/>
              </w:rPr>
              <w:t>使用技术要求:</w:t>
            </w:r>
            <w:r>
              <w:rPr>
                <w:rFonts w:hint="eastAsia"/>
              </w:rPr>
              <w:br w:type="textWrapping"/>
            </w:r>
            <w:r>
              <w:rPr>
                <w:rStyle w:val="11"/>
                <w:rFonts w:hint="eastAsia"/>
              </w:rPr>
              <w:t>1．本品应于葡萄花期施药一次，使用时注意喷雾均匀、周到。2．大风天或下雨前后，请勿施药。 3．每季作物最多使用1次，安全间隔期45天。</w:t>
            </w:r>
          </w:p>
        </w:tc>
      </w:tr>
      <w:tr w14:paraId="4E0D99D3">
        <w:tblPrEx>
          <w:tblCellMar>
            <w:top w:w="0" w:type="dxa"/>
            <w:left w:w="0" w:type="dxa"/>
            <w:bottom w:w="0" w:type="dxa"/>
            <w:right w:w="0" w:type="dxa"/>
          </w:tblCellMar>
        </w:tblPrEx>
        <w:trPr>
          <w:wBefore w:w="0" w:type="auto"/>
          <w:tblCellSpacing w:w="0" w:type="dxa"/>
        </w:trPr>
        <w:tc>
          <w:tcPr>
            <w:tcW w:w="0" w:type="auto"/>
            <w:noWrap w:val="0"/>
            <w:vAlign w:val="center"/>
          </w:tcPr>
          <w:p w14:paraId="4B6A17C8">
            <w:r>
              <w:rPr>
                <w:rStyle w:val="10"/>
                <w:rFonts w:hint="eastAsia"/>
              </w:rPr>
              <w:t>产品性能:</w:t>
            </w:r>
            <w:r>
              <w:rPr>
                <w:rFonts w:hint="eastAsia"/>
              </w:rPr>
              <w:br w:type="textWrapping"/>
            </w:r>
            <w:r>
              <w:rPr>
                <w:rStyle w:val="11"/>
                <w:rFonts w:hint="eastAsia"/>
              </w:rPr>
              <w:t xml:space="preserve">本品是由24-表芸苔素内酯和噻苯隆混配而成的植物生长调节剂，能够促进果实生长发育、改进品质、提高产量。按登记剂量使用时，对葡萄生长具有较好的调节效果，且对供试葡萄安全。 </w:t>
            </w:r>
          </w:p>
        </w:tc>
      </w:tr>
      <w:tr w14:paraId="280DC70E">
        <w:tblPrEx>
          <w:tblCellMar>
            <w:top w:w="0" w:type="dxa"/>
            <w:left w:w="0" w:type="dxa"/>
            <w:bottom w:w="0" w:type="dxa"/>
            <w:right w:w="0" w:type="dxa"/>
          </w:tblCellMar>
        </w:tblPrEx>
        <w:trPr>
          <w:wBefore w:w="0" w:type="auto"/>
          <w:tblCellSpacing w:w="0" w:type="dxa"/>
        </w:trPr>
        <w:tc>
          <w:tcPr>
            <w:tcW w:w="0" w:type="auto"/>
            <w:noWrap w:val="0"/>
            <w:vAlign w:val="center"/>
          </w:tcPr>
          <w:p w14:paraId="1AC131C7">
            <w:r>
              <w:rPr>
                <w:rStyle w:val="10"/>
                <w:rFonts w:hint="eastAsia"/>
              </w:rPr>
              <w:t>注意事项：</w:t>
            </w:r>
            <w:r>
              <w:rPr>
                <w:rFonts w:hint="eastAsia"/>
              </w:rPr>
              <w:br w:type="textWrapping"/>
            </w:r>
            <w:r>
              <w:rPr>
                <w:rStyle w:val="11"/>
                <w:rFonts w:hint="eastAsia"/>
              </w:rPr>
              <w:t>1．严格按照规定用药量和方法使用。 2．本品不可与碱性农药等物质混用。 3．本品对蜜蜂、家蚕、鱼类、水溞毒性高，水产养殖区、河塘等水体附近禁用，禁止在河塘等水体中清洗施药器具；养蜂场所和周围开花植物花期禁用，使用时应密切关注对附近蜂群的影响；蚕室及桑园附近禁用。 4．使用本品时应穿防护服和戴手套，避免吸入药液。施药期间不可吃东西和饮水，施药后应及时洗手和洗脸。 5．用药后包装物及用过的容器应妥善处理，不可做他用，也不可随意丢弃。 6．孕妇及哺乳期妇女禁止接触本品。</w:t>
            </w:r>
          </w:p>
        </w:tc>
      </w:tr>
      <w:tr w14:paraId="53B9ADBF">
        <w:tblPrEx>
          <w:tblCellMar>
            <w:top w:w="0" w:type="dxa"/>
            <w:left w:w="0" w:type="dxa"/>
            <w:bottom w:w="0" w:type="dxa"/>
            <w:right w:w="0" w:type="dxa"/>
          </w:tblCellMar>
        </w:tblPrEx>
        <w:trPr>
          <w:wBefore w:w="0" w:type="auto"/>
          <w:tblCellSpacing w:w="0" w:type="dxa"/>
        </w:trPr>
        <w:tc>
          <w:tcPr>
            <w:tcW w:w="0" w:type="auto"/>
            <w:noWrap w:val="0"/>
            <w:vAlign w:val="center"/>
          </w:tcPr>
          <w:p w14:paraId="427DDFB0">
            <w:r>
              <w:rPr>
                <w:rStyle w:val="10"/>
                <w:rFonts w:hint="eastAsia"/>
              </w:rPr>
              <w:t>中毒急救措施：</w:t>
            </w:r>
            <w:r>
              <w:rPr>
                <w:rFonts w:hint="eastAsia"/>
              </w:rPr>
              <w:br w:type="textWrapping"/>
            </w:r>
            <w:r>
              <w:rPr>
                <w:rStyle w:val="11"/>
                <w:rFonts w:hint="eastAsia"/>
              </w:rPr>
              <w:t xml:space="preserve">中毒症状：无明显症状，急救措施：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 </w:t>
            </w:r>
          </w:p>
        </w:tc>
      </w:tr>
      <w:tr w14:paraId="04AFEDEE">
        <w:tblPrEx>
          <w:tblCellMar>
            <w:top w:w="0" w:type="dxa"/>
            <w:left w:w="0" w:type="dxa"/>
            <w:bottom w:w="0" w:type="dxa"/>
            <w:right w:w="0" w:type="dxa"/>
          </w:tblCellMar>
        </w:tblPrEx>
        <w:trPr>
          <w:wBefore w:w="0" w:type="auto"/>
          <w:tblCellSpacing w:w="0" w:type="dxa"/>
        </w:trPr>
        <w:tc>
          <w:tcPr>
            <w:tcW w:w="0" w:type="auto"/>
            <w:noWrap w:val="0"/>
            <w:vAlign w:val="center"/>
          </w:tcPr>
          <w:p w14:paraId="62275790">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本品应贮存在干燥、阴凉、通风、防雨处，远离火源或热源。置于儿童、无关人员及动物接触不到的地方，并加锁保存。勿与食品、饮料、粮食、饲料等其他商品同贮同运。 </w:t>
            </w:r>
          </w:p>
        </w:tc>
      </w:tr>
      <w:tr w14:paraId="0C9BC30D">
        <w:tblPrEx>
          <w:tblCellMar>
            <w:top w:w="0" w:type="dxa"/>
            <w:left w:w="0" w:type="dxa"/>
            <w:bottom w:w="0" w:type="dxa"/>
            <w:right w:w="0" w:type="dxa"/>
          </w:tblCellMar>
        </w:tblPrEx>
        <w:trPr>
          <w:wBefore w:w="0" w:type="auto"/>
          <w:tblCellSpacing w:w="0" w:type="dxa"/>
        </w:trPr>
        <w:tc>
          <w:tcPr>
            <w:tcW w:w="0" w:type="auto"/>
            <w:noWrap w:val="0"/>
            <w:vAlign w:val="center"/>
          </w:tcPr>
          <w:p w14:paraId="5916542A">
            <w:r>
              <w:rPr>
                <w:rStyle w:val="10"/>
                <w:rFonts w:hint="eastAsia"/>
              </w:rPr>
              <w:t>质量保证期：</w:t>
            </w:r>
            <w:r>
              <w:rPr>
                <w:rStyle w:val="11"/>
                <w:rFonts w:hint="eastAsia"/>
              </w:rPr>
              <w:t>2年</w:t>
            </w:r>
          </w:p>
        </w:tc>
      </w:tr>
      <w:tr w14:paraId="1AA888D4">
        <w:tblPrEx>
          <w:tblCellMar>
            <w:top w:w="0" w:type="dxa"/>
            <w:left w:w="0" w:type="dxa"/>
            <w:bottom w:w="0" w:type="dxa"/>
            <w:right w:w="0" w:type="dxa"/>
          </w:tblCellMar>
        </w:tblPrEx>
        <w:trPr>
          <w:wBefore w:w="0" w:type="auto"/>
          <w:tblCellSpacing w:w="0" w:type="dxa"/>
        </w:trPr>
        <w:tc>
          <w:tcPr>
            <w:tcW w:w="0" w:type="auto"/>
            <w:noWrap w:val="0"/>
            <w:vAlign w:val="center"/>
          </w:tcPr>
          <w:p w14:paraId="4D8692EA">
            <w:r>
              <w:rPr>
                <w:rStyle w:val="10"/>
                <w:rFonts w:hint="eastAsia"/>
              </w:rPr>
              <w:t>备注：</w:t>
            </w:r>
          </w:p>
        </w:tc>
      </w:tr>
    </w:tbl>
    <w:p w14:paraId="070E8A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D9EB9A">
        <w:tblPrEx>
          <w:tblCellMar>
            <w:top w:w="0" w:type="dxa"/>
            <w:left w:w="0" w:type="dxa"/>
            <w:bottom w:w="0" w:type="dxa"/>
            <w:right w:w="0" w:type="dxa"/>
          </w:tblCellMar>
        </w:tblPrEx>
        <w:trPr>
          <w:wBefore w:w="0" w:type="auto"/>
          <w:tblCellSpacing w:w="0" w:type="dxa"/>
        </w:trPr>
        <w:tc>
          <w:tcPr>
            <w:tcW w:w="0" w:type="auto"/>
            <w:noWrap w:val="0"/>
            <w:vAlign w:val="center"/>
          </w:tcPr>
          <w:p w14:paraId="0119166C">
            <w:r>
              <w:rPr>
                <w:rStyle w:val="10"/>
                <w:rFonts w:hint="eastAsia"/>
              </w:rPr>
              <w:t>登记证号：</w:t>
            </w:r>
            <w:r>
              <w:rPr>
                <w:rFonts w:hint="eastAsia"/>
              </w:rPr>
              <w:t>PD20212583</w:t>
            </w:r>
          </w:p>
        </w:tc>
      </w:tr>
      <w:tr w14:paraId="55D22220">
        <w:tblPrEx>
          <w:tblCellMar>
            <w:top w:w="0" w:type="dxa"/>
            <w:left w:w="0" w:type="dxa"/>
            <w:bottom w:w="0" w:type="dxa"/>
            <w:right w:w="0" w:type="dxa"/>
          </w:tblCellMar>
        </w:tblPrEx>
        <w:trPr>
          <w:wBefore w:w="0" w:type="auto"/>
          <w:tblCellSpacing w:w="0" w:type="dxa"/>
        </w:trPr>
        <w:tc>
          <w:tcPr>
            <w:tcW w:w="0" w:type="auto"/>
            <w:noWrap w:val="0"/>
            <w:vAlign w:val="center"/>
          </w:tcPr>
          <w:p w14:paraId="7C23A278">
            <w:r>
              <w:rPr>
                <w:rStyle w:val="10"/>
                <w:rFonts w:hint="eastAsia"/>
              </w:rPr>
              <w:t>登记证持有人：</w:t>
            </w:r>
            <w:r>
              <w:rPr>
                <w:rFonts w:hint="eastAsia"/>
              </w:rPr>
              <w:t>山东奥坤作物科学股份有限公司</w:t>
            </w:r>
          </w:p>
        </w:tc>
      </w:tr>
      <w:tr w14:paraId="435AB45B">
        <w:tblPrEx>
          <w:tblCellMar>
            <w:top w:w="0" w:type="dxa"/>
            <w:left w:w="0" w:type="dxa"/>
            <w:bottom w:w="0" w:type="dxa"/>
            <w:right w:w="0" w:type="dxa"/>
          </w:tblCellMar>
        </w:tblPrEx>
        <w:trPr>
          <w:wBefore w:w="0" w:type="auto"/>
          <w:tblCellSpacing w:w="0" w:type="dxa"/>
        </w:trPr>
        <w:tc>
          <w:tcPr>
            <w:tcW w:w="0" w:type="auto"/>
            <w:noWrap w:val="0"/>
            <w:vAlign w:val="center"/>
          </w:tcPr>
          <w:p w14:paraId="6EDA0B0C">
            <w:r>
              <w:rPr>
                <w:rStyle w:val="10"/>
                <w:rFonts w:hint="eastAsia"/>
              </w:rPr>
              <w:t>农药名称：</w:t>
            </w:r>
            <w:r>
              <w:rPr>
                <w:rFonts w:hint="eastAsia"/>
              </w:rPr>
              <w:t>异噁·异丙甲</w:t>
            </w:r>
          </w:p>
        </w:tc>
      </w:tr>
      <w:tr w14:paraId="44D36EB6">
        <w:tblPrEx>
          <w:tblCellMar>
            <w:top w:w="0" w:type="dxa"/>
            <w:left w:w="0" w:type="dxa"/>
            <w:bottom w:w="0" w:type="dxa"/>
            <w:right w:w="0" w:type="dxa"/>
          </w:tblCellMar>
        </w:tblPrEx>
        <w:trPr>
          <w:wBefore w:w="0" w:type="auto"/>
          <w:tblCellSpacing w:w="0" w:type="dxa"/>
        </w:trPr>
        <w:tc>
          <w:tcPr>
            <w:tcW w:w="0" w:type="auto"/>
            <w:noWrap w:val="0"/>
            <w:vAlign w:val="center"/>
          </w:tcPr>
          <w:p w14:paraId="2CBAAAC3">
            <w:r>
              <w:rPr>
                <w:rStyle w:val="10"/>
                <w:rFonts w:hint="eastAsia"/>
              </w:rPr>
              <w:t>剂型：</w:t>
            </w:r>
            <w:r>
              <w:rPr>
                <w:rFonts w:hint="eastAsia"/>
              </w:rPr>
              <w:t>乳油</w:t>
            </w:r>
          </w:p>
        </w:tc>
      </w:tr>
      <w:tr w14:paraId="42A941C6">
        <w:tblPrEx>
          <w:tblCellMar>
            <w:top w:w="0" w:type="dxa"/>
            <w:left w:w="0" w:type="dxa"/>
            <w:bottom w:w="0" w:type="dxa"/>
            <w:right w:w="0" w:type="dxa"/>
          </w:tblCellMar>
        </w:tblPrEx>
        <w:trPr>
          <w:wBefore w:w="0" w:type="auto"/>
          <w:tblCellSpacing w:w="0" w:type="dxa"/>
        </w:trPr>
        <w:tc>
          <w:tcPr>
            <w:tcW w:w="0" w:type="auto"/>
            <w:noWrap w:val="0"/>
            <w:vAlign w:val="center"/>
          </w:tcPr>
          <w:p w14:paraId="2C8DD3AC">
            <w:r>
              <w:rPr>
                <w:rStyle w:val="10"/>
                <w:rFonts w:hint="eastAsia"/>
              </w:rPr>
              <w:t>毒性及其标识：</w:t>
            </w:r>
            <w:r>
              <w:rPr>
                <w:rFonts w:hint="eastAsia"/>
              </w:rPr>
              <w:t xml:space="preserve"> </w:t>
            </w:r>
            <w:r>
              <w:rPr>
                <w:lang/>
              </w:rPr>
              <w:drawing>
                <wp:inline distT="0" distB="0" distL="114300" distR="114300">
                  <wp:extent cx="476250" cy="323850"/>
                  <wp:effectExtent l="0" t="0" r="0" b="0"/>
                  <wp:docPr id="184" name="图片 1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A020BD">
        <w:tblPrEx>
          <w:tblCellMar>
            <w:top w:w="0" w:type="dxa"/>
            <w:left w:w="0" w:type="dxa"/>
            <w:bottom w:w="0" w:type="dxa"/>
            <w:right w:w="0" w:type="dxa"/>
          </w:tblCellMar>
        </w:tblPrEx>
        <w:trPr>
          <w:wBefore w:w="0" w:type="auto"/>
          <w:tblCellSpacing w:w="0" w:type="dxa"/>
        </w:trPr>
        <w:tc>
          <w:tcPr>
            <w:tcW w:w="0" w:type="auto"/>
            <w:noWrap w:val="0"/>
            <w:vAlign w:val="center"/>
          </w:tcPr>
          <w:p w14:paraId="4004B2DB">
            <w:r>
              <w:rPr>
                <w:rStyle w:val="10"/>
                <w:rFonts w:hint="eastAsia"/>
              </w:rPr>
              <w:t>总有效成分含量：</w:t>
            </w:r>
            <w:r>
              <w:rPr>
                <w:rFonts w:hint="eastAsia"/>
              </w:rPr>
              <w:t>80%</w:t>
            </w:r>
          </w:p>
        </w:tc>
      </w:tr>
      <w:tr w14:paraId="76A4ADF1">
        <w:tblPrEx>
          <w:tblCellMar>
            <w:top w:w="0" w:type="dxa"/>
            <w:left w:w="0" w:type="dxa"/>
            <w:bottom w:w="0" w:type="dxa"/>
            <w:right w:w="0" w:type="dxa"/>
          </w:tblCellMar>
        </w:tblPrEx>
        <w:trPr>
          <w:wBefore w:w="0" w:type="auto"/>
          <w:tblCellSpacing w:w="0" w:type="dxa"/>
        </w:trPr>
        <w:tc>
          <w:tcPr>
            <w:tcW w:w="0" w:type="auto"/>
            <w:noWrap w:val="0"/>
            <w:vAlign w:val="center"/>
          </w:tcPr>
          <w:p w14:paraId="143C0415">
            <w:r>
              <w:rPr>
                <w:rFonts w:hint="eastAsia"/>
              </w:rPr>
              <w:t xml:space="preserve">有效成分及其含量： </w:t>
            </w:r>
          </w:p>
          <w:p w14:paraId="20F1FC76">
            <w:r>
              <w:rPr>
                <w:rFonts w:hint="eastAsia"/>
              </w:rPr>
              <w:t xml:space="preserve">    异丙甲草胺66%    异噁草松14%    </w:t>
            </w:r>
          </w:p>
        </w:tc>
      </w:tr>
      <w:tr w14:paraId="5CF7A431">
        <w:tblPrEx>
          <w:tblCellMar>
            <w:top w:w="0" w:type="dxa"/>
            <w:left w:w="0" w:type="dxa"/>
            <w:bottom w:w="0" w:type="dxa"/>
            <w:right w:w="0" w:type="dxa"/>
          </w:tblCellMar>
        </w:tblPrEx>
        <w:trPr>
          <w:wBefore w:w="0" w:type="auto"/>
          <w:tblCellSpacing w:w="0" w:type="dxa"/>
        </w:trPr>
        <w:tc>
          <w:tcPr>
            <w:tcW w:w="0" w:type="auto"/>
            <w:noWrap w:val="0"/>
            <w:vAlign w:val="center"/>
          </w:tcPr>
          <w:p w14:paraId="1202A3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5FF6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EF4FD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CF7EB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BBA8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B9A6B1">
                  <w:r>
                    <w:rPr>
                      <w:rStyle w:val="11"/>
                      <w:rFonts w:hint="eastAsia"/>
                    </w:rPr>
                    <w:t>施用方式</w:t>
                  </w:r>
                </w:p>
              </w:tc>
            </w:tr>
            <w:tr w14:paraId="030B03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E8E5C3">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8A21F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84866B">
                  <w:r>
                    <w:rPr>
                      <w:rStyle w:val="11"/>
                      <w:rFonts w:hint="eastAsia"/>
                    </w:rPr>
                    <w:t>150-190毫升/亩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36C1FC">
                  <w:r>
                    <w:rPr>
                      <w:rStyle w:val="11"/>
                      <w:rFonts w:hint="eastAsia"/>
                    </w:rPr>
                    <w:t>土壤喷雾</w:t>
                  </w:r>
                </w:p>
              </w:tc>
            </w:tr>
          </w:tbl>
          <w:p w14:paraId="3EC38F07">
            <w:pPr>
              <w:rPr>
                <w:rFonts w:ascii="Times New Roman" w:hAnsi="Times New Roman" w:cs="Times New Roman"/>
                <w:sz w:val="20"/>
                <w:szCs w:val="20"/>
              </w:rPr>
            </w:pPr>
          </w:p>
        </w:tc>
      </w:tr>
      <w:tr w14:paraId="21DFA5D5">
        <w:tblPrEx>
          <w:tblCellMar>
            <w:top w:w="0" w:type="dxa"/>
            <w:left w:w="0" w:type="dxa"/>
            <w:bottom w:w="0" w:type="dxa"/>
            <w:right w:w="0" w:type="dxa"/>
          </w:tblCellMar>
        </w:tblPrEx>
        <w:trPr>
          <w:wBefore w:w="0" w:type="auto"/>
          <w:tblCellSpacing w:w="0" w:type="dxa"/>
        </w:trPr>
        <w:tc>
          <w:tcPr>
            <w:tcW w:w="0" w:type="auto"/>
            <w:noWrap w:val="0"/>
            <w:vAlign w:val="center"/>
          </w:tcPr>
          <w:p w14:paraId="73100D4B">
            <w:r>
              <w:rPr>
                <w:rStyle w:val="10"/>
                <w:rFonts w:hint="eastAsia"/>
              </w:rPr>
              <w:t>使用技术要求:</w:t>
            </w:r>
            <w:r>
              <w:rPr>
                <w:rFonts w:hint="eastAsia"/>
              </w:rPr>
              <w:br w:type="textWrapping"/>
            </w:r>
            <w:r>
              <w:rPr>
                <w:rStyle w:val="11"/>
                <w:rFonts w:hint="eastAsia"/>
              </w:rPr>
              <w:t>1、施药时间应在无风或微风晴天上午或傍晚，于春大豆播后苗前土壤喷雾施药。 2、用前充分摇匀，先制母液，再二次兑水稀释后，均匀喷雾。3、每季最多使用1次。</w:t>
            </w:r>
          </w:p>
        </w:tc>
      </w:tr>
      <w:tr w14:paraId="48688691">
        <w:tblPrEx>
          <w:tblCellMar>
            <w:top w:w="0" w:type="dxa"/>
            <w:left w:w="0" w:type="dxa"/>
            <w:bottom w:w="0" w:type="dxa"/>
            <w:right w:w="0" w:type="dxa"/>
          </w:tblCellMar>
        </w:tblPrEx>
        <w:trPr>
          <w:wBefore w:w="0" w:type="auto"/>
          <w:tblCellSpacing w:w="0" w:type="dxa"/>
        </w:trPr>
        <w:tc>
          <w:tcPr>
            <w:tcW w:w="0" w:type="auto"/>
            <w:noWrap w:val="0"/>
            <w:vAlign w:val="center"/>
          </w:tcPr>
          <w:p w14:paraId="0E5FC9AF">
            <w:r>
              <w:rPr>
                <w:rStyle w:val="10"/>
                <w:rFonts w:hint="eastAsia"/>
              </w:rPr>
              <w:t>产品性能:</w:t>
            </w:r>
            <w:r>
              <w:rPr>
                <w:rFonts w:hint="eastAsia"/>
              </w:rPr>
              <w:br w:type="textWrapping"/>
            </w:r>
            <w:r>
              <w:rPr>
                <w:rStyle w:val="11"/>
                <w:rFonts w:hint="eastAsia"/>
              </w:rPr>
              <w:t>本品是二元复配除草剂，其中异丙甲草胺不烧根，不伤苗；二元复配后减少了异噁草松的用量，具有不同作用的杀草机制，能有效防除马唐、旱稗、牛筋草、狗尾草、马齿苋、反枝苋、铁苋菜、藜和自生麦苗等，能有效防除春大豆田一年生杂草。</w:t>
            </w:r>
          </w:p>
        </w:tc>
      </w:tr>
      <w:tr w14:paraId="32C21A0B">
        <w:tblPrEx>
          <w:tblCellMar>
            <w:top w:w="0" w:type="dxa"/>
            <w:left w:w="0" w:type="dxa"/>
            <w:bottom w:w="0" w:type="dxa"/>
            <w:right w:w="0" w:type="dxa"/>
          </w:tblCellMar>
        </w:tblPrEx>
        <w:trPr>
          <w:wBefore w:w="0" w:type="auto"/>
          <w:tblCellSpacing w:w="0" w:type="dxa"/>
        </w:trPr>
        <w:tc>
          <w:tcPr>
            <w:tcW w:w="0" w:type="auto"/>
            <w:noWrap w:val="0"/>
            <w:vAlign w:val="center"/>
          </w:tcPr>
          <w:p w14:paraId="7B668138">
            <w:r>
              <w:rPr>
                <w:rStyle w:val="10"/>
                <w:rFonts w:hint="eastAsia"/>
              </w:rPr>
              <w:t>注意事项：</w:t>
            </w:r>
            <w:r>
              <w:rPr>
                <w:rFonts w:hint="eastAsia"/>
              </w:rPr>
              <w:br w:type="textWrapping"/>
            </w:r>
            <w:r>
              <w:rPr>
                <w:rStyle w:val="11"/>
                <w:rFonts w:hint="eastAsia"/>
              </w:rPr>
              <w:t>1、使用前必须充分摇匀，精耕细作，土地平整，土块细腻，以免加剧施药不均匀性。 2、大风天不可施用，以防药液飘移，施药时应做到喷头高度、喷雾压力及行走速度一致，尽量做到喷药均匀。每季作物使用一次。 3、按本品推荐方法使用，次年春季后茬可以种植大豆、玉米、春小麦等。甜菜、水稻、亚麻、向日葵、谷子、西瓜、高粱等对本品敏感，种植前应进行安全性试验，或在当地技术部门指导下种植。 4、 使用时穿戴长衣、长裤、帽子、口罩、手套等安全防护措施。避免吸入药液；施药期间不可吃东西、饮水等；施药后应及时洗手、洗脸等。 5、清洗施药器具的废水不能排入河流、池塘等水源。废弃物应妥善处理，不可做他用，也不可随意丢弃。水产养殖区、河塘等水体附近禁用。禁止在河塘等水体清洗施药器具。赤眼蜂等天敌昆虫放飞区禁用。桑园及蚕室附近禁用。 6、孕妇及哺乳期妇女应避免接触本品。</w:t>
            </w:r>
          </w:p>
        </w:tc>
      </w:tr>
      <w:tr w14:paraId="203217B8">
        <w:tblPrEx>
          <w:tblCellMar>
            <w:top w:w="0" w:type="dxa"/>
            <w:left w:w="0" w:type="dxa"/>
            <w:bottom w:w="0" w:type="dxa"/>
            <w:right w:w="0" w:type="dxa"/>
          </w:tblCellMar>
        </w:tblPrEx>
        <w:trPr>
          <w:wBefore w:w="0" w:type="auto"/>
          <w:tblCellSpacing w:w="0" w:type="dxa"/>
        </w:trPr>
        <w:tc>
          <w:tcPr>
            <w:tcW w:w="0" w:type="auto"/>
            <w:noWrap w:val="0"/>
            <w:vAlign w:val="center"/>
          </w:tcPr>
          <w:p w14:paraId="57EDE35D">
            <w:r>
              <w:rPr>
                <w:rStyle w:val="10"/>
                <w:rFonts w:hint="eastAsia"/>
              </w:rPr>
              <w:t>中毒急救措施：</w:t>
            </w:r>
            <w:r>
              <w:rPr>
                <w:rFonts w:hint="eastAsia"/>
              </w:rPr>
              <w:br w:type="textWrapping"/>
            </w:r>
            <w:r>
              <w:rPr>
                <w:rStyle w:val="11"/>
                <w:rFonts w:hint="eastAsia"/>
              </w:rPr>
              <w:t>1、中毒症状：本品对皮肤和眼睛有刺激作用。药液接触眼睛会使角膜暂时不透明，肺部有异常反应。 2、皮肤接触：立即脱掉被污染的衣物，用肥皂和大量清水彻底清洗受污染的皮肤。 3、眼睛溅药：立即将眼睑翻开，用清水冲洗至少15分钟，再请医生诊治。4、不慎吸入：立即将吸入者转移到空气新鲜处，请医生诊治。 5、如误服，应携带此标签去医院治疗。无特效解毒剂，对症治疗。</w:t>
            </w:r>
          </w:p>
        </w:tc>
      </w:tr>
      <w:tr w14:paraId="52840D81">
        <w:tblPrEx>
          <w:tblCellMar>
            <w:top w:w="0" w:type="dxa"/>
            <w:left w:w="0" w:type="dxa"/>
            <w:bottom w:w="0" w:type="dxa"/>
            <w:right w:w="0" w:type="dxa"/>
          </w:tblCellMar>
        </w:tblPrEx>
        <w:trPr>
          <w:wBefore w:w="0" w:type="auto"/>
          <w:tblCellSpacing w:w="0" w:type="dxa"/>
        </w:trPr>
        <w:tc>
          <w:tcPr>
            <w:tcW w:w="0" w:type="auto"/>
            <w:noWrap w:val="0"/>
            <w:vAlign w:val="center"/>
          </w:tcPr>
          <w:p w14:paraId="14E48F3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00BCD129">
        <w:tblPrEx>
          <w:tblCellMar>
            <w:top w:w="0" w:type="dxa"/>
            <w:left w:w="0" w:type="dxa"/>
            <w:bottom w:w="0" w:type="dxa"/>
            <w:right w:w="0" w:type="dxa"/>
          </w:tblCellMar>
        </w:tblPrEx>
        <w:trPr>
          <w:wBefore w:w="0" w:type="auto"/>
          <w:tblCellSpacing w:w="0" w:type="dxa"/>
        </w:trPr>
        <w:tc>
          <w:tcPr>
            <w:tcW w:w="0" w:type="auto"/>
            <w:noWrap w:val="0"/>
            <w:vAlign w:val="center"/>
          </w:tcPr>
          <w:p w14:paraId="00D0DEBD">
            <w:r>
              <w:rPr>
                <w:rStyle w:val="10"/>
                <w:rFonts w:hint="eastAsia"/>
              </w:rPr>
              <w:t>质量保证期：</w:t>
            </w:r>
            <w:r>
              <w:rPr>
                <w:rStyle w:val="11"/>
                <w:rFonts w:hint="eastAsia"/>
              </w:rPr>
              <w:t>2年</w:t>
            </w:r>
          </w:p>
        </w:tc>
      </w:tr>
      <w:tr w14:paraId="50B0D617">
        <w:tblPrEx>
          <w:tblCellMar>
            <w:top w:w="0" w:type="dxa"/>
            <w:left w:w="0" w:type="dxa"/>
            <w:bottom w:w="0" w:type="dxa"/>
            <w:right w:w="0" w:type="dxa"/>
          </w:tblCellMar>
        </w:tblPrEx>
        <w:trPr>
          <w:wBefore w:w="0" w:type="auto"/>
          <w:tblCellSpacing w:w="0" w:type="dxa"/>
        </w:trPr>
        <w:tc>
          <w:tcPr>
            <w:tcW w:w="0" w:type="auto"/>
            <w:noWrap w:val="0"/>
            <w:vAlign w:val="center"/>
          </w:tcPr>
          <w:p w14:paraId="022873FB">
            <w:r>
              <w:rPr>
                <w:rStyle w:val="10"/>
                <w:rFonts w:hint="eastAsia"/>
              </w:rPr>
              <w:t>备注：</w:t>
            </w:r>
          </w:p>
        </w:tc>
      </w:tr>
    </w:tbl>
    <w:p w14:paraId="69D785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A107D6">
        <w:tblPrEx>
          <w:tblCellMar>
            <w:top w:w="0" w:type="dxa"/>
            <w:left w:w="0" w:type="dxa"/>
            <w:bottom w:w="0" w:type="dxa"/>
            <w:right w:w="0" w:type="dxa"/>
          </w:tblCellMar>
        </w:tblPrEx>
        <w:trPr>
          <w:wBefore w:w="0" w:type="auto"/>
          <w:tblCellSpacing w:w="0" w:type="dxa"/>
        </w:trPr>
        <w:tc>
          <w:tcPr>
            <w:tcW w:w="0" w:type="auto"/>
            <w:noWrap w:val="0"/>
            <w:vAlign w:val="center"/>
          </w:tcPr>
          <w:p w14:paraId="4BA5A399">
            <w:r>
              <w:rPr>
                <w:rStyle w:val="10"/>
                <w:rFonts w:hint="eastAsia"/>
              </w:rPr>
              <w:t>登记证号：</w:t>
            </w:r>
            <w:r>
              <w:rPr>
                <w:rFonts w:hint="eastAsia"/>
              </w:rPr>
              <w:t>PD20212601</w:t>
            </w:r>
          </w:p>
        </w:tc>
      </w:tr>
      <w:tr w14:paraId="05E39753">
        <w:tblPrEx>
          <w:tblCellMar>
            <w:top w:w="0" w:type="dxa"/>
            <w:left w:w="0" w:type="dxa"/>
            <w:bottom w:w="0" w:type="dxa"/>
            <w:right w:w="0" w:type="dxa"/>
          </w:tblCellMar>
        </w:tblPrEx>
        <w:trPr>
          <w:wBefore w:w="0" w:type="auto"/>
          <w:tblCellSpacing w:w="0" w:type="dxa"/>
        </w:trPr>
        <w:tc>
          <w:tcPr>
            <w:tcW w:w="0" w:type="auto"/>
            <w:noWrap w:val="0"/>
            <w:vAlign w:val="center"/>
          </w:tcPr>
          <w:p w14:paraId="692B94C8">
            <w:r>
              <w:rPr>
                <w:rStyle w:val="10"/>
                <w:rFonts w:hint="eastAsia"/>
              </w:rPr>
              <w:t>登记证持有人：</w:t>
            </w:r>
            <w:r>
              <w:rPr>
                <w:rFonts w:hint="eastAsia"/>
              </w:rPr>
              <w:t>江苏省农用激素工程技术研究中心有限公司</w:t>
            </w:r>
          </w:p>
        </w:tc>
      </w:tr>
      <w:tr w14:paraId="33C5F5CF">
        <w:tblPrEx>
          <w:tblCellMar>
            <w:top w:w="0" w:type="dxa"/>
            <w:left w:w="0" w:type="dxa"/>
            <w:bottom w:w="0" w:type="dxa"/>
            <w:right w:w="0" w:type="dxa"/>
          </w:tblCellMar>
        </w:tblPrEx>
        <w:trPr>
          <w:wBefore w:w="0" w:type="auto"/>
          <w:tblCellSpacing w:w="0" w:type="dxa"/>
        </w:trPr>
        <w:tc>
          <w:tcPr>
            <w:tcW w:w="0" w:type="auto"/>
            <w:noWrap w:val="0"/>
            <w:vAlign w:val="center"/>
          </w:tcPr>
          <w:p w14:paraId="57787489">
            <w:r>
              <w:rPr>
                <w:rStyle w:val="10"/>
                <w:rFonts w:hint="eastAsia"/>
              </w:rPr>
              <w:t>农药名称：</w:t>
            </w:r>
            <w:r>
              <w:rPr>
                <w:rFonts w:hint="eastAsia"/>
              </w:rPr>
              <w:t>异噁唑草酮</w:t>
            </w:r>
          </w:p>
        </w:tc>
      </w:tr>
      <w:tr w14:paraId="57E4EC45">
        <w:tblPrEx>
          <w:tblCellMar>
            <w:top w:w="0" w:type="dxa"/>
            <w:left w:w="0" w:type="dxa"/>
            <w:bottom w:w="0" w:type="dxa"/>
            <w:right w:w="0" w:type="dxa"/>
          </w:tblCellMar>
        </w:tblPrEx>
        <w:trPr>
          <w:wBefore w:w="0" w:type="auto"/>
          <w:tblCellSpacing w:w="0" w:type="dxa"/>
        </w:trPr>
        <w:tc>
          <w:tcPr>
            <w:tcW w:w="0" w:type="auto"/>
            <w:noWrap w:val="0"/>
            <w:vAlign w:val="center"/>
          </w:tcPr>
          <w:p w14:paraId="0F1AA495">
            <w:r>
              <w:rPr>
                <w:rStyle w:val="10"/>
                <w:rFonts w:hint="eastAsia"/>
              </w:rPr>
              <w:t>剂型：</w:t>
            </w:r>
            <w:r>
              <w:rPr>
                <w:rFonts w:hint="eastAsia"/>
              </w:rPr>
              <w:t>水分散粒剂</w:t>
            </w:r>
          </w:p>
        </w:tc>
      </w:tr>
      <w:tr w14:paraId="531C3848">
        <w:tblPrEx>
          <w:tblCellMar>
            <w:top w:w="0" w:type="dxa"/>
            <w:left w:w="0" w:type="dxa"/>
            <w:bottom w:w="0" w:type="dxa"/>
            <w:right w:w="0" w:type="dxa"/>
          </w:tblCellMar>
        </w:tblPrEx>
        <w:trPr>
          <w:wBefore w:w="0" w:type="auto"/>
          <w:tblCellSpacing w:w="0" w:type="dxa"/>
        </w:trPr>
        <w:tc>
          <w:tcPr>
            <w:tcW w:w="0" w:type="auto"/>
            <w:noWrap w:val="0"/>
            <w:vAlign w:val="center"/>
          </w:tcPr>
          <w:p w14:paraId="27DDC50B">
            <w:r>
              <w:rPr>
                <w:rStyle w:val="10"/>
                <w:rFonts w:hint="eastAsia"/>
              </w:rPr>
              <w:t>毒性及其标识：</w:t>
            </w:r>
            <w:r>
              <w:rPr>
                <w:rFonts w:hint="eastAsia"/>
              </w:rPr>
              <w:t xml:space="preserve"> 微毒 </w:t>
            </w:r>
          </w:p>
        </w:tc>
      </w:tr>
      <w:tr w14:paraId="26EAED7C">
        <w:tblPrEx>
          <w:tblCellMar>
            <w:top w:w="0" w:type="dxa"/>
            <w:left w:w="0" w:type="dxa"/>
            <w:bottom w:w="0" w:type="dxa"/>
            <w:right w:w="0" w:type="dxa"/>
          </w:tblCellMar>
        </w:tblPrEx>
        <w:trPr>
          <w:wBefore w:w="0" w:type="auto"/>
          <w:tblCellSpacing w:w="0" w:type="dxa"/>
        </w:trPr>
        <w:tc>
          <w:tcPr>
            <w:tcW w:w="0" w:type="auto"/>
            <w:noWrap w:val="0"/>
            <w:vAlign w:val="center"/>
          </w:tcPr>
          <w:p w14:paraId="4924C9A3">
            <w:r>
              <w:rPr>
                <w:rStyle w:val="10"/>
                <w:rFonts w:hint="eastAsia"/>
              </w:rPr>
              <w:t>总有效成分含量：</w:t>
            </w:r>
            <w:r>
              <w:rPr>
                <w:rFonts w:hint="eastAsia"/>
              </w:rPr>
              <w:t>75%</w:t>
            </w:r>
          </w:p>
        </w:tc>
      </w:tr>
      <w:tr w14:paraId="7FF0614A">
        <w:tblPrEx>
          <w:tblCellMar>
            <w:top w:w="0" w:type="dxa"/>
            <w:left w:w="0" w:type="dxa"/>
            <w:bottom w:w="0" w:type="dxa"/>
            <w:right w:w="0" w:type="dxa"/>
          </w:tblCellMar>
        </w:tblPrEx>
        <w:trPr>
          <w:wBefore w:w="0" w:type="auto"/>
          <w:tblCellSpacing w:w="0" w:type="dxa"/>
        </w:trPr>
        <w:tc>
          <w:tcPr>
            <w:tcW w:w="0" w:type="auto"/>
            <w:noWrap w:val="0"/>
            <w:vAlign w:val="center"/>
          </w:tcPr>
          <w:p w14:paraId="3EBA9F41">
            <w:r>
              <w:rPr>
                <w:rFonts w:hint="eastAsia"/>
              </w:rPr>
              <w:t xml:space="preserve">有效成分及其含量： </w:t>
            </w:r>
          </w:p>
          <w:p w14:paraId="7FA1ACA1">
            <w:r>
              <w:rPr>
                <w:rFonts w:hint="eastAsia"/>
              </w:rPr>
              <w:t xml:space="preserve">    异噁唑草酮75%    </w:t>
            </w:r>
          </w:p>
        </w:tc>
      </w:tr>
      <w:tr w14:paraId="3E08B13D">
        <w:tblPrEx>
          <w:tblCellMar>
            <w:top w:w="0" w:type="dxa"/>
            <w:left w:w="0" w:type="dxa"/>
            <w:bottom w:w="0" w:type="dxa"/>
            <w:right w:w="0" w:type="dxa"/>
          </w:tblCellMar>
        </w:tblPrEx>
        <w:trPr>
          <w:wBefore w:w="0" w:type="auto"/>
          <w:tblCellSpacing w:w="0" w:type="dxa"/>
        </w:trPr>
        <w:tc>
          <w:tcPr>
            <w:tcW w:w="0" w:type="auto"/>
            <w:noWrap w:val="0"/>
            <w:vAlign w:val="center"/>
          </w:tcPr>
          <w:p w14:paraId="39E3F3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3AC4E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0D29F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6EAF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3FFF1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42DAE2">
                  <w:r>
                    <w:rPr>
                      <w:rStyle w:val="11"/>
                      <w:rFonts w:hint="eastAsia"/>
                    </w:rPr>
                    <w:t>施用方式</w:t>
                  </w:r>
                </w:p>
              </w:tc>
            </w:tr>
            <w:tr w14:paraId="58774B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68FE90">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64749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567EB">
                  <w:r>
                    <w:rPr>
                      <w:rStyle w:val="11"/>
                      <w:rFonts w:hint="eastAsia"/>
                    </w:rPr>
                    <w:t>8-10克/亩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6D0E81">
                  <w:r>
                    <w:rPr>
                      <w:rStyle w:val="11"/>
                      <w:rFonts w:hint="eastAsia"/>
                    </w:rPr>
                    <w:t>茎叶喷雾</w:t>
                  </w:r>
                </w:p>
              </w:tc>
            </w:tr>
          </w:tbl>
          <w:p w14:paraId="2147DF66">
            <w:pPr>
              <w:rPr>
                <w:rFonts w:ascii="Times New Roman" w:hAnsi="Times New Roman" w:cs="Times New Roman"/>
                <w:sz w:val="20"/>
                <w:szCs w:val="20"/>
              </w:rPr>
            </w:pPr>
          </w:p>
        </w:tc>
      </w:tr>
      <w:tr w14:paraId="1E7F66F5">
        <w:tblPrEx>
          <w:tblCellMar>
            <w:top w:w="0" w:type="dxa"/>
            <w:left w:w="0" w:type="dxa"/>
            <w:bottom w:w="0" w:type="dxa"/>
            <w:right w:w="0" w:type="dxa"/>
          </w:tblCellMar>
        </w:tblPrEx>
        <w:trPr>
          <w:wBefore w:w="0" w:type="auto"/>
          <w:tblCellSpacing w:w="0" w:type="dxa"/>
        </w:trPr>
        <w:tc>
          <w:tcPr>
            <w:tcW w:w="0" w:type="auto"/>
            <w:noWrap w:val="0"/>
            <w:vAlign w:val="center"/>
          </w:tcPr>
          <w:p w14:paraId="13423F4F">
            <w:r>
              <w:rPr>
                <w:rStyle w:val="10"/>
                <w:rFonts w:hint="eastAsia"/>
              </w:rPr>
              <w:t>使用技术要求:</w:t>
            </w:r>
            <w:r>
              <w:rPr>
                <w:rFonts w:hint="eastAsia"/>
              </w:rPr>
              <w:br w:type="textWrapping"/>
            </w:r>
            <w:r>
              <w:rPr>
                <w:rStyle w:val="11"/>
                <w:rFonts w:hint="eastAsia"/>
              </w:rPr>
              <w:t>1. 夏玉米3-5叶期，杂草2-4叶期，以推荐剂量兑水均匀茎叶喷雾施药一次，不得漏喷或重喷。 2. 严禁用弥雾机施药，施药时请避免雾滴飘移至邻近作物。 3. 尽量选择无风的天气施药，避免飘移药害。大风天或预计6小时内降雨，请勿施药。 4. 每季最多使用1次。 5.异噁唑草酮土壤残效期较长，注意合理安排后茬作物，保证安全间隔期。3. 与敏感作物间作套种勿用。</w:t>
            </w:r>
          </w:p>
        </w:tc>
      </w:tr>
      <w:tr w14:paraId="086A6BC1">
        <w:tblPrEx>
          <w:tblCellMar>
            <w:top w:w="0" w:type="dxa"/>
            <w:left w:w="0" w:type="dxa"/>
            <w:bottom w:w="0" w:type="dxa"/>
            <w:right w:w="0" w:type="dxa"/>
          </w:tblCellMar>
        </w:tblPrEx>
        <w:trPr>
          <w:wBefore w:w="0" w:type="auto"/>
          <w:tblCellSpacing w:w="0" w:type="dxa"/>
        </w:trPr>
        <w:tc>
          <w:tcPr>
            <w:tcW w:w="0" w:type="auto"/>
            <w:noWrap w:val="0"/>
            <w:vAlign w:val="center"/>
          </w:tcPr>
          <w:p w14:paraId="0F5B7CD3">
            <w:r>
              <w:rPr>
                <w:rStyle w:val="10"/>
                <w:rFonts w:hint="eastAsia"/>
              </w:rPr>
              <w:t>产品性能:</w:t>
            </w:r>
            <w:r>
              <w:rPr>
                <w:rFonts w:hint="eastAsia"/>
              </w:rPr>
              <w:br w:type="textWrapping"/>
            </w:r>
            <w:r>
              <w:rPr>
                <w:rStyle w:val="11"/>
                <w:rFonts w:hint="eastAsia"/>
              </w:rPr>
              <w:t>本品为夏玉米田内吸传导型选择性除草剂，属于对羟基苯基丙酮酸酯双氧化酶抑制剂，能够在植物体内和土壤中快速分解，主要经由杂草幼根吸收传导而起作用。</w:t>
            </w:r>
          </w:p>
        </w:tc>
      </w:tr>
      <w:tr w14:paraId="6092C8EC">
        <w:tblPrEx>
          <w:tblCellMar>
            <w:top w:w="0" w:type="dxa"/>
            <w:left w:w="0" w:type="dxa"/>
            <w:bottom w:w="0" w:type="dxa"/>
            <w:right w:w="0" w:type="dxa"/>
          </w:tblCellMar>
        </w:tblPrEx>
        <w:trPr>
          <w:wBefore w:w="0" w:type="auto"/>
          <w:tblCellSpacing w:w="0" w:type="dxa"/>
        </w:trPr>
        <w:tc>
          <w:tcPr>
            <w:tcW w:w="0" w:type="auto"/>
            <w:noWrap w:val="0"/>
            <w:vAlign w:val="center"/>
          </w:tcPr>
          <w:p w14:paraId="5FACB4D4">
            <w:r>
              <w:rPr>
                <w:rStyle w:val="10"/>
                <w:rFonts w:hint="eastAsia"/>
              </w:rPr>
              <w:t>注意事项：</w:t>
            </w:r>
            <w:r>
              <w:rPr>
                <w:rFonts w:hint="eastAsia"/>
              </w:rPr>
              <w:br w:type="textWrapping"/>
            </w:r>
            <w:r>
              <w:rPr>
                <w:rStyle w:val="11"/>
                <w:rFonts w:hint="eastAsia"/>
              </w:rPr>
              <w:t>1. 爆裂玉米、糯玉米及自交系玉米田不宜使用。因不同玉米品种对本品的耐药性不用，应先进行小区试验，确认安全后再大面积使用。2. 本品不得用于玉米与其它作物间作、混种田。3. 远离水产养殖区、河塘等水体施药，禁止在河塘等水体中清洗施药器具。施药后药械应彻底清洗，剩余的药液和洗刷施药用具的水，不要倒入田间、河流。用过的容器应妥善处理，不可做他用，也不可随意丢弃。4. 配制和运输该剂时请穿戴必要的防护用具。5. 本品对眼睛有刺激性，使用时避免接触眼睛，穿戴长衣、长裤、帽子、口罩、手套等防护措施。工作结束后，应用肥皂、清水洗脸、手和裸露部位。6. 避免孕妇及哺乳期的妇女接触。7. 严格按照推荐方法使用、操作和贮藏本品。使用时应接受当地农业技术部门的指导。8.</w:t>
            </w:r>
          </w:p>
        </w:tc>
      </w:tr>
      <w:tr w14:paraId="07AF76B5">
        <w:tblPrEx>
          <w:tblCellMar>
            <w:top w:w="0" w:type="dxa"/>
            <w:left w:w="0" w:type="dxa"/>
            <w:bottom w:w="0" w:type="dxa"/>
            <w:right w:w="0" w:type="dxa"/>
          </w:tblCellMar>
        </w:tblPrEx>
        <w:trPr>
          <w:wBefore w:w="0" w:type="auto"/>
          <w:tblCellSpacing w:w="0" w:type="dxa"/>
        </w:trPr>
        <w:tc>
          <w:tcPr>
            <w:tcW w:w="0" w:type="auto"/>
            <w:noWrap w:val="0"/>
            <w:vAlign w:val="center"/>
          </w:tcPr>
          <w:p w14:paraId="479611B7">
            <w:r>
              <w:rPr>
                <w:rStyle w:val="10"/>
                <w:rFonts w:hint="eastAsia"/>
              </w:rPr>
              <w:t>中毒急救措施：</w:t>
            </w:r>
            <w:r>
              <w:rPr>
                <w:rFonts w:hint="eastAsia"/>
              </w:rPr>
              <w:br w:type="textWrapping"/>
            </w:r>
            <w:r>
              <w:rPr>
                <w:rStyle w:val="11"/>
                <w:rFonts w:hint="eastAsia"/>
              </w:rPr>
              <w:t>1. 中毒症状：本品对眼睛有刺激作用，使用中或使用后如果感觉不适，应立即停止工作，采取急救措施。2. 如不慎接触皮肤，应用肥皂和大量清水冲洗，若溅入眼内，立即用大量清水冲洗至少15分钟，如还不适请就医。如吸入，立即将吸入者转移到空气清新处，如果吸入者停止呼吸，需要进行人工呼吸。注意保暖和休息，请医生诊治。无特殊解毒剂，若误服饮大量水催吐，保持安静，并送往医院对症治疗。</w:t>
            </w:r>
          </w:p>
        </w:tc>
      </w:tr>
      <w:tr w14:paraId="5EB7000A">
        <w:tblPrEx>
          <w:tblCellMar>
            <w:top w:w="0" w:type="dxa"/>
            <w:left w:w="0" w:type="dxa"/>
            <w:bottom w:w="0" w:type="dxa"/>
            <w:right w:w="0" w:type="dxa"/>
          </w:tblCellMar>
        </w:tblPrEx>
        <w:trPr>
          <w:wBefore w:w="0" w:type="auto"/>
          <w:tblCellSpacing w:w="0" w:type="dxa"/>
        </w:trPr>
        <w:tc>
          <w:tcPr>
            <w:tcW w:w="0" w:type="auto"/>
            <w:noWrap w:val="0"/>
            <w:vAlign w:val="center"/>
          </w:tcPr>
          <w:p w14:paraId="63408930">
            <w:r>
              <w:rPr>
                <w:rStyle w:val="10"/>
                <w:rFonts w:hint="eastAsia"/>
              </w:rPr>
              <w:t>储存和运输方法：</w:t>
            </w:r>
            <w:r>
              <w:rPr>
                <w:rFonts w:hint="eastAsia"/>
              </w:rPr>
              <w:br w:type="textWrapping"/>
            </w:r>
            <w:r>
              <w:rPr>
                <w:rStyle w:val="11"/>
                <w:rFonts w:hint="eastAsia"/>
              </w:rPr>
              <w:t>包装件应贮存于通风、干燥、防雨、阴凉的库房中，远离火源和热源。置于儿童及无关人员接触不到处，并加锁。贮运时，严防潮湿和日晒，不能与食品、饮料、粮食、饲料等物质同贮同运。运输时专人专车，确保不泄漏、不损坏、不倒塌，运输中防曝晒、雨淋、防高温，公路运输时按规定的路线行驶。</w:t>
            </w:r>
          </w:p>
        </w:tc>
      </w:tr>
      <w:tr w14:paraId="27EDD373">
        <w:tblPrEx>
          <w:tblCellMar>
            <w:top w:w="0" w:type="dxa"/>
            <w:left w:w="0" w:type="dxa"/>
            <w:bottom w:w="0" w:type="dxa"/>
            <w:right w:w="0" w:type="dxa"/>
          </w:tblCellMar>
        </w:tblPrEx>
        <w:trPr>
          <w:wBefore w:w="0" w:type="auto"/>
          <w:tblCellSpacing w:w="0" w:type="dxa"/>
        </w:trPr>
        <w:tc>
          <w:tcPr>
            <w:tcW w:w="0" w:type="auto"/>
            <w:noWrap w:val="0"/>
            <w:vAlign w:val="center"/>
          </w:tcPr>
          <w:p w14:paraId="2B17C9A5">
            <w:r>
              <w:rPr>
                <w:rStyle w:val="10"/>
                <w:rFonts w:hint="eastAsia"/>
              </w:rPr>
              <w:t>质量保证期：</w:t>
            </w:r>
            <w:r>
              <w:rPr>
                <w:rStyle w:val="11"/>
                <w:rFonts w:hint="eastAsia"/>
              </w:rPr>
              <w:t>2年</w:t>
            </w:r>
          </w:p>
        </w:tc>
      </w:tr>
      <w:tr w14:paraId="593569C2">
        <w:tblPrEx>
          <w:tblCellMar>
            <w:top w:w="0" w:type="dxa"/>
            <w:left w:w="0" w:type="dxa"/>
            <w:bottom w:w="0" w:type="dxa"/>
            <w:right w:w="0" w:type="dxa"/>
          </w:tblCellMar>
        </w:tblPrEx>
        <w:trPr>
          <w:wBefore w:w="0" w:type="auto"/>
          <w:tblCellSpacing w:w="0" w:type="dxa"/>
        </w:trPr>
        <w:tc>
          <w:tcPr>
            <w:tcW w:w="0" w:type="auto"/>
            <w:noWrap w:val="0"/>
            <w:vAlign w:val="center"/>
          </w:tcPr>
          <w:p w14:paraId="5E1DD466">
            <w:r>
              <w:rPr>
                <w:rStyle w:val="10"/>
                <w:rFonts w:hint="eastAsia"/>
              </w:rPr>
              <w:t>备注：</w:t>
            </w:r>
          </w:p>
        </w:tc>
      </w:tr>
    </w:tbl>
    <w:p w14:paraId="56E332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378BDE">
        <w:tblPrEx>
          <w:tblCellMar>
            <w:top w:w="0" w:type="dxa"/>
            <w:left w:w="0" w:type="dxa"/>
            <w:bottom w:w="0" w:type="dxa"/>
            <w:right w:w="0" w:type="dxa"/>
          </w:tblCellMar>
        </w:tblPrEx>
        <w:trPr>
          <w:wBefore w:w="0" w:type="auto"/>
          <w:tblCellSpacing w:w="0" w:type="dxa"/>
        </w:trPr>
        <w:tc>
          <w:tcPr>
            <w:tcW w:w="0" w:type="auto"/>
            <w:noWrap w:val="0"/>
            <w:vAlign w:val="center"/>
          </w:tcPr>
          <w:p w14:paraId="25D58B23">
            <w:r>
              <w:rPr>
                <w:rStyle w:val="10"/>
                <w:rFonts w:hint="eastAsia"/>
              </w:rPr>
              <w:t>登记证号：</w:t>
            </w:r>
            <w:r>
              <w:rPr>
                <w:rFonts w:hint="eastAsia"/>
              </w:rPr>
              <w:t>PD20212494</w:t>
            </w:r>
          </w:p>
        </w:tc>
      </w:tr>
      <w:tr w14:paraId="28DB8A8A">
        <w:tblPrEx>
          <w:tblCellMar>
            <w:top w:w="0" w:type="dxa"/>
            <w:left w:w="0" w:type="dxa"/>
            <w:bottom w:w="0" w:type="dxa"/>
            <w:right w:w="0" w:type="dxa"/>
          </w:tblCellMar>
        </w:tblPrEx>
        <w:trPr>
          <w:wBefore w:w="0" w:type="auto"/>
          <w:tblCellSpacing w:w="0" w:type="dxa"/>
        </w:trPr>
        <w:tc>
          <w:tcPr>
            <w:tcW w:w="0" w:type="auto"/>
            <w:noWrap w:val="0"/>
            <w:vAlign w:val="center"/>
          </w:tcPr>
          <w:p w14:paraId="0530B7EA">
            <w:r>
              <w:rPr>
                <w:rStyle w:val="10"/>
                <w:rFonts w:hint="eastAsia"/>
              </w:rPr>
              <w:t>登记证持有人：</w:t>
            </w:r>
            <w:r>
              <w:rPr>
                <w:rFonts w:hint="eastAsia"/>
              </w:rPr>
              <w:t>四川省川东农药化工有限公司</w:t>
            </w:r>
          </w:p>
        </w:tc>
      </w:tr>
      <w:tr w14:paraId="163AC454">
        <w:tblPrEx>
          <w:tblCellMar>
            <w:top w:w="0" w:type="dxa"/>
            <w:left w:w="0" w:type="dxa"/>
            <w:bottom w:w="0" w:type="dxa"/>
            <w:right w:w="0" w:type="dxa"/>
          </w:tblCellMar>
        </w:tblPrEx>
        <w:trPr>
          <w:wBefore w:w="0" w:type="auto"/>
          <w:tblCellSpacing w:w="0" w:type="dxa"/>
        </w:trPr>
        <w:tc>
          <w:tcPr>
            <w:tcW w:w="0" w:type="auto"/>
            <w:noWrap w:val="0"/>
            <w:vAlign w:val="center"/>
          </w:tcPr>
          <w:p w14:paraId="314D82D7">
            <w:r>
              <w:rPr>
                <w:rStyle w:val="10"/>
                <w:rFonts w:hint="eastAsia"/>
              </w:rPr>
              <w:t>农药名称：</w:t>
            </w:r>
            <w:r>
              <w:rPr>
                <w:rFonts w:hint="eastAsia"/>
              </w:rPr>
              <w:t>乙羧·草铵膦</w:t>
            </w:r>
          </w:p>
        </w:tc>
      </w:tr>
      <w:tr w14:paraId="2465EF61">
        <w:tblPrEx>
          <w:tblCellMar>
            <w:top w:w="0" w:type="dxa"/>
            <w:left w:w="0" w:type="dxa"/>
            <w:bottom w:w="0" w:type="dxa"/>
            <w:right w:w="0" w:type="dxa"/>
          </w:tblCellMar>
        </w:tblPrEx>
        <w:trPr>
          <w:wBefore w:w="0" w:type="auto"/>
          <w:tblCellSpacing w:w="0" w:type="dxa"/>
        </w:trPr>
        <w:tc>
          <w:tcPr>
            <w:tcW w:w="0" w:type="auto"/>
            <w:noWrap w:val="0"/>
            <w:vAlign w:val="center"/>
          </w:tcPr>
          <w:p w14:paraId="6F8FA66F">
            <w:r>
              <w:rPr>
                <w:rStyle w:val="10"/>
                <w:rFonts w:hint="eastAsia"/>
              </w:rPr>
              <w:t>剂型：</w:t>
            </w:r>
            <w:r>
              <w:rPr>
                <w:rFonts w:hint="eastAsia"/>
              </w:rPr>
              <w:t>微乳剂</w:t>
            </w:r>
          </w:p>
        </w:tc>
      </w:tr>
      <w:tr w14:paraId="3677BC57">
        <w:tblPrEx>
          <w:tblCellMar>
            <w:top w:w="0" w:type="dxa"/>
            <w:left w:w="0" w:type="dxa"/>
            <w:bottom w:w="0" w:type="dxa"/>
            <w:right w:w="0" w:type="dxa"/>
          </w:tblCellMar>
        </w:tblPrEx>
        <w:trPr>
          <w:wBefore w:w="0" w:type="auto"/>
          <w:tblCellSpacing w:w="0" w:type="dxa"/>
        </w:trPr>
        <w:tc>
          <w:tcPr>
            <w:tcW w:w="0" w:type="auto"/>
            <w:noWrap w:val="0"/>
            <w:vAlign w:val="center"/>
          </w:tcPr>
          <w:p w14:paraId="7C66143A">
            <w:r>
              <w:rPr>
                <w:rStyle w:val="10"/>
                <w:rFonts w:hint="eastAsia"/>
              </w:rPr>
              <w:t>毒性及其标识：</w:t>
            </w:r>
            <w:r>
              <w:rPr>
                <w:rFonts w:hint="eastAsia"/>
              </w:rPr>
              <w:t xml:space="preserve"> </w:t>
            </w:r>
            <w:r>
              <w:rPr>
                <w:lang/>
              </w:rPr>
              <w:drawing>
                <wp:inline distT="0" distB="0" distL="114300" distR="114300">
                  <wp:extent cx="476250" cy="323850"/>
                  <wp:effectExtent l="0" t="0" r="0" b="0"/>
                  <wp:docPr id="185" name="图片 1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66C31A">
        <w:tblPrEx>
          <w:tblCellMar>
            <w:top w:w="0" w:type="dxa"/>
            <w:left w:w="0" w:type="dxa"/>
            <w:bottom w:w="0" w:type="dxa"/>
            <w:right w:w="0" w:type="dxa"/>
          </w:tblCellMar>
        </w:tblPrEx>
        <w:trPr>
          <w:wBefore w:w="0" w:type="auto"/>
          <w:tblCellSpacing w:w="0" w:type="dxa"/>
        </w:trPr>
        <w:tc>
          <w:tcPr>
            <w:tcW w:w="0" w:type="auto"/>
            <w:noWrap w:val="0"/>
            <w:vAlign w:val="center"/>
          </w:tcPr>
          <w:p w14:paraId="51C6C389">
            <w:r>
              <w:rPr>
                <w:rStyle w:val="10"/>
                <w:rFonts w:hint="eastAsia"/>
              </w:rPr>
              <w:t>总有效成分含量：</w:t>
            </w:r>
            <w:r>
              <w:rPr>
                <w:rFonts w:hint="eastAsia"/>
              </w:rPr>
              <w:t>20%</w:t>
            </w:r>
          </w:p>
        </w:tc>
      </w:tr>
      <w:tr w14:paraId="17BD40B2">
        <w:tblPrEx>
          <w:tblCellMar>
            <w:top w:w="0" w:type="dxa"/>
            <w:left w:w="0" w:type="dxa"/>
            <w:bottom w:w="0" w:type="dxa"/>
            <w:right w:w="0" w:type="dxa"/>
          </w:tblCellMar>
        </w:tblPrEx>
        <w:trPr>
          <w:wBefore w:w="0" w:type="auto"/>
          <w:tblCellSpacing w:w="0" w:type="dxa"/>
        </w:trPr>
        <w:tc>
          <w:tcPr>
            <w:tcW w:w="0" w:type="auto"/>
            <w:noWrap w:val="0"/>
            <w:vAlign w:val="center"/>
          </w:tcPr>
          <w:p w14:paraId="513A53BC">
            <w:r>
              <w:rPr>
                <w:rFonts w:hint="eastAsia"/>
              </w:rPr>
              <w:t xml:space="preserve">有效成分及其含量： </w:t>
            </w:r>
          </w:p>
          <w:p w14:paraId="0BACC4E3">
            <w:r>
              <w:rPr>
                <w:rFonts w:hint="eastAsia"/>
              </w:rPr>
              <w:t xml:space="preserve">    乙羧氟草醚1%    草铵膦19%    </w:t>
            </w:r>
          </w:p>
        </w:tc>
      </w:tr>
      <w:tr w14:paraId="04A99B0F">
        <w:tblPrEx>
          <w:tblCellMar>
            <w:top w:w="0" w:type="dxa"/>
            <w:left w:w="0" w:type="dxa"/>
            <w:bottom w:w="0" w:type="dxa"/>
            <w:right w:w="0" w:type="dxa"/>
          </w:tblCellMar>
        </w:tblPrEx>
        <w:trPr>
          <w:wBefore w:w="0" w:type="auto"/>
          <w:tblCellSpacing w:w="0" w:type="dxa"/>
        </w:trPr>
        <w:tc>
          <w:tcPr>
            <w:tcW w:w="0" w:type="auto"/>
            <w:noWrap w:val="0"/>
            <w:vAlign w:val="center"/>
          </w:tcPr>
          <w:p w14:paraId="5284D54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B1F1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08F4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573F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53FDC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F6DAE8">
                  <w:r>
                    <w:rPr>
                      <w:rStyle w:val="11"/>
                      <w:rFonts w:hint="eastAsia"/>
                    </w:rPr>
                    <w:t>施用方式</w:t>
                  </w:r>
                </w:p>
              </w:tc>
            </w:tr>
            <w:tr w14:paraId="784E6F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AD863E">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BAC9C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8EE6B1">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8412FC">
                  <w:r>
                    <w:rPr>
                      <w:rStyle w:val="11"/>
                      <w:rFonts w:hint="eastAsia"/>
                    </w:rPr>
                    <w:t>茎叶喷雾</w:t>
                  </w:r>
                </w:p>
              </w:tc>
            </w:tr>
          </w:tbl>
          <w:p w14:paraId="4F6AD72B">
            <w:pPr>
              <w:rPr>
                <w:rFonts w:ascii="Times New Roman" w:hAnsi="Times New Roman" w:cs="Times New Roman"/>
                <w:sz w:val="20"/>
                <w:szCs w:val="20"/>
              </w:rPr>
            </w:pPr>
          </w:p>
        </w:tc>
      </w:tr>
      <w:tr w14:paraId="6A549861">
        <w:tblPrEx>
          <w:tblCellMar>
            <w:top w:w="0" w:type="dxa"/>
            <w:left w:w="0" w:type="dxa"/>
            <w:bottom w:w="0" w:type="dxa"/>
            <w:right w:w="0" w:type="dxa"/>
          </w:tblCellMar>
        </w:tblPrEx>
        <w:trPr>
          <w:wBefore w:w="0" w:type="auto"/>
          <w:tblCellSpacing w:w="0" w:type="dxa"/>
        </w:trPr>
        <w:tc>
          <w:tcPr>
            <w:tcW w:w="0" w:type="auto"/>
            <w:noWrap w:val="0"/>
            <w:vAlign w:val="center"/>
          </w:tcPr>
          <w:p w14:paraId="44E8B0CB">
            <w:r>
              <w:rPr>
                <w:rStyle w:val="10"/>
                <w:rFonts w:hint="eastAsia"/>
              </w:rPr>
              <w:t>使用技术要求:</w:t>
            </w:r>
            <w:r>
              <w:rPr>
                <w:rFonts w:hint="eastAsia"/>
              </w:rPr>
              <w:br w:type="textWrapping"/>
            </w:r>
            <w:r>
              <w:rPr>
                <w:rStyle w:val="11"/>
                <w:rFonts w:hint="eastAsia"/>
              </w:rPr>
              <w:t>1. 本品于非耕地杂草旺盛生长期，以推荐剂量兑水均匀茎叶喷雾施药，每季最多使用1次。. 2. 大风天或预计6小时内降雨，勿施药。 3. 避免飘移药害；禁止在田间道路、田埂、果树行间、休耕地、林场林地等农林业区域使用。 </w:t>
            </w:r>
          </w:p>
        </w:tc>
      </w:tr>
      <w:tr w14:paraId="553AC293">
        <w:tblPrEx>
          <w:tblCellMar>
            <w:top w:w="0" w:type="dxa"/>
            <w:left w:w="0" w:type="dxa"/>
            <w:bottom w:w="0" w:type="dxa"/>
            <w:right w:w="0" w:type="dxa"/>
          </w:tblCellMar>
        </w:tblPrEx>
        <w:trPr>
          <w:wBefore w:w="0" w:type="auto"/>
          <w:tblCellSpacing w:w="0" w:type="dxa"/>
        </w:trPr>
        <w:tc>
          <w:tcPr>
            <w:tcW w:w="0" w:type="auto"/>
            <w:noWrap w:val="0"/>
            <w:vAlign w:val="center"/>
          </w:tcPr>
          <w:p w14:paraId="02E16B97">
            <w:r>
              <w:rPr>
                <w:rStyle w:val="10"/>
                <w:rFonts w:hint="eastAsia"/>
              </w:rPr>
              <w:t>产品性能:</w:t>
            </w:r>
            <w:r>
              <w:rPr>
                <w:rFonts w:hint="eastAsia"/>
              </w:rPr>
              <w:br w:type="textWrapping"/>
            </w:r>
            <w:r>
              <w:rPr>
                <w:rStyle w:val="11"/>
                <w:rFonts w:hint="eastAsia"/>
              </w:rPr>
              <w:t>本品是由乙羧氟草醚和草铵膦复配而成的灭生性除草剂，具有杀草谱广、除草效果好、持效期长等特点。二者混配可用于防除非耕地杂草。</w:t>
            </w:r>
          </w:p>
        </w:tc>
      </w:tr>
      <w:tr w14:paraId="68A1B473">
        <w:tblPrEx>
          <w:tblCellMar>
            <w:top w:w="0" w:type="dxa"/>
            <w:left w:w="0" w:type="dxa"/>
            <w:bottom w:w="0" w:type="dxa"/>
            <w:right w:w="0" w:type="dxa"/>
          </w:tblCellMar>
        </w:tblPrEx>
        <w:trPr>
          <w:wBefore w:w="0" w:type="auto"/>
          <w:tblCellSpacing w:w="0" w:type="dxa"/>
        </w:trPr>
        <w:tc>
          <w:tcPr>
            <w:tcW w:w="0" w:type="auto"/>
            <w:noWrap w:val="0"/>
            <w:vAlign w:val="center"/>
          </w:tcPr>
          <w:p w14:paraId="614323A4">
            <w:r>
              <w:rPr>
                <w:rStyle w:val="10"/>
                <w:rFonts w:hint="eastAsia"/>
              </w:rPr>
              <w:t>注意事项：</w:t>
            </w:r>
            <w:r>
              <w:rPr>
                <w:rFonts w:hint="eastAsia"/>
              </w:rPr>
              <w:br w:type="textWrapping"/>
            </w:r>
            <w:r>
              <w:rPr>
                <w:rStyle w:val="11"/>
                <w:rFonts w:hint="eastAsia"/>
              </w:rPr>
              <w:t>1. 使用前请仔细阅读此标签,并严格按照标签说明使用。本品对眼睛有刺激性，使用时避免接触眼睛，穿戴长衣、长裤、帽子、口罩、手套等防护措施。2. 施药前、后要彻底清洗喷药器械，洗涤后的废水不应污染河流等水源，未用完的药液应密封后妥善放置。3. 用药后包装物及用过的容器应妥善处理，不可做他用，也不可随意丢弃。4. 使用时不得污染各类水域、土壤等环境。5. 本品对鸟类、家蚕和非靶标生物有影响。应远离水产养殖区、河塘等水体施药，禁止在河塘等水域中清洗施药器具。鸟类保护区禁用，蚕室和桑园附近禁用，瓢虫等天敌放飞区域禁用。6. 孕妇及哺乳期妇女禁止接触。7. 为避免产生抗药性，建议与其它作用机理不同的除草剂轮换或交替使用。</w:t>
            </w:r>
          </w:p>
        </w:tc>
      </w:tr>
      <w:tr w14:paraId="7DA1CDAA">
        <w:tblPrEx>
          <w:tblCellMar>
            <w:top w:w="0" w:type="dxa"/>
            <w:left w:w="0" w:type="dxa"/>
            <w:bottom w:w="0" w:type="dxa"/>
            <w:right w:w="0" w:type="dxa"/>
          </w:tblCellMar>
        </w:tblPrEx>
        <w:trPr>
          <w:wBefore w:w="0" w:type="auto"/>
          <w:tblCellSpacing w:w="0" w:type="dxa"/>
        </w:trPr>
        <w:tc>
          <w:tcPr>
            <w:tcW w:w="0" w:type="auto"/>
            <w:noWrap w:val="0"/>
            <w:vAlign w:val="center"/>
          </w:tcPr>
          <w:p w14:paraId="7A78B66C">
            <w:r>
              <w:rPr>
                <w:rStyle w:val="10"/>
                <w:rFonts w:hint="eastAsia"/>
              </w:rPr>
              <w:t>中毒急救措施：</w:t>
            </w:r>
            <w:r>
              <w:rPr>
                <w:rFonts w:hint="eastAsia"/>
              </w:rPr>
              <w:br w:type="textWrapping"/>
            </w:r>
            <w:r>
              <w:rPr>
                <w:rStyle w:val="11"/>
                <w:rFonts w:hint="eastAsia"/>
              </w:rPr>
              <w:t>不慎吸入：应将病人移至空气流通处；不慎眼睛溅入或接触皮肤：用大量清水冲洗至少15分钟。不慎误服：用清水将嘴清洗干净，不要自行引吐，携此标签送医诊治。医生洗胃时，应注意保护气管和食管；本品无专用解毒剂。</w:t>
            </w:r>
          </w:p>
        </w:tc>
      </w:tr>
      <w:tr w14:paraId="4E8E76C7">
        <w:tblPrEx>
          <w:tblCellMar>
            <w:top w:w="0" w:type="dxa"/>
            <w:left w:w="0" w:type="dxa"/>
            <w:bottom w:w="0" w:type="dxa"/>
            <w:right w:w="0" w:type="dxa"/>
          </w:tblCellMar>
        </w:tblPrEx>
        <w:trPr>
          <w:wBefore w:w="0" w:type="auto"/>
          <w:tblCellSpacing w:w="0" w:type="dxa"/>
        </w:trPr>
        <w:tc>
          <w:tcPr>
            <w:tcW w:w="0" w:type="auto"/>
            <w:noWrap w:val="0"/>
            <w:vAlign w:val="center"/>
          </w:tcPr>
          <w:p w14:paraId="07A192D1">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本品应贮存在阴凉、干燥、通风、防雨处，远离火源和热源。置于儿童、无关人员触及不到之处，并加锁保存。勿与食品、饮料、粮食、饲料等物品同贮同运。避免与氧化剂接触</w:t>
            </w:r>
          </w:p>
        </w:tc>
      </w:tr>
      <w:tr w14:paraId="6F307F5F">
        <w:tblPrEx>
          <w:tblCellMar>
            <w:top w:w="0" w:type="dxa"/>
            <w:left w:w="0" w:type="dxa"/>
            <w:bottom w:w="0" w:type="dxa"/>
            <w:right w:w="0" w:type="dxa"/>
          </w:tblCellMar>
        </w:tblPrEx>
        <w:trPr>
          <w:wBefore w:w="0" w:type="auto"/>
          <w:tblCellSpacing w:w="0" w:type="dxa"/>
        </w:trPr>
        <w:tc>
          <w:tcPr>
            <w:tcW w:w="0" w:type="auto"/>
            <w:noWrap w:val="0"/>
            <w:vAlign w:val="center"/>
          </w:tcPr>
          <w:p w14:paraId="3DC534EA">
            <w:r>
              <w:rPr>
                <w:rStyle w:val="10"/>
                <w:rFonts w:hint="eastAsia"/>
              </w:rPr>
              <w:t>质量保证期：</w:t>
            </w:r>
            <w:r>
              <w:rPr>
                <w:rStyle w:val="11"/>
                <w:rFonts w:hint="eastAsia"/>
              </w:rPr>
              <w:t>2年</w:t>
            </w:r>
          </w:p>
        </w:tc>
      </w:tr>
      <w:tr w14:paraId="37C1B3A2">
        <w:tblPrEx>
          <w:tblCellMar>
            <w:top w:w="0" w:type="dxa"/>
            <w:left w:w="0" w:type="dxa"/>
            <w:bottom w:w="0" w:type="dxa"/>
            <w:right w:w="0" w:type="dxa"/>
          </w:tblCellMar>
        </w:tblPrEx>
        <w:trPr>
          <w:wBefore w:w="0" w:type="auto"/>
          <w:tblCellSpacing w:w="0" w:type="dxa"/>
        </w:trPr>
        <w:tc>
          <w:tcPr>
            <w:tcW w:w="0" w:type="auto"/>
            <w:noWrap w:val="0"/>
            <w:vAlign w:val="center"/>
          </w:tcPr>
          <w:p w14:paraId="4D1BC2C5">
            <w:r>
              <w:rPr>
                <w:rStyle w:val="10"/>
                <w:rFonts w:hint="eastAsia"/>
              </w:rPr>
              <w:t>备注：</w:t>
            </w:r>
          </w:p>
        </w:tc>
      </w:tr>
    </w:tbl>
    <w:p w14:paraId="5EB729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FBDF73A">
        <w:tblPrEx>
          <w:tblCellMar>
            <w:top w:w="0" w:type="dxa"/>
            <w:left w:w="0" w:type="dxa"/>
            <w:bottom w:w="0" w:type="dxa"/>
            <w:right w:w="0" w:type="dxa"/>
          </w:tblCellMar>
        </w:tblPrEx>
        <w:trPr>
          <w:wBefore w:w="0" w:type="auto"/>
          <w:tblCellSpacing w:w="0" w:type="dxa"/>
        </w:trPr>
        <w:tc>
          <w:tcPr>
            <w:tcW w:w="0" w:type="auto"/>
            <w:noWrap w:val="0"/>
            <w:vAlign w:val="center"/>
          </w:tcPr>
          <w:p w14:paraId="1CD06F2A">
            <w:r>
              <w:rPr>
                <w:rStyle w:val="10"/>
                <w:rFonts w:hint="eastAsia"/>
              </w:rPr>
              <w:t>登记证号：</w:t>
            </w:r>
            <w:r>
              <w:rPr>
                <w:rFonts w:hint="eastAsia"/>
              </w:rPr>
              <w:t>PD20212362</w:t>
            </w:r>
          </w:p>
        </w:tc>
      </w:tr>
      <w:tr w14:paraId="060D563D">
        <w:tblPrEx>
          <w:tblCellMar>
            <w:top w:w="0" w:type="dxa"/>
            <w:left w:w="0" w:type="dxa"/>
            <w:bottom w:w="0" w:type="dxa"/>
            <w:right w:w="0" w:type="dxa"/>
          </w:tblCellMar>
        </w:tblPrEx>
        <w:trPr>
          <w:wBefore w:w="0" w:type="auto"/>
          <w:tblCellSpacing w:w="0" w:type="dxa"/>
        </w:trPr>
        <w:tc>
          <w:tcPr>
            <w:tcW w:w="0" w:type="auto"/>
            <w:noWrap w:val="0"/>
            <w:vAlign w:val="center"/>
          </w:tcPr>
          <w:p w14:paraId="4067F3B8">
            <w:r>
              <w:rPr>
                <w:rStyle w:val="10"/>
                <w:rFonts w:hint="eastAsia"/>
              </w:rPr>
              <w:t>登记证持有人：</w:t>
            </w:r>
            <w:r>
              <w:rPr>
                <w:rFonts w:hint="eastAsia"/>
              </w:rPr>
              <w:t>山东省泰安市泰山现代农业科技有限公司</w:t>
            </w:r>
          </w:p>
        </w:tc>
      </w:tr>
      <w:tr w14:paraId="1F44CF0A">
        <w:tblPrEx>
          <w:tblCellMar>
            <w:top w:w="0" w:type="dxa"/>
            <w:left w:w="0" w:type="dxa"/>
            <w:bottom w:w="0" w:type="dxa"/>
            <w:right w:w="0" w:type="dxa"/>
          </w:tblCellMar>
        </w:tblPrEx>
        <w:trPr>
          <w:wBefore w:w="0" w:type="auto"/>
          <w:tblCellSpacing w:w="0" w:type="dxa"/>
        </w:trPr>
        <w:tc>
          <w:tcPr>
            <w:tcW w:w="0" w:type="auto"/>
            <w:noWrap w:val="0"/>
            <w:vAlign w:val="center"/>
          </w:tcPr>
          <w:p w14:paraId="05E7AC0A">
            <w:r>
              <w:rPr>
                <w:rStyle w:val="10"/>
                <w:rFonts w:hint="eastAsia"/>
              </w:rPr>
              <w:t>农药名称：</w:t>
            </w:r>
            <w:r>
              <w:rPr>
                <w:rFonts w:hint="eastAsia"/>
              </w:rPr>
              <w:t>吡丙醚</w:t>
            </w:r>
          </w:p>
        </w:tc>
      </w:tr>
      <w:tr w14:paraId="1FEBEED7">
        <w:tblPrEx>
          <w:tblCellMar>
            <w:top w:w="0" w:type="dxa"/>
            <w:left w:w="0" w:type="dxa"/>
            <w:bottom w:w="0" w:type="dxa"/>
            <w:right w:w="0" w:type="dxa"/>
          </w:tblCellMar>
        </w:tblPrEx>
        <w:trPr>
          <w:wBefore w:w="0" w:type="auto"/>
          <w:tblCellSpacing w:w="0" w:type="dxa"/>
        </w:trPr>
        <w:tc>
          <w:tcPr>
            <w:tcW w:w="0" w:type="auto"/>
            <w:noWrap w:val="0"/>
            <w:vAlign w:val="center"/>
          </w:tcPr>
          <w:p w14:paraId="3C710E9B">
            <w:r>
              <w:rPr>
                <w:rStyle w:val="10"/>
                <w:rFonts w:hint="eastAsia"/>
              </w:rPr>
              <w:t>剂型：</w:t>
            </w:r>
            <w:r>
              <w:rPr>
                <w:rFonts w:hint="eastAsia"/>
              </w:rPr>
              <w:t>粉剂</w:t>
            </w:r>
          </w:p>
        </w:tc>
      </w:tr>
      <w:tr w14:paraId="45C971BE">
        <w:tblPrEx>
          <w:tblCellMar>
            <w:top w:w="0" w:type="dxa"/>
            <w:left w:w="0" w:type="dxa"/>
            <w:bottom w:w="0" w:type="dxa"/>
            <w:right w:w="0" w:type="dxa"/>
          </w:tblCellMar>
        </w:tblPrEx>
        <w:trPr>
          <w:wBefore w:w="0" w:type="auto"/>
          <w:tblCellSpacing w:w="0" w:type="dxa"/>
        </w:trPr>
        <w:tc>
          <w:tcPr>
            <w:tcW w:w="0" w:type="auto"/>
            <w:noWrap w:val="0"/>
            <w:vAlign w:val="center"/>
          </w:tcPr>
          <w:p w14:paraId="2EB53218">
            <w:r>
              <w:rPr>
                <w:rStyle w:val="10"/>
                <w:rFonts w:hint="eastAsia"/>
              </w:rPr>
              <w:t>毒性及其标识：</w:t>
            </w:r>
            <w:r>
              <w:rPr>
                <w:rFonts w:hint="eastAsia"/>
              </w:rPr>
              <w:t xml:space="preserve"> </w:t>
            </w:r>
            <w:r>
              <w:rPr>
                <w:lang/>
              </w:rPr>
              <w:drawing>
                <wp:inline distT="0" distB="0" distL="114300" distR="114300">
                  <wp:extent cx="476250" cy="323850"/>
                  <wp:effectExtent l="0" t="0" r="0" b="0"/>
                  <wp:docPr id="186" name="图片 1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408460">
        <w:tblPrEx>
          <w:tblCellMar>
            <w:top w:w="0" w:type="dxa"/>
            <w:left w:w="0" w:type="dxa"/>
            <w:bottom w:w="0" w:type="dxa"/>
            <w:right w:w="0" w:type="dxa"/>
          </w:tblCellMar>
        </w:tblPrEx>
        <w:trPr>
          <w:wBefore w:w="0" w:type="auto"/>
          <w:tblCellSpacing w:w="0" w:type="dxa"/>
        </w:trPr>
        <w:tc>
          <w:tcPr>
            <w:tcW w:w="0" w:type="auto"/>
            <w:noWrap w:val="0"/>
            <w:vAlign w:val="center"/>
          </w:tcPr>
          <w:p w14:paraId="0615CEC6">
            <w:r>
              <w:rPr>
                <w:rStyle w:val="10"/>
                <w:rFonts w:hint="eastAsia"/>
              </w:rPr>
              <w:t>总有效成分含量：</w:t>
            </w:r>
            <w:r>
              <w:rPr>
                <w:rFonts w:hint="eastAsia"/>
              </w:rPr>
              <w:t>1%</w:t>
            </w:r>
          </w:p>
        </w:tc>
      </w:tr>
      <w:tr w14:paraId="2DEFC862">
        <w:tblPrEx>
          <w:tblCellMar>
            <w:top w:w="0" w:type="dxa"/>
            <w:left w:w="0" w:type="dxa"/>
            <w:bottom w:w="0" w:type="dxa"/>
            <w:right w:w="0" w:type="dxa"/>
          </w:tblCellMar>
        </w:tblPrEx>
        <w:trPr>
          <w:wBefore w:w="0" w:type="auto"/>
          <w:tblCellSpacing w:w="0" w:type="dxa"/>
        </w:trPr>
        <w:tc>
          <w:tcPr>
            <w:tcW w:w="0" w:type="auto"/>
            <w:noWrap w:val="0"/>
            <w:vAlign w:val="center"/>
          </w:tcPr>
          <w:p w14:paraId="6DFA0D32">
            <w:r>
              <w:rPr>
                <w:rFonts w:hint="eastAsia"/>
              </w:rPr>
              <w:t xml:space="preserve">有效成分及其含量： </w:t>
            </w:r>
          </w:p>
          <w:p w14:paraId="0569BF88">
            <w:r>
              <w:rPr>
                <w:rFonts w:hint="eastAsia"/>
              </w:rPr>
              <w:t xml:space="preserve">    吡丙醚1%    </w:t>
            </w:r>
          </w:p>
        </w:tc>
      </w:tr>
      <w:tr w14:paraId="21C27AAC">
        <w:tblPrEx>
          <w:tblCellMar>
            <w:top w:w="0" w:type="dxa"/>
            <w:left w:w="0" w:type="dxa"/>
            <w:bottom w:w="0" w:type="dxa"/>
            <w:right w:w="0" w:type="dxa"/>
          </w:tblCellMar>
        </w:tblPrEx>
        <w:trPr>
          <w:wBefore w:w="0" w:type="auto"/>
          <w:tblCellSpacing w:w="0" w:type="dxa"/>
        </w:trPr>
        <w:tc>
          <w:tcPr>
            <w:tcW w:w="0" w:type="auto"/>
            <w:noWrap w:val="0"/>
            <w:vAlign w:val="center"/>
          </w:tcPr>
          <w:p w14:paraId="61C6E1A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507B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1D460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4DB1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B5F71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C0DC28">
                  <w:r>
                    <w:rPr>
                      <w:rStyle w:val="11"/>
                      <w:rFonts w:hint="eastAsia"/>
                    </w:rPr>
                    <w:t>施用方式</w:t>
                  </w:r>
                </w:p>
              </w:tc>
            </w:tr>
            <w:tr w14:paraId="58EEBA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70246A">
                  <w:r>
                    <w:rPr>
                      <w:rStyle w:val="11"/>
                      <w:rFonts w:hint="eastAsia"/>
                    </w:rPr>
                    <w:t>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4751F">
                  <w:r>
                    <w:rPr>
                      <w:rStyle w:val="11"/>
                      <w:rFonts w:hint="eastAsia"/>
                    </w:rPr>
                    <w:t>姜蛆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33F2B">
                  <w:r>
                    <w:rPr>
                      <w:rStyle w:val="11"/>
                      <w:rFonts w:hint="eastAsia"/>
                    </w:rPr>
                    <w:t>1000-1500克/吨姜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662A32">
                  <w:r>
                    <w:rPr>
                      <w:rStyle w:val="11"/>
                      <w:rFonts w:hint="eastAsia"/>
                    </w:rPr>
                    <w:t>撒施</w:t>
                  </w:r>
                </w:p>
              </w:tc>
            </w:tr>
          </w:tbl>
          <w:p w14:paraId="667FD742">
            <w:pPr>
              <w:rPr>
                <w:rFonts w:ascii="Times New Roman" w:hAnsi="Times New Roman" w:cs="Times New Roman"/>
                <w:sz w:val="20"/>
                <w:szCs w:val="20"/>
              </w:rPr>
            </w:pPr>
          </w:p>
        </w:tc>
      </w:tr>
      <w:tr w14:paraId="5578BB74">
        <w:tblPrEx>
          <w:tblCellMar>
            <w:top w:w="0" w:type="dxa"/>
            <w:left w:w="0" w:type="dxa"/>
            <w:bottom w:w="0" w:type="dxa"/>
            <w:right w:w="0" w:type="dxa"/>
          </w:tblCellMar>
        </w:tblPrEx>
        <w:trPr>
          <w:wBefore w:w="0" w:type="auto"/>
          <w:tblCellSpacing w:w="0" w:type="dxa"/>
        </w:trPr>
        <w:tc>
          <w:tcPr>
            <w:tcW w:w="0" w:type="auto"/>
            <w:noWrap w:val="0"/>
            <w:vAlign w:val="center"/>
          </w:tcPr>
          <w:p w14:paraId="6F75A565">
            <w:r>
              <w:rPr>
                <w:rStyle w:val="10"/>
                <w:rFonts w:hint="eastAsia"/>
              </w:rPr>
              <w:t>使用技术要求:</w:t>
            </w:r>
            <w:r>
              <w:rPr>
                <w:rFonts w:hint="eastAsia"/>
              </w:rPr>
              <w:br w:type="textWrapping"/>
            </w:r>
            <w:r>
              <w:rPr>
                <w:rStyle w:val="11"/>
                <w:rFonts w:hint="eastAsia"/>
              </w:rPr>
              <w:t>于大姜入窖时将药剂与适量细沙混匀（药剂与细河砂按照1:10比例），分层撒施到姜块上。每季最多用药1次，安全间隔期30天。</w:t>
            </w:r>
          </w:p>
        </w:tc>
      </w:tr>
      <w:tr w14:paraId="19D17013">
        <w:tblPrEx>
          <w:tblCellMar>
            <w:top w:w="0" w:type="dxa"/>
            <w:left w:w="0" w:type="dxa"/>
            <w:bottom w:w="0" w:type="dxa"/>
            <w:right w:w="0" w:type="dxa"/>
          </w:tblCellMar>
        </w:tblPrEx>
        <w:trPr>
          <w:wBefore w:w="0" w:type="auto"/>
          <w:tblCellSpacing w:w="0" w:type="dxa"/>
        </w:trPr>
        <w:tc>
          <w:tcPr>
            <w:tcW w:w="0" w:type="auto"/>
            <w:noWrap w:val="0"/>
            <w:vAlign w:val="center"/>
          </w:tcPr>
          <w:p w14:paraId="3DCB003C">
            <w:r>
              <w:rPr>
                <w:rStyle w:val="10"/>
                <w:rFonts w:hint="eastAsia"/>
              </w:rPr>
              <w:t>产品性能:</w:t>
            </w:r>
            <w:r>
              <w:rPr>
                <w:rFonts w:hint="eastAsia"/>
              </w:rPr>
              <w:br w:type="textWrapping"/>
            </w:r>
            <w:r>
              <w:rPr>
                <w:rStyle w:val="11"/>
                <w:rFonts w:hint="eastAsia"/>
              </w:rPr>
              <w:t>本品用于防治姜窖内贮存生姜易发生害虫姜蛆，防治效果较好。</w:t>
            </w:r>
          </w:p>
        </w:tc>
      </w:tr>
      <w:tr w14:paraId="469981EF">
        <w:tblPrEx>
          <w:tblCellMar>
            <w:top w:w="0" w:type="dxa"/>
            <w:left w:w="0" w:type="dxa"/>
            <w:bottom w:w="0" w:type="dxa"/>
            <w:right w:w="0" w:type="dxa"/>
          </w:tblCellMar>
        </w:tblPrEx>
        <w:trPr>
          <w:wBefore w:w="0" w:type="auto"/>
          <w:tblCellSpacing w:w="0" w:type="dxa"/>
        </w:trPr>
        <w:tc>
          <w:tcPr>
            <w:tcW w:w="0" w:type="auto"/>
            <w:noWrap w:val="0"/>
            <w:vAlign w:val="center"/>
          </w:tcPr>
          <w:p w14:paraId="7703A29B">
            <w:r>
              <w:rPr>
                <w:rStyle w:val="10"/>
                <w:rFonts w:hint="eastAsia"/>
              </w:rPr>
              <w:t>注意事项：</w:t>
            </w:r>
            <w:r>
              <w:rPr>
                <w:rFonts w:hint="eastAsia"/>
              </w:rPr>
              <w:br w:type="textWrapping"/>
            </w:r>
            <w:r>
              <w:rPr>
                <w:rStyle w:val="11"/>
                <w:rFonts w:hint="eastAsia"/>
              </w:rPr>
              <w:t>1. 使用过程中要做好身体各部位科学合理的防护，尤其注意做好吸入的防护，穿戴防护服，戴口罩手套，穿戴护目镜等安全性更高的护具，不要让药剂沾染皮肤和眼睛。2. 施药期间禁止饮食、吸烟等，使用后及时洗手、洗脸，清洁暴露在外的皮肤和工作服等。3. 用过的容器应妥善处理，不可做他用，也不可随意丢弃。4. 仅限在姜窖中使用。5. 对鱼、蚕、蜂有毒。禁止在河塘等水城中清洗施药器具。切勿污染饮用水源。 6. 用过的容器应妥善处理，不可做他用，也不可随意丢弃。7. 孕妇及哺乳期妇女禁止接触。</w:t>
            </w:r>
          </w:p>
        </w:tc>
      </w:tr>
      <w:tr w14:paraId="200BA8DD">
        <w:tblPrEx>
          <w:tblCellMar>
            <w:top w:w="0" w:type="dxa"/>
            <w:left w:w="0" w:type="dxa"/>
            <w:bottom w:w="0" w:type="dxa"/>
            <w:right w:w="0" w:type="dxa"/>
          </w:tblCellMar>
        </w:tblPrEx>
        <w:trPr>
          <w:wBefore w:w="0" w:type="auto"/>
          <w:tblCellSpacing w:w="0" w:type="dxa"/>
        </w:trPr>
        <w:tc>
          <w:tcPr>
            <w:tcW w:w="0" w:type="auto"/>
            <w:noWrap w:val="0"/>
            <w:vAlign w:val="center"/>
          </w:tcPr>
          <w:p w14:paraId="54BDD6DE">
            <w:r>
              <w:rPr>
                <w:rStyle w:val="10"/>
                <w:rFonts w:hint="eastAsia"/>
              </w:rPr>
              <w:t>中毒急救措施：</w:t>
            </w:r>
            <w:r>
              <w:rPr>
                <w:rFonts w:hint="eastAsia"/>
              </w:rPr>
              <w:br w:type="textWrapping"/>
            </w:r>
            <w:r>
              <w:rPr>
                <w:rStyle w:val="11"/>
                <w:rFonts w:hint="eastAsia"/>
              </w:rPr>
              <w:t>若药剂沾染皮肤或眼睛，请及时用清水冲洗至少15分钟。若误食，请立即就医对症治疗。</w:t>
            </w:r>
          </w:p>
        </w:tc>
      </w:tr>
      <w:tr w14:paraId="42713469">
        <w:tblPrEx>
          <w:tblCellMar>
            <w:top w:w="0" w:type="dxa"/>
            <w:left w:w="0" w:type="dxa"/>
            <w:bottom w:w="0" w:type="dxa"/>
            <w:right w:w="0" w:type="dxa"/>
          </w:tblCellMar>
        </w:tblPrEx>
        <w:trPr>
          <w:wBefore w:w="0" w:type="auto"/>
          <w:tblCellSpacing w:w="0" w:type="dxa"/>
        </w:trPr>
        <w:tc>
          <w:tcPr>
            <w:tcW w:w="0" w:type="auto"/>
            <w:noWrap w:val="0"/>
            <w:vAlign w:val="center"/>
          </w:tcPr>
          <w:p w14:paraId="6FA8E0A6">
            <w:r>
              <w:rPr>
                <w:rStyle w:val="10"/>
                <w:rFonts w:hint="eastAsia"/>
              </w:rPr>
              <w:t>储存和运输方法：</w:t>
            </w:r>
            <w:r>
              <w:rPr>
                <w:rFonts w:hint="eastAsia"/>
              </w:rPr>
              <w:br w:type="textWrapping"/>
            </w:r>
            <w:r>
              <w:rPr>
                <w:rStyle w:val="11"/>
                <w:rFonts w:hint="eastAsia"/>
              </w:rPr>
              <w:t>本品应贮存于阴凉、干燥、通风、避光处，并远离火源和热源。应置于儿童、无关人员触及不到之处，并加锁。运输时，请注意防雨淋、高温，轻拿轻放，不得损坏包装。勿与食品、饮料、种子、粮食、饲料等同贮同运。</w:t>
            </w:r>
          </w:p>
        </w:tc>
      </w:tr>
      <w:tr w14:paraId="3D8AB607">
        <w:tblPrEx>
          <w:tblCellMar>
            <w:top w:w="0" w:type="dxa"/>
            <w:left w:w="0" w:type="dxa"/>
            <w:bottom w:w="0" w:type="dxa"/>
            <w:right w:w="0" w:type="dxa"/>
          </w:tblCellMar>
        </w:tblPrEx>
        <w:trPr>
          <w:wBefore w:w="0" w:type="auto"/>
          <w:tblCellSpacing w:w="0" w:type="dxa"/>
        </w:trPr>
        <w:tc>
          <w:tcPr>
            <w:tcW w:w="0" w:type="auto"/>
            <w:noWrap w:val="0"/>
            <w:vAlign w:val="center"/>
          </w:tcPr>
          <w:p w14:paraId="7BAE04BB">
            <w:r>
              <w:rPr>
                <w:rStyle w:val="10"/>
                <w:rFonts w:hint="eastAsia"/>
              </w:rPr>
              <w:t>质量保证期：</w:t>
            </w:r>
            <w:r>
              <w:rPr>
                <w:rStyle w:val="11"/>
                <w:rFonts w:hint="eastAsia"/>
              </w:rPr>
              <w:t>2年</w:t>
            </w:r>
          </w:p>
        </w:tc>
      </w:tr>
      <w:tr w14:paraId="59EF9F09">
        <w:tblPrEx>
          <w:tblCellMar>
            <w:top w:w="0" w:type="dxa"/>
            <w:left w:w="0" w:type="dxa"/>
            <w:bottom w:w="0" w:type="dxa"/>
            <w:right w:w="0" w:type="dxa"/>
          </w:tblCellMar>
        </w:tblPrEx>
        <w:trPr>
          <w:wBefore w:w="0" w:type="auto"/>
          <w:tblCellSpacing w:w="0" w:type="dxa"/>
        </w:trPr>
        <w:tc>
          <w:tcPr>
            <w:tcW w:w="0" w:type="auto"/>
            <w:noWrap w:val="0"/>
            <w:vAlign w:val="center"/>
          </w:tcPr>
          <w:p w14:paraId="6CCFABE4">
            <w:r>
              <w:rPr>
                <w:rStyle w:val="10"/>
                <w:rFonts w:hint="eastAsia"/>
              </w:rPr>
              <w:t>备注：</w:t>
            </w:r>
          </w:p>
        </w:tc>
      </w:tr>
    </w:tbl>
    <w:p w14:paraId="2B12FF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2F4B9D">
        <w:tblPrEx>
          <w:tblCellMar>
            <w:top w:w="0" w:type="dxa"/>
            <w:left w:w="0" w:type="dxa"/>
            <w:bottom w:w="0" w:type="dxa"/>
            <w:right w:w="0" w:type="dxa"/>
          </w:tblCellMar>
        </w:tblPrEx>
        <w:trPr>
          <w:wBefore w:w="0" w:type="auto"/>
          <w:tblCellSpacing w:w="0" w:type="dxa"/>
        </w:trPr>
        <w:tc>
          <w:tcPr>
            <w:tcW w:w="0" w:type="auto"/>
            <w:noWrap w:val="0"/>
            <w:vAlign w:val="center"/>
          </w:tcPr>
          <w:p w14:paraId="36854394">
            <w:r>
              <w:rPr>
                <w:rStyle w:val="10"/>
                <w:rFonts w:hint="eastAsia"/>
              </w:rPr>
              <w:t>登记证号：</w:t>
            </w:r>
            <w:r>
              <w:rPr>
                <w:rFonts w:hint="eastAsia"/>
              </w:rPr>
              <w:t>PD20212575</w:t>
            </w:r>
          </w:p>
        </w:tc>
      </w:tr>
      <w:tr w14:paraId="1598CC4F">
        <w:tblPrEx>
          <w:tblCellMar>
            <w:top w:w="0" w:type="dxa"/>
            <w:left w:w="0" w:type="dxa"/>
            <w:bottom w:w="0" w:type="dxa"/>
            <w:right w:w="0" w:type="dxa"/>
          </w:tblCellMar>
        </w:tblPrEx>
        <w:trPr>
          <w:wBefore w:w="0" w:type="auto"/>
          <w:tblCellSpacing w:w="0" w:type="dxa"/>
        </w:trPr>
        <w:tc>
          <w:tcPr>
            <w:tcW w:w="0" w:type="auto"/>
            <w:noWrap w:val="0"/>
            <w:vAlign w:val="center"/>
          </w:tcPr>
          <w:p w14:paraId="15B7D4DA">
            <w:r>
              <w:rPr>
                <w:rStyle w:val="10"/>
                <w:rFonts w:hint="eastAsia"/>
              </w:rPr>
              <w:t>登记证持有人：</w:t>
            </w:r>
            <w:r>
              <w:rPr>
                <w:rFonts w:hint="eastAsia"/>
              </w:rPr>
              <w:t>杭州颖泰生物科技有限公司</w:t>
            </w:r>
          </w:p>
        </w:tc>
      </w:tr>
      <w:tr w14:paraId="6DB9CC21">
        <w:tblPrEx>
          <w:tblCellMar>
            <w:top w:w="0" w:type="dxa"/>
            <w:left w:w="0" w:type="dxa"/>
            <w:bottom w:w="0" w:type="dxa"/>
            <w:right w:w="0" w:type="dxa"/>
          </w:tblCellMar>
        </w:tblPrEx>
        <w:trPr>
          <w:wBefore w:w="0" w:type="auto"/>
          <w:tblCellSpacing w:w="0" w:type="dxa"/>
        </w:trPr>
        <w:tc>
          <w:tcPr>
            <w:tcW w:w="0" w:type="auto"/>
            <w:noWrap w:val="0"/>
            <w:vAlign w:val="center"/>
          </w:tcPr>
          <w:p w14:paraId="3BED3F73">
            <w:r>
              <w:rPr>
                <w:rStyle w:val="10"/>
                <w:rFonts w:hint="eastAsia"/>
              </w:rPr>
              <w:t>农药名称：</w:t>
            </w:r>
            <w:r>
              <w:rPr>
                <w:rFonts w:hint="eastAsia"/>
              </w:rPr>
              <w:t>丙炔氟草胺</w:t>
            </w:r>
          </w:p>
        </w:tc>
      </w:tr>
      <w:tr w14:paraId="648ACFDB">
        <w:tblPrEx>
          <w:tblCellMar>
            <w:top w:w="0" w:type="dxa"/>
            <w:left w:w="0" w:type="dxa"/>
            <w:bottom w:w="0" w:type="dxa"/>
            <w:right w:w="0" w:type="dxa"/>
          </w:tblCellMar>
        </w:tblPrEx>
        <w:trPr>
          <w:wBefore w:w="0" w:type="auto"/>
          <w:tblCellSpacing w:w="0" w:type="dxa"/>
        </w:trPr>
        <w:tc>
          <w:tcPr>
            <w:tcW w:w="0" w:type="auto"/>
            <w:noWrap w:val="0"/>
            <w:vAlign w:val="center"/>
          </w:tcPr>
          <w:p w14:paraId="5148F88C">
            <w:r>
              <w:rPr>
                <w:rStyle w:val="10"/>
                <w:rFonts w:hint="eastAsia"/>
              </w:rPr>
              <w:t>剂型：</w:t>
            </w:r>
            <w:r>
              <w:rPr>
                <w:rFonts w:hint="eastAsia"/>
              </w:rPr>
              <w:t>悬浮剂</w:t>
            </w:r>
          </w:p>
        </w:tc>
      </w:tr>
      <w:tr w14:paraId="5808FB26">
        <w:tblPrEx>
          <w:tblCellMar>
            <w:top w:w="0" w:type="dxa"/>
            <w:left w:w="0" w:type="dxa"/>
            <w:bottom w:w="0" w:type="dxa"/>
            <w:right w:w="0" w:type="dxa"/>
          </w:tblCellMar>
        </w:tblPrEx>
        <w:trPr>
          <w:wBefore w:w="0" w:type="auto"/>
          <w:tblCellSpacing w:w="0" w:type="dxa"/>
        </w:trPr>
        <w:tc>
          <w:tcPr>
            <w:tcW w:w="0" w:type="auto"/>
            <w:noWrap w:val="0"/>
            <w:vAlign w:val="center"/>
          </w:tcPr>
          <w:p w14:paraId="2EB83BE0">
            <w:r>
              <w:rPr>
                <w:rStyle w:val="10"/>
                <w:rFonts w:hint="eastAsia"/>
              </w:rPr>
              <w:t>毒性及其标识：</w:t>
            </w:r>
            <w:r>
              <w:rPr>
                <w:rFonts w:hint="eastAsia"/>
              </w:rPr>
              <w:t xml:space="preserve"> </w:t>
            </w:r>
            <w:r>
              <w:rPr>
                <w:lang/>
              </w:rPr>
              <w:drawing>
                <wp:inline distT="0" distB="0" distL="114300" distR="114300">
                  <wp:extent cx="476250" cy="323850"/>
                  <wp:effectExtent l="0" t="0" r="0" b="0"/>
                  <wp:docPr id="187" name="图片 1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BE2FBC">
        <w:tblPrEx>
          <w:tblCellMar>
            <w:top w:w="0" w:type="dxa"/>
            <w:left w:w="0" w:type="dxa"/>
            <w:bottom w:w="0" w:type="dxa"/>
            <w:right w:w="0" w:type="dxa"/>
          </w:tblCellMar>
        </w:tblPrEx>
        <w:trPr>
          <w:wBefore w:w="0" w:type="auto"/>
          <w:tblCellSpacing w:w="0" w:type="dxa"/>
        </w:trPr>
        <w:tc>
          <w:tcPr>
            <w:tcW w:w="0" w:type="auto"/>
            <w:noWrap w:val="0"/>
            <w:vAlign w:val="center"/>
          </w:tcPr>
          <w:p w14:paraId="2282FBA5">
            <w:r>
              <w:rPr>
                <w:rStyle w:val="10"/>
                <w:rFonts w:hint="eastAsia"/>
              </w:rPr>
              <w:t>总有效成分含量：</w:t>
            </w:r>
            <w:r>
              <w:rPr>
                <w:rFonts w:hint="eastAsia"/>
              </w:rPr>
              <w:t>480克/升</w:t>
            </w:r>
          </w:p>
        </w:tc>
      </w:tr>
      <w:tr w14:paraId="6EB85F5B">
        <w:tblPrEx>
          <w:tblCellMar>
            <w:top w:w="0" w:type="dxa"/>
            <w:left w:w="0" w:type="dxa"/>
            <w:bottom w:w="0" w:type="dxa"/>
            <w:right w:w="0" w:type="dxa"/>
          </w:tblCellMar>
        </w:tblPrEx>
        <w:trPr>
          <w:wBefore w:w="0" w:type="auto"/>
          <w:tblCellSpacing w:w="0" w:type="dxa"/>
        </w:trPr>
        <w:tc>
          <w:tcPr>
            <w:tcW w:w="0" w:type="auto"/>
            <w:noWrap w:val="0"/>
            <w:vAlign w:val="center"/>
          </w:tcPr>
          <w:p w14:paraId="4A0B4B1B">
            <w:r>
              <w:rPr>
                <w:rFonts w:hint="eastAsia"/>
              </w:rPr>
              <w:t xml:space="preserve">有效成分及其含量： </w:t>
            </w:r>
          </w:p>
          <w:p w14:paraId="6713CEA1">
            <w:r>
              <w:rPr>
                <w:rFonts w:hint="eastAsia"/>
              </w:rPr>
              <w:t xml:space="preserve">    丙炔氟草胺480克/升    </w:t>
            </w:r>
          </w:p>
        </w:tc>
      </w:tr>
      <w:tr w14:paraId="45BC75CB">
        <w:tblPrEx>
          <w:tblCellMar>
            <w:top w:w="0" w:type="dxa"/>
            <w:left w:w="0" w:type="dxa"/>
            <w:bottom w:w="0" w:type="dxa"/>
            <w:right w:w="0" w:type="dxa"/>
          </w:tblCellMar>
        </w:tblPrEx>
        <w:trPr>
          <w:wBefore w:w="0" w:type="auto"/>
          <w:tblCellSpacing w:w="0" w:type="dxa"/>
        </w:trPr>
        <w:tc>
          <w:tcPr>
            <w:tcW w:w="0" w:type="auto"/>
            <w:noWrap w:val="0"/>
            <w:vAlign w:val="center"/>
          </w:tcPr>
          <w:p w14:paraId="79046E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B9F1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4BCE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549B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90B8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C953B2">
                  <w:r>
                    <w:rPr>
                      <w:rStyle w:val="11"/>
                      <w:rFonts w:hint="eastAsia"/>
                    </w:rPr>
                    <w:t>施用方式</w:t>
                  </w:r>
                </w:p>
              </w:tc>
            </w:tr>
            <w:tr w14:paraId="373720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CF665A">
                  <w:r>
                    <w:rPr>
                      <w:rStyle w:val="11"/>
                      <w:rFonts w:hint="eastAsia"/>
                    </w:rPr>
                    <w:t>花生田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0C359E">
                  <w:r>
                    <w:rPr>
                      <w:rStyle w:val="11"/>
                      <w:rFonts w:hint="eastAsia"/>
                    </w:rPr>
                    <w:t>一年生阔叶杂草及禾本科杂草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5E4AC6">
                  <w:r>
                    <w:rPr>
                      <w:rStyle w:val="11"/>
                      <w:rFonts w:hint="eastAsia"/>
                    </w:rPr>
                    <w:t>5.4-7.6毫升/亩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2BEB12">
                  <w:r>
                    <w:rPr>
                      <w:rStyle w:val="11"/>
                      <w:rFonts w:hint="eastAsia"/>
                    </w:rPr>
                    <w:t>土壤喷雾</w:t>
                  </w:r>
                </w:p>
              </w:tc>
            </w:tr>
          </w:tbl>
          <w:p w14:paraId="0877CC0A">
            <w:pPr>
              <w:rPr>
                <w:rFonts w:ascii="Times New Roman" w:hAnsi="Times New Roman" w:cs="Times New Roman"/>
                <w:sz w:val="20"/>
                <w:szCs w:val="20"/>
              </w:rPr>
            </w:pPr>
          </w:p>
        </w:tc>
      </w:tr>
      <w:tr w14:paraId="708B63E3">
        <w:tblPrEx>
          <w:tblCellMar>
            <w:top w:w="0" w:type="dxa"/>
            <w:left w:w="0" w:type="dxa"/>
            <w:bottom w:w="0" w:type="dxa"/>
            <w:right w:w="0" w:type="dxa"/>
          </w:tblCellMar>
        </w:tblPrEx>
        <w:trPr>
          <w:wBefore w:w="0" w:type="auto"/>
          <w:tblCellSpacing w:w="0" w:type="dxa"/>
        </w:trPr>
        <w:tc>
          <w:tcPr>
            <w:tcW w:w="0" w:type="auto"/>
            <w:noWrap w:val="0"/>
            <w:vAlign w:val="center"/>
          </w:tcPr>
          <w:p w14:paraId="0664C8D9">
            <w:r>
              <w:rPr>
                <w:rStyle w:val="10"/>
                <w:rFonts w:hint="eastAsia"/>
              </w:rPr>
              <w:t>使用技术要求:</w:t>
            </w:r>
            <w:r>
              <w:rPr>
                <w:rFonts w:hint="eastAsia"/>
              </w:rPr>
              <w:br w:type="textWrapping"/>
            </w:r>
            <w:r>
              <w:rPr>
                <w:rStyle w:val="11"/>
                <w:rFonts w:hint="eastAsia"/>
              </w:rPr>
              <w:t>于花生播后苗前土壤喷雾，施药1次。</w:t>
            </w:r>
          </w:p>
        </w:tc>
      </w:tr>
      <w:tr w14:paraId="12B8A2DF">
        <w:tblPrEx>
          <w:tblCellMar>
            <w:top w:w="0" w:type="dxa"/>
            <w:left w:w="0" w:type="dxa"/>
            <w:bottom w:w="0" w:type="dxa"/>
            <w:right w:w="0" w:type="dxa"/>
          </w:tblCellMar>
        </w:tblPrEx>
        <w:trPr>
          <w:wBefore w:w="0" w:type="auto"/>
          <w:tblCellSpacing w:w="0" w:type="dxa"/>
        </w:trPr>
        <w:tc>
          <w:tcPr>
            <w:tcW w:w="0" w:type="auto"/>
            <w:noWrap w:val="0"/>
            <w:vAlign w:val="center"/>
          </w:tcPr>
          <w:p w14:paraId="401FBE8A">
            <w:r>
              <w:rPr>
                <w:rStyle w:val="10"/>
                <w:rFonts w:hint="eastAsia"/>
              </w:rPr>
              <w:t>产品性能:</w:t>
            </w:r>
            <w:r>
              <w:rPr>
                <w:rFonts w:hint="eastAsia"/>
              </w:rPr>
              <w:br w:type="textWrapping"/>
            </w:r>
            <w:r>
              <w:rPr>
                <w:rStyle w:val="11"/>
                <w:rFonts w:hint="eastAsia"/>
              </w:rPr>
              <w:t>本品是选择性触杀型除草剂，被幼芽和叶片吸收后，通过抑制原卟啉原氧化酶活性，造成原卟啉原积累并进入细胞质，使细胞膜的脂类过氧化，造成细胞膜功能和结构不可逆破坏。可有效防除花生田一年生阔叶杂草和禾本科杂草。</w:t>
            </w:r>
          </w:p>
        </w:tc>
      </w:tr>
      <w:tr w14:paraId="661DB471">
        <w:tblPrEx>
          <w:tblCellMar>
            <w:top w:w="0" w:type="dxa"/>
            <w:left w:w="0" w:type="dxa"/>
            <w:bottom w:w="0" w:type="dxa"/>
            <w:right w:w="0" w:type="dxa"/>
          </w:tblCellMar>
        </w:tblPrEx>
        <w:trPr>
          <w:wBefore w:w="0" w:type="auto"/>
          <w:tblCellSpacing w:w="0" w:type="dxa"/>
        </w:trPr>
        <w:tc>
          <w:tcPr>
            <w:tcW w:w="0" w:type="auto"/>
            <w:noWrap w:val="0"/>
            <w:vAlign w:val="center"/>
          </w:tcPr>
          <w:p w14:paraId="444431F0">
            <w:r>
              <w:rPr>
                <w:rStyle w:val="10"/>
                <w:rFonts w:hint="eastAsia"/>
              </w:rPr>
              <w:t>注意事项：</w:t>
            </w:r>
            <w:r>
              <w:rPr>
                <w:rFonts w:hint="eastAsia"/>
              </w:rPr>
              <w:br w:type="textWrapping"/>
            </w:r>
            <w:r>
              <w:rPr>
                <w:rStyle w:val="11"/>
                <w:rFonts w:hint="eastAsia"/>
              </w:rPr>
              <w:t>1、 请按照标签使用本品，应根据田间杂草草相及抗性等具体情况，科学合理用药。2、使用本品时应穿戴手套、佩戴护目镜或面罩等，避免眼睛和皮肤接触到本产品。施药期间不可吃东西和饮水。施药后及时洗手、洗脸。3、 喷雾器使用后要彻底清洗干净，以免喷桶内残留药液在其它作物上使用而产生药害。4、禁止在河塘等水域内清洗施药器具或将清洗施药器具的废水倒入河流、池塘等水源。用过的容器应妥善处理，不可做他用，也不可随意丢弃。5、避免孕妇及哺乳期妇女接触。6、避免与氧化剂接触。</w:t>
            </w:r>
          </w:p>
        </w:tc>
      </w:tr>
      <w:tr w14:paraId="6FD57050">
        <w:tblPrEx>
          <w:tblCellMar>
            <w:top w:w="0" w:type="dxa"/>
            <w:left w:w="0" w:type="dxa"/>
            <w:bottom w:w="0" w:type="dxa"/>
            <w:right w:w="0" w:type="dxa"/>
          </w:tblCellMar>
        </w:tblPrEx>
        <w:trPr>
          <w:wBefore w:w="0" w:type="auto"/>
          <w:tblCellSpacing w:w="0" w:type="dxa"/>
        </w:trPr>
        <w:tc>
          <w:tcPr>
            <w:tcW w:w="0" w:type="auto"/>
            <w:noWrap w:val="0"/>
            <w:vAlign w:val="center"/>
          </w:tcPr>
          <w:p w14:paraId="01BE5D0D">
            <w:r>
              <w:rPr>
                <w:rStyle w:val="10"/>
                <w:rFonts w:hint="eastAsia"/>
              </w:rPr>
              <w:t>中毒急救措施：</w:t>
            </w:r>
            <w:r>
              <w:rPr>
                <w:rFonts w:hint="eastAsia"/>
              </w:rPr>
              <w:br w:type="textWrapping"/>
            </w:r>
            <w:r>
              <w:rPr>
                <w:rStyle w:val="11"/>
                <w:rFonts w:hint="eastAsia"/>
              </w:rPr>
              <w:t>皮肤接触：立即用大量清水冲洗被污染的皮肤，再用肥皂清洗，然后用清水冲净。诺眼睛溅药：立即将眼睑翻开，用大量流动的清水冲洗至少15分钟，再请医生诊治。发生吸入：立即将吸入者转移到空气新鲜处。误服：因立即携带标签，送医就诊。本品无特殊解毒剂，请医生对症治疗。</w:t>
            </w:r>
          </w:p>
        </w:tc>
      </w:tr>
      <w:tr w14:paraId="720356EF">
        <w:tblPrEx>
          <w:tblCellMar>
            <w:top w:w="0" w:type="dxa"/>
            <w:left w:w="0" w:type="dxa"/>
            <w:bottom w:w="0" w:type="dxa"/>
            <w:right w:w="0" w:type="dxa"/>
          </w:tblCellMar>
        </w:tblPrEx>
        <w:trPr>
          <w:wBefore w:w="0" w:type="auto"/>
          <w:tblCellSpacing w:w="0" w:type="dxa"/>
        </w:trPr>
        <w:tc>
          <w:tcPr>
            <w:tcW w:w="0" w:type="auto"/>
            <w:noWrap w:val="0"/>
            <w:vAlign w:val="center"/>
          </w:tcPr>
          <w:p w14:paraId="05FA09D9">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本品应贮存在干燥、阴凉、通风、防雨处，远离火源或热源。置于儿童及无关人员触及不到地方。不能与食品、饮料、粮食、饲料等同贮同运。运输时应注意避光、防高温、防雨淋。装卸时轻搬轻放，不可倒置。</w:t>
            </w:r>
          </w:p>
        </w:tc>
      </w:tr>
      <w:tr w14:paraId="65D56C6A">
        <w:tblPrEx>
          <w:tblCellMar>
            <w:top w:w="0" w:type="dxa"/>
            <w:left w:w="0" w:type="dxa"/>
            <w:bottom w:w="0" w:type="dxa"/>
            <w:right w:w="0" w:type="dxa"/>
          </w:tblCellMar>
        </w:tblPrEx>
        <w:trPr>
          <w:wBefore w:w="0" w:type="auto"/>
          <w:tblCellSpacing w:w="0" w:type="dxa"/>
        </w:trPr>
        <w:tc>
          <w:tcPr>
            <w:tcW w:w="0" w:type="auto"/>
            <w:noWrap w:val="0"/>
            <w:vAlign w:val="center"/>
          </w:tcPr>
          <w:p w14:paraId="78CCFAFA">
            <w:r>
              <w:rPr>
                <w:rStyle w:val="10"/>
                <w:rFonts w:hint="eastAsia"/>
              </w:rPr>
              <w:t>质量保证期：</w:t>
            </w:r>
            <w:r>
              <w:rPr>
                <w:rStyle w:val="11"/>
                <w:rFonts w:hint="eastAsia"/>
              </w:rPr>
              <w:t>2年</w:t>
            </w:r>
          </w:p>
        </w:tc>
      </w:tr>
      <w:tr w14:paraId="4EBC130D">
        <w:tblPrEx>
          <w:tblCellMar>
            <w:top w:w="0" w:type="dxa"/>
            <w:left w:w="0" w:type="dxa"/>
            <w:bottom w:w="0" w:type="dxa"/>
            <w:right w:w="0" w:type="dxa"/>
          </w:tblCellMar>
        </w:tblPrEx>
        <w:trPr>
          <w:wBefore w:w="0" w:type="auto"/>
          <w:tblCellSpacing w:w="0" w:type="dxa"/>
        </w:trPr>
        <w:tc>
          <w:tcPr>
            <w:tcW w:w="0" w:type="auto"/>
            <w:noWrap w:val="0"/>
            <w:vAlign w:val="center"/>
          </w:tcPr>
          <w:p w14:paraId="4FAEF215">
            <w:r>
              <w:rPr>
                <w:rStyle w:val="10"/>
                <w:rFonts w:hint="eastAsia"/>
              </w:rPr>
              <w:t>备注：</w:t>
            </w:r>
            <w:r>
              <w:rPr>
                <w:rFonts w:hint="eastAsia"/>
              </w:rPr>
              <w:br w:type="textWrapping"/>
            </w:r>
            <w:r>
              <w:rPr>
                <w:rStyle w:val="11"/>
                <w:rFonts w:hint="eastAsia"/>
              </w:rPr>
              <w:t>质量分数42%。</w:t>
            </w:r>
          </w:p>
        </w:tc>
      </w:tr>
    </w:tbl>
    <w:p w14:paraId="142D15C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B976965">
        <w:tblPrEx>
          <w:tblCellMar>
            <w:top w:w="0" w:type="dxa"/>
            <w:left w:w="0" w:type="dxa"/>
            <w:bottom w:w="0" w:type="dxa"/>
            <w:right w:w="0" w:type="dxa"/>
          </w:tblCellMar>
        </w:tblPrEx>
        <w:trPr>
          <w:wBefore w:w="0" w:type="auto"/>
          <w:tblCellSpacing w:w="0" w:type="dxa"/>
        </w:trPr>
        <w:tc>
          <w:tcPr>
            <w:tcW w:w="0" w:type="auto"/>
            <w:noWrap w:val="0"/>
            <w:vAlign w:val="center"/>
          </w:tcPr>
          <w:p w14:paraId="25798BFB">
            <w:r>
              <w:rPr>
                <w:rStyle w:val="10"/>
                <w:rFonts w:hint="eastAsia"/>
              </w:rPr>
              <w:t>登记证号：</w:t>
            </w:r>
            <w:r>
              <w:rPr>
                <w:rFonts w:hint="eastAsia"/>
              </w:rPr>
              <w:t>PD20212720</w:t>
            </w:r>
          </w:p>
        </w:tc>
      </w:tr>
      <w:tr w14:paraId="716A3AF9">
        <w:tblPrEx>
          <w:tblCellMar>
            <w:top w:w="0" w:type="dxa"/>
            <w:left w:w="0" w:type="dxa"/>
            <w:bottom w:w="0" w:type="dxa"/>
            <w:right w:w="0" w:type="dxa"/>
          </w:tblCellMar>
        </w:tblPrEx>
        <w:trPr>
          <w:wBefore w:w="0" w:type="auto"/>
          <w:tblCellSpacing w:w="0" w:type="dxa"/>
        </w:trPr>
        <w:tc>
          <w:tcPr>
            <w:tcW w:w="0" w:type="auto"/>
            <w:noWrap w:val="0"/>
            <w:vAlign w:val="center"/>
          </w:tcPr>
          <w:p w14:paraId="3E3271C8">
            <w:r>
              <w:rPr>
                <w:rStyle w:val="10"/>
                <w:rFonts w:hint="eastAsia"/>
              </w:rPr>
              <w:t>登记证持有人：</w:t>
            </w:r>
            <w:r>
              <w:rPr>
                <w:rFonts w:hint="eastAsia"/>
              </w:rPr>
              <w:t>广西田园生化股份有限公司</w:t>
            </w:r>
          </w:p>
        </w:tc>
      </w:tr>
      <w:tr w14:paraId="75CAE66B">
        <w:tblPrEx>
          <w:tblCellMar>
            <w:top w:w="0" w:type="dxa"/>
            <w:left w:w="0" w:type="dxa"/>
            <w:bottom w:w="0" w:type="dxa"/>
            <w:right w:w="0" w:type="dxa"/>
          </w:tblCellMar>
        </w:tblPrEx>
        <w:trPr>
          <w:wBefore w:w="0" w:type="auto"/>
          <w:tblCellSpacing w:w="0" w:type="dxa"/>
        </w:trPr>
        <w:tc>
          <w:tcPr>
            <w:tcW w:w="0" w:type="auto"/>
            <w:noWrap w:val="0"/>
            <w:vAlign w:val="center"/>
          </w:tcPr>
          <w:p w14:paraId="2B297DBD">
            <w:r>
              <w:rPr>
                <w:rStyle w:val="10"/>
                <w:rFonts w:hint="eastAsia"/>
              </w:rPr>
              <w:t>农药名称：</w:t>
            </w:r>
            <w:r>
              <w:rPr>
                <w:rFonts w:hint="eastAsia"/>
              </w:rPr>
              <w:t>咯菌腈·精甲霜·噻呋</w:t>
            </w:r>
          </w:p>
        </w:tc>
      </w:tr>
      <w:tr w14:paraId="31039ED5">
        <w:tblPrEx>
          <w:tblCellMar>
            <w:top w:w="0" w:type="dxa"/>
            <w:left w:w="0" w:type="dxa"/>
            <w:bottom w:w="0" w:type="dxa"/>
            <w:right w:w="0" w:type="dxa"/>
          </w:tblCellMar>
        </w:tblPrEx>
        <w:trPr>
          <w:wBefore w:w="0" w:type="auto"/>
          <w:tblCellSpacing w:w="0" w:type="dxa"/>
        </w:trPr>
        <w:tc>
          <w:tcPr>
            <w:tcW w:w="0" w:type="auto"/>
            <w:noWrap w:val="0"/>
            <w:vAlign w:val="center"/>
          </w:tcPr>
          <w:p w14:paraId="1CE4EFDE">
            <w:r>
              <w:rPr>
                <w:rStyle w:val="10"/>
                <w:rFonts w:hint="eastAsia"/>
              </w:rPr>
              <w:t>剂型：</w:t>
            </w:r>
            <w:r>
              <w:rPr>
                <w:rFonts w:hint="eastAsia"/>
              </w:rPr>
              <w:t>种子处理悬浮剂</w:t>
            </w:r>
          </w:p>
        </w:tc>
      </w:tr>
      <w:tr w14:paraId="46093C58">
        <w:tblPrEx>
          <w:tblCellMar>
            <w:top w:w="0" w:type="dxa"/>
            <w:left w:w="0" w:type="dxa"/>
            <w:bottom w:w="0" w:type="dxa"/>
            <w:right w:w="0" w:type="dxa"/>
          </w:tblCellMar>
        </w:tblPrEx>
        <w:trPr>
          <w:wBefore w:w="0" w:type="auto"/>
          <w:tblCellSpacing w:w="0" w:type="dxa"/>
        </w:trPr>
        <w:tc>
          <w:tcPr>
            <w:tcW w:w="0" w:type="auto"/>
            <w:noWrap w:val="0"/>
            <w:vAlign w:val="center"/>
          </w:tcPr>
          <w:p w14:paraId="3E9101B2">
            <w:r>
              <w:rPr>
                <w:rStyle w:val="10"/>
                <w:rFonts w:hint="eastAsia"/>
              </w:rPr>
              <w:t>毒性及其标识：</w:t>
            </w:r>
            <w:r>
              <w:rPr>
                <w:rFonts w:hint="eastAsia"/>
              </w:rPr>
              <w:t xml:space="preserve"> </w:t>
            </w:r>
            <w:r>
              <w:rPr>
                <w:lang/>
              </w:rPr>
              <w:drawing>
                <wp:inline distT="0" distB="0" distL="114300" distR="114300">
                  <wp:extent cx="476250" cy="323850"/>
                  <wp:effectExtent l="0" t="0" r="0" b="0"/>
                  <wp:docPr id="188" name="图片 1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EAFD67">
        <w:tblPrEx>
          <w:tblCellMar>
            <w:top w:w="0" w:type="dxa"/>
            <w:left w:w="0" w:type="dxa"/>
            <w:bottom w:w="0" w:type="dxa"/>
            <w:right w:w="0" w:type="dxa"/>
          </w:tblCellMar>
        </w:tblPrEx>
        <w:trPr>
          <w:wBefore w:w="0" w:type="auto"/>
          <w:tblCellSpacing w:w="0" w:type="dxa"/>
        </w:trPr>
        <w:tc>
          <w:tcPr>
            <w:tcW w:w="0" w:type="auto"/>
            <w:noWrap w:val="0"/>
            <w:vAlign w:val="center"/>
          </w:tcPr>
          <w:p w14:paraId="1EFC0EDD">
            <w:r>
              <w:rPr>
                <w:rStyle w:val="10"/>
                <w:rFonts w:hint="eastAsia"/>
              </w:rPr>
              <w:t>总有效成分含量：</w:t>
            </w:r>
            <w:r>
              <w:rPr>
                <w:rFonts w:hint="eastAsia"/>
              </w:rPr>
              <w:t>6%</w:t>
            </w:r>
          </w:p>
        </w:tc>
      </w:tr>
      <w:tr w14:paraId="1A03137E">
        <w:tblPrEx>
          <w:tblCellMar>
            <w:top w:w="0" w:type="dxa"/>
            <w:left w:w="0" w:type="dxa"/>
            <w:bottom w:w="0" w:type="dxa"/>
            <w:right w:w="0" w:type="dxa"/>
          </w:tblCellMar>
        </w:tblPrEx>
        <w:trPr>
          <w:wBefore w:w="0" w:type="auto"/>
          <w:tblCellSpacing w:w="0" w:type="dxa"/>
        </w:trPr>
        <w:tc>
          <w:tcPr>
            <w:tcW w:w="0" w:type="auto"/>
            <w:noWrap w:val="0"/>
            <w:vAlign w:val="center"/>
          </w:tcPr>
          <w:p w14:paraId="754C0636">
            <w:r>
              <w:rPr>
                <w:rFonts w:hint="eastAsia"/>
              </w:rPr>
              <w:t xml:space="preserve">有效成分及其含量： </w:t>
            </w:r>
          </w:p>
          <w:p w14:paraId="185F8ACD">
            <w:r>
              <w:rPr>
                <w:rFonts w:hint="eastAsia"/>
              </w:rPr>
              <w:t xml:space="preserve">    咯菌腈1%    精甲霜灵2%    噻呋酰胺3%    </w:t>
            </w:r>
          </w:p>
        </w:tc>
      </w:tr>
      <w:tr w14:paraId="4551B595">
        <w:tblPrEx>
          <w:tblCellMar>
            <w:top w:w="0" w:type="dxa"/>
            <w:left w:w="0" w:type="dxa"/>
            <w:bottom w:w="0" w:type="dxa"/>
            <w:right w:w="0" w:type="dxa"/>
          </w:tblCellMar>
        </w:tblPrEx>
        <w:trPr>
          <w:wBefore w:w="0" w:type="auto"/>
          <w:tblCellSpacing w:w="0" w:type="dxa"/>
        </w:trPr>
        <w:tc>
          <w:tcPr>
            <w:tcW w:w="0" w:type="auto"/>
            <w:noWrap w:val="0"/>
            <w:vAlign w:val="center"/>
          </w:tcPr>
          <w:p w14:paraId="04B70F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9528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FA856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91C6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F9284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535054">
                  <w:r>
                    <w:rPr>
                      <w:rStyle w:val="11"/>
                      <w:rFonts w:hint="eastAsia"/>
                    </w:rPr>
                    <w:t>施用方式</w:t>
                  </w:r>
                </w:p>
              </w:tc>
            </w:tr>
            <w:tr w14:paraId="2227F2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F1169A">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7E9FCB">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4591C8">
                  <w:r>
                    <w:rPr>
                      <w:rStyle w:val="11"/>
                      <w:rFonts w:hint="eastAsia"/>
                    </w:rPr>
                    <w:t>750-1000毫升/100千克种子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B2244">
                  <w:r>
                    <w:rPr>
                      <w:rStyle w:val="11"/>
                      <w:rFonts w:hint="eastAsia"/>
                    </w:rPr>
                    <w:t>种子包衣</w:t>
                  </w:r>
                </w:p>
              </w:tc>
            </w:tr>
            <w:tr w14:paraId="582A08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ADA30D">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AC111A">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D742D4">
                  <w:r>
                    <w:rPr>
                      <w:rStyle w:val="11"/>
                      <w:rFonts w:hint="eastAsia"/>
                    </w:rPr>
                    <w:t>750-1000毫升/100千克种子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04274E">
                  <w:r>
                    <w:rPr>
                      <w:rStyle w:val="11"/>
                      <w:rFonts w:hint="eastAsia"/>
                    </w:rPr>
                    <w:t>种子包衣</w:t>
                  </w:r>
                </w:p>
              </w:tc>
            </w:tr>
          </w:tbl>
          <w:p w14:paraId="7A63E70B">
            <w:pPr>
              <w:rPr>
                <w:rFonts w:ascii="Times New Roman" w:hAnsi="Times New Roman" w:cs="Times New Roman"/>
                <w:sz w:val="20"/>
                <w:szCs w:val="20"/>
              </w:rPr>
            </w:pPr>
          </w:p>
        </w:tc>
      </w:tr>
      <w:tr w14:paraId="5E6812F9">
        <w:tblPrEx>
          <w:tblCellMar>
            <w:top w:w="0" w:type="dxa"/>
            <w:left w:w="0" w:type="dxa"/>
            <w:bottom w:w="0" w:type="dxa"/>
            <w:right w:w="0" w:type="dxa"/>
          </w:tblCellMar>
        </w:tblPrEx>
        <w:trPr>
          <w:wBefore w:w="0" w:type="auto"/>
          <w:tblCellSpacing w:w="0" w:type="dxa"/>
        </w:trPr>
        <w:tc>
          <w:tcPr>
            <w:tcW w:w="0" w:type="auto"/>
            <w:noWrap w:val="0"/>
            <w:vAlign w:val="center"/>
          </w:tcPr>
          <w:p w14:paraId="111EB4A2">
            <w:r>
              <w:rPr>
                <w:rStyle w:val="10"/>
                <w:rFonts w:hint="eastAsia"/>
              </w:rPr>
              <w:t>使用技术要求:</w:t>
            </w:r>
            <w:r>
              <w:rPr>
                <w:rFonts w:hint="eastAsia"/>
              </w:rPr>
              <w:br w:type="textWrapping"/>
            </w:r>
            <w:r>
              <w:rPr>
                <w:rStyle w:val="11"/>
                <w:rFonts w:hint="eastAsia"/>
              </w:rPr>
              <w:t>1.建议在播种前施药1次，将药剂用适量清水稀释，混匀后种子包衣处理，自然晾干后播种。拌种要均匀，让每个种子表面都有药液，以保证防治效果，为避免药剂浪费，应洗净药瓶。2.用于包衣的种子应为经过精选的优质种子。3. 施药后应设立警示标志，人畜允许进入的间隔时间为24小时。</w:t>
            </w:r>
          </w:p>
        </w:tc>
      </w:tr>
      <w:tr w14:paraId="426E1FE2">
        <w:tblPrEx>
          <w:tblCellMar>
            <w:top w:w="0" w:type="dxa"/>
            <w:left w:w="0" w:type="dxa"/>
            <w:bottom w:w="0" w:type="dxa"/>
            <w:right w:w="0" w:type="dxa"/>
          </w:tblCellMar>
        </w:tblPrEx>
        <w:trPr>
          <w:wBefore w:w="0" w:type="auto"/>
          <w:tblCellSpacing w:w="0" w:type="dxa"/>
        </w:trPr>
        <w:tc>
          <w:tcPr>
            <w:tcW w:w="0" w:type="auto"/>
            <w:noWrap w:val="0"/>
            <w:vAlign w:val="center"/>
          </w:tcPr>
          <w:p w14:paraId="2FA0BF07">
            <w:r>
              <w:rPr>
                <w:rStyle w:val="10"/>
                <w:rFonts w:hint="eastAsia"/>
              </w:rPr>
              <w:t>产品性能:</w:t>
            </w:r>
            <w:r>
              <w:rPr>
                <w:rFonts w:hint="eastAsia"/>
              </w:rPr>
              <w:br w:type="textWrapping"/>
            </w:r>
            <w:r>
              <w:rPr>
                <w:rStyle w:val="11"/>
                <w:rFonts w:hint="eastAsia"/>
              </w:rPr>
              <w:t>精甲霜灵是内吸性苯胺类化合物，有保护和治疗作用的内吸性杀菌剂，对防治花生根腐病有较好防效。咯菌腈是非内吸苯吡咯类化合物，作为种子处理剂用于防治作物的种传及土传病害。噻呋酰胺具有内吸传导性和长持效性，是琥珀酸酯脱氢酶抑制剂，对担子菌纲真菌引起白绢病等有效。本品采用精甲霜灵、咯菌腈、噻呋酰胺三元复配，用于种子包衣处理，杀菌谱广且持效期长，可有效防治花生根腐病和白绢病。</w:t>
            </w:r>
          </w:p>
        </w:tc>
      </w:tr>
      <w:tr w14:paraId="532788D2">
        <w:tblPrEx>
          <w:tblCellMar>
            <w:top w:w="0" w:type="dxa"/>
            <w:left w:w="0" w:type="dxa"/>
            <w:bottom w:w="0" w:type="dxa"/>
            <w:right w:w="0" w:type="dxa"/>
          </w:tblCellMar>
        </w:tblPrEx>
        <w:trPr>
          <w:wBefore w:w="0" w:type="auto"/>
          <w:tblCellSpacing w:w="0" w:type="dxa"/>
        </w:trPr>
        <w:tc>
          <w:tcPr>
            <w:tcW w:w="0" w:type="auto"/>
            <w:noWrap w:val="0"/>
            <w:vAlign w:val="center"/>
          </w:tcPr>
          <w:p w14:paraId="1A2D2B32">
            <w:r>
              <w:rPr>
                <w:rStyle w:val="10"/>
                <w:rFonts w:hint="eastAsia"/>
              </w:rPr>
              <w:t>注意事项：</w:t>
            </w:r>
            <w:r>
              <w:rPr>
                <w:rFonts w:hint="eastAsia"/>
              </w:rPr>
              <w:br w:type="textWrapping"/>
            </w:r>
            <w:r>
              <w:rPr>
                <w:rStyle w:val="11"/>
                <w:rFonts w:hint="eastAsia"/>
              </w:rPr>
              <w:t>1.拌种后如不能及时播种，应将种子摊开于阴凉通风处晾干后存放。2.拌种后不能闷种不能晒种。3.使用时应穿长衣长裤、靴子、戴手套、眼镜、口罩等防护用具，避免吸入药液；施药期间不可吃东西、饮水、吸烟等；施药后应及时洗手、洗脸并洗涤施药时穿着的衣物。4.禁止在河塘等水体中清洗施药器具，鸟类保护期附近禁用，播种后立即覆土。5.用过的容器应妥善处理，不可做他用，也不可随意丢弃。6.孕妇及哺乳期妇女禁止接触本品。</w:t>
            </w:r>
          </w:p>
        </w:tc>
      </w:tr>
      <w:tr w14:paraId="625DDF59">
        <w:tblPrEx>
          <w:tblCellMar>
            <w:top w:w="0" w:type="dxa"/>
            <w:left w:w="0" w:type="dxa"/>
            <w:bottom w:w="0" w:type="dxa"/>
            <w:right w:w="0" w:type="dxa"/>
          </w:tblCellMar>
        </w:tblPrEx>
        <w:trPr>
          <w:wBefore w:w="0" w:type="auto"/>
          <w:tblCellSpacing w:w="0" w:type="dxa"/>
        </w:trPr>
        <w:tc>
          <w:tcPr>
            <w:tcW w:w="0" w:type="auto"/>
            <w:noWrap w:val="0"/>
            <w:vAlign w:val="center"/>
          </w:tcPr>
          <w:p w14:paraId="3541AC36">
            <w:r>
              <w:rPr>
                <w:rStyle w:val="10"/>
                <w:rFonts w:hint="eastAsia"/>
              </w:rPr>
              <w:t>中毒急救措施：</w:t>
            </w:r>
            <w:r>
              <w:rPr>
                <w:rFonts w:hint="eastAsia"/>
              </w:rPr>
              <w:br w:type="textWrapping"/>
            </w:r>
            <w:r>
              <w:rPr>
                <w:rStyle w:val="11"/>
                <w:rFonts w:hint="eastAsia"/>
              </w:rPr>
              <w:t>无明显中毒症状。 使用中或使用后如果感觉不适，应立即停止工作，采取急救措施。不慎吸入，应将病人移至空气流通处。不慎接触皮肤或溅入眼睛，应用大量清水冲洗至少15分钟。如误服，不要引吐，立即送医救治，如进行洗胃，应防止呕吐物进入呼吸道，考虑使用活性炭和泻药。中毒时，请拨打中国疾病中心中毒控制中心咨询热线：400-650-5726。</w:t>
            </w:r>
          </w:p>
        </w:tc>
      </w:tr>
      <w:tr w14:paraId="1302FC4A">
        <w:tblPrEx>
          <w:tblCellMar>
            <w:top w:w="0" w:type="dxa"/>
            <w:left w:w="0" w:type="dxa"/>
            <w:bottom w:w="0" w:type="dxa"/>
            <w:right w:w="0" w:type="dxa"/>
          </w:tblCellMar>
        </w:tblPrEx>
        <w:trPr>
          <w:wBefore w:w="0" w:type="auto"/>
          <w:tblCellSpacing w:w="0" w:type="dxa"/>
        </w:trPr>
        <w:tc>
          <w:tcPr>
            <w:tcW w:w="0" w:type="auto"/>
            <w:noWrap w:val="0"/>
            <w:vAlign w:val="center"/>
          </w:tcPr>
          <w:p w14:paraId="3023BED6">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本品贮存应注意阴凉、干燥、通风，远离火源，不能与食品、饮料、粮食、饲料等物品同贮同运。远离儿童及家畜并加锁，以免误服。避免与皮肤、眼睛接触。装卸运输时注意检查包装是否密封完整，轻拿轻放。</w:t>
            </w:r>
          </w:p>
        </w:tc>
      </w:tr>
      <w:tr w14:paraId="4EDC699C">
        <w:tblPrEx>
          <w:tblCellMar>
            <w:top w:w="0" w:type="dxa"/>
            <w:left w:w="0" w:type="dxa"/>
            <w:bottom w:w="0" w:type="dxa"/>
            <w:right w:w="0" w:type="dxa"/>
          </w:tblCellMar>
        </w:tblPrEx>
        <w:trPr>
          <w:wBefore w:w="0" w:type="auto"/>
          <w:tblCellSpacing w:w="0" w:type="dxa"/>
        </w:trPr>
        <w:tc>
          <w:tcPr>
            <w:tcW w:w="0" w:type="auto"/>
            <w:noWrap w:val="0"/>
            <w:vAlign w:val="center"/>
          </w:tcPr>
          <w:p w14:paraId="2A8A1AF6">
            <w:r>
              <w:rPr>
                <w:rStyle w:val="10"/>
                <w:rFonts w:hint="eastAsia"/>
              </w:rPr>
              <w:t>质量保证期：</w:t>
            </w:r>
            <w:r>
              <w:rPr>
                <w:rStyle w:val="11"/>
                <w:rFonts w:hint="eastAsia"/>
              </w:rPr>
              <w:t>2年</w:t>
            </w:r>
          </w:p>
        </w:tc>
      </w:tr>
      <w:tr w14:paraId="079632FC">
        <w:tblPrEx>
          <w:tblCellMar>
            <w:top w:w="0" w:type="dxa"/>
            <w:left w:w="0" w:type="dxa"/>
            <w:bottom w:w="0" w:type="dxa"/>
            <w:right w:w="0" w:type="dxa"/>
          </w:tblCellMar>
        </w:tblPrEx>
        <w:trPr>
          <w:wBefore w:w="0" w:type="auto"/>
          <w:tblCellSpacing w:w="0" w:type="dxa"/>
        </w:trPr>
        <w:tc>
          <w:tcPr>
            <w:tcW w:w="0" w:type="auto"/>
            <w:noWrap w:val="0"/>
            <w:vAlign w:val="center"/>
          </w:tcPr>
          <w:p w14:paraId="44B7F091">
            <w:r>
              <w:rPr>
                <w:rStyle w:val="10"/>
                <w:rFonts w:hint="eastAsia"/>
              </w:rPr>
              <w:t>备注：</w:t>
            </w:r>
          </w:p>
        </w:tc>
      </w:tr>
    </w:tbl>
    <w:p w14:paraId="0B4D5E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4941F6">
        <w:tblPrEx>
          <w:tblCellMar>
            <w:top w:w="0" w:type="dxa"/>
            <w:left w:w="0" w:type="dxa"/>
            <w:bottom w:w="0" w:type="dxa"/>
            <w:right w:w="0" w:type="dxa"/>
          </w:tblCellMar>
        </w:tblPrEx>
        <w:trPr>
          <w:wBefore w:w="0" w:type="auto"/>
          <w:tblCellSpacing w:w="0" w:type="dxa"/>
        </w:trPr>
        <w:tc>
          <w:tcPr>
            <w:tcW w:w="0" w:type="auto"/>
            <w:noWrap w:val="0"/>
            <w:vAlign w:val="center"/>
          </w:tcPr>
          <w:p w14:paraId="4BB4AFE0">
            <w:r>
              <w:rPr>
                <w:rStyle w:val="10"/>
                <w:rFonts w:hint="eastAsia"/>
              </w:rPr>
              <w:t>登记证号：</w:t>
            </w:r>
            <w:r>
              <w:rPr>
                <w:rFonts w:hint="eastAsia"/>
              </w:rPr>
              <w:t>PD20212657</w:t>
            </w:r>
          </w:p>
        </w:tc>
      </w:tr>
      <w:tr w14:paraId="4227D553">
        <w:tblPrEx>
          <w:tblCellMar>
            <w:top w:w="0" w:type="dxa"/>
            <w:left w:w="0" w:type="dxa"/>
            <w:bottom w:w="0" w:type="dxa"/>
            <w:right w:w="0" w:type="dxa"/>
          </w:tblCellMar>
        </w:tblPrEx>
        <w:trPr>
          <w:wBefore w:w="0" w:type="auto"/>
          <w:tblCellSpacing w:w="0" w:type="dxa"/>
        </w:trPr>
        <w:tc>
          <w:tcPr>
            <w:tcW w:w="0" w:type="auto"/>
            <w:noWrap w:val="0"/>
            <w:vAlign w:val="center"/>
          </w:tcPr>
          <w:p w14:paraId="752BBC8E">
            <w:r>
              <w:rPr>
                <w:rStyle w:val="10"/>
                <w:rFonts w:hint="eastAsia"/>
              </w:rPr>
              <w:t>登记证持有人：</w:t>
            </w:r>
            <w:r>
              <w:rPr>
                <w:rFonts w:hint="eastAsia"/>
              </w:rPr>
              <w:t>湖南昊华化工股份有限公司</w:t>
            </w:r>
          </w:p>
        </w:tc>
      </w:tr>
      <w:tr w14:paraId="52773A3F">
        <w:tblPrEx>
          <w:tblCellMar>
            <w:top w:w="0" w:type="dxa"/>
            <w:left w:w="0" w:type="dxa"/>
            <w:bottom w:w="0" w:type="dxa"/>
            <w:right w:w="0" w:type="dxa"/>
          </w:tblCellMar>
        </w:tblPrEx>
        <w:trPr>
          <w:wBefore w:w="0" w:type="auto"/>
          <w:tblCellSpacing w:w="0" w:type="dxa"/>
        </w:trPr>
        <w:tc>
          <w:tcPr>
            <w:tcW w:w="0" w:type="auto"/>
            <w:noWrap w:val="0"/>
            <w:vAlign w:val="center"/>
          </w:tcPr>
          <w:p w14:paraId="20993E90">
            <w:r>
              <w:rPr>
                <w:rStyle w:val="10"/>
                <w:rFonts w:hint="eastAsia"/>
              </w:rPr>
              <w:t>农药名称：</w:t>
            </w:r>
            <w:r>
              <w:rPr>
                <w:rFonts w:hint="eastAsia"/>
              </w:rPr>
              <w:t>乙螨唑</w:t>
            </w:r>
          </w:p>
        </w:tc>
      </w:tr>
      <w:tr w14:paraId="6A9301D1">
        <w:tblPrEx>
          <w:tblCellMar>
            <w:top w:w="0" w:type="dxa"/>
            <w:left w:w="0" w:type="dxa"/>
            <w:bottom w:w="0" w:type="dxa"/>
            <w:right w:w="0" w:type="dxa"/>
          </w:tblCellMar>
        </w:tblPrEx>
        <w:trPr>
          <w:wBefore w:w="0" w:type="auto"/>
          <w:tblCellSpacing w:w="0" w:type="dxa"/>
        </w:trPr>
        <w:tc>
          <w:tcPr>
            <w:tcW w:w="0" w:type="auto"/>
            <w:noWrap w:val="0"/>
            <w:vAlign w:val="center"/>
          </w:tcPr>
          <w:p w14:paraId="29C4D976">
            <w:r>
              <w:rPr>
                <w:rStyle w:val="10"/>
                <w:rFonts w:hint="eastAsia"/>
              </w:rPr>
              <w:t>剂型：</w:t>
            </w:r>
            <w:r>
              <w:rPr>
                <w:rFonts w:hint="eastAsia"/>
              </w:rPr>
              <w:t>悬浮剂</w:t>
            </w:r>
          </w:p>
        </w:tc>
      </w:tr>
      <w:tr w14:paraId="72A3BA16">
        <w:tblPrEx>
          <w:tblCellMar>
            <w:top w:w="0" w:type="dxa"/>
            <w:left w:w="0" w:type="dxa"/>
            <w:bottom w:w="0" w:type="dxa"/>
            <w:right w:w="0" w:type="dxa"/>
          </w:tblCellMar>
        </w:tblPrEx>
        <w:trPr>
          <w:wBefore w:w="0" w:type="auto"/>
          <w:tblCellSpacing w:w="0" w:type="dxa"/>
        </w:trPr>
        <w:tc>
          <w:tcPr>
            <w:tcW w:w="0" w:type="auto"/>
            <w:noWrap w:val="0"/>
            <w:vAlign w:val="center"/>
          </w:tcPr>
          <w:p w14:paraId="57CC26C5">
            <w:r>
              <w:rPr>
                <w:rStyle w:val="10"/>
                <w:rFonts w:hint="eastAsia"/>
              </w:rPr>
              <w:t>毒性及其标识：</w:t>
            </w:r>
            <w:r>
              <w:rPr>
                <w:rFonts w:hint="eastAsia"/>
              </w:rPr>
              <w:t xml:space="preserve"> 微毒 </w:t>
            </w:r>
          </w:p>
        </w:tc>
      </w:tr>
      <w:tr w14:paraId="38754EDF">
        <w:tblPrEx>
          <w:tblCellMar>
            <w:top w:w="0" w:type="dxa"/>
            <w:left w:w="0" w:type="dxa"/>
            <w:bottom w:w="0" w:type="dxa"/>
            <w:right w:w="0" w:type="dxa"/>
          </w:tblCellMar>
        </w:tblPrEx>
        <w:trPr>
          <w:wBefore w:w="0" w:type="auto"/>
          <w:tblCellSpacing w:w="0" w:type="dxa"/>
        </w:trPr>
        <w:tc>
          <w:tcPr>
            <w:tcW w:w="0" w:type="auto"/>
            <w:noWrap w:val="0"/>
            <w:vAlign w:val="center"/>
          </w:tcPr>
          <w:p w14:paraId="11621D21">
            <w:r>
              <w:rPr>
                <w:rStyle w:val="10"/>
                <w:rFonts w:hint="eastAsia"/>
              </w:rPr>
              <w:t>总有效成分含量：</w:t>
            </w:r>
            <w:r>
              <w:rPr>
                <w:rFonts w:hint="eastAsia"/>
              </w:rPr>
              <w:t>30%</w:t>
            </w:r>
          </w:p>
        </w:tc>
      </w:tr>
      <w:tr w14:paraId="30FB36AA">
        <w:tblPrEx>
          <w:tblCellMar>
            <w:top w:w="0" w:type="dxa"/>
            <w:left w:w="0" w:type="dxa"/>
            <w:bottom w:w="0" w:type="dxa"/>
            <w:right w:w="0" w:type="dxa"/>
          </w:tblCellMar>
        </w:tblPrEx>
        <w:trPr>
          <w:wBefore w:w="0" w:type="auto"/>
          <w:tblCellSpacing w:w="0" w:type="dxa"/>
        </w:trPr>
        <w:tc>
          <w:tcPr>
            <w:tcW w:w="0" w:type="auto"/>
            <w:noWrap w:val="0"/>
            <w:vAlign w:val="center"/>
          </w:tcPr>
          <w:p w14:paraId="0B72CD67">
            <w:r>
              <w:rPr>
                <w:rFonts w:hint="eastAsia"/>
              </w:rPr>
              <w:t xml:space="preserve">有效成分及其含量： </w:t>
            </w:r>
          </w:p>
          <w:p w14:paraId="3D64541D">
            <w:r>
              <w:rPr>
                <w:rFonts w:hint="eastAsia"/>
              </w:rPr>
              <w:t xml:space="preserve">    乙螨唑30%    </w:t>
            </w:r>
          </w:p>
        </w:tc>
      </w:tr>
      <w:tr w14:paraId="1296C6D9">
        <w:tblPrEx>
          <w:tblCellMar>
            <w:top w:w="0" w:type="dxa"/>
            <w:left w:w="0" w:type="dxa"/>
            <w:bottom w:w="0" w:type="dxa"/>
            <w:right w:w="0" w:type="dxa"/>
          </w:tblCellMar>
        </w:tblPrEx>
        <w:trPr>
          <w:wBefore w:w="0" w:type="auto"/>
          <w:tblCellSpacing w:w="0" w:type="dxa"/>
        </w:trPr>
        <w:tc>
          <w:tcPr>
            <w:tcW w:w="0" w:type="auto"/>
            <w:noWrap w:val="0"/>
            <w:vAlign w:val="center"/>
          </w:tcPr>
          <w:p w14:paraId="7CEE8D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2840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A6FB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E7951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D980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02E166">
                  <w:r>
                    <w:rPr>
                      <w:rStyle w:val="11"/>
                      <w:rFonts w:hint="eastAsia"/>
                    </w:rPr>
                    <w:t>施用方式</w:t>
                  </w:r>
                </w:p>
              </w:tc>
            </w:tr>
            <w:tr w14:paraId="651E83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715F08">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D77592">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93B5D5">
                  <w:r>
                    <w:rPr>
                      <w:rStyle w:val="11"/>
                      <w:rFonts w:hint="eastAsia"/>
                    </w:rPr>
                    <w:t>10000-15000倍液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9491BA">
                  <w:r>
                    <w:rPr>
                      <w:rStyle w:val="11"/>
                      <w:rFonts w:hint="eastAsia"/>
                    </w:rPr>
                    <w:t>喷雾</w:t>
                  </w:r>
                </w:p>
              </w:tc>
            </w:tr>
          </w:tbl>
          <w:p w14:paraId="333E817C">
            <w:pPr>
              <w:rPr>
                <w:rFonts w:ascii="Times New Roman" w:hAnsi="Times New Roman" w:cs="Times New Roman"/>
                <w:sz w:val="20"/>
                <w:szCs w:val="20"/>
              </w:rPr>
            </w:pPr>
          </w:p>
        </w:tc>
      </w:tr>
      <w:tr w14:paraId="688C0670">
        <w:tblPrEx>
          <w:tblCellMar>
            <w:top w:w="0" w:type="dxa"/>
            <w:left w:w="0" w:type="dxa"/>
            <w:bottom w:w="0" w:type="dxa"/>
            <w:right w:w="0" w:type="dxa"/>
          </w:tblCellMar>
        </w:tblPrEx>
        <w:trPr>
          <w:wBefore w:w="0" w:type="auto"/>
          <w:tblCellSpacing w:w="0" w:type="dxa"/>
        </w:trPr>
        <w:tc>
          <w:tcPr>
            <w:tcW w:w="0" w:type="auto"/>
            <w:noWrap w:val="0"/>
            <w:vAlign w:val="center"/>
          </w:tcPr>
          <w:p w14:paraId="783C79A3">
            <w:r>
              <w:rPr>
                <w:rStyle w:val="10"/>
                <w:rFonts w:hint="eastAsia"/>
              </w:rPr>
              <w:t>使用技术要求:</w:t>
            </w:r>
            <w:r>
              <w:rPr>
                <w:rFonts w:hint="eastAsia"/>
              </w:rPr>
              <w:br w:type="textWrapping"/>
            </w:r>
            <w:r>
              <w:rPr>
                <w:rStyle w:val="11"/>
                <w:rFonts w:hint="eastAsia"/>
              </w:rPr>
              <w:t>1、于柑橘树红蜘蛛低龄幼虫发生初期至盛期施药，注意喷雾均匀周到，以确保防效。 2、大风天或者预计1小时内有雨，请勿施药。 3、本品在柑橘树上的安全间隔期为30天，每季作物最多使用1次。</w:t>
            </w:r>
          </w:p>
        </w:tc>
      </w:tr>
      <w:tr w14:paraId="2F9A2ED2">
        <w:tblPrEx>
          <w:tblCellMar>
            <w:top w:w="0" w:type="dxa"/>
            <w:left w:w="0" w:type="dxa"/>
            <w:bottom w:w="0" w:type="dxa"/>
            <w:right w:w="0" w:type="dxa"/>
          </w:tblCellMar>
        </w:tblPrEx>
        <w:trPr>
          <w:wBefore w:w="0" w:type="auto"/>
          <w:tblCellSpacing w:w="0" w:type="dxa"/>
        </w:trPr>
        <w:tc>
          <w:tcPr>
            <w:tcW w:w="0" w:type="auto"/>
            <w:noWrap w:val="0"/>
            <w:vAlign w:val="center"/>
          </w:tcPr>
          <w:p w14:paraId="422381B3">
            <w:r>
              <w:rPr>
                <w:rStyle w:val="10"/>
                <w:rFonts w:hint="eastAsia"/>
              </w:rPr>
              <w:t>产品性能:</w:t>
            </w:r>
            <w:r>
              <w:rPr>
                <w:rFonts w:hint="eastAsia"/>
              </w:rPr>
              <w:br w:type="textWrapping"/>
            </w:r>
            <w:r>
              <w:rPr>
                <w:rStyle w:val="11"/>
                <w:rFonts w:hint="eastAsia"/>
              </w:rPr>
              <w:t>本品属于2,4-二苯基噁唑衍生物类化合物，是一种选择性杀螨剂。主要是抑制螨卵的胚胎形成及从幼螨到成螨的蜕皮过程，从而对螨从卵、幼虫到蛹不同阶段都有优异的触杀性。按登记剂量使用时，对柑橘树红蜘蛛具有良好的防治效果。</w:t>
            </w:r>
          </w:p>
        </w:tc>
      </w:tr>
      <w:tr w14:paraId="07EDFBA9">
        <w:tblPrEx>
          <w:tblCellMar>
            <w:top w:w="0" w:type="dxa"/>
            <w:left w:w="0" w:type="dxa"/>
            <w:bottom w:w="0" w:type="dxa"/>
            <w:right w:w="0" w:type="dxa"/>
          </w:tblCellMar>
        </w:tblPrEx>
        <w:trPr>
          <w:wBefore w:w="0" w:type="auto"/>
          <w:tblCellSpacing w:w="0" w:type="dxa"/>
        </w:trPr>
        <w:tc>
          <w:tcPr>
            <w:tcW w:w="0" w:type="auto"/>
            <w:noWrap w:val="0"/>
            <w:vAlign w:val="center"/>
          </w:tcPr>
          <w:p w14:paraId="10316AA2">
            <w:r>
              <w:rPr>
                <w:rStyle w:val="10"/>
                <w:rFonts w:hint="eastAsia"/>
              </w:rPr>
              <w:t>注意事项：</w:t>
            </w:r>
            <w:r>
              <w:rPr>
                <w:rFonts w:hint="eastAsia"/>
              </w:rPr>
              <w:br w:type="textWrapping"/>
            </w:r>
            <w:r>
              <w:rPr>
                <w:rStyle w:val="11"/>
                <w:rFonts w:hint="eastAsia"/>
              </w:rPr>
              <w:t>1、本品应避免与氧化剂接触。 2、本品对眼睛有刺激性，配制和使用本品时应采取相应的安全防护措施，穿防护服，戴防护眼镜、手套、口罩等。避免皮肤接触及口鼻吸入药液。使用中不可吸烟、饮水和吃东西等；使用后及时清洗手、脸等暴露部位皮肤并更换衣物。 3、本品不可与波尔多液混合使用。 4、本品对家蚕、鱼类、藻类、溞类等水生生物有毒。蚕室及桑园附近禁用；远离水产养殖区、河塘等水体施药，禁止在河塘等水体中清洗施药器具。赤眼蜂等天敌放飞区域禁用。 5、建议与作用机制不同的杀虫剂轮换使用，以延缓抗性产生。 6、用过的容器应妥善处理，不可做他用，也不可随意丢弃。 7、孕妇及哺乳期妇女避免接触本品。</w:t>
            </w:r>
          </w:p>
        </w:tc>
      </w:tr>
      <w:tr w14:paraId="5364463A">
        <w:tblPrEx>
          <w:tblCellMar>
            <w:top w:w="0" w:type="dxa"/>
            <w:left w:w="0" w:type="dxa"/>
            <w:bottom w:w="0" w:type="dxa"/>
            <w:right w:w="0" w:type="dxa"/>
          </w:tblCellMar>
        </w:tblPrEx>
        <w:trPr>
          <w:wBefore w:w="0" w:type="auto"/>
          <w:tblCellSpacing w:w="0" w:type="dxa"/>
        </w:trPr>
        <w:tc>
          <w:tcPr>
            <w:tcW w:w="0" w:type="auto"/>
            <w:noWrap w:val="0"/>
            <w:vAlign w:val="center"/>
          </w:tcPr>
          <w:p w14:paraId="31038BAB">
            <w:r>
              <w:rPr>
                <w:rStyle w:val="10"/>
                <w:rFonts w:hint="eastAsia"/>
              </w:rPr>
              <w:t>中毒急救措施：</w:t>
            </w:r>
            <w:r>
              <w:rPr>
                <w:rFonts w:hint="eastAsia"/>
              </w:rPr>
              <w:br w:type="textWrapping"/>
            </w:r>
            <w:r>
              <w:rPr>
                <w:rStyle w:val="11"/>
                <w:rFonts w:hint="eastAsia"/>
              </w:rPr>
              <w:t>急救措施：本品对眼睛有刺激性，使用中或使用后若感觉不适，应立即停止工作，采取急救措施。 皮肤接触：脱去污染的衣服，用软布去除沾染农药，立即用大量清水和肥皂冲洗。 眼睛溅入：立即用流动清水冲洗不少于15分钟。 吸入：立即离开施药现场，转移到空气清新处。 误食：立即停止服用，用清水充分漱口后，立即携带农药标签到医院就诊。</w:t>
            </w:r>
          </w:p>
        </w:tc>
      </w:tr>
      <w:tr w14:paraId="28BE41D0">
        <w:tblPrEx>
          <w:tblCellMar>
            <w:top w:w="0" w:type="dxa"/>
            <w:left w:w="0" w:type="dxa"/>
            <w:bottom w:w="0" w:type="dxa"/>
            <w:right w:w="0" w:type="dxa"/>
          </w:tblCellMar>
        </w:tblPrEx>
        <w:trPr>
          <w:wBefore w:w="0" w:type="auto"/>
          <w:tblCellSpacing w:w="0" w:type="dxa"/>
        </w:trPr>
        <w:tc>
          <w:tcPr>
            <w:tcW w:w="0" w:type="auto"/>
            <w:noWrap w:val="0"/>
            <w:vAlign w:val="center"/>
          </w:tcPr>
          <w:p w14:paraId="78049CCE">
            <w:r>
              <w:rPr>
                <w:rStyle w:val="10"/>
                <w:rFonts w:hint="eastAsia"/>
              </w:rPr>
              <w:t>储存和运输方法：</w:t>
            </w:r>
            <w:r>
              <w:rPr>
                <w:rFonts w:hint="eastAsia"/>
              </w:rPr>
              <w:br w:type="textWrapping"/>
            </w:r>
            <w:r>
              <w:rPr>
                <w:rStyle w:val="11"/>
                <w:rFonts w:hint="eastAsia"/>
              </w:rPr>
              <w:t>本品应储存在干燥、阴凉、通风防雨处，远离火源和热源。置于儿童、无关人员及动物接触不到之处，并加锁保存。勿与食品、饮料、粮食、饲料等其他商品同储同运。</w:t>
            </w:r>
          </w:p>
        </w:tc>
      </w:tr>
      <w:tr w14:paraId="48AFB11E">
        <w:tblPrEx>
          <w:tblCellMar>
            <w:top w:w="0" w:type="dxa"/>
            <w:left w:w="0" w:type="dxa"/>
            <w:bottom w:w="0" w:type="dxa"/>
            <w:right w:w="0" w:type="dxa"/>
          </w:tblCellMar>
        </w:tblPrEx>
        <w:trPr>
          <w:wBefore w:w="0" w:type="auto"/>
          <w:tblCellSpacing w:w="0" w:type="dxa"/>
        </w:trPr>
        <w:tc>
          <w:tcPr>
            <w:tcW w:w="0" w:type="auto"/>
            <w:noWrap w:val="0"/>
            <w:vAlign w:val="center"/>
          </w:tcPr>
          <w:p w14:paraId="31C391A7">
            <w:r>
              <w:rPr>
                <w:rStyle w:val="10"/>
                <w:rFonts w:hint="eastAsia"/>
              </w:rPr>
              <w:t>质量保证期：</w:t>
            </w:r>
            <w:r>
              <w:rPr>
                <w:rStyle w:val="11"/>
                <w:rFonts w:hint="eastAsia"/>
              </w:rPr>
              <w:t>2年</w:t>
            </w:r>
          </w:p>
        </w:tc>
      </w:tr>
      <w:tr w14:paraId="7EBA3364">
        <w:tblPrEx>
          <w:tblCellMar>
            <w:top w:w="0" w:type="dxa"/>
            <w:left w:w="0" w:type="dxa"/>
            <w:bottom w:w="0" w:type="dxa"/>
            <w:right w:w="0" w:type="dxa"/>
          </w:tblCellMar>
        </w:tblPrEx>
        <w:trPr>
          <w:wBefore w:w="0" w:type="auto"/>
          <w:tblCellSpacing w:w="0" w:type="dxa"/>
        </w:trPr>
        <w:tc>
          <w:tcPr>
            <w:tcW w:w="0" w:type="auto"/>
            <w:noWrap w:val="0"/>
            <w:vAlign w:val="center"/>
          </w:tcPr>
          <w:p w14:paraId="4CAD0218">
            <w:r>
              <w:rPr>
                <w:rStyle w:val="10"/>
                <w:rFonts w:hint="eastAsia"/>
              </w:rPr>
              <w:t>备注：</w:t>
            </w:r>
          </w:p>
        </w:tc>
      </w:tr>
    </w:tbl>
    <w:p w14:paraId="6E12F9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41665B">
        <w:tblPrEx>
          <w:tblCellMar>
            <w:top w:w="0" w:type="dxa"/>
            <w:left w:w="0" w:type="dxa"/>
            <w:bottom w:w="0" w:type="dxa"/>
            <w:right w:w="0" w:type="dxa"/>
          </w:tblCellMar>
        </w:tblPrEx>
        <w:trPr>
          <w:wBefore w:w="0" w:type="auto"/>
          <w:tblCellSpacing w:w="0" w:type="dxa"/>
        </w:trPr>
        <w:tc>
          <w:tcPr>
            <w:tcW w:w="0" w:type="auto"/>
            <w:noWrap w:val="0"/>
            <w:vAlign w:val="center"/>
          </w:tcPr>
          <w:p w14:paraId="5601C2A0">
            <w:r>
              <w:rPr>
                <w:rStyle w:val="10"/>
                <w:rFonts w:hint="eastAsia"/>
              </w:rPr>
              <w:t>登记证号：</w:t>
            </w:r>
            <w:r>
              <w:rPr>
                <w:rFonts w:hint="eastAsia"/>
              </w:rPr>
              <w:t>PD20212443</w:t>
            </w:r>
          </w:p>
        </w:tc>
      </w:tr>
      <w:tr w14:paraId="618FDC53">
        <w:tblPrEx>
          <w:tblCellMar>
            <w:top w:w="0" w:type="dxa"/>
            <w:left w:w="0" w:type="dxa"/>
            <w:bottom w:w="0" w:type="dxa"/>
            <w:right w:w="0" w:type="dxa"/>
          </w:tblCellMar>
        </w:tblPrEx>
        <w:trPr>
          <w:wBefore w:w="0" w:type="auto"/>
          <w:tblCellSpacing w:w="0" w:type="dxa"/>
        </w:trPr>
        <w:tc>
          <w:tcPr>
            <w:tcW w:w="0" w:type="auto"/>
            <w:noWrap w:val="0"/>
            <w:vAlign w:val="center"/>
          </w:tcPr>
          <w:p w14:paraId="47F7688A">
            <w:r>
              <w:rPr>
                <w:rStyle w:val="10"/>
                <w:rFonts w:hint="eastAsia"/>
              </w:rPr>
              <w:t>登记证持有人：</w:t>
            </w:r>
            <w:r>
              <w:rPr>
                <w:rFonts w:hint="eastAsia"/>
              </w:rPr>
              <w:t>河南远见农业科技有限公司</w:t>
            </w:r>
          </w:p>
        </w:tc>
      </w:tr>
      <w:tr w14:paraId="026EE4B8">
        <w:tblPrEx>
          <w:tblCellMar>
            <w:top w:w="0" w:type="dxa"/>
            <w:left w:w="0" w:type="dxa"/>
            <w:bottom w:w="0" w:type="dxa"/>
            <w:right w:w="0" w:type="dxa"/>
          </w:tblCellMar>
        </w:tblPrEx>
        <w:trPr>
          <w:wBefore w:w="0" w:type="auto"/>
          <w:tblCellSpacing w:w="0" w:type="dxa"/>
        </w:trPr>
        <w:tc>
          <w:tcPr>
            <w:tcW w:w="0" w:type="auto"/>
            <w:noWrap w:val="0"/>
            <w:vAlign w:val="center"/>
          </w:tcPr>
          <w:p w14:paraId="041E1A75">
            <w:r>
              <w:rPr>
                <w:rStyle w:val="10"/>
                <w:rFonts w:hint="eastAsia"/>
              </w:rPr>
              <w:t>农药名称：</w:t>
            </w:r>
            <w:r>
              <w:rPr>
                <w:rFonts w:hint="eastAsia"/>
              </w:rPr>
              <w:t>丁醚脲</w:t>
            </w:r>
          </w:p>
        </w:tc>
      </w:tr>
      <w:tr w14:paraId="56160C35">
        <w:tblPrEx>
          <w:tblCellMar>
            <w:top w:w="0" w:type="dxa"/>
            <w:left w:w="0" w:type="dxa"/>
            <w:bottom w:w="0" w:type="dxa"/>
            <w:right w:w="0" w:type="dxa"/>
          </w:tblCellMar>
        </w:tblPrEx>
        <w:trPr>
          <w:wBefore w:w="0" w:type="auto"/>
          <w:tblCellSpacing w:w="0" w:type="dxa"/>
        </w:trPr>
        <w:tc>
          <w:tcPr>
            <w:tcW w:w="0" w:type="auto"/>
            <w:noWrap w:val="0"/>
            <w:vAlign w:val="center"/>
          </w:tcPr>
          <w:p w14:paraId="20B4D4A2">
            <w:r>
              <w:rPr>
                <w:rStyle w:val="10"/>
                <w:rFonts w:hint="eastAsia"/>
              </w:rPr>
              <w:t>剂型：</w:t>
            </w:r>
            <w:r>
              <w:rPr>
                <w:rFonts w:hint="eastAsia"/>
              </w:rPr>
              <w:t>悬浮剂</w:t>
            </w:r>
          </w:p>
        </w:tc>
      </w:tr>
      <w:tr w14:paraId="4DE31AA7">
        <w:tblPrEx>
          <w:tblCellMar>
            <w:top w:w="0" w:type="dxa"/>
            <w:left w:w="0" w:type="dxa"/>
            <w:bottom w:w="0" w:type="dxa"/>
            <w:right w:w="0" w:type="dxa"/>
          </w:tblCellMar>
        </w:tblPrEx>
        <w:trPr>
          <w:wBefore w:w="0" w:type="auto"/>
          <w:tblCellSpacing w:w="0" w:type="dxa"/>
        </w:trPr>
        <w:tc>
          <w:tcPr>
            <w:tcW w:w="0" w:type="auto"/>
            <w:noWrap w:val="0"/>
            <w:vAlign w:val="center"/>
          </w:tcPr>
          <w:p w14:paraId="2AAA116D">
            <w:r>
              <w:rPr>
                <w:rStyle w:val="10"/>
                <w:rFonts w:hint="eastAsia"/>
              </w:rPr>
              <w:t>毒性及其标识：</w:t>
            </w:r>
            <w:r>
              <w:rPr>
                <w:rFonts w:hint="eastAsia"/>
              </w:rPr>
              <w:t xml:space="preserve"> </w:t>
            </w:r>
            <w:r>
              <w:rPr>
                <w:lang/>
              </w:rPr>
              <w:drawing>
                <wp:inline distT="0" distB="0" distL="114300" distR="114300">
                  <wp:extent cx="476250" cy="323850"/>
                  <wp:effectExtent l="0" t="0" r="0" b="0"/>
                  <wp:docPr id="189" name="图片 1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8630AC">
        <w:tblPrEx>
          <w:tblCellMar>
            <w:top w:w="0" w:type="dxa"/>
            <w:left w:w="0" w:type="dxa"/>
            <w:bottom w:w="0" w:type="dxa"/>
            <w:right w:w="0" w:type="dxa"/>
          </w:tblCellMar>
        </w:tblPrEx>
        <w:trPr>
          <w:wBefore w:w="0" w:type="auto"/>
          <w:tblCellSpacing w:w="0" w:type="dxa"/>
        </w:trPr>
        <w:tc>
          <w:tcPr>
            <w:tcW w:w="0" w:type="auto"/>
            <w:noWrap w:val="0"/>
            <w:vAlign w:val="center"/>
          </w:tcPr>
          <w:p w14:paraId="31058FC3">
            <w:r>
              <w:rPr>
                <w:rStyle w:val="10"/>
                <w:rFonts w:hint="eastAsia"/>
              </w:rPr>
              <w:t>总有效成分含量：</w:t>
            </w:r>
            <w:r>
              <w:rPr>
                <w:rFonts w:hint="eastAsia"/>
              </w:rPr>
              <w:t>50%</w:t>
            </w:r>
          </w:p>
        </w:tc>
      </w:tr>
      <w:tr w14:paraId="6A419567">
        <w:tblPrEx>
          <w:tblCellMar>
            <w:top w:w="0" w:type="dxa"/>
            <w:left w:w="0" w:type="dxa"/>
            <w:bottom w:w="0" w:type="dxa"/>
            <w:right w:w="0" w:type="dxa"/>
          </w:tblCellMar>
        </w:tblPrEx>
        <w:trPr>
          <w:wBefore w:w="0" w:type="auto"/>
          <w:tblCellSpacing w:w="0" w:type="dxa"/>
        </w:trPr>
        <w:tc>
          <w:tcPr>
            <w:tcW w:w="0" w:type="auto"/>
            <w:noWrap w:val="0"/>
            <w:vAlign w:val="center"/>
          </w:tcPr>
          <w:p w14:paraId="48D35588">
            <w:r>
              <w:rPr>
                <w:rFonts w:hint="eastAsia"/>
              </w:rPr>
              <w:t xml:space="preserve">有效成分及其含量： </w:t>
            </w:r>
          </w:p>
          <w:p w14:paraId="51DE60A9">
            <w:r>
              <w:rPr>
                <w:rFonts w:hint="eastAsia"/>
              </w:rPr>
              <w:t xml:space="preserve">    丁醚脲50%    </w:t>
            </w:r>
          </w:p>
        </w:tc>
      </w:tr>
      <w:tr w14:paraId="533D0786">
        <w:tblPrEx>
          <w:tblCellMar>
            <w:top w:w="0" w:type="dxa"/>
            <w:left w:w="0" w:type="dxa"/>
            <w:bottom w:w="0" w:type="dxa"/>
            <w:right w:w="0" w:type="dxa"/>
          </w:tblCellMar>
        </w:tblPrEx>
        <w:trPr>
          <w:wBefore w:w="0" w:type="auto"/>
          <w:tblCellSpacing w:w="0" w:type="dxa"/>
        </w:trPr>
        <w:tc>
          <w:tcPr>
            <w:tcW w:w="0" w:type="auto"/>
            <w:noWrap w:val="0"/>
            <w:vAlign w:val="center"/>
          </w:tcPr>
          <w:p w14:paraId="41A5FE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76FD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3805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EE1262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FB6B1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C60CD7">
                  <w:r>
                    <w:rPr>
                      <w:rStyle w:val="11"/>
                      <w:rFonts w:hint="eastAsia"/>
                    </w:rPr>
                    <w:t>施用方式</w:t>
                  </w:r>
                </w:p>
              </w:tc>
            </w:tr>
            <w:tr w14:paraId="4E236B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10A324">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9ECF1">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D9E29E">
                  <w:r>
                    <w:rPr>
                      <w:rStyle w:val="11"/>
                      <w:rFonts w:hint="eastAsia"/>
                    </w:rPr>
                    <w:t>70-110毫升/亩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FE21B9">
                  <w:r>
                    <w:rPr>
                      <w:rStyle w:val="11"/>
                      <w:rFonts w:hint="eastAsia"/>
                    </w:rPr>
                    <w:t>喷雾</w:t>
                  </w:r>
                </w:p>
              </w:tc>
            </w:tr>
          </w:tbl>
          <w:p w14:paraId="5B4A376D">
            <w:pPr>
              <w:rPr>
                <w:rFonts w:ascii="Times New Roman" w:hAnsi="Times New Roman" w:cs="Times New Roman"/>
                <w:sz w:val="20"/>
                <w:szCs w:val="20"/>
              </w:rPr>
            </w:pPr>
          </w:p>
        </w:tc>
      </w:tr>
      <w:tr w14:paraId="52C52D08">
        <w:tblPrEx>
          <w:tblCellMar>
            <w:top w:w="0" w:type="dxa"/>
            <w:left w:w="0" w:type="dxa"/>
            <w:bottom w:w="0" w:type="dxa"/>
            <w:right w:w="0" w:type="dxa"/>
          </w:tblCellMar>
        </w:tblPrEx>
        <w:trPr>
          <w:wBefore w:w="0" w:type="auto"/>
          <w:tblCellSpacing w:w="0" w:type="dxa"/>
        </w:trPr>
        <w:tc>
          <w:tcPr>
            <w:tcW w:w="0" w:type="auto"/>
            <w:noWrap w:val="0"/>
            <w:vAlign w:val="center"/>
          </w:tcPr>
          <w:p w14:paraId="6240FD24">
            <w:r>
              <w:rPr>
                <w:rStyle w:val="10"/>
                <w:rFonts w:hint="eastAsia"/>
              </w:rPr>
              <w:t>使用技术要求:</w:t>
            </w:r>
            <w:r>
              <w:rPr>
                <w:rFonts w:hint="eastAsia"/>
              </w:rPr>
              <w:br w:type="textWrapping"/>
            </w:r>
            <w:r>
              <w:rPr>
                <w:rStyle w:val="11"/>
                <w:rFonts w:hint="eastAsia"/>
              </w:rPr>
              <w:t>1、本品应于茶树茶小绿叶蝉发生期施药，使用时应均匀喷雾。 2、大风天或预计1小时内有雨，请勿施药。 3、本品在茶树上使用的安全间隔期为10天，每季作物最多使用1次。</w:t>
            </w:r>
          </w:p>
        </w:tc>
      </w:tr>
      <w:tr w14:paraId="2EF6E796">
        <w:tblPrEx>
          <w:tblCellMar>
            <w:top w:w="0" w:type="dxa"/>
            <w:left w:w="0" w:type="dxa"/>
            <w:bottom w:w="0" w:type="dxa"/>
            <w:right w:w="0" w:type="dxa"/>
          </w:tblCellMar>
        </w:tblPrEx>
        <w:trPr>
          <w:wBefore w:w="0" w:type="auto"/>
          <w:tblCellSpacing w:w="0" w:type="dxa"/>
        </w:trPr>
        <w:tc>
          <w:tcPr>
            <w:tcW w:w="0" w:type="auto"/>
            <w:noWrap w:val="0"/>
            <w:vAlign w:val="center"/>
          </w:tcPr>
          <w:p w14:paraId="4AC35C40">
            <w:r>
              <w:rPr>
                <w:rStyle w:val="10"/>
                <w:rFonts w:hint="eastAsia"/>
              </w:rPr>
              <w:t>产品性能:</w:t>
            </w:r>
            <w:r>
              <w:rPr>
                <w:rFonts w:hint="eastAsia"/>
              </w:rPr>
              <w:br w:type="textWrapping"/>
            </w:r>
            <w:r>
              <w:rPr>
                <w:rStyle w:val="11"/>
                <w:rFonts w:hint="eastAsia"/>
              </w:rPr>
              <w:t>本品属硫脲类杀虫剂，通过阻碍害虫体内神经细胞线粒体的功能，影响其呼吸作用及能量转换，使害虫僵死，具有内吸和熏蒸作用。对茶树茶小绿叶蝉有较好的防效。</w:t>
            </w:r>
          </w:p>
        </w:tc>
      </w:tr>
      <w:tr w14:paraId="4C793FCC">
        <w:tblPrEx>
          <w:tblCellMar>
            <w:top w:w="0" w:type="dxa"/>
            <w:left w:w="0" w:type="dxa"/>
            <w:bottom w:w="0" w:type="dxa"/>
            <w:right w:w="0" w:type="dxa"/>
          </w:tblCellMar>
        </w:tblPrEx>
        <w:trPr>
          <w:wBefore w:w="0" w:type="auto"/>
          <w:tblCellSpacing w:w="0" w:type="dxa"/>
        </w:trPr>
        <w:tc>
          <w:tcPr>
            <w:tcW w:w="0" w:type="auto"/>
            <w:noWrap w:val="0"/>
            <w:vAlign w:val="center"/>
          </w:tcPr>
          <w:p w14:paraId="1DADC3CC">
            <w:r>
              <w:rPr>
                <w:rStyle w:val="10"/>
                <w:rFonts w:hint="eastAsia"/>
              </w:rPr>
              <w:t>注意事项：</w:t>
            </w:r>
            <w:r>
              <w:rPr>
                <w:rFonts w:hint="eastAsia"/>
              </w:rPr>
              <w:br w:type="textWrapping"/>
            </w:r>
            <w:r>
              <w:rPr>
                <w:rStyle w:val="11"/>
                <w:rFonts w:hint="eastAsia"/>
              </w:rPr>
              <w:t>1、本品不可与呈碱性的农药等物质混合使用,建议与其他作用机制不同的杀虫剂轮换使用，以延缓抗性的产生。2、使用本品时农药施用人员在配药和施药过程中要注意安全，须穿戴护目镜、防毒面具、专业防护服、长筒靴和双层防护手套等安全性更高的护具。在脱去防护手套和防护鞋前先用清水冲洗，避免其污染面在脱下时与皮肤接触，并且防护用品必须和其他衣物分开清洗和存放。3、定期检查、维护和保养施药器械，避免施药器械的故障或药液箱漏液，施药时应从上风向开始，喷头应在下风向，并在施药作业现场准备有足量的肥皂和清水等洗涤用品。4、施药期间不可吃东西和饮水，施药后应及时洗手和洗脸。施药后应用肥皂和清水彻底清洗暴露在外的皮肤，并及时更换衣物。5、严格按照施药量、施药次数及施药间隔进行施药，或在专业植保人员的指导下施药，不能随意增加施药量、施药次数或缩短施药间隔。6、本品对蜜蜂、家蚕、鱼等水生生物有毒，（周围）开花植物花期禁用，施药期间应密切关注对附近蜂群的影响，蜜源/粉源植物花期、蚕室和桑园附近禁用。七星瓢虫等捕食性天敌放飞区域禁用。远离水产养殖区、河塘等水体附近施药，避免药液污染水源，禁止在河塘等水域中清洗施药器具。7、用过的容器应妥善处理，不可做他用，也不可随意丢弃。8、孕妇及哺乳期妇女应避免接触本品。9、避免与具有氧化性物质接触或混合。</w:t>
            </w:r>
          </w:p>
        </w:tc>
      </w:tr>
      <w:tr w14:paraId="1AE87007">
        <w:tblPrEx>
          <w:tblCellMar>
            <w:top w:w="0" w:type="dxa"/>
            <w:left w:w="0" w:type="dxa"/>
            <w:bottom w:w="0" w:type="dxa"/>
            <w:right w:w="0" w:type="dxa"/>
          </w:tblCellMar>
        </w:tblPrEx>
        <w:trPr>
          <w:wBefore w:w="0" w:type="auto"/>
          <w:tblCellSpacing w:w="0" w:type="dxa"/>
        </w:trPr>
        <w:tc>
          <w:tcPr>
            <w:tcW w:w="0" w:type="auto"/>
            <w:noWrap w:val="0"/>
            <w:vAlign w:val="center"/>
          </w:tcPr>
          <w:p w14:paraId="27B7C0F7">
            <w:r>
              <w:rPr>
                <w:rStyle w:val="10"/>
                <w:rFonts w:hint="eastAsia"/>
              </w:rPr>
              <w:t>中毒急救措施：</w:t>
            </w:r>
            <w:r>
              <w:rPr>
                <w:rFonts w:hint="eastAsia"/>
              </w:rPr>
              <w:br w:type="textWrapping"/>
            </w:r>
            <w:r>
              <w:rPr>
                <w:rStyle w:val="11"/>
                <w:rFonts w:hint="eastAsia"/>
              </w:rPr>
              <w:t>中毒症状：轻度中毒：头痛、呕吐、出汗。中度中毒：除上述症状外剧烈呕吐、腹痛、呼吸困难等。重度中毒：抽搐。本品使用过程中如有不适，立即停止，采用急救措施，携标签送医就诊。1、皮肤接触：立即脱掉被污染的衣物，用肥皂和大量清水彻底清洗受污染的皮肤。必要时请医生诊治；2、眼睛溅药：立即将眼睑翻开，用清水冲洗至少15分钟，再请医生诊治；3、发生吸入：立即将吸入者转移到空气新鲜处，注意保暖和休息，请医生诊治；4、误服：请勿引吐，立即携带标签，送医就诊。</w:t>
            </w:r>
          </w:p>
        </w:tc>
      </w:tr>
      <w:tr w14:paraId="55E11D17">
        <w:tblPrEx>
          <w:tblCellMar>
            <w:top w:w="0" w:type="dxa"/>
            <w:left w:w="0" w:type="dxa"/>
            <w:bottom w:w="0" w:type="dxa"/>
            <w:right w:w="0" w:type="dxa"/>
          </w:tblCellMar>
        </w:tblPrEx>
        <w:trPr>
          <w:wBefore w:w="0" w:type="auto"/>
          <w:tblCellSpacing w:w="0" w:type="dxa"/>
        </w:trPr>
        <w:tc>
          <w:tcPr>
            <w:tcW w:w="0" w:type="auto"/>
            <w:noWrap w:val="0"/>
            <w:vAlign w:val="center"/>
          </w:tcPr>
          <w:p w14:paraId="2948427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3EF16DB5">
        <w:tblPrEx>
          <w:tblCellMar>
            <w:top w:w="0" w:type="dxa"/>
            <w:left w:w="0" w:type="dxa"/>
            <w:bottom w:w="0" w:type="dxa"/>
            <w:right w:w="0" w:type="dxa"/>
          </w:tblCellMar>
        </w:tblPrEx>
        <w:trPr>
          <w:wBefore w:w="0" w:type="auto"/>
          <w:tblCellSpacing w:w="0" w:type="dxa"/>
        </w:trPr>
        <w:tc>
          <w:tcPr>
            <w:tcW w:w="0" w:type="auto"/>
            <w:noWrap w:val="0"/>
            <w:vAlign w:val="center"/>
          </w:tcPr>
          <w:p w14:paraId="4CDA73D5">
            <w:r>
              <w:rPr>
                <w:rStyle w:val="10"/>
                <w:rFonts w:hint="eastAsia"/>
              </w:rPr>
              <w:t>质量保证期：</w:t>
            </w:r>
            <w:r>
              <w:rPr>
                <w:rStyle w:val="11"/>
                <w:rFonts w:hint="eastAsia"/>
              </w:rPr>
              <w:t>2年</w:t>
            </w:r>
          </w:p>
        </w:tc>
      </w:tr>
      <w:tr w14:paraId="0997DB23">
        <w:tblPrEx>
          <w:tblCellMar>
            <w:top w:w="0" w:type="dxa"/>
            <w:left w:w="0" w:type="dxa"/>
            <w:bottom w:w="0" w:type="dxa"/>
            <w:right w:w="0" w:type="dxa"/>
          </w:tblCellMar>
        </w:tblPrEx>
        <w:trPr>
          <w:wBefore w:w="0" w:type="auto"/>
          <w:tblCellSpacing w:w="0" w:type="dxa"/>
        </w:trPr>
        <w:tc>
          <w:tcPr>
            <w:tcW w:w="0" w:type="auto"/>
            <w:noWrap w:val="0"/>
            <w:vAlign w:val="center"/>
          </w:tcPr>
          <w:p w14:paraId="649601F4">
            <w:r>
              <w:rPr>
                <w:rStyle w:val="10"/>
                <w:rFonts w:hint="eastAsia"/>
              </w:rPr>
              <w:t>备注：</w:t>
            </w:r>
          </w:p>
        </w:tc>
      </w:tr>
    </w:tbl>
    <w:p w14:paraId="143278E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C1AD995">
        <w:tblPrEx>
          <w:tblCellMar>
            <w:top w:w="0" w:type="dxa"/>
            <w:left w:w="0" w:type="dxa"/>
            <w:bottom w:w="0" w:type="dxa"/>
            <w:right w:w="0" w:type="dxa"/>
          </w:tblCellMar>
        </w:tblPrEx>
        <w:trPr>
          <w:wBefore w:w="0" w:type="auto"/>
          <w:tblCellSpacing w:w="0" w:type="dxa"/>
        </w:trPr>
        <w:tc>
          <w:tcPr>
            <w:tcW w:w="0" w:type="auto"/>
            <w:noWrap w:val="0"/>
            <w:vAlign w:val="center"/>
          </w:tcPr>
          <w:p w14:paraId="2DE8BFB0">
            <w:r>
              <w:rPr>
                <w:rStyle w:val="10"/>
                <w:rFonts w:hint="eastAsia"/>
              </w:rPr>
              <w:t>登记证号：</w:t>
            </w:r>
            <w:r>
              <w:rPr>
                <w:rFonts w:hint="eastAsia"/>
              </w:rPr>
              <w:t>PD20212593</w:t>
            </w:r>
          </w:p>
        </w:tc>
      </w:tr>
      <w:tr w14:paraId="4DFFFAAD">
        <w:tblPrEx>
          <w:tblCellMar>
            <w:top w:w="0" w:type="dxa"/>
            <w:left w:w="0" w:type="dxa"/>
            <w:bottom w:w="0" w:type="dxa"/>
            <w:right w:w="0" w:type="dxa"/>
          </w:tblCellMar>
        </w:tblPrEx>
        <w:trPr>
          <w:wBefore w:w="0" w:type="auto"/>
          <w:tblCellSpacing w:w="0" w:type="dxa"/>
        </w:trPr>
        <w:tc>
          <w:tcPr>
            <w:tcW w:w="0" w:type="auto"/>
            <w:noWrap w:val="0"/>
            <w:vAlign w:val="center"/>
          </w:tcPr>
          <w:p w14:paraId="60C8BA7E">
            <w:r>
              <w:rPr>
                <w:rStyle w:val="10"/>
                <w:rFonts w:hint="eastAsia"/>
              </w:rPr>
              <w:t>登记证持有人：</w:t>
            </w:r>
            <w:r>
              <w:rPr>
                <w:rFonts w:hint="eastAsia"/>
              </w:rPr>
              <w:t>安徽富田农化有限公司</w:t>
            </w:r>
          </w:p>
        </w:tc>
      </w:tr>
      <w:tr w14:paraId="64213A58">
        <w:tblPrEx>
          <w:tblCellMar>
            <w:top w:w="0" w:type="dxa"/>
            <w:left w:w="0" w:type="dxa"/>
            <w:bottom w:w="0" w:type="dxa"/>
            <w:right w:w="0" w:type="dxa"/>
          </w:tblCellMar>
        </w:tblPrEx>
        <w:trPr>
          <w:wBefore w:w="0" w:type="auto"/>
          <w:tblCellSpacing w:w="0" w:type="dxa"/>
        </w:trPr>
        <w:tc>
          <w:tcPr>
            <w:tcW w:w="0" w:type="auto"/>
            <w:noWrap w:val="0"/>
            <w:vAlign w:val="center"/>
          </w:tcPr>
          <w:p w14:paraId="3E8CF20E">
            <w:r>
              <w:rPr>
                <w:rStyle w:val="10"/>
                <w:rFonts w:hint="eastAsia"/>
              </w:rPr>
              <w:t>农药名称：</w:t>
            </w:r>
            <w:r>
              <w:rPr>
                <w:rFonts w:hint="eastAsia"/>
              </w:rPr>
              <w:t>异丙草胺</w:t>
            </w:r>
          </w:p>
        </w:tc>
      </w:tr>
      <w:tr w14:paraId="1164B61D">
        <w:tblPrEx>
          <w:tblCellMar>
            <w:top w:w="0" w:type="dxa"/>
            <w:left w:w="0" w:type="dxa"/>
            <w:bottom w:w="0" w:type="dxa"/>
            <w:right w:w="0" w:type="dxa"/>
          </w:tblCellMar>
        </w:tblPrEx>
        <w:trPr>
          <w:wBefore w:w="0" w:type="auto"/>
          <w:tblCellSpacing w:w="0" w:type="dxa"/>
        </w:trPr>
        <w:tc>
          <w:tcPr>
            <w:tcW w:w="0" w:type="auto"/>
            <w:noWrap w:val="0"/>
            <w:vAlign w:val="center"/>
          </w:tcPr>
          <w:p w14:paraId="5EE3B173">
            <w:r>
              <w:rPr>
                <w:rStyle w:val="10"/>
                <w:rFonts w:hint="eastAsia"/>
              </w:rPr>
              <w:t>剂型：</w:t>
            </w:r>
            <w:r>
              <w:rPr>
                <w:rFonts w:hint="eastAsia"/>
              </w:rPr>
              <w:t>乳油</w:t>
            </w:r>
          </w:p>
        </w:tc>
      </w:tr>
      <w:tr w14:paraId="584706C1">
        <w:tblPrEx>
          <w:tblCellMar>
            <w:top w:w="0" w:type="dxa"/>
            <w:left w:w="0" w:type="dxa"/>
            <w:bottom w:w="0" w:type="dxa"/>
            <w:right w:w="0" w:type="dxa"/>
          </w:tblCellMar>
        </w:tblPrEx>
        <w:trPr>
          <w:wBefore w:w="0" w:type="auto"/>
          <w:tblCellSpacing w:w="0" w:type="dxa"/>
        </w:trPr>
        <w:tc>
          <w:tcPr>
            <w:tcW w:w="0" w:type="auto"/>
            <w:noWrap w:val="0"/>
            <w:vAlign w:val="center"/>
          </w:tcPr>
          <w:p w14:paraId="0B686539">
            <w:r>
              <w:rPr>
                <w:rStyle w:val="10"/>
                <w:rFonts w:hint="eastAsia"/>
              </w:rPr>
              <w:t>毒性及其标识：</w:t>
            </w:r>
            <w:r>
              <w:rPr>
                <w:rFonts w:hint="eastAsia"/>
              </w:rPr>
              <w:t xml:space="preserve"> </w:t>
            </w:r>
            <w:r>
              <w:rPr>
                <w:lang/>
              </w:rPr>
              <w:drawing>
                <wp:inline distT="0" distB="0" distL="114300" distR="114300">
                  <wp:extent cx="476250" cy="323850"/>
                  <wp:effectExtent l="0" t="0" r="0" b="0"/>
                  <wp:docPr id="190" name="图片 1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C10503">
        <w:tblPrEx>
          <w:tblCellMar>
            <w:top w:w="0" w:type="dxa"/>
            <w:left w:w="0" w:type="dxa"/>
            <w:bottom w:w="0" w:type="dxa"/>
            <w:right w:w="0" w:type="dxa"/>
          </w:tblCellMar>
        </w:tblPrEx>
        <w:trPr>
          <w:wBefore w:w="0" w:type="auto"/>
          <w:tblCellSpacing w:w="0" w:type="dxa"/>
        </w:trPr>
        <w:tc>
          <w:tcPr>
            <w:tcW w:w="0" w:type="auto"/>
            <w:noWrap w:val="0"/>
            <w:vAlign w:val="center"/>
          </w:tcPr>
          <w:p w14:paraId="7396C077">
            <w:r>
              <w:rPr>
                <w:rStyle w:val="10"/>
                <w:rFonts w:hint="eastAsia"/>
              </w:rPr>
              <w:t>总有效成分含量：</w:t>
            </w:r>
            <w:r>
              <w:rPr>
                <w:rFonts w:hint="eastAsia"/>
              </w:rPr>
              <w:t>720克/升</w:t>
            </w:r>
          </w:p>
        </w:tc>
      </w:tr>
      <w:tr w14:paraId="0E6FA918">
        <w:tblPrEx>
          <w:tblCellMar>
            <w:top w:w="0" w:type="dxa"/>
            <w:left w:w="0" w:type="dxa"/>
            <w:bottom w:w="0" w:type="dxa"/>
            <w:right w:w="0" w:type="dxa"/>
          </w:tblCellMar>
        </w:tblPrEx>
        <w:trPr>
          <w:wBefore w:w="0" w:type="auto"/>
          <w:tblCellSpacing w:w="0" w:type="dxa"/>
        </w:trPr>
        <w:tc>
          <w:tcPr>
            <w:tcW w:w="0" w:type="auto"/>
            <w:noWrap w:val="0"/>
            <w:vAlign w:val="center"/>
          </w:tcPr>
          <w:p w14:paraId="7DF8BDDF">
            <w:r>
              <w:rPr>
                <w:rFonts w:hint="eastAsia"/>
              </w:rPr>
              <w:t xml:space="preserve">有效成分及其含量： </w:t>
            </w:r>
          </w:p>
          <w:p w14:paraId="089224EE">
            <w:r>
              <w:rPr>
                <w:rFonts w:hint="eastAsia"/>
              </w:rPr>
              <w:t xml:space="preserve">    异丙草胺720克/升    </w:t>
            </w:r>
          </w:p>
        </w:tc>
      </w:tr>
      <w:tr w14:paraId="72C6DDC2">
        <w:tblPrEx>
          <w:tblCellMar>
            <w:top w:w="0" w:type="dxa"/>
            <w:left w:w="0" w:type="dxa"/>
            <w:bottom w:w="0" w:type="dxa"/>
            <w:right w:w="0" w:type="dxa"/>
          </w:tblCellMar>
        </w:tblPrEx>
        <w:trPr>
          <w:wBefore w:w="0" w:type="auto"/>
          <w:tblCellSpacing w:w="0" w:type="dxa"/>
        </w:trPr>
        <w:tc>
          <w:tcPr>
            <w:tcW w:w="0" w:type="auto"/>
            <w:noWrap w:val="0"/>
            <w:vAlign w:val="center"/>
          </w:tcPr>
          <w:p w14:paraId="18AF30B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24F8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4FF8C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F061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9EC35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C4DE55">
                  <w:r>
                    <w:rPr>
                      <w:rStyle w:val="11"/>
                      <w:rFonts w:hint="eastAsia"/>
                    </w:rPr>
                    <w:t>施用方式</w:t>
                  </w:r>
                </w:p>
              </w:tc>
            </w:tr>
            <w:tr w14:paraId="65B0B6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A87CC8">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8B231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59812F">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99FAC1">
                  <w:r>
                    <w:rPr>
                      <w:rStyle w:val="11"/>
                      <w:rFonts w:hint="eastAsia"/>
                    </w:rPr>
                    <w:t>土壤喷雾</w:t>
                  </w:r>
                </w:p>
              </w:tc>
            </w:tr>
          </w:tbl>
          <w:p w14:paraId="0ED70F3C">
            <w:pPr>
              <w:rPr>
                <w:rFonts w:ascii="Times New Roman" w:hAnsi="Times New Roman" w:cs="Times New Roman"/>
                <w:sz w:val="20"/>
                <w:szCs w:val="20"/>
              </w:rPr>
            </w:pPr>
          </w:p>
        </w:tc>
      </w:tr>
      <w:tr w14:paraId="742326FE">
        <w:tblPrEx>
          <w:tblCellMar>
            <w:top w:w="0" w:type="dxa"/>
            <w:left w:w="0" w:type="dxa"/>
            <w:bottom w:w="0" w:type="dxa"/>
            <w:right w:w="0" w:type="dxa"/>
          </w:tblCellMar>
        </w:tblPrEx>
        <w:trPr>
          <w:wBefore w:w="0" w:type="auto"/>
          <w:tblCellSpacing w:w="0" w:type="dxa"/>
        </w:trPr>
        <w:tc>
          <w:tcPr>
            <w:tcW w:w="0" w:type="auto"/>
            <w:noWrap w:val="0"/>
            <w:vAlign w:val="center"/>
          </w:tcPr>
          <w:p w14:paraId="1D853876">
            <w:r>
              <w:rPr>
                <w:rStyle w:val="10"/>
                <w:rFonts w:hint="eastAsia"/>
              </w:rPr>
              <w:t>使用技术要求:</w:t>
            </w:r>
            <w:r>
              <w:rPr>
                <w:rFonts w:hint="eastAsia"/>
              </w:rPr>
              <w:br w:type="textWrapping"/>
            </w:r>
            <w:r>
              <w:rPr>
                <w:rStyle w:val="11"/>
                <w:rFonts w:hint="eastAsia"/>
              </w:rPr>
              <w:t>1. 本品应于春玉米播后苗前、杂草出土前，每亩兑水30～50升，均匀喷洒于土壤表面。2. 本品除草效果受土壤湿度和温度影响较大，应根据具体情况确定用药量和兑水量，严重干旱时应于施药后15日内进行喷灌以保证药效发挥。3. 避免大风天施药，以免药液飘移。低温15℃以下，大风、干旱不利于药效发挥，施药后24小时内如遇大雨应进行补喷。4. 覆盖地膜田块应注意湿度，适当降低用药量。沙质土壤不宜封闭处理，有机质含量高和粘性大的土壤用药量适当增加。5. 用药后持续低温多雨影响药效，易产生药害。6. 苋菜、菠菜、生菜等对本品敏感，施药时注意避开。7.本品每季作物最多使用1次。</w:t>
            </w:r>
          </w:p>
        </w:tc>
      </w:tr>
      <w:tr w14:paraId="3C773126">
        <w:tblPrEx>
          <w:tblCellMar>
            <w:top w:w="0" w:type="dxa"/>
            <w:left w:w="0" w:type="dxa"/>
            <w:bottom w:w="0" w:type="dxa"/>
            <w:right w:w="0" w:type="dxa"/>
          </w:tblCellMar>
        </w:tblPrEx>
        <w:trPr>
          <w:wBefore w:w="0" w:type="auto"/>
          <w:tblCellSpacing w:w="0" w:type="dxa"/>
        </w:trPr>
        <w:tc>
          <w:tcPr>
            <w:tcW w:w="0" w:type="auto"/>
            <w:noWrap w:val="0"/>
            <w:vAlign w:val="center"/>
          </w:tcPr>
          <w:p w14:paraId="04DF072A">
            <w:r>
              <w:rPr>
                <w:rStyle w:val="10"/>
                <w:rFonts w:hint="eastAsia"/>
              </w:rPr>
              <w:t>产品性能:</w:t>
            </w:r>
            <w:r>
              <w:rPr>
                <w:rFonts w:hint="eastAsia"/>
              </w:rPr>
              <w:br w:type="textWrapping"/>
            </w:r>
            <w:r>
              <w:rPr>
                <w:rStyle w:val="11"/>
                <w:rFonts w:hint="eastAsia"/>
              </w:rPr>
              <w:t>本品为酰胺类选择性芽前除草剂，是植物发芽抑制剂，主要通过植物幼芽鞘和幼茎吸收。可用于春玉米田防除一年生禾本科杂草及部分阔叶杂草。如稗草、狗尾草、鸭拓草、苘麻、谷莠、蓼等杂草。</w:t>
            </w:r>
          </w:p>
        </w:tc>
      </w:tr>
      <w:tr w14:paraId="55DAF506">
        <w:tblPrEx>
          <w:tblCellMar>
            <w:top w:w="0" w:type="dxa"/>
            <w:left w:w="0" w:type="dxa"/>
            <w:bottom w:w="0" w:type="dxa"/>
            <w:right w:w="0" w:type="dxa"/>
          </w:tblCellMar>
        </w:tblPrEx>
        <w:trPr>
          <w:wBefore w:w="0" w:type="auto"/>
          <w:tblCellSpacing w:w="0" w:type="dxa"/>
        </w:trPr>
        <w:tc>
          <w:tcPr>
            <w:tcW w:w="0" w:type="auto"/>
            <w:noWrap w:val="0"/>
            <w:vAlign w:val="center"/>
          </w:tcPr>
          <w:p w14:paraId="02A6AC2F">
            <w:r>
              <w:rPr>
                <w:rStyle w:val="10"/>
                <w:rFonts w:hint="eastAsia"/>
              </w:rPr>
              <w:t>注意事项：</w:t>
            </w:r>
            <w:r>
              <w:rPr>
                <w:rFonts w:hint="eastAsia"/>
              </w:rPr>
              <w:br w:type="textWrapping"/>
            </w:r>
            <w:r>
              <w:rPr>
                <w:rStyle w:val="11"/>
                <w:rFonts w:hint="eastAsia"/>
              </w:rPr>
              <w:t>1. 本品对鱼类等水生生物有毒，对家蚕和捕食性天敌生物高风险。水产养殖区、河塘等水体附近禁用，禁止在河塘等水体中清洗施药器具，施药后的田水和清洗施药器具的水也不能直接排入河塘等水体；建议在地下水位较深的区域使用。2. 蚕室及桑园附近禁用，或采用最外围桑树作为隔离带，以降低对家蚕的风险。瓢虫等捕食性天敌放飞区域禁用。3. 本品对眼睛有刺激性，使用时避免接触眼睛，穿戴长衣、长裤、帽子、口罩、手套等防护措施。避免皮肤接触及口鼻吸入。使用中不可吸烟、饮水及吃东西，使用后及时清洗手、脸等暴露部位皮肤并更换衣物。4. 用过的容器应妥善处理，不可做他用，也不可随意丢弃。5. 建议与作用机制不同的除草剂轮换使用，以延缓抗性产生。6. 禁止儿童、孕妇和哺乳期妇女接触。7. 过敏者禁用，使用中有任何不良反应请及时就医。</w:t>
            </w:r>
          </w:p>
        </w:tc>
      </w:tr>
      <w:tr w14:paraId="1DA237DB">
        <w:tblPrEx>
          <w:tblCellMar>
            <w:top w:w="0" w:type="dxa"/>
            <w:left w:w="0" w:type="dxa"/>
            <w:bottom w:w="0" w:type="dxa"/>
            <w:right w:w="0" w:type="dxa"/>
          </w:tblCellMar>
        </w:tblPrEx>
        <w:trPr>
          <w:wBefore w:w="0" w:type="auto"/>
          <w:tblCellSpacing w:w="0" w:type="dxa"/>
        </w:trPr>
        <w:tc>
          <w:tcPr>
            <w:tcW w:w="0" w:type="auto"/>
            <w:noWrap w:val="0"/>
            <w:vAlign w:val="center"/>
          </w:tcPr>
          <w:p w14:paraId="090B276B">
            <w:r>
              <w:rPr>
                <w:rStyle w:val="10"/>
                <w:rFonts w:hint="eastAsia"/>
              </w:rPr>
              <w:t>中毒急救措施：</w:t>
            </w:r>
            <w:r>
              <w:rPr>
                <w:rFonts w:hint="eastAsia"/>
              </w:rPr>
              <w:br w:type="textWrapping"/>
            </w:r>
            <w:r>
              <w:rPr>
                <w:rStyle w:val="11"/>
                <w:rFonts w:hint="eastAsia"/>
              </w:rPr>
              <w:t xml:space="preserve">中毒症状：中毒症状表现为可能会伴有轻微的呕吐与腹泻，对眼睛有一定的刺激性。 中毒急救：1. 一般建议：将中毒者从危险区域转移，脱去受污染衣物并妥善处置，转移时需保持中毒者处于稳定的侧卧体位；2. 如皮肤接触：用肥皂和大量清水彻底清洗，可涂抹含有维他命E的护肤品，如仍有不适，应立即就医；3. 如误入眼睛：立即用大量清水冲洗至少15分钟，如仍有不适，应立即就医；4. 如误吸入：不慎吸入时，将患者移到空气新鲜处，使其保持温暖和休息，如仍有不适，应立即就医；5. 如误食：不慎误服，立即携标签送医院，喝0.3-0.6升活性碳水，刺激咽喉催吐2-3次，再喝含活性炭及泻药的盐水；本品无特效解毒剂，请对症治疗。 </w:t>
            </w:r>
          </w:p>
        </w:tc>
      </w:tr>
      <w:tr w14:paraId="7BB8561A">
        <w:tblPrEx>
          <w:tblCellMar>
            <w:top w:w="0" w:type="dxa"/>
            <w:left w:w="0" w:type="dxa"/>
            <w:bottom w:w="0" w:type="dxa"/>
            <w:right w:w="0" w:type="dxa"/>
          </w:tblCellMar>
        </w:tblPrEx>
        <w:trPr>
          <w:wBefore w:w="0" w:type="auto"/>
          <w:tblCellSpacing w:w="0" w:type="dxa"/>
        </w:trPr>
        <w:tc>
          <w:tcPr>
            <w:tcW w:w="0" w:type="auto"/>
            <w:noWrap w:val="0"/>
            <w:vAlign w:val="center"/>
          </w:tcPr>
          <w:p w14:paraId="15C72BAE">
            <w:r>
              <w:rPr>
                <w:rStyle w:val="10"/>
                <w:rFonts w:hint="eastAsia"/>
              </w:rPr>
              <w:t>储存和运输方法：</w:t>
            </w:r>
            <w:r>
              <w:rPr>
                <w:rFonts w:hint="eastAsia"/>
              </w:rPr>
              <w:br w:type="textWrapping"/>
            </w:r>
            <w:r>
              <w:rPr>
                <w:rStyle w:val="11"/>
                <w:rFonts w:hint="eastAsia"/>
              </w:rPr>
              <w:t>本品应贮存在通风、干燥的库房中。贮运时，严防潮湿和日晒，本品为易燃液体，远离火源或热源。置于儿童、无关人员及动物接触不到的地方，并加锁保存。不能与食品、饮料、粮食、饲料等混合储存。</w:t>
            </w:r>
          </w:p>
        </w:tc>
      </w:tr>
      <w:tr w14:paraId="5D350835">
        <w:tblPrEx>
          <w:tblCellMar>
            <w:top w:w="0" w:type="dxa"/>
            <w:left w:w="0" w:type="dxa"/>
            <w:bottom w:w="0" w:type="dxa"/>
            <w:right w:w="0" w:type="dxa"/>
          </w:tblCellMar>
        </w:tblPrEx>
        <w:trPr>
          <w:wBefore w:w="0" w:type="auto"/>
          <w:tblCellSpacing w:w="0" w:type="dxa"/>
        </w:trPr>
        <w:tc>
          <w:tcPr>
            <w:tcW w:w="0" w:type="auto"/>
            <w:noWrap w:val="0"/>
            <w:vAlign w:val="center"/>
          </w:tcPr>
          <w:p w14:paraId="1B1B4188">
            <w:r>
              <w:rPr>
                <w:rStyle w:val="10"/>
                <w:rFonts w:hint="eastAsia"/>
              </w:rPr>
              <w:t>质量保证期：</w:t>
            </w:r>
            <w:r>
              <w:rPr>
                <w:rStyle w:val="11"/>
                <w:rFonts w:hint="eastAsia"/>
              </w:rPr>
              <w:t>2年</w:t>
            </w:r>
          </w:p>
        </w:tc>
      </w:tr>
      <w:tr w14:paraId="70666BF5">
        <w:tblPrEx>
          <w:tblCellMar>
            <w:top w:w="0" w:type="dxa"/>
            <w:left w:w="0" w:type="dxa"/>
            <w:bottom w:w="0" w:type="dxa"/>
            <w:right w:w="0" w:type="dxa"/>
          </w:tblCellMar>
        </w:tblPrEx>
        <w:trPr>
          <w:wBefore w:w="0" w:type="auto"/>
          <w:tblCellSpacing w:w="0" w:type="dxa"/>
        </w:trPr>
        <w:tc>
          <w:tcPr>
            <w:tcW w:w="0" w:type="auto"/>
            <w:noWrap w:val="0"/>
            <w:vAlign w:val="center"/>
          </w:tcPr>
          <w:p w14:paraId="14534880">
            <w:r>
              <w:rPr>
                <w:rStyle w:val="10"/>
                <w:rFonts w:hint="eastAsia"/>
              </w:rPr>
              <w:t>备注：</w:t>
            </w:r>
            <w:r>
              <w:rPr>
                <w:rFonts w:hint="eastAsia"/>
              </w:rPr>
              <w:br w:type="textWrapping"/>
            </w:r>
            <w:r>
              <w:rPr>
                <w:rStyle w:val="11"/>
                <w:rFonts w:hint="eastAsia"/>
              </w:rPr>
              <w:t>质量分数69.2%。</w:t>
            </w:r>
          </w:p>
        </w:tc>
      </w:tr>
    </w:tbl>
    <w:p w14:paraId="58E4DDE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68B3E3">
        <w:tblPrEx>
          <w:tblCellMar>
            <w:top w:w="0" w:type="dxa"/>
            <w:left w:w="0" w:type="dxa"/>
            <w:bottom w:w="0" w:type="dxa"/>
            <w:right w:w="0" w:type="dxa"/>
          </w:tblCellMar>
        </w:tblPrEx>
        <w:trPr>
          <w:wBefore w:w="0" w:type="auto"/>
          <w:tblCellSpacing w:w="0" w:type="dxa"/>
        </w:trPr>
        <w:tc>
          <w:tcPr>
            <w:tcW w:w="0" w:type="auto"/>
            <w:noWrap w:val="0"/>
            <w:vAlign w:val="center"/>
          </w:tcPr>
          <w:p w14:paraId="4B7E6040">
            <w:r>
              <w:rPr>
                <w:rStyle w:val="10"/>
                <w:rFonts w:hint="eastAsia"/>
              </w:rPr>
              <w:t>登记证号：</w:t>
            </w:r>
            <w:r>
              <w:rPr>
                <w:rFonts w:hint="eastAsia"/>
              </w:rPr>
              <w:t>WP20210371</w:t>
            </w:r>
          </w:p>
        </w:tc>
      </w:tr>
      <w:tr w14:paraId="66E6B611">
        <w:tblPrEx>
          <w:tblCellMar>
            <w:top w:w="0" w:type="dxa"/>
            <w:left w:w="0" w:type="dxa"/>
            <w:bottom w:w="0" w:type="dxa"/>
            <w:right w:w="0" w:type="dxa"/>
          </w:tblCellMar>
        </w:tblPrEx>
        <w:trPr>
          <w:wBefore w:w="0" w:type="auto"/>
          <w:tblCellSpacing w:w="0" w:type="dxa"/>
        </w:trPr>
        <w:tc>
          <w:tcPr>
            <w:tcW w:w="0" w:type="auto"/>
            <w:noWrap w:val="0"/>
            <w:vAlign w:val="center"/>
          </w:tcPr>
          <w:p w14:paraId="19FE8D60">
            <w:r>
              <w:rPr>
                <w:rStyle w:val="10"/>
                <w:rFonts w:hint="eastAsia"/>
              </w:rPr>
              <w:t>登记证持有人：</w:t>
            </w:r>
            <w:r>
              <w:rPr>
                <w:rFonts w:hint="eastAsia"/>
              </w:rPr>
              <w:t>顶秀作物科技有限公司</w:t>
            </w:r>
          </w:p>
        </w:tc>
      </w:tr>
      <w:tr w14:paraId="4520AD91">
        <w:tblPrEx>
          <w:tblCellMar>
            <w:top w:w="0" w:type="dxa"/>
            <w:left w:w="0" w:type="dxa"/>
            <w:bottom w:w="0" w:type="dxa"/>
            <w:right w:w="0" w:type="dxa"/>
          </w:tblCellMar>
        </w:tblPrEx>
        <w:trPr>
          <w:wBefore w:w="0" w:type="auto"/>
          <w:tblCellSpacing w:w="0" w:type="dxa"/>
        </w:trPr>
        <w:tc>
          <w:tcPr>
            <w:tcW w:w="0" w:type="auto"/>
            <w:noWrap w:val="0"/>
            <w:vAlign w:val="center"/>
          </w:tcPr>
          <w:p w14:paraId="5861E276">
            <w:r>
              <w:rPr>
                <w:rStyle w:val="10"/>
                <w:rFonts w:hint="eastAsia"/>
              </w:rPr>
              <w:t>农药名称：</w:t>
            </w:r>
            <w:r>
              <w:rPr>
                <w:rFonts w:hint="eastAsia"/>
              </w:rPr>
              <w:t>吡丙醚</w:t>
            </w:r>
          </w:p>
        </w:tc>
      </w:tr>
      <w:tr w14:paraId="4A7EB791">
        <w:tblPrEx>
          <w:tblCellMar>
            <w:top w:w="0" w:type="dxa"/>
            <w:left w:w="0" w:type="dxa"/>
            <w:bottom w:w="0" w:type="dxa"/>
            <w:right w:w="0" w:type="dxa"/>
          </w:tblCellMar>
        </w:tblPrEx>
        <w:trPr>
          <w:wBefore w:w="0" w:type="auto"/>
          <w:tblCellSpacing w:w="0" w:type="dxa"/>
        </w:trPr>
        <w:tc>
          <w:tcPr>
            <w:tcW w:w="0" w:type="auto"/>
            <w:noWrap w:val="0"/>
            <w:vAlign w:val="center"/>
          </w:tcPr>
          <w:p w14:paraId="12820C3B">
            <w:r>
              <w:rPr>
                <w:rStyle w:val="10"/>
                <w:rFonts w:hint="eastAsia"/>
              </w:rPr>
              <w:t>剂型：</w:t>
            </w:r>
            <w:r>
              <w:rPr>
                <w:rFonts w:hint="eastAsia"/>
              </w:rPr>
              <w:t>悬浮剂</w:t>
            </w:r>
          </w:p>
        </w:tc>
      </w:tr>
      <w:tr w14:paraId="07424A7B">
        <w:tblPrEx>
          <w:tblCellMar>
            <w:top w:w="0" w:type="dxa"/>
            <w:left w:w="0" w:type="dxa"/>
            <w:bottom w:w="0" w:type="dxa"/>
            <w:right w:w="0" w:type="dxa"/>
          </w:tblCellMar>
        </w:tblPrEx>
        <w:trPr>
          <w:wBefore w:w="0" w:type="auto"/>
          <w:tblCellSpacing w:w="0" w:type="dxa"/>
        </w:trPr>
        <w:tc>
          <w:tcPr>
            <w:tcW w:w="0" w:type="auto"/>
            <w:noWrap w:val="0"/>
            <w:vAlign w:val="center"/>
          </w:tcPr>
          <w:p w14:paraId="59E8E684">
            <w:r>
              <w:rPr>
                <w:rStyle w:val="10"/>
                <w:rFonts w:hint="eastAsia"/>
              </w:rPr>
              <w:t>毒性及其标识：</w:t>
            </w:r>
            <w:r>
              <w:rPr>
                <w:rFonts w:hint="eastAsia"/>
              </w:rPr>
              <w:t xml:space="preserve"> 微毒 </w:t>
            </w:r>
          </w:p>
        </w:tc>
      </w:tr>
      <w:tr w14:paraId="01594891">
        <w:tblPrEx>
          <w:tblCellMar>
            <w:top w:w="0" w:type="dxa"/>
            <w:left w:w="0" w:type="dxa"/>
            <w:bottom w:w="0" w:type="dxa"/>
            <w:right w:w="0" w:type="dxa"/>
          </w:tblCellMar>
        </w:tblPrEx>
        <w:trPr>
          <w:wBefore w:w="0" w:type="auto"/>
          <w:tblCellSpacing w:w="0" w:type="dxa"/>
        </w:trPr>
        <w:tc>
          <w:tcPr>
            <w:tcW w:w="0" w:type="auto"/>
            <w:noWrap w:val="0"/>
            <w:vAlign w:val="center"/>
          </w:tcPr>
          <w:p w14:paraId="516CA85F">
            <w:r>
              <w:rPr>
                <w:rStyle w:val="10"/>
                <w:rFonts w:hint="eastAsia"/>
              </w:rPr>
              <w:t>总有效成分含量：</w:t>
            </w:r>
            <w:r>
              <w:rPr>
                <w:rFonts w:hint="eastAsia"/>
              </w:rPr>
              <w:t>10%</w:t>
            </w:r>
          </w:p>
        </w:tc>
      </w:tr>
      <w:tr w14:paraId="5CFE1313">
        <w:tblPrEx>
          <w:tblCellMar>
            <w:top w:w="0" w:type="dxa"/>
            <w:left w:w="0" w:type="dxa"/>
            <w:bottom w:w="0" w:type="dxa"/>
            <w:right w:w="0" w:type="dxa"/>
          </w:tblCellMar>
        </w:tblPrEx>
        <w:trPr>
          <w:wBefore w:w="0" w:type="auto"/>
          <w:tblCellSpacing w:w="0" w:type="dxa"/>
        </w:trPr>
        <w:tc>
          <w:tcPr>
            <w:tcW w:w="0" w:type="auto"/>
            <w:noWrap w:val="0"/>
            <w:vAlign w:val="center"/>
          </w:tcPr>
          <w:p w14:paraId="63B2C2E8">
            <w:r>
              <w:rPr>
                <w:rFonts w:hint="eastAsia"/>
              </w:rPr>
              <w:t xml:space="preserve">有效成分及其含量： </w:t>
            </w:r>
          </w:p>
          <w:p w14:paraId="29E58982">
            <w:r>
              <w:rPr>
                <w:rFonts w:hint="eastAsia"/>
              </w:rPr>
              <w:t xml:space="preserve">    吡丙醚10%    </w:t>
            </w:r>
          </w:p>
        </w:tc>
      </w:tr>
      <w:tr w14:paraId="132CD627">
        <w:tblPrEx>
          <w:tblCellMar>
            <w:top w:w="0" w:type="dxa"/>
            <w:left w:w="0" w:type="dxa"/>
            <w:bottom w:w="0" w:type="dxa"/>
            <w:right w:w="0" w:type="dxa"/>
          </w:tblCellMar>
        </w:tblPrEx>
        <w:trPr>
          <w:wBefore w:w="0" w:type="auto"/>
          <w:tblCellSpacing w:w="0" w:type="dxa"/>
        </w:trPr>
        <w:tc>
          <w:tcPr>
            <w:tcW w:w="0" w:type="auto"/>
            <w:noWrap w:val="0"/>
            <w:vAlign w:val="center"/>
          </w:tcPr>
          <w:p w14:paraId="578C07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53C0B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7519B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B1005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B69DB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716BA2">
                  <w:r>
                    <w:rPr>
                      <w:rStyle w:val="11"/>
                      <w:rFonts w:hint="eastAsia"/>
                    </w:rPr>
                    <w:t>施用方式</w:t>
                  </w:r>
                </w:p>
              </w:tc>
            </w:tr>
            <w:tr w14:paraId="6AD957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8DC5F09">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E9BBB1">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B1D10F">
                  <w:r>
                    <w:rPr>
                      <w:rStyle w:val="11"/>
                      <w:rFonts w:hint="eastAsia"/>
                    </w:rPr>
                    <w:t>1-2毫升/平方米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9AFC8A">
                  <w:r>
                    <w:rPr>
                      <w:rStyle w:val="11"/>
                      <w:rFonts w:hint="eastAsia"/>
                    </w:rPr>
                    <w:t>喷洒</w:t>
                  </w:r>
                </w:p>
              </w:tc>
            </w:tr>
          </w:tbl>
          <w:p w14:paraId="53222C41">
            <w:pPr>
              <w:rPr>
                <w:rFonts w:ascii="Times New Roman" w:hAnsi="Times New Roman" w:cs="Times New Roman"/>
                <w:sz w:val="20"/>
                <w:szCs w:val="20"/>
              </w:rPr>
            </w:pPr>
          </w:p>
        </w:tc>
      </w:tr>
      <w:tr w14:paraId="7D22B3AE">
        <w:tblPrEx>
          <w:tblCellMar>
            <w:top w:w="0" w:type="dxa"/>
            <w:left w:w="0" w:type="dxa"/>
            <w:bottom w:w="0" w:type="dxa"/>
            <w:right w:w="0" w:type="dxa"/>
          </w:tblCellMar>
        </w:tblPrEx>
        <w:trPr>
          <w:wBefore w:w="0" w:type="auto"/>
          <w:tblCellSpacing w:w="0" w:type="dxa"/>
        </w:trPr>
        <w:tc>
          <w:tcPr>
            <w:tcW w:w="0" w:type="auto"/>
            <w:noWrap w:val="0"/>
            <w:vAlign w:val="center"/>
          </w:tcPr>
          <w:p w14:paraId="13B92B4F">
            <w:r>
              <w:rPr>
                <w:rStyle w:val="10"/>
                <w:rFonts w:hint="eastAsia"/>
              </w:rPr>
              <w:t>使用技术要求:</w:t>
            </w:r>
            <w:r>
              <w:rPr>
                <w:rFonts w:hint="eastAsia"/>
              </w:rPr>
              <w:br w:type="textWrapping"/>
            </w:r>
            <w:r>
              <w:rPr>
                <w:rStyle w:val="11"/>
                <w:rFonts w:hint="eastAsia"/>
              </w:rPr>
              <w:t>1、防治蝇幼，喷施于蝇幼滋生地或蝇幼虫聚集区即可。 2、本品不应与碱性物质混合使用。</w:t>
            </w:r>
          </w:p>
        </w:tc>
      </w:tr>
      <w:tr w14:paraId="604BAD33">
        <w:tblPrEx>
          <w:tblCellMar>
            <w:top w:w="0" w:type="dxa"/>
            <w:left w:w="0" w:type="dxa"/>
            <w:bottom w:w="0" w:type="dxa"/>
            <w:right w:w="0" w:type="dxa"/>
          </w:tblCellMar>
        </w:tblPrEx>
        <w:trPr>
          <w:wBefore w:w="0" w:type="auto"/>
          <w:tblCellSpacing w:w="0" w:type="dxa"/>
        </w:trPr>
        <w:tc>
          <w:tcPr>
            <w:tcW w:w="0" w:type="auto"/>
            <w:noWrap w:val="0"/>
            <w:vAlign w:val="center"/>
          </w:tcPr>
          <w:p w14:paraId="360F85FA">
            <w:r>
              <w:rPr>
                <w:rStyle w:val="10"/>
                <w:rFonts w:hint="eastAsia"/>
              </w:rPr>
              <w:t>产品性能:</w:t>
            </w:r>
            <w:r>
              <w:rPr>
                <w:rFonts w:hint="eastAsia"/>
              </w:rPr>
              <w:br w:type="textWrapping"/>
            </w:r>
            <w:r>
              <w:rPr>
                <w:rStyle w:val="11"/>
                <w:rFonts w:hint="eastAsia"/>
              </w:rPr>
              <w:t xml:space="preserve">本品所含吡丙醚是一种保幼激素类型的几丁质合成抑制剂，具有杀卵作用，还具有内吸性转移活性。 </w:t>
            </w:r>
          </w:p>
        </w:tc>
      </w:tr>
      <w:tr w14:paraId="36D75F16">
        <w:tblPrEx>
          <w:tblCellMar>
            <w:top w:w="0" w:type="dxa"/>
            <w:left w:w="0" w:type="dxa"/>
            <w:bottom w:w="0" w:type="dxa"/>
            <w:right w:w="0" w:type="dxa"/>
          </w:tblCellMar>
        </w:tblPrEx>
        <w:trPr>
          <w:wBefore w:w="0" w:type="auto"/>
          <w:tblCellSpacing w:w="0" w:type="dxa"/>
        </w:trPr>
        <w:tc>
          <w:tcPr>
            <w:tcW w:w="0" w:type="auto"/>
            <w:noWrap w:val="0"/>
            <w:vAlign w:val="center"/>
          </w:tcPr>
          <w:p w14:paraId="2FEC42A4">
            <w:r>
              <w:rPr>
                <w:rStyle w:val="10"/>
                <w:rFonts w:hint="eastAsia"/>
              </w:rPr>
              <w:t>注意事项：</w:t>
            </w:r>
            <w:r>
              <w:rPr>
                <w:rFonts w:hint="eastAsia"/>
              </w:rPr>
              <w:br w:type="textWrapping"/>
            </w:r>
            <w:r>
              <w:rPr>
                <w:rStyle w:val="11"/>
                <w:rFonts w:hint="eastAsia"/>
              </w:rPr>
              <w:t>1、应现配现用，配好的药液不宜存放太久。2、本品对鱼类等水生生物有毒，喷洒时防止药雾漂移污染，远离水产养殖区、河塘等水域施药，禁止在河塘等水体中清洗施药器具。（周围）开花植物花期禁用。桑园、蚕室附近禁用。本品仅用于室外。3、使用时穿戴长衣、长裤、帽子、口罩、手套等安全防护措施，避免吸入药液。严格按照“农药安全使用规定”要求操作。4、施药时严禁吸烟和饮食，不得迎风施药，避免直接接触药液，防止由口鼻吸入；施药后应清洗手、脸及身体被污染部分和衣服。5、勿向人体，食物喷洒。6、过敏者禁用，使用中有任何不良反应请及时就医。7、孕妇及哺乳期妇女禁止接触本品。8、用药后包装物及用过的容器应妥善处理，不可做他用，也不可随意丢弃。</w:t>
            </w:r>
          </w:p>
        </w:tc>
      </w:tr>
      <w:tr w14:paraId="4E9DC6A9">
        <w:tblPrEx>
          <w:tblCellMar>
            <w:top w:w="0" w:type="dxa"/>
            <w:left w:w="0" w:type="dxa"/>
            <w:bottom w:w="0" w:type="dxa"/>
            <w:right w:w="0" w:type="dxa"/>
          </w:tblCellMar>
        </w:tblPrEx>
        <w:trPr>
          <w:wBefore w:w="0" w:type="auto"/>
          <w:tblCellSpacing w:w="0" w:type="dxa"/>
        </w:trPr>
        <w:tc>
          <w:tcPr>
            <w:tcW w:w="0" w:type="auto"/>
            <w:noWrap w:val="0"/>
            <w:vAlign w:val="center"/>
          </w:tcPr>
          <w:p w14:paraId="2C9C87ED">
            <w:r>
              <w:rPr>
                <w:rStyle w:val="10"/>
                <w:rFonts w:hint="eastAsia"/>
              </w:rPr>
              <w:t>中毒急救措施：</w:t>
            </w:r>
            <w:r>
              <w:rPr>
                <w:rFonts w:hint="eastAsia"/>
              </w:rPr>
              <w:br w:type="textWrapping"/>
            </w:r>
            <w:r>
              <w:rPr>
                <w:rStyle w:val="11"/>
                <w:rFonts w:hint="eastAsia"/>
              </w:rPr>
              <w:t xml:space="preserve">眼睛接触：用大量的水冲洗直至刺激消退，如果刺激不退，请立即就医。皮肤接触：用大量的水冲洗，尽可能用肥皂或洗涤剂洗涤，立即脱去受污染的衣服、鞋子，流动的水冲洗干净。吸入：在急救前需戴上合适的呼吸保护器。立即将中毒者转移到有新鲜空气的地方，并就医。如果停止呼吸，进行人工呼吸，若呼吸困难，给氧并就医。食入：若发生吞服，用水漱嘴。保持休息。不能给中毒者用嘴吃任何东西，勿催吐。立即就医。无解毒药，对症治疗。如误服或在接触药剂后有不适症状，应立即脱离接触环境，并立即携标签到医院诊治。 </w:t>
            </w:r>
          </w:p>
        </w:tc>
      </w:tr>
      <w:tr w14:paraId="74C89673">
        <w:tblPrEx>
          <w:tblCellMar>
            <w:top w:w="0" w:type="dxa"/>
            <w:left w:w="0" w:type="dxa"/>
            <w:bottom w:w="0" w:type="dxa"/>
            <w:right w:w="0" w:type="dxa"/>
          </w:tblCellMar>
        </w:tblPrEx>
        <w:trPr>
          <w:wBefore w:w="0" w:type="auto"/>
          <w:tblCellSpacing w:w="0" w:type="dxa"/>
        </w:trPr>
        <w:tc>
          <w:tcPr>
            <w:tcW w:w="0" w:type="auto"/>
            <w:noWrap w:val="0"/>
            <w:vAlign w:val="center"/>
          </w:tcPr>
          <w:p w14:paraId="330DAF33">
            <w:r>
              <w:rPr>
                <w:rStyle w:val="10"/>
                <w:rFonts w:hint="eastAsia"/>
              </w:rPr>
              <w:t>储存和运输方法：</w:t>
            </w:r>
            <w:r>
              <w:rPr>
                <w:rFonts w:hint="eastAsia"/>
              </w:rPr>
              <w:br w:type="textWrapping"/>
            </w:r>
            <w:r>
              <w:rPr>
                <w:rStyle w:val="11"/>
                <w:rFonts w:hint="eastAsia"/>
              </w:rPr>
              <w:t>、本品应贮存在干燥、阴凉、通风、防雨处，远离火源或热源。储存和运输时严防潮湿和日晒。 2、本品应置于儿童、无关人员及动物触及不到之处，并加锁保存。 3、不能与食品、饮料、粮食、饲料等混合储存。</w:t>
            </w:r>
          </w:p>
        </w:tc>
      </w:tr>
      <w:tr w14:paraId="52D87B9C">
        <w:tblPrEx>
          <w:tblCellMar>
            <w:top w:w="0" w:type="dxa"/>
            <w:left w:w="0" w:type="dxa"/>
            <w:bottom w:w="0" w:type="dxa"/>
            <w:right w:w="0" w:type="dxa"/>
          </w:tblCellMar>
        </w:tblPrEx>
        <w:trPr>
          <w:wBefore w:w="0" w:type="auto"/>
          <w:tblCellSpacing w:w="0" w:type="dxa"/>
        </w:trPr>
        <w:tc>
          <w:tcPr>
            <w:tcW w:w="0" w:type="auto"/>
            <w:noWrap w:val="0"/>
            <w:vAlign w:val="center"/>
          </w:tcPr>
          <w:p w14:paraId="02291600">
            <w:r>
              <w:rPr>
                <w:rStyle w:val="10"/>
                <w:rFonts w:hint="eastAsia"/>
              </w:rPr>
              <w:t>质量保证期：</w:t>
            </w:r>
            <w:r>
              <w:rPr>
                <w:rStyle w:val="11"/>
                <w:rFonts w:hint="eastAsia"/>
              </w:rPr>
              <w:t>2年</w:t>
            </w:r>
          </w:p>
        </w:tc>
      </w:tr>
      <w:tr w14:paraId="228A15B4">
        <w:tblPrEx>
          <w:tblCellMar>
            <w:top w:w="0" w:type="dxa"/>
            <w:left w:w="0" w:type="dxa"/>
            <w:bottom w:w="0" w:type="dxa"/>
            <w:right w:w="0" w:type="dxa"/>
          </w:tblCellMar>
        </w:tblPrEx>
        <w:trPr>
          <w:wBefore w:w="0" w:type="auto"/>
          <w:tblCellSpacing w:w="0" w:type="dxa"/>
        </w:trPr>
        <w:tc>
          <w:tcPr>
            <w:tcW w:w="0" w:type="auto"/>
            <w:noWrap w:val="0"/>
            <w:vAlign w:val="center"/>
          </w:tcPr>
          <w:p w14:paraId="74A0AA06">
            <w:r>
              <w:rPr>
                <w:rStyle w:val="10"/>
                <w:rFonts w:hint="eastAsia"/>
              </w:rPr>
              <w:t>备注：</w:t>
            </w:r>
          </w:p>
        </w:tc>
      </w:tr>
    </w:tbl>
    <w:p w14:paraId="3EB6EC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328422">
        <w:tblPrEx>
          <w:tblCellMar>
            <w:top w:w="0" w:type="dxa"/>
            <w:left w:w="0" w:type="dxa"/>
            <w:bottom w:w="0" w:type="dxa"/>
            <w:right w:w="0" w:type="dxa"/>
          </w:tblCellMar>
        </w:tblPrEx>
        <w:trPr>
          <w:wBefore w:w="0" w:type="auto"/>
          <w:tblCellSpacing w:w="0" w:type="dxa"/>
        </w:trPr>
        <w:tc>
          <w:tcPr>
            <w:tcW w:w="0" w:type="auto"/>
            <w:noWrap w:val="0"/>
            <w:vAlign w:val="center"/>
          </w:tcPr>
          <w:p w14:paraId="273EB7A1">
            <w:r>
              <w:rPr>
                <w:rStyle w:val="10"/>
                <w:rFonts w:hint="eastAsia"/>
              </w:rPr>
              <w:t>登记证号：</w:t>
            </w:r>
            <w:r>
              <w:rPr>
                <w:rFonts w:hint="eastAsia"/>
              </w:rPr>
              <w:t>PD20212646</w:t>
            </w:r>
          </w:p>
        </w:tc>
      </w:tr>
      <w:tr w14:paraId="18B4A5BD">
        <w:tblPrEx>
          <w:tblCellMar>
            <w:top w:w="0" w:type="dxa"/>
            <w:left w:w="0" w:type="dxa"/>
            <w:bottom w:w="0" w:type="dxa"/>
            <w:right w:w="0" w:type="dxa"/>
          </w:tblCellMar>
        </w:tblPrEx>
        <w:trPr>
          <w:wBefore w:w="0" w:type="auto"/>
          <w:tblCellSpacing w:w="0" w:type="dxa"/>
        </w:trPr>
        <w:tc>
          <w:tcPr>
            <w:tcW w:w="0" w:type="auto"/>
            <w:noWrap w:val="0"/>
            <w:vAlign w:val="center"/>
          </w:tcPr>
          <w:p w14:paraId="7E8EF3A0">
            <w:r>
              <w:rPr>
                <w:rStyle w:val="10"/>
                <w:rFonts w:hint="eastAsia"/>
              </w:rPr>
              <w:t>登记证持有人：</w:t>
            </w:r>
            <w:r>
              <w:rPr>
                <w:rFonts w:hint="eastAsia"/>
              </w:rPr>
              <w:t>安徽圣丰生化有限公司</w:t>
            </w:r>
          </w:p>
        </w:tc>
      </w:tr>
      <w:tr w14:paraId="68B24267">
        <w:tblPrEx>
          <w:tblCellMar>
            <w:top w:w="0" w:type="dxa"/>
            <w:left w:w="0" w:type="dxa"/>
            <w:bottom w:w="0" w:type="dxa"/>
            <w:right w:w="0" w:type="dxa"/>
          </w:tblCellMar>
        </w:tblPrEx>
        <w:trPr>
          <w:wBefore w:w="0" w:type="auto"/>
          <w:tblCellSpacing w:w="0" w:type="dxa"/>
        </w:trPr>
        <w:tc>
          <w:tcPr>
            <w:tcW w:w="0" w:type="auto"/>
            <w:noWrap w:val="0"/>
            <w:vAlign w:val="center"/>
          </w:tcPr>
          <w:p w14:paraId="79FF219D">
            <w:r>
              <w:rPr>
                <w:rStyle w:val="10"/>
                <w:rFonts w:hint="eastAsia"/>
              </w:rPr>
              <w:t>农药名称：</w:t>
            </w:r>
            <w:r>
              <w:rPr>
                <w:rFonts w:hint="eastAsia"/>
              </w:rPr>
              <w:t>氟草·草铵膦</w:t>
            </w:r>
          </w:p>
        </w:tc>
      </w:tr>
      <w:tr w14:paraId="39E5C67B">
        <w:tblPrEx>
          <w:tblCellMar>
            <w:top w:w="0" w:type="dxa"/>
            <w:left w:w="0" w:type="dxa"/>
            <w:bottom w:w="0" w:type="dxa"/>
            <w:right w:w="0" w:type="dxa"/>
          </w:tblCellMar>
        </w:tblPrEx>
        <w:trPr>
          <w:wBefore w:w="0" w:type="auto"/>
          <w:tblCellSpacing w:w="0" w:type="dxa"/>
        </w:trPr>
        <w:tc>
          <w:tcPr>
            <w:tcW w:w="0" w:type="auto"/>
            <w:noWrap w:val="0"/>
            <w:vAlign w:val="center"/>
          </w:tcPr>
          <w:p w14:paraId="4AABB4D8">
            <w:r>
              <w:rPr>
                <w:rStyle w:val="10"/>
                <w:rFonts w:hint="eastAsia"/>
              </w:rPr>
              <w:t>剂型：</w:t>
            </w:r>
            <w:r>
              <w:rPr>
                <w:rFonts w:hint="eastAsia"/>
              </w:rPr>
              <w:t>悬浮剂</w:t>
            </w:r>
          </w:p>
        </w:tc>
      </w:tr>
      <w:tr w14:paraId="4A75A8B8">
        <w:tblPrEx>
          <w:tblCellMar>
            <w:top w:w="0" w:type="dxa"/>
            <w:left w:w="0" w:type="dxa"/>
            <w:bottom w:w="0" w:type="dxa"/>
            <w:right w:w="0" w:type="dxa"/>
          </w:tblCellMar>
        </w:tblPrEx>
        <w:trPr>
          <w:wBefore w:w="0" w:type="auto"/>
          <w:tblCellSpacing w:w="0" w:type="dxa"/>
        </w:trPr>
        <w:tc>
          <w:tcPr>
            <w:tcW w:w="0" w:type="auto"/>
            <w:noWrap w:val="0"/>
            <w:vAlign w:val="center"/>
          </w:tcPr>
          <w:p w14:paraId="6BDDA6B5">
            <w:r>
              <w:rPr>
                <w:rStyle w:val="10"/>
                <w:rFonts w:hint="eastAsia"/>
              </w:rPr>
              <w:t>毒性及其标识：</w:t>
            </w:r>
            <w:r>
              <w:rPr>
                <w:rFonts w:hint="eastAsia"/>
              </w:rPr>
              <w:t xml:space="preserve"> </w:t>
            </w:r>
            <w:r>
              <w:rPr>
                <w:lang/>
              </w:rPr>
              <w:drawing>
                <wp:inline distT="0" distB="0" distL="114300" distR="114300">
                  <wp:extent cx="476250" cy="323850"/>
                  <wp:effectExtent l="0" t="0" r="0" b="0"/>
                  <wp:docPr id="191" name="图片 1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0E891B">
        <w:tblPrEx>
          <w:tblCellMar>
            <w:top w:w="0" w:type="dxa"/>
            <w:left w:w="0" w:type="dxa"/>
            <w:bottom w:w="0" w:type="dxa"/>
            <w:right w:w="0" w:type="dxa"/>
          </w:tblCellMar>
        </w:tblPrEx>
        <w:trPr>
          <w:wBefore w:w="0" w:type="auto"/>
          <w:tblCellSpacing w:w="0" w:type="dxa"/>
        </w:trPr>
        <w:tc>
          <w:tcPr>
            <w:tcW w:w="0" w:type="auto"/>
            <w:noWrap w:val="0"/>
            <w:vAlign w:val="center"/>
          </w:tcPr>
          <w:p w14:paraId="7A75E30B">
            <w:r>
              <w:rPr>
                <w:rStyle w:val="10"/>
                <w:rFonts w:hint="eastAsia"/>
              </w:rPr>
              <w:t>总有效成分含量：</w:t>
            </w:r>
            <w:r>
              <w:rPr>
                <w:rFonts w:hint="eastAsia"/>
              </w:rPr>
              <w:t>33%</w:t>
            </w:r>
          </w:p>
        </w:tc>
      </w:tr>
      <w:tr w14:paraId="17FD61C6">
        <w:tblPrEx>
          <w:tblCellMar>
            <w:top w:w="0" w:type="dxa"/>
            <w:left w:w="0" w:type="dxa"/>
            <w:bottom w:w="0" w:type="dxa"/>
            <w:right w:w="0" w:type="dxa"/>
          </w:tblCellMar>
        </w:tblPrEx>
        <w:trPr>
          <w:wBefore w:w="0" w:type="auto"/>
          <w:tblCellSpacing w:w="0" w:type="dxa"/>
        </w:trPr>
        <w:tc>
          <w:tcPr>
            <w:tcW w:w="0" w:type="auto"/>
            <w:noWrap w:val="0"/>
            <w:vAlign w:val="center"/>
          </w:tcPr>
          <w:p w14:paraId="2BADA891">
            <w:r>
              <w:rPr>
                <w:rFonts w:hint="eastAsia"/>
              </w:rPr>
              <w:t xml:space="preserve">有效成分及其含量： </w:t>
            </w:r>
          </w:p>
          <w:p w14:paraId="114AEF3E">
            <w:r>
              <w:rPr>
                <w:rFonts w:hint="eastAsia"/>
              </w:rPr>
              <w:t xml:space="preserve">    丙炔氟草胺3%    草铵膦30%    </w:t>
            </w:r>
          </w:p>
        </w:tc>
      </w:tr>
      <w:tr w14:paraId="3F50BFAF">
        <w:tblPrEx>
          <w:tblCellMar>
            <w:top w:w="0" w:type="dxa"/>
            <w:left w:w="0" w:type="dxa"/>
            <w:bottom w:w="0" w:type="dxa"/>
            <w:right w:w="0" w:type="dxa"/>
          </w:tblCellMar>
        </w:tblPrEx>
        <w:trPr>
          <w:wBefore w:w="0" w:type="auto"/>
          <w:tblCellSpacing w:w="0" w:type="dxa"/>
        </w:trPr>
        <w:tc>
          <w:tcPr>
            <w:tcW w:w="0" w:type="auto"/>
            <w:noWrap w:val="0"/>
            <w:vAlign w:val="center"/>
          </w:tcPr>
          <w:p w14:paraId="480091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9FCB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3DCD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BEC3B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5BAC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F2AEC8">
                  <w:r>
                    <w:rPr>
                      <w:rStyle w:val="11"/>
                      <w:rFonts w:hint="eastAsia"/>
                    </w:rPr>
                    <w:t>施用方式</w:t>
                  </w:r>
                </w:p>
              </w:tc>
            </w:tr>
            <w:tr w14:paraId="66E7DC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279F9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E4954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2310FF">
                  <w:r>
                    <w:rPr>
                      <w:rStyle w:val="11"/>
                      <w:rFonts w:hint="eastAsia"/>
                    </w:rPr>
                    <w:t>120-160毫升/亩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3A407A">
                  <w:r>
                    <w:rPr>
                      <w:rStyle w:val="11"/>
                      <w:rFonts w:hint="eastAsia"/>
                    </w:rPr>
                    <w:t>茎叶喷雾</w:t>
                  </w:r>
                </w:p>
              </w:tc>
            </w:tr>
          </w:tbl>
          <w:p w14:paraId="0D22AF01">
            <w:pPr>
              <w:rPr>
                <w:rFonts w:ascii="Times New Roman" w:hAnsi="Times New Roman" w:cs="Times New Roman"/>
                <w:sz w:val="20"/>
                <w:szCs w:val="20"/>
              </w:rPr>
            </w:pPr>
          </w:p>
        </w:tc>
      </w:tr>
      <w:tr w14:paraId="6DB586A3">
        <w:tblPrEx>
          <w:tblCellMar>
            <w:top w:w="0" w:type="dxa"/>
            <w:left w:w="0" w:type="dxa"/>
            <w:bottom w:w="0" w:type="dxa"/>
            <w:right w:w="0" w:type="dxa"/>
          </w:tblCellMar>
        </w:tblPrEx>
        <w:trPr>
          <w:wBefore w:w="0" w:type="auto"/>
          <w:tblCellSpacing w:w="0" w:type="dxa"/>
        </w:trPr>
        <w:tc>
          <w:tcPr>
            <w:tcW w:w="0" w:type="auto"/>
            <w:noWrap w:val="0"/>
            <w:vAlign w:val="center"/>
          </w:tcPr>
          <w:p w14:paraId="5E8A558C">
            <w:r>
              <w:rPr>
                <w:rStyle w:val="10"/>
                <w:rFonts w:hint="eastAsia"/>
              </w:rPr>
              <w:t>使用技术要求:</w:t>
            </w:r>
            <w:r>
              <w:rPr>
                <w:rFonts w:hint="eastAsia"/>
              </w:rPr>
              <w:br w:type="textWrapping"/>
            </w:r>
            <w:r>
              <w:rPr>
                <w:rStyle w:val="11"/>
                <w:rFonts w:hint="eastAsia"/>
              </w:rPr>
              <w:t>1. 非耕地杂草生长旺盛期进行茎叶喷雾，避免飘移药害. 2、大风天或预计1小时内降雨，请勿施药。3. 每季作物最多使用1次。4. 禁止在田间道路、田埂、果树行间、休耕地、林场地等农林区域使用。 </w:t>
            </w:r>
          </w:p>
        </w:tc>
      </w:tr>
      <w:tr w14:paraId="32FAE807">
        <w:tblPrEx>
          <w:tblCellMar>
            <w:top w:w="0" w:type="dxa"/>
            <w:left w:w="0" w:type="dxa"/>
            <w:bottom w:w="0" w:type="dxa"/>
            <w:right w:w="0" w:type="dxa"/>
          </w:tblCellMar>
        </w:tblPrEx>
        <w:trPr>
          <w:wBefore w:w="0" w:type="auto"/>
          <w:tblCellSpacing w:w="0" w:type="dxa"/>
        </w:trPr>
        <w:tc>
          <w:tcPr>
            <w:tcW w:w="0" w:type="auto"/>
            <w:noWrap w:val="0"/>
            <w:vAlign w:val="center"/>
          </w:tcPr>
          <w:p w14:paraId="23DF4E03">
            <w:r>
              <w:rPr>
                <w:rStyle w:val="10"/>
                <w:rFonts w:hint="eastAsia"/>
              </w:rPr>
              <w:t>产品性能:</w:t>
            </w:r>
            <w:r>
              <w:rPr>
                <w:rFonts w:hint="eastAsia"/>
              </w:rPr>
              <w:br w:type="textWrapping"/>
            </w:r>
            <w:r>
              <w:rPr>
                <w:rStyle w:val="11"/>
                <w:rFonts w:hint="eastAsia"/>
              </w:rPr>
              <w:t>本品是丙炔氟草胺和草铵膦复配的除草剂；该产品具有活性高、除草速度快、杀草谱广、持效期长的特点。对非耕地杂草有较好的防效。</w:t>
            </w:r>
          </w:p>
        </w:tc>
      </w:tr>
      <w:tr w14:paraId="58F51CBC">
        <w:tblPrEx>
          <w:tblCellMar>
            <w:top w:w="0" w:type="dxa"/>
            <w:left w:w="0" w:type="dxa"/>
            <w:bottom w:w="0" w:type="dxa"/>
            <w:right w:w="0" w:type="dxa"/>
          </w:tblCellMar>
        </w:tblPrEx>
        <w:trPr>
          <w:wBefore w:w="0" w:type="auto"/>
          <w:tblCellSpacing w:w="0" w:type="dxa"/>
        </w:trPr>
        <w:tc>
          <w:tcPr>
            <w:tcW w:w="0" w:type="auto"/>
            <w:noWrap w:val="0"/>
            <w:vAlign w:val="center"/>
          </w:tcPr>
          <w:p w14:paraId="6B96E998">
            <w:r>
              <w:rPr>
                <w:rStyle w:val="10"/>
                <w:rFonts w:hint="eastAsia"/>
              </w:rPr>
              <w:t>注意事项：</w:t>
            </w:r>
            <w:r>
              <w:rPr>
                <w:rFonts w:hint="eastAsia"/>
              </w:rPr>
              <w:br w:type="textWrapping"/>
            </w:r>
            <w:r>
              <w:rPr>
                <w:rStyle w:val="11"/>
                <w:rFonts w:hint="eastAsia"/>
              </w:rPr>
              <w:t>1. 蚕室及桑园附近禁用。2. 本品对眼睛有刺激性，使用时避免接触眼睛，穿戴长衣、长裤、帽子、口罩、手套等防护措施。施药后，立即用肥皂洗手和洗脸等。3. 施药后彻底清洗器械，禁止在河塘等水体中清洗施药器具，清洗器具的废水不能排入河流、池塘等水源。4. 施药后的地块 24 小时内禁止放牧和畜禽进入；勿在安全间隔期内进行采收。5. 蚕室及桑园附近禁用。5. 未用完的制剂应放在原包装内密封保存，切勿将本品置于饮、食容器内，使用过的空包装，用清水冲洗后妥善处理，切勿重复使用或改作其它用途。6. 建议与其它作用机制的除草剂轮换使用。7. 孕妇及哺乳期妇女及过敏者禁用。</w:t>
            </w:r>
          </w:p>
        </w:tc>
      </w:tr>
      <w:tr w14:paraId="195368C6">
        <w:tblPrEx>
          <w:tblCellMar>
            <w:top w:w="0" w:type="dxa"/>
            <w:left w:w="0" w:type="dxa"/>
            <w:bottom w:w="0" w:type="dxa"/>
            <w:right w:w="0" w:type="dxa"/>
          </w:tblCellMar>
        </w:tblPrEx>
        <w:trPr>
          <w:wBefore w:w="0" w:type="auto"/>
          <w:tblCellSpacing w:w="0" w:type="dxa"/>
        </w:trPr>
        <w:tc>
          <w:tcPr>
            <w:tcW w:w="0" w:type="auto"/>
            <w:noWrap w:val="0"/>
            <w:vAlign w:val="center"/>
          </w:tcPr>
          <w:p w14:paraId="570494B7">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634D465C">
        <w:tblPrEx>
          <w:tblCellMar>
            <w:top w:w="0" w:type="dxa"/>
            <w:left w:w="0" w:type="dxa"/>
            <w:bottom w:w="0" w:type="dxa"/>
            <w:right w:w="0" w:type="dxa"/>
          </w:tblCellMar>
        </w:tblPrEx>
        <w:trPr>
          <w:wBefore w:w="0" w:type="auto"/>
          <w:tblCellSpacing w:w="0" w:type="dxa"/>
        </w:trPr>
        <w:tc>
          <w:tcPr>
            <w:tcW w:w="0" w:type="auto"/>
            <w:noWrap w:val="0"/>
            <w:vAlign w:val="center"/>
          </w:tcPr>
          <w:p w14:paraId="3CE1DD4C">
            <w:r>
              <w:rPr>
                <w:rStyle w:val="10"/>
                <w:rFonts w:hint="eastAsia"/>
              </w:rPr>
              <w:t>储存和运输方法：</w:t>
            </w:r>
            <w:r>
              <w:rPr>
                <w:rFonts w:hint="eastAsia"/>
              </w:rPr>
              <w:br w:type="textWrapping"/>
            </w:r>
            <w:r>
              <w:rPr>
                <w:rStyle w:val="11"/>
                <w:rFonts w:hint="eastAsia"/>
              </w:rPr>
              <w:t>1.本品应贮存于通风、干燥、防雨、阴凉处，远离火源或热源。置于儿童、无关人员触及不到之处，并加锁，勿与食品、饮料、饲料、种子等混合储存。2 .贮运时，严防潮湿和日晒，避免与皮肤、眼睛接触，防止口鼻吸入。3.运输前先检查包装容器是否完整、密封。运输过程中确保容器不泄漏、不倒塌、不坠落、不损坏。</w:t>
            </w:r>
          </w:p>
        </w:tc>
      </w:tr>
      <w:tr w14:paraId="1ACC0FEC">
        <w:tblPrEx>
          <w:tblCellMar>
            <w:top w:w="0" w:type="dxa"/>
            <w:left w:w="0" w:type="dxa"/>
            <w:bottom w:w="0" w:type="dxa"/>
            <w:right w:w="0" w:type="dxa"/>
          </w:tblCellMar>
        </w:tblPrEx>
        <w:trPr>
          <w:wBefore w:w="0" w:type="auto"/>
          <w:tblCellSpacing w:w="0" w:type="dxa"/>
        </w:trPr>
        <w:tc>
          <w:tcPr>
            <w:tcW w:w="0" w:type="auto"/>
            <w:noWrap w:val="0"/>
            <w:vAlign w:val="center"/>
          </w:tcPr>
          <w:p w14:paraId="4ED8157E">
            <w:r>
              <w:rPr>
                <w:rStyle w:val="10"/>
                <w:rFonts w:hint="eastAsia"/>
              </w:rPr>
              <w:t>质量保证期：</w:t>
            </w:r>
            <w:r>
              <w:rPr>
                <w:rStyle w:val="11"/>
                <w:rFonts w:hint="eastAsia"/>
              </w:rPr>
              <w:t>2年</w:t>
            </w:r>
          </w:p>
        </w:tc>
      </w:tr>
      <w:tr w14:paraId="41579B9F">
        <w:tblPrEx>
          <w:tblCellMar>
            <w:top w:w="0" w:type="dxa"/>
            <w:left w:w="0" w:type="dxa"/>
            <w:bottom w:w="0" w:type="dxa"/>
            <w:right w:w="0" w:type="dxa"/>
          </w:tblCellMar>
        </w:tblPrEx>
        <w:trPr>
          <w:wBefore w:w="0" w:type="auto"/>
          <w:tblCellSpacing w:w="0" w:type="dxa"/>
        </w:trPr>
        <w:tc>
          <w:tcPr>
            <w:tcW w:w="0" w:type="auto"/>
            <w:noWrap w:val="0"/>
            <w:vAlign w:val="center"/>
          </w:tcPr>
          <w:p w14:paraId="0CC33573">
            <w:r>
              <w:rPr>
                <w:rStyle w:val="10"/>
                <w:rFonts w:hint="eastAsia"/>
              </w:rPr>
              <w:t>备注：</w:t>
            </w:r>
          </w:p>
        </w:tc>
      </w:tr>
    </w:tbl>
    <w:p w14:paraId="70F657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233419">
        <w:tblPrEx>
          <w:tblCellMar>
            <w:top w:w="0" w:type="dxa"/>
            <w:left w:w="0" w:type="dxa"/>
            <w:bottom w:w="0" w:type="dxa"/>
            <w:right w:w="0" w:type="dxa"/>
          </w:tblCellMar>
        </w:tblPrEx>
        <w:trPr>
          <w:wBefore w:w="0" w:type="auto"/>
          <w:tblCellSpacing w:w="0" w:type="dxa"/>
        </w:trPr>
        <w:tc>
          <w:tcPr>
            <w:tcW w:w="0" w:type="auto"/>
            <w:noWrap w:val="0"/>
            <w:vAlign w:val="center"/>
          </w:tcPr>
          <w:p w14:paraId="0DBB918C">
            <w:r>
              <w:rPr>
                <w:rStyle w:val="10"/>
                <w:rFonts w:hint="eastAsia"/>
              </w:rPr>
              <w:t>登记证号：</w:t>
            </w:r>
            <w:r>
              <w:rPr>
                <w:rFonts w:hint="eastAsia"/>
              </w:rPr>
              <w:t>PD20212700</w:t>
            </w:r>
          </w:p>
        </w:tc>
      </w:tr>
      <w:tr w14:paraId="246571A3">
        <w:tblPrEx>
          <w:tblCellMar>
            <w:top w:w="0" w:type="dxa"/>
            <w:left w:w="0" w:type="dxa"/>
            <w:bottom w:w="0" w:type="dxa"/>
            <w:right w:w="0" w:type="dxa"/>
          </w:tblCellMar>
        </w:tblPrEx>
        <w:trPr>
          <w:wBefore w:w="0" w:type="auto"/>
          <w:tblCellSpacing w:w="0" w:type="dxa"/>
        </w:trPr>
        <w:tc>
          <w:tcPr>
            <w:tcW w:w="0" w:type="auto"/>
            <w:noWrap w:val="0"/>
            <w:vAlign w:val="center"/>
          </w:tcPr>
          <w:p w14:paraId="1500EBC7">
            <w:r>
              <w:rPr>
                <w:rStyle w:val="10"/>
                <w:rFonts w:hint="eastAsia"/>
              </w:rPr>
              <w:t>登记证持有人：</w:t>
            </w:r>
            <w:r>
              <w:rPr>
                <w:rFonts w:hint="eastAsia"/>
              </w:rPr>
              <w:t>山东惠民中联生物科技有限公司</w:t>
            </w:r>
          </w:p>
        </w:tc>
      </w:tr>
      <w:tr w14:paraId="27743676">
        <w:tblPrEx>
          <w:tblCellMar>
            <w:top w:w="0" w:type="dxa"/>
            <w:left w:w="0" w:type="dxa"/>
            <w:bottom w:w="0" w:type="dxa"/>
            <w:right w:w="0" w:type="dxa"/>
          </w:tblCellMar>
        </w:tblPrEx>
        <w:trPr>
          <w:wBefore w:w="0" w:type="auto"/>
          <w:tblCellSpacing w:w="0" w:type="dxa"/>
        </w:trPr>
        <w:tc>
          <w:tcPr>
            <w:tcW w:w="0" w:type="auto"/>
            <w:noWrap w:val="0"/>
            <w:vAlign w:val="center"/>
          </w:tcPr>
          <w:p w14:paraId="49F283AB">
            <w:r>
              <w:rPr>
                <w:rStyle w:val="10"/>
                <w:rFonts w:hint="eastAsia"/>
              </w:rPr>
              <w:t>农药名称：</w:t>
            </w:r>
            <w:r>
              <w:rPr>
                <w:rFonts w:hint="eastAsia"/>
              </w:rPr>
              <w:t>淡紫拟青霉</w:t>
            </w:r>
          </w:p>
        </w:tc>
      </w:tr>
      <w:tr w14:paraId="698644F7">
        <w:tblPrEx>
          <w:tblCellMar>
            <w:top w:w="0" w:type="dxa"/>
            <w:left w:w="0" w:type="dxa"/>
            <w:bottom w:w="0" w:type="dxa"/>
            <w:right w:w="0" w:type="dxa"/>
          </w:tblCellMar>
        </w:tblPrEx>
        <w:trPr>
          <w:wBefore w:w="0" w:type="auto"/>
          <w:tblCellSpacing w:w="0" w:type="dxa"/>
        </w:trPr>
        <w:tc>
          <w:tcPr>
            <w:tcW w:w="0" w:type="auto"/>
            <w:noWrap w:val="0"/>
            <w:vAlign w:val="center"/>
          </w:tcPr>
          <w:p w14:paraId="2017C273">
            <w:r>
              <w:rPr>
                <w:rStyle w:val="10"/>
                <w:rFonts w:hint="eastAsia"/>
              </w:rPr>
              <w:t>剂型：</w:t>
            </w:r>
            <w:r>
              <w:rPr>
                <w:rFonts w:hint="eastAsia"/>
              </w:rPr>
              <w:t>颗粒剂</w:t>
            </w:r>
          </w:p>
        </w:tc>
      </w:tr>
      <w:tr w14:paraId="5B604EF7">
        <w:tblPrEx>
          <w:tblCellMar>
            <w:top w:w="0" w:type="dxa"/>
            <w:left w:w="0" w:type="dxa"/>
            <w:bottom w:w="0" w:type="dxa"/>
            <w:right w:w="0" w:type="dxa"/>
          </w:tblCellMar>
        </w:tblPrEx>
        <w:trPr>
          <w:wBefore w:w="0" w:type="auto"/>
          <w:tblCellSpacing w:w="0" w:type="dxa"/>
        </w:trPr>
        <w:tc>
          <w:tcPr>
            <w:tcW w:w="0" w:type="auto"/>
            <w:noWrap w:val="0"/>
            <w:vAlign w:val="center"/>
          </w:tcPr>
          <w:p w14:paraId="705BCEE0">
            <w:r>
              <w:rPr>
                <w:rStyle w:val="10"/>
                <w:rFonts w:hint="eastAsia"/>
              </w:rPr>
              <w:t>毒性及其标识：</w:t>
            </w:r>
            <w:r>
              <w:rPr>
                <w:rFonts w:hint="eastAsia"/>
              </w:rPr>
              <w:t xml:space="preserve"> </w:t>
            </w:r>
            <w:r>
              <w:rPr>
                <w:lang/>
              </w:rPr>
              <w:drawing>
                <wp:inline distT="0" distB="0" distL="114300" distR="114300">
                  <wp:extent cx="476250" cy="323850"/>
                  <wp:effectExtent l="0" t="0" r="0" b="0"/>
                  <wp:docPr id="192" name="图片 1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C25DB3">
        <w:tblPrEx>
          <w:tblCellMar>
            <w:top w:w="0" w:type="dxa"/>
            <w:left w:w="0" w:type="dxa"/>
            <w:bottom w:w="0" w:type="dxa"/>
            <w:right w:w="0" w:type="dxa"/>
          </w:tblCellMar>
        </w:tblPrEx>
        <w:trPr>
          <w:wBefore w:w="0" w:type="auto"/>
          <w:tblCellSpacing w:w="0" w:type="dxa"/>
        </w:trPr>
        <w:tc>
          <w:tcPr>
            <w:tcW w:w="0" w:type="auto"/>
            <w:noWrap w:val="0"/>
            <w:vAlign w:val="center"/>
          </w:tcPr>
          <w:p w14:paraId="40B66103">
            <w:r>
              <w:rPr>
                <w:rStyle w:val="10"/>
                <w:rFonts w:hint="eastAsia"/>
              </w:rPr>
              <w:t>总有效成分含量：</w:t>
            </w:r>
            <w:r>
              <w:rPr>
                <w:rFonts w:hint="eastAsia"/>
              </w:rPr>
              <w:t>10亿孢子/克</w:t>
            </w:r>
          </w:p>
        </w:tc>
      </w:tr>
      <w:tr w14:paraId="54134823">
        <w:tblPrEx>
          <w:tblCellMar>
            <w:top w:w="0" w:type="dxa"/>
            <w:left w:w="0" w:type="dxa"/>
            <w:bottom w:w="0" w:type="dxa"/>
            <w:right w:w="0" w:type="dxa"/>
          </w:tblCellMar>
        </w:tblPrEx>
        <w:trPr>
          <w:wBefore w:w="0" w:type="auto"/>
          <w:tblCellSpacing w:w="0" w:type="dxa"/>
        </w:trPr>
        <w:tc>
          <w:tcPr>
            <w:tcW w:w="0" w:type="auto"/>
            <w:noWrap w:val="0"/>
            <w:vAlign w:val="center"/>
          </w:tcPr>
          <w:p w14:paraId="65210DD2">
            <w:r>
              <w:rPr>
                <w:rFonts w:hint="eastAsia"/>
              </w:rPr>
              <w:t xml:space="preserve">有效成分及其含量： </w:t>
            </w:r>
          </w:p>
          <w:p w14:paraId="3D8A2D67">
            <w:r>
              <w:rPr>
                <w:rFonts w:hint="eastAsia"/>
              </w:rPr>
              <w:t xml:space="preserve">    淡紫拟青霉10亿孢子/克    </w:t>
            </w:r>
          </w:p>
        </w:tc>
      </w:tr>
      <w:tr w14:paraId="6D90BE7B">
        <w:tblPrEx>
          <w:tblCellMar>
            <w:top w:w="0" w:type="dxa"/>
            <w:left w:w="0" w:type="dxa"/>
            <w:bottom w:w="0" w:type="dxa"/>
            <w:right w:w="0" w:type="dxa"/>
          </w:tblCellMar>
        </w:tblPrEx>
        <w:trPr>
          <w:wBefore w:w="0" w:type="auto"/>
          <w:tblCellSpacing w:w="0" w:type="dxa"/>
        </w:trPr>
        <w:tc>
          <w:tcPr>
            <w:tcW w:w="0" w:type="auto"/>
            <w:noWrap w:val="0"/>
            <w:vAlign w:val="center"/>
          </w:tcPr>
          <w:p w14:paraId="22536D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0E86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912B9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C5113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05FB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8C3712">
                  <w:r>
                    <w:rPr>
                      <w:rStyle w:val="11"/>
                      <w:rFonts w:hint="eastAsia"/>
                    </w:rPr>
                    <w:t>施用方式</w:t>
                  </w:r>
                </w:p>
              </w:tc>
            </w:tr>
            <w:tr w14:paraId="625CBA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7AFCE3">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AC2547">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21AB7E">
                  <w:r>
                    <w:rPr>
                      <w:rStyle w:val="11"/>
                      <w:rFonts w:hint="eastAsia"/>
                    </w:rPr>
                    <w:t>1500-2500克/亩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67D6B4">
                  <w:r>
                    <w:rPr>
                      <w:rStyle w:val="11"/>
                      <w:rFonts w:hint="eastAsia"/>
                    </w:rPr>
                    <w:t>沟施</w:t>
                  </w:r>
                </w:p>
              </w:tc>
            </w:tr>
          </w:tbl>
          <w:p w14:paraId="656CB50B">
            <w:pPr>
              <w:rPr>
                <w:rFonts w:ascii="Times New Roman" w:hAnsi="Times New Roman" w:cs="Times New Roman"/>
                <w:sz w:val="20"/>
                <w:szCs w:val="20"/>
              </w:rPr>
            </w:pPr>
          </w:p>
        </w:tc>
      </w:tr>
      <w:tr w14:paraId="5ADCF61C">
        <w:tblPrEx>
          <w:tblCellMar>
            <w:top w:w="0" w:type="dxa"/>
            <w:left w:w="0" w:type="dxa"/>
            <w:bottom w:w="0" w:type="dxa"/>
            <w:right w:w="0" w:type="dxa"/>
          </w:tblCellMar>
        </w:tblPrEx>
        <w:trPr>
          <w:wBefore w:w="0" w:type="auto"/>
          <w:tblCellSpacing w:w="0" w:type="dxa"/>
        </w:trPr>
        <w:tc>
          <w:tcPr>
            <w:tcW w:w="0" w:type="auto"/>
            <w:noWrap w:val="0"/>
            <w:vAlign w:val="center"/>
          </w:tcPr>
          <w:p w14:paraId="309C9E6F">
            <w:r>
              <w:rPr>
                <w:rStyle w:val="10"/>
                <w:rFonts w:hint="eastAsia"/>
              </w:rPr>
              <w:t>使用技术要求:</w:t>
            </w:r>
            <w:r>
              <w:rPr>
                <w:rFonts w:hint="eastAsia"/>
              </w:rPr>
              <w:br w:type="textWrapping"/>
            </w:r>
            <w:r>
              <w:rPr>
                <w:rStyle w:val="11"/>
                <w:rFonts w:hint="eastAsia"/>
              </w:rPr>
              <w:t>于番茄移栽前，开沟撒施施药1次，施药深度为20厘米左右。</w:t>
            </w:r>
          </w:p>
        </w:tc>
      </w:tr>
      <w:tr w14:paraId="16481CEC">
        <w:tblPrEx>
          <w:tblCellMar>
            <w:top w:w="0" w:type="dxa"/>
            <w:left w:w="0" w:type="dxa"/>
            <w:bottom w:w="0" w:type="dxa"/>
            <w:right w:w="0" w:type="dxa"/>
          </w:tblCellMar>
        </w:tblPrEx>
        <w:trPr>
          <w:wBefore w:w="0" w:type="auto"/>
          <w:tblCellSpacing w:w="0" w:type="dxa"/>
        </w:trPr>
        <w:tc>
          <w:tcPr>
            <w:tcW w:w="0" w:type="auto"/>
            <w:noWrap w:val="0"/>
            <w:vAlign w:val="center"/>
          </w:tcPr>
          <w:p w14:paraId="50557DF0">
            <w:r>
              <w:rPr>
                <w:rStyle w:val="10"/>
                <w:rFonts w:hint="eastAsia"/>
              </w:rPr>
              <w:t>产品性能:</w:t>
            </w:r>
            <w:r>
              <w:rPr>
                <w:rFonts w:hint="eastAsia"/>
              </w:rPr>
              <w:br w:type="textWrapping"/>
            </w:r>
            <w:r>
              <w:rPr>
                <w:rStyle w:val="11"/>
                <w:rFonts w:hint="eastAsia"/>
              </w:rPr>
              <w:t>淡紫拟青霉属于拟青霉属真菌，对番茄根结线虫具有很好防治作用。淡紫拟青霉制剂施入土壤后孢子萌发长出很多菌丝，苗丝分泌几丁质酶，从而破坏线虫卵壳的几丁质层，菌丝得以穿透卵壳，以卵内物质为养料大量繁殖，使卵内的细胞和早期胚胎受破坏，不能孵出幼虫。</w:t>
            </w:r>
          </w:p>
        </w:tc>
      </w:tr>
      <w:tr w14:paraId="4E9BEB96">
        <w:tblPrEx>
          <w:tblCellMar>
            <w:top w:w="0" w:type="dxa"/>
            <w:left w:w="0" w:type="dxa"/>
            <w:bottom w:w="0" w:type="dxa"/>
            <w:right w:w="0" w:type="dxa"/>
          </w:tblCellMar>
        </w:tblPrEx>
        <w:trPr>
          <w:wBefore w:w="0" w:type="auto"/>
          <w:tblCellSpacing w:w="0" w:type="dxa"/>
        </w:trPr>
        <w:tc>
          <w:tcPr>
            <w:tcW w:w="0" w:type="auto"/>
            <w:noWrap w:val="0"/>
            <w:vAlign w:val="center"/>
          </w:tcPr>
          <w:p w14:paraId="4247A69C">
            <w:r>
              <w:rPr>
                <w:rStyle w:val="10"/>
                <w:rFonts w:hint="eastAsia"/>
              </w:rPr>
              <w:t>注意事项：</w:t>
            </w:r>
            <w:r>
              <w:rPr>
                <w:rFonts w:hint="eastAsia"/>
              </w:rPr>
              <w:br w:type="textWrapping"/>
            </w:r>
            <w:r>
              <w:rPr>
                <w:rStyle w:val="11"/>
                <w:rFonts w:hint="eastAsia"/>
              </w:rPr>
              <w:t>1. 本品不可与含有铜离子、镁离子的农药混合使用。2. 配药时，配药人员要带胶皮手套，严谨用手拌药。3. 药液及其废液不得污染各类水域，桑园蚕室附近、水产养殖区附近、养蜂地区及蜜源作物禁止使用，使用时还要注意对鸟类的不利影响。4. 施药结束后，应马上用清水冲洗受药液污染的身体部位。清洗药械的污水应选在安全地点妥善处理，不准随地泼洒，防止污染饮用水源和养鱼池塘。5. 本品对眼睛有刺激性，使用时避免接触眼睛，穿戴长衣、长裤、帽子、口罩、手套等防护措施。在操作时禁止吸烟、喝水、吃东西。工作后要用肥皂洗手、脸并漱口，有条件的应洗澡。工作服要及时换洗。6. 患皮肤病及其它疾病尚未恢复健康者，以及哺乳期、孕妇、经期的妇女避免接触本品。7. 建议与其它作用机制不同的杀线虫剂轮换使用，以延缓抗性产生。8. 用过的容器应妥善处理，不可做他用，也不可随意丢弃。</w:t>
            </w:r>
          </w:p>
        </w:tc>
      </w:tr>
      <w:tr w14:paraId="22705AA3">
        <w:tblPrEx>
          <w:tblCellMar>
            <w:top w:w="0" w:type="dxa"/>
            <w:left w:w="0" w:type="dxa"/>
            <w:bottom w:w="0" w:type="dxa"/>
            <w:right w:w="0" w:type="dxa"/>
          </w:tblCellMar>
        </w:tblPrEx>
        <w:trPr>
          <w:wBefore w:w="0" w:type="auto"/>
          <w:tblCellSpacing w:w="0" w:type="dxa"/>
        </w:trPr>
        <w:tc>
          <w:tcPr>
            <w:tcW w:w="0" w:type="auto"/>
            <w:noWrap w:val="0"/>
            <w:vAlign w:val="center"/>
          </w:tcPr>
          <w:p w14:paraId="1B37C416">
            <w:r>
              <w:rPr>
                <w:rStyle w:val="10"/>
                <w:rFonts w:hint="eastAsia"/>
              </w:rPr>
              <w:t>中毒急救措施：</w:t>
            </w:r>
            <w:r>
              <w:rPr>
                <w:rFonts w:hint="eastAsia"/>
              </w:rPr>
              <w:br w:type="textWrapping"/>
            </w:r>
            <w:r>
              <w:rPr>
                <w:rStyle w:val="11"/>
                <w:rFonts w:hint="eastAsia"/>
              </w:rPr>
              <w:t>使用中或使用后如感不适，应立即停止工作，采取急救措施，并携带标签就医。接触皮肤：脱去污染的衣物，用软布去除沾染农药，立即用大量清水和肥皂清洗并就医。眼睛溅入：立即用流动清水冲洗不少于15分钟。误服：无特效解毒剂，立即携标签就医，对症治疗。</w:t>
            </w:r>
          </w:p>
        </w:tc>
      </w:tr>
      <w:tr w14:paraId="16795D50">
        <w:tblPrEx>
          <w:tblCellMar>
            <w:top w:w="0" w:type="dxa"/>
            <w:left w:w="0" w:type="dxa"/>
            <w:bottom w:w="0" w:type="dxa"/>
            <w:right w:w="0" w:type="dxa"/>
          </w:tblCellMar>
        </w:tblPrEx>
        <w:trPr>
          <w:wBefore w:w="0" w:type="auto"/>
          <w:tblCellSpacing w:w="0" w:type="dxa"/>
        </w:trPr>
        <w:tc>
          <w:tcPr>
            <w:tcW w:w="0" w:type="auto"/>
            <w:noWrap w:val="0"/>
            <w:vAlign w:val="center"/>
          </w:tcPr>
          <w:p w14:paraId="6EFB564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本品应贮存在干燥、阴凉、通风、防雨处，远离火源或热源。置于儿童、无关人员及动物触及不到之处，并加锁保存。勿与食品、饮料、饲料和粮食等及其它易燃易爆物品同贮同运。</w:t>
            </w:r>
          </w:p>
        </w:tc>
      </w:tr>
      <w:tr w14:paraId="36AF1C07">
        <w:tblPrEx>
          <w:tblCellMar>
            <w:top w:w="0" w:type="dxa"/>
            <w:left w:w="0" w:type="dxa"/>
            <w:bottom w:w="0" w:type="dxa"/>
            <w:right w:w="0" w:type="dxa"/>
          </w:tblCellMar>
        </w:tblPrEx>
        <w:trPr>
          <w:wBefore w:w="0" w:type="auto"/>
          <w:tblCellSpacing w:w="0" w:type="dxa"/>
        </w:trPr>
        <w:tc>
          <w:tcPr>
            <w:tcW w:w="0" w:type="auto"/>
            <w:noWrap w:val="0"/>
            <w:vAlign w:val="center"/>
          </w:tcPr>
          <w:p w14:paraId="38F758D1">
            <w:r>
              <w:rPr>
                <w:rStyle w:val="10"/>
                <w:rFonts w:hint="eastAsia"/>
              </w:rPr>
              <w:t>质量保证期：</w:t>
            </w:r>
            <w:r>
              <w:rPr>
                <w:rStyle w:val="11"/>
                <w:rFonts w:hint="eastAsia"/>
              </w:rPr>
              <w:t>2年</w:t>
            </w:r>
          </w:p>
        </w:tc>
      </w:tr>
      <w:tr w14:paraId="2B528035">
        <w:tblPrEx>
          <w:tblCellMar>
            <w:top w:w="0" w:type="dxa"/>
            <w:left w:w="0" w:type="dxa"/>
            <w:bottom w:w="0" w:type="dxa"/>
            <w:right w:w="0" w:type="dxa"/>
          </w:tblCellMar>
        </w:tblPrEx>
        <w:trPr>
          <w:wBefore w:w="0" w:type="auto"/>
          <w:tblCellSpacing w:w="0" w:type="dxa"/>
        </w:trPr>
        <w:tc>
          <w:tcPr>
            <w:tcW w:w="0" w:type="auto"/>
            <w:noWrap w:val="0"/>
            <w:vAlign w:val="center"/>
          </w:tcPr>
          <w:p w14:paraId="038211C4">
            <w:r>
              <w:rPr>
                <w:rStyle w:val="10"/>
                <w:rFonts w:hint="eastAsia"/>
              </w:rPr>
              <w:t>备注：</w:t>
            </w:r>
          </w:p>
        </w:tc>
      </w:tr>
    </w:tbl>
    <w:p w14:paraId="2DDA3D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93861C">
        <w:tblPrEx>
          <w:tblCellMar>
            <w:top w:w="0" w:type="dxa"/>
            <w:left w:w="0" w:type="dxa"/>
            <w:bottom w:w="0" w:type="dxa"/>
            <w:right w:w="0" w:type="dxa"/>
          </w:tblCellMar>
        </w:tblPrEx>
        <w:trPr>
          <w:wBefore w:w="0" w:type="auto"/>
          <w:tblCellSpacing w:w="0" w:type="dxa"/>
        </w:trPr>
        <w:tc>
          <w:tcPr>
            <w:tcW w:w="0" w:type="auto"/>
            <w:noWrap w:val="0"/>
            <w:vAlign w:val="center"/>
          </w:tcPr>
          <w:p w14:paraId="617CA4D9">
            <w:r>
              <w:rPr>
                <w:rStyle w:val="10"/>
                <w:rFonts w:hint="eastAsia"/>
              </w:rPr>
              <w:t>登记证号：</w:t>
            </w:r>
            <w:r>
              <w:rPr>
                <w:rFonts w:hint="eastAsia"/>
              </w:rPr>
              <w:t>PD20212505</w:t>
            </w:r>
          </w:p>
        </w:tc>
      </w:tr>
      <w:tr w14:paraId="16668FA6">
        <w:tblPrEx>
          <w:tblCellMar>
            <w:top w:w="0" w:type="dxa"/>
            <w:left w:w="0" w:type="dxa"/>
            <w:bottom w:w="0" w:type="dxa"/>
            <w:right w:w="0" w:type="dxa"/>
          </w:tblCellMar>
        </w:tblPrEx>
        <w:trPr>
          <w:wBefore w:w="0" w:type="auto"/>
          <w:tblCellSpacing w:w="0" w:type="dxa"/>
        </w:trPr>
        <w:tc>
          <w:tcPr>
            <w:tcW w:w="0" w:type="auto"/>
            <w:noWrap w:val="0"/>
            <w:vAlign w:val="center"/>
          </w:tcPr>
          <w:p w14:paraId="44A38D65">
            <w:r>
              <w:rPr>
                <w:rStyle w:val="10"/>
                <w:rFonts w:hint="eastAsia"/>
              </w:rPr>
              <w:t>登记证持有人：</w:t>
            </w:r>
            <w:r>
              <w:rPr>
                <w:rFonts w:hint="eastAsia"/>
              </w:rPr>
              <w:t>山东玥鸣生物科技有限公司</w:t>
            </w:r>
          </w:p>
        </w:tc>
      </w:tr>
      <w:tr w14:paraId="117A2951">
        <w:tblPrEx>
          <w:tblCellMar>
            <w:top w:w="0" w:type="dxa"/>
            <w:left w:w="0" w:type="dxa"/>
            <w:bottom w:w="0" w:type="dxa"/>
            <w:right w:w="0" w:type="dxa"/>
          </w:tblCellMar>
        </w:tblPrEx>
        <w:trPr>
          <w:wBefore w:w="0" w:type="auto"/>
          <w:tblCellSpacing w:w="0" w:type="dxa"/>
        </w:trPr>
        <w:tc>
          <w:tcPr>
            <w:tcW w:w="0" w:type="auto"/>
            <w:noWrap w:val="0"/>
            <w:vAlign w:val="center"/>
          </w:tcPr>
          <w:p w14:paraId="20CA06A9">
            <w:r>
              <w:rPr>
                <w:rStyle w:val="10"/>
                <w:rFonts w:hint="eastAsia"/>
              </w:rPr>
              <w:t>农药名称：</w:t>
            </w:r>
            <w:r>
              <w:rPr>
                <w:rFonts w:hint="eastAsia"/>
              </w:rPr>
              <w:t>乙羧·草铵膦</w:t>
            </w:r>
          </w:p>
        </w:tc>
      </w:tr>
      <w:tr w14:paraId="06E3DED2">
        <w:tblPrEx>
          <w:tblCellMar>
            <w:top w:w="0" w:type="dxa"/>
            <w:left w:w="0" w:type="dxa"/>
            <w:bottom w:w="0" w:type="dxa"/>
            <w:right w:w="0" w:type="dxa"/>
          </w:tblCellMar>
        </w:tblPrEx>
        <w:trPr>
          <w:wBefore w:w="0" w:type="auto"/>
          <w:tblCellSpacing w:w="0" w:type="dxa"/>
        </w:trPr>
        <w:tc>
          <w:tcPr>
            <w:tcW w:w="0" w:type="auto"/>
            <w:noWrap w:val="0"/>
            <w:vAlign w:val="center"/>
          </w:tcPr>
          <w:p w14:paraId="65781DC6">
            <w:r>
              <w:rPr>
                <w:rStyle w:val="10"/>
                <w:rFonts w:hint="eastAsia"/>
              </w:rPr>
              <w:t>剂型：</w:t>
            </w:r>
            <w:r>
              <w:rPr>
                <w:rFonts w:hint="eastAsia"/>
              </w:rPr>
              <w:t>微乳剂</w:t>
            </w:r>
          </w:p>
        </w:tc>
      </w:tr>
      <w:tr w14:paraId="47EA9E3A">
        <w:tblPrEx>
          <w:tblCellMar>
            <w:top w:w="0" w:type="dxa"/>
            <w:left w:w="0" w:type="dxa"/>
            <w:bottom w:w="0" w:type="dxa"/>
            <w:right w:w="0" w:type="dxa"/>
          </w:tblCellMar>
        </w:tblPrEx>
        <w:trPr>
          <w:wBefore w:w="0" w:type="auto"/>
          <w:tblCellSpacing w:w="0" w:type="dxa"/>
        </w:trPr>
        <w:tc>
          <w:tcPr>
            <w:tcW w:w="0" w:type="auto"/>
            <w:noWrap w:val="0"/>
            <w:vAlign w:val="center"/>
          </w:tcPr>
          <w:p w14:paraId="6FD5DCB2">
            <w:r>
              <w:rPr>
                <w:rStyle w:val="10"/>
                <w:rFonts w:hint="eastAsia"/>
              </w:rPr>
              <w:t>毒性及其标识：</w:t>
            </w:r>
            <w:r>
              <w:rPr>
                <w:rFonts w:hint="eastAsia"/>
              </w:rPr>
              <w:t xml:space="preserve"> 微毒 </w:t>
            </w:r>
          </w:p>
        </w:tc>
      </w:tr>
      <w:tr w14:paraId="3289539D">
        <w:tblPrEx>
          <w:tblCellMar>
            <w:top w:w="0" w:type="dxa"/>
            <w:left w:w="0" w:type="dxa"/>
            <w:bottom w:w="0" w:type="dxa"/>
            <w:right w:w="0" w:type="dxa"/>
          </w:tblCellMar>
        </w:tblPrEx>
        <w:trPr>
          <w:wBefore w:w="0" w:type="auto"/>
          <w:tblCellSpacing w:w="0" w:type="dxa"/>
        </w:trPr>
        <w:tc>
          <w:tcPr>
            <w:tcW w:w="0" w:type="auto"/>
            <w:noWrap w:val="0"/>
            <w:vAlign w:val="center"/>
          </w:tcPr>
          <w:p w14:paraId="3BEE90EF">
            <w:r>
              <w:rPr>
                <w:rStyle w:val="10"/>
                <w:rFonts w:hint="eastAsia"/>
              </w:rPr>
              <w:t>总有效成分含量：</w:t>
            </w:r>
            <w:r>
              <w:rPr>
                <w:rFonts w:hint="eastAsia"/>
              </w:rPr>
              <w:t>20%</w:t>
            </w:r>
          </w:p>
        </w:tc>
      </w:tr>
      <w:tr w14:paraId="2BDD9945">
        <w:tblPrEx>
          <w:tblCellMar>
            <w:top w:w="0" w:type="dxa"/>
            <w:left w:w="0" w:type="dxa"/>
            <w:bottom w:w="0" w:type="dxa"/>
            <w:right w:w="0" w:type="dxa"/>
          </w:tblCellMar>
        </w:tblPrEx>
        <w:trPr>
          <w:wBefore w:w="0" w:type="auto"/>
          <w:tblCellSpacing w:w="0" w:type="dxa"/>
        </w:trPr>
        <w:tc>
          <w:tcPr>
            <w:tcW w:w="0" w:type="auto"/>
            <w:noWrap w:val="0"/>
            <w:vAlign w:val="center"/>
          </w:tcPr>
          <w:p w14:paraId="79114024">
            <w:r>
              <w:rPr>
                <w:rFonts w:hint="eastAsia"/>
              </w:rPr>
              <w:t xml:space="preserve">有效成分及其含量： </w:t>
            </w:r>
          </w:p>
          <w:p w14:paraId="43BBA736">
            <w:r>
              <w:rPr>
                <w:rFonts w:hint="eastAsia"/>
              </w:rPr>
              <w:t xml:space="preserve">    草铵膦19%    乙羧氟草醚1%    </w:t>
            </w:r>
          </w:p>
        </w:tc>
      </w:tr>
      <w:tr w14:paraId="0215655A">
        <w:tblPrEx>
          <w:tblCellMar>
            <w:top w:w="0" w:type="dxa"/>
            <w:left w:w="0" w:type="dxa"/>
            <w:bottom w:w="0" w:type="dxa"/>
            <w:right w:w="0" w:type="dxa"/>
          </w:tblCellMar>
        </w:tblPrEx>
        <w:trPr>
          <w:wBefore w:w="0" w:type="auto"/>
          <w:tblCellSpacing w:w="0" w:type="dxa"/>
        </w:trPr>
        <w:tc>
          <w:tcPr>
            <w:tcW w:w="0" w:type="auto"/>
            <w:noWrap w:val="0"/>
            <w:vAlign w:val="center"/>
          </w:tcPr>
          <w:p w14:paraId="524E1D4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DD1F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BADA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88927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5A3E2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9B4F36">
                  <w:r>
                    <w:rPr>
                      <w:rStyle w:val="11"/>
                      <w:rFonts w:hint="eastAsia"/>
                    </w:rPr>
                    <w:t>施用方式</w:t>
                  </w:r>
                </w:p>
              </w:tc>
            </w:tr>
            <w:tr w14:paraId="02FD70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319DA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05F1B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ECBB59">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A7B443">
                  <w:r>
                    <w:rPr>
                      <w:rStyle w:val="11"/>
                      <w:rFonts w:hint="eastAsia"/>
                    </w:rPr>
                    <w:t>茎叶喷雾</w:t>
                  </w:r>
                </w:p>
              </w:tc>
            </w:tr>
          </w:tbl>
          <w:p w14:paraId="459EEDB7">
            <w:pPr>
              <w:rPr>
                <w:rFonts w:ascii="Times New Roman" w:hAnsi="Times New Roman" w:cs="Times New Roman"/>
                <w:sz w:val="20"/>
                <w:szCs w:val="20"/>
              </w:rPr>
            </w:pPr>
          </w:p>
        </w:tc>
      </w:tr>
      <w:tr w14:paraId="71798692">
        <w:tblPrEx>
          <w:tblCellMar>
            <w:top w:w="0" w:type="dxa"/>
            <w:left w:w="0" w:type="dxa"/>
            <w:bottom w:w="0" w:type="dxa"/>
            <w:right w:w="0" w:type="dxa"/>
          </w:tblCellMar>
        </w:tblPrEx>
        <w:trPr>
          <w:wBefore w:w="0" w:type="auto"/>
          <w:tblCellSpacing w:w="0" w:type="dxa"/>
        </w:trPr>
        <w:tc>
          <w:tcPr>
            <w:tcW w:w="0" w:type="auto"/>
            <w:noWrap w:val="0"/>
            <w:vAlign w:val="center"/>
          </w:tcPr>
          <w:p w14:paraId="1DF3EE81">
            <w:r>
              <w:rPr>
                <w:rStyle w:val="10"/>
                <w:rFonts w:hint="eastAsia"/>
              </w:rPr>
              <w:t>使用技术要求:</w:t>
            </w:r>
            <w:r>
              <w:rPr>
                <w:rFonts w:hint="eastAsia"/>
              </w:rPr>
              <w:br w:type="textWrapping"/>
            </w:r>
            <w:r>
              <w:rPr>
                <w:rStyle w:val="11"/>
                <w:rFonts w:hint="eastAsia"/>
              </w:rPr>
              <w:t>1. 在非耕地杂草旺盛生长期，以推荐剂量兑水均匀茎叶喷雾施药一次，每亩兑水30-50公斤，进行杂草茎叶定向喷雾处理。 2. 干旱及杂草密度大或防除大龄杂草及多年生恶性杂草时，采用较高的推荐制剂用量和兑水量。3. 禁止在田间道路、田埂、果树行间、休耕地、林场林地等农林业区域使用。</w:t>
            </w:r>
          </w:p>
        </w:tc>
      </w:tr>
      <w:tr w14:paraId="69668E58">
        <w:tblPrEx>
          <w:tblCellMar>
            <w:top w:w="0" w:type="dxa"/>
            <w:left w:w="0" w:type="dxa"/>
            <w:bottom w:w="0" w:type="dxa"/>
            <w:right w:w="0" w:type="dxa"/>
          </w:tblCellMar>
        </w:tblPrEx>
        <w:trPr>
          <w:wBefore w:w="0" w:type="auto"/>
          <w:tblCellSpacing w:w="0" w:type="dxa"/>
        </w:trPr>
        <w:tc>
          <w:tcPr>
            <w:tcW w:w="0" w:type="auto"/>
            <w:noWrap w:val="0"/>
            <w:vAlign w:val="center"/>
          </w:tcPr>
          <w:p w14:paraId="175B2E3D">
            <w:r>
              <w:rPr>
                <w:rStyle w:val="10"/>
                <w:rFonts w:hint="eastAsia"/>
              </w:rPr>
              <w:t>产品性能:</w:t>
            </w:r>
            <w:r>
              <w:rPr>
                <w:rFonts w:hint="eastAsia"/>
              </w:rPr>
              <w:br w:type="textWrapping"/>
            </w:r>
            <w:r>
              <w:rPr>
                <w:rStyle w:val="11"/>
                <w:rFonts w:hint="eastAsia"/>
              </w:rPr>
              <w:t>本品为非选择性触杀型杂草茎叶处理剂，是膦酸类拟天然化感仿生物源除草剂草铵膦与二苯醚类除草剂乙羧氟草醚复配而成的可分散油悬浮剂，具有杀草谱广、见效速度快、控草期长、耐雨水冲刷，对木质化的作物根系、树皮和浅根果树相对安全等特点，本品可有效解决草甘膦、百草枯抗性杂草，对抗性杂草小飞蓬、牛筋草等效果突出。</w:t>
            </w:r>
          </w:p>
        </w:tc>
      </w:tr>
      <w:tr w14:paraId="09206547">
        <w:tblPrEx>
          <w:tblCellMar>
            <w:top w:w="0" w:type="dxa"/>
            <w:left w:w="0" w:type="dxa"/>
            <w:bottom w:w="0" w:type="dxa"/>
            <w:right w:w="0" w:type="dxa"/>
          </w:tblCellMar>
        </w:tblPrEx>
        <w:trPr>
          <w:wBefore w:w="0" w:type="auto"/>
          <w:tblCellSpacing w:w="0" w:type="dxa"/>
        </w:trPr>
        <w:tc>
          <w:tcPr>
            <w:tcW w:w="0" w:type="auto"/>
            <w:noWrap w:val="0"/>
            <w:vAlign w:val="center"/>
          </w:tcPr>
          <w:p w14:paraId="26A0F9E1">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本品对眼睛有刺激性，使用时避免接触眼睛，穿戴长衣、长裤、帽子、口罩、手套等防护措施，避免皮肤接触及口鼻吸入。使用中不可吸烟、饮水及吃东西，使用后及时清洗手、脸等暴露部位皮肤并更换衣物。 2. 施药前、后要彻底清洗喷药器械，洗涤后的废水不能排入河流、池塘等水源。 3. 废弃物妥善处理，不能随意丢弃，也不能做他用。 4. 本品对鱼类等水生生物有毒；远离水产养殖区施药，禁止在河塘等水体中清洗施药器具。洗涤器具后的废水和未使用完的药液不应污染河流等水源，避免影响鱼类和污染水源。地下水、饮用水水源地附近禁用。5. 开启封口应小心药液溅出，废弃包装物应冲洗压扁后深埋或由生产企业回收处理。 6.孕妇及哺乳期妇女避免接触。 7. 赤眼蜂等天敌放飞区域禁用。8. 避免与氧化剂接触。</w:t>
            </w:r>
          </w:p>
        </w:tc>
      </w:tr>
      <w:tr w14:paraId="625B42BA">
        <w:tblPrEx>
          <w:tblCellMar>
            <w:top w:w="0" w:type="dxa"/>
            <w:left w:w="0" w:type="dxa"/>
            <w:bottom w:w="0" w:type="dxa"/>
            <w:right w:w="0" w:type="dxa"/>
          </w:tblCellMar>
        </w:tblPrEx>
        <w:trPr>
          <w:wBefore w:w="0" w:type="auto"/>
          <w:tblCellSpacing w:w="0" w:type="dxa"/>
        </w:trPr>
        <w:tc>
          <w:tcPr>
            <w:tcW w:w="0" w:type="auto"/>
            <w:noWrap w:val="0"/>
            <w:vAlign w:val="center"/>
          </w:tcPr>
          <w:p w14:paraId="4B6ED167">
            <w:r>
              <w:rPr>
                <w:rStyle w:val="10"/>
                <w:rFonts w:hint="eastAsia"/>
              </w:rPr>
              <w:t>中毒急救措施：</w:t>
            </w:r>
            <w:r>
              <w:rPr>
                <w:rFonts w:hint="eastAsia"/>
              </w:rPr>
              <w:br w:type="textWrapping"/>
            </w:r>
            <w:r>
              <w:rPr>
                <w:rStyle w:val="11"/>
                <w:rFonts w:hint="eastAsia"/>
              </w:rPr>
              <w:t xml:space="preserve">中毒症状：对眼睛、皮肤或粘膜有刺激作用。急救措施：使用中或使用后如果感觉不适，应立即停止工作，采取急救措施，并携带标签送医院就诊。 1. 皮肤接触：脱去污染的衣物，用软布去除沾染农药，立即用大量清水和肥皂冲洗； 2. 眼睛接触：立即用流动的清水至少冲洗15分钟，仍有不适应立即就医； 3. 吸入：立即离开施药现场，转移到空气清新处。 4. 如误服，立即停止服用，用清水充分漱口后，立即携带标签到医院对症治疗。 </w:t>
            </w:r>
          </w:p>
        </w:tc>
      </w:tr>
      <w:tr w14:paraId="5041E667">
        <w:tblPrEx>
          <w:tblCellMar>
            <w:top w:w="0" w:type="dxa"/>
            <w:left w:w="0" w:type="dxa"/>
            <w:bottom w:w="0" w:type="dxa"/>
            <w:right w:w="0" w:type="dxa"/>
          </w:tblCellMar>
        </w:tblPrEx>
        <w:trPr>
          <w:wBefore w:w="0" w:type="auto"/>
          <w:tblCellSpacing w:w="0" w:type="dxa"/>
        </w:trPr>
        <w:tc>
          <w:tcPr>
            <w:tcW w:w="0" w:type="auto"/>
            <w:noWrap w:val="0"/>
            <w:vAlign w:val="center"/>
          </w:tcPr>
          <w:p w14:paraId="45F9CEF4">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70EFCAE2">
        <w:tblPrEx>
          <w:tblCellMar>
            <w:top w:w="0" w:type="dxa"/>
            <w:left w:w="0" w:type="dxa"/>
            <w:bottom w:w="0" w:type="dxa"/>
            <w:right w:w="0" w:type="dxa"/>
          </w:tblCellMar>
        </w:tblPrEx>
        <w:trPr>
          <w:wBefore w:w="0" w:type="auto"/>
          <w:tblCellSpacing w:w="0" w:type="dxa"/>
        </w:trPr>
        <w:tc>
          <w:tcPr>
            <w:tcW w:w="0" w:type="auto"/>
            <w:noWrap w:val="0"/>
            <w:vAlign w:val="center"/>
          </w:tcPr>
          <w:p w14:paraId="6D3E2B6E">
            <w:r>
              <w:rPr>
                <w:rStyle w:val="10"/>
                <w:rFonts w:hint="eastAsia"/>
              </w:rPr>
              <w:t>质量保证期：</w:t>
            </w:r>
            <w:r>
              <w:rPr>
                <w:rStyle w:val="11"/>
                <w:rFonts w:hint="eastAsia"/>
              </w:rPr>
              <w:t>2年</w:t>
            </w:r>
          </w:p>
        </w:tc>
      </w:tr>
      <w:tr w14:paraId="3867927B">
        <w:tblPrEx>
          <w:tblCellMar>
            <w:top w:w="0" w:type="dxa"/>
            <w:left w:w="0" w:type="dxa"/>
            <w:bottom w:w="0" w:type="dxa"/>
            <w:right w:w="0" w:type="dxa"/>
          </w:tblCellMar>
        </w:tblPrEx>
        <w:trPr>
          <w:wBefore w:w="0" w:type="auto"/>
          <w:tblCellSpacing w:w="0" w:type="dxa"/>
        </w:trPr>
        <w:tc>
          <w:tcPr>
            <w:tcW w:w="0" w:type="auto"/>
            <w:noWrap w:val="0"/>
            <w:vAlign w:val="center"/>
          </w:tcPr>
          <w:p w14:paraId="07CD9333">
            <w:r>
              <w:rPr>
                <w:rStyle w:val="10"/>
                <w:rFonts w:hint="eastAsia"/>
              </w:rPr>
              <w:t>备注：</w:t>
            </w:r>
          </w:p>
        </w:tc>
      </w:tr>
    </w:tbl>
    <w:p w14:paraId="53C204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7BF589">
        <w:tblPrEx>
          <w:tblCellMar>
            <w:top w:w="0" w:type="dxa"/>
            <w:left w:w="0" w:type="dxa"/>
            <w:bottom w:w="0" w:type="dxa"/>
            <w:right w:w="0" w:type="dxa"/>
          </w:tblCellMar>
        </w:tblPrEx>
        <w:trPr>
          <w:wBefore w:w="0" w:type="auto"/>
          <w:tblCellSpacing w:w="0" w:type="dxa"/>
        </w:trPr>
        <w:tc>
          <w:tcPr>
            <w:tcW w:w="0" w:type="auto"/>
            <w:noWrap w:val="0"/>
            <w:vAlign w:val="center"/>
          </w:tcPr>
          <w:p w14:paraId="071EFD4D">
            <w:r>
              <w:rPr>
                <w:rStyle w:val="10"/>
                <w:rFonts w:hint="eastAsia"/>
              </w:rPr>
              <w:t>登记证号：</w:t>
            </w:r>
            <w:r>
              <w:rPr>
                <w:rFonts w:hint="eastAsia"/>
              </w:rPr>
              <w:t>PD20212402</w:t>
            </w:r>
          </w:p>
        </w:tc>
      </w:tr>
      <w:tr w14:paraId="2356AEA3">
        <w:tblPrEx>
          <w:tblCellMar>
            <w:top w:w="0" w:type="dxa"/>
            <w:left w:w="0" w:type="dxa"/>
            <w:bottom w:w="0" w:type="dxa"/>
            <w:right w:w="0" w:type="dxa"/>
          </w:tblCellMar>
        </w:tblPrEx>
        <w:trPr>
          <w:wBefore w:w="0" w:type="auto"/>
          <w:tblCellSpacing w:w="0" w:type="dxa"/>
        </w:trPr>
        <w:tc>
          <w:tcPr>
            <w:tcW w:w="0" w:type="auto"/>
            <w:noWrap w:val="0"/>
            <w:vAlign w:val="center"/>
          </w:tcPr>
          <w:p w14:paraId="410E2CA2">
            <w:r>
              <w:rPr>
                <w:rStyle w:val="10"/>
                <w:rFonts w:hint="eastAsia"/>
              </w:rPr>
              <w:t>登记证持有人：</w:t>
            </w:r>
            <w:r>
              <w:rPr>
                <w:rFonts w:hint="eastAsia"/>
              </w:rPr>
              <w:t>德州绿霸精细化工有限公司</w:t>
            </w:r>
          </w:p>
        </w:tc>
      </w:tr>
      <w:tr w14:paraId="6F7CFD05">
        <w:tblPrEx>
          <w:tblCellMar>
            <w:top w:w="0" w:type="dxa"/>
            <w:left w:w="0" w:type="dxa"/>
            <w:bottom w:w="0" w:type="dxa"/>
            <w:right w:w="0" w:type="dxa"/>
          </w:tblCellMar>
        </w:tblPrEx>
        <w:trPr>
          <w:wBefore w:w="0" w:type="auto"/>
          <w:tblCellSpacing w:w="0" w:type="dxa"/>
        </w:trPr>
        <w:tc>
          <w:tcPr>
            <w:tcW w:w="0" w:type="auto"/>
            <w:noWrap w:val="0"/>
            <w:vAlign w:val="center"/>
          </w:tcPr>
          <w:p w14:paraId="21A04319">
            <w:r>
              <w:rPr>
                <w:rStyle w:val="10"/>
                <w:rFonts w:hint="eastAsia"/>
              </w:rPr>
              <w:t>农药名称：</w:t>
            </w:r>
            <w:r>
              <w:rPr>
                <w:rFonts w:hint="eastAsia"/>
              </w:rPr>
              <w:t>毒死蜱</w:t>
            </w:r>
          </w:p>
        </w:tc>
      </w:tr>
      <w:tr w14:paraId="4C5C5DFB">
        <w:tblPrEx>
          <w:tblCellMar>
            <w:top w:w="0" w:type="dxa"/>
            <w:left w:w="0" w:type="dxa"/>
            <w:bottom w:w="0" w:type="dxa"/>
            <w:right w:w="0" w:type="dxa"/>
          </w:tblCellMar>
        </w:tblPrEx>
        <w:trPr>
          <w:wBefore w:w="0" w:type="auto"/>
          <w:tblCellSpacing w:w="0" w:type="dxa"/>
        </w:trPr>
        <w:tc>
          <w:tcPr>
            <w:tcW w:w="0" w:type="auto"/>
            <w:noWrap w:val="0"/>
            <w:vAlign w:val="center"/>
          </w:tcPr>
          <w:p w14:paraId="7B524BB9">
            <w:r>
              <w:rPr>
                <w:rStyle w:val="10"/>
                <w:rFonts w:hint="eastAsia"/>
              </w:rPr>
              <w:t>剂型：</w:t>
            </w:r>
            <w:r>
              <w:rPr>
                <w:rFonts w:hint="eastAsia"/>
              </w:rPr>
              <w:t>乳油</w:t>
            </w:r>
          </w:p>
        </w:tc>
      </w:tr>
      <w:tr w14:paraId="15415906">
        <w:tblPrEx>
          <w:tblCellMar>
            <w:top w:w="0" w:type="dxa"/>
            <w:left w:w="0" w:type="dxa"/>
            <w:bottom w:w="0" w:type="dxa"/>
            <w:right w:w="0" w:type="dxa"/>
          </w:tblCellMar>
        </w:tblPrEx>
        <w:trPr>
          <w:wBefore w:w="0" w:type="auto"/>
          <w:tblCellSpacing w:w="0" w:type="dxa"/>
        </w:trPr>
        <w:tc>
          <w:tcPr>
            <w:tcW w:w="0" w:type="auto"/>
            <w:noWrap w:val="0"/>
            <w:vAlign w:val="center"/>
          </w:tcPr>
          <w:p w14:paraId="2E4DACFF">
            <w:r>
              <w:rPr>
                <w:rStyle w:val="10"/>
                <w:rFonts w:hint="eastAsia"/>
              </w:rPr>
              <w:t>毒性及其标识：</w:t>
            </w:r>
            <w:r>
              <w:rPr>
                <w:rFonts w:hint="eastAsia"/>
              </w:rPr>
              <w:t xml:space="preserve"> </w:t>
            </w:r>
            <w:r>
              <w:rPr>
                <w:lang/>
              </w:rPr>
              <w:drawing>
                <wp:inline distT="0" distB="0" distL="114300" distR="114300">
                  <wp:extent cx="476250" cy="323850"/>
                  <wp:effectExtent l="0" t="0" r="0" b="0"/>
                  <wp:docPr id="193" name="图片 193"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CF0F9C4">
        <w:tblPrEx>
          <w:tblCellMar>
            <w:top w:w="0" w:type="dxa"/>
            <w:left w:w="0" w:type="dxa"/>
            <w:bottom w:w="0" w:type="dxa"/>
            <w:right w:w="0" w:type="dxa"/>
          </w:tblCellMar>
        </w:tblPrEx>
        <w:trPr>
          <w:wBefore w:w="0" w:type="auto"/>
          <w:tblCellSpacing w:w="0" w:type="dxa"/>
        </w:trPr>
        <w:tc>
          <w:tcPr>
            <w:tcW w:w="0" w:type="auto"/>
            <w:noWrap w:val="0"/>
            <w:vAlign w:val="center"/>
          </w:tcPr>
          <w:p w14:paraId="2782A2D8">
            <w:r>
              <w:rPr>
                <w:rStyle w:val="10"/>
                <w:rFonts w:hint="eastAsia"/>
              </w:rPr>
              <w:t>总有效成分含量：</w:t>
            </w:r>
            <w:r>
              <w:rPr>
                <w:rFonts w:hint="eastAsia"/>
              </w:rPr>
              <w:t>45%</w:t>
            </w:r>
          </w:p>
        </w:tc>
      </w:tr>
      <w:tr w14:paraId="55E6AA8A">
        <w:tblPrEx>
          <w:tblCellMar>
            <w:top w:w="0" w:type="dxa"/>
            <w:left w:w="0" w:type="dxa"/>
            <w:bottom w:w="0" w:type="dxa"/>
            <w:right w:w="0" w:type="dxa"/>
          </w:tblCellMar>
        </w:tblPrEx>
        <w:trPr>
          <w:wBefore w:w="0" w:type="auto"/>
          <w:tblCellSpacing w:w="0" w:type="dxa"/>
        </w:trPr>
        <w:tc>
          <w:tcPr>
            <w:tcW w:w="0" w:type="auto"/>
            <w:noWrap w:val="0"/>
            <w:vAlign w:val="center"/>
          </w:tcPr>
          <w:p w14:paraId="5DCF86E1">
            <w:r>
              <w:rPr>
                <w:rFonts w:hint="eastAsia"/>
              </w:rPr>
              <w:t xml:space="preserve">有效成分及其含量： </w:t>
            </w:r>
          </w:p>
          <w:p w14:paraId="30AD3476">
            <w:r>
              <w:rPr>
                <w:rFonts w:hint="eastAsia"/>
              </w:rPr>
              <w:t xml:space="preserve">    毒死蜱45%    </w:t>
            </w:r>
          </w:p>
        </w:tc>
      </w:tr>
      <w:tr w14:paraId="24E50813">
        <w:tblPrEx>
          <w:tblCellMar>
            <w:top w:w="0" w:type="dxa"/>
            <w:left w:w="0" w:type="dxa"/>
            <w:bottom w:w="0" w:type="dxa"/>
            <w:right w:w="0" w:type="dxa"/>
          </w:tblCellMar>
        </w:tblPrEx>
        <w:trPr>
          <w:wBefore w:w="0" w:type="auto"/>
          <w:tblCellSpacing w:w="0" w:type="dxa"/>
        </w:trPr>
        <w:tc>
          <w:tcPr>
            <w:tcW w:w="0" w:type="auto"/>
            <w:noWrap w:val="0"/>
            <w:vAlign w:val="center"/>
          </w:tcPr>
          <w:p w14:paraId="04013D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CC04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5548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F60B3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EE164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55D8CD">
                  <w:r>
                    <w:rPr>
                      <w:rStyle w:val="11"/>
                      <w:rFonts w:hint="eastAsia"/>
                    </w:rPr>
                    <w:t>施用方式</w:t>
                  </w:r>
                </w:p>
              </w:tc>
            </w:tr>
            <w:tr w14:paraId="0B6F2F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9E9687">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EC426F">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5C37BA">
                  <w:r>
                    <w:rPr>
                      <w:rStyle w:val="11"/>
                      <w:rFonts w:hint="eastAsia"/>
                    </w:rPr>
                    <w:t>70-90毫升/亩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964922">
                  <w:r>
                    <w:rPr>
                      <w:rStyle w:val="11"/>
                      <w:rFonts w:hint="eastAsia"/>
                    </w:rPr>
                    <w:t>喷雾</w:t>
                  </w:r>
                </w:p>
              </w:tc>
            </w:tr>
          </w:tbl>
          <w:p w14:paraId="48B61BEF">
            <w:pPr>
              <w:rPr>
                <w:rFonts w:ascii="Times New Roman" w:hAnsi="Times New Roman" w:cs="Times New Roman"/>
                <w:sz w:val="20"/>
                <w:szCs w:val="20"/>
              </w:rPr>
            </w:pPr>
          </w:p>
        </w:tc>
      </w:tr>
      <w:tr w14:paraId="2BEC918B">
        <w:tblPrEx>
          <w:tblCellMar>
            <w:top w:w="0" w:type="dxa"/>
            <w:left w:w="0" w:type="dxa"/>
            <w:bottom w:w="0" w:type="dxa"/>
            <w:right w:w="0" w:type="dxa"/>
          </w:tblCellMar>
        </w:tblPrEx>
        <w:trPr>
          <w:wBefore w:w="0" w:type="auto"/>
          <w:tblCellSpacing w:w="0" w:type="dxa"/>
        </w:trPr>
        <w:tc>
          <w:tcPr>
            <w:tcW w:w="0" w:type="auto"/>
            <w:noWrap w:val="0"/>
            <w:vAlign w:val="center"/>
          </w:tcPr>
          <w:p w14:paraId="1D3E6835">
            <w:r>
              <w:rPr>
                <w:rStyle w:val="10"/>
                <w:rFonts w:hint="eastAsia"/>
              </w:rPr>
              <w:t>使用技术要求:</w:t>
            </w:r>
            <w:r>
              <w:rPr>
                <w:rFonts w:hint="eastAsia"/>
              </w:rPr>
              <w:br w:type="textWrapping"/>
            </w:r>
            <w:r>
              <w:rPr>
                <w:rStyle w:val="11"/>
                <w:rFonts w:hint="eastAsia"/>
              </w:rPr>
              <w:t>1.应于稻纵卷叶螟卵孵盛期和低龄幼虫盛发期施药。 2.毒死蜱对烟草、莴苣、瓜类等敏感，施用时注意避免药液飘移到邻近种植敏感作物田块。 3.在水稻上的安全间隔期为28天，每季作物最多用药2次。 4.施药后应设置警示标志，人畜在施药后48小时方可进入施药地点。</w:t>
            </w:r>
          </w:p>
        </w:tc>
      </w:tr>
      <w:tr w14:paraId="161FA3CD">
        <w:tblPrEx>
          <w:tblCellMar>
            <w:top w:w="0" w:type="dxa"/>
            <w:left w:w="0" w:type="dxa"/>
            <w:bottom w:w="0" w:type="dxa"/>
            <w:right w:w="0" w:type="dxa"/>
          </w:tblCellMar>
        </w:tblPrEx>
        <w:trPr>
          <w:wBefore w:w="0" w:type="auto"/>
          <w:tblCellSpacing w:w="0" w:type="dxa"/>
        </w:trPr>
        <w:tc>
          <w:tcPr>
            <w:tcW w:w="0" w:type="auto"/>
            <w:noWrap w:val="0"/>
            <w:vAlign w:val="center"/>
          </w:tcPr>
          <w:p w14:paraId="6B8EEA60">
            <w:r>
              <w:rPr>
                <w:rStyle w:val="10"/>
                <w:rFonts w:hint="eastAsia"/>
              </w:rPr>
              <w:t>产品性能:</w:t>
            </w:r>
            <w:r>
              <w:rPr>
                <w:rFonts w:hint="eastAsia"/>
              </w:rPr>
              <w:br w:type="textWrapping"/>
            </w:r>
            <w:r>
              <w:rPr>
                <w:rStyle w:val="11"/>
                <w:rFonts w:hint="eastAsia"/>
              </w:rPr>
              <w:t>本品为乙酰胆碱酯酶抑制剂，通过触杀、胃毒、熏蒸三种作用方式杀灭害虫，在土壤中的残留期较长，可持续发挥药效，对水稻稻纵卷叶螟有较好防效。</w:t>
            </w:r>
          </w:p>
        </w:tc>
      </w:tr>
      <w:tr w14:paraId="3A67214E">
        <w:tblPrEx>
          <w:tblCellMar>
            <w:top w:w="0" w:type="dxa"/>
            <w:left w:w="0" w:type="dxa"/>
            <w:bottom w:w="0" w:type="dxa"/>
            <w:right w:w="0" w:type="dxa"/>
          </w:tblCellMar>
        </w:tblPrEx>
        <w:trPr>
          <w:wBefore w:w="0" w:type="auto"/>
          <w:tblCellSpacing w:w="0" w:type="dxa"/>
        </w:trPr>
        <w:tc>
          <w:tcPr>
            <w:tcW w:w="0" w:type="auto"/>
            <w:noWrap w:val="0"/>
            <w:vAlign w:val="center"/>
          </w:tcPr>
          <w:p w14:paraId="5542F306">
            <w:r>
              <w:rPr>
                <w:rStyle w:val="10"/>
                <w:rFonts w:hint="eastAsia"/>
              </w:rPr>
              <w:t>注意事项：</w:t>
            </w:r>
            <w:r>
              <w:rPr>
                <w:rFonts w:hint="eastAsia"/>
              </w:rPr>
              <w:br w:type="textWrapping"/>
            </w:r>
            <w:r>
              <w:rPr>
                <w:rStyle w:val="11"/>
                <w:rFonts w:hint="eastAsia"/>
              </w:rPr>
              <w:t>1、本品不可与呈碱性的农药等物质混合使用。 2、使用本品时应穿戴防护用品，避免吸入药液。施药期间不可吃东西、饮水等，施药后及时洗手、洗脸。 3、远离水产养殖区、河塘等水体施药；禁止在河塘等水体中清洗施药器具。鱼或虾蟹套养稻田禁用，施药后的田水不得直接排入水体。周围开花植物花期禁用，使用时应密切关注对附近蜂群的影响。蚕室及桑园附近禁用。赤眼蜂等天敌放飞区域禁用。鸟类保护区附近禁用。 4、建议与其他不同作用机制杀虫剂交替使用，以延缓抗性产生。 5、孕妇和哺乳期妇女应避免接触本品。 6、用过的容器应妥善处理，不可做他用，也不可随意丢弃。 7、本品禁止在蔬菜上使用。</w:t>
            </w:r>
          </w:p>
        </w:tc>
      </w:tr>
      <w:tr w14:paraId="305F3D08">
        <w:tblPrEx>
          <w:tblCellMar>
            <w:top w:w="0" w:type="dxa"/>
            <w:left w:w="0" w:type="dxa"/>
            <w:bottom w:w="0" w:type="dxa"/>
            <w:right w:w="0" w:type="dxa"/>
          </w:tblCellMar>
        </w:tblPrEx>
        <w:trPr>
          <w:wBefore w:w="0" w:type="auto"/>
          <w:tblCellSpacing w:w="0" w:type="dxa"/>
        </w:trPr>
        <w:tc>
          <w:tcPr>
            <w:tcW w:w="0" w:type="auto"/>
            <w:noWrap w:val="0"/>
            <w:vAlign w:val="center"/>
          </w:tcPr>
          <w:p w14:paraId="6AC060F7">
            <w:r>
              <w:rPr>
                <w:rStyle w:val="10"/>
                <w:rFonts w:hint="eastAsia"/>
              </w:rPr>
              <w:t>中毒急救措施：</w:t>
            </w:r>
            <w:r>
              <w:rPr>
                <w:rFonts w:hint="eastAsia"/>
              </w:rPr>
              <w:br w:type="textWrapping"/>
            </w:r>
            <w:r>
              <w:rPr>
                <w:rStyle w:val="11"/>
                <w:rFonts w:hint="eastAsia"/>
              </w:rPr>
              <w:t xml:space="preserve">中毒症状：急性中毒多因误食引起，约半小时到数小时可发病，轻度中毒：全身不适，头痛、头昏、无力、视力模糊、呕吐、出汗、流涎、嗜睡等，有时有肌肉震颤，偶有腹泻。中度中毒：除上述症状外，剧烈呕吐、腹痛、烦躁不安、抽搐、呼吸困难等。重度中毒：癫痫样抽搐。 眼睛溅药：用大量清水清洗15分钟，如仍有刺激感，立即就医； 皮肤沾药：用肥皂水彻底清洗，如仍有刺激感，立即就医； 误服：立即携本标签就医，对症治疗。建议视中毒轻重用阿托品或解磷定急救。禁用吗啡、茶硷、吩噻嗪、利血平。治疗中注意预防迟发性神经毒性的发生。 </w:t>
            </w:r>
          </w:p>
        </w:tc>
      </w:tr>
      <w:tr w14:paraId="20CA90A9">
        <w:tblPrEx>
          <w:tblCellMar>
            <w:top w:w="0" w:type="dxa"/>
            <w:left w:w="0" w:type="dxa"/>
            <w:bottom w:w="0" w:type="dxa"/>
            <w:right w:w="0" w:type="dxa"/>
          </w:tblCellMar>
        </w:tblPrEx>
        <w:trPr>
          <w:wBefore w:w="0" w:type="auto"/>
          <w:tblCellSpacing w:w="0" w:type="dxa"/>
        </w:trPr>
        <w:tc>
          <w:tcPr>
            <w:tcW w:w="0" w:type="auto"/>
            <w:noWrap w:val="0"/>
            <w:vAlign w:val="center"/>
          </w:tcPr>
          <w:p w14:paraId="28C876BA">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本品应贮存在阴凉、干燥、通风、防雨处。远离火源或热源。置于儿童、无关人员触及不到之处，并加锁。勿与食品、饮料、饲料、粮食等同贮同运。运输时轻拿轻放，严禁倒置。</w:t>
            </w:r>
          </w:p>
        </w:tc>
      </w:tr>
      <w:tr w14:paraId="4B44F8B0">
        <w:tblPrEx>
          <w:tblCellMar>
            <w:top w:w="0" w:type="dxa"/>
            <w:left w:w="0" w:type="dxa"/>
            <w:bottom w:w="0" w:type="dxa"/>
            <w:right w:w="0" w:type="dxa"/>
          </w:tblCellMar>
        </w:tblPrEx>
        <w:trPr>
          <w:wBefore w:w="0" w:type="auto"/>
          <w:tblCellSpacing w:w="0" w:type="dxa"/>
        </w:trPr>
        <w:tc>
          <w:tcPr>
            <w:tcW w:w="0" w:type="auto"/>
            <w:noWrap w:val="0"/>
            <w:vAlign w:val="center"/>
          </w:tcPr>
          <w:p w14:paraId="6FD88D12">
            <w:r>
              <w:rPr>
                <w:rStyle w:val="10"/>
                <w:rFonts w:hint="eastAsia"/>
              </w:rPr>
              <w:t>质量保证期：</w:t>
            </w:r>
            <w:r>
              <w:rPr>
                <w:rStyle w:val="11"/>
                <w:rFonts w:hint="eastAsia"/>
              </w:rPr>
              <w:t>2年</w:t>
            </w:r>
          </w:p>
        </w:tc>
      </w:tr>
      <w:tr w14:paraId="426BC483">
        <w:tblPrEx>
          <w:tblCellMar>
            <w:top w:w="0" w:type="dxa"/>
            <w:left w:w="0" w:type="dxa"/>
            <w:bottom w:w="0" w:type="dxa"/>
            <w:right w:w="0" w:type="dxa"/>
          </w:tblCellMar>
        </w:tblPrEx>
        <w:trPr>
          <w:wBefore w:w="0" w:type="auto"/>
          <w:tblCellSpacing w:w="0" w:type="dxa"/>
        </w:trPr>
        <w:tc>
          <w:tcPr>
            <w:tcW w:w="0" w:type="auto"/>
            <w:noWrap w:val="0"/>
            <w:vAlign w:val="center"/>
          </w:tcPr>
          <w:p w14:paraId="164BB35B">
            <w:r>
              <w:rPr>
                <w:rStyle w:val="10"/>
                <w:rFonts w:hint="eastAsia"/>
              </w:rPr>
              <w:t>备注：</w:t>
            </w:r>
          </w:p>
        </w:tc>
      </w:tr>
    </w:tbl>
    <w:p w14:paraId="3673FCA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7FD4F2">
        <w:tblPrEx>
          <w:tblCellMar>
            <w:top w:w="0" w:type="dxa"/>
            <w:left w:w="0" w:type="dxa"/>
            <w:bottom w:w="0" w:type="dxa"/>
            <w:right w:w="0" w:type="dxa"/>
          </w:tblCellMar>
        </w:tblPrEx>
        <w:trPr>
          <w:wBefore w:w="0" w:type="auto"/>
          <w:tblCellSpacing w:w="0" w:type="dxa"/>
        </w:trPr>
        <w:tc>
          <w:tcPr>
            <w:tcW w:w="0" w:type="auto"/>
            <w:noWrap w:val="0"/>
            <w:vAlign w:val="center"/>
          </w:tcPr>
          <w:p w14:paraId="1DF68214">
            <w:r>
              <w:rPr>
                <w:rStyle w:val="10"/>
                <w:rFonts w:hint="eastAsia"/>
              </w:rPr>
              <w:t>登记证号：</w:t>
            </w:r>
            <w:r>
              <w:rPr>
                <w:rFonts w:hint="eastAsia"/>
              </w:rPr>
              <w:t>WP20210366</w:t>
            </w:r>
          </w:p>
        </w:tc>
      </w:tr>
      <w:tr w14:paraId="5386AE54">
        <w:tblPrEx>
          <w:tblCellMar>
            <w:top w:w="0" w:type="dxa"/>
            <w:left w:w="0" w:type="dxa"/>
            <w:bottom w:w="0" w:type="dxa"/>
            <w:right w:w="0" w:type="dxa"/>
          </w:tblCellMar>
        </w:tblPrEx>
        <w:trPr>
          <w:wBefore w:w="0" w:type="auto"/>
          <w:tblCellSpacing w:w="0" w:type="dxa"/>
        </w:trPr>
        <w:tc>
          <w:tcPr>
            <w:tcW w:w="0" w:type="auto"/>
            <w:noWrap w:val="0"/>
            <w:vAlign w:val="center"/>
          </w:tcPr>
          <w:p w14:paraId="351126E7">
            <w:r>
              <w:rPr>
                <w:rStyle w:val="10"/>
                <w:rFonts w:hint="eastAsia"/>
              </w:rPr>
              <w:t>登记证持有人：</w:t>
            </w:r>
            <w:r>
              <w:rPr>
                <w:rFonts w:hint="eastAsia"/>
              </w:rPr>
              <w:t>山东中新科农生物科技有限公司</w:t>
            </w:r>
          </w:p>
        </w:tc>
      </w:tr>
      <w:tr w14:paraId="65A9123F">
        <w:tblPrEx>
          <w:tblCellMar>
            <w:top w:w="0" w:type="dxa"/>
            <w:left w:w="0" w:type="dxa"/>
            <w:bottom w:w="0" w:type="dxa"/>
            <w:right w:w="0" w:type="dxa"/>
          </w:tblCellMar>
        </w:tblPrEx>
        <w:trPr>
          <w:wBefore w:w="0" w:type="auto"/>
          <w:tblCellSpacing w:w="0" w:type="dxa"/>
        </w:trPr>
        <w:tc>
          <w:tcPr>
            <w:tcW w:w="0" w:type="auto"/>
            <w:noWrap w:val="0"/>
            <w:vAlign w:val="center"/>
          </w:tcPr>
          <w:p w14:paraId="57746E0C">
            <w:r>
              <w:rPr>
                <w:rStyle w:val="10"/>
                <w:rFonts w:hint="eastAsia"/>
              </w:rPr>
              <w:t>农药名称：</w:t>
            </w:r>
            <w:r>
              <w:rPr>
                <w:rFonts w:hint="eastAsia"/>
              </w:rPr>
              <w:t>高氯氟·噻虫嗪</w:t>
            </w:r>
          </w:p>
        </w:tc>
      </w:tr>
      <w:tr w14:paraId="7981F2F1">
        <w:tblPrEx>
          <w:tblCellMar>
            <w:top w:w="0" w:type="dxa"/>
            <w:left w:w="0" w:type="dxa"/>
            <w:bottom w:w="0" w:type="dxa"/>
            <w:right w:w="0" w:type="dxa"/>
          </w:tblCellMar>
        </w:tblPrEx>
        <w:trPr>
          <w:wBefore w:w="0" w:type="auto"/>
          <w:tblCellSpacing w:w="0" w:type="dxa"/>
        </w:trPr>
        <w:tc>
          <w:tcPr>
            <w:tcW w:w="0" w:type="auto"/>
            <w:noWrap w:val="0"/>
            <w:vAlign w:val="center"/>
          </w:tcPr>
          <w:p w14:paraId="632EA213">
            <w:r>
              <w:rPr>
                <w:rStyle w:val="10"/>
                <w:rFonts w:hint="eastAsia"/>
              </w:rPr>
              <w:t>剂型：</w:t>
            </w:r>
            <w:r>
              <w:rPr>
                <w:rFonts w:hint="eastAsia"/>
              </w:rPr>
              <w:t>悬浮剂</w:t>
            </w:r>
          </w:p>
        </w:tc>
      </w:tr>
      <w:tr w14:paraId="4896285D">
        <w:tblPrEx>
          <w:tblCellMar>
            <w:top w:w="0" w:type="dxa"/>
            <w:left w:w="0" w:type="dxa"/>
            <w:bottom w:w="0" w:type="dxa"/>
            <w:right w:w="0" w:type="dxa"/>
          </w:tblCellMar>
        </w:tblPrEx>
        <w:trPr>
          <w:wBefore w:w="0" w:type="auto"/>
          <w:tblCellSpacing w:w="0" w:type="dxa"/>
        </w:trPr>
        <w:tc>
          <w:tcPr>
            <w:tcW w:w="0" w:type="auto"/>
            <w:noWrap w:val="0"/>
            <w:vAlign w:val="center"/>
          </w:tcPr>
          <w:p w14:paraId="399DB094">
            <w:r>
              <w:rPr>
                <w:rStyle w:val="10"/>
                <w:rFonts w:hint="eastAsia"/>
              </w:rPr>
              <w:t>毒性及其标识：</w:t>
            </w:r>
            <w:r>
              <w:rPr>
                <w:rFonts w:hint="eastAsia"/>
              </w:rPr>
              <w:t xml:space="preserve"> </w:t>
            </w:r>
            <w:r>
              <w:rPr>
                <w:lang/>
              </w:rPr>
              <w:drawing>
                <wp:inline distT="0" distB="0" distL="114300" distR="114300">
                  <wp:extent cx="476250" cy="323850"/>
                  <wp:effectExtent l="0" t="0" r="0" b="0"/>
                  <wp:docPr id="194" name="图片 1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1818E2">
        <w:tblPrEx>
          <w:tblCellMar>
            <w:top w:w="0" w:type="dxa"/>
            <w:left w:w="0" w:type="dxa"/>
            <w:bottom w:w="0" w:type="dxa"/>
            <w:right w:w="0" w:type="dxa"/>
          </w:tblCellMar>
        </w:tblPrEx>
        <w:trPr>
          <w:wBefore w:w="0" w:type="auto"/>
          <w:tblCellSpacing w:w="0" w:type="dxa"/>
        </w:trPr>
        <w:tc>
          <w:tcPr>
            <w:tcW w:w="0" w:type="auto"/>
            <w:noWrap w:val="0"/>
            <w:vAlign w:val="center"/>
          </w:tcPr>
          <w:p w14:paraId="2A190CE3">
            <w:r>
              <w:rPr>
                <w:rStyle w:val="10"/>
                <w:rFonts w:hint="eastAsia"/>
              </w:rPr>
              <w:t>总有效成分含量：</w:t>
            </w:r>
            <w:r>
              <w:rPr>
                <w:rFonts w:hint="eastAsia"/>
              </w:rPr>
              <w:t>12%</w:t>
            </w:r>
          </w:p>
        </w:tc>
      </w:tr>
      <w:tr w14:paraId="4D954CB8">
        <w:tblPrEx>
          <w:tblCellMar>
            <w:top w:w="0" w:type="dxa"/>
            <w:left w:w="0" w:type="dxa"/>
            <w:bottom w:w="0" w:type="dxa"/>
            <w:right w:w="0" w:type="dxa"/>
          </w:tblCellMar>
        </w:tblPrEx>
        <w:trPr>
          <w:wBefore w:w="0" w:type="auto"/>
          <w:tblCellSpacing w:w="0" w:type="dxa"/>
        </w:trPr>
        <w:tc>
          <w:tcPr>
            <w:tcW w:w="0" w:type="auto"/>
            <w:noWrap w:val="0"/>
            <w:vAlign w:val="center"/>
          </w:tcPr>
          <w:p w14:paraId="044F02B2">
            <w:r>
              <w:rPr>
                <w:rFonts w:hint="eastAsia"/>
              </w:rPr>
              <w:t xml:space="preserve">有效成分及其含量： </w:t>
            </w:r>
          </w:p>
          <w:p w14:paraId="1804CB2B">
            <w:r>
              <w:rPr>
                <w:rFonts w:hint="eastAsia"/>
              </w:rPr>
              <w:t xml:space="preserve">    高效氯氟氰菊酯3.2%    噻虫嗪8.8%    </w:t>
            </w:r>
          </w:p>
        </w:tc>
      </w:tr>
      <w:tr w14:paraId="3F5CE750">
        <w:tblPrEx>
          <w:tblCellMar>
            <w:top w:w="0" w:type="dxa"/>
            <w:left w:w="0" w:type="dxa"/>
            <w:bottom w:w="0" w:type="dxa"/>
            <w:right w:w="0" w:type="dxa"/>
          </w:tblCellMar>
        </w:tblPrEx>
        <w:trPr>
          <w:wBefore w:w="0" w:type="auto"/>
          <w:tblCellSpacing w:w="0" w:type="dxa"/>
        </w:trPr>
        <w:tc>
          <w:tcPr>
            <w:tcW w:w="0" w:type="auto"/>
            <w:noWrap w:val="0"/>
            <w:vAlign w:val="center"/>
          </w:tcPr>
          <w:p w14:paraId="05B75F8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D452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1C7E3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67D5F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7D58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5169B5">
                  <w:r>
                    <w:rPr>
                      <w:rStyle w:val="11"/>
                      <w:rFonts w:hint="eastAsia"/>
                    </w:rPr>
                    <w:t>施用方式</w:t>
                  </w:r>
                </w:p>
              </w:tc>
            </w:tr>
            <w:tr w14:paraId="7B66DE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8C42EB">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14C6EB">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D9E4C6">
                  <w:r>
                    <w:rPr>
                      <w:rStyle w:val="11"/>
                      <w:rFonts w:hint="eastAsia"/>
                    </w:rPr>
                    <w:t>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1CD6F2">
                  <w:r>
                    <w:rPr>
                      <w:rStyle w:val="11"/>
                      <w:rFonts w:hint="eastAsia"/>
                    </w:rPr>
                    <w:t>喷洒</w:t>
                  </w:r>
                </w:p>
              </w:tc>
            </w:tr>
          </w:tbl>
          <w:p w14:paraId="4D524B9F">
            <w:pPr>
              <w:rPr>
                <w:rFonts w:ascii="Times New Roman" w:hAnsi="Times New Roman" w:cs="Times New Roman"/>
                <w:sz w:val="20"/>
                <w:szCs w:val="20"/>
              </w:rPr>
            </w:pPr>
          </w:p>
        </w:tc>
      </w:tr>
      <w:tr w14:paraId="36071A8F">
        <w:tblPrEx>
          <w:tblCellMar>
            <w:top w:w="0" w:type="dxa"/>
            <w:left w:w="0" w:type="dxa"/>
            <w:bottom w:w="0" w:type="dxa"/>
            <w:right w:w="0" w:type="dxa"/>
          </w:tblCellMar>
        </w:tblPrEx>
        <w:trPr>
          <w:wBefore w:w="0" w:type="auto"/>
          <w:tblCellSpacing w:w="0" w:type="dxa"/>
        </w:trPr>
        <w:tc>
          <w:tcPr>
            <w:tcW w:w="0" w:type="auto"/>
            <w:noWrap w:val="0"/>
            <w:vAlign w:val="center"/>
          </w:tcPr>
          <w:p w14:paraId="6A4BF587">
            <w:r>
              <w:rPr>
                <w:rStyle w:val="10"/>
                <w:rFonts w:hint="eastAsia"/>
              </w:rPr>
              <w:t>使用技术要求:</w:t>
            </w:r>
            <w:r>
              <w:rPr>
                <w:rFonts w:hint="eastAsia"/>
              </w:rPr>
              <w:br w:type="textWrapping"/>
            </w:r>
            <w:r>
              <w:rPr>
                <w:rStyle w:val="11"/>
                <w:rFonts w:hint="eastAsia"/>
              </w:rPr>
              <w:t>本品用于室外防治蝇（幼虫），按推荐剂量，兑水稀释后，进行喷洒。</w:t>
            </w:r>
          </w:p>
        </w:tc>
      </w:tr>
      <w:tr w14:paraId="2156044F">
        <w:tblPrEx>
          <w:tblCellMar>
            <w:top w:w="0" w:type="dxa"/>
            <w:left w:w="0" w:type="dxa"/>
            <w:bottom w:w="0" w:type="dxa"/>
            <w:right w:w="0" w:type="dxa"/>
          </w:tblCellMar>
        </w:tblPrEx>
        <w:trPr>
          <w:wBefore w:w="0" w:type="auto"/>
          <w:tblCellSpacing w:w="0" w:type="dxa"/>
        </w:trPr>
        <w:tc>
          <w:tcPr>
            <w:tcW w:w="0" w:type="auto"/>
            <w:noWrap w:val="0"/>
            <w:vAlign w:val="center"/>
          </w:tcPr>
          <w:p w14:paraId="2BC23279">
            <w:r>
              <w:rPr>
                <w:rStyle w:val="10"/>
                <w:rFonts w:hint="eastAsia"/>
              </w:rPr>
              <w:t>产品性能:</w:t>
            </w:r>
            <w:r>
              <w:rPr>
                <w:rFonts w:hint="eastAsia"/>
              </w:rPr>
              <w:br w:type="textWrapping"/>
            </w:r>
            <w:r>
              <w:rPr>
                <w:rStyle w:val="11"/>
                <w:rFonts w:hint="eastAsia"/>
              </w:rPr>
              <w:t>高效氯氟氰菊酯是拟除虫菊酯类杀虫剂，具有触杀和胃毒作用。噻虫嗪是具有内吸作用的第二代新烟碱类杀虫剂，具胃毒和触杀活性。室外滞留喷洒使用该产品，能有效防治蝇（幼虫）。</w:t>
            </w:r>
          </w:p>
        </w:tc>
      </w:tr>
      <w:tr w14:paraId="0EB9B7F1">
        <w:tblPrEx>
          <w:tblCellMar>
            <w:top w:w="0" w:type="dxa"/>
            <w:left w:w="0" w:type="dxa"/>
            <w:bottom w:w="0" w:type="dxa"/>
            <w:right w:w="0" w:type="dxa"/>
          </w:tblCellMar>
        </w:tblPrEx>
        <w:trPr>
          <w:wBefore w:w="0" w:type="auto"/>
          <w:tblCellSpacing w:w="0" w:type="dxa"/>
        </w:trPr>
        <w:tc>
          <w:tcPr>
            <w:tcW w:w="0" w:type="auto"/>
            <w:noWrap w:val="0"/>
            <w:vAlign w:val="center"/>
          </w:tcPr>
          <w:p w14:paraId="1BB992F6">
            <w:r>
              <w:rPr>
                <w:rStyle w:val="10"/>
                <w:rFonts w:hint="eastAsia"/>
              </w:rPr>
              <w:t>注意事项：</w:t>
            </w:r>
            <w:r>
              <w:rPr>
                <w:rFonts w:hint="eastAsia"/>
              </w:rPr>
              <w:br w:type="textWrapping"/>
            </w:r>
            <w:r>
              <w:rPr>
                <w:rStyle w:val="11"/>
                <w:rFonts w:hint="eastAsia"/>
              </w:rPr>
              <w:t>1. 本品仅限专业人员使用。对人、畜有毒。请按照农药安全使用准则使用本品。避免药液接触皮肤、眼睛和污染衣物，避免吸入雾滴。切勿在施药现场抽烟或饮食。在饮水、进食和抽烟前，应先洗手、洗脸。 2.使用时穿戴长衣、长裤、帽子、口罩、手套等安全防护措施。 3.施药时，应戴可以覆盖口、鼻及面部的面罩，戴丁腈橡胶手套、穿长袖衣、长裤和防水靴。 4.施药后，彻底清洗防护用具后再脱掉防护用品。洗澡并更换和清洗工作服，工作服应同其他衣物分开清洗。 5.应依照当地法律法规妥善处理农药空包装。使用过的铝箔袋空包装，请直接带离田间，安全保存，并交有资质的部门统一高温焚烧处理；其他类型的空包装，请用清水冲洗三次后，带离田间，妥善处理；切勿重复使用或改作其它用途。所有施药器具，用后应立即用清水或适当的洗涤剂清洗。所有施药器具，用后应立即用清水或适当的洗涤剂清洗，清洗后的废水不能排入河塘等水源内，以免污染水源。 6.本品对鱼等水生动物、蜜蜂、蚕有毒，用药时应避免接触这些生物。蚕室内、桑园附近禁用。开花植物花期禁用，避免对周围蜂群产生影响。赤眼蜂等天敌放飞区禁用。鸟类保护区附近禁用。施药期间远离水产养殖区，禁止在河塘等水域清洗施药器具、防护用品等。本品不得直接用于水体。 7.药液未干时切勿让儿童和宠物等接触。 8.不要与碱性物质混用。切勿在人体、食物上使用，将本品置于儿童接触不到的地方。 9.过敏者禁用；使用中有任何不良反应请及时就医。 10.孕妇和哺乳期妇女应避免接触本品。</w:t>
            </w:r>
          </w:p>
        </w:tc>
      </w:tr>
      <w:tr w14:paraId="428219D2">
        <w:tblPrEx>
          <w:tblCellMar>
            <w:top w:w="0" w:type="dxa"/>
            <w:left w:w="0" w:type="dxa"/>
            <w:bottom w:w="0" w:type="dxa"/>
            <w:right w:w="0" w:type="dxa"/>
          </w:tblCellMar>
        </w:tblPrEx>
        <w:trPr>
          <w:wBefore w:w="0" w:type="auto"/>
          <w:tblCellSpacing w:w="0" w:type="dxa"/>
        </w:trPr>
        <w:tc>
          <w:tcPr>
            <w:tcW w:w="0" w:type="auto"/>
            <w:noWrap w:val="0"/>
            <w:vAlign w:val="center"/>
          </w:tcPr>
          <w:p w14:paraId="0D6B298A">
            <w:r>
              <w:rPr>
                <w:rStyle w:val="10"/>
                <w:rFonts w:hint="eastAsia"/>
              </w:rPr>
              <w:t>中毒急救措施：</w:t>
            </w:r>
            <w:r>
              <w:rPr>
                <w:rFonts w:hint="eastAsia"/>
              </w:rPr>
              <w:br w:type="textWrapping"/>
            </w:r>
            <w:r>
              <w:rPr>
                <w:rStyle w:val="11"/>
                <w:rFonts w:hint="eastAsia"/>
              </w:rPr>
              <w:t>对眼睛有刺激性，使用时避免接触眼睛。中毒症状：按标签推荐方法使用，无中毒症状。不恰当的操作可能会引起皮肤，特别是面部皮肤感觉异常（痒，刺痛，发热，麻木等）。 中毒急救： 1. 用药时如果感觉不适，立即停止工作，采取急救措施，并立即携此标签送医就诊。 2. 皮肤接触：立即脱掉被污染的衣物，用肥皂和大量清水彻底清洗受污染的皮肤，并请医生诊治。皮肤的不舒适感是拟除虫菊酯类农药引起的皮肤感觉异常（SFS），一般不需要治疗，无有效的治疗方法，这种皮肤敏感并不是一种中毒症状，症状一般在24-72小时内自愈。 3. 眼睛溅药：立即将眼睑翻开，用清水冲洗至少15分钟，再请医生诊治。 4. 发生吸入：立即将吸入者转移到空气新鲜处，注意保暖和休息，请医生诊治。 5. 误服：请勿引吐，立即携带标签，送医就诊。紧急医疗措施（需专业医务人员操作）：使用医用活性炭洗胃，洗胃时应防止胃洗出物进入呼吸道。注意：对昏迷病人，切勿经口喂入任何东西或引吐。 解毒剂：无专用解毒剂，对症治疗。</w:t>
            </w:r>
          </w:p>
        </w:tc>
      </w:tr>
      <w:tr w14:paraId="242F7B4A">
        <w:tblPrEx>
          <w:tblCellMar>
            <w:top w:w="0" w:type="dxa"/>
            <w:left w:w="0" w:type="dxa"/>
            <w:bottom w:w="0" w:type="dxa"/>
            <w:right w:w="0" w:type="dxa"/>
          </w:tblCellMar>
        </w:tblPrEx>
        <w:trPr>
          <w:wBefore w:w="0" w:type="auto"/>
          <w:tblCellSpacing w:w="0" w:type="dxa"/>
        </w:trPr>
        <w:tc>
          <w:tcPr>
            <w:tcW w:w="0" w:type="auto"/>
            <w:noWrap w:val="0"/>
            <w:vAlign w:val="center"/>
          </w:tcPr>
          <w:p w14:paraId="0433C1A3">
            <w:r>
              <w:rPr>
                <w:rStyle w:val="10"/>
                <w:rFonts w:hint="eastAsia"/>
              </w:rPr>
              <w:t>储存和运输方法：</w:t>
            </w:r>
            <w:r>
              <w:rPr>
                <w:rFonts w:hint="eastAsia"/>
              </w:rPr>
              <w:br w:type="textWrapping"/>
            </w:r>
            <w:r>
              <w:rPr>
                <w:rStyle w:val="11"/>
                <w:rFonts w:hint="eastAsia"/>
              </w:rPr>
              <w:t>1. 本品应加锁保存，置于儿童、无关人员和动物接触不到的地方。勿与食物、饮料、种子、粮食和动物饲料在一起存放或运输。 2. 本品应贮藏在避光、干燥、通风处。运输时应注意避光、防高温、雨淋。</w:t>
            </w:r>
          </w:p>
        </w:tc>
      </w:tr>
      <w:tr w14:paraId="7FECA34B">
        <w:tblPrEx>
          <w:tblCellMar>
            <w:top w:w="0" w:type="dxa"/>
            <w:left w:w="0" w:type="dxa"/>
            <w:bottom w:w="0" w:type="dxa"/>
            <w:right w:w="0" w:type="dxa"/>
          </w:tblCellMar>
        </w:tblPrEx>
        <w:trPr>
          <w:wBefore w:w="0" w:type="auto"/>
          <w:tblCellSpacing w:w="0" w:type="dxa"/>
        </w:trPr>
        <w:tc>
          <w:tcPr>
            <w:tcW w:w="0" w:type="auto"/>
            <w:noWrap w:val="0"/>
            <w:vAlign w:val="center"/>
          </w:tcPr>
          <w:p w14:paraId="4A5B6477">
            <w:r>
              <w:rPr>
                <w:rStyle w:val="10"/>
                <w:rFonts w:hint="eastAsia"/>
              </w:rPr>
              <w:t>质量保证期：</w:t>
            </w:r>
            <w:r>
              <w:rPr>
                <w:rStyle w:val="11"/>
                <w:rFonts w:hint="eastAsia"/>
              </w:rPr>
              <w:t>2年</w:t>
            </w:r>
          </w:p>
        </w:tc>
      </w:tr>
      <w:tr w14:paraId="7347D6B6">
        <w:tblPrEx>
          <w:tblCellMar>
            <w:top w:w="0" w:type="dxa"/>
            <w:left w:w="0" w:type="dxa"/>
            <w:bottom w:w="0" w:type="dxa"/>
            <w:right w:w="0" w:type="dxa"/>
          </w:tblCellMar>
        </w:tblPrEx>
        <w:trPr>
          <w:wBefore w:w="0" w:type="auto"/>
          <w:tblCellSpacing w:w="0" w:type="dxa"/>
        </w:trPr>
        <w:tc>
          <w:tcPr>
            <w:tcW w:w="0" w:type="auto"/>
            <w:noWrap w:val="0"/>
            <w:vAlign w:val="center"/>
          </w:tcPr>
          <w:p w14:paraId="06AA0CD2">
            <w:r>
              <w:rPr>
                <w:rStyle w:val="10"/>
                <w:rFonts w:hint="eastAsia"/>
              </w:rPr>
              <w:t>备注：</w:t>
            </w:r>
          </w:p>
        </w:tc>
      </w:tr>
    </w:tbl>
    <w:p w14:paraId="6D783A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6F61E1">
        <w:tblPrEx>
          <w:tblCellMar>
            <w:top w:w="0" w:type="dxa"/>
            <w:left w:w="0" w:type="dxa"/>
            <w:bottom w:w="0" w:type="dxa"/>
            <w:right w:w="0" w:type="dxa"/>
          </w:tblCellMar>
        </w:tblPrEx>
        <w:trPr>
          <w:wBefore w:w="0" w:type="auto"/>
          <w:tblCellSpacing w:w="0" w:type="dxa"/>
        </w:trPr>
        <w:tc>
          <w:tcPr>
            <w:tcW w:w="0" w:type="auto"/>
            <w:noWrap w:val="0"/>
            <w:vAlign w:val="center"/>
          </w:tcPr>
          <w:p w14:paraId="764733CA">
            <w:r>
              <w:rPr>
                <w:rStyle w:val="10"/>
                <w:rFonts w:hint="eastAsia"/>
              </w:rPr>
              <w:t>登记证号：</w:t>
            </w:r>
            <w:r>
              <w:rPr>
                <w:rFonts w:hint="eastAsia"/>
              </w:rPr>
              <w:t>PD20212380</w:t>
            </w:r>
          </w:p>
        </w:tc>
      </w:tr>
      <w:tr w14:paraId="43205FE5">
        <w:tblPrEx>
          <w:tblCellMar>
            <w:top w:w="0" w:type="dxa"/>
            <w:left w:w="0" w:type="dxa"/>
            <w:bottom w:w="0" w:type="dxa"/>
            <w:right w:w="0" w:type="dxa"/>
          </w:tblCellMar>
        </w:tblPrEx>
        <w:trPr>
          <w:wBefore w:w="0" w:type="auto"/>
          <w:tblCellSpacing w:w="0" w:type="dxa"/>
        </w:trPr>
        <w:tc>
          <w:tcPr>
            <w:tcW w:w="0" w:type="auto"/>
            <w:noWrap w:val="0"/>
            <w:vAlign w:val="center"/>
          </w:tcPr>
          <w:p w14:paraId="775BFDD4">
            <w:r>
              <w:rPr>
                <w:rStyle w:val="10"/>
                <w:rFonts w:hint="eastAsia"/>
              </w:rPr>
              <w:t>登记证持有人：</w:t>
            </w:r>
            <w:r>
              <w:rPr>
                <w:rFonts w:hint="eastAsia"/>
              </w:rPr>
              <w:t>中诚国联（河南）生物科技有限公司</w:t>
            </w:r>
          </w:p>
        </w:tc>
      </w:tr>
      <w:tr w14:paraId="2C428E71">
        <w:tblPrEx>
          <w:tblCellMar>
            <w:top w:w="0" w:type="dxa"/>
            <w:left w:w="0" w:type="dxa"/>
            <w:bottom w:w="0" w:type="dxa"/>
            <w:right w:w="0" w:type="dxa"/>
          </w:tblCellMar>
        </w:tblPrEx>
        <w:trPr>
          <w:wBefore w:w="0" w:type="auto"/>
          <w:tblCellSpacing w:w="0" w:type="dxa"/>
        </w:trPr>
        <w:tc>
          <w:tcPr>
            <w:tcW w:w="0" w:type="auto"/>
            <w:noWrap w:val="0"/>
            <w:vAlign w:val="center"/>
          </w:tcPr>
          <w:p w14:paraId="603FD8BB">
            <w:r>
              <w:rPr>
                <w:rStyle w:val="10"/>
                <w:rFonts w:hint="eastAsia"/>
              </w:rPr>
              <w:t>农药名称：</w:t>
            </w:r>
            <w:r>
              <w:rPr>
                <w:rFonts w:hint="eastAsia"/>
              </w:rPr>
              <w:t>氯虫苯·氯氟氰</w:t>
            </w:r>
          </w:p>
        </w:tc>
      </w:tr>
      <w:tr w14:paraId="2AC5ECD9">
        <w:tblPrEx>
          <w:tblCellMar>
            <w:top w:w="0" w:type="dxa"/>
            <w:left w:w="0" w:type="dxa"/>
            <w:bottom w:w="0" w:type="dxa"/>
            <w:right w:w="0" w:type="dxa"/>
          </w:tblCellMar>
        </w:tblPrEx>
        <w:trPr>
          <w:wBefore w:w="0" w:type="auto"/>
          <w:tblCellSpacing w:w="0" w:type="dxa"/>
        </w:trPr>
        <w:tc>
          <w:tcPr>
            <w:tcW w:w="0" w:type="auto"/>
            <w:noWrap w:val="0"/>
            <w:vAlign w:val="center"/>
          </w:tcPr>
          <w:p w14:paraId="09AC1177">
            <w:r>
              <w:rPr>
                <w:rStyle w:val="10"/>
                <w:rFonts w:hint="eastAsia"/>
              </w:rPr>
              <w:t>剂型：</w:t>
            </w:r>
            <w:r>
              <w:rPr>
                <w:rFonts w:hint="eastAsia"/>
              </w:rPr>
              <w:t>颗粒剂</w:t>
            </w:r>
          </w:p>
        </w:tc>
      </w:tr>
      <w:tr w14:paraId="7A118F68">
        <w:tblPrEx>
          <w:tblCellMar>
            <w:top w:w="0" w:type="dxa"/>
            <w:left w:w="0" w:type="dxa"/>
            <w:bottom w:w="0" w:type="dxa"/>
            <w:right w:w="0" w:type="dxa"/>
          </w:tblCellMar>
        </w:tblPrEx>
        <w:trPr>
          <w:wBefore w:w="0" w:type="auto"/>
          <w:tblCellSpacing w:w="0" w:type="dxa"/>
        </w:trPr>
        <w:tc>
          <w:tcPr>
            <w:tcW w:w="0" w:type="auto"/>
            <w:noWrap w:val="0"/>
            <w:vAlign w:val="center"/>
          </w:tcPr>
          <w:p w14:paraId="20EB1167">
            <w:r>
              <w:rPr>
                <w:rStyle w:val="10"/>
                <w:rFonts w:hint="eastAsia"/>
              </w:rPr>
              <w:t>毒性及其标识：</w:t>
            </w:r>
            <w:r>
              <w:rPr>
                <w:rFonts w:hint="eastAsia"/>
              </w:rPr>
              <w:t xml:space="preserve"> </w:t>
            </w:r>
            <w:r>
              <w:rPr>
                <w:lang/>
              </w:rPr>
              <w:drawing>
                <wp:inline distT="0" distB="0" distL="114300" distR="114300">
                  <wp:extent cx="476250" cy="323850"/>
                  <wp:effectExtent l="0" t="0" r="0" b="0"/>
                  <wp:docPr id="195" name="图片 1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4AA701">
        <w:tblPrEx>
          <w:tblCellMar>
            <w:top w:w="0" w:type="dxa"/>
            <w:left w:w="0" w:type="dxa"/>
            <w:bottom w:w="0" w:type="dxa"/>
            <w:right w:w="0" w:type="dxa"/>
          </w:tblCellMar>
        </w:tblPrEx>
        <w:trPr>
          <w:wBefore w:w="0" w:type="auto"/>
          <w:tblCellSpacing w:w="0" w:type="dxa"/>
        </w:trPr>
        <w:tc>
          <w:tcPr>
            <w:tcW w:w="0" w:type="auto"/>
            <w:noWrap w:val="0"/>
            <w:vAlign w:val="center"/>
          </w:tcPr>
          <w:p w14:paraId="4E9084BF">
            <w:r>
              <w:rPr>
                <w:rStyle w:val="10"/>
                <w:rFonts w:hint="eastAsia"/>
              </w:rPr>
              <w:t>总有效成分含量：</w:t>
            </w:r>
            <w:r>
              <w:rPr>
                <w:rFonts w:hint="eastAsia"/>
              </w:rPr>
              <w:t>1%</w:t>
            </w:r>
          </w:p>
        </w:tc>
      </w:tr>
      <w:tr w14:paraId="01FBCAAE">
        <w:tblPrEx>
          <w:tblCellMar>
            <w:top w:w="0" w:type="dxa"/>
            <w:left w:w="0" w:type="dxa"/>
            <w:bottom w:w="0" w:type="dxa"/>
            <w:right w:w="0" w:type="dxa"/>
          </w:tblCellMar>
        </w:tblPrEx>
        <w:trPr>
          <w:wBefore w:w="0" w:type="auto"/>
          <w:tblCellSpacing w:w="0" w:type="dxa"/>
        </w:trPr>
        <w:tc>
          <w:tcPr>
            <w:tcW w:w="0" w:type="auto"/>
            <w:noWrap w:val="0"/>
            <w:vAlign w:val="center"/>
          </w:tcPr>
          <w:p w14:paraId="1E6D84FD">
            <w:r>
              <w:rPr>
                <w:rFonts w:hint="eastAsia"/>
              </w:rPr>
              <w:t xml:space="preserve">有效成分及其含量： </w:t>
            </w:r>
          </w:p>
          <w:p w14:paraId="5B451E73">
            <w:r>
              <w:rPr>
                <w:rFonts w:hint="eastAsia"/>
              </w:rPr>
              <w:t xml:space="preserve">    氟氯氰菊酯0.5%    氯虫苯甲酰胺0.5%    </w:t>
            </w:r>
          </w:p>
        </w:tc>
      </w:tr>
      <w:tr w14:paraId="3C10FE3D">
        <w:tblPrEx>
          <w:tblCellMar>
            <w:top w:w="0" w:type="dxa"/>
            <w:left w:w="0" w:type="dxa"/>
            <w:bottom w:w="0" w:type="dxa"/>
            <w:right w:w="0" w:type="dxa"/>
          </w:tblCellMar>
        </w:tblPrEx>
        <w:trPr>
          <w:wBefore w:w="0" w:type="auto"/>
          <w:tblCellSpacing w:w="0" w:type="dxa"/>
        </w:trPr>
        <w:tc>
          <w:tcPr>
            <w:tcW w:w="0" w:type="auto"/>
            <w:noWrap w:val="0"/>
            <w:vAlign w:val="center"/>
          </w:tcPr>
          <w:p w14:paraId="047774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859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44048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D369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96BF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433BBC">
                  <w:r>
                    <w:rPr>
                      <w:rStyle w:val="11"/>
                      <w:rFonts w:hint="eastAsia"/>
                    </w:rPr>
                    <w:t>施用方式</w:t>
                  </w:r>
                </w:p>
              </w:tc>
            </w:tr>
            <w:tr w14:paraId="72E414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F788F6">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D8FC47">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224633">
                  <w:r>
                    <w:rPr>
                      <w:rStyle w:val="11"/>
                      <w:rFonts w:hint="eastAsia"/>
                    </w:rPr>
                    <w:t>1000-2000克/亩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F63254">
                  <w:r>
                    <w:rPr>
                      <w:rStyle w:val="11"/>
                      <w:rFonts w:hint="eastAsia"/>
                    </w:rPr>
                    <w:t>沟施</w:t>
                  </w:r>
                </w:p>
              </w:tc>
            </w:tr>
          </w:tbl>
          <w:p w14:paraId="2D8F5943">
            <w:pPr>
              <w:rPr>
                <w:rFonts w:ascii="Times New Roman" w:hAnsi="Times New Roman" w:cs="Times New Roman"/>
                <w:sz w:val="20"/>
                <w:szCs w:val="20"/>
              </w:rPr>
            </w:pPr>
          </w:p>
        </w:tc>
      </w:tr>
      <w:tr w14:paraId="075DB500">
        <w:tblPrEx>
          <w:tblCellMar>
            <w:top w:w="0" w:type="dxa"/>
            <w:left w:w="0" w:type="dxa"/>
            <w:bottom w:w="0" w:type="dxa"/>
            <w:right w:w="0" w:type="dxa"/>
          </w:tblCellMar>
        </w:tblPrEx>
        <w:trPr>
          <w:wBefore w:w="0" w:type="auto"/>
          <w:tblCellSpacing w:w="0" w:type="dxa"/>
        </w:trPr>
        <w:tc>
          <w:tcPr>
            <w:tcW w:w="0" w:type="auto"/>
            <w:noWrap w:val="0"/>
            <w:vAlign w:val="center"/>
          </w:tcPr>
          <w:p w14:paraId="6996BF4D">
            <w:r>
              <w:rPr>
                <w:rStyle w:val="10"/>
                <w:rFonts w:hint="eastAsia"/>
              </w:rPr>
              <w:t>使用技术要求:</w:t>
            </w:r>
            <w:r>
              <w:rPr>
                <w:rFonts w:hint="eastAsia"/>
              </w:rPr>
              <w:br w:type="textWrapping"/>
            </w:r>
            <w:r>
              <w:rPr>
                <w:rStyle w:val="11"/>
                <w:rFonts w:hint="eastAsia"/>
              </w:rPr>
              <w:t>1.本品于马铃薯播种或移栽前沟施。2.在马铃薯上每季作物最多使用1次。 3.大风天或预计1小时内有雨，请勿施药。</w:t>
            </w:r>
          </w:p>
        </w:tc>
      </w:tr>
      <w:tr w14:paraId="31091020">
        <w:tblPrEx>
          <w:tblCellMar>
            <w:top w:w="0" w:type="dxa"/>
            <w:left w:w="0" w:type="dxa"/>
            <w:bottom w:w="0" w:type="dxa"/>
            <w:right w:w="0" w:type="dxa"/>
          </w:tblCellMar>
        </w:tblPrEx>
        <w:trPr>
          <w:wBefore w:w="0" w:type="auto"/>
          <w:tblCellSpacing w:w="0" w:type="dxa"/>
        </w:trPr>
        <w:tc>
          <w:tcPr>
            <w:tcW w:w="0" w:type="auto"/>
            <w:noWrap w:val="0"/>
            <w:vAlign w:val="center"/>
          </w:tcPr>
          <w:p w14:paraId="0861D125">
            <w:r>
              <w:rPr>
                <w:rStyle w:val="10"/>
                <w:rFonts w:hint="eastAsia"/>
              </w:rPr>
              <w:t>产品性能:</w:t>
            </w:r>
            <w:r>
              <w:rPr>
                <w:rFonts w:hint="eastAsia"/>
              </w:rPr>
              <w:br w:type="textWrapping"/>
            </w:r>
            <w:r>
              <w:rPr>
                <w:rStyle w:val="11"/>
                <w:rFonts w:hint="eastAsia"/>
              </w:rPr>
              <w:t xml:space="preserve">本品是由两种不同作用机理的有效成分氯虫苯甲酰胺和氟氯氰菊酯复配而成的杀虫颗粒剂，二者混用具有内吸、触杀和胃毒作用，可有效防治马铃薯蛴螬。 </w:t>
            </w:r>
          </w:p>
        </w:tc>
      </w:tr>
      <w:tr w14:paraId="166A897A">
        <w:tblPrEx>
          <w:tblCellMar>
            <w:top w:w="0" w:type="dxa"/>
            <w:left w:w="0" w:type="dxa"/>
            <w:bottom w:w="0" w:type="dxa"/>
            <w:right w:w="0" w:type="dxa"/>
          </w:tblCellMar>
        </w:tblPrEx>
        <w:trPr>
          <w:wBefore w:w="0" w:type="auto"/>
          <w:tblCellSpacing w:w="0" w:type="dxa"/>
        </w:trPr>
        <w:tc>
          <w:tcPr>
            <w:tcW w:w="0" w:type="auto"/>
            <w:noWrap w:val="0"/>
            <w:vAlign w:val="center"/>
          </w:tcPr>
          <w:p w14:paraId="5015E042">
            <w:r>
              <w:rPr>
                <w:rStyle w:val="10"/>
                <w:rFonts w:hint="eastAsia"/>
              </w:rPr>
              <w:t>注意事项：</w:t>
            </w:r>
            <w:r>
              <w:rPr>
                <w:rFonts w:hint="eastAsia"/>
              </w:rPr>
              <w:br w:type="textWrapping"/>
            </w:r>
            <w:r>
              <w:rPr>
                <w:rStyle w:val="11"/>
                <w:rFonts w:hint="eastAsia"/>
              </w:rPr>
              <w:t>1.建议与其他不同作用机制的杀菌剂轮换使用，以延缓抗性产生。2.操作人员需提前做好保护措施，长衣、长裤、鞋、帽子、口罩和手套，严禁抽烟或饮食；施药后应用肥皂和清水彻底清洗暴露在外的皮肤，并及时更换衣物。3.禁止在河塘等水体中清洗施药器具；鸟类保护区附近禁用，施药后立即覆土。</w:t>
            </w:r>
            <w:r>
              <w:rPr>
                <w:rStyle w:val="11"/>
                <w:rFonts w:hint="eastAsia"/>
              </w:rPr>
              <w:t> </w:t>
            </w:r>
            <w:r>
              <w:rPr>
                <w:rStyle w:val="11"/>
                <w:rFonts w:hint="eastAsia"/>
              </w:rPr>
              <w:t>4.用过的容器应妥善处理，不可做他用，也不可随意丢弃。5.孕妇及哺乳期妇女避免接触本产品。6.避免与氧化剂接触。</w:t>
            </w:r>
          </w:p>
        </w:tc>
      </w:tr>
      <w:tr w14:paraId="2100CB66">
        <w:tblPrEx>
          <w:tblCellMar>
            <w:top w:w="0" w:type="dxa"/>
            <w:left w:w="0" w:type="dxa"/>
            <w:bottom w:w="0" w:type="dxa"/>
            <w:right w:w="0" w:type="dxa"/>
          </w:tblCellMar>
        </w:tblPrEx>
        <w:trPr>
          <w:wBefore w:w="0" w:type="auto"/>
          <w:tblCellSpacing w:w="0" w:type="dxa"/>
        </w:trPr>
        <w:tc>
          <w:tcPr>
            <w:tcW w:w="0" w:type="auto"/>
            <w:noWrap w:val="0"/>
            <w:vAlign w:val="center"/>
          </w:tcPr>
          <w:p w14:paraId="6EA758CE">
            <w:r>
              <w:rPr>
                <w:rStyle w:val="10"/>
                <w:rFonts w:hint="eastAsia"/>
              </w:rPr>
              <w:t>中毒急救措施：</w:t>
            </w:r>
            <w:r>
              <w:rPr>
                <w:rFonts w:hint="eastAsia"/>
              </w:rPr>
              <w:br w:type="textWrapping"/>
            </w:r>
            <w:r>
              <w:rPr>
                <w:rStyle w:val="11"/>
                <w:rFonts w:hint="eastAsia"/>
              </w:rPr>
              <w:t xml:space="preserve">中毒症状：表现为头晕、头痛、恶心、呕吐。对眼睛有刺激性。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 </w:t>
            </w:r>
          </w:p>
        </w:tc>
      </w:tr>
      <w:tr w14:paraId="221538DC">
        <w:tblPrEx>
          <w:tblCellMar>
            <w:top w:w="0" w:type="dxa"/>
            <w:left w:w="0" w:type="dxa"/>
            <w:bottom w:w="0" w:type="dxa"/>
            <w:right w:w="0" w:type="dxa"/>
          </w:tblCellMar>
        </w:tblPrEx>
        <w:trPr>
          <w:wBefore w:w="0" w:type="auto"/>
          <w:tblCellSpacing w:w="0" w:type="dxa"/>
        </w:trPr>
        <w:tc>
          <w:tcPr>
            <w:tcW w:w="0" w:type="auto"/>
            <w:noWrap w:val="0"/>
            <w:vAlign w:val="center"/>
          </w:tcPr>
          <w:p w14:paraId="2558A9BD">
            <w:r>
              <w:rPr>
                <w:rStyle w:val="10"/>
                <w:rFonts w:hint="eastAsia"/>
              </w:rPr>
              <w:t>储存和运输方法：</w:t>
            </w:r>
            <w:r>
              <w:rPr>
                <w:rFonts w:hint="eastAsia"/>
              </w:rPr>
              <w:br w:type="textWrapping"/>
            </w:r>
            <w:r>
              <w:rPr>
                <w:rStyle w:val="11"/>
                <w:rFonts w:hint="eastAsia"/>
              </w:rPr>
              <w:t>1.本品应贮存在干燥、阴凉、通风、防雨的仓库里，远离火源或热源。 2.放置在儿童接触不到的地方，并加锁。 3.勿与食品、饮料、粮食、饲料等同贮同运。</w:t>
            </w:r>
          </w:p>
        </w:tc>
      </w:tr>
      <w:tr w14:paraId="09798690">
        <w:tblPrEx>
          <w:tblCellMar>
            <w:top w:w="0" w:type="dxa"/>
            <w:left w:w="0" w:type="dxa"/>
            <w:bottom w:w="0" w:type="dxa"/>
            <w:right w:w="0" w:type="dxa"/>
          </w:tblCellMar>
        </w:tblPrEx>
        <w:trPr>
          <w:wBefore w:w="0" w:type="auto"/>
          <w:tblCellSpacing w:w="0" w:type="dxa"/>
        </w:trPr>
        <w:tc>
          <w:tcPr>
            <w:tcW w:w="0" w:type="auto"/>
            <w:noWrap w:val="0"/>
            <w:vAlign w:val="center"/>
          </w:tcPr>
          <w:p w14:paraId="0D3DE112">
            <w:r>
              <w:rPr>
                <w:rStyle w:val="10"/>
                <w:rFonts w:hint="eastAsia"/>
              </w:rPr>
              <w:t>质量保证期：</w:t>
            </w:r>
            <w:r>
              <w:rPr>
                <w:rStyle w:val="11"/>
                <w:rFonts w:hint="eastAsia"/>
              </w:rPr>
              <w:t>2年</w:t>
            </w:r>
          </w:p>
        </w:tc>
      </w:tr>
      <w:tr w14:paraId="563CCA04">
        <w:tblPrEx>
          <w:tblCellMar>
            <w:top w:w="0" w:type="dxa"/>
            <w:left w:w="0" w:type="dxa"/>
            <w:bottom w:w="0" w:type="dxa"/>
            <w:right w:w="0" w:type="dxa"/>
          </w:tblCellMar>
        </w:tblPrEx>
        <w:trPr>
          <w:wBefore w:w="0" w:type="auto"/>
          <w:tblCellSpacing w:w="0" w:type="dxa"/>
        </w:trPr>
        <w:tc>
          <w:tcPr>
            <w:tcW w:w="0" w:type="auto"/>
            <w:noWrap w:val="0"/>
            <w:vAlign w:val="center"/>
          </w:tcPr>
          <w:p w14:paraId="7DBEFAB6">
            <w:r>
              <w:rPr>
                <w:rStyle w:val="10"/>
                <w:rFonts w:hint="eastAsia"/>
              </w:rPr>
              <w:t>备注：</w:t>
            </w:r>
          </w:p>
        </w:tc>
      </w:tr>
    </w:tbl>
    <w:p w14:paraId="4A086BE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47FB3F">
        <w:tblPrEx>
          <w:tblCellMar>
            <w:top w:w="0" w:type="dxa"/>
            <w:left w:w="0" w:type="dxa"/>
            <w:bottom w:w="0" w:type="dxa"/>
            <w:right w:w="0" w:type="dxa"/>
          </w:tblCellMar>
        </w:tblPrEx>
        <w:trPr>
          <w:wBefore w:w="0" w:type="auto"/>
          <w:tblCellSpacing w:w="0" w:type="dxa"/>
        </w:trPr>
        <w:tc>
          <w:tcPr>
            <w:tcW w:w="0" w:type="auto"/>
            <w:noWrap w:val="0"/>
            <w:vAlign w:val="center"/>
          </w:tcPr>
          <w:p w14:paraId="1EE8995A">
            <w:r>
              <w:rPr>
                <w:rStyle w:val="10"/>
                <w:rFonts w:hint="eastAsia"/>
              </w:rPr>
              <w:t>登记证号：</w:t>
            </w:r>
            <w:r>
              <w:rPr>
                <w:rFonts w:hint="eastAsia"/>
              </w:rPr>
              <w:t>WP20210408</w:t>
            </w:r>
          </w:p>
        </w:tc>
      </w:tr>
      <w:tr w14:paraId="3479BA9D">
        <w:tblPrEx>
          <w:tblCellMar>
            <w:top w:w="0" w:type="dxa"/>
            <w:left w:w="0" w:type="dxa"/>
            <w:bottom w:w="0" w:type="dxa"/>
            <w:right w:w="0" w:type="dxa"/>
          </w:tblCellMar>
        </w:tblPrEx>
        <w:trPr>
          <w:wBefore w:w="0" w:type="auto"/>
          <w:tblCellSpacing w:w="0" w:type="dxa"/>
        </w:trPr>
        <w:tc>
          <w:tcPr>
            <w:tcW w:w="0" w:type="auto"/>
            <w:noWrap w:val="0"/>
            <w:vAlign w:val="center"/>
          </w:tcPr>
          <w:p w14:paraId="4D05C4A2">
            <w:r>
              <w:rPr>
                <w:rStyle w:val="10"/>
                <w:rFonts w:hint="eastAsia"/>
              </w:rPr>
              <w:t>登记证持有人：</w:t>
            </w:r>
            <w:r>
              <w:rPr>
                <w:rFonts w:hint="eastAsia"/>
              </w:rPr>
              <w:t>江苏省南京荣诚生物科技有限公司</w:t>
            </w:r>
          </w:p>
        </w:tc>
      </w:tr>
      <w:tr w14:paraId="16637150">
        <w:tblPrEx>
          <w:tblCellMar>
            <w:top w:w="0" w:type="dxa"/>
            <w:left w:w="0" w:type="dxa"/>
            <w:bottom w:w="0" w:type="dxa"/>
            <w:right w:w="0" w:type="dxa"/>
          </w:tblCellMar>
        </w:tblPrEx>
        <w:trPr>
          <w:wBefore w:w="0" w:type="auto"/>
          <w:tblCellSpacing w:w="0" w:type="dxa"/>
        </w:trPr>
        <w:tc>
          <w:tcPr>
            <w:tcW w:w="0" w:type="auto"/>
            <w:noWrap w:val="0"/>
            <w:vAlign w:val="center"/>
          </w:tcPr>
          <w:p w14:paraId="5DC52437">
            <w:r>
              <w:rPr>
                <w:rStyle w:val="10"/>
                <w:rFonts w:hint="eastAsia"/>
              </w:rPr>
              <w:t>农药名称：</w:t>
            </w:r>
            <w:r>
              <w:rPr>
                <w:rFonts w:hint="eastAsia"/>
              </w:rPr>
              <w:t>氟氯·吡虫啉</w:t>
            </w:r>
          </w:p>
        </w:tc>
      </w:tr>
      <w:tr w14:paraId="539AEDD4">
        <w:tblPrEx>
          <w:tblCellMar>
            <w:top w:w="0" w:type="dxa"/>
            <w:left w:w="0" w:type="dxa"/>
            <w:bottom w:w="0" w:type="dxa"/>
            <w:right w:w="0" w:type="dxa"/>
          </w:tblCellMar>
        </w:tblPrEx>
        <w:trPr>
          <w:wBefore w:w="0" w:type="auto"/>
          <w:tblCellSpacing w:w="0" w:type="dxa"/>
        </w:trPr>
        <w:tc>
          <w:tcPr>
            <w:tcW w:w="0" w:type="auto"/>
            <w:noWrap w:val="0"/>
            <w:vAlign w:val="center"/>
          </w:tcPr>
          <w:p w14:paraId="5155BCD2">
            <w:r>
              <w:rPr>
                <w:rStyle w:val="10"/>
                <w:rFonts w:hint="eastAsia"/>
              </w:rPr>
              <w:t>剂型：</w:t>
            </w:r>
            <w:r>
              <w:rPr>
                <w:rFonts w:hint="eastAsia"/>
              </w:rPr>
              <w:t>悬浮剂</w:t>
            </w:r>
          </w:p>
        </w:tc>
      </w:tr>
      <w:tr w14:paraId="232C051A">
        <w:tblPrEx>
          <w:tblCellMar>
            <w:top w:w="0" w:type="dxa"/>
            <w:left w:w="0" w:type="dxa"/>
            <w:bottom w:w="0" w:type="dxa"/>
            <w:right w:w="0" w:type="dxa"/>
          </w:tblCellMar>
        </w:tblPrEx>
        <w:trPr>
          <w:wBefore w:w="0" w:type="auto"/>
          <w:tblCellSpacing w:w="0" w:type="dxa"/>
        </w:trPr>
        <w:tc>
          <w:tcPr>
            <w:tcW w:w="0" w:type="auto"/>
            <w:noWrap w:val="0"/>
            <w:vAlign w:val="center"/>
          </w:tcPr>
          <w:p w14:paraId="46B1E89F">
            <w:r>
              <w:rPr>
                <w:rStyle w:val="10"/>
                <w:rFonts w:hint="eastAsia"/>
              </w:rPr>
              <w:t>毒性及其标识：</w:t>
            </w:r>
            <w:r>
              <w:rPr>
                <w:rFonts w:hint="eastAsia"/>
              </w:rPr>
              <w:t xml:space="preserve"> </w:t>
            </w:r>
            <w:r>
              <w:rPr>
                <w:lang/>
              </w:rPr>
              <w:drawing>
                <wp:inline distT="0" distB="0" distL="114300" distR="114300">
                  <wp:extent cx="476250" cy="323850"/>
                  <wp:effectExtent l="0" t="0" r="0" b="0"/>
                  <wp:docPr id="196" name="图片 1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106159">
        <w:tblPrEx>
          <w:tblCellMar>
            <w:top w:w="0" w:type="dxa"/>
            <w:left w:w="0" w:type="dxa"/>
            <w:bottom w:w="0" w:type="dxa"/>
            <w:right w:w="0" w:type="dxa"/>
          </w:tblCellMar>
        </w:tblPrEx>
        <w:trPr>
          <w:wBefore w:w="0" w:type="auto"/>
          <w:tblCellSpacing w:w="0" w:type="dxa"/>
        </w:trPr>
        <w:tc>
          <w:tcPr>
            <w:tcW w:w="0" w:type="auto"/>
            <w:noWrap w:val="0"/>
            <w:vAlign w:val="center"/>
          </w:tcPr>
          <w:p w14:paraId="0258BD84">
            <w:r>
              <w:rPr>
                <w:rStyle w:val="10"/>
                <w:rFonts w:hint="eastAsia"/>
              </w:rPr>
              <w:t>总有效成分含量：</w:t>
            </w:r>
            <w:r>
              <w:rPr>
                <w:rFonts w:hint="eastAsia"/>
              </w:rPr>
              <w:t>31%</w:t>
            </w:r>
          </w:p>
        </w:tc>
      </w:tr>
      <w:tr w14:paraId="33508960">
        <w:tblPrEx>
          <w:tblCellMar>
            <w:top w:w="0" w:type="dxa"/>
            <w:left w:w="0" w:type="dxa"/>
            <w:bottom w:w="0" w:type="dxa"/>
            <w:right w:w="0" w:type="dxa"/>
          </w:tblCellMar>
        </w:tblPrEx>
        <w:trPr>
          <w:wBefore w:w="0" w:type="auto"/>
          <w:tblCellSpacing w:w="0" w:type="dxa"/>
        </w:trPr>
        <w:tc>
          <w:tcPr>
            <w:tcW w:w="0" w:type="auto"/>
            <w:noWrap w:val="0"/>
            <w:vAlign w:val="center"/>
          </w:tcPr>
          <w:p w14:paraId="0A30688F">
            <w:r>
              <w:rPr>
                <w:rFonts w:hint="eastAsia"/>
              </w:rPr>
              <w:t xml:space="preserve">有效成分及其含量： </w:t>
            </w:r>
          </w:p>
          <w:p w14:paraId="34C2233F">
            <w:r>
              <w:rPr>
                <w:rFonts w:hint="eastAsia"/>
              </w:rPr>
              <w:t xml:space="preserve">    高效氟氯氰菊酯10%    吡虫啉21%    </w:t>
            </w:r>
          </w:p>
        </w:tc>
      </w:tr>
      <w:tr w14:paraId="141B5F24">
        <w:tblPrEx>
          <w:tblCellMar>
            <w:top w:w="0" w:type="dxa"/>
            <w:left w:w="0" w:type="dxa"/>
            <w:bottom w:w="0" w:type="dxa"/>
            <w:right w:w="0" w:type="dxa"/>
          </w:tblCellMar>
        </w:tblPrEx>
        <w:trPr>
          <w:wBefore w:w="0" w:type="auto"/>
          <w:tblCellSpacing w:w="0" w:type="dxa"/>
        </w:trPr>
        <w:tc>
          <w:tcPr>
            <w:tcW w:w="0" w:type="auto"/>
            <w:noWrap w:val="0"/>
            <w:vAlign w:val="center"/>
          </w:tcPr>
          <w:p w14:paraId="0871E9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9EA2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F245D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3421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69395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5B73E1">
                  <w:r>
                    <w:rPr>
                      <w:rStyle w:val="11"/>
                      <w:rFonts w:hint="eastAsia"/>
                    </w:rPr>
                    <w:t>施用方式</w:t>
                  </w:r>
                </w:p>
              </w:tc>
            </w:tr>
            <w:tr w14:paraId="65AC69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B282B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6C52B7">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AF651C">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CD6A3A">
                  <w:r>
                    <w:rPr>
                      <w:rStyle w:val="11"/>
                      <w:rFonts w:hint="eastAsia"/>
                    </w:rPr>
                    <w:t>滞留喷洒</w:t>
                  </w:r>
                </w:p>
              </w:tc>
            </w:tr>
          </w:tbl>
          <w:p w14:paraId="1559B295">
            <w:pPr>
              <w:rPr>
                <w:rFonts w:ascii="Times New Roman" w:hAnsi="Times New Roman" w:cs="Times New Roman"/>
                <w:sz w:val="20"/>
                <w:szCs w:val="20"/>
              </w:rPr>
            </w:pPr>
          </w:p>
        </w:tc>
      </w:tr>
      <w:tr w14:paraId="2BC8FAED">
        <w:tblPrEx>
          <w:tblCellMar>
            <w:top w:w="0" w:type="dxa"/>
            <w:left w:w="0" w:type="dxa"/>
            <w:bottom w:w="0" w:type="dxa"/>
            <w:right w:w="0" w:type="dxa"/>
          </w:tblCellMar>
        </w:tblPrEx>
        <w:trPr>
          <w:wBefore w:w="0" w:type="auto"/>
          <w:tblCellSpacing w:w="0" w:type="dxa"/>
        </w:trPr>
        <w:tc>
          <w:tcPr>
            <w:tcW w:w="0" w:type="auto"/>
            <w:noWrap w:val="0"/>
            <w:vAlign w:val="center"/>
          </w:tcPr>
          <w:p w14:paraId="14A8959F">
            <w:r>
              <w:rPr>
                <w:rStyle w:val="10"/>
                <w:rFonts w:hint="eastAsia"/>
              </w:rPr>
              <w:t>使用技术要求:</w:t>
            </w:r>
            <w:r>
              <w:rPr>
                <w:rFonts w:hint="eastAsia"/>
              </w:rPr>
              <w:br w:type="textWrapping"/>
            </w:r>
            <w:r>
              <w:rPr>
                <w:rStyle w:val="11"/>
                <w:rFonts w:hint="eastAsia"/>
              </w:rPr>
              <w:t>本品兑清水稀释250－500倍液，兑水搅拌均匀后，均匀喷洒于墙壁四周、橱背、地板、房梁等害虫活动及栖息的场所。喷药量以物体表面湿而不流为宜。</w:t>
            </w:r>
          </w:p>
        </w:tc>
      </w:tr>
      <w:tr w14:paraId="30424FCB">
        <w:tblPrEx>
          <w:tblCellMar>
            <w:top w:w="0" w:type="dxa"/>
            <w:left w:w="0" w:type="dxa"/>
            <w:bottom w:w="0" w:type="dxa"/>
            <w:right w:w="0" w:type="dxa"/>
          </w:tblCellMar>
        </w:tblPrEx>
        <w:trPr>
          <w:wBefore w:w="0" w:type="auto"/>
          <w:tblCellSpacing w:w="0" w:type="dxa"/>
        </w:trPr>
        <w:tc>
          <w:tcPr>
            <w:tcW w:w="0" w:type="auto"/>
            <w:noWrap w:val="0"/>
            <w:vAlign w:val="center"/>
          </w:tcPr>
          <w:p w14:paraId="0115F191">
            <w:r>
              <w:rPr>
                <w:rStyle w:val="10"/>
                <w:rFonts w:hint="eastAsia"/>
              </w:rPr>
              <w:t>产品性能:</w:t>
            </w:r>
            <w:r>
              <w:rPr>
                <w:rFonts w:hint="eastAsia"/>
              </w:rPr>
              <w:br w:type="textWrapping"/>
            </w:r>
            <w:r>
              <w:rPr>
                <w:rStyle w:val="11"/>
                <w:rFonts w:hint="eastAsia"/>
              </w:rPr>
              <w:t>本品由两种不同杀虫机理的有效成分加工而成乳白色悬浊液体，适用于家庭、酒店、餐馆、写字楼、医院、学校、工厂、交通工具等场所防治蚊、蝇、蜚蠊（蟑螂）。</w:t>
            </w:r>
          </w:p>
        </w:tc>
      </w:tr>
      <w:tr w14:paraId="385FD823">
        <w:tblPrEx>
          <w:tblCellMar>
            <w:top w:w="0" w:type="dxa"/>
            <w:left w:w="0" w:type="dxa"/>
            <w:bottom w:w="0" w:type="dxa"/>
            <w:right w:w="0" w:type="dxa"/>
          </w:tblCellMar>
        </w:tblPrEx>
        <w:trPr>
          <w:wBefore w:w="0" w:type="auto"/>
          <w:tblCellSpacing w:w="0" w:type="dxa"/>
        </w:trPr>
        <w:tc>
          <w:tcPr>
            <w:tcW w:w="0" w:type="auto"/>
            <w:noWrap w:val="0"/>
            <w:vAlign w:val="center"/>
          </w:tcPr>
          <w:p w14:paraId="163A3BDD">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本品对眼睛有刺激性，使用时避免接触眼睛，穿戴长衣、长裤、帽子、口罩、手套等防护措施。避免吸入药剂，不要让药剂沾染皮肤和眼睛。2. 现配现用，加水稀释后，不可久置，碱性条件下易分解。本产品具有还原性，在使用过程中避免与还原剂接触。3. 使用后及时洗手、洗脸，清洗暴露在外的皮肤和工作服。 4. 本品对蚕、鱼、蜜蜂有毒，施药期间应避免对周围蜂群的影响。蚕室及其附近禁用。远离水产养殖区施药，禁止在河塘等水体中清洗施药器具。 5. 用过的容器应妥善处理，不可做他用，也不可随意丢弃。 6. 敏感体质人士，孕妇及哺乳期妇女请远离本品。勿向人体及食物使用。</w:t>
            </w:r>
          </w:p>
        </w:tc>
      </w:tr>
      <w:tr w14:paraId="722B4FBD">
        <w:tblPrEx>
          <w:tblCellMar>
            <w:top w:w="0" w:type="dxa"/>
            <w:left w:w="0" w:type="dxa"/>
            <w:bottom w:w="0" w:type="dxa"/>
            <w:right w:w="0" w:type="dxa"/>
          </w:tblCellMar>
        </w:tblPrEx>
        <w:trPr>
          <w:wBefore w:w="0" w:type="auto"/>
          <w:tblCellSpacing w:w="0" w:type="dxa"/>
        </w:trPr>
        <w:tc>
          <w:tcPr>
            <w:tcW w:w="0" w:type="auto"/>
            <w:noWrap w:val="0"/>
            <w:vAlign w:val="center"/>
          </w:tcPr>
          <w:p w14:paraId="0962DE1B">
            <w:r>
              <w:rPr>
                <w:rStyle w:val="10"/>
                <w:rFonts w:hint="eastAsia"/>
              </w:rPr>
              <w:t>中毒急救措施：</w:t>
            </w:r>
            <w:r>
              <w:rPr>
                <w:rFonts w:hint="eastAsia"/>
              </w:rPr>
              <w:br w:type="textWrapping"/>
            </w:r>
            <w:r>
              <w:rPr>
                <w:rStyle w:val="11"/>
                <w:rFonts w:hint="eastAsia"/>
              </w:rPr>
              <w:t>若药液沾染皮肤和眼睛，请立即用大量清水冲洗至少15分钟。若不慎吸入，请立即转移至空气清新处，并及时就医对症治疗。若误服，本品无特效解毒药，不要引吐、漱口并立即携产品标签就医对症治疗。</w:t>
            </w:r>
          </w:p>
        </w:tc>
      </w:tr>
      <w:tr w14:paraId="1D208283">
        <w:tblPrEx>
          <w:tblCellMar>
            <w:top w:w="0" w:type="dxa"/>
            <w:left w:w="0" w:type="dxa"/>
            <w:bottom w:w="0" w:type="dxa"/>
            <w:right w:w="0" w:type="dxa"/>
          </w:tblCellMar>
        </w:tblPrEx>
        <w:trPr>
          <w:wBefore w:w="0" w:type="auto"/>
          <w:tblCellSpacing w:w="0" w:type="dxa"/>
        </w:trPr>
        <w:tc>
          <w:tcPr>
            <w:tcW w:w="0" w:type="auto"/>
            <w:noWrap w:val="0"/>
            <w:vAlign w:val="center"/>
          </w:tcPr>
          <w:p w14:paraId="60618FBC">
            <w:r>
              <w:rPr>
                <w:rStyle w:val="10"/>
                <w:rFonts w:hint="eastAsia"/>
              </w:rPr>
              <w:t>储存和运输方法：</w:t>
            </w:r>
            <w:r>
              <w:rPr>
                <w:rFonts w:hint="eastAsia"/>
              </w:rPr>
              <w:br w:type="textWrapping"/>
            </w:r>
            <w:r>
              <w:rPr>
                <w:rStyle w:val="11"/>
                <w:rFonts w:hint="eastAsia"/>
              </w:rPr>
              <w:t>本品应贮存于阴凉、干燥、通风、避光处，并远离火源和热源。 应置于儿童、无关人员触及不到之处，并加锁。运输时，请防雨淋、高温，注意轻拿轻放，不得损坏包装。请勿与食品、饮料、种子、饲料、粮食等其它商品同贮同运。</w:t>
            </w:r>
          </w:p>
        </w:tc>
      </w:tr>
      <w:tr w14:paraId="433AA883">
        <w:tblPrEx>
          <w:tblCellMar>
            <w:top w:w="0" w:type="dxa"/>
            <w:left w:w="0" w:type="dxa"/>
            <w:bottom w:w="0" w:type="dxa"/>
            <w:right w:w="0" w:type="dxa"/>
          </w:tblCellMar>
        </w:tblPrEx>
        <w:trPr>
          <w:wBefore w:w="0" w:type="auto"/>
          <w:tblCellSpacing w:w="0" w:type="dxa"/>
        </w:trPr>
        <w:tc>
          <w:tcPr>
            <w:tcW w:w="0" w:type="auto"/>
            <w:noWrap w:val="0"/>
            <w:vAlign w:val="center"/>
          </w:tcPr>
          <w:p w14:paraId="3A845E9A">
            <w:r>
              <w:rPr>
                <w:rStyle w:val="10"/>
                <w:rFonts w:hint="eastAsia"/>
              </w:rPr>
              <w:t>质量保证期：</w:t>
            </w:r>
            <w:r>
              <w:rPr>
                <w:rStyle w:val="11"/>
                <w:rFonts w:hint="eastAsia"/>
              </w:rPr>
              <w:t>2年</w:t>
            </w:r>
          </w:p>
        </w:tc>
      </w:tr>
      <w:tr w14:paraId="4A6F4BDF">
        <w:tblPrEx>
          <w:tblCellMar>
            <w:top w:w="0" w:type="dxa"/>
            <w:left w:w="0" w:type="dxa"/>
            <w:bottom w:w="0" w:type="dxa"/>
            <w:right w:w="0" w:type="dxa"/>
          </w:tblCellMar>
        </w:tblPrEx>
        <w:trPr>
          <w:wBefore w:w="0" w:type="auto"/>
          <w:tblCellSpacing w:w="0" w:type="dxa"/>
        </w:trPr>
        <w:tc>
          <w:tcPr>
            <w:tcW w:w="0" w:type="auto"/>
            <w:noWrap w:val="0"/>
            <w:vAlign w:val="center"/>
          </w:tcPr>
          <w:p w14:paraId="6F019BEA">
            <w:r>
              <w:rPr>
                <w:rStyle w:val="10"/>
                <w:rFonts w:hint="eastAsia"/>
              </w:rPr>
              <w:t>备注：</w:t>
            </w:r>
          </w:p>
        </w:tc>
      </w:tr>
    </w:tbl>
    <w:p w14:paraId="70670B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922C42">
        <w:tblPrEx>
          <w:tblCellMar>
            <w:top w:w="0" w:type="dxa"/>
            <w:left w:w="0" w:type="dxa"/>
            <w:bottom w:w="0" w:type="dxa"/>
            <w:right w:w="0" w:type="dxa"/>
          </w:tblCellMar>
        </w:tblPrEx>
        <w:trPr>
          <w:wBefore w:w="0" w:type="auto"/>
          <w:tblCellSpacing w:w="0" w:type="dxa"/>
        </w:trPr>
        <w:tc>
          <w:tcPr>
            <w:tcW w:w="0" w:type="auto"/>
            <w:noWrap w:val="0"/>
            <w:vAlign w:val="center"/>
          </w:tcPr>
          <w:p w14:paraId="068DFC27">
            <w:r>
              <w:rPr>
                <w:rStyle w:val="10"/>
                <w:rFonts w:hint="eastAsia"/>
              </w:rPr>
              <w:t>登记证号：</w:t>
            </w:r>
            <w:r>
              <w:rPr>
                <w:rFonts w:hint="eastAsia"/>
              </w:rPr>
              <w:t>PD20212556</w:t>
            </w:r>
          </w:p>
        </w:tc>
      </w:tr>
      <w:tr w14:paraId="3DFF3E45">
        <w:tblPrEx>
          <w:tblCellMar>
            <w:top w:w="0" w:type="dxa"/>
            <w:left w:w="0" w:type="dxa"/>
            <w:bottom w:w="0" w:type="dxa"/>
            <w:right w:w="0" w:type="dxa"/>
          </w:tblCellMar>
        </w:tblPrEx>
        <w:trPr>
          <w:wBefore w:w="0" w:type="auto"/>
          <w:tblCellSpacing w:w="0" w:type="dxa"/>
        </w:trPr>
        <w:tc>
          <w:tcPr>
            <w:tcW w:w="0" w:type="auto"/>
            <w:noWrap w:val="0"/>
            <w:vAlign w:val="center"/>
          </w:tcPr>
          <w:p w14:paraId="6525E70F">
            <w:r>
              <w:rPr>
                <w:rStyle w:val="10"/>
                <w:rFonts w:hint="eastAsia"/>
              </w:rPr>
              <w:t>登记证持有人：</w:t>
            </w:r>
            <w:r>
              <w:rPr>
                <w:rFonts w:hint="eastAsia"/>
              </w:rPr>
              <w:t>山东万豪化工股份有限公司</w:t>
            </w:r>
          </w:p>
        </w:tc>
      </w:tr>
      <w:tr w14:paraId="3E669BE0">
        <w:tblPrEx>
          <w:tblCellMar>
            <w:top w:w="0" w:type="dxa"/>
            <w:left w:w="0" w:type="dxa"/>
            <w:bottom w:w="0" w:type="dxa"/>
            <w:right w:w="0" w:type="dxa"/>
          </w:tblCellMar>
        </w:tblPrEx>
        <w:trPr>
          <w:wBefore w:w="0" w:type="auto"/>
          <w:tblCellSpacing w:w="0" w:type="dxa"/>
        </w:trPr>
        <w:tc>
          <w:tcPr>
            <w:tcW w:w="0" w:type="auto"/>
            <w:noWrap w:val="0"/>
            <w:vAlign w:val="center"/>
          </w:tcPr>
          <w:p w14:paraId="58756419">
            <w:r>
              <w:rPr>
                <w:rStyle w:val="10"/>
                <w:rFonts w:hint="eastAsia"/>
              </w:rPr>
              <w:t>农药名称：</w:t>
            </w:r>
            <w:r>
              <w:rPr>
                <w:rFonts w:hint="eastAsia"/>
              </w:rPr>
              <w:t>敌草快二氯盐</w:t>
            </w:r>
          </w:p>
        </w:tc>
      </w:tr>
      <w:tr w14:paraId="673FE72C">
        <w:tblPrEx>
          <w:tblCellMar>
            <w:top w:w="0" w:type="dxa"/>
            <w:left w:w="0" w:type="dxa"/>
            <w:bottom w:w="0" w:type="dxa"/>
            <w:right w:w="0" w:type="dxa"/>
          </w:tblCellMar>
        </w:tblPrEx>
        <w:trPr>
          <w:wBefore w:w="0" w:type="auto"/>
          <w:tblCellSpacing w:w="0" w:type="dxa"/>
        </w:trPr>
        <w:tc>
          <w:tcPr>
            <w:tcW w:w="0" w:type="auto"/>
            <w:noWrap w:val="0"/>
            <w:vAlign w:val="center"/>
          </w:tcPr>
          <w:p w14:paraId="49138E5C">
            <w:r>
              <w:rPr>
                <w:rStyle w:val="10"/>
                <w:rFonts w:hint="eastAsia"/>
              </w:rPr>
              <w:t>剂型：</w:t>
            </w:r>
            <w:r>
              <w:rPr>
                <w:rFonts w:hint="eastAsia"/>
              </w:rPr>
              <w:t>可溶液剂</w:t>
            </w:r>
          </w:p>
        </w:tc>
      </w:tr>
      <w:tr w14:paraId="75831C88">
        <w:tblPrEx>
          <w:tblCellMar>
            <w:top w:w="0" w:type="dxa"/>
            <w:left w:w="0" w:type="dxa"/>
            <w:bottom w:w="0" w:type="dxa"/>
            <w:right w:w="0" w:type="dxa"/>
          </w:tblCellMar>
        </w:tblPrEx>
        <w:trPr>
          <w:wBefore w:w="0" w:type="auto"/>
          <w:tblCellSpacing w:w="0" w:type="dxa"/>
        </w:trPr>
        <w:tc>
          <w:tcPr>
            <w:tcW w:w="0" w:type="auto"/>
            <w:noWrap w:val="0"/>
            <w:vAlign w:val="center"/>
          </w:tcPr>
          <w:p w14:paraId="4C109B72">
            <w:r>
              <w:rPr>
                <w:rStyle w:val="10"/>
                <w:rFonts w:hint="eastAsia"/>
              </w:rPr>
              <w:t>毒性及其标识：</w:t>
            </w:r>
            <w:r>
              <w:rPr>
                <w:rFonts w:hint="eastAsia"/>
              </w:rPr>
              <w:t xml:space="preserve"> </w:t>
            </w:r>
            <w:r>
              <w:rPr>
                <w:lang/>
              </w:rPr>
              <w:drawing>
                <wp:inline distT="0" distB="0" distL="114300" distR="114300">
                  <wp:extent cx="476250" cy="323850"/>
                  <wp:effectExtent l="0" t="0" r="0" b="0"/>
                  <wp:docPr id="197" name="图片 1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EEA6B3">
        <w:tblPrEx>
          <w:tblCellMar>
            <w:top w:w="0" w:type="dxa"/>
            <w:left w:w="0" w:type="dxa"/>
            <w:bottom w:w="0" w:type="dxa"/>
            <w:right w:w="0" w:type="dxa"/>
          </w:tblCellMar>
        </w:tblPrEx>
        <w:trPr>
          <w:wBefore w:w="0" w:type="auto"/>
          <w:tblCellSpacing w:w="0" w:type="dxa"/>
        </w:trPr>
        <w:tc>
          <w:tcPr>
            <w:tcW w:w="0" w:type="auto"/>
            <w:noWrap w:val="0"/>
            <w:vAlign w:val="center"/>
          </w:tcPr>
          <w:p w14:paraId="78863B07">
            <w:r>
              <w:rPr>
                <w:rStyle w:val="10"/>
                <w:rFonts w:hint="eastAsia"/>
              </w:rPr>
              <w:t>总有效成分含量：</w:t>
            </w:r>
            <w:r>
              <w:rPr>
                <w:rFonts w:hint="eastAsia"/>
              </w:rPr>
              <w:t>20%</w:t>
            </w:r>
          </w:p>
        </w:tc>
      </w:tr>
      <w:tr w14:paraId="3A903947">
        <w:tblPrEx>
          <w:tblCellMar>
            <w:top w:w="0" w:type="dxa"/>
            <w:left w:w="0" w:type="dxa"/>
            <w:bottom w:w="0" w:type="dxa"/>
            <w:right w:w="0" w:type="dxa"/>
          </w:tblCellMar>
        </w:tblPrEx>
        <w:trPr>
          <w:wBefore w:w="0" w:type="auto"/>
          <w:tblCellSpacing w:w="0" w:type="dxa"/>
        </w:trPr>
        <w:tc>
          <w:tcPr>
            <w:tcW w:w="0" w:type="auto"/>
            <w:noWrap w:val="0"/>
            <w:vAlign w:val="center"/>
          </w:tcPr>
          <w:p w14:paraId="4B821252">
            <w:r>
              <w:rPr>
                <w:rFonts w:hint="eastAsia"/>
              </w:rPr>
              <w:t xml:space="preserve">有效成分及其含量： </w:t>
            </w:r>
          </w:p>
          <w:p w14:paraId="0639DDD3">
            <w:r>
              <w:rPr>
                <w:rFonts w:hint="eastAsia"/>
              </w:rPr>
              <w:t xml:space="preserve">    敌草快二氯盐20%    </w:t>
            </w:r>
          </w:p>
        </w:tc>
      </w:tr>
      <w:tr w14:paraId="5D22FD43">
        <w:tblPrEx>
          <w:tblCellMar>
            <w:top w:w="0" w:type="dxa"/>
            <w:left w:w="0" w:type="dxa"/>
            <w:bottom w:w="0" w:type="dxa"/>
            <w:right w:w="0" w:type="dxa"/>
          </w:tblCellMar>
        </w:tblPrEx>
        <w:trPr>
          <w:wBefore w:w="0" w:type="auto"/>
          <w:tblCellSpacing w:w="0" w:type="dxa"/>
        </w:trPr>
        <w:tc>
          <w:tcPr>
            <w:tcW w:w="0" w:type="auto"/>
            <w:noWrap w:val="0"/>
            <w:vAlign w:val="center"/>
          </w:tcPr>
          <w:p w14:paraId="2A3385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EFC9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0323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F939E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B69E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883D9B">
                  <w:r>
                    <w:rPr>
                      <w:rStyle w:val="11"/>
                      <w:rFonts w:hint="eastAsia"/>
                    </w:rPr>
                    <w:t>施用方式</w:t>
                  </w:r>
                </w:p>
              </w:tc>
            </w:tr>
            <w:tr w14:paraId="18E0CF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04EE7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3A2AA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8C7592">
                  <w:r>
                    <w:rPr>
                      <w:rStyle w:val="11"/>
                      <w:rFonts w:hint="eastAsia"/>
                    </w:rPr>
                    <w:t>250-350毫升/亩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A86121">
                  <w:r>
                    <w:rPr>
                      <w:rStyle w:val="11"/>
                      <w:rFonts w:hint="eastAsia"/>
                    </w:rPr>
                    <w:t>茎叶喷雾</w:t>
                  </w:r>
                </w:p>
              </w:tc>
            </w:tr>
          </w:tbl>
          <w:p w14:paraId="5FE05876">
            <w:pPr>
              <w:rPr>
                <w:rFonts w:ascii="Times New Roman" w:hAnsi="Times New Roman" w:cs="Times New Roman"/>
                <w:sz w:val="20"/>
                <w:szCs w:val="20"/>
              </w:rPr>
            </w:pPr>
          </w:p>
        </w:tc>
      </w:tr>
      <w:tr w14:paraId="11832616">
        <w:tblPrEx>
          <w:tblCellMar>
            <w:top w:w="0" w:type="dxa"/>
            <w:left w:w="0" w:type="dxa"/>
            <w:bottom w:w="0" w:type="dxa"/>
            <w:right w:w="0" w:type="dxa"/>
          </w:tblCellMar>
        </w:tblPrEx>
        <w:trPr>
          <w:wBefore w:w="0" w:type="auto"/>
          <w:tblCellSpacing w:w="0" w:type="dxa"/>
        </w:trPr>
        <w:tc>
          <w:tcPr>
            <w:tcW w:w="0" w:type="auto"/>
            <w:noWrap w:val="0"/>
            <w:vAlign w:val="center"/>
          </w:tcPr>
          <w:p w14:paraId="0EF8D1B4">
            <w:r>
              <w:rPr>
                <w:rStyle w:val="10"/>
                <w:rFonts w:hint="eastAsia"/>
              </w:rPr>
              <w:t>使用技术要求:</w:t>
            </w:r>
            <w:r>
              <w:rPr>
                <w:rFonts w:hint="eastAsia"/>
              </w:rPr>
              <w:br w:type="textWrapping"/>
            </w:r>
            <w:r>
              <w:rPr>
                <w:rStyle w:val="11"/>
                <w:rFonts w:hint="eastAsia"/>
              </w:rPr>
              <w:t>1.杂草生长期施药，每亩兑水量40-50公斤，茎叶喷雾。 2.大风天或预计1小时内降雨，请勿施药。</w:t>
            </w:r>
          </w:p>
        </w:tc>
      </w:tr>
      <w:tr w14:paraId="193EA544">
        <w:tblPrEx>
          <w:tblCellMar>
            <w:top w:w="0" w:type="dxa"/>
            <w:left w:w="0" w:type="dxa"/>
            <w:bottom w:w="0" w:type="dxa"/>
            <w:right w:w="0" w:type="dxa"/>
          </w:tblCellMar>
        </w:tblPrEx>
        <w:trPr>
          <w:wBefore w:w="0" w:type="auto"/>
          <w:tblCellSpacing w:w="0" w:type="dxa"/>
        </w:trPr>
        <w:tc>
          <w:tcPr>
            <w:tcW w:w="0" w:type="auto"/>
            <w:noWrap w:val="0"/>
            <w:vAlign w:val="center"/>
          </w:tcPr>
          <w:p w14:paraId="3DFDA800">
            <w:r>
              <w:rPr>
                <w:rStyle w:val="10"/>
                <w:rFonts w:hint="eastAsia"/>
              </w:rPr>
              <w:t>产品性能:</w:t>
            </w:r>
            <w:r>
              <w:rPr>
                <w:rFonts w:hint="eastAsia"/>
              </w:rPr>
              <w:br w:type="textWrapping"/>
            </w:r>
            <w:r>
              <w:rPr>
                <w:rStyle w:val="11"/>
                <w:rFonts w:hint="eastAsia"/>
              </w:rPr>
              <w:t>本品为吡啶阳离子非选择性触杀型除草剂，稍具传导性，可被植物绿色组织迅速吸收，与土壤接触后很快失去活性。</w:t>
            </w:r>
          </w:p>
        </w:tc>
      </w:tr>
      <w:tr w14:paraId="2887C8F2">
        <w:tblPrEx>
          <w:tblCellMar>
            <w:top w:w="0" w:type="dxa"/>
            <w:left w:w="0" w:type="dxa"/>
            <w:bottom w:w="0" w:type="dxa"/>
            <w:right w:w="0" w:type="dxa"/>
          </w:tblCellMar>
        </w:tblPrEx>
        <w:trPr>
          <w:wBefore w:w="0" w:type="auto"/>
          <w:tblCellSpacing w:w="0" w:type="dxa"/>
        </w:trPr>
        <w:tc>
          <w:tcPr>
            <w:tcW w:w="0" w:type="auto"/>
            <w:noWrap w:val="0"/>
            <w:vAlign w:val="center"/>
          </w:tcPr>
          <w:p w14:paraId="7AC30FA2">
            <w:r>
              <w:rPr>
                <w:rStyle w:val="10"/>
                <w:rFonts w:hint="eastAsia"/>
              </w:rPr>
              <w:t>注意事项：</w:t>
            </w:r>
            <w:r>
              <w:rPr>
                <w:rFonts w:hint="eastAsia"/>
              </w:rPr>
              <w:br w:type="textWrapping"/>
            </w:r>
            <w:r>
              <w:rPr>
                <w:rStyle w:val="11"/>
                <w:rFonts w:hint="eastAsia"/>
              </w:rPr>
              <w:t>1、使用前请仔细阅读本标签，须按照标签说明使用。2. 施药时遵守《农药安全使用规定》，穿防护服和戴手套和口罩等，不得吸烟、进食、饮水；施药后，立即用肥皂和水清洗，并用清水漱口。3.远离水产养殖区、河塘等水体施药，禁止在河塘等水体中清洗施药器具。3.蚕室及桑园附近禁用；瓢虫、赤眼蜂等天敌放飞区域禁用；鸟类保护区附近禁用。4.用过的容器要妥善处理，不可作他用，也不可随意丢弃。5.儿童，孕妇、哺乳期妇女禁止接触本品。6.建议与其他作用机制不同的除草剂轮换使用。7.禁止在田间道路、田埂、果树行间、休耕地、林场地等农林区域使用。</w:t>
            </w:r>
            <w:r>
              <w:rPr>
                <w:rStyle w:val="11"/>
                <w:rFonts w:hint="eastAsia"/>
              </w:rPr>
              <w:t> </w:t>
            </w:r>
          </w:p>
        </w:tc>
      </w:tr>
      <w:tr w14:paraId="67281596">
        <w:tblPrEx>
          <w:tblCellMar>
            <w:top w:w="0" w:type="dxa"/>
            <w:left w:w="0" w:type="dxa"/>
            <w:bottom w:w="0" w:type="dxa"/>
            <w:right w:w="0" w:type="dxa"/>
          </w:tblCellMar>
        </w:tblPrEx>
        <w:trPr>
          <w:wBefore w:w="0" w:type="auto"/>
          <w:tblCellSpacing w:w="0" w:type="dxa"/>
        </w:trPr>
        <w:tc>
          <w:tcPr>
            <w:tcW w:w="0" w:type="auto"/>
            <w:noWrap w:val="0"/>
            <w:vAlign w:val="center"/>
          </w:tcPr>
          <w:p w14:paraId="622E000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2.若溅到皮肤上，应立即用大量清水冲洗，如皮肤疼痛感持续，请医生诊治。3.不慎溅入眼中，要立即用清水冲洗15分钟以上，并请医生诊治。 4.若误服，立即携此标签将病人送医院救治，可对症治疗，无特殊解毒药。</w:t>
            </w:r>
          </w:p>
        </w:tc>
      </w:tr>
      <w:tr w14:paraId="449F6FE4">
        <w:tblPrEx>
          <w:tblCellMar>
            <w:top w:w="0" w:type="dxa"/>
            <w:left w:w="0" w:type="dxa"/>
            <w:bottom w:w="0" w:type="dxa"/>
            <w:right w:w="0" w:type="dxa"/>
          </w:tblCellMar>
        </w:tblPrEx>
        <w:trPr>
          <w:wBefore w:w="0" w:type="auto"/>
          <w:tblCellSpacing w:w="0" w:type="dxa"/>
        </w:trPr>
        <w:tc>
          <w:tcPr>
            <w:tcW w:w="0" w:type="auto"/>
            <w:noWrap w:val="0"/>
            <w:vAlign w:val="center"/>
          </w:tcPr>
          <w:p w14:paraId="66B93F6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3D117852">
        <w:tblPrEx>
          <w:tblCellMar>
            <w:top w:w="0" w:type="dxa"/>
            <w:left w:w="0" w:type="dxa"/>
            <w:bottom w:w="0" w:type="dxa"/>
            <w:right w:w="0" w:type="dxa"/>
          </w:tblCellMar>
        </w:tblPrEx>
        <w:trPr>
          <w:wBefore w:w="0" w:type="auto"/>
          <w:tblCellSpacing w:w="0" w:type="dxa"/>
        </w:trPr>
        <w:tc>
          <w:tcPr>
            <w:tcW w:w="0" w:type="auto"/>
            <w:noWrap w:val="0"/>
            <w:vAlign w:val="center"/>
          </w:tcPr>
          <w:p w14:paraId="285DE419">
            <w:r>
              <w:rPr>
                <w:rStyle w:val="10"/>
                <w:rFonts w:hint="eastAsia"/>
              </w:rPr>
              <w:t>质量保证期：</w:t>
            </w:r>
            <w:r>
              <w:rPr>
                <w:rStyle w:val="11"/>
                <w:rFonts w:hint="eastAsia"/>
              </w:rPr>
              <w:t>2年</w:t>
            </w:r>
          </w:p>
        </w:tc>
      </w:tr>
      <w:tr w14:paraId="312B4D90">
        <w:tblPrEx>
          <w:tblCellMar>
            <w:top w:w="0" w:type="dxa"/>
            <w:left w:w="0" w:type="dxa"/>
            <w:bottom w:w="0" w:type="dxa"/>
            <w:right w:w="0" w:type="dxa"/>
          </w:tblCellMar>
        </w:tblPrEx>
        <w:trPr>
          <w:wBefore w:w="0" w:type="auto"/>
          <w:tblCellSpacing w:w="0" w:type="dxa"/>
        </w:trPr>
        <w:tc>
          <w:tcPr>
            <w:tcW w:w="0" w:type="auto"/>
            <w:noWrap w:val="0"/>
            <w:vAlign w:val="center"/>
          </w:tcPr>
          <w:p w14:paraId="00931931">
            <w:r>
              <w:rPr>
                <w:rStyle w:val="10"/>
                <w:rFonts w:hint="eastAsia"/>
              </w:rPr>
              <w:t>备注：</w:t>
            </w:r>
          </w:p>
        </w:tc>
      </w:tr>
    </w:tbl>
    <w:p w14:paraId="1A93DC4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D5D461">
        <w:tblPrEx>
          <w:tblCellMar>
            <w:top w:w="0" w:type="dxa"/>
            <w:left w:w="0" w:type="dxa"/>
            <w:bottom w:w="0" w:type="dxa"/>
            <w:right w:w="0" w:type="dxa"/>
          </w:tblCellMar>
        </w:tblPrEx>
        <w:trPr>
          <w:wBefore w:w="0" w:type="auto"/>
          <w:tblCellSpacing w:w="0" w:type="dxa"/>
        </w:trPr>
        <w:tc>
          <w:tcPr>
            <w:tcW w:w="0" w:type="auto"/>
            <w:noWrap w:val="0"/>
            <w:vAlign w:val="center"/>
          </w:tcPr>
          <w:p w14:paraId="5A3AEF81">
            <w:r>
              <w:rPr>
                <w:rStyle w:val="10"/>
                <w:rFonts w:hint="eastAsia"/>
              </w:rPr>
              <w:t>登记证号：</w:t>
            </w:r>
            <w:r>
              <w:rPr>
                <w:rFonts w:hint="eastAsia"/>
              </w:rPr>
              <w:t>PD20212554</w:t>
            </w:r>
          </w:p>
        </w:tc>
      </w:tr>
      <w:tr w14:paraId="4B0D3CA8">
        <w:tblPrEx>
          <w:tblCellMar>
            <w:top w:w="0" w:type="dxa"/>
            <w:left w:w="0" w:type="dxa"/>
            <w:bottom w:w="0" w:type="dxa"/>
            <w:right w:w="0" w:type="dxa"/>
          </w:tblCellMar>
        </w:tblPrEx>
        <w:trPr>
          <w:wBefore w:w="0" w:type="auto"/>
          <w:tblCellSpacing w:w="0" w:type="dxa"/>
        </w:trPr>
        <w:tc>
          <w:tcPr>
            <w:tcW w:w="0" w:type="auto"/>
            <w:noWrap w:val="0"/>
            <w:vAlign w:val="center"/>
          </w:tcPr>
          <w:p w14:paraId="6376EC67">
            <w:r>
              <w:rPr>
                <w:rStyle w:val="10"/>
                <w:rFonts w:hint="eastAsia"/>
              </w:rPr>
              <w:t>登记证持有人：</w:t>
            </w:r>
            <w:r>
              <w:rPr>
                <w:rFonts w:hint="eastAsia"/>
              </w:rPr>
              <w:t>安徽金土地生物科技有限公司</w:t>
            </w:r>
          </w:p>
        </w:tc>
      </w:tr>
      <w:tr w14:paraId="2C7B2D0B">
        <w:tblPrEx>
          <w:tblCellMar>
            <w:top w:w="0" w:type="dxa"/>
            <w:left w:w="0" w:type="dxa"/>
            <w:bottom w:w="0" w:type="dxa"/>
            <w:right w:w="0" w:type="dxa"/>
          </w:tblCellMar>
        </w:tblPrEx>
        <w:trPr>
          <w:wBefore w:w="0" w:type="auto"/>
          <w:tblCellSpacing w:w="0" w:type="dxa"/>
        </w:trPr>
        <w:tc>
          <w:tcPr>
            <w:tcW w:w="0" w:type="auto"/>
            <w:noWrap w:val="0"/>
            <w:vAlign w:val="center"/>
          </w:tcPr>
          <w:p w14:paraId="523AA05C">
            <w:r>
              <w:rPr>
                <w:rStyle w:val="10"/>
                <w:rFonts w:hint="eastAsia"/>
              </w:rPr>
              <w:t>农药名称：</w:t>
            </w:r>
            <w:r>
              <w:rPr>
                <w:rFonts w:hint="eastAsia"/>
              </w:rPr>
              <w:t>双草醚</w:t>
            </w:r>
          </w:p>
        </w:tc>
      </w:tr>
      <w:tr w14:paraId="36B6EECE">
        <w:tblPrEx>
          <w:tblCellMar>
            <w:top w:w="0" w:type="dxa"/>
            <w:left w:w="0" w:type="dxa"/>
            <w:bottom w:w="0" w:type="dxa"/>
            <w:right w:w="0" w:type="dxa"/>
          </w:tblCellMar>
        </w:tblPrEx>
        <w:trPr>
          <w:wBefore w:w="0" w:type="auto"/>
          <w:tblCellSpacing w:w="0" w:type="dxa"/>
        </w:trPr>
        <w:tc>
          <w:tcPr>
            <w:tcW w:w="0" w:type="auto"/>
            <w:noWrap w:val="0"/>
            <w:vAlign w:val="center"/>
          </w:tcPr>
          <w:p w14:paraId="6E7909A0">
            <w:r>
              <w:rPr>
                <w:rStyle w:val="10"/>
                <w:rFonts w:hint="eastAsia"/>
              </w:rPr>
              <w:t>剂型：</w:t>
            </w:r>
            <w:r>
              <w:rPr>
                <w:rFonts w:hint="eastAsia"/>
              </w:rPr>
              <w:t>可分散油悬浮剂</w:t>
            </w:r>
          </w:p>
        </w:tc>
      </w:tr>
      <w:tr w14:paraId="306EB496">
        <w:tblPrEx>
          <w:tblCellMar>
            <w:top w:w="0" w:type="dxa"/>
            <w:left w:w="0" w:type="dxa"/>
            <w:bottom w:w="0" w:type="dxa"/>
            <w:right w:w="0" w:type="dxa"/>
          </w:tblCellMar>
        </w:tblPrEx>
        <w:trPr>
          <w:wBefore w:w="0" w:type="auto"/>
          <w:tblCellSpacing w:w="0" w:type="dxa"/>
        </w:trPr>
        <w:tc>
          <w:tcPr>
            <w:tcW w:w="0" w:type="auto"/>
            <w:noWrap w:val="0"/>
            <w:vAlign w:val="center"/>
          </w:tcPr>
          <w:p w14:paraId="323641F8">
            <w:r>
              <w:rPr>
                <w:rStyle w:val="10"/>
                <w:rFonts w:hint="eastAsia"/>
              </w:rPr>
              <w:t>毒性及其标识：</w:t>
            </w:r>
            <w:r>
              <w:rPr>
                <w:rFonts w:hint="eastAsia"/>
              </w:rPr>
              <w:t xml:space="preserve"> 微毒 </w:t>
            </w:r>
          </w:p>
        </w:tc>
      </w:tr>
      <w:tr w14:paraId="5EEE1545">
        <w:tblPrEx>
          <w:tblCellMar>
            <w:top w:w="0" w:type="dxa"/>
            <w:left w:w="0" w:type="dxa"/>
            <w:bottom w:w="0" w:type="dxa"/>
            <w:right w:w="0" w:type="dxa"/>
          </w:tblCellMar>
        </w:tblPrEx>
        <w:trPr>
          <w:wBefore w:w="0" w:type="auto"/>
          <w:tblCellSpacing w:w="0" w:type="dxa"/>
        </w:trPr>
        <w:tc>
          <w:tcPr>
            <w:tcW w:w="0" w:type="auto"/>
            <w:noWrap w:val="0"/>
            <w:vAlign w:val="center"/>
          </w:tcPr>
          <w:p w14:paraId="0249280D">
            <w:r>
              <w:rPr>
                <w:rStyle w:val="10"/>
                <w:rFonts w:hint="eastAsia"/>
              </w:rPr>
              <w:t>总有效成分含量：</w:t>
            </w:r>
            <w:r>
              <w:rPr>
                <w:rFonts w:hint="eastAsia"/>
              </w:rPr>
              <w:t>20%</w:t>
            </w:r>
          </w:p>
        </w:tc>
      </w:tr>
      <w:tr w14:paraId="61245D41">
        <w:tblPrEx>
          <w:tblCellMar>
            <w:top w:w="0" w:type="dxa"/>
            <w:left w:w="0" w:type="dxa"/>
            <w:bottom w:w="0" w:type="dxa"/>
            <w:right w:w="0" w:type="dxa"/>
          </w:tblCellMar>
        </w:tblPrEx>
        <w:trPr>
          <w:wBefore w:w="0" w:type="auto"/>
          <w:tblCellSpacing w:w="0" w:type="dxa"/>
        </w:trPr>
        <w:tc>
          <w:tcPr>
            <w:tcW w:w="0" w:type="auto"/>
            <w:noWrap w:val="0"/>
            <w:vAlign w:val="center"/>
          </w:tcPr>
          <w:p w14:paraId="0E663880">
            <w:r>
              <w:rPr>
                <w:rFonts w:hint="eastAsia"/>
              </w:rPr>
              <w:t xml:space="preserve">有效成分及其含量： </w:t>
            </w:r>
          </w:p>
          <w:p w14:paraId="318150BB">
            <w:r>
              <w:rPr>
                <w:rFonts w:hint="eastAsia"/>
              </w:rPr>
              <w:t xml:space="preserve">    双草醚20%    </w:t>
            </w:r>
          </w:p>
        </w:tc>
      </w:tr>
      <w:tr w14:paraId="2F281B09">
        <w:tblPrEx>
          <w:tblCellMar>
            <w:top w:w="0" w:type="dxa"/>
            <w:left w:w="0" w:type="dxa"/>
            <w:bottom w:w="0" w:type="dxa"/>
            <w:right w:w="0" w:type="dxa"/>
          </w:tblCellMar>
        </w:tblPrEx>
        <w:trPr>
          <w:wBefore w:w="0" w:type="auto"/>
          <w:tblCellSpacing w:w="0" w:type="dxa"/>
        </w:trPr>
        <w:tc>
          <w:tcPr>
            <w:tcW w:w="0" w:type="auto"/>
            <w:noWrap w:val="0"/>
            <w:vAlign w:val="center"/>
          </w:tcPr>
          <w:p w14:paraId="37BDF9A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5B1F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A91B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0ABD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160F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FE703A">
                  <w:r>
                    <w:rPr>
                      <w:rStyle w:val="11"/>
                      <w:rFonts w:hint="eastAsia"/>
                    </w:rPr>
                    <w:t>施用方式</w:t>
                  </w:r>
                </w:p>
              </w:tc>
            </w:tr>
            <w:tr w14:paraId="425C3C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2E8E8B">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A367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DF4B6">
                  <w:r>
                    <w:rPr>
                      <w:rStyle w:val="11"/>
                      <w:rFonts w:hint="eastAsia"/>
                    </w:rPr>
                    <w:t>9-15毫升/亩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26FB6B">
                  <w:r>
                    <w:rPr>
                      <w:rStyle w:val="11"/>
                      <w:rFonts w:hint="eastAsia"/>
                    </w:rPr>
                    <w:t>茎叶喷雾</w:t>
                  </w:r>
                </w:p>
              </w:tc>
            </w:tr>
          </w:tbl>
          <w:p w14:paraId="0FBFCD1F">
            <w:pPr>
              <w:rPr>
                <w:rFonts w:ascii="Times New Roman" w:hAnsi="Times New Roman" w:cs="Times New Roman"/>
                <w:sz w:val="20"/>
                <w:szCs w:val="20"/>
              </w:rPr>
            </w:pPr>
          </w:p>
        </w:tc>
      </w:tr>
      <w:tr w14:paraId="79406A67">
        <w:tblPrEx>
          <w:tblCellMar>
            <w:top w:w="0" w:type="dxa"/>
            <w:left w:w="0" w:type="dxa"/>
            <w:bottom w:w="0" w:type="dxa"/>
            <w:right w:w="0" w:type="dxa"/>
          </w:tblCellMar>
        </w:tblPrEx>
        <w:trPr>
          <w:wBefore w:w="0" w:type="auto"/>
          <w:tblCellSpacing w:w="0" w:type="dxa"/>
        </w:trPr>
        <w:tc>
          <w:tcPr>
            <w:tcW w:w="0" w:type="auto"/>
            <w:noWrap w:val="0"/>
            <w:vAlign w:val="center"/>
          </w:tcPr>
          <w:p w14:paraId="04A9E63E">
            <w:r>
              <w:rPr>
                <w:rStyle w:val="10"/>
                <w:rFonts w:hint="eastAsia"/>
              </w:rPr>
              <w:t>使用技术要求:</w:t>
            </w:r>
            <w:r>
              <w:rPr>
                <w:rFonts w:hint="eastAsia"/>
              </w:rPr>
              <w:br w:type="textWrapping"/>
            </w:r>
            <w:r>
              <w:rPr>
                <w:rStyle w:val="11"/>
                <w:rFonts w:hint="eastAsia"/>
              </w:rPr>
              <w:t>1. 于水稻3-5叶期，杂草2-4叶期施药，兑水30-40升/亩，茎叶喷雾处理。 2、施药前排水，使杂草茎叶2/3以上露出水面，施药后24-48h回水，保持3-5cm水层5-7天，注意避免淹没水稻秧苗心叶，之后正常田间管理。3、大风天或预计6小时内降雨，请勿施药。4、每季最多施药1次，尽量避免过早或过晚施药。</w:t>
            </w:r>
          </w:p>
        </w:tc>
      </w:tr>
      <w:tr w14:paraId="0B36E064">
        <w:tblPrEx>
          <w:tblCellMar>
            <w:top w:w="0" w:type="dxa"/>
            <w:left w:w="0" w:type="dxa"/>
            <w:bottom w:w="0" w:type="dxa"/>
            <w:right w:w="0" w:type="dxa"/>
          </w:tblCellMar>
        </w:tblPrEx>
        <w:trPr>
          <w:wBefore w:w="0" w:type="auto"/>
          <w:tblCellSpacing w:w="0" w:type="dxa"/>
        </w:trPr>
        <w:tc>
          <w:tcPr>
            <w:tcW w:w="0" w:type="auto"/>
            <w:noWrap w:val="0"/>
            <w:vAlign w:val="center"/>
          </w:tcPr>
          <w:p w14:paraId="19735F26">
            <w:r>
              <w:rPr>
                <w:rStyle w:val="10"/>
                <w:rFonts w:hint="eastAsia"/>
              </w:rPr>
              <w:t>产品性能:</w:t>
            </w:r>
            <w:r>
              <w:rPr>
                <w:rFonts w:hint="eastAsia"/>
              </w:rPr>
              <w:br w:type="textWrapping"/>
            </w:r>
            <w:r>
              <w:rPr>
                <w:rStyle w:val="11"/>
                <w:rFonts w:hint="eastAsia"/>
              </w:rPr>
              <w:t>双草醚属于苯甲酸类除草剂，是高活性的乙酰乳酸合成酶（ALS）抑制剂，本品施药后能很快被杂草的茎叶吸收，并传导至整个植株，抑制植物分生组织生长，从而杀死杂草。可有效防治水稻直播田一年生杂草。</w:t>
            </w:r>
          </w:p>
        </w:tc>
      </w:tr>
      <w:tr w14:paraId="1E4541EA">
        <w:tblPrEx>
          <w:tblCellMar>
            <w:top w:w="0" w:type="dxa"/>
            <w:left w:w="0" w:type="dxa"/>
            <w:bottom w:w="0" w:type="dxa"/>
            <w:right w:w="0" w:type="dxa"/>
          </w:tblCellMar>
        </w:tblPrEx>
        <w:trPr>
          <w:wBefore w:w="0" w:type="auto"/>
          <w:tblCellSpacing w:w="0" w:type="dxa"/>
        </w:trPr>
        <w:tc>
          <w:tcPr>
            <w:tcW w:w="0" w:type="auto"/>
            <w:noWrap w:val="0"/>
            <w:vAlign w:val="center"/>
          </w:tcPr>
          <w:p w14:paraId="0858FFC1">
            <w:r>
              <w:rPr>
                <w:rStyle w:val="10"/>
                <w:rFonts w:hint="eastAsia"/>
              </w:rPr>
              <w:t>注意事项：</w:t>
            </w:r>
            <w:r>
              <w:rPr>
                <w:rFonts w:hint="eastAsia"/>
              </w:rPr>
              <w:br w:type="textWrapping"/>
            </w:r>
            <w:r>
              <w:rPr>
                <w:rStyle w:val="11"/>
                <w:rFonts w:hint="eastAsia"/>
              </w:rPr>
              <w:t>1.严格按推荐的使用技术施用，不得超范围使用，粳稻上慎用，叶龄不要过小。2.本剂对鱼等水生生物有毒，应避免污染鱼塘和水源等，禁止在河塘等水体清洗施药器械。3.远离水产养殖区、河塘等水域施药。鱼或虾蟹套养稻田禁用。施药后的田水不得排入水体。4.桑园及蚕室附近禁用5.应避免药液接触眼睛粘膜和伤口，施药人员施药时必须戴防护口罩、眼镜，穿长衣长裤。在操作时禁止吸烟、喝水、吃东西。6.孕妇和哺乳期妇女避免接触此药。7.用过的容器应妥善处理，不可做他用，也不可随意丢弃。8.避免与氧化剂接触。</w:t>
            </w:r>
          </w:p>
        </w:tc>
      </w:tr>
      <w:tr w14:paraId="4F53E058">
        <w:tblPrEx>
          <w:tblCellMar>
            <w:top w:w="0" w:type="dxa"/>
            <w:left w:w="0" w:type="dxa"/>
            <w:bottom w:w="0" w:type="dxa"/>
            <w:right w:w="0" w:type="dxa"/>
          </w:tblCellMar>
        </w:tblPrEx>
        <w:trPr>
          <w:wBefore w:w="0" w:type="auto"/>
          <w:tblCellSpacing w:w="0" w:type="dxa"/>
        </w:trPr>
        <w:tc>
          <w:tcPr>
            <w:tcW w:w="0" w:type="auto"/>
            <w:noWrap w:val="0"/>
            <w:vAlign w:val="center"/>
          </w:tcPr>
          <w:p w14:paraId="57CD6172">
            <w:r>
              <w:rPr>
                <w:rStyle w:val="10"/>
                <w:rFonts w:hint="eastAsia"/>
              </w:rPr>
              <w:t>中毒急救措施：</w:t>
            </w:r>
            <w:r>
              <w:rPr>
                <w:rFonts w:hint="eastAsia"/>
              </w:rPr>
              <w:br w:type="textWrapping"/>
            </w:r>
            <w:r>
              <w:rPr>
                <w:rStyle w:val="11"/>
                <w:rFonts w:hint="eastAsia"/>
              </w:rPr>
              <w:t>1、皮肤接触：立即脱掉污染的衣物，用肥皂和大量清水彻底清洗污染的皮肤。2、眼睛接触：立即分开眼睑，用清水冲洗眼至少15分钟，再请医生诊治。3、吸入：立即将患者转移到空气新鲜处，再请医生诊治。4、误服：立即携带标签，送医院就诊，对症治疗。5、本品无特效解毒剂，应对症治疗。</w:t>
            </w:r>
          </w:p>
        </w:tc>
      </w:tr>
      <w:tr w14:paraId="04E183E0">
        <w:tblPrEx>
          <w:tblCellMar>
            <w:top w:w="0" w:type="dxa"/>
            <w:left w:w="0" w:type="dxa"/>
            <w:bottom w:w="0" w:type="dxa"/>
            <w:right w:w="0" w:type="dxa"/>
          </w:tblCellMar>
        </w:tblPrEx>
        <w:trPr>
          <w:wBefore w:w="0" w:type="auto"/>
          <w:tblCellSpacing w:w="0" w:type="dxa"/>
        </w:trPr>
        <w:tc>
          <w:tcPr>
            <w:tcW w:w="0" w:type="auto"/>
            <w:noWrap w:val="0"/>
            <w:vAlign w:val="center"/>
          </w:tcPr>
          <w:p w14:paraId="34D9964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755A29E8">
        <w:tblPrEx>
          <w:tblCellMar>
            <w:top w:w="0" w:type="dxa"/>
            <w:left w:w="0" w:type="dxa"/>
            <w:bottom w:w="0" w:type="dxa"/>
            <w:right w:w="0" w:type="dxa"/>
          </w:tblCellMar>
        </w:tblPrEx>
        <w:trPr>
          <w:wBefore w:w="0" w:type="auto"/>
          <w:tblCellSpacing w:w="0" w:type="dxa"/>
        </w:trPr>
        <w:tc>
          <w:tcPr>
            <w:tcW w:w="0" w:type="auto"/>
            <w:noWrap w:val="0"/>
            <w:vAlign w:val="center"/>
          </w:tcPr>
          <w:p w14:paraId="7041A69B">
            <w:r>
              <w:rPr>
                <w:rStyle w:val="10"/>
                <w:rFonts w:hint="eastAsia"/>
              </w:rPr>
              <w:t>质量保证期：</w:t>
            </w:r>
            <w:r>
              <w:rPr>
                <w:rStyle w:val="11"/>
                <w:rFonts w:hint="eastAsia"/>
              </w:rPr>
              <w:t>2年</w:t>
            </w:r>
          </w:p>
        </w:tc>
      </w:tr>
      <w:tr w14:paraId="71666037">
        <w:tblPrEx>
          <w:tblCellMar>
            <w:top w:w="0" w:type="dxa"/>
            <w:left w:w="0" w:type="dxa"/>
            <w:bottom w:w="0" w:type="dxa"/>
            <w:right w:w="0" w:type="dxa"/>
          </w:tblCellMar>
        </w:tblPrEx>
        <w:trPr>
          <w:wBefore w:w="0" w:type="auto"/>
          <w:tblCellSpacing w:w="0" w:type="dxa"/>
        </w:trPr>
        <w:tc>
          <w:tcPr>
            <w:tcW w:w="0" w:type="auto"/>
            <w:noWrap w:val="0"/>
            <w:vAlign w:val="center"/>
          </w:tcPr>
          <w:p w14:paraId="3583722E">
            <w:r>
              <w:rPr>
                <w:rStyle w:val="10"/>
                <w:rFonts w:hint="eastAsia"/>
              </w:rPr>
              <w:t>备注：</w:t>
            </w:r>
          </w:p>
        </w:tc>
      </w:tr>
    </w:tbl>
    <w:p w14:paraId="0C3B603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8F9A23">
        <w:tblPrEx>
          <w:tblCellMar>
            <w:top w:w="0" w:type="dxa"/>
            <w:left w:w="0" w:type="dxa"/>
            <w:bottom w:w="0" w:type="dxa"/>
            <w:right w:w="0" w:type="dxa"/>
          </w:tblCellMar>
        </w:tblPrEx>
        <w:trPr>
          <w:wBefore w:w="0" w:type="auto"/>
          <w:tblCellSpacing w:w="0" w:type="dxa"/>
        </w:trPr>
        <w:tc>
          <w:tcPr>
            <w:tcW w:w="0" w:type="auto"/>
            <w:noWrap w:val="0"/>
            <w:vAlign w:val="center"/>
          </w:tcPr>
          <w:p w14:paraId="7FF44CB5">
            <w:r>
              <w:rPr>
                <w:rStyle w:val="10"/>
                <w:rFonts w:hint="eastAsia"/>
              </w:rPr>
              <w:t>登记证号：</w:t>
            </w:r>
            <w:r>
              <w:rPr>
                <w:rFonts w:hint="eastAsia"/>
              </w:rPr>
              <w:t>PD20212360</w:t>
            </w:r>
          </w:p>
        </w:tc>
      </w:tr>
      <w:tr w14:paraId="1C92D3FB">
        <w:tblPrEx>
          <w:tblCellMar>
            <w:top w:w="0" w:type="dxa"/>
            <w:left w:w="0" w:type="dxa"/>
            <w:bottom w:w="0" w:type="dxa"/>
            <w:right w:w="0" w:type="dxa"/>
          </w:tblCellMar>
        </w:tblPrEx>
        <w:trPr>
          <w:wBefore w:w="0" w:type="auto"/>
          <w:tblCellSpacing w:w="0" w:type="dxa"/>
        </w:trPr>
        <w:tc>
          <w:tcPr>
            <w:tcW w:w="0" w:type="auto"/>
            <w:noWrap w:val="0"/>
            <w:vAlign w:val="center"/>
          </w:tcPr>
          <w:p w14:paraId="771C4BDA">
            <w:r>
              <w:rPr>
                <w:rStyle w:val="10"/>
                <w:rFonts w:hint="eastAsia"/>
              </w:rPr>
              <w:t>登记证持有人：</w:t>
            </w:r>
            <w:r>
              <w:rPr>
                <w:rFonts w:hint="eastAsia"/>
              </w:rPr>
              <w:t>平顶山市益农科技有限公司</w:t>
            </w:r>
          </w:p>
        </w:tc>
      </w:tr>
      <w:tr w14:paraId="55972429">
        <w:tblPrEx>
          <w:tblCellMar>
            <w:top w:w="0" w:type="dxa"/>
            <w:left w:w="0" w:type="dxa"/>
            <w:bottom w:w="0" w:type="dxa"/>
            <w:right w:w="0" w:type="dxa"/>
          </w:tblCellMar>
        </w:tblPrEx>
        <w:trPr>
          <w:wBefore w:w="0" w:type="auto"/>
          <w:tblCellSpacing w:w="0" w:type="dxa"/>
        </w:trPr>
        <w:tc>
          <w:tcPr>
            <w:tcW w:w="0" w:type="auto"/>
            <w:noWrap w:val="0"/>
            <w:vAlign w:val="center"/>
          </w:tcPr>
          <w:p w14:paraId="437F6ED2">
            <w:r>
              <w:rPr>
                <w:rStyle w:val="10"/>
                <w:rFonts w:hint="eastAsia"/>
              </w:rPr>
              <w:t>农药名称：</w:t>
            </w:r>
            <w:r>
              <w:rPr>
                <w:rFonts w:hint="eastAsia"/>
              </w:rPr>
              <w:t>甲维·虱螨脲</w:t>
            </w:r>
          </w:p>
        </w:tc>
      </w:tr>
      <w:tr w14:paraId="1E733A4C">
        <w:tblPrEx>
          <w:tblCellMar>
            <w:top w:w="0" w:type="dxa"/>
            <w:left w:w="0" w:type="dxa"/>
            <w:bottom w:w="0" w:type="dxa"/>
            <w:right w:w="0" w:type="dxa"/>
          </w:tblCellMar>
        </w:tblPrEx>
        <w:trPr>
          <w:wBefore w:w="0" w:type="auto"/>
          <w:tblCellSpacing w:w="0" w:type="dxa"/>
        </w:trPr>
        <w:tc>
          <w:tcPr>
            <w:tcW w:w="0" w:type="auto"/>
            <w:noWrap w:val="0"/>
            <w:vAlign w:val="center"/>
          </w:tcPr>
          <w:p w14:paraId="4A81E911">
            <w:r>
              <w:rPr>
                <w:rStyle w:val="10"/>
                <w:rFonts w:hint="eastAsia"/>
              </w:rPr>
              <w:t>剂型：</w:t>
            </w:r>
            <w:r>
              <w:rPr>
                <w:rFonts w:hint="eastAsia"/>
              </w:rPr>
              <w:t>悬浮剂</w:t>
            </w:r>
          </w:p>
        </w:tc>
      </w:tr>
      <w:tr w14:paraId="494AD8D5">
        <w:tblPrEx>
          <w:tblCellMar>
            <w:top w:w="0" w:type="dxa"/>
            <w:left w:w="0" w:type="dxa"/>
            <w:bottom w:w="0" w:type="dxa"/>
            <w:right w:w="0" w:type="dxa"/>
          </w:tblCellMar>
        </w:tblPrEx>
        <w:trPr>
          <w:wBefore w:w="0" w:type="auto"/>
          <w:tblCellSpacing w:w="0" w:type="dxa"/>
        </w:trPr>
        <w:tc>
          <w:tcPr>
            <w:tcW w:w="0" w:type="auto"/>
            <w:noWrap w:val="0"/>
            <w:vAlign w:val="center"/>
          </w:tcPr>
          <w:p w14:paraId="1268F0F0">
            <w:r>
              <w:rPr>
                <w:rStyle w:val="10"/>
                <w:rFonts w:hint="eastAsia"/>
              </w:rPr>
              <w:t>毒性及其标识：</w:t>
            </w:r>
            <w:r>
              <w:rPr>
                <w:rFonts w:hint="eastAsia"/>
              </w:rPr>
              <w:t xml:space="preserve"> </w:t>
            </w:r>
            <w:r>
              <w:rPr>
                <w:lang/>
              </w:rPr>
              <w:drawing>
                <wp:inline distT="0" distB="0" distL="114300" distR="114300">
                  <wp:extent cx="476250" cy="323850"/>
                  <wp:effectExtent l="0" t="0" r="0" b="0"/>
                  <wp:docPr id="198" name="图片 1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E862B3">
        <w:tblPrEx>
          <w:tblCellMar>
            <w:top w:w="0" w:type="dxa"/>
            <w:left w:w="0" w:type="dxa"/>
            <w:bottom w:w="0" w:type="dxa"/>
            <w:right w:w="0" w:type="dxa"/>
          </w:tblCellMar>
        </w:tblPrEx>
        <w:trPr>
          <w:wBefore w:w="0" w:type="auto"/>
          <w:tblCellSpacing w:w="0" w:type="dxa"/>
        </w:trPr>
        <w:tc>
          <w:tcPr>
            <w:tcW w:w="0" w:type="auto"/>
            <w:noWrap w:val="0"/>
            <w:vAlign w:val="center"/>
          </w:tcPr>
          <w:p w14:paraId="386E0CF9">
            <w:r>
              <w:rPr>
                <w:rStyle w:val="10"/>
                <w:rFonts w:hint="eastAsia"/>
              </w:rPr>
              <w:t>总有效成分含量：</w:t>
            </w:r>
            <w:r>
              <w:rPr>
                <w:rFonts w:hint="eastAsia"/>
              </w:rPr>
              <w:t>9.8%</w:t>
            </w:r>
          </w:p>
        </w:tc>
      </w:tr>
      <w:tr w14:paraId="132E5887">
        <w:tblPrEx>
          <w:tblCellMar>
            <w:top w:w="0" w:type="dxa"/>
            <w:left w:w="0" w:type="dxa"/>
            <w:bottom w:w="0" w:type="dxa"/>
            <w:right w:w="0" w:type="dxa"/>
          </w:tblCellMar>
        </w:tblPrEx>
        <w:trPr>
          <w:wBefore w:w="0" w:type="auto"/>
          <w:tblCellSpacing w:w="0" w:type="dxa"/>
        </w:trPr>
        <w:tc>
          <w:tcPr>
            <w:tcW w:w="0" w:type="auto"/>
            <w:noWrap w:val="0"/>
            <w:vAlign w:val="center"/>
          </w:tcPr>
          <w:p w14:paraId="1D3015C2">
            <w:r>
              <w:rPr>
                <w:rFonts w:hint="eastAsia"/>
              </w:rPr>
              <w:t xml:space="preserve">有效成分及其含量： </w:t>
            </w:r>
          </w:p>
          <w:p w14:paraId="255D6449">
            <w:r>
              <w:rPr>
                <w:rFonts w:hint="eastAsia"/>
              </w:rPr>
              <w:t xml:space="preserve">    甲氨基阿维菌素1.8%    虱螨脲8%    </w:t>
            </w:r>
          </w:p>
        </w:tc>
      </w:tr>
      <w:tr w14:paraId="7E811A72">
        <w:tblPrEx>
          <w:tblCellMar>
            <w:top w:w="0" w:type="dxa"/>
            <w:left w:w="0" w:type="dxa"/>
            <w:bottom w:w="0" w:type="dxa"/>
            <w:right w:w="0" w:type="dxa"/>
          </w:tblCellMar>
        </w:tblPrEx>
        <w:trPr>
          <w:wBefore w:w="0" w:type="auto"/>
          <w:tblCellSpacing w:w="0" w:type="dxa"/>
        </w:trPr>
        <w:tc>
          <w:tcPr>
            <w:tcW w:w="0" w:type="auto"/>
            <w:noWrap w:val="0"/>
            <w:vAlign w:val="center"/>
          </w:tcPr>
          <w:p w14:paraId="30E091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810D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8714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0F63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50BA8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FA35B4">
                  <w:r>
                    <w:rPr>
                      <w:rStyle w:val="11"/>
                      <w:rFonts w:hint="eastAsia"/>
                    </w:rPr>
                    <w:t>施用方式</w:t>
                  </w:r>
                </w:p>
              </w:tc>
            </w:tr>
            <w:tr w14:paraId="09D2F5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3E2C89">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8CFFEC">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8DA428">
                  <w:r>
                    <w:rPr>
                      <w:rStyle w:val="11"/>
                      <w:rFonts w:hint="eastAsia"/>
                    </w:rPr>
                    <w:t>9-15毫升/亩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C17E48">
                  <w:r>
                    <w:rPr>
                      <w:rStyle w:val="11"/>
                      <w:rFonts w:hint="eastAsia"/>
                    </w:rPr>
                    <w:t>喷雾</w:t>
                  </w:r>
                </w:p>
              </w:tc>
            </w:tr>
          </w:tbl>
          <w:p w14:paraId="305FB3B4">
            <w:pPr>
              <w:rPr>
                <w:rFonts w:ascii="Times New Roman" w:hAnsi="Times New Roman" w:cs="Times New Roman"/>
                <w:sz w:val="20"/>
                <w:szCs w:val="20"/>
              </w:rPr>
            </w:pPr>
          </w:p>
        </w:tc>
      </w:tr>
      <w:tr w14:paraId="4B4CEBCB">
        <w:tblPrEx>
          <w:tblCellMar>
            <w:top w:w="0" w:type="dxa"/>
            <w:left w:w="0" w:type="dxa"/>
            <w:bottom w:w="0" w:type="dxa"/>
            <w:right w:w="0" w:type="dxa"/>
          </w:tblCellMar>
        </w:tblPrEx>
        <w:trPr>
          <w:wBefore w:w="0" w:type="auto"/>
          <w:tblCellSpacing w:w="0" w:type="dxa"/>
        </w:trPr>
        <w:tc>
          <w:tcPr>
            <w:tcW w:w="0" w:type="auto"/>
            <w:noWrap w:val="0"/>
            <w:vAlign w:val="center"/>
          </w:tcPr>
          <w:p w14:paraId="05DFA468">
            <w:r>
              <w:rPr>
                <w:rStyle w:val="10"/>
                <w:rFonts w:hint="eastAsia"/>
              </w:rPr>
              <w:t>使用技术要求:</w:t>
            </w:r>
            <w:r>
              <w:rPr>
                <w:rFonts w:hint="eastAsia"/>
              </w:rPr>
              <w:br w:type="textWrapping"/>
            </w:r>
            <w:r>
              <w:rPr>
                <w:rStyle w:val="11"/>
                <w:rFonts w:hint="eastAsia"/>
              </w:rPr>
              <w:t>使用技术要求 1、本品甘蓝小菜蛾幼虫盛发期开始用药。喷雾要均匀周到。 2、大风天或预计1小时内有雨，请勿施药。 3、在甘蓝作物上的安全间隔期为7天，每季最多施药1次。</w:t>
            </w:r>
          </w:p>
        </w:tc>
      </w:tr>
      <w:tr w14:paraId="36CA136F">
        <w:tblPrEx>
          <w:tblCellMar>
            <w:top w:w="0" w:type="dxa"/>
            <w:left w:w="0" w:type="dxa"/>
            <w:bottom w:w="0" w:type="dxa"/>
            <w:right w:w="0" w:type="dxa"/>
          </w:tblCellMar>
        </w:tblPrEx>
        <w:trPr>
          <w:wBefore w:w="0" w:type="auto"/>
          <w:tblCellSpacing w:w="0" w:type="dxa"/>
        </w:trPr>
        <w:tc>
          <w:tcPr>
            <w:tcW w:w="0" w:type="auto"/>
            <w:noWrap w:val="0"/>
            <w:vAlign w:val="center"/>
          </w:tcPr>
          <w:p w14:paraId="4E1F8974">
            <w:r>
              <w:rPr>
                <w:rStyle w:val="10"/>
                <w:rFonts w:hint="eastAsia"/>
              </w:rPr>
              <w:t>产品性能:</w:t>
            </w:r>
            <w:r>
              <w:rPr>
                <w:rFonts w:hint="eastAsia"/>
              </w:rPr>
              <w:br w:type="textWrapping"/>
            </w:r>
            <w:r>
              <w:rPr>
                <w:rStyle w:val="11"/>
                <w:rFonts w:hint="eastAsia"/>
              </w:rPr>
              <w:t>本品为虱螨脲与甲氨基阿维菌素苯甲酸盐的复配制剂，作用方式以胃毒为主触杀作用，对作物安全,持效期较长，对防治甘蓝小菜蛾具有较好的防效。</w:t>
            </w:r>
          </w:p>
        </w:tc>
      </w:tr>
      <w:tr w14:paraId="2698747B">
        <w:tblPrEx>
          <w:tblCellMar>
            <w:top w:w="0" w:type="dxa"/>
            <w:left w:w="0" w:type="dxa"/>
            <w:bottom w:w="0" w:type="dxa"/>
            <w:right w:w="0" w:type="dxa"/>
          </w:tblCellMar>
        </w:tblPrEx>
        <w:trPr>
          <w:wBefore w:w="0" w:type="auto"/>
          <w:tblCellSpacing w:w="0" w:type="dxa"/>
        </w:trPr>
        <w:tc>
          <w:tcPr>
            <w:tcW w:w="0" w:type="auto"/>
            <w:noWrap w:val="0"/>
            <w:vAlign w:val="center"/>
          </w:tcPr>
          <w:p w14:paraId="6C74F195">
            <w:r>
              <w:rPr>
                <w:rStyle w:val="10"/>
                <w:rFonts w:hint="eastAsia"/>
              </w:rPr>
              <w:t>注意事项：</w:t>
            </w:r>
            <w:r>
              <w:rPr>
                <w:rFonts w:hint="eastAsia"/>
              </w:rPr>
              <w:br w:type="textWrapping"/>
            </w:r>
            <w:r>
              <w:rPr>
                <w:rStyle w:val="11"/>
                <w:rFonts w:hint="eastAsia"/>
              </w:rPr>
              <w:t>1）使用本品应采取相应的安全防护措施，配药和施药时，穿防护服、穿胶鞋，戴口罩及手套，以避免污染皮肤和眼睛，施药完毕后及时换洗衣物，洗净手、脸和被污染的皮肤。 2）施药前、后要彻底清洗喷药器械，洗涤后的废水不应污染河流等水源，未用完的药液应密封后妥善放置。 3）用药后包装物及用过的容器应妥善处理，不可做他用，也不可随意丢弃。 4）使用时不得污染各类水域、土壤等环境。 5）本品对蜜蜂、家蚕和非靶标生物有影响。应远离水产养殖区、河塘等水体施药，禁止在河塘等水域中清洗施药器具。施药期间应避免对周围蜂群的影响，避免在周围开花植物开花期使用，蚕室和桑园附近禁用，赤眼蜂等天敌放飞区域禁用。6）孕妇及哺乳期妇女禁止接触。7）为避免产生抗药性，建议与其它作用机理不同的杀虫剂轮换或交替使用。</w:t>
            </w:r>
          </w:p>
        </w:tc>
      </w:tr>
      <w:tr w14:paraId="273F25BC">
        <w:tblPrEx>
          <w:tblCellMar>
            <w:top w:w="0" w:type="dxa"/>
            <w:left w:w="0" w:type="dxa"/>
            <w:bottom w:w="0" w:type="dxa"/>
            <w:right w:w="0" w:type="dxa"/>
          </w:tblCellMar>
        </w:tblPrEx>
        <w:trPr>
          <w:wBefore w:w="0" w:type="auto"/>
          <w:tblCellSpacing w:w="0" w:type="dxa"/>
        </w:trPr>
        <w:tc>
          <w:tcPr>
            <w:tcW w:w="0" w:type="auto"/>
            <w:noWrap w:val="0"/>
            <w:vAlign w:val="center"/>
          </w:tcPr>
          <w:p w14:paraId="4041B0A3">
            <w:r>
              <w:rPr>
                <w:rStyle w:val="10"/>
                <w:rFonts w:hint="eastAsia"/>
              </w:rPr>
              <w:t>中毒急救措施：</w:t>
            </w:r>
            <w:r>
              <w:rPr>
                <w:rFonts w:hint="eastAsia"/>
              </w:rPr>
              <w:br w:type="textWrapping"/>
            </w:r>
            <w:r>
              <w:rPr>
                <w:rStyle w:val="11"/>
                <w:rFonts w:hint="eastAsia"/>
              </w:rPr>
              <w:t>1皮肤接触：立即脱掉被污染的衣物，用大量肥皂和清水冲洗被污染的皮肤。可去医院就诊。2、眼睛接触：立即将眼睑翻开，用清水冲洗15-20分钟，再前往医院就诊。3、吸入：立即将吸入者转移到空气新鲜处，如果出现呼吸异常或停止呼吸，需进行人工呼吸，立即送往医院就诊。4、若误服，勿催吐，立即携此标签，将病人送入医院急救，可给患者服用吐根糖浆或麻黄素，但勿给昏迷患者催吐或灌任何东西。抢救时避免给患者使用增强γ－氨基丁酸活性的药物，如巴比妥、丙戊酸等)</w:t>
            </w:r>
          </w:p>
        </w:tc>
      </w:tr>
      <w:tr w14:paraId="257FE992">
        <w:tblPrEx>
          <w:tblCellMar>
            <w:top w:w="0" w:type="dxa"/>
            <w:left w:w="0" w:type="dxa"/>
            <w:bottom w:w="0" w:type="dxa"/>
            <w:right w:w="0" w:type="dxa"/>
          </w:tblCellMar>
        </w:tblPrEx>
        <w:trPr>
          <w:wBefore w:w="0" w:type="auto"/>
          <w:tblCellSpacing w:w="0" w:type="dxa"/>
        </w:trPr>
        <w:tc>
          <w:tcPr>
            <w:tcW w:w="0" w:type="auto"/>
            <w:noWrap w:val="0"/>
            <w:vAlign w:val="center"/>
          </w:tcPr>
          <w:p w14:paraId="25EF37B1">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6EA30296">
        <w:tblPrEx>
          <w:tblCellMar>
            <w:top w:w="0" w:type="dxa"/>
            <w:left w:w="0" w:type="dxa"/>
            <w:bottom w:w="0" w:type="dxa"/>
            <w:right w:w="0" w:type="dxa"/>
          </w:tblCellMar>
        </w:tblPrEx>
        <w:trPr>
          <w:wBefore w:w="0" w:type="auto"/>
          <w:tblCellSpacing w:w="0" w:type="dxa"/>
        </w:trPr>
        <w:tc>
          <w:tcPr>
            <w:tcW w:w="0" w:type="auto"/>
            <w:noWrap w:val="0"/>
            <w:vAlign w:val="center"/>
          </w:tcPr>
          <w:p w14:paraId="36DDFBE5">
            <w:r>
              <w:rPr>
                <w:rStyle w:val="10"/>
                <w:rFonts w:hint="eastAsia"/>
              </w:rPr>
              <w:t>质量保证期：</w:t>
            </w:r>
            <w:r>
              <w:rPr>
                <w:rStyle w:val="11"/>
                <w:rFonts w:hint="eastAsia"/>
              </w:rPr>
              <w:t>2年</w:t>
            </w:r>
          </w:p>
        </w:tc>
      </w:tr>
      <w:tr w14:paraId="29706A1F">
        <w:tblPrEx>
          <w:tblCellMar>
            <w:top w:w="0" w:type="dxa"/>
            <w:left w:w="0" w:type="dxa"/>
            <w:bottom w:w="0" w:type="dxa"/>
            <w:right w:w="0" w:type="dxa"/>
          </w:tblCellMar>
        </w:tblPrEx>
        <w:trPr>
          <w:wBefore w:w="0" w:type="auto"/>
          <w:tblCellSpacing w:w="0" w:type="dxa"/>
        </w:trPr>
        <w:tc>
          <w:tcPr>
            <w:tcW w:w="0" w:type="auto"/>
            <w:noWrap w:val="0"/>
            <w:vAlign w:val="center"/>
          </w:tcPr>
          <w:p w14:paraId="15AF25C8">
            <w:r>
              <w:rPr>
                <w:rStyle w:val="10"/>
                <w:rFonts w:hint="eastAsia"/>
              </w:rPr>
              <w:t>备注：</w:t>
            </w:r>
          </w:p>
        </w:tc>
      </w:tr>
    </w:tbl>
    <w:p w14:paraId="3E592D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B3D98B">
        <w:tblPrEx>
          <w:tblCellMar>
            <w:top w:w="0" w:type="dxa"/>
            <w:left w:w="0" w:type="dxa"/>
            <w:bottom w:w="0" w:type="dxa"/>
            <w:right w:w="0" w:type="dxa"/>
          </w:tblCellMar>
        </w:tblPrEx>
        <w:trPr>
          <w:wBefore w:w="0" w:type="auto"/>
          <w:tblCellSpacing w:w="0" w:type="dxa"/>
        </w:trPr>
        <w:tc>
          <w:tcPr>
            <w:tcW w:w="0" w:type="auto"/>
            <w:noWrap w:val="0"/>
            <w:vAlign w:val="center"/>
          </w:tcPr>
          <w:p w14:paraId="5C3BD104">
            <w:r>
              <w:rPr>
                <w:rStyle w:val="10"/>
                <w:rFonts w:hint="eastAsia"/>
              </w:rPr>
              <w:t>登记证号：</w:t>
            </w:r>
            <w:r>
              <w:rPr>
                <w:rFonts w:hint="eastAsia"/>
              </w:rPr>
              <w:t>PD20212651</w:t>
            </w:r>
          </w:p>
        </w:tc>
      </w:tr>
      <w:tr w14:paraId="14D91EB6">
        <w:tblPrEx>
          <w:tblCellMar>
            <w:top w:w="0" w:type="dxa"/>
            <w:left w:w="0" w:type="dxa"/>
            <w:bottom w:w="0" w:type="dxa"/>
            <w:right w:w="0" w:type="dxa"/>
          </w:tblCellMar>
        </w:tblPrEx>
        <w:trPr>
          <w:wBefore w:w="0" w:type="auto"/>
          <w:tblCellSpacing w:w="0" w:type="dxa"/>
        </w:trPr>
        <w:tc>
          <w:tcPr>
            <w:tcW w:w="0" w:type="auto"/>
            <w:noWrap w:val="0"/>
            <w:vAlign w:val="center"/>
          </w:tcPr>
          <w:p w14:paraId="1FD9563A">
            <w:r>
              <w:rPr>
                <w:rStyle w:val="10"/>
                <w:rFonts w:hint="eastAsia"/>
              </w:rPr>
              <w:t>登记证持有人：</w:t>
            </w:r>
            <w:r>
              <w:rPr>
                <w:rFonts w:hint="eastAsia"/>
              </w:rPr>
              <w:t>重庆树荣作物科学有限公司</w:t>
            </w:r>
          </w:p>
        </w:tc>
      </w:tr>
      <w:tr w14:paraId="2702FFBA">
        <w:tblPrEx>
          <w:tblCellMar>
            <w:top w:w="0" w:type="dxa"/>
            <w:left w:w="0" w:type="dxa"/>
            <w:bottom w:w="0" w:type="dxa"/>
            <w:right w:w="0" w:type="dxa"/>
          </w:tblCellMar>
        </w:tblPrEx>
        <w:trPr>
          <w:wBefore w:w="0" w:type="auto"/>
          <w:tblCellSpacing w:w="0" w:type="dxa"/>
        </w:trPr>
        <w:tc>
          <w:tcPr>
            <w:tcW w:w="0" w:type="auto"/>
            <w:noWrap w:val="0"/>
            <w:vAlign w:val="center"/>
          </w:tcPr>
          <w:p w14:paraId="16F694DD">
            <w:r>
              <w:rPr>
                <w:rStyle w:val="10"/>
                <w:rFonts w:hint="eastAsia"/>
              </w:rPr>
              <w:t>农药名称：</w:t>
            </w:r>
            <w:r>
              <w:rPr>
                <w:rFonts w:hint="eastAsia"/>
              </w:rPr>
              <w:t>二氯吡啶酸</w:t>
            </w:r>
          </w:p>
        </w:tc>
      </w:tr>
      <w:tr w14:paraId="440DB033">
        <w:tblPrEx>
          <w:tblCellMar>
            <w:top w:w="0" w:type="dxa"/>
            <w:left w:w="0" w:type="dxa"/>
            <w:bottom w:w="0" w:type="dxa"/>
            <w:right w:w="0" w:type="dxa"/>
          </w:tblCellMar>
        </w:tblPrEx>
        <w:trPr>
          <w:wBefore w:w="0" w:type="auto"/>
          <w:tblCellSpacing w:w="0" w:type="dxa"/>
        </w:trPr>
        <w:tc>
          <w:tcPr>
            <w:tcW w:w="0" w:type="auto"/>
            <w:noWrap w:val="0"/>
            <w:vAlign w:val="center"/>
          </w:tcPr>
          <w:p w14:paraId="2F9F5689">
            <w:r>
              <w:rPr>
                <w:rStyle w:val="10"/>
                <w:rFonts w:hint="eastAsia"/>
              </w:rPr>
              <w:t>剂型：</w:t>
            </w:r>
            <w:r>
              <w:rPr>
                <w:rFonts w:hint="eastAsia"/>
              </w:rPr>
              <w:t>可溶液剂</w:t>
            </w:r>
          </w:p>
        </w:tc>
      </w:tr>
      <w:tr w14:paraId="5171E81A">
        <w:tblPrEx>
          <w:tblCellMar>
            <w:top w:w="0" w:type="dxa"/>
            <w:left w:w="0" w:type="dxa"/>
            <w:bottom w:w="0" w:type="dxa"/>
            <w:right w:w="0" w:type="dxa"/>
          </w:tblCellMar>
        </w:tblPrEx>
        <w:trPr>
          <w:wBefore w:w="0" w:type="auto"/>
          <w:tblCellSpacing w:w="0" w:type="dxa"/>
        </w:trPr>
        <w:tc>
          <w:tcPr>
            <w:tcW w:w="0" w:type="auto"/>
            <w:noWrap w:val="0"/>
            <w:vAlign w:val="center"/>
          </w:tcPr>
          <w:p w14:paraId="319756A2">
            <w:r>
              <w:rPr>
                <w:rStyle w:val="10"/>
                <w:rFonts w:hint="eastAsia"/>
              </w:rPr>
              <w:t>毒性及其标识：</w:t>
            </w:r>
            <w:r>
              <w:rPr>
                <w:rFonts w:hint="eastAsia"/>
              </w:rPr>
              <w:t xml:space="preserve"> </w:t>
            </w:r>
            <w:r>
              <w:rPr>
                <w:lang/>
              </w:rPr>
              <w:drawing>
                <wp:inline distT="0" distB="0" distL="114300" distR="114300">
                  <wp:extent cx="476250" cy="323850"/>
                  <wp:effectExtent l="0" t="0" r="0" b="0"/>
                  <wp:docPr id="199" name="图片 1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871CCA">
        <w:tblPrEx>
          <w:tblCellMar>
            <w:top w:w="0" w:type="dxa"/>
            <w:left w:w="0" w:type="dxa"/>
            <w:bottom w:w="0" w:type="dxa"/>
            <w:right w:w="0" w:type="dxa"/>
          </w:tblCellMar>
        </w:tblPrEx>
        <w:trPr>
          <w:wBefore w:w="0" w:type="auto"/>
          <w:tblCellSpacing w:w="0" w:type="dxa"/>
        </w:trPr>
        <w:tc>
          <w:tcPr>
            <w:tcW w:w="0" w:type="auto"/>
            <w:noWrap w:val="0"/>
            <w:vAlign w:val="center"/>
          </w:tcPr>
          <w:p w14:paraId="55137894">
            <w:r>
              <w:rPr>
                <w:rStyle w:val="10"/>
                <w:rFonts w:hint="eastAsia"/>
              </w:rPr>
              <w:t>总有效成分含量：</w:t>
            </w:r>
            <w:r>
              <w:rPr>
                <w:rFonts w:hint="eastAsia"/>
              </w:rPr>
              <w:t>30%</w:t>
            </w:r>
          </w:p>
        </w:tc>
      </w:tr>
      <w:tr w14:paraId="705EBCD2">
        <w:tblPrEx>
          <w:tblCellMar>
            <w:top w:w="0" w:type="dxa"/>
            <w:left w:w="0" w:type="dxa"/>
            <w:bottom w:w="0" w:type="dxa"/>
            <w:right w:w="0" w:type="dxa"/>
          </w:tblCellMar>
        </w:tblPrEx>
        <w:trPr>
          <w:wBefore w:w="0" w:type="auto"/>
          <w:tblCellSpacing w:w="0" w:type="dxa"/>
        </w:trPr>
        <w:tc>
          <w:tcPr>
            <w:tcW w:w="0" w:type="auto"/>
            <w:noWrap w:val="0"/>
            <w:vAlign w:val="center"/>
          </w:tcPr>
          <w:p w14:paraId="3DC1AE82">
            <w:r>
              <w:rPr>
                <w:rFonts w:hint="eastAsia"/>
              </w:rPr>
              <w:t xml:space="preserve">有效成分及其含量： </w:t>
            </w:r>
          </w:p>
          <w:p w14:paraId="4B363380">
            <w:r>
              <w:rPr>
                <w:rFonts w:hint="eastAsia"/>
              </w:rPr>
              <w:t xml:space="preserve">    二氯吡啶酸30%    </w:t>
            </w:r>
          </w:p>
        </w:tc>
      </w:tr>
      <w:tr w14:paraId="20AFD2B6">
        <w:tblPrEx>
          <w:tblCellMar>
            <w:top w:w="0" w:type="dxa"/>
            <w:left w:w="0" w:type="dxa"/>
            <w:bottom w:w="0" w:type="dxa"/>
            <w:right w:w="0" w:type="dxa"/>
          </w:tblCellMar>
        </w:tblPrEx>
        <w:trPr>
          <w:wBefore w:w="0" w:type="auto"/>
          <w:tblCellSpacing w:w="0" w:type="dxa"/>
        </w:trPr>
        <w:tc>
          <w:tcPr>
            <w:tcW w:w="0" w:type="auto"/>
            <w:noWrap w:val="0"/>
            <w:vAlign w:val="center"/>
          </w:tcPr>
          <w:p w14:paraId="2084BA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D000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B697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8B2CC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7F0EE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558144">
                  <w:r>
                    <w:rPr>
                      <w:rStyle w:val="11"/>
                      <w:rFonts w:hint="eastAsia"/>
                    </w:rPr>
                    <w:t>施用方式</w:t>
                  </w:r>
                </w:p>
              </w:tc>
            </w:tr>
            <w:tr w14:paraId="6B1554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CFC547">
                  <w:r>
                    <w:rPr>
                      <w:rStyle w:val="11"/>
                      <w:rFonts w:hint="eastAsia"/>
                    </w:rPr>
                    <w:t>春油菜田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EC1DB9">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A0E167">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41F1AB">
                  <w:r>
                    <w:rPr>
                      <w:rStyle w:val="11"/>
                      <w:rFonts w:hint="eastAsia"/>
                    </w:rPr>
                    <w:t>茎叶喷雾</w:t>
                  </w:r>
                </w:p>
              </w:tc>
            </w:tr>
          </w:tbl>
          <w:p w14:paraId="1DCDF40F">
            <w:pPr>
              <w:rPr>
                <w:rFonts w:ascii="Times New Roman" w:hAnsi="Times New Roman" w:cs="Times New Roman"/>
                <w:sz w:val="20"/>
                <w:szCs w:val="20"/>
              </w:rPr>
            </w:pPr>
          </w:p>
        </w:tc>
      </w:tr>
      <w:tr w14:paraId="7918BE4F">
        <w:tblPrEx>
          <w:tblCellMar>
            <w:top w:w="0" w:type="dxa"/>
            <w:left w:w="0" w:type="dxa"/>
            <w:bottom w:w="0" w:type="dxa"/>
            <w:right w:w="0" w:type="dxa"/>
          </w:tblCellMar>
        </w:tblPrEx>
        <w:trPr>
          <w:wBefore w:w="0" w:type="auto"/>
          <w:tblCellSpacing w:w="0" w:type="dxa"/>
        </w:trPr>
        <w:tc>
          <w:tcPr>
            <w:tcW w:w="0" w:type="auto"/>
            <w:noWrap w:val="0"/>
            <w:vAlign w:val="center"/>
          </w:tcPr>
          <w:p w14:paraId="4C924F3D">
            <w:r>
              <w:rPr>
                <w:rStyle w:val="10"/>
                <w:rFonts w:hint="eastAsia"/>
              </w:rPr>
              <w:t>使用技术要求:</w:t>
            </w:r>
            <w:r>
              <w:rPr>
                <w:rFonts w:hint="eastAsia"/>
              </w:rPr>
              <w:br w:type="textWrapping"/>
            </w:r>
            <w:r>
              <w:rPr>
                <w:rStyle w:val="11"/>
                <w:rFonts w:hint="eastAsia"/>
              </w:rPr>
              <w:t>1、于春油菜苗后3-5叶分蘖期至拔节前，田间一年生禾本科杂草3-5叶期，茎叶喷雾施药。2、大风天气及预计1小时内有雨时禁止施药。3、每季最多施药1次。</w:t>
            </w:r>
          </w:p>
        </w:tc>
      </w:tr>
      <w:tr w14:paraId="3AED2CA7">
        <w:tblPrEx>
          <w:tblCellMar>
            <w:top w:w="0" w:type="dxa"/>
            <w:left w:w="0" w:type="dxa"/>
            <w:bottom w:w="0" w:type="dxa"/>
            <w:right w:w="0" w:type="dxa"/>
          </w:tblCellMar>
        </w:tblPrEx>
        <w:trPr>
          <w:wBefore w:w="0" w:type="auto"/>
          <w:tblCellSpacing w:w="0" w:type="dxa"/>
        </w:trPr>
        <w:tc>
          <w:tcPr>
            <w:tcW w:w="0" w:type="auto"/>
            <w:noWrap w:val="0"/>
            <w:vAlign w:val="center"/>
          </w:tcPr>
          <w:p w14:paraId="6BB6E1FC">
            <w:r>
              <w:rPr>
                <w:rStyle w:val="10"/>
                <w:rFonts w:hint="eastAsia"/>
              </w:rPr>
              <w:t>产品性能:</w:t>
            </w:r>
            <w:r>
              <w:rPr>
                <w:rFonts w:hint="eastAsia"/>
              </w:rPr>
              <w:br w:type="textWrapping"/>
            </w:r>
            <w:r>
              <w:rPr>
                <w:rStyle w:val="11"/>
                <w:rFonts w:hint="eastAsia"/>
              </w:rPr>
              <w:t xml:space="preserve">本品是一种内吸传导型苗后除草剂，在推荐剂量下使用，对春油菜田一年生杂草有较好的防治效果 </w:t>
            </w:r>
          </w:p>
        </w:tc>
      </w:tr>
      <w:tr w14:paraId="6BF32024">
        <w:tblPrEx>
          <w:tblCellMar>
            <w:top w:w="0" w:type="dxa"/>
            <w:left w:w="0" w:type="dxa"/>
            <w:bottom w:w="0" w:type="dxa"/>
            <w:right w:w="0" w:type="dxa"/>
          </w:tblCellMar>
        </w:tblPrEx>
        <w:trPr>
          <w:wBefore w:w="0" w:type="auto"/>
          <w:tblCellSpacing w:w="0" w:type="dxa"/>
        </w:trPr>
        <w:tc>
          <w:tcPr>
            <w:tcW w:w="0" w:type="auto"/>
            <w:noWrap w:val="0"/>
            <w:vAlign w:val="center"/>
          </w:tcPr>
          <w:p w14:paraId="54FC1CB5">
            <w:r>
              <w:rPr>
                <w:rStyle w:val="10"/>
                <w:rFonts w:hint="eastAsia"/>
              </w:rPr>
              <w:t>注意事项：</w:t>
            </w:r>
            <w:r>
              <w:rPr>
                <w:rFonts w:hint="eastAsia"/>
              </w:rPr>
              <w:br w:type="textWrapping"/>
            </w:r>
            <w:r>
              <w:rPr>
                <w:rStyle w:val="11"/>
                <w:rFonts w:hint="eastAsia"/>
              </w:rPr>
              <w:t>1、正常推荐剂量下后茬安全种植小麦、大麦、十字花科蔬菜，直播油菜四叶期前对该药敏感，芥菜型油菜禁用，白菜型油菜慎用。后茬如果种植大豆、花生等作物需间隔1年；如果种植棉花、向日葵、西瓜、番茄、红豆、绿豆、甘薯需间隔18个月；若种植其他作物，经试验安全后，方可种植。2、配制和施用本品时，穿防护服，戴手套、口罩等；严禁吸烟、饮食等；用药后应用大量清水和肥皂将手、脸及其它接触到药剂或雾滴的部位清洗干净，并及时更换衣服。3、远离水产养殖区施药，禁止在河塘等水体中清洗施药器具。4、孕妇或哺乳期妇女禁止接触本品。5、废弃物应妥善处理，不可随意丢弃，也不可做为他用。 6、对家蚕采用最外围桑树作为隔离带。</w:t>
            </w:r>
          </w:p>
        </w:tc>
      </w:tr>
      <w:tr w14:paraId="31F7E4A4">
        <w:tblPrEx>
          <w:tblCellMar>
            <w:top w:w="0" w:type="dxa"/>
            <w:left w:w="0" w:type="dxa"/>
            <w:bottom w:w="0" w:type="dxa"/>
            <w:right w:w="0" w:type="dxa"/>
          </w:tblCellMar>
        </w:tblPrEx>
        <w:trPr>
          <w:wBefore w:w="0" w:type="auto"/>
          <w:tblCellSpacing w:w="0" w:type="dxa"/>
        </w:trPr>
        <w:tc>
          <w:tcPr>
            <w:tcW w:w="0" w:type="auto"/>
            <w:noWrap w:val="0"/>
            <w:vAlign w:val="center"/>
          </w:tcPr>
          <w:p w14:paraId="6471657A">
            <w:r>
              <w:rPr>
                <w:rStyle w:val="10"/>
                <w:rFonts w:hint="eastAsia"/>
              </w:rPr>
              <w:t>中毒急救措施：</w:t>
            </w:r>
            <w:r>
              <w:rPr>
                <w:rFonts w:hint="eastAsia"/>
              </w:rPr>
              <w:br w:type="textWrapping"/>
            </w:r>
            <w:r>
              <w:rPr>
                <w:rStyle w:val="11"/>
                <w:rFonts w:hint="eastAsia"/>
              </w:rPr>
              <w:t xml:space="preserve">本品对皮肤及眼睛有轻微刺激性。使用中或使用后，若感觉不适，应立即停止工作采取急救措施。皮肤或眼睛不慎接触，用流动清水或生理盐水冲洗15分钟；若吸入应迅速脱离现场至空气新鲜处，保持呼吸道畅通；如出现呼吸困难，给输氧，并携标签立即就医；误服，则立即携标签到医院对症治疗。 </w:t>
            </w:r>
          </w:p>
        </w:tc>
      </w:tr>
      <w:tr w14:paraId="2633EBE4">
        <w:tblPrEx>
          <w:tblCellMar>
            <w:top w:w="0" w:type="dxa"/>
            <w:left w:w="0" w:type="dxa"/>
            <w:bottom w:w="0" w:type="dxa"/>
            <w:right w:w="0" w:type="dxa"/>
          </w:tblCellMar>
        </w:tblPrEx>
        <w:trPr>
          <w:wBefore w:w="0" w:type="auto"/>
          <w:tblCellSpacing w:w="0" w:type="dxa"/>
        </w:trPr>
        <w:tc>
          <w:tcPr>
            <w:tcW w:w="0" w:type="auto"/>
            <w:noWrap w:val="0"/>
            <w:vAlign w:val="center"/>
          </w:tcPr>
          <w:p w14:paraId="370921D5">
            <w:r>
              <w:rPr>
                <w:rStyle w:val="10"/>
                <w:rFonts w:hint="eastAsia"/>
              </w:rPr>
              <w:t>储存和运输方法：</w:t>
            </w:r>
            <w:r>
              <w:rPr>
                <w:rFonts w:hint="eastAsia"/>
              </w:rPr>
              <w:br w:type="textWrapping"/>
            </w:r>
            <w:r>
              <w:rPr>
                <w:rStyle w:val="11"/>
                <w:rFonts w:hint="eastAsia"/>
              </w:rPr>
              <w:t xml:space="preserve">本品应贮存在阴凉、干燥、通风、防雨处。远离火源和热源。不能与食品、饮料、粮食、饲料等物品同贮同运。置于儿童、无关人员触及不到之处，并加锁保管。 </w:t>
            </w:r>
          </w:p>
        </w:tc>
      </w:tr>
      <w:tr w14:paraId="36376B75">
        <w:tblPrEx>
          <w:tblCellMar>
            <w:top w:w="0" w:type="dxa"/>
            <w:left w:w="0" w:type="dxa"/>
            <w:bottom w:w="0" w:type="dxa"/>
            <w:right w:w="0" w:type="dxa"/>
          </w:tblCellMar>
        </w:tblPrEx>
        <w:trPr>
          <w:wBefore w:w="0" w:type="auto"/>
          <w:tblCellSpacing w:w="0" w:type="dxa"/>
        </w:trPr>
        <w:tc>
          <w:tcPr>
            <w:tcW w:w="0" w:type="auto"/>
            <w:noWrap w:val="0"/>
            <w:vAlign w:val="center"/>
          </w:tcPr>
          <w:p w14:paraId="5E0B3FE8">
            <w:r>
              <w:rPr>
                <w:rStyle w:val="10"/>
                <w:rFonts w:hint="eastAsia"/>
              </w:rPr>
              <w:t>质量保证期：</w:t>
            </w:r>
            <w:r>
              <w:rPr>
                <w:rStyle w:val="11"/>
                <w:rFonts w:hint="eastAsia"/>
              </w:rPr>
              <w:t>2年</w:t>
            </w:r>
          </w:p>
        </w:tc>
      </w:tr>
      <w:tr w14:paraId="086A8380">
        <w:tblPrEx>
          <w:tblCellMar>
            <w:top w:w="0" w:type="dxa"/>
            <w:left w:w="0" w:type="dxa"/>
            <w:bottom w:w="0" w:type="dxa"/>
            <w:right w:w="0" w:type="dxa"/>
          </w:tblCellMar>
        </w:tblPrEx>
        <w:trPr>
          <w:wBefore w:w="0" w:type="auto"/>
          <w:tblCellSpacing w:w="0" w:type="dxa"/>
        </w:trPr>
        <w:tc>
          <w:tcPr>
            <w:tcW w:w="0" w:type="auto"/>
            <w:noWrap w:val="0"/>
            <w:vAlign w:val="center"/>
          </w:tcPr>
          <w:p w14:paraId="28AEC0FE">
            <w:r>
              <w:rPr>
                <w:rStyle w:val="10"/>
                <w:rFonts w:hint="eastAsia"/>
              </w:rPr>
              <w:t>备注：</w:t>
            </w:r>
          </w:p>
        </w:tc>
      </w:tr>
    </w:tbl>
    <w:p w14:paraId="44E0BA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46A348">
        <w:tblPrEx>
          <w:tblCellMar>
            <w:top w:w="0" w:type="dxa"/>
            <w:left w:w="0" w:type="dxa"/>
            <w:bottom w:w="0" w:type="dxa"/>
            <w:right w:w="0" w:type="dxa"/>
          </w:tblCellMar>
        </w:tblPrEx>
        <w:trPr>
          <w:wBefore w:w="0" w:type="auto"/>
          <w:tblCellSpacing w:w="0" w:type="dxa"/>
        </w:trPr>
        <w:tc>
          <w:tcPr>
            <w:tcW w:w="0" w:type="auto"/>
            <w:noWrap w:val="0"/>
            <w:vAlign w:val="center"/>
          </w:tcPr>
          <w:p w14:paraId="68BF7C80">
            <w:r>
              <w:rPr>
                <w:rStyle w:val="10"/>
                <w:rFonts w:hint="eastAsia"/>
              </w:rPr>
              <w:t>登记证号：</w:t>
            </w:r>
            <w:r>
              <w:rPr>
                <w:rFonts w:hint="eastAsia"/>
              </w:rPr>
              <w:t>PD20212753</w:t>
            </w:r>
          </w:p>
        </w:tc>
      </w:tr>
      <w:tr w14:paraId="2D920ECE">
        <w:tblPrEx>
          <w:tblCellMar>
            <w:top w:w="0" w:type="dxa"/>
            <w:left w:w="0" w:type="dxa"/>
            <w:bottom w:w="0" w:type="dxa"/>
            <w:right w:w="0" w:type="dxa"/>
          </w:tblCellMar>
        </w:tblPrEx>
        <w:trPr>
          <w:wBefore w:w="0" w:type="auto"/>
          <w:tblCellSpacing w:w="0" w:type="dxa"/>
        </w:trPr>
        <w:tc>
          <w:tcPr>
            <w:tcW w:w="0" w:type="auto"/>
            <w:noWrap w:val="0"/>
            <w:vAlign w:val="center"/>
          </w:tcPr>
          <w:p w14:paraId="2A0088B5">
            <w:r>
              <w:rPr>
                <w:rStyle w:val="10"/>
                <w:rFonts w:hint="eastAsia"/>
              </w:rPr>
              <w:t>登记证持有人：</w:t>
            </w:r>
            <w:r>
              <w:rPr>
                <w:rFonts w:hint="eastAsia"/>
              </w:rPr>
              <w:t>山东玥鸣生物科技有限公司</w:t>
            </w:r>
          </w:p>
        </w:tc>
      </w:tr>
      <w:tr w14:paraId="29D8EEC2">
        <w:tblPrEx>
          <w:tblCellMar>
            <w:top w:w="0" w:type="dxa"/>
            <w:left w:w="0" w:type="dxa"/>
            <w:bottom w:w="0" w:type="dxa"/>
            <w:right w:w="0" w:type="dxa"/>
          </w:tblCellMar>
        </w:tblPrEx>
        <w:trPr>
          <w:wBefore w:w="0" w:type="auto"/>
          <w:tblCellSpacing w:w="0" w:type="dxa"/>
        </w:trPr>
        <w:tc>
          <w:tcPr>
            <w:tcW w:w="0" w:type="auto"/>
            <w:noWrap w:val="0"/>
            <w:vAlign w:val="center"/>
          </w:tcPr>
          <w:p w14:paraId="6612802B">
            <w:r>
              <w:rPr>
                <w:rStyle w:val="10"/>
                <w:rFonts w:hint="eastAsia"/>
              </w:rPr>
              <w:t>农药名称：</w:t>
            </w:r>
            <w:r>
              <w:rPr>
                <w:rFonts w:hint="eastAsia"/>
              </w:rPr>
              <w:t>24-表芸·赤霉酸</w:t>
            </w:r>
          </w:p>
        </w:tc>
      </w:tr>
      <w:tr w14:paraId="7AD47A4D">
        <w:tblPrEx>
          <w:tblCellMar>
            <w:top w:w="0" w:type="dxa"/>
            <w:left w:w="0" w:type="dxa"/>
            <w:bottom w:w="0" w:type="dxa"/>
            <w:right w:w="0" w:type="dxa"/>
          </w:tblCellMar>
        </w:tblPrEx>
        <w:trPr>
          <w:wBefore w:w="0" w:type="auto"/>
          <w:tblCellSpacing w:w="0" w:type="dxa"/>
        </w:trPr>
        <w:tc>
          <w:tcPr>
            <w:tcW w:w="0" w:type="auto"/>
            <w:noWrap w:val="0"/>
            <w:vAlign w:val="center"/>
          </w:tcPr>
          <w:p w14:paraId="1C1F47A0">
            <w:r>
              <w:rPr>
                <w:rStyle w:val="10"/>
                <w:rFonts w:hint="eastAsia"/>
              </w:rPr>
              <w:t>剂型：</w:t>
            </w:r>
            <w:r>
              <w:rPr>
                <w:rFonts w:hint="eastAsia"/>
              </w:rPr>
              <w:t>可溶液剂</w:t>
            </w:r>
          </w:p>
        </w:tc>
      </w:tr>
      <w:tr w14:paraId="2A3A0AC3">
        <w:tblPrEx>
          <w:tblCellMar>
            <w:top w:w="0" w:type="dxa"/>
            <w:left w:w="0" w:type="dxa"/>
            <w:bottom w:w="0" w:type="dxa"/>
            <w:right w:w="0" w:type="dxa"/>
          </w:tblCellMar>
        </w:tblPrEx>
        <w:trPr>
          <w:wBefore w:w="0" w:type="auto"/>
          <w:tblCellSpacing w:w="0" w:type="dxa"/>
        </w:trPr>
        <w:tc>
          <w:tcPr>
            <w:tcW w:w="0" w:type="auto"/>
            <w:noWrap w:val="0"/>
            <w:vAlign w:val="center"/>
          </w:tcPr>
          <w:p w14:paraId="076D85F6">
            <w:r>
              <w:rPr>
                <w:rStyle w:val="10"/>
                <w:rFonts w:hint="eastAsia"/>
              </w:rPr>
              <w:t>毒性及其标识：</w:t>
            </w:r>
            <w:r>
              <w:rPr>
                <w:rFonts w:hint="eastAsia"/>
              </w:rPr>
              <w:t xml:space="preserve"> 微毒 </w:t>
            </w:r>
          </w:p>
        </w:tc>
      </w:tr>
      <w:tr w14:paraId="2CFC76D2">
        <w:tblPrEx>
          <w:tblCellMar>
            <w:top w:w="0" w:type="dxa"/>
            <w:left w:w="0" w:type="dxa"/>
            <w:bottom w:w="0" w:type="dxa"/>
            <w:right w:w="0" w:type="dxa"/>
          </w:tblCellMar>
        </w:tblPrEx>
        <w:trPr>
          <w:wBefore w:w="0" w:type="auto"/>
          <w:tblCellSpacing w:w="0" w:type="dxa"/>
        </w:trPr>
        <w:tc>
          <w:tcPr>
            <w:tcW w:w="0" w:type="auto"/>
            <w:noWrap w:val="0"/>
            <w:vAlign w:val="center"/>
          </w:tcPr>
          <w:p w14:paraId="3BDC4873">
            <w:r>
              <w:rPr>
                <w:rStyle w:val="10"/>
                <w:rFonts w:hint="eastAsia"/>
              </w:rPr>
              <w:t>总有效成分含量：</w:t>
            </w:r>
            <w:r>
              <w:rPr>
                <w:rFonts w:hint="eastAsia"/>
              </w:rPr>
              <w:t>0.4%</w:t>
            </w:r>
          </w:p>
        </w:tc>
      </w:tr>
      <w:tr w14:paraId="556305D4">
        <w:tblPrEx>
          <w:tblCellMar>
            <w:top w:w="0" w:type="dxa"/>
            <w:left w:w="0" w:type="dxa"/>
            <w:bottom w:w="0" w:type="dxa"/>
            <w:right w:w="0" w:type="dxa"/>
          </w:tblCellMar>
        </w:tblPrEx>
        <w:trPr>
          <w:wBefore w:w="0" w:type="auto"/>
          <w:tblCellSpacing w:w="0" w:type="dxa"/>
        </w:trPr>
        <w:tc>
          <w:tcPr>
            <w:tcW w:w="0" w:type="auto"/>
            <w:noWrap w:val="0"/>
            <w:vAlign w:val="center"/>
          </w:tcPr>
          <w:p w14:paraId="10975DC6">
            <w:r>
              <w:rPr>
                <w:rFonts w:hint="eastAsia"/>
              </w:rPr>
              <w:t xml:space="preserve">有效成分及其含量： </w:t>
            </w:r>
          </w:p>
          <w:p w14:paraId="14BADFF0">
            <w:r>
              <w:rPr>
                <w:rFonts w:hint="eastAsia"/>
              </w:rPr>
              <w:t xml:space="preserve">    24-表芸苔素内酯0.002%    赤霉酸0.398%    </w:t>
            </w:r>
          </w:p>
        </w:tc>
      </w:tr>
      <w:tr w14:paraId="4AE5138D">
        <w:tblPrEx>
          <w:tblCellMar>
            <w:top w:w="0" w:type="dxa"/>
            <w:left w:w="0" w:type="dxa"/>
            <w:bottom w:w="0" w:type="dxa"/>
            <w:right w:w="0" w:type="dxa"/>
          </w:tblCellMar>
        </w:tblPrEx>
        <w:trPr>
          <w:wBefore w:w="0" w:type="auto"/>
          <w:tblCellSpacing w:w="0" w:type="dxa"/>
        </w:trPr>
        <w:tc>
          <w:tcPr>
            <w:tcW w:w="0" w:type="auto"/>
            <w:noWrap w:val="0"/>
            <w:vAlign w:val="center"/>
          </w:tcPr>
          <w:p w14:paraId="7B4F77F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3411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87F71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9267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ACB7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3D1E40">
                  <w:r>
                    <w:rPr>
                      <w:rStyle w:val="11"/>
                      <w:rFonts w:hint="eastAsia"/>
                    </w:rPr>
                    <w:t>施用方式</w:t>
                  </w:r>
                </w:p>
              </w:tc>
            </w:tr>
            <w:tr w14:paraId="381602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4861B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6C3DE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444593">
                  <w:r>
                    <w:rPr>
                      <w:rStyle w:val="11"/>
                      <w:rFonts w:hint="eastAsia"/>
                    </w:rPr>
                    <w:t>1000-1600倍液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FD4151">
                  <w:r>
                    <w:rPr>
                      <w:rStyle w:val="11"/>
                      <w:rFonts w:hint="eastAsia"/>
                    </w:rPr>
                    <w:t>喷雾</w:t>
                  </w:r>
                </w:p>
              </w:tc>
            </w:tr>
          </w:tbl>
          <w:p w14:paraId="0FA6DB80">
            <w:pPr>
              <w:rPr>
                <w:rFonts w:ascii="Times New Roman" w:hAnsi="Times New Roman" w:cs="Times New Roman"/>
                <w:sz w:val="20"/>
                <w:szCs w:val="20"/>
              </w:rPr>
            </w:pPr>
          </w:p>
        </w:tc>
      </w:tr>
      <w:tr w14:paraId="7479B633">
        <w:tblPrEx>
          <w:tblCellMar>
            <w:top w:w="0" w:type="dxa"/>
            <w:left w:w="0" w:type="dxa"/>
            <w:bottom w:w="0" w:type="dxa"/>
            <w:right w:w="0" w:type="dxa"/>
          </w:tblCellMar>
        </w:tblPrEx>
        <w:trPr>
          <w:wBefore w:w="0" w:type="auto"/>
          <w:tblCellSpacing w:w="0" w:type="dxa"/>
        </w:trPr>
        <w:tc>
          <w:tcPr>
            <w:tcW w:w="0" w:type="auto"/>
            <w:noWrap w:val="0"/>
            <w:vAlign w:val="center"/>
          </w:tcPr>
          <w:p w14:paraId="142DF02F">
            <w:r>
              <w:rPr>
                <w:rStyle w:val="10"/>
                <w:rFonts w:hint="eastAsia"/>
              </w:rPr>
              <w:t>使用技术要求:</w:t>
            </w:r>
            <w:r>
              <w:rPr>
                <w:rFonts w:hint="eastAsia"/>
              </w:rPr>
              <w:br w:type="textWrapping"/>
            </w:r>
            <w:r>
              <w:rPr>
                <w:rStyle w:val="11"/>
                <w:rFonts w:hint="eastAsia"/>
              </w:rPr>
              <w:t>1. 本品应于水稻孕穗期、齐穗期各喷施1次，施药时应周到、均匀，勿重喷或漏喷。2. 大风天或预计1小时内降雨，请勿施药。</w:t>
            </w:r>
          </w:p>
        </w:tc>
      </w:tr>
      <w:tr w14:paraId="73473B35">
        <w:tblPrEx>
          <w:tblCellMar>
            <w:top w:w="0" w:type="dxa"/>
            <w:left w:w="0" w:type="dxa"/>
            <w:bottom w:w="0" w:type="dxa"/>
            <w:right w:w="0" w:type="dxa"/>
          </w:tblCellMar>
        </w:tblPrEx>
        <w:trPr>
          <w:wBefore w:w="0" w:type="auto"/>
          <w:tblCellSpacing w:w="0" w:type="dxa"/>
        </w:trPr>
        <w:tc>
          <w:tcPr>
            <w:tcW w:w="0" w:type="auto"/>
            <w:noWrap w:val="0"/>
            <w:vAlign w:val="center"/>
          </w:tcPr>
          <w:p w14:paraId="30D1D7B0">
            <w:r>
              <w:rPr>
                <w:rStyle w:val="10"/>
                <w:rFonts w:hint="eastAsia"/>
              </w:rPr>
              <w:t>产品性能:</w:t>
            </w:r>
            <w:r>
              <w:rPr>
                <w:rFonts w:hint="eastAsia"/>
              </w:rPr>
              <w:br w:type="textWrapping"/>
            </w:r>
            <w:r>
              <w:rPr>
                <w:rStyle w:val="11"/>
                <w:rFonts w:hint="eastAsia"/>
              </w:rPr>
              <w:t>本品具有使植物细胞分裂和延长的双重作用，促进根系发达，增强光合作用，提高作物叶绿素含量，促进作物对肥料的有效吸收；同时能使植物提早成熟、改进品质，还能迅速打破植物种子、块茎和鳞茎等器官的休眠，促进发芽、分蘖、抽苔、提高结果率等。按登记剂量使用时，对水稻生长有较好的调节作用，且对供试水稻安全。</w:t>
            </w:r>
          </w:p>
        </w:tc>
      </w:tr>
      <w:tr w14:paraId="1F3402BE">
        <w:tblPrEx>
          <w:tblCellMar>
            <w:top w:w="0" w:type="dxa"/>
            <w:left w:w="0" w:type="dxa"/>
            <w:bottom w:w="0" w:type="dxa"/>
            <w:right w:w="0" w:type="dxa"/>
          </w:tblCellMar>
        </w:tblPrEx>
        <w:trPr>
          <w:wBefore w:w="0" w:type="auto"/>
          <w:tblCellSpacing w:w="0" w:type="dxa"/>
        </w:trPr>
        <w:tc>
          <w:tcPr>
            <w:tcW w:w="0" w:type="auto"/>
            <w:noWrap w:val="0"/>
            <w:vAlign w:val="center"/>
          </w:tcPr>
          <w:p w14:paraId="01419C14">
            <w:r>
              <w:rPr>
                <w:rStyle w:val="10"/>
                <w:rFonts w:hint="eastAsia"/>
              </w:rPr>
              <w:t>注意事项：</w:t>
            </w:r>
            <w:r>
              <w:rPr>
                <w:rFonts w:hint="eastAsia"/>
              </w:rPr>
              <w:br w:type="textWrapping"/>
            </w:r>
            <w:r>
              <w:rPr>
                <w:rStyle w:val="11"/>
                <w:rFonts w:hint="eastAsia"/>
              </w:rPr>
              <w:t>1. 本品不可与碱性农药等物质混用。建议与其他作用机制不同的植物生长调节剂轮换使用，以延缓抗性产生。 2. 本品对家蚕、蜜蜂有毒，施药应该远桑园，（周围）开花植物花期禁用，使用时应密切关注对附近蜂群的影响；鸟类保护区附近禁用。 3. 本品对眼睛有刺激性，使用时避免接触眼睛，穿戴长衣、长裤、帽子、口罩、手套等防护措施。施药期间不可吃东西和饮水。施药后应及时洗手和洗脸。 4. 水产养殖区、河塘等水体附近禁用，禁止在河塘等水体中清洗施药器具；鱼或虾蟹套养稻田禁用、施药后的田水不得直接排入水体。 5. 用药后包装物及用过的容器应妥善处理，不可做他用，也不可随意丢弃。 6. 孕妇及哺乳期妇女禁止接触本品。</w:t>
            </w:r>
          </w:p>
        </w:tc>
      </w:tr>
      <w:tr w14:paraId="33E1CD3A">
        <w:tblPrEx>
          <w:tblCellMar>
            <w:top w:w="0" w:type="dxa"/>
            <w:left w:w="0" w:type="dxa"/>
            <w:bottom w:w="0" w:type="dxa"/>
            <w:right w:w="0" w:type="dxa"/>
          </w:tblCellMar>
        </w:tblPrEx>
        <w:trPr>
          <w:wBefore w:w="0" w:type="auto"/>
          <w:tblCellSpacing w:w="0" w:type="dxa"/>
        </w:trPr>
        <w:tc>
          <w:tcPr>
            <w:tcW w:w="0" w:type="auto"/>
            <w:noWrap w:val="0"/>
            <w:vAlign w:val="center"/>
          </w:tcPr>
          <w:p w14:paraId="22E2B64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5A09870C">
        <w:tblPrEx>
          <w:tblCellMar>
            <w:top w:w="0" w:type="dxa"/>
            <w:left w:w="0" w:type="dxa"/>
            <w:bottom w:w="0" w:type="dxa"/>
            <w:right w:w="0" w:type="dxa"/>
          </w:tblCellMar>
        </w:tblPrEx>
        <w:trPr>
          <w:wBefore w:w="0" w:type="auto"/>
          <w:tblCellSpacing w:w="0" w:type="dxa"/>
        </w:trPr>
        <w:tc>
          <w:tcPr>
            <w:tcW w:w="0" w:type="auto"/>
            <w:noWrap w:val="0"/>
            <w:vAlign w:val="center"/>
          </w:tcPr>
          <w:p w14:paraId="47513566">
            <w:r>
              <w:rPr>
                <w:rStyle w:val="10"/>
                <w:rFonts w:hint="eastAsia"/>
              </w:rPr>
              <w:t>储存和运输方法：</w:t>
            </w:r>
            <w:r>
              <w:rPr>
                <w:rFonts w:hint="eastAsia"/>
              </w:rPr>
              <w:br w:type="textWrapping"/>
            </w:r>
            <w:r>
              <w:rPr>
                <w:rStyle w:val="11"/>
                <w:rFonts w:hint="eastAsia"/>
              </w:rPr>
              <w:t>应贮存于阴凉、通风、干燥处，严防潮湿和日晒，置于儿童、无关人员触及不到之处，并加锁。勿与食品、饮料、饲料、粮食等同贮同运，避免与皮肤、眼睛接触，防止由口鼻吸入。在运输过中应轻拿轻放,不得倒置。</w:t>
            </w:r>
          </w:p>
        </w:tc>
      </w:tr>
      <w:tr w14:paraId="167779A4">
        <w:tblPrEx>
          <w:tblCellMar>
            <w:top w:w="0" w:type="dxa"/>
            <w:left w:w="0" w:type="dxa"/>
            <w:bottom w:w="0" w:type="dxa"/>
            <w:right w:w="0" w:type="dxa"/>
          </w:tblCellMar>
        </w:tblPrEx>
        <w:trPr>
          <w:wBefore w:w="0" w:type="auto"/>
          <w:tblCellSpacing w:w="0" w:type="dxa"/>
        </w:trPr>
        <w:tc>
          <w:tcPr>
            <w:tcW w:w="0" w:type="auto"/>
            <w:noWrap w:val="0"/>
            <w:vAlign w:val="center"/>
          </w:tcPr>
          <w:p w14:paraId="33D9738C">
            <w:r>
              <w:rPr>
                <w:rStyle w:val="10"/>
                <w:rFonts w:hint="eastAsia"/>
              </w:rPr>
              <w:t>质量保证期：</w:t>
            </w:r>
            <w:r>
              <w:rPr>
                <w:rStyle w:val="11"/>
                <w:rFonts w:hint="eastAsia"/>
              </w:rPr>
              <w:t>2年</w:t>
            </w:r>
          </w:p>
        </w:tc>
      </w:tr>
      <w:tr w14:paraId="035AD36D">
        <w:tblPrEx>
          <w:tblCellMar>
            <w:top w:w="0" w:type="dxa"/>
            <w:left w:w="0" w:type="dxa"/>
            <w:bottom w:w="0" w:type="dxa"/>
            <w:right w:w="0" w:type="dxa"/>
          </w:tblCellMar>
        </w:tblPrEx>
        <w:trPr>
          <w:wBefore w:w="0" w:type="auto"/>
          <w:tblCellSpacing w:w="0" w:type="dxa"/>
        </w:trPr>
        <w:tc>
          <w:tcPr>
            <w:tcW w:w="0" w:type="auto"/>
            <w:noWrap w:val="0"/>
            <w:vAlign w:val="center"/>
          </w:tcPr>
          <w:p w14:paraId="55C38FB9">
            <w:r>
              <w:rPr>
                <w:rStyle w:val="10"/>
                <w:rFonts w:hint="eastAsia"/>
              </w:rPr>
              <w:t>备注：</w:t>
            </w:r>
          </w:p>
        </w:tc>
      </w:tr>
    </w:tbl>
    <w:p w14:paraId="2C2CF6D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D0F486">
        <w:tblPrEx>
          <w:tblCellMar>
            <w:top w:w="0" w:type="dxa"/>
            <w:left w:w="0" w:type="dxa"/>
            <w:bottom w:w="0" w:type="dxa"/>
            <w:right w:w="0" w:type="dxa"/>
          </w:tblCellMar>
        </w:tblPrEx>
        <w:trPr>
          <w:wBefore w:w="0" w:type="auto"/>
          <w:tblCellSpacing w:w="0" w:type="dxa"/>
        </w:trPr>
        <w:tc>
          <w:tcPr>
            <w:tcW w:w="0" w:type="auto"/>
            <w:noWrap w:val="0"/>
            <w:vAlign w:val="center"/>
          </w:tcPr>
          <w:p w14:paraId="0BDD41D3">
            <w:r>
              <w:rPr>
                <w:rStyle w:val="10"/>
                <w:rFonts w:hint="eastAsia"/>
              </w:rPr>
              <w:t>登记证号：</w:t>
            </w:r>
            <w:r>
              <w:rPr>
                <w:rFonts w:hint="eastAsia"/>
              </w:rPr>
              <w:t>WP20210422</w:t>
            </w:r>
          </w:p>
        </w:tc>
      </w:tr>
      <w:tr w14:paraId="7AA9F636">
        <w:tblPrEx>
          <w:tblCellMar>
            <w:top w:w="0" w:type="dxa"/>
            <w:left w:w="0" w:type="dxa"/>
            <w:bottom w:w="0" w:type="dxa"/>
            <w:right w:w="0" w:type="dxa"/>
          </w:tblCellMar>
        </w:tblPrEx>
        <w:trPr>
          <w:wBefore w:w="0" w:type="auto"/>
          <w:tblCellSpacing w:w="0" w:type="dxa"/>
        </w:trPr>
        <w:tc>
          <w:tcPr>
            <w:tcW w:w="0" w:type="auto"/>
            <w:noWrap w:val="0"/>
            <w:vAlign w:val="center"/>
          </w:tcPr>
          <w:p w14:paraId="34CB1D56">
            <w:r>
              <w:rPr>
                <w:rStyle w:val="10"/>
                <w:rFonts w:hint="eastAsia"/>
              </w:rPr>
              <w:t>登记证持有人：</w:t>
            </w:r>
            <w:r>
              <w:rPr>
                <w:rFonts w:hint="eastAsia"/>
              </w:rPr>
              <w:t>辽宁东峰日用品有限公司</w:t>
            </w:r>
          </w:p>
        </w:tc>
      </w:tr>
      <w:tr w14:paraId="0C2C2FFC">
        <w:tblPrEx>
          <w:tblCellMar>
            <w:top w:w="0" w:type="dxa"/>
            <w:left w:w="0" w:type="dxa"/>
            <w:bottom w:w="0" w:type="dxa"/>
            <w:right w:w="0" w:type="dxa"/>
          </w:tblCellMar>
        </w:tblPrEx>
        <w:trPr>
          <w:wBefore w:w="0" w:type="auto"/>
          <w:tblCellSpacing w:w="0" w:type="dxa"/>
        </w:trPr>
        <w:tc>
          <w:tcPr>
            <w:tcW w:w="0" w:type="auto"/>
            <w:noWrap w:val="0"/>
            <w:vAlign w:val="center"/>
          </w:tcPr>
          <w:p w14:paraId="28187F1D">
            <w:r>
              <w:rPr>
                <w:rStyle w:val="10"/>
                <w:rFonts w:hint="eastAsia"/>
              </w:rPr>
              <w:t>农药名称：</w:t>
            </w:r>
            <w:r>
              <w:rPr>
                <w:rFonts w:hint="eastAsia"/>
              </w:rPr>
              <w:t>氟氯·吡虫啉</w:t>
            </w:r>
          </w:p>
        </w:tc>
      </w:tr>
      <w:tr w14:paraId="08EF4B40">
        <w:tblPrEx>
          <w:tblCellMar>
            <w:top w:w="0" w:type="dxa"/>
            <w:left w:w="0" w:type="dxa"/>
            <w:bottom w:w="0" w:type="dxa"/>
            <w:right w:w="0" w:type="dxa"/>
          </w:tblCellMar>
        </w:tblPrEx>
        <w:trPr>
          <w:wBefore w:w="0" w:type="auto"/>
          <w:tblCellSpacing w:w="0" w:type="dxa"/>
        </w:trPr>
        <w:tc>
          <w:tcPr>
            <w:tcW w:w="0" w:type="auto"/>
            <w:noWrap w:val="0"/>
            <w:vAlign w:val="center"/>
          </w:tcPr>
          <w:p w14:paraId="52FFA81B">
            <w:r>
              <w:rPr>
                <w:rStyle w:val="10"/>
                <w:rFonts w:hint="eastAsia"/>
              </w:rPr>
              <w:t>剂型：</w:t>
            </w:r>
            <w:r>
              <w:rPr>
                <w:rFonts w:hint="eastAsia"/>
              </w:rPr>
              <w:t>悬浮剂</w:t>
            </w:r>
          </w:p>
        </w:tc>
      </w:tr>
      <w:tr w14:paraId="7EE84C19">
        <w:tblPrEx>
          <w:tblCellMar>
            <w:top w:w="0" w:type="dxa"/>
            <w:left w:w="0" w:type="dxa"/>
            <w:bottom w:w="0" w:type="dxa"/>
            <w:right w:w="0" w:type="dxa"/>
          </w:tblCellMar>
        </w:tblPrEx>
        <w:trPr>
          <w:wBefore w:w="0" w:type="auto"/>
          <w:tblCellSpacing w:w="0" w:type="dxa"/>
        </w:trPr>
        <w:tc>
          <w:tcPr>
            <w:tcW w:w="0" w:type="auto"/>
            <w:noWrap w:val="0"/>
            <w:vAlign w:val="center"/>
          </w:tcPr>
          <w:p w14:paraId="5999959E">
            <w:r>
              <w:rPr>
                <w:rStyle w:val="10"/>
                <w:rFonts w:hint="eastAsia"/>
              </w:rPr>
              <w:t>毒性及其标识：</w:t>
            </w:r>
            <w:r>
              <w:rPr>
                <w:rFonts w:hint="eastAsia"/>
              </w:rPr>
              <w:t xml:space="preserve"> </w:t>
            </w:r>
            <w:r>
              <w:rPr>
                <w:lang/>
              </w:rPr>
              <w:drawing>
                <wp:inline distT="0" distB="0" distL="114300" distR="114300">
                  <wp:extent cx="476250" cy="323850"/>
                  <wp:effectExtent l="0" t="0" r="0" b="0"/>
                  <wp:docPr id="200" name="图片 2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57B9E2">
        <w:tblPrEx>
          <w:tblCellMar>
            <w:top w:w="0" w:type="dxa"/>
            <w:left w:w="0" w:type="dxa"/>
            <w:bottom w:w="0" w:type="dxa"/>
            <w:right w:w="0" w:type="dxa"/>
          </w:tblCellMar>
        </w:tblPrEx>
        <w:trPr>
          <w:wBefore w:w="0" w:type="auto"/>
          <w:tblCellSpacing w:w="0" w:type="dxa"/>
        </w:trPr>
        <w:tc>
          <w:tcPr>
            <w:tcW w:w="0" w:type="auto"/>
            <w:noWrap w:val="0"/>
            <w:vAlign w:val="center"/>
          </w:tcPr>
          <w:p w14:paraId="2297859D">
            <w:r>
              <w:rPr>
                <w:rStyle w:val="10"/>
                <w:rFonts w:hint="eastAsia"/>
              </w:rPr>
              <w:t>总有效成分含量：</w:t>
            </w:r>
            <w:r>
              <w:rPr>
                <w:rFonts w:hint="eastAsia"/>
              </w:rPr>
              <w:t>31%</w:t>
            </w:r>
          </w:p>
        </w:tc>
      </w:tr>
      <w:tr w14:paraId="6596431F">
        <w:tblPrEx>
          <w:tblCellMar>
            <w:top w:w="0" w:type="dxa"/>
            <w:left w:w="0" w:type="dxa"/>
            <w:bottom w:w="0" w:type="dxa"/>
            <w:right w:w="0" w:type="dxa"/>
          </w:tblCellMar>
        </w:tblPrEx>
        <w:trPr>
          <w:wBefore w:w="0" w:type="auto"/>
          <w:tblCellSpacing w:w="0" w:type="dxa"/>
        </w:trPr>
        <w:tc>
          <w:tcPr>
            <w:tcW w:w="0" w:type="auto"/>
            <w:noWrap w:val="0"/>
            <w:vAlign w:val="center"/>
          </w:tcPr>
          <w:p w14:paraId="665E7B7B">
            <w:r>
              <w:rPr>
                <w:rFonts w:hint="eastAsia"/>
              </w:rPr>
              <w:t xml:space="preserve">有效成分及其含量： </w:t>
            </w:r>
          </w:p>
          <w:p w14:paraId="0BBABB96">
            <w:r>
              <w:rPr>
                <w:rFonts w:hint="eastAsia"/>
              </w:rPr>
              <w:t xml:space="preserve">    吡虫啉21%    高效氟氯氰菊酯10%    </w:t>
            </w:r>
          </w:p>
        </w:tc>
      </w:tr>
      <w:tr w14:paraId="5445494D">
        <w:tblPrEx>
          <w:tblCellMar>
            <w:top w:w="0" w:type="dxa"/>
            <w:left w:w="0" w:type="dxa"/>
            <w:bottom w:w="0" w:type="dxa"/>
            <w:right w:w="0" w:type="dxa"/>
          </w:tblCellMar>
        </w:tblPrEx>
        <w:trPr>
          <w:wBefore w:w="0" w:type="auto"/>
          <w:tblCellSpacing w:w="0" w:type="dxa"/>
        </w:trPr>
        <w:tc>
          <w:tcPr>
            <w:tcW w:w="0" w:type="auto"/>
            <w:noWrap w:val="0"/>
            <w:vAlign w:val="center"/>
          </w:tcPr>
          <w:p w14:paraId="1C1643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4108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6DFC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681F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5703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9F91BC">
                  <w:r>
                    <w:rPr>
                      <w:rStyle w:val="11"/>
                      <w:rFonts w:hint="eastAsia"/>
                    </w:rPr>
                    <w:t>施用方式</w:t>
                  </w:r>
                </w:p>
              </w:tc>
            </w:tr>
            <w:tr w14:paraId="426BA8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BC368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426E10">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5A16B3">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3007B2">
                  <w:r>
                    <w:rPr>
                      <w:rStyle w:val="11"/>
                      <w:rFonts w:hint="eastAsia"/>
                    </w:rPr>
                    <w:t>空间喷雾</w:t>
                  </w:r>
                </w:p>
              </w:tc>
            </w:tr>
            <w:tr w14:paraId="2352D7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80FFF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C80874">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9B5001">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F4FBB0">
                  <w:r>
                    <w:rPr>
                      <w:rStyle w:val="11"/>
                      <w:rFonts w:hint="eastAsia"/>
                    </w:rPr>
                    <w:t>空间喷雾</w:t>
                  </w:r>
                </w:p>
              </w:tc>
            </w:tr>
            <w:tr w14:paraId="1CEAA6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92094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F3A822">
                  <w:r>
                    <w:rPr>
                      <w:rStyle w:val="11"/>
                      <w:rFonts w:hint="eastAsia"/>
                    </w:rPr>
                    <w:t>臭虫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5B6098">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E32053">
                  <w:r>
                    <w:rPr>
                      <w:rStyle w:val="11"/>
                      <w:rFonts w:hint="eastAsia"/>
                    </w:rPr>
                    <w:t>空间喷雾</w:t>
                  </w:r>
                </w:p>
              </w:tc>
            </w:tr>
            <w:tr w14:paraId="61986D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AD716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2ECFB7">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09456F">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944497">
                  <w:r>
                    <w:rPr>
                      <w:rStyle w:val="11"/>
                      <w:rFonts w:hint="eastAsia"/>
                    </w:rPr>
                    <w:t>空间喷雾</w:t>
                  </w:r>
                </w:p>
              </w:tc>
            </w:tr>
          </w:tbl>
          <w:p w14:paraId="1CF779E4">
            <w:pPr>
              <w:rPr>
                <w:rFonts w:ascii="Times New Roman" w:hAnsi="Times New Roman" w:cs="Times New Roman"/>
                <w:sz w:val="20"/>
                <w:szCs w:val="20"/>
              </w:rPr>
            </w:pPr>
          </w:p>
        </w:tc>
      </w:tr>
      <w:tr w14:paraId="76D3DEEA">
        <w:tblPrEx>
          <w:tblCellMar>
            <w:top w:w="0" w:type="dxa"/>
            <w:left w:w="0" w:type="dxa"/>
            <w:bottom w:w="0" w:type="dxa"/>
            <w:right w:w="0" w:type="dxa"/>
          </w:tblCellMar>
        </w:tblPrEx>
        <w:trPr>
          <w:wBefore w:w="0" w:type="auto"/>
          <w:tblCellSpacing w:w="0" w:type="dxa"/>
        </w:trPr>
        <w:tc>
          <w:tcPr>
            <w:tcW w:w="0" w:type="auto"/>
            <w:noWrap w:val="0"/>
            <w:vAlign w:val="center"/>
          </w:tcPr>
          <w:p w14:paraId="51EF6D4B">
            <w:r>
              <w:rPr>
                <w:rStyle w:val="10"/>
                <w:rFonts w:hint="eastAsia"/>
              </w:rPr>
              <w:t>使用技术要求:</w:t>
            </w:r>
            <w:r>
              <w:rPr>
                <w:rFonts w:hint="eastAsia"/>
              </w:rPr>
              <w:br w:type="textWrapping"/>
            </w:r>
            <w:r>
              <w:rPr>
                <w:rStyle w:val="11"/>
                <w:rFonts w:hint="eastAsia"/>
              </w:rPr>
              <w:t>按0.2毫升/平方米用药量用水稀释约250-500倍后，全面均匀喷洒于墙面、地面、门窗、橱背、房梁等害虫易停留物体表面。使用时，现用现配，请勿放置。喷液量以将物体表面喷透,湿而不流并有少量液体流出为宜，确保均匀覆盖。根据害虫种类、密度大小和分布区域的表面情况，可适当调整施药量和频率。</w:t>
            </w:r>
          </w:p>
        </w:tc>
      </w:tr>
      <w:tr w14:paraId="404D64FA">
        <w:tblPrEx>
          <w:tblCellMar>
            <w:top w:w="0" w:type="dxa"/>
            <w:left w:w="0" w:type="dxa"/>
            <w:bottom w:w="0" w:type="dxa"/>
            <w:right w:w="0" w:type="dxa"/>
          </w:tblCellMar>
        </w:tblPrEx>
        <w:trPr>
          <w:wBefore w:w="0" w:type="auto"/>
          <w:tblCellSpacing w:w="0" w:type="dxa"/>
        </w:trPr>
        <w:tc>
          <w:tcPr>
            <w:tcW w:w="0" w:type="auto"/>
            <w:noWrap w:val="0"/>
            <w:vAlign w:val="center"/>
          </w:tcPr>
          <w:p w14:paraId="47525A0A">
            <w:r>
              <w:rPr>
                <w:rStyle w:val="10"/>
                <w:rFonts w:hint="eastAsia"/>
              </w:rPr>
              <w:t>产品性能:</w:t>
            </w:r>
            <w:r>
              <w:rPr>
                <w:rFonts w:hint="eastAsia"/>
              </w:rPr>
              <w:br w:type="textWrapping"/>
            </w:r>
            <w:r>
              <w:rPr>
                <w:rStyle w:val="11"/>
                <w:rFonts w:hint="eastAsia"/>
              </w:rPr>
              <w:t>本品是由两种不同杀虫机理的有效成分混配而成的卫生类杀虫剂，具有触杀和胃毒作用。本品杀虫谱广，具有快速击倒致死及药效持久等特点。 适用范围：适用于食品加工业、餐馆、学校、商用楼宇、酒店、医院、飞机、火车、轮船、家庭等蚊、蝇、蜚蠊、蚂蚁、跳蚤和臭虫活动和孳生的室内场所。</w:t>
            </w:r>
          </w:p>
        </w:tc>
      </w:tr>
      <w:tr w14:paraId="0AC00565">
        <w:tblPrEx>
          <w:tblCellMar>
            <w:top w:w="0" w:type="dxa"/>
            <w:left w:w="0" w:type="dxa"/>
            <w:bottom w:w="0" w:type="dxa"/>
            <w:right w:w="0" w:type="dxa"/>
          </w:tblCellMar>
        </w:tblPrEx>
        <w:trPr>
          <w:wBefore w:w="0" w:type="auto"/>
          <w:tblCellSpacing w:w="0" w:type="dxa"/>
        </w:trPr>
        <w:tc>
          <w:tcPr>
            <w:tcW w:w="0" w:type="auto"/>
            <w:noWrap w:val="0"/>
            <w:vAlign w:val="center"/>
          </w:tcPr>
          <w:p w14:paraId="1A86724F">
            <w:r>
              <w:rPr>
                <w:rStyle w:val="10"/>
                <w:rFonts w:hint="eastAsia"/>
              </w:rPr>
              <w:t>注意事项：</w:t>
            </w:r>
            <w:r>
              <w:rPr>
                <w:rFonts w:hint="eastAsia"/>
              </w:rPr>
              <w:br w:type="textWrapping"/>
            </w:r>
            <w:r>
              <w:rPr>
                <w:rStyle w:val="11"/>
                <w:rFonts w:hint="eastAsia"/>
              </w:rPr>
              <w:t>１.本品仅限室内使用。施用本品时应远离儿童、敏感体质人群2.本药剂不要直接喷射于人体、食物、餐具、茶具等。3.用过的容器应妥善处理，不可做他用，也不可随意丢弃。4. 养蚕室及其附近禁用。5. 本品不宜与碱性物质、强氧化剂混用，以防分解。6. 本品对眼睛有刺激性，使用时避免接触眼睛，穿戴长衣、长裤、帽子、口罩、手套等防护措施。7. 孕妇及哺乳期妇女禁止接触。</w:t>
            </w:r>
          </w:p>
        </w:tc>
      </w:tr>
      <w:tr w14:paraId="5A8D16CF">
        <w:tblPrEx>
          <w:tblCellMar>
            <w:top w:w="0" w:type="dxa"/>
            <w:left w:w="0" w:type="dxa"/>
            <w:bottom w:w="0" w:type="dxa"/>
            <w:right w:w="0" w:type="dxa"/>
          </w:tblCellMar>
        </w:tblPrEx>
        <w:trPr>
          <w:wBefore w:w="0" w:type="auto"/>
          <w:tblCellSpacing w:w="0" w:type="dxa"/>
        </w:trPr>
        <w:tc>
          <w:tcPr>
            <w:tcW w:w="0" w:type="auto"/>
            <w:noWrap w:val="0"/>
            <w:vAlign w:val="center"/>
          </w:tcPr>
          <w:p w14:paraId="4CD9C8C4">
            <w:r>
              <w:rPr>
                <w:rStyle w:val="10"/>
                <w:rFonts w:hint="eastAsia"/>
              </w:rPr>
              <w:t>中毒急救措施：</w:t>
            </w:r>
            <w:r>
              <w:rPr>
                <w:rFonts w:hint="eastAsia"/>
              </w:rPr>
              <w:br w:type="textWrapping"/>
            </w:r>
            <w:r>
              <w:rPr>
                <w:rStyle w:val="11"/>
                <w:rFonts w:hint="eastAsia"/>
              </w:rPr>
              <w:t>1. 皮肤接触：立即脱掉被污染的衣物，用肥皂和大量清水彻底清洗受污染的皮肤。2. 眼睛溅药：立即将眼睑翻开，用流动清水冲洗10-15分钟。 3. 若误食，请立即携标签就医对症治疗。</w:t>
            </w:r>
          </w:p>
        </w:tc>
      </w:tr>
      <w:tr w14:paraId="1D7533D9">
        <w:tblPrEx>
          <w:tblCellMar>
            <w:top w:w="0" w:type="dxa"/>
            <w:left w:w="0" w:type="dxa"/>
            <w:bottom w:w="0" w:type="dxa"/>
            <w:right w:w="0" w:type="dxa"/>
          </w:tblCellMar>
        </w:tblPrEx>
        <w:trPr>
          <w:wBefore w:w="0" w:type="auto"/>
          <w:tblCellSpacing w:w="0" w:type="dxa"/>
        </w:trPr>
        <w:tc>
          <w:tcPr>
            <w:tcW w:w="0" w:type="auto"/>
            <w:noWrap w:val="0"/>
            <w:vAlign w:val="center"/>
          </w:tcPr>
          <w:p w14:paraId="62C948D9">
            <w:r>
              <w:rPr>
                <w:rStyle w:val="10"/>
                <w:rFonts w:hint="eastAsia"/>
              </w:rPr>
              <w:t>储存和运输方法：</w:t>
            </w:r>
            <w:r>
              <w:rPr>
                <w:rFonts w:hint="eastAsia"/>
              </w:rPr>
              <w:br w:type="textWrapping"/>
            </w:r>
            <w:r>
              <w:rPr>
                <w:rStyle w:val="11"/>
                <w:rFonts w:hint="eastAsia"/>
              </w:rPr>
              <w:t>本品应储存在阴凉、通风、干燥处，远离火源及热源。置于儿童、无关人员触及不到之处，并加锁。勿与食品、饮料、饲料、粮食等同贮同运。运输时应防止重压、高温和雨淋。</w:t>
            </w:r>
          </w:p>
        </w:tc>
      </w:tr>
      <w:tr w14:paraId="0347A7EC">
        <w:tblPrEx>
          <w:tblCellMar>
            <w:top w:w="0" w:type="dxa"/>
            <w:left w:w="0" w:type="dxa"/>
            <w:bottom w:w="0" w:type="dxa"/>
            <w:right w:w="0" w:type="dxa"/>
          </w:tblCellMar>
        </w:tblPrEx>
        <w:trPr>
          <w:wBefore w:w="0" w:type="auto"/>
          <w:tblCellSpacing w:w="0" w:type="dxa"/>
        </w:trPr>
        <w:tc>
          <w:tcPr>
            <w:tcW w:w="0" w:type="auto"/>
            <w:noWrap w:val="0"/>
            <w:vAlign w:val="center"/>
          </w:tcPr>
          <w:p w14:paraId="6F05CC31">
            <w:r>
              <w:rPr>
                <w:rStyle w:val="10"/>
                <w:rFonts w:hint="eastAsia"/>
              </w:rPr>
              <w:t>质量保证期：</w:t>
            </w:r>
            <w:r>
              <w:rPr>
                <w:rStyle w:val="11"/>
                <w:rFonts w:hint="eastAsia"/>
              </w:rPr>
              <w:t>2年</w:t>
            </w:r>
          </w:p>
        </w:tc>
      </w:tr>
      <w:tr w14:paraId="30073C39">
        <w:tblPrEx>
          <w:tblCellMar>
            <w:top w:w="0" w:type="dxa"/>
            <w:left w:w="0" w:type="dxa"/>
            <w:bottom w:w="0" w:type="dxa"/>
            <w:right w:w="0" w:type="dxa"/>
          </w:tblCellMar>
        </w:tblPrEx>
        <w:trPr>
          <w:wBefore w:w="0" w:type="auto"/>
          <w:tblCellSpacing w:w="0" w:type="dxa"/>
        </w:trPr>
        <w:tc>
          <w:tcPr>
            <w:tcW w:w="0" w:type="auto"/>
            <w:noWrap w:val="0"/>
            <w:vAlign w:val="center"/>
          </w:tcPr>
          <w:p w14:paraId="451600B7">
            <w:r>
              <w:rPr>
                <w:rStyle w:val="10"/>
                <w:rFonts w:hint="eastAsia"/>
              </w:rPr>
              <w:t>备注：</w:t>
            </w:r>
          </w:p>
        </w:tc>
      </w:tr>
    </w:tbl>
    <w:p w14:paraId="4207BB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0F8342">
        <w:tblPrEx>
          <w:tblCellMar>
            <w:top w:w="0" w:type="dxa"/>
            <w:left w:w="0" w:type="dxa"/>
            <w:bottom w:w="0" w:type="dxa"/>
            <w:right w:w="0" w:type="dxa"/>
          </w:tblCellMar>
        </w:tblPrEx>
        <w:trPr>
          <w:wBefore w:w="0" w:type="auto"/>
          <w:tblCellSpacing w:w="0" w:type="dxa"/>
        </w:trPr>
        <w:tc>
          <w:tcPr>
            <w:tcW w:w="0" w:type="auto"/>
            <w:noWrap w:val="0"/>
            <w:vAlign w:val="center"/>
          </w:tcPr>
          <w:p w14:paraId="39514080">
            <w:r>
              <w:rPr>
                <w:rStyle w:val="10"/>
                <w:rFonts w:hint="eastAsia"/>
              </w:rPr>
              <w:t>登记证号：</w:t>
            </w:r>
            <w:r>
              <w:rPr>
                <w:rFonts w:hint="eastAsia"/>
              </w:rPr>
              <w:t>PD20212422</w:t>
            </w:r>
          </w:p>
        </w:tc>
      </w:tr>
      <w:tr w14:paraId="247FCB21">
        <w:tblPrEx>
          <w:tblCellMar>
            <w:top w:w="0" w:type="dxa"/>
            <w:left w:w="0" w:type="dxa"/>
            <w:bottom w:w="0" w:type="dxa"/>
            <w:right w:w="0" w:type="dxa"/>
          </w:tblCellMar>
        </w:tblPrEx>
        <w:trPr>
          <w:wBefore w:w="0" w:type="auto"/>
          <w:tblCellSpacing w:w="0" w:type="dxa"/>
        </w:trPr>
        <w:tc>
          <w:tcPr>
            <w:tcW w:w="0" w:type="auto"/>
            <w:noWrap w:val="0"/>
            <w:vAlign w:val="center"/>
          </w:tcPr>
          <w:p w14:paraId="74F653DC">
            <w:r>
              <w:rPr>
                <w:rStyle w:val="10"/>
                <w:rFonts w:hint="eastAsia"/>
              </w:rPr>
              <w:t>登记证持有人：</w:t>
            </w:r>
            <w:r>
              <w:rPr>
                <w:rFonts w:hint="eastAsia"/>
              </w:rPr>
              <w:t>青州鑫邦生物科技有限公司</w:t>
            </w:r>
          </w:p>
        </w:tc>
      </w:tr>
      <w:tr w14:paraId="57835AD3">
        <w:tblPrEx>
          <w:tblCellMar>
            <w:top w:w="0" w:type="dxa"/>
            <w:left w:w="0" w:type="dxa"/>
            <w:bottom w:w="0" w:type="dxa"/>
            <w:right w:w="0" w:type="dxa"/>
          </w:tblCellMar>
        </w:tblPrEx>
        <w:trPr>
          <w:wBefore w:w="0" w:type="auto"/>
          <w:tblCellSpacing w:w="0" w:type="dxa"/>
        </w:trPr>
        <w:tc>
          <w:tcPr>
            <w:tcW w:w="0" w:type="auto"/>
            <w:noWrap w:val="0"/>
            <w:vAlign w:val="center"/>
          </w:tcPr>
          <w:p w14:paraId="1F6C2C9D">
            <w:r>
              <w:rPr>
                <w:rStyle w:val="10"/>
                <w:rFonts w:hint="eastAsia"/>
              </w:rPr>
              <w:t>农药名称：</w:t>
            </w:r>
            <w:r>
              <w:rPr>
                <w:rFonts w:hint="eastAsia"/>
              </w:rPr>
              <w:t>印楝籽提取物</w:t>
            </w:r>
          </w:p>
        </w:tc>
      </w:tr>
      <w:tr w14:paraId="69A3E6EA">
        <w:tblPrEx>
          <w:tblCellMar>
            <w:top w:w="0" w:type="dxa"/>
            <w:left w:w="0" w:type="dxa"/>
            <w:bottom w:w="0" w:type="dxa"/>
            <w:right w:w="0" w:type="dxa"/>
          </w:tblCellMar>
        </w:tblPrEx>
        <w:trPr>
          <w:wBefore w:w="0" w:type="auto"/>
          <w:tblCellSpacing w:w="0" w:type="dxa"/>
        </w:trPr>
        <w:tc>
          <w:tcPr>
            <w:tcW w:w="0" w:type="auto"/>
            <w:noWrap w:val="0"/>
            <w:vAlign w:val="center"/>
          </w:tcPr>
          <w:p w14:paraId="0486DD3F">
            <w:r>
              <w:rPr>
                <w:rStyle w:val="10"/>
                <w:rFonts w:hint="eastAsia"/>
              </w:rPr>
              <w:t>剂型：</w:t>
            </w:r>
            <w:r>
              <w:rPr>
                <w:rFonts w:hint="eastAsia"/>
              </w:rPr>
              <w:t>微乳剂</w:t>
            </w:r>
          </w:p>
        </w:tc>
      </w:tr>
      <w:tr w14:paraId="272F3F45">
        <w:tblPrEx>
          <w:tblCellMar>
            <w:top w:w="0" w:type="dxa"/>
            <w:left w:w="0" w:type="dxa"/>
            <w:bottom w:w="0" w:type="dxa"/>
            <w:right w:w="0" w:type="dxa"/>
          </w:tblCellMar>
        </w:tblPrEx>
        <w:trPr>
          <w:wBefore w:w="0" w:type="auto"/>
          <w:tblCellSpacing w:w="0" w:type="dxa"/>
        </w:trPr>
        <w:tc>
          <w:tcPr>
            <w:tcW w:w="0" w:type="auto"/>
            <w:noWrap w:val="0"/>
            <w:vAlign w:val="center"/>
          </w:tcPr>
          <w:p w14:paraId="47F5011A">
            <w:r>
              <w:rPr>
                <w:rStyle w:val="10"/>
                <w:rFonts w:hint="eastAsia"/>
              </w:rPr>
              <w:t>毒性及其标识：</w:t>
            </w:r>
            <w:r>
              <w:rPr>
                <w:rFonts w:hint="eastAsia"/>
              </w:rPr>
              <w:t xml:space="preserve"> </w:t>
            </w:r>
            <w:r>
              <w:rPr>
                <w:lang/>
              </w:rPr>
              <w:drawing>
                <wp:inline distT="0" distB="0" distL="114300" distR="114300">
                  <wp:extent cx="476250" cy="323850"/>
                  <wp:effectExtent l="0" t="0" r="0" b="0"/>
                  <wp:docPr id="201" name="图片 2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0183AC">
        <w:tblPrEx>
          <w:tblCellMar>
            <w:top w:w="0" w:type="dxa"/>
            <w:left w:w="0" w:type="dxa"/>
            <w:bottom w:w="0" w:type="dxa"/>
            <w:right w:w="0" w:type="dxa"/>
          </w:tblCellMar>
        </w:tblPrEx>
        <w:trPr>
          <w:wBefore w:w="0" w:type="auto"/>
          <w:tblCellSpacing w:w="0" w:type="dxa"/>
        </w:trPr>
        <w:tc>
          <w:tcPr>
            <w:tcW w:w="0" w:type="auto"/>
            <w:noWrap w:val="0"/>
            <w:vAlign w:val="center"/>
          </w:tcPr>
          <w:p w14:paraId="6A5760E8">
            <w:r>
              <w:rPr>
                <w:rStyle w:val="10"/>
                <w:rFonts w:hint="eastAsia"/>
              </w:rPr>
              <w:t>总有效成分含量：</w:t>
            </w:r>
            <w:r>
              <w:rPr>
                <w:rFonts w:hint="eastAsia"/>
              </w:rPr>
              <w:t>1%</w:t>
            </w:r>
          </w:p>
        </w:tc>
      </w:tr>
      <w:tr w14:paraId="215C8112">
        <w:tblPrEx>
          <w:tblCellMar>
            <w:top w:w="0" w:type="dxa"/>
            <w:left w:w="0" w:type="dxa"/>
            <w:bottom w:w="0" w:type="dxa"/>
            <w:right w:w="0" w:type="dxa"/>
          </w:tblCellMar>
        </w:tblPrEx>
        <w:trPr>
          <w:wBefore w:w="0" w:type="auto"/>
          <w:tblCellSpacing w:w="0" w:type="dxa"/>
        </w:trPr>
        <w:tc>
          <w:tcPr>
            <w:tcW w:w="0" w:type="auto"/>
            <w:noWrap w:val="0"/>
            <w:vAlign w:val="center"/>
          </w:tcPr>
          <w:p w14:paraId="6C58E878">
            <w:r>
              <w:rPr>
                <w:rFonts w:hint="eastAsia"/>
              </w:rPr>
              <w:t xml:space="preserve">有效成分及其含量： </w:t>
            </w:r>
          </w:p>
          <w:p w14:paraId="2D8F371C">
            <w:r>
              <w:rPr>
                <w:rFonts w:hint="eastAsia"/>
              </w:rPr>
              <w:t xml:space="preserve">    印楝素1%    </w:t>
            </w:r>
          </w:p>
        </w:tc>
      </w:tr>
      <w:tr w14:paraId="4F802187">
        <w:tblPrEx>
          <w:tblCellMar>
            <w:top w:w="0" w:type="dxa"/>
            <w:left w:w="0" w:type="dxa"/>
            <w:bottom w:w="0" w:type="dxa"/>
            <w:right w:w="0" w:type="dxa"/>
          </w:tblCellMar>
        </w:tblPrEx>
        <w:trPr>
          <w:wBefore w:w="0" w:type="auto"/>
          <w:tblCellSpacing w:w="0" w:type="dxa"/>
        </w:trPr>
        <w:tc>
          <w:tcPr>
            <w:tcW w:w="0" w:type="auto"/>
            <w:noWrap w:val="0"/>
            <w:vAlign w:val="center"/>
          </w:tcPr>
          <w:p w14:paraId="25445F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3FD1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5E9F2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A733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E377A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8CA139">
                  <w:r>
                    <w:rPr>
                      <w:rStyle w:val="11"/>
                      <w:rFonts w:hint="eastAsia"/>
                    </w:rPr>
                    <w:t>施用方式</w:t>
                  </w:r>
                </w:p>
              </w:tc>
            </w:tr>
            <w:tr w14:paraId="6221E7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65612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F958CA">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8C7DB4">
                  <w:r>
                    <w:rPr>
                      <w:rStyle w:val="11"/>
                      <w:rFonts w:hint="eastAsia"/>
                    </w:rPr>
                    <w:t>36-45毫升/亩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1FB4CE">
                  <w:r>
                    <w:rPr>
                      <w:rStyle w:val="11"/>
                      <w:rFonts w:hint="eastAsia"/>
                    </w:rPr>
                    <w:t>喷雾</w:t>
                  </w:r>
                </w:p>
              </w:tc>
            </w:tr>
          </w:tbl>
          <w:p w14:paraId="5CFCC410">
            <w:pPr>
              <w:rPr>
                <w:rFonts w:ascii="Times New Roman" w:hAnsi="Times New Roman" w:cs="Times New Roman"/>
                <w:sz w:val="20"/>
                <w:szCs w:val="20"/>
              </w:rPr>
            </w:pPr>
          </w:p>
        </w:tc>
      </w:tr>
      <w:tr w14:paraId="7C83C19C">
        <w:tblPrEx>
          <w:tblCellMar>
            <w:top w:w="0" w:type="dxa"/>
            <w:left w:w="0" w:type="dxa"/>
            <w:bottom w:w="0" w:type="dxa"/>
            <w:right w:w="0" w:type="dxa"/>
          </w:tblCellMar>
        </w:tblPrEx>
        <w:trPr>
          <w:wBefore w:w="0" w:type="auto"/>
          <w:tblCellSpacing w:w="0" w:type="dxa"/>
        </w:trPr>
        <w:tc>
          <w:tcPr>
            <w:tcW w:w="0" w:type="auto"/>
            <w:noWrap w:val="0"/>
            <w:vAlign w:val="center"/>
          </w:tcPr>
          <w:p w14:paraId="65F858BF">
            <w:r>
              <w:rPr>
                <w:rStyle w:val="10"/>
                <w:rFonts w:hint="eastAsia"/>
              </w:rPr>
              <w:t>使用技术要求:</w:t>
            </w:r>
            <w:r>
              <w:rPr>
                <w:rFonts w:hint="eastAsia"/>
              </w:rPr>
              <w:br w:type="textWrapping"/>
            </w:r>
            <w:r>
              <w:rPr>
                <w:rStyle w:val="11"/>
                <w:rFonts w:hint="eastAsia"/>
              </w:rPr>
              <w:t>1.于小菜蛾低龄幼虫期喷雾施药1次。 2.使用时要注意喷雾均匀周到，尤其对目标害虫的危害部位。 3.本品在甘蓝上的安全间隔期为10天，每季最多使用3次。 4.大风或预计一小时内有雨请勿施药。</w:t>
            </w:r>
          </w:p>
        </w:tc>
      </w:tr>
      <w:tr w14:paraId="72F575E2">
        <w:tblPrEx>
          <w:tblCellMar>
            <w:top w:w="0" w:type="dxa"/>
            <w:left w:w="0" w:type="dxa"/>
            <w:bottom w:w="0" w:type="dxa"/>
            <w:right w:w="0" w:type="dxa"/>
          </w:tblCellMar>
        </w:tblPrEx>
        <w:trPr>
          <w:wBefore w:w="0" w:type="auto"/>
          <w:tblCellSpacing w:w="0" w:type="dxa"/>
        </w:trPr>
        <w:tc>
          <w:tcPr>
            <w:tcW w:w="0" w:type="auto"/>
            <w:noWrap w:val="0"/>
            <w:vAlign w:val="center"/>
          </w:tcPr>
          <w:p w14:paraId="70507838">
            <w:r>
              <w:rPr>
                <w:rStyle w:val="10"/>
                <w:rFonts w:hint="eastAsia"/>
              </w:rPr>
              <w:t>产品性能:</w:t>
            </w:r>
            <w:r>
              <w:rPr>
                <w:rFonts w:hint="eastAsia"/>
              </w:rPr>
              <w:br w:type="textWrapping"/>
            </w:r>
            <w:r>
              <w:rPr>
                <w:rStyle w:val="11"/>
                <w:rFonts w:hint="eastAsia"/>
              </w:rPr>
              <w:t>该药是从印楝树中提取的植物性杀虫剂，对昆虫具有拒食、忌避、、 毒杀及内吸和抑制生长发育作用。主要作用于昆虫的内分泌系统，和低蜕皮激素的释放量；也可以直接破坏表皮结构或阻止表皮几丁质的形成，或干扰呼吸代谢，影响生殖系统发育等。能有效防治甘蓝小菜蛾。</w:t>
            </w:r>
          </w:p>
        </w:tc>
      </w:tr>
      <w:tr w14:paraId="2A020046">
        <w:tblPrEx>
          <w:tblCellMar>
            <w:top w:w="0" w:type="dxa"/>
            <w:left w:w="0" w:type="dxa"/>
            <w:bottom w:w="0" w:type="dxa"/>
            <w:right w:w="0" w:type="dxa"/>
          </w:tblCellMar>
        </w:tblPrEx>
        <w:trPr>
          <w:wBefore w:w="0" w:type="auto"/>
          <w:tblCellSpacing w:w="0" w:type="dxa"/>
        </w:trPr>
        <w:tc>
          <w:tcPr>
            <w:tcW w:w="0" w:type="auto"/>
            <w:noWrap w:val="0"/>
            <w:vAlign w:val="center"/>
          </w:tcPr>
          <w:p w14:paraId="74229947">
            <w:r>
              <w:rPr>
                <w:rStyle w:val="10"/>
                <w:rFonts w:hint="eastAsia"/>
              </w:rPr>
              <w:t>注意事项：</w:t>
            </w:r>
            <w:r>
              <w:rPr>
                <w:rFonts w:hint="eastAsia"/>
              </w:rPr>
              <w:br w:type="textWrapping"/>
            </w:r>
            <w:r>
              <w:rPr>
                <w:rStyle w:val="11"/>
                <w:rFonts w:hint="eastAsia"/>
              </w:rPr>
              <w:t>1. 本品为植物源农药，药效较慢，但持续效较长。 2. 本品不能与碱性农药等物质混合使用，以免分解。 3. 本品对蜜蜂、鱼类等水生生物、家蚕有毒，施药期间应避免对周围蜂群的影响，开花植物花期，蚕室和桑园附近禁用。远离水产养殖区及河塘等水域施药，禁止在河塘等水体中清洗施药器具。施药后的田水禁止排入水体。 4. 孕妇及哺乳期妇女应避免接触。 5. 本品对眼睛有刺激性，使用时避免接触眼睛，穿戴长衣、长裤、帽子、口罩、手套等防护措施，避免吸入药液。施药期间不可乱吃东西和饮水。施药后应及时洗手和洗脸。 6. 建议与不同机制的杀虫剂轮换使用。 7. 建议与其他不同作用机制的杀虫剂轮换使用。 8. 用过的容器应妥善处理，不可做他用，也不可随意丢弃。</w:t>
            </w:r>
          </w:p>
        </w:tc>
      </w:tr>
      <w:tr w14:paraId="0E264597">
        <w:tblPrEx>
          <w:tblCellMar>
            <w:top w:w="0" w:type="dxa"/>
            <w:left w:w="0" w:type="dxa"/>
            <w:bottom w:w="0" w:type="dxa"/>
            <w:right w:w="0" w:type="dxa"/>
          </w:tblCellMar>
        </w:tblPrEx>
        <w:trPr>
          <w:wBefore w:w="0" w:type="auto"/>
          <w:tblCellSpacing w:w="0" w:type="dxa"/>
        </w:trPr>
        <w:tc>
          <w:tcPr>
            <w:tcW w:w="0" w:type="auto"/>
            <w:noWrap w:val="0"/>
            <w:vAlign w:val="center"/>
          </w:tcPr>
          <w:p w14:paraId="08927B3D">
            <w:r>
              <w:rPr>
                <w:rStyle w:val="10"/>
                <w:rFonts w:hint="eastAsia"/>
              </w:rPr>
              <w:t>中毒急救措施：</w:t>
            </w:r>
            <w:r>
              <w:rPr>
                <w:rFonts w:hint="eastAsia"/>
              </w:rPr>
              <w:br w:type="textWrapping"/>
            </w:r>
            <w:r>
              <w:rPr>
                <w:rStyle w:val="11"/>
                <w:rFonts w:hint="eastAsia"/>
              </w:rPr>
              <w:t>使用中或使用后如果感觉不适，应立即停止工作，采取急救措施。 1．不慎眼睛溅药：立即将眼睑翻开，用清水冲洗至少15分钟，现请医生诊治。 2. 不慎皮肤接触：立即脱掉被污染的衣服，用肥皂和大量清水彻底清洗受污染的皮肤。 3．不慎吸入：立即将吸入者转移至空气新鲜处，请医生诊治。 4．若误食：速携标签送医院，请医生对症治疗。</w:t>
            </w:r>
          </w:p>
        </w:tc>
      </w:tr>
      <w:tr w14:paraId="39C1D8FB">
        <w:tblPrEx>
          <w:tblCellMar>
            <w:top w:w="0" w:type="dxa"/>
            <w:left w:w="0" w:type="dxa"/>
            <w:bottom w:w="0" w:type="dxa"/>
            <w:right w:w="0" w:type="dxa"/>
          </w:tblCellMar>
        </w:tblPrEx>
        <w:trPr>
          <w:wBefore w:w="0" w:type="auto"/>
          <w:tblCellSpacing w:w="0" w:type="dxa"/>
        </w:trPr>
        <w:tc>
          <w:tcPr>
            <w:tcW w:w="0" w:type="auto"/>
            <w:noWrap w:val="0"/>
            <w:vAlign w:val="center"/>
          </w:tcPr>
          <w:p w14:paraId="4110625C">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本品应贮存在阴凉、干燥、通风、防雨处。远离火源或热源。置于儿童、无关人员触及不到之处，并加锁。勿与食品、饮料、粮食、饲料等同贮同运。运输时轻拿轻放，严禁倒置。</w:t>
            </w:r>
          </w:p>
        </w:tc>
      </w:tr>
      <w:tr w14:paraId="669620CC">
        <w:tblPrEx>
          <w:tblCellMar>
            <w:top w:w="0" w:type="dxa"/>
            <w:left w:w="0" w:type="dxa"/>
            <w:bottom w:w="0" w:type="dxa"/>
            <w:right w:w="0" w:type="dxa"/>
          </w:tblCellMar>
        </w:tblPrEx>
        <w:trPr>
          <w:wBefore w:w="0" w:type="auto"/>
          <w:tblCellSpacing w:w="0" w:type="dxa"/>
        </w:trPr>
        <w:tc>
          <w:tcPr>
            <w:tcW w:w="0" w:type="auto"/>
            <w:noWrap w:val="0"/>
            <w:vAlign w:val="center"/>
          </w:tcPr>
          <w:p w14:paraId="300D468C">
            <w:r>
              <w:rPr>
                <w:rStyle w:val="10"/>
                <w:rFonts w:hint="eastAsia"/>
              </w:rPr>
              <w:t>质量保证期：</w:t>
            </w:r>
            <w:r>
              <w:rPr>
                <w:rStyle w:val="11"/>
                <w:rFonts w:hint="eastAsia"/>
              </w:rPr>
              <w:t>2年</w:t>
            </w:r>
          </w:p>
        </w:tc>
      </w:tr>
      <w:tr w14:paraId="4644EC31">
        <w:tblPrEx>
          <w:tblCellMar>
            <w:top w:w="0" w:type="dxa"/>
            <w:left w:w="0" w:type="dxa"/>
            <w:bottom w:w="0" w:type="dxa"/>
            <w:right w:w="0" w:type="dxa"/>
          </w:tblCellMar>
        </w:tblPrEx>
        <w:trPr>
          <w:wBefore w:w="0" w:type="auto"/>
          <w:tblCellSpacing w:w="0" w:type="dxa"/>
        </w:trPr>
        <w:tc>
          <w:tcPr>
            <w:tcW w:w="0" w:type="auto"/>
            <w:noWrap w:val="0"/>
            <w:vAlign w:val="center"/>
          </w:tcPr>
          <w:p w14:paraId="41BEB43E">
            <w:r>
              <w:rPr>
                <w:rStyle w:val="10"/>
                <w:rFonts w:hint="eastAsia"/>
              </w:rPr>
              <w:t>备注：</w:t>
            </w:r>
          </w:p>
        </w:tc>
      </w:tr>
    </w:tbl>
    <w:p w14:paraId="66841A4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3CAA1A8">
        <w:tblPrEx>
          <w:tblCellMar>
            <w:top w:w="0" w:type="dxa"/>
            <w:left w:w="0" w:type="dxa"/>
            <w:bottom w:w="0" w:type="dxa"/>
            <w:right w:w="0" w:type="dxa"/>
          </w:tblCellMar>
        </w:tblPrEx>
        <w:trPr>
          <w:wBefore w:w="0" w:type="auto"/>
          <w:tblCellSpacing w:w="0" w:type="dxa"/>
        </w:trPr>
        <w:tc>
          <w:tcPr>
            <w:tcW w:w="0" w:type="auto"/>
            <w:noWrap w:val="0"/>
            <w:vAlign w:val="center"/>
          </w:tcPr>
          <w:p w14:paraId="4526722D">
            <w:r>
              <w:rPr>
                <w:rStyle w:val="10"/>
                <w:rFonts w:hint="eastAsia"/>
              </w:rPr>
              <w:t>登记证号：</w:t>
            </w:r>
            <w:r>
              <w:rPr>
                <w:rFonts w:hint="eastAsia"/>
              </w:rPr>
              <w:t>PD20212433</w:t>
            </w:r>
          </w:p>
        </w:tc>
      </w:tr>
      <w:tr w14:paraId="18AA6DA8">
        <w:tblPrEx>
          <w:tblCellMar>
            <w:top w:w="0" w:type="dxa"/>
            <w:left w:w="0" w:type="dxa"/>
            <w:bottom w:w="0" w:type="dxa"/>
            <w:right w:w="0" w:type="dxa"/>
          </w:tblCellMar>
        </w:tblPrEx>
        <w:trPr>
          <w:wBefore w:w="0" w:type="auto"/>
          <w:tblCellSpacing w:w="0" w:type="dxa"/>
        </w:trPr>
        <w:tc>
          <w:tcPr>
            <w:tcW w:w="0" w:type="auto"/>
            <w:noWrap w:val="0"/>
            <w:vAlign w:val="center"/>
          </w:tcPr>
          <w:p w14:paraId="75FD6F6C">
            <w:r>
              <w:rPr>
                <w:rStyle w:val="10"/>
                <w:rFonts w:hint="eastAsia"/>
              </w:rPr>
              <w:t>登记证持有人：</w:t>
            </w:r>
            <w:r>
              <w:rPr>
                <w:rFonts w:hint="eastAsia"/>
              </w:rPr>
              <w:t>山东树林生物科技有限公司</w:t>
            </w:r>
          </w:p>
        </w:tc>
      </w:tr>
      <w:tr w14:paraId="6B9A06E2">
        <w:tblPrEx>
          <w:tblCellMar>
            <w:top w:w="0" w:type="dxa"/>
            <w:left w:w="0" w:type="dxa"/>
            <w:bottom w:w="0" w:type="dxa"/>
            <w:right w:w="0" w:type="dxa"/>
          </w:tblCellMar>
        </w:tblPrEx>
        <w:trPr>
          <w:wBefore w:w="0" w:type="auto"/>
          <w:tblCellSpacing w:w="0" w:type="dxa"/>
        </w:trPr>
        <w:tc>
          <w:tcPr>
            <w:tcW w:w="0" w:type="auto"/>
            <w:noWrap w:val="0"/>
            <w:vAlign w:val="center"/>
          </w:tcPr>
          <w:p w14:paraId="3DEE1877">
            <w:r>
              <w:rPr>
                <w:rStyle w:val="10"/>
                <w:rFonts w:hint="eastAsia"/>
              </w:rPr>
              <w:t>农药名称：</w:t>
            </w:r>
            <w:r>
              <w:rPr>
                <w:rFonts w:hint="eastAsia"/>
              </w:rPr>
              <w:t>唑虫酰胺</w:t>
            </w:r>
          </w:p>
        </w:tc>
      </w:tr>
      <w:tr w14:paraId="6977CAA1">
        <w:tblPrEx>
          <w:tblCellMar>
            <w:top w:w="0" w:type="dxa"/>
            <w:left w:w="0" w:type="dxa"/>
            <w:bottom w:w="0" w:type="dxa"/>
            <w:right w:w="0" w:type="dxa"/>
          </w:tblCellMar>
        </w:tblPrEx>
        <w:trPr>
          <w:wBefore w:w="0" w:type="auto"/>
          <w:tblCellSpacing w:w="0" w:type="dxa"/>
        </w:trPr>
        <w:tc>
          <w:tcPr>
            <w:tcW w:w="0" w:type="auto"/>
            <w:noWrap w:val="0"/>
            <w:vAlign w:val="center"/>
          </w:tcPr>
          <w:p w14:paraId="7F1CD922">
            <w:r>
              <w:rPr>
                <w:rStyle w:val="10"/>
                <w:rFonts w:hint="eastAsia"/>
              </w:rPr>
              <w:t>剂型：</w:t>
            </w:r>
            <w:r>
              <w:rPr>
                <w:rFonts w:hint="eastAsia"/>
              </w:rPr>
              <w:t>悬浮剂</w:t>
            </w:r>
          </w:p>
        </w:tc>
      </w:tr>
      <w:tr w14:paraId="40392D1C">
        <w:tblPrEx>
          <w:tblCellMar>
            <w:top w:w="0" w:type="dxa"/>
            <w:left w:w="0" w:type="dxa"/>
            <w:bottom w:w="0" w:type="dxa"/>
            <w:right w:w="0" w:type="dxa"/>
          </w:tblCellMar>
        </w:tblPrEx>
        <w:trPr>
          <w:wBefore w:w="0" w:type="auto"/>
          <w:tblCellSpacing w:w="0" w:type="dxa"/>
        </w:trPr>
        <w:tc>
          <w:tcPr>
            <w:tcW w:w="0" w:type="auto"/>
            <w:noWrap w:val="0"/>
            <w:vAlign w:val="center"/>
          </w:tcPr>
          <w:p w14:paraId="53BA3CE0">
            <w:r>
              <w:rPr>
                <w:rStyle w:val="10"/>
                <w:rFonts w:hint="eastAsia"/>
              </w:rPr>
              <w:t>毒性及其标识：</w:t>
            </w:r>
            <w:r>
              <w:rPr>
                <w:rFonts w:hint="eastAsia"/>
              </w:rPr>
              <w:t xml:space="preserve"> </w:t>
            </w:r>
            <w:r>
              <w:rPr>
                <w:lang/>
              </w:rPr>
              <w:drawing>
                <wp:inline distT="0" distB="0" distL="114300" distR="114300">
                  <wp:extent cx="476250" cy="323850"/>
                  <wp:effectExtent l="0" t="0" r="0" b="0"/>
                  <wp:docPr id="202" name="图片 2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9F1953">
        <w:tblPrEx>
          <w:tblCellMar>
            <w:top w:w="0" w:type="dxa"/>
            <w:left w:w="0" w:type="dxa"/>
            <w:bottom w:w="0" w:type="dxa"/>
            <w:right w:w="0" w:type="dxa"/>
          </w:tblCellMar>
        </w:tblPrEx>
        <w:trPr>
          <w:wBefore w:w="0" w:type="auto"/>
          <w:tblCellSpacing w:w="0" w:type="dxa"/>
        </w:trPr>
        <w:tc>
          <w:tcPr>
            <w:tcW w:w="0" w:type="auto"/>
            <w:noWrap w:val="0"/>
            <w:vAlign w:val="center"/>
          </w:tcPr>
          <w:p w14:paraId="5D9DB06E">
            <w:r>
              <w:rPr>
                <w:rStyle w:val="10"/>
                <w:rFonts w:hint="eastAsia"/>
              </w:rPr>
              <w:t>总有效成分含量：</w:t>
            </w:r>
            <w:r>
              <w:rPr>
                <w:rFonts w:hint="eastAsia"/>
              </w:rPr>
              <w:t>10%</w:t>
            </w:r>
          </w:p>
        </w:tc>
      </w:tr>
      <w:tr w14:paraId="3ADF3B76">
        <w:tblPrEx>
          <w:tblCellMar>
            <w:top w:w="0" w:type="dxa"/>
            <w:left w:w="0" w:type="dxa"/>
            <w:bottom w:w="0" w:type="dxa"/>
            <w:right w:w="0" w:type="dxa"/>
          </w:tblCellMar>
        </w:tblPrEx>
        <w:trPr>
          <w:wBefore w:w="0" w:type="auto"/>
          <w:tblCellSpacing w:w="0" w:type="dxa"/>
        </w:trPr>
        <w:tc>
          <w:tcPr>
            <w:tcW w:w="0" w:type="auto"/>
            <w:noWrap w:val="0"/>
            <w:vAlign w:val="center"/>
          </w:tcPr>
          <w:p w14:paraId="472ABFC4">
            <w:r>
              <w:rPr>
                <w:rFonts w:hint="eastAsia"/>
              </w:rPr>
              <w:t xml:space="preserve">有效成分及其含量： </w:t>
            </w:r>
          </w:p>
          <w:p w14:paraId="3110B9A5">
            <w:r>
              <w:rPr>
                <w:rFonts w:hint="eastAsia"/>
              </w:rPr>
              <w:t xml:space="preserve">    唑虫酰胺10%    </w:t>
            </w:r>
          </w:p>
        </w:tc>
      </w:tr>
      <w:tr w14:paraId="5A72E352">
        <w:tblPrEx>
          <w:tblCellMar>
            <w:top w:w="0" w:type="dxa"/>
            <w:left w:w="0" w:type="dxa"/>
            <w:bottom w:w="0" w:type="dxa"/>
            <w:right w:w="0" w:type="dxa"/>
          </w:tblCellMar>
        </w:tblPrEx>
        <w:trPr>
          <w:wBefore w:w="0" w:type="auto"/>
          <w:tblCellSpacing w:w="0" w:type="dxa"/>
        </w:trPr>
        <w:tc>
          <w:tcPr>
            <w:tcW w:w="0" w:type="auto"/>
            <w:noWrap w:val="0"/>
            <w:vAlign w:val="center"/>
          </w:tcPr>
          <w:p w14:paraId="259AEA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242D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6B89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D29F0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81BDF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086735">
                  <w:r>
                    <w:rPr>
                      <w:rStyle w:val="11"/>
                      <w:rFonts w:hint="eastAsia"/>
                    </w:rPr>
                    <w:t>施用方式</w:t>
                  </w:r>
                </w:p>
              </w:tc>
            </w:tr>
            <w:tr w14:paraId="563A78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120492">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417E86">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3D88FE">
                  <w:r>
                    <w:rPr>
                      <w:rStyle w:val="11"/>
                      <w:rFonts w:hint="eastAsia"/>
                    </w:rPr>
                    <w:t>45-75毫升/亩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44F0BC">
                  <w:r>
                    <w:rPr>
                      <w:rStyle w:val="11"/>
                      <w:rFonts w:hint="eastAsia"/>
                    </w:rPr>
                    <w:t>喷雾</w:t>
                  </w:r>
                </w:p>
              </w:tc>
            </w:tr>
          </w:tbl>
          <w:p w14:paraId="1C042F8B">
            <w:pPr>
              <w:rPr>
                <w:rFonts w:ascii="Times New Roman" w:hAnsi="Times New Roman" w:cs="Times New Roman"/>
                <w:sz w:val="20"/>
                <w:szCs w:val="20"/>
              </w:rPr>
            </w:pPr>
          </w:p>
        </w:tc>
      </w:tr>
      <w:tr w14:paraId="7AD54EF3">
        <w:tblPrEx>
          <w:tblCellMar>
            <w:top w:w="0" w:type="dxa"/>
            <w:left w:w="0" w:type="dxa"/>
            <w:bottom w:w="0" w:type="dxa"/>
            <w:right w:w="0" w:type="dxa"/>
          </w:tblCellMar>
        </w:tblPrEx>
        <w:trPr>
          <w:wBefore w:w="0" w:type="auto"/>
          <w:tblCellSpacing w:w="0" w:type="dxa"/>
        </w:trPr>
        <w:tc>
          <w:tcPr>
            <w:tcW w:w="0" w:type="auto"/>
            <w:noWrap w:val="0"/>
            <w:vAlign w:val="center"/>
          </w:tcPr>
          <w:p w14:paraId="7E2B9E98">
            <w:r>
              <w:rPr>
                <w:rStyle w:val="10"/>
                <w:rFonts w:hint="eastAsia"/>
              </w:rPr>
              <w:t>使用技术要求:</w:t>
            </w:r>
            <w:r>
              <w:rPr>
                <w:rFonts w:hint="eastAsia"/>
              </w:rPr>
              <w:br w:type="textWrapping"/>
            </w:r>
            <w:r>
              <w:rPr>
                <w:rStyle w:val="11"/>
                <w:rFonts w:hint="eastAsia"/>
              </w:rPr>
              <w:t>1. 本品于甘蓝小菜蛾低龄幼虫发生始盛期喷雾使用，应注意喷雾均匀。 2. 施药时应避免药液漂移到其它作物上，以防产生药害。 3. 本品在甘蓝上使用的安全间隔期为14天，每季作物最多使用1次。</w:t>
            </w:r>
          </w:p>
        </w:tc>
      </w:tr>
      <w:tr w14:paraId="5E120DC1">
        <w:tblPrEx>
          <w:tblCellMar>
            <w:top w:w="0" w:type="dxa"/>
            <w:left w:w="0" w:type="dxa"/>
            <w:bottom w:w="0" w:type="dxa"/>
            <w:right w:w="0" w:type="dxa"/>
          </w:tblCellMar>
        </w:tblPrEx>
        <w:trPr>
          <w:wBefore w:w="0" w:type="auto"/>
          <w:tblCellSpacing w:w="0" w:type="dxa"/>
        </w:trPr>
        <w:tc>
          <w:tcPr>
            <w:tcW w:w="0" w:type="auto"/>
            <w:noWrap w:val="0"/>
            <w:vAlign w:val="center"/>
          </w:tcPr>
          <w:p w14:paraId="609C68AD">
            <w:r>
              <w:rPr>
                <w:rStyle w:val="10"/>
                <w:rFonts w:hint="eastAsia"/>
              </w:rPr>
              <w:t>产品性能:</w:t>
            </w:r>
            <w:r>
              <w:rPr>
                <w:rFonts w:hint="eastAsia"/>
              </w:rPr>
              <w:br w:type="textWrapping"/>
            </w:r>
            <w:r>
              <w:rPr>
                <w:rStyle w:val="11"/>
                <w:rFonts w:hint="eastAsia"/>
              </w:rPr>
              <w:t>本品主要作用机制是阻止昆虫的氧化磷酸化作用，还具有杀卵、抑食、抑制产卵及杀菌作用。对鳞翅目幼虫小菜蛾有特效。</w:t>
            </w:r>
          </w:p>
        </w:tc>
      </w:tr>
      <w:tr w14:paraId="11ABFB19">
        <w:tblPrEx>
          <w:tblCellMar>
            <w:top w:w="0" w:type="dxa"/>
            <w:left w:w="0" w:type="dxa"/>
            <w:bottom w:w="0" w:type="dxa"/>
            <w:right w:w="0" w:type="dxa"/>
          </w:tblCellMar>
        </w:tblPrEx>
        <w:trPr>
          <w:wBefore w:w="0" w:type="auto"/>
          <w:tblCellSpacing w:w="0" w:type="dxa"/>
        </w:trPr>
        <w:tc>
          <w:tcPr>
            <w:tcW w:w="0" w:type="auto"/>
            <w:noWrap w:val="0"/>
            <w:vAlign w:val="center"/>
          </w:tcPr>
          <w:p w14:paraId="2711A05A">
            <w:r>
              <w:rPr>
                <w:rStyle w:val="10"/>
                <w:rFonts w:hint="eastAsia"/>
              </w:rPr>
              <w:t>注意事项：</w:t>
            </w:r>
            <w:r>
              <w:rPr>
                <w:rFonts w:hint="eastAsia"/>
              </w:rPr>
              <w:br w:type="textWrapping"/>
            </w:r>
            <w:r>
              <w:rPr>
                <w:rStyle w:val="11"/>
                <w:rFonts w:hint="eastAsia"/>
              </w:rPr>
              <w:t>1. 建议与其他作用机制不同的杀虫剂轮换使用，以延缓抗性产生。2. 本品对眼睛有刺激性，使用时避免接触眼睛，穿戴长衣、长裤、帽子、口罩、手套等防护措施。3. 本品对鸟类、蜜蜂、家蚕有毒，鸟类保护区禁用，（周围）开花植物花期禁用，蚕室及桑园附近禁用。 瓢虫等天敌放飞区域禁用。4. 水产养殖区、河塘等水体附近禁用，禁止在河塘等水域清洗施药器具。5. 用过的容器妥善处理，不可做他用，也不可随意丢弃，勿污染环境。6. 孕妇及哺乳期妇女禁止接触。</w:t>
            </w:r>
          </w:p>
        </w:tc>
      </w:tr>
      <w:tr w14:paraId="748DD79C">
        <w:tblPrEx>
          <w:tblCellMar>
            <w:top w:w="0" w:type="dxa"/>
            <w:left w:w="0" w:type="dxa"/>
            <w:bottom w:w="0" w:type="dxa"/>
            <w:right w:w="0" w:type="dxa"/>
          </w:tblCellMar>
        </w:tblPrEx>
        <w:trPr>
          <w:wBefore w:w="0" w:type="auto"/>
          <w:tblCellSpacing w:w="0" w:type="dxa"/>
        </w:trPr>
        <w:tc>
          <w:tcPr>
            <w:tcW w:w="0" w:type="auto"/>
            <w:noWrap w:val="0"/>
            <w:vAlign w:val="center"/>
          </w:tcPr>
          <w:p w14:paraId="521A548F">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 皮肤接触：立即脱掉被污染的衣物，用大量清水冲洗被污染的皮肤，再用肥皂清洗，然后用清水冲净。3. 眼睛溅药：立即将眼睑翻开，用清水冲洗至少15分钟，再请医生诊治。4. 发生吸入：立即将吸入者转移到空气新鲜处，如果吸入者停止呼吸， 需进行人工呼吸。请医生诊治。5. 误服：请勿引吐，立即携带标签，送医就诊。无专用解毒剂，对症治疗。</w:t>
            </w:r>
          </w:p>
        </w:tc>
      </w:tr>
      <w:tr w14:paraId="11428ACD">
        <w:tblPrEx>
          <w:tblCellMar>
            <w:top w:w="0" w:type="dxa"/>
            <w:left w:w="0" w:type="dxa"/>
            <w:bottom w:w="0" w:type="dxa"/>
            <w:right w:w="0" w:type="dxa"/>
          </w:tblCellMar>
        </w:tblPrEx>
        <w:trPr>
          <w:wBefore w:w="0" w:type="auto"/>
          <w:tblCellSpacing w:w="0" w:type="dxa"/>
        </w:trPr>
        <w:tc>
          <w:tcPr>
            <w:tcW w:w="0" w:type="auto"/>
            <w:noWrap w:val="0"/>
            <w:vAlign w:val="center"/>
          </w:tcPr>
          <w:p w14:paraId="79463D56">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本品应贮存在干燥、阴凉、通风、防雨处，远离火源或热源。置于儿童及无关人员触及不到之处，并加锁保存。勿与食品、饮料、粮食、饲料等其他商品同贮同运。</w:t>
            </w:r>
          </w:p>
        </w:tc>
      </w:tr>
      <w:tr w14:paraId="3E03725F">
        <w:tblPrEx>
          <w:tblCellMar>
            <w:top w:w="0" w:type="dxa"/>
            <w:left w:w="0" w:type="dxa"/>
            <w:bottom w:w="0" w:type="dxa"/>
            <w:right w:w="0" w:type="dxa"/>
          </w:tblCellMar>
        </w:tblPrEx>
        <w:trPr>
          <w:wBefore w:w="0" w:type="auto"/>
          <w:tblCellSpacing w:w="0" w:type="dxa"/>
        </w:trPr>
        <w:tc>
          <w:tcPr>
            <w:tcW w:w="0" w:type="auto"/>
            <w:noWrap w:val="0"/>
            <w:vAlign w:val="center"/>
          </w:tcPr>
          <w:p w14:paraId="1E1E0F30">
            <w:r>
              <w:rPr>
                <w:rStyle w:val="10"/>
                <w:rFonts w:hint="eastAsia"/>
              </w:rPr>
              <w:t>质量保证期：</w:t>
            </w:r>
            <w:r>
              <w:rPr>
                <w:rStyle w:val="11"/>
                <w:rFonts w:hint="eastAsia"/>
              </w:rPr>
              <w:t>2年</w:t>
            </w:r>
          </w:p>
        </w:tc>
      </w:tr>
      <w:tr w14:paraId="3E3C7BA8">
        <w:tblPrEx>
          <w:tblCellMar>
            <w:top w:w="0" w:type="dxa"/>
            <w:left w:w="0" w:type="dxa"/>
            <w:bottom w:w="0" w:type="dxa"/>
            <w:right w:w="0" w:type="dxa"/>
          </w:tblCellMar>
        </w:tblPrEx>
        <w:trPr>
          <w:wBefore w:w="0" w:type="auto"/>
          <w:tblCellSpacing w:w="0" w:type="dxa"/>
        </w:trPr>
        <w:tc>
          <w:tcPr>
            <w:tcW w:w="0" w:type="auto"/>
            <w:noWrap w:val="0"/>
            <w:vAlign w:val="center"/>
          </w:tcPr>
          <w:p w14:paraId="3FCEAAEB">
            <w:r>
              <w:rPr>
                <w:rStyle w:val="10"/>
                <w:rFonts w:hint="eastAsia"/>
              </w:rPr>
              <w:t>备注：</w:t>
            </w:r>
          </w:p>
        </w:tc>
      </w:tr>
    </w:tbl>
    <w:p w14:paraId="5A9D09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B1392D">
        <w:tblPrEx>
          <w:tblCellMar>
            <w:top w:w="0" w:type="dxa"/>
            <w:left w:w="0" w:type="dxa"/>
            <w:bottom w:w="0" w:type="dxa"/>
            <w:right w:w="0" w:type="dxa"/>
          </w:tblCellMar>
        </w:tblPrEx>
        <w:trPr>
          <w:wBefore w:w="0" w:type="auto"/>
          <w:tblCellSpacing w:w="0" w:type="dxa"/>
        </w:trPr>
        <w:tc>
          <w:tcPr>
            <w:tcW w:w="0" w:type="auto"/>
            <w:noWrap w:val="0"/>
            <w:vAlign w:val="center"/>
          </w:tcPr>
          <w:p w14:paraId="2D41CDEE">
            <w:r>
              <w:rPr>
                <w:rStyle w:val="10"/>
                <w:rFonts w:hint="eastAsia"/>
              </w:rPr>
              <w:t>登记证号：</w:t>
            </w:r>
            <w:r>
              <w:rPr>
                <w:rFonts w:hint="eastAsia"/>
              </w:rPr>
              <w:t>PD20212655</w:t>
            </w:r>
          </w:p>
        </w:tc>
      </w:tr>
      <w:tr w14:paraId="1F7A4B0F">
        <w:tblPrEx>
          <w:tblCellMar>
            <w:top w:w="0" w:type="dxa"/>
            <w:left w:w="0" w:type="dxa"/>
            <w:bottom w:w="0" w:type="dxa"/>
            <w:right w:w="0" w:type="dxa"/>
          </w:tblCellMar>
        </w:tblPrEx>
        <w:trPr>
          <w:wBefore w:w="0" w:type="auto"/>
          <w:tblCellSpacing w:w="0" w:type="dxa"/>
        </w:trPr>
        <w:tc>
          <w:tcPr>
            <w:tcW w:w="0" w:type="auto"/>
            <w:noWrap w:val="0"/>
            <w:vAlign w:val="center"/>
          </w:tcPr>
          <w:p w14:paraId="1F438F54">
            <w:r>
              <w:rPr>
                <w:rStyle w:val="10"/>
                <w:rFonts w:hint="eastAsia"/>
              </w:rPr>
              <w:t>登记证持有人：</w:t>
            </w:r>
            <w:r>
              <w:rPr>
                <w:rFonts w:hint="eastAsia"/>
              </w:rPr>
              <w:t>上海沪联生物药业（夏邑）股份有限公司</w:t>
            </w:r>
          </w:p>
        </w:tc>
      </w:tr>
      <w:tr w14:paraId="348D7C3B">
        <w:tblPrEx>
          <w:tblCellMar>
            <w:top w:w="0" w:type="dxa"/>
            <w:left w:w="0" w:type="dxa"/>
            <w:bottom w:w="0" w:type="dxa"/>
            <w:right w:w="0" w:type="dxa"/>
          </w:tblCellMar>
        </w:tblPrEx>
        <w:trPr>
          <w:wBefore w:w="0" w:type="auto"/>
          <w:tblCellSpacing w:w="0" w:type="dxa"/>
        </w:trPr>
        <w:tc>
          <w:tcPr>
            <w:tcW w:w="0" w:type="auto"/>
            <w:noWrap w:val="0"/>
            <w:vAlign w:val="center"/>
          </w:tcPr>
          <w:p w14:paraId="7F702574">
            <w:r>
              <w:rPr>
                <w:rStyle w:val="10"/>
                <w:rFonts w:hint="eastAsia"/>
              </w:rPr>
              <w:t>农药名称：</w:t>
            </w:r>
            <w:r>
              <w:rPr>
                <w:rFonts w:hint="eastAsia"/>
              </w:rPr>
              <w:t>联肼·乙螨唑</w:t>
            </w:r>
          </w:p>
        </w:tc>
      </w:tr>
      <w:tr w14:paraId="5A4A3BAD">
        <w:tblPrEx>
          <w:tblCellMar>
            <w:top w:w="0" w:type="dxa"/>
            <w:left w:w="0" w:type="dxa"/>
            <w:bottom w:w="0" w:type="dxa"/>
            <w:right w:w="0" w:type="dxa"/>
          </w:tblCellMar>
        </w:tblPrEx>
        <w:trPr>
          <w:wBefore w:w="0" w:type="auto"/>
          <w:tblCellSpacing w:w="0" w:type="dxa"/>
        </w:trPr>
        <w:tc>
          <w:tcPr>
            <w:tcW w:w="0" w:type="auto"/>
            <w:noWrap w:val="0"/>
            <w:vAlign w:val="center"/>
          </w:tcPr>
          <w:p w14:paraId="432628B5">
            <w:r>
              <w:rPr>
                <w:rStyle w:val="10"/>
                <w:rFonts w:hint="eastAsia"/>
              </w:rPr>
              <w:t>剂型：</w:t>
            </w:r>
            <w:r>
              <w:rPr>
                <w:rFonts w:hint="eastAsia"/>
              </w:rPr>
              <w:t>悬浮剂</w:t>
            </w:r>
          </w:p>
        </w:tc>
      </w:tr>
      <w:tr w14:paraId="2A334E90">
        <w:tblPrEx>
          <w:tblCellMar>
            <w:top w:w="0" w:type="dxa"/>
            <w:left w:w="0" w:type="dxa"/>
            <w:bottom w:w="0" w:type="dxa"/>
            <w:right w:w="0" w:type="dxa"/>
          </w:tblCellMar>
        </w:tblPrEx>
        <w:trPr>
          <w:wBefore w:w="0" w:type="auto"/>
          <w:tblCellSpacing w:w="0" w:type="dxa"/>
        </w:trPr>
        <w:tc>
          <w:tcPr>
            <w:tcW w:w="0" w:type="auto"/>
            <w:noWrap w:val="0"/>
            <w:vAlign w:val="center"/>
          </w:tcPr>
          <w:p w14:paraId="3110BF7A">
            <w:r>
              <w:rPr>
                <w:rStyle w:val="10"/>
                <w:rFonts w:hint="eastAsia"/>
              </w:rPr>
              <w:t>毒性及其标识：</w:t>
            </w:r>
            <w:r>
              <w:rPr>
                <w:rFonts w:hint="eastAsia"/>
              </w:rPr>
              <w:t xml:space="preserve"> 微毒 </w:t>
            </w:r>
          </w:p>
        </w:tc>
      </w:tr>
      <w:tr w14:paraId="52562A09">
        <w:tblPrEx>
          <w:tblCellMar>
            <w:top w:w="0" w:type="dxa"/>
            <w:left w:w="0" w:type="dxa"/>
            <w:bottom w:w="0" w:type="dxa"/>
            <w:right w:w="0" w:type="dxa"/>
          </w:tblCellMar>
        </w:tblPrEx>
        <w:trPr>
          <w:wBefore w:w="0" w:type="auto"/>
          <w:tblCellSpacing w:w="0" w:type="dxa"/>
        </w:trPr>
        <w:tc>
          <w:tcPr>
            <w:tcW w:w="0" w:type="auto"/>
            <w:noWrap w:val="0"/>
            <w:vAlign w:val="center"/>
          </w:tcPr>
          <w:p w14:paraId="6CE7D36A">
            <w:r>
              <w:rPr>
                <w:rStyle w:val="10"/>
                <w:rFonts w:hint="eastAsia"/>
              </w:rPr>
              <w:t>总有效成分含量：</w:t>
            </w:r>
            <w:r>
              <w:rPr>
                <w:rFonts w:hint="eastAsia"/>
              </w:rPr>
              <w:t>45%</w:t>
            </w:r>
          </w:p>
        </w:tc>
      </w:tr>
      <w:tr w14:paraId="4F1FA4C7">
        <w:tblPrEx>
          <w:tblCellMar>
            <w:top w:w="0" w:type="dxa"/>
            <w:left w:w="0" w:type="dxa"/>
            <w:bottom w:w="0" w:type="dxa"/>
            <w:right w:w="0" w:type="dxa"/>
          </w:tblCellMar>
        </w:tblPrEx>
        <w:trPr>
          <w:wBefore w:w="0" w:type="auto"/>
          <w:tblCellSpacing w:w="0" w:type="dxa"/>
        </w:trPr>
        <w:tc>
          <w:tcPr>
            <w:tcW w:w="0" w:type="auto"/>
            <w:noWrap w:val="0"/>
            <w:vAlign w:val="center"/>
          </w:tcPr>
          <w:p w14:paraId="7EBD0FBC">
            <w:r>
              <w:rPr>
                <w:rFonts w:hint="eastAsia"/>
              </w:rPr>
              <w:t xml:space="preserve">有效成分及其含量： </w:t>
            </w:r>
          </w:p>
          <w:p w14:paraId="26301B87">
            <w:r>
              <w:rPr>
                <w:rFonts w:hint="eastAsia"/>
              </w:rPr>
              <w:t xml:space="preserve">    联苯肼酯30%    乙螨唑15%    </w:t>
            </w:r>
          </w:p>
        </w:tc>
      </w:tr>
      <w:tr w14:paraId="2BFE4770">
        <w:tblPrEx>
          <w:tblCellMar>
            <w:top w:w="0" w:type="dxa"/>
            <w:left w:w="0" w:type="dxa"/>
            <w:bottom w:w="0" w:type="dxa"/>
            <w:right w:w="0" w:type="dxa"/>
          </w:tblCellMar>
        </w:tblPrEx>
        <w:trPr>
          <w:wBefore w:w="0" w:type="auto"/>
          <w:tblCellSpacing w:w="0" w:type="dxa"/>
        </w:trPr>
        <w:tc>
          <w:tcPr>
            <w:tcW w:w="0" w:type="auto"/>
            <w:noWrap w:val="0"/>
            <w:vAlign w:val="center"/>
          </w:tcPr>
          <w:p w14:paraId="7255365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7C1B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81C7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DDACE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ED223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A3D3C5">
                  <w:r>
                    <w:rPr>
                      <w:rStyle w:val="11"/>
                      <w:rFonts w:hint="eastAsia"/>
                    </w:rPr>
                    <w:t>施用方式</w:t>
                  </w:r>
                </w:p>
              </w:tc>
            </w:tr>
            <w:tr w14:paraId="65EF74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042269">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BC96E6">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4D18E6">
                  <w:r>
                    <w:rPr>
                      <w:rStyle w:val="11"/>
                      <w:rFonts w:hint="eastAsia"/>
                    </w:rPr>
                    <w:t>8000-12000倍液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FB94A0">
                  <w:r>
                    <w:rPr>
                      <w:rStyle w:val="11"/>
                      <w:rFonts w:hint="eastAsia"/>
                    </w:rPr>
                    <w:t>喷雾</w:t>
                  </w:r>
                </w:p>
              </w:tc>
            </w:tr>
          </w:tbl>
          <w:p w14:paraId="4B5A13EE">
            <w:pPr>
              <w:rPr>
                <w:rFonts w:ascii="Times New Roman" w:hAnsi="Times New Roman" w:cs="Times New Roman"/>
                <w:sz w:val="20"/>
                <w:szCs w:val="20"/>
              </w:rPr>
            </w:pPr>
          </w:p>
        </w:tc>
      </w:tr>
      <w:tr w14:paraId="4EFCB639">
        <w:tblPrEx>
          <w:tblCellMar>
            <w:top w:w="0" w:type="dxa"/>
            <w:left w:w="0" w:type="dxa"/>
            <w:bottom w:w="0" w:type="dxa"/>
            <w:right w:w="0" w:type="dxa"/>
          </w:tblCellMar>
        </w:tblPrEx>
        <w:trPr>
          <w:wBefore w:w="0" w:type="auto"/>
          <w:tblCellSpacing w:w="0" w:type="dxa"/>
        </w:trPr>
        <w:tc>
          <w:tcPr>
            <w:tcW w:w="0" w:type="auto"/>
            <w:noWrap w:val="0"/>
            <w:vAlign w:val="center"/>
          </w:tcPr>
          <w:p w14:paraId="10078B22">
            <w:r>
              <w:rPr>
                <w:rStyle w:val="10"/>
                <w:rFonts w:hint="eastAsia"/>
              </w:rPr>
              <w:t>使用技术要求:</w:t>
            </w:r>
            <w:r>
              <w:rPr>
                <w:rFonts w:hint="eastAsia"/>
              </w:rPr>
              <w:br w:type="textWrapping"/>
            </w:r>
            <w:r>
              <w:rPr>
                <w:rStyle w:val="11"/>
                <w:rFonts w:hint="eastAsia"/>
              </w:rPr>
              <w:t>1. 柑橘树红蜘蛛若螨发生盛期施药1次。 2. 每季作物最多使用1次，安全间隔期为21天。 3. 大风天或预计1小时内降雨，请勿施药。</w:t>
            </w:r>
          </w:p>
        </w:tc>
      </w:tr>
      <w:tr w14:paraId="339E0DD0">
        <w:tblPrEx>
          <w:tblCellMar>
            <w:top w:w="0" w:type="dxa"/>
            <w:left w:w="0" w:type="dxa"/>
            <w:bottom w:w="0" w:type="dxa"/>
            <w:right w:w="0" w:type="dxa"/>
          </w:tblCellMar>
        </w:tblPrEx>
        <w:trPr>
          <w:wBefore w:w="0" w:type="auto"/>
          <w:tblCellSpacing w:w="0" w:type="dxa"/>
        </w:trPr>
        <w:tc>
          <w:tcPr>
            <w:tcW w:w="0" w:type="auto"/>
            <w:noWrap w:val="0"/>
            <w:vAlign w:val="center"/>
          </w:tcPr>
          <w:p w14:paraId="6942280E">
            <w:r>
              <w:rPr>
                <w:rStyle w:val="10"/>
                <w:rFonts w:hint="eastAsia"/>
              </w:rPr>
              <w:t>产品性能:</w:t>
            </w:r>
            <w:r>
              <w:rPr>
                <w:rFonts w:hint="eastAsia"/>
              </w:rPr>
              <w:br w:type="textWrapping"/>
            </w:r>
            <w:r>
              <w:rPr>
                <w:rStyle w:val="11"/>
                <w:rFonts w:hint="eastAsia"/>
              </w:rPr>
              <w:t>本品是联苯肼酯和乙螨唑的复配制剂，对害螨的卵、幼虫和成虫各个阶段均有较强杀伤作用，对作物安全，持效期较长，可用于防治柑橘树红蜘蛛。</w:t>
            </w:r>
          </w:p>
        </w:tc>
      </w:tr>
      <w:tr w14:paraId="01123990">
        <w:tblPrEx>
          <w:tblCellMar>
            <w:top w:w="0" w:type="dxa"/>
            <w:left w:w="0" w:type="dxa"/>
            <w:bottom w:w="0" w:type="dxa"/>
            <w:right w:w="0" w:type="dxa"/>
          </w:tblCellMar>
        </w:tblPrEx>
        <w:trPr>
          <w:wBefore w:w="0" w:type="auto"/>
          <w:tblCellSpacing w:w="0" w:type="dxa"/>
        </w:trPr>
        <w:tc>
          <w:tcPr>
            <w:tcW w:w="0" w:type="auto"/>
            <w:noWrap w:val="0"/>
            <w:vAlign w:val="center"/>
          </w:tcPr>
          <w:p w14:paraId="32331F3E">
            <w:r>
              <w:rPr>
                <w:rStyle w:val="10"/>
                <w:rFonts w:hint="eastAsia"/>
              </w:rPr>
              <w:t>注意事项：</w:t>
            </w:r>
            <w:r>
              <w:rPr>
                <w:rFonts w:hint="eastAsia"/>
              </w:rPr>
              <w:br w:type="textWrapping"/>
            </w:r>
            <w:r>
              <w:rPr>
                <w:rStyle w:val="11"/>
                <w:rFonts w:hint="eastAsia"/>
              </w:rPr>
              <w:t>1. 严格按照规定用药量和方法使用。2. 施药时应按照农药使用规则进行操作，使用时穿戴长衣、长裤、帽子、口罩、手套等防护措施，避免吸入药液。施药期间禁止吃东西和饮水，施药后应及时洗脸、洗手。3. 该药对鱼类、溞类及藻类等水生生物有毒，水产养殖区、河塘等水体附近禁用，禁止在河塘等水体中清洗施药器具，药液及其废液不得随意排放，避免污染水源。4. 本品对家蚕有毒，蚕室及桑园附近禁用。避免在蜜源作物开花期使用，使用后应密切关注对附近蜂群的影响。5. 对鸟类、非靶标节肢动物有毒，鸟类、天敌等放飞区禁用。6. 建议与其他不同作用机理不同的杀虫剂交替使用，避免与氧化剂接触。7. 用过的容器应妥善处理，不可做他用，也不可随意丢弃。8. 禁止儿童、孕妇及哺乳期妇女接触本品。9. 避免与氧化剂接触。</w:t>
            </w:r>
          </w:p>
        </w:tc>
      </w:tr>
      <w:tr w14:paraId="47B33306">
        <w:tblPrEx>
          <w:tblCellMar>
            <w:top w:w="0" w:type="dxa"/>
            <w:left w:w="0" w:type="dxa"/>
            <w:bottom w:w="0" w:type="dxa"/>
            <w:right w:w="0" w:type="dxa"/>
          </w:tblCellMar>
        </w:tblPrEx>
        <w:trPr>
          <w:wBefore w:w="0" w:type="auto"/>
          <w:tblCellSpacing w:w="0" w:type="dxa"/>
        </w:trPr>
        <w:tc>
          <w:tcPr>
            <w:tcW w:w="0" w:type="auto"/>
            <w:noWrap w:val="0"/>
            <w:vAlign w:val="center"/>
          </w:tcPr>
          <w:p w14:paraId="53583786">
            <w:r>
              <w:rPr>
                <w:rStyle w:val="10"/>
                <w:rFonts w:hint="eastAsia"/>
              </w:rPr>
              <w:t>中毒急救措施：</w:t>
            </w:r>
            <w:r>
              <w:rPr>
                <w:rFonts w:hint="eastAsia"/>
              </w:rPr>
              <w:br w:type="textWrapping"/>
            </w:r>
            <w:r>
              <w:rPr>
                <w:rStyle w:val="11"/>
                <w:rFonts w:hint="eastAsia"/>
              </w:rPr>
              <w:t>中毒症状：头痛、恶心、呕吐、抽搐、惊厥等。使用中或使用后感觉不适，应立即停止工作，采取急救措施，并携带标签送医院就诊。不慎吸入：应将病人移至空气流通处。不慎溅入眼睛或接触皮肤：用大量清水冲洗至少15分钟。必要时送医院治疗。不慎误服：立即携标签送医诊治。本品无专用解毒剂，对症治疗。</w:t>
            </w:r>
          </w:p>
        </w:tc>
      </w:tr>
      <w:tr w14:paraId="0C326D1E">
        <w:tblPrEx>
          <w:tblCellMar>
            <w:top w:w="0" w:type="dxa"/>
            <w:left w:w="0" w:type="dxa"/>
            <w:bottom w:w="0" w:type="dxa"/>
            <w:right w:w="0" w:type="dxa"/>
          </w:tblCellMar>
        </w:tblPrEx>
        <w:trPr>
          <w:wBefore w:w="0" w:type="auto"/>
          <w:tblCellSpacing w:w="0" w:type="dxa"/>
        </w:trPr>
        <w:tc>
          <w:tcPr>
            <w:tcW w:w="0" w:type="auto"/>
            <w:noWrap w:val="0"/>
            <w:vAlign w:val="center"/>
          </w:tcPr>
          <w:p w14:paraId="7B4D4C0C">
            <w:r>
              <w:rPr>
                <w:rStyle w:val="10"/>
                <w:rFonts w:hint="eastAsia"/>
              </w:rPr>
              <w:t>储存和运输方法：</w:t>
            </w:r>
            <w:r>
              <w:rPr>
                <w:rFonts w:hint="eastAsia"/>
              </w:rPr>
              <w:br w:type="textWrapping"/>
            </w:r>
            <w:r>
              <w:rPr>
                <w:rStyle w:val="11"/>
                <w:rFonts w:hint="eastAsia"/>
              </w:rPr>
              <w:t>1. 本品应贮存在阴凉、干燥、通风、防雨处，远离火源或热源；2. 置于儿童、无关人员及动物接触不到的地方，并加锁；3. 不得与氧化剂、食物、饮料、种子、饲料等物品同贮同运，运输时要防潮防晒；4. 装卸时，注意检查包装是否密封完整，轻拿轻放。</w:t>
            </w:r>
          </w:p>
        </w:tc>
      </w:tr>
      <w:tr w14:paraId="4A9A9CA9">
        <w:tblPrEx>
          <w:tblCellMar>
            <w:top w:w="0" w:type="dxa"/>
            <w:left w:w="0" w:type="dxa"/>
            <w:bottom w:w="0" w:type="dxa"/>
            <w:right w:w="0" w:type="dxa"/>
          </w:tblCellMar>
        </w:tblPrEx>
        <w:trPr>
          <w:wBefore w:w="0" w:type="auto"/>
          <w:tblCellSpacing w:w="0" w:type="dxa"/>
        </w:trPr>
        <w:tc>
          <w:tcPr>
            <w:tcW w:w="0" w:type="auto"/>
            <w:noWrap w:val="0"/>
            <w:vAlign w:val="center"/>
          </w:tcPr>
          <w:p w14:paraId="0DD7C0B9">
            <w:r>
              <w:rPr>
                <w:rStyle w:val="10"/>
                <w:rFonts w:hint="eastAsia"/>
              </w:rPr>
              <w:t>质量保证期：</w:t>
            </w:r>
            <w:r>
              <w:rPr>
                <w:rStyle w:val="11"/>
                <w:rFonts w:hint="eastAsia"/>
              </w:rPr>
              <w:t>2年</w:t>
            </w:r>
          </w:p>
        </w:tc>
      </w:tr>
      <w:tr w14:paraId="78140D85">
        <w:tblPrEx>
          <w:tblCellMar>
            <w:top w:w="0" w:type="dxa"/>
            <w:left w:w="0" w:type="dxa"/>
            <w:bottom w:w="0" w:type="dxa"/>
            <w:right w:w="0" w:type="dxa"/>
          </w:tblCellMar>
        </w:tblPrEx>
        <w:trPr>
          <w:wBefore w:w="0" w:type="auto"/>
          <w:tblCellSpacing w:w="0" w:type="dxa"/>
        </w:trPr>
        <w:tc>
          <w:tcPr>
            <w:tcW w:w="0" w:type="auto"/>
            <w:noWrap w:val="0"/>
            <w:vAlign w:val="center"/>
          </w:tcPr>
          <w:p w14:paraId="4FC396CB">
            <w:r>
              <w:rPr>
                <w:rStyle w:val="10"/>
                <w:rFonts w:hint="eastAsia"/>
              </w:rPr>
              <w:t>备注：</w:t>
            </w:r>
          </w:p>
        </w:tc>
      </w:tr>
    </w:tbl>
    <w:p w14:paraId="0D9DEE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EA40CA">
        <w:tblPrEx>
          <w:tblCellMar>
            <w:top w:w="0" w:type="dxa"/>
            <w:left w:w="0" w:type="dxa"/>
            <w:bottom w:w="0" w:type="dxa"/>
            <w:right w:w="0" w:type="dxa"/>
          </w:tblCellMar>
        </w:tblPrEx>
        <w:trPr>
          <w:wBefore w:w="0" w:type="auto"/>
          <w:tblCellSpacing w:w="0" w:type="dxa"/>
        </w:trPr>
        <w:tc>
          <w:tcPr>
            <w:tcW w:w="0" w:type="auto"/>
            <w:noWrap w:val="0"/>
            <w:vAlign w:val="center"/>
          </w:tcPr>
          <w:p w14:paraId="13EB2480">
            <w:r>
              <w:rPr>
                <w:rStyle w:val="10"/>
                <w:rFonts w:hint="eastAsia"/>
              </w:rPr>
              <w:t>登记证号：</w:t>
            </w:r>
            <w:r>
              <w:rPr>
                <w:rFonts w:hint="eastAsia"/>
              </w:rPr>
              <w:t>PD20212683</w:t>
            </w:r>
          </w:p>
        </w:tc>
      </w:tr>
      <w:tr w14:paraId="72532180">
        <w:tblPrEx>
          <w:tblCellMar>
            <w:top w:w="0" w:type="dxa"/>
            <w:left w:w="0" w:type="dxa"/>
            <w:bottom w:w="0" w:type="dxa"/>
            <w:right w:w="0" w:type="dxa"/>
          </w:tblCellMar>
        </w:tblPrEx>
        <w:trPr>
          <w:wBefore w:w="0" w:type="auto"/>
          <w:tblCellSpacing w:w="0" w:type="dxa"/>
        </w:trPr>
        <w:tc>
          <w:tcPr>
            <w:tcW w:w="0" w:type="auto"/>
            <w:noWrap w:val="0"/>
            <w:vAlign w:val="center"/>
          </w:tcPr>
          <w:p w14:paraId="10A0F893">
            <w:r>
              <w:rPr>
                <w:rStyle w:val="10"/>
                <w:rFonts w:hint="eastAsia"/>
              </w:rPr>
              <w:t>登记证持有人：</w:t>
            </w:r>
            <w:r>
              <w:rPr>
                <w:rFonts w:hint="eastAsia"/>
              </w:rPr>
              <w:t>山东惠民中联生物科技有限公司</w:t>
            </w:r>
          </w:p>
        </w:tc>
      </w:tr>
      <w:tr w14:paraId="2AB0544D">
        <w:tblPrEx>
          <w:tblCellMar>
            <w:top w:w="0" w:type="dxa"/>
            <w:left w:w="0" w:type="dxa"/>
            <w:bottom w:w="0" w:type="dxa"/>
            <w:right w:w="0" w:type="dxa"/>
          </w:tblCellMar>
        </w:tblPrEx>
        <w:trPr>
          <w:wBefore w:w="0" w:type="auto"/>
          <w:tblCellSpacing w:w="0" w:type="dxa"/>
        </w:trPr>
        <w:tc>
          <w:tcPr>
            <w:tcW w:w="0" w:type="auto"/>
            <w:noWrap w:val="0"/>
            <w:vAlign w:val="center"/>
          </w:tcPr>
          <w:p w14:paraId="50ECD64C">
            <w:r>
              <w:rPr>
                <w:rStyle w:val="10"/>
                <w:rFonts w:hint="eastAsia"/>
              </w:rPr>
              <w:t>农药名称：</w:t>
            </w:r>
            <w:r>
              <w:rPr>
                <w:rFonts w:hint="eastAsia"/>
              </w:rPr>
              <w:t>蜡质芽孢杆菌</w:t>
            </w:r>
          </w:p>
        </w:tc>
      </w:tr>
      <w:tr w14:paraId="29179BAE">
        <w:tblPrEx>
          <w:tblCellMar>
            <w:top w:w="0" w:type="dxa"/>
            <w:left w:w="0" w:type="dxa"/>
            <w:bottom w:w="0" w:type="dxa"/>
            <w:right w:w="0" w:type="dxa"/>
          </w:tblCellMar>
        </w:tblPrEx>
        <w:trPr>
          <w:wBefore w:w="0" w:type="auto"/>
          <w:tblCellSpacing w:w="0" w:type="dxa"/>
        </w:trPr>
        <w:tc>
          <w:tcPr>
            <w:tcW w:w="0" w:type="auto"/>
            <w:noWrap w:val="0"/>
            <w:vAlign w:val="center"/>
          </w:tcPr>
          <w:p w14:paraId="5DD00FDB">
            <w:r>
              <w:rPr>
                <w:rStyle w:val="10"/>
                <w:rFonts w:hint="eastAsia"/>
              </w:rPr>
              <w:t>剂型：</w:t>
            </w:r>
            <w:r>
              <w:rPr>
                <w:rFonts w:hint="eastAsia"/>
              </w:rPr>
              <w:t>悬浮剂</w:t>
            </w:r>
          </w:p>
        </w:tc>
      </w:tr>
      <w:tr w14:paraId="5EC1240F">
        <w:tblPrEx>
          <w:tblCellMar>
            <w:top w:w="0" w:type="dxa"/>
            <w:left w:w="0" w:type="dxa"/>
            <w:bottom w:w="0" w:type="dxa"/>
            <w:right w:w="0" w:type="dxa"/>
          </w:tblCellMar>
        </w:tblPrEx>
        <w:trPr>
          <w:wBefore w:w="0" w:type="auto"/>
          <w:tblCellSpacing w:w="0" w:type="dxa"/>
        </w:trPr>
        <w:tc>
          <w:tcPr>
            <w:tcW w:w="0" w:type="auto"/>
            <w:noWrap w:val="0"/>
            <w:vAlign w:val="center"/>
          </w:tcPr>
          <w:p w14:paraId="20C8527C">
            <w:r>
              <w:rPr>
                <w:rStyle w:val="10"/>
                <w:rFonts w:hint="eastAsia"/>
              </w:rPr>
              <w:t>毒性及其标识：</w:t>
            </w:r>
            <w:r>
              <w:rPr>
                <w:rFonts w:hint="eastAsia"/>
              </w:rPr>
              <w:t xml:space="preserve"> </w:t>
            </w:r>
            <w:r>
              <w:rPr>
                <w:lang/>
              </w:rPr>
              <w:drawing>
                <wp:inline distT="0" distB="0" distL="114300" distR="114300">
                  <wp:extent cx="476250" cy="323850"/>
                  <wp:effectExtent l="0" t="0" r="0" b="0"/>
                  <wp:docPr id="203" name="图片 2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F6762D">
        <w:tblPrEx>
          <w:tblCellMar>
            <w:top w:w="0" w:type="dxa"/>
            <w:left w:w="0" w:type="dxa"/>
            <w:bottom w:w="0" w:type="dxa"/>
            <w:right w:w="0" w:type="dxa"/>
          </w:tblCellMar>
        </w:tblPrEx>
        <w:trPr>
          <w:wBefore w:w="0" w:type="auto"/>
          <w:tblCellSpacing w:w="0" w:type="dxa"/>
        </w:trPr>
        <w:tc>
          <w:tcPr>
            <w:tcW w:w="0" w:type="auto"/>
            <w:noWrap w:val="0"/>
            <w:vAlign w:val="center"/>
          </w:tcPr>
          <w:p w14:paraId="670B5B2F">
            <w:r>
              <w:rPr>
                <w:rStyle w:val="10"/>
                <w:rFonts w:hint="eastAsia"/>
              </w:rPr>
              <w:t>总有效成分含量：</w:t>
            </w:r>
            <w:r>
              <w:rPr>
                <w:rFonts w:hint="eastAsia"/>
              </w:rPr>
              <w:t>10亿CFU/毫升</w:t>
            </w:r>
          </w:p>
        </w:tc>
      </w:tr>
      <w:tr w14:paraId="729355B5">
        <w:tblPrEx>
          <w:tblCellMar>
            <w:top w:w="0" w:type="dxa"/>
            <w:left w:w="0" w:type="dxa"/>
            <w:bottom w:w="0" w:type="dxa"/>
            <w:right w:w="0" w:type="dxa"/>
          </w:tblCellMar>
        </w:tblPrEx>
        <w:trPr>
          <w:wBefore w:w="0" w:type="auto"/>
          <w:tblCellSpacing w:w="0" w:type="dxa"/>
        </w:trPr>
        <w:tc>
          <w:tcPr>
            <w:tcW w:w="0" w:type="auto"/>
            <w:noWrap w:val="0"/>
            <w:vAlign w:val="center"/>
          </w:tcPr>
          <w:p w14:paraId="605FFB46">
            <w:r>
              <w:rPr>
                <w:rFonts w:hint="eastAsia"/>
              </w:rPr>
              <w:t xml:space="preserve">有效成分及其含量： </w:t>
            </w:r>
          </w:p>
          <w:p w14:paraId="42B8AAFF">
            <w:r>
              <w:rPr>
                <w:rFonts w:hint="eastAsia"/>
              </w:rPr>
              <w:t xml:space="preserve">    蜡质芽孢杆菌10亿CFU/毫升    </w:t>
            </w:r>
          </w:p>
        </w:tc>
      </w:tr>
      <w:tr w14:paraId="2CBCF01A">
        <w:tblPrEx>
          <w:tblCellMar>
            <w:top w:w="0" w:type="dxa"/>
            <w:left w:w="0" w:type="dxa"/>
            <w:bottom w:w="0" w:type="dxa"/>
            <w:right w:w="0" w:type="dxa"/>
          </w:tblCellMar>
        </w:tblPrEx>
        <w:trPr>
          <w:wBefore w:w="0" w:type="auto"/>
          <w:tblCellSpacing w:w="0" w:type="dxa"/>
        </w:trPr>
        <w:tc>
          <w:tcPr>
            <w:tcW w:w="0" w:type="auto"/>
            <w:noWrap w:val="0"/>
            <w:vAlign w:val="center"/>
          </w:tcPr>
          <w:p w14:paraId="317676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32BB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65D46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0167C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18B4F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D0970C">
                  <w:r>
                    <w:rPr>
                      <w:rStyle w:val="11"/>
                      <w:rFonts w:hint="eastAsia"/>
                    </w:rPr>
                    <w:t>施用方式</w:t>
                  </w:r>
                </w:p>
              </w:tc>
            </w:tr>
            <w:tr w14:paraId="68AFF4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CB3727">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E2F398">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E566F9">
                  <w:r>
                    <w:rPr>
                      <w:rStyle w:val="11"/>
                      <w:rFonts w:hint="eastAsia"/>
                    </w:rPr>
                    <w:t>4-7升/亩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024246">
                  <w:r>
                    <w:rPr>
                      <w:rStyle w:val="11"/>
                      <w:rFonts w:hint="eastAsia"/>
                    </w:rPr>
                    <w:t>灌根</w:t>
                  </w:r>
                </w:p>
              </w:tc>
            </w:tr>
          </w:tbl>
          <w:p w14:paraId="02D404B1">
            <w:pPr>
              <w:rPr>
                <w:rFonts w:ascii="Times New Roman" w:hAnsi="Times New Roman" w:cs="Times New Roman"/>
                <w:sz w:val="20"/>
                <w:szCs w:val="20"/>
              </w:rPr>
            </w:pPr>
          </w:p>
        </w:tc>
      </w:tr>
      <w:tr w14:paraId="3493EE31">
        <w:tblPrEx>
          <w:tblCellMar>
            <w:top w:w="0" w:type="dxa"/>
            <w:left w:w="0" w:type="dxa"/>
            <w:bottom w:w="0" w:type="dxa"/>
            <w:right w:w="0" w:type="dxa"/>
          </w:tblCellMar>
        </w:tblPrEx>
        <w:trPr>
          <w:wBefore w:w="0" w:type="auto"/>
          <w:tblCellSpacing w:w="0" w:type="dxa"/>
        </w:trPr>
        <w:tc>
          <w:tcPr>
            <w:tcW w:w="0" w:type="auto"/>
            <w:noWrap w:val="0"/>
            <w:vAlign w:val="center"/>
          </w:tcPr>
          <w:p w14:paraId="5B212F49">
            <w:r>
              <w:rPr>
                <w:rStyle w:val="10"/>
                <w:rFonts w:hint="eastAsia"/>
              </w:rPr>
              <w:t>使用技术要求:</w:t>
            </w:r>
            <w:r>
              <w:rPr>
                <w:rFonts w:hint="eastAsia"/>
              </w:rPr>
              <w:br w:type="textWrapping"/>
            </w:r>
            <w:r>
              <w:rPr>
                <w:rStyle w:val="11"/>
                <w:rFonts w:hint="eastAsia"/>
              </w:rPr>
              <w:t>1. 本品应在番茄根结线虫发病前或发病初期施药1次。2. 防治番茄根结线虫配制药剂时加足量的水稀释，灌根法施药。 2. 大风天或预计1小时内降雨，请勿施药。</w:t>
            </w:r>
          </w:p>
        </w:tc>
      </w:tr>
      <w:tr w14:paraId="681E741C">
        <w:tblPrEx>
          <w:tblCellMar>
            <w:top w:w="0" w:type="dxa"/>
            <w:left w:w="0" w:type="dxa"/>
            <w:bottom w:w="0" w:type="dxa"/>
            <w:right w:w="0" w:type="dxa"/>
          </w:tblCellMar>
        </w:tblPrEx>
        <w:trPr>
          <w:wBefore w:w="0" w:type="auto"/>
          <w:tblCellSpacing w:w="0" w:type="dxa"/>
        </w:trPr>
        <w:tc>
          <w:tcPr>
            <w:tcW w:w="0" w:type="auto"/>
            <w:noWrap w:val="0"/>
            <w:vAlign w:val="center"/>
          </w:tcPr>
          <w:p w14:paraId="66D7F8FC">
            <w:r>
              <w:rPr>
                <w:rStyle w:val="10"/>
                <w:rFonts w:hint="eastAsia"/>
              </w:rPr>
              <w:t>产品性能:</w:t>
            </w:r>
            <w:r>
              <w:rPr>
                <w:rFonts w:hint="eastAsia"/>
              </w:rPr>
              <w:br w:type="textWrapping"/>
            </w:r>
            <w:r>
              <w:rPr>
                <w:rStyle w:val="11"/>
                <w:rFonts w:hint="eastAsia"/>
              </w:rPr>
              <w:t>本产品为微生物农药杀虫剂/杀菌剂，其主要成分蜡质芽孢杆菌能通过体内的SOD酶，位点竞争和抗生作用的微生态选择，抑制致病菌的生长，调节作物细胞微生境，维持细胞正常的生理代谢和生化反应，提高抗逆性，可有效的防治番茄根结线虫和水稻立枯病。</w:t>
            </w:r>
          </w:p>
        </w:tc>
      </w:tr>
      <w:tr w14:paraId="057BCE31">
        <w:tblPrEx>
          <w:tblCellMar>
            <w:top w:w="0" w:type="dxa"/>
            <w:left w:w="0" w:type="dxa"/>
            <w:bottom w:w="0" w:type="dxa"/>
            <w:right w:w="0" w:type="dxa"/>
          </w:tblCellMar>
        </w:tblPrEx>
        <w:trPr>
          <w:wBefore w:w="0" w:type="auto"/>
          <w:tblCellSpacing w:w="0" w:type="dxa"/>
        </w:trPr>
        <w:tc>
          <w:tcPr>
            <w:tcW w:w="0" w:type="auto"/>
            <w:noWrap w:val="0"/>
            <w:vAlign w:val="center"/>
          </w:tcPr>
          <w:p w14:paraId="268BFD2D">
            <w:r>
              <w:rPr>
                <w:rStyle w:val="10"/>
                <w:rFonts w:hint="eastAsia"/>
              </w:rPr>
              <w:t>注意事项：</w:t>
            </w:r>
            <w:r>
              <w:rPr>
                <w:rFonts w:hint="eastAsia"/>
              </w:rPr>
              <w:br w:type="textWrapping"/>
            </w:r>
            <w:r>
              <w:rPr>
                <w:rStyle w:val="11"/>
                <w:rFonts w:hint="eastAsia"/>
              </w:rPr>
              <w:t>1. 配药时，配药人员要带胶皮手套，严谨用手搅拌。2. 配药时应远离饮用水源和居民区，要专人看管，严防农药丢失或被人、蓄、禽误食；施药人员要注意个人防护。在操作时禁止吸烟、喝水、吃东西。工作后要用肥皂洗手、脸并漱口，有条件的应洗澡。工作服要及时换洗。3. 药剂贮存温度不要高于40℃，最适宜温度4-20℃.避免反复冻融。避免长时间光照。4. 如需用化学杀虫剂杀灭其它地下害虫，应在用本剂15天前施用，使用本剂之后不要用高毒化学药剂灌根或者浇灌到土壤中，否则高毒药剂会对活性菌有伤害。5. 作物移栽后，在生长期内对于地面上部分的病虫害可以采取正常的防治方法进行防治。6. 对鱼、蜂、蚕有毒，药液及其废液不得污染各类水域，桑园蚕室附近、水产养殖区附近、养蜂地区及蜜源作物禁止使用，使用时还要注意对鸟类的不利影响。7. 施药结束后，应马上用清水冲洗受药液污染的身体部位。清洗药械的污水应选在安全地点妥善处理，不准随地泼洒，防止污染饮用水源和养鱼池塘。禁止在河塘等水体中清洗施药器具。8. 患皮肤病及其它疾病尚未恢复健康者，以及哺乳期、孕妇、经期的妇女避免接触本品。9. 建议与其它作用机制不同的杀菌剂轮换使用，以延缓抗性产生。10. 用过的容器应妥善处理，不可做他用，也不可随意丢弃。</w:t>
            </w:r>
          </w:p>
        </w:tc>
      </w:tr>
      <w:tr w14:paraId="7652BB46">
        <w:tblPrEx>
          <w:tblCellMar>
            <w:top w:w="0" w:type="dxa"/>
            <w:left w:w="0" w:type="dxa"/>
            <w:bottom w:w="0" w:type="dxa"/>
            <w:right w:w="0" w:type="dxa"/>
          </w:tblCellMar>
        </w:tblPrEx>
        <w:trPr>
          <w:wBefore w:w="0" w:type="auto"/>
          <w:tblCellSpacing w:w="0" w:type="dxa"/>
        </w:trPr>
        <w:tc>
          <w:tcPr>
            <w:tcW w:w="0" w:type="auto"/>
            <w:noWrap w:val="0"/>
            <w:vAlign w:val="center"/>
          </w:tcPr>
          <w:p w14:paraId="69A858FA">
            <w:r>
              <w:rPr>
                <w:rStyle w:val="10"/>
                <w:rFonts w:hint="eastAsia"/>
              </w:rPr>
              <w:t>中毒急救措施：</w:t>
            </w:r>
            <w:r>
              <w:rPr>
                <w:rFonts w:hint="eastAsia"/>
              </w:rPr>
              <w:br w:type="textWrapping"/>
            </w:r>
            <w:r>
              <w:rPr>
                <w:rStyle w:val="11"/>
                <w:rFonts w:hint="eastAsia"/>
              </w:rPr>
              <w:t>使用中或使用后如感不适，应立即停止工作，采取急救措施，并携带标签就医。接触皮肤：脱去污染的衣物，用软布去除沾染农药，立即用大量清水和肥皂清洗并就医。眼睛溅入：立即用流动清水冲洗不少于15分钟，不要使用中和剂。吸入：立即离开施药现场，转移至空气清新处并就医。误服：立即停止服用，用清水充分漱口后并携标签就医，对症治疗。</w:t>
            </w:r>
          </w:p>
        </w:tc>
      </w:tr>
      <w:tr w14:paraId="3AE6BD0F">
        <w:tblPrEx>
          <w:tblCellMar>
            <w:top w:w="0" w:type="dxa"/>
            <w:left w:w="0" w:type="dxa"/>
            <w:bottom w:w="0" w:type="dxa"/>
            <w:right w:w="0" w:type="dxa"/>
          </w:tblCellMar>
        </w:tblPrEx>
        <w:trPr>
          <w:wBefore w:w="0" w:type="auto"/>
          <w:tblCellSpacing w:w="0" w:type="dxa"/>
        </w:trPr>
        <w:tc>
          <w:tcPr>
            <w:tcW w:w="0" w:type="auto"/>
            <w:noWrap w:val="0"/>
            <w:vAlign w:val="center"/>
          </w:tcPr>
          <w:p w14:paraId="00D9BA4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本品应贮存在干燥、阴凉、通风、防雨处，远离火源或热源。置于儿童、无关人员及动物触及不到之处，并加锁保存。勿与食品、饮料、饲料和粮食等及其它易燃易爆物品同贮同运。</w:t>
            </w:r>
          </w:p>
        </w:tc>
      </w:tr>
      <w:tr w14:paraId="1046042C">
        <w:tblPrEx>
          <w:tblCellMar>
            <w:top w:w="0" w:type="dxa"/>
            <w:left w:w="0" w:type="dxa"/>
            <w:bottom w:w="0" w:type="dxa"/>
            <w:right w:w="0" w:type="dxa"/>
          </w:tblCellMar>
        </w:tblPrEx>
        <w:trPr>
          <w:wBefore w:w="0" w:type="auto"/>
          <w:tblCellSpacing w:w="0" w:type="dxa"/>
        </w:trPr>
        <w:tc>
          <w:tcPr>
            <w:tcW w:w="0" w:type="auto"/>
            <w:noWrap w:val="0"/>
            <w:vAlign w:val="center"/>
          </w:tcPr>
          <w:p w14:paraId="3823535E">
            <w:r>
              <w:rPr>
                <w:rStyle w:val="10"/>
                <w:rFonts w:hint="eastAsia"/>
              </w:rPr>
              <w:t>质量保证期：</w:t>
            </w:r>
            <w:r>
              <w:rPr>
                <w:rStyle w:val="11"/>
                <w:rFonts w:hint="eastAsia"/>
              </w:rPr>
              <w:t>2年</w:t>
            </w:r>
          </w:p>
        </w:tc>
      </w:tr>
      <w:tr w14:paraId="06D5DCCB">
        <w:tblPrEx>
          <w:tblCellMar>
            <w:top w:w="0" w:type="dxa"/>
            <w:left w:w="0" w:type="dxa"/>
            <w:bottom w:w="0" w:type="dxa"/>
            <w:right w:w="0" w:type="dxa"/>
          </w:tblCellMar>
        </w:tblPrEx>
        <w:trPr>
          <w:wBefore w:w="0" w:type="auto"/>
          <w:tblCellSpacing w:w="0" w:type="dxa"/>
        </w:trPr>
        <w:tc>
          <w:tcPr>
            <w:tcW w:w="0" w:type="auto"/>
            <w:noWrap w:val="0"/>
            <w:vAlign w:val="center"/>
          </w:tcPr>
          <w:p w14:paraId="75BA3D0D">
            <w:r>
              <w:rPr>
                <w:rStyle w:val="10"/>
                <w:rFonts w:hint="eastAsia"/>
              </w:rPr>
              <w:t>备注：</w:t>
            </w:r>
          </w:p>
        </w:tc>
      </w:tr>
    </w:tbl>
    <w:p w14:paraId="328854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40F974">
        <w:tblPrEx>
          <w:tblCellMar>
            <w:top w:w="0" w:type="dxa"/>
            <w:left w:w="0" w:type="dxa"/>
            <w:bottom w:w="0" w:type="dxa"/>
            <w:right w:w="0" w:type="dxa"/>
          </w:tblCellMar>
        </w:tblPrEx>
        <w:trPr>
          <w:wBefore w:w="0" w:type="auto"/>
          <w:tblCellSpacing w:w="0" w:type="dxa"/>
        </w:trPr>
        <w:tc>
          <w:tcPr>
            <w:tcW w:w="0" w:type="auto"/>
            <w:noWrap w:val="0"/>
            <w:vAlign w:val="center"/>
          </w:tcPr>
          <w:p w14:paraId="4287379C">
            <w:r>
              <w:rPr>
                <w:rStyle w:val="10"/>
                <w:rFonts w:hint="eastAsia"/>
              </w:rPr>
              <w:t>登记证号：</w:t>
            </w:r>
            <w:r>
              <w:rPr>
                <w:rFonts w:hint="eastAsia"/>
              </w:rPr>
              <w:t>PD20212530</w:t>
            </w:r>
          </w:p>
        </w:tc>
      </w:tr>
      <w:tr w14:paraId="3039F43D">
        <w:tblPrEx>
          <w:tblCellMar>
            <w:top w:w="0" w:type="dxa"/>
            <w:left w:w="0" w:type="dxa"/>
            <w:bottom w:w="0" w:type="dxa"/>
            <w:right w:w="0" w:type="dxa"/>
          </w:tblCellMar>
        </w:tblPrEx>
        <w:trPr>
          <w:wBefore w:w="0" w:type="auto"/>
          <w:tblCellSpacing w:w="0" w:type="dxa"/>
        </w:trPr>
        <w:tc>
          <w:tcPr>
            <w:tcW w:w="0" w:type="auto"/>
            <w:noWrap w:val="0"/>
            <w:vAlign w:val="center"/>
          </w:tcPr>
          <w:p w14:paraId="2535491C">
            <w:r>
              <w:rPr>
                <w:rStyle w:val="10"/>
                <w:rFonts w:hint="eastAsia"/>
              </w:rPr>
              <w:t>登记证持有人：</w:t>
            </w:r>
            <w:r>
              <w:rPr>
                <w:rFonts w:hint="eastAsia"/>
              </w:rPr>
              <w:t>江苏诺恩作物科学股份有限公司</w:t>
            </w:r>
          </w:p>
        </w:tc>
      </w:tr>
      <w:tr w14:paraId="7DBF4119">
        <w:tblPrEx>
          <w:tblCellMar>
            <w:top w:w="0" w:type="dxa"/>
            <w:left w:w="0" w:type="dxa"/>
            <w:bottom w:w="0" w:type="dxa"/>
            <w:right w:w="0" w:type="dxa"/>
          </w:tblCellMar>
        </w:tblPrEx>
        <w:trPr>
          <w:wBefore w:w="0" w:type="auto"/>
          <w:tblCellSpacing w:w="0" w:type="dxa"/>
        </w:trPr>
        <w:tc>
          <w:tcPr>
            <w:tcW w:w="0" w:type="auto"/>
            <w:noWrap w:val="0"/>
            <w:vAlign w:val="center"/>
          </w:tcPr>
          <w:p w14:paraId="6ED786EA">
            <w:r>
              <w:rPr>
                <w:rStyle w:val="10"/>
                <w:rFonts w:hint="eastAsia"/>
              </w:rPr>
              <w:t>农药名称：</w:t>
            </w:r>
            <w:r>
              <w:rPr>
                <w:rFonts w:hint="eastAsia"/>
              </w:rPr>
              <w:t>烯草酮</w:t>
            </w:r>
          </w:p>
        </w:tc>
      </w:tr>
      <w:tr w14:paraId="2CD189A5">
        <w:tblPrEx>
          <w:tblCellMar>
            <w:top w:w="0" w:type="dxa"/>
            <w:left w:w="0" w:type="dxa"/>
            <w:bottom w:w="0" w:type="dxa"/>
            <w:right w:w="0" w:type="dxa"/>
          </w:tblCellMar>
        </w:tblPrEx>
        <w:trPr>
          <w:wBefore w:w="0" w:type="auto"/>
          <w:tblCellSpacing w:w="0" w:type="dxa"/>
        </w:trPr>
        <w:tc>
          <w:tcPr>
            <w:tcW w:w="0" w:type="auto"/>
            <w:noWrap w:val="0"/>
            <w:vAlign w:val="center"/>
          </w:tcPr>
          <w:p w14:paraId="79782861">
            <w:r>
              <w:rPr>
                <w:rStyle w:val="10"/>
                <w:rFonts w:hint="eastAsia"/>
              </w:rPr>
              <w:t>剂型：</w:t>
            </w:r>
            <w:r>
              <w:rPr>
                <w:rFonts w:hint="eastAsia"/>
              </w:rPr>
              <w:t>乳油</w:t>
            </w:r>
          </w:p>
        </w:tc>
      </w:tr>
      <w:tr w14:paraId="07FF8AD8">
        <w:tblPrEx>
          <w:tblCellMar>
            <w:top w:w="0" w:type="dxa"/>
            <w:left w:w="0" w:type="dxa"/>
            <w:bottom w:w="0" w:type="dxa"/>
            <w:right w:w="0" w:type="dxa"/>
          </w:tblCellMar>
        </w:tblPrEx>
        <w:trPr>
          <w:wBefore w:w="0" w:type="auto"/>
          <w:tblCellSpacing w:w="0" w:type="dxa"/>
        </w:trPr>
        <w:tc>
          <w:tcPr>
            <w:tcW w:w="0" w:type="auto"/>
            <w:noWrap w:val="0"/>
            <w:vAlign w:val="center"/>
          </w:tcPr>
          <w:p w14:paraId="331D2A75">
            <w:r>
              <w:rPr>
                <w:rStyle w:val="10"/>
                <w:rFonts w:hint="eastAsia"/>
              </w:rPr>
              <w:t>毒性及其标识：</w:t>
            </w:r>
            <w:r>
              <w:rPr>
                <w:rFonts w:hint="eastAsia"/>
              </w:rPr>
              <w:t xml:space="preserve"> </w:t>
            </w:r>
            <w:r>
              <w:rPr>
                <w:lang/>
              </w:rPr>
              <w:drawing>
                <wp:inline distT="0" distB="0" distL="114300" distR="114300">
                  <wp:extent cx="476250" cy="323850"/>
                  <wp:effectExtent l="0" t="0" r="0" b="0"/>
                  <wp:docPr id="204" name="图片 2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F4F481">
        <w:tblPrEx>
          <w:tblCellMar>
            <w:top w:w="0" w:type="dxa"/>
            <w:left w:w="0" w:type="dxa"/>
            <w:bottom w:w="0" w:type="dxa"/>
            <w:right w:w="0" w:type="dxa"/>
          </w:tblCellMar>
        </w:tblPrEx>
        <w:trPr>
          <w:wBefore w:w="0" w:type="auto"/>
          <w:tblCellSpacing w:w="0" w:type="dxa"/>
        </w:trPr>
        <w:tc>
          <w:tcPr>
            <w:tcW w:w="0" w:type="auto"/>
            <w:noWrap w:val="0"/>
            <w:vAlign w:val="center"/>
          </w:tcPr>
          <w:p w14:paraId="765F9356">
            <w:r>
              <w:rPr>
                <w:rStyle w:val="10"/>
                <w:rFonts w:hint="eastAsia"/>
              </w:rPr>
              <w:t>总有效成分含量：</w:t>
            </w:r>
            <w:r>
              <w:rPr>
                <w:rFonts w:hint="eastAsia"/>
              </w:rPr>
              <w:t>240克/升</w:t>
            </w:r>
          </w:p>
        </w:tc>
      </w:tr>
      <w:tr w14:paraId="136FBC69">
        <w:tblPrEx>
          <w:tblCellMar>
            <w:top w:w="0" w:type="dxa"/>
            <w:left w:w="0" w:type="dxa"/>
            <w:bottom w:w="0" w:type="dxa"/>
            <w:right w:w="0" w:type="dxa"/>
          </w:tblCellMar>
        </w:tblPrEx>
        <w:trPr>
          <w:wBefore w:w="0" w:type="auto"/>
          <w:tblCellSpacing w:w="0" w:type="dxa"/>
        </w:trPr>
        <w:tc>
          <w:tcPr>
            <w:tcW w:w="0" w:type="auto"/>
            <w:noWrap w:val="0"/>
            <w:vAlign w:val="center"/>
          </w:tcPr>
          <w:p w14:paraId="0B3353F6">
            <w:r>
              <w:rPr>
                <w:rFonts w:hint="eastAsia"/>
              </w:rPr>
              <w:t xml:space="preserve">有效成分及其含量： </w:t>
            </w:r>
          </w:p>
          <w:p w14:paraId="14FED234">
            <w:r>
              <w:rPr>
                <w:rFonts w:hint="eastAsia"/>
              </w:rPr>
              <w:t xml:space="preserve">    烯草酮240克/升    </w:t>
            </w:r>
          </w:p>
        </w:tc>
      </w:tr>
      <w:tr w14:paraId="63D60568">
        <w:tblPrEx>
          <w:tblCellMar>
            <w:top w:w="0" w:type="dxa"/>
            <w:left w:w="0" w:type="dxa"/>
            <w:bottom w:w="0" w:type="dxa"/>
            <w:right w:w="0" w:type="dxa"/>
          </w:tblCellMar>
        </w:tblPrEx>
        <w:trPr>
          <w:wBefore w:w="0" w:type="auto"/>
          <w:tblCellSpacing w:w="0" w:type="dxa"/>
        </w:trPr>
        <w:tc>
          <w:tcPr>
            <w:tcW w:w="0" w:type="auto"/>
            <w:noWrap w:val="0"/>
            <w:vAlign w:val="center"/>
          </w:tcPr>
          <w:p w14:paraId="4220C3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716C2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2FCA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CBDCE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90A0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942D8E">
                  <w:r>
                    <w:rPr>
                      <w:rStyle w:val="11"/>
                      <w:rFonts w:hint="eastAsia"/>
                    </w:rPr>
                    <w:t>施用方式</w:t>
                  </w:r>
                </w:p>
              </w:tc>
            </w:tr>
            <w:tr w14:paraId="220ABE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545C28">
                  <w:r>
                    <w:rPr>
                      <w:rStyle w:val="11"/>
                      <w:rFonts w:hint="eastAsia"/>
                    </w:rPr>
                    <w:t>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A4414E">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B65F4D">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0006C5">
                  <w:r>
                    <w:rPr>
                      <w:rStyle w:val="11"/>
                      <w:rFonts w:hint="eastAsia"/>
                    </w:rPr>
                    <w:t>茎叶喷雾</w:t>
                  </w:r>
                </w:p>
              </w:tc>
            </w:tr>
          </w:tbl>
          <w:p w14:paraId="601283CD">
            <w:pPr>
              <w:rPr>
                <w:rFonts w:ascii="Times New Roman" w:hAnsi="Times New Roman" w:cs="Times New Roman"/>
                <w:sz w:val="20"/>
                <w:szCs w:val="20"/>
              </w:rPr>
            </w:pPr>
          </w:p>
        </w:tc>
      </w:tr>
      <w:tr w14:paraId="73923B71">
        <w:tblPrEx>
          <w:tblCellMar>
            <w:top w:w="0" w:type="dxa"/>
            <w:left w:w="0" w:type="dxa"/>
            <w:bottom w:w="0" w:type="dxa"/>
            <w:right w:w="0" w:type="dxa"/>
          </w:tblCellMar>
        </w:tblPrEx>
        <w:trPr>
          <w:wBefore w:w="0" w:type="auto"/>
          <w:tblCellSpacing w:w="0" w:type="dxa"/>
        </w:trPr>
        <w:tc>
          <w:tcPr>
            <w:tcW w:w="0" w:type="auto"/>
            <w:noWrap w:val="0"/>
            <w:vAlign w:val="center"/>
          </w:tcPr>
          <w:p w14:paraId="0689E9C1">
            <w:r>
              <w:rPr>
                <w:rStyle w:val="10"/>
                <w:rFonts w:hint="eastAsia"/>
              </w:rPr>
              <w:t>使用技术要求:</w:t>
            </w:r>
            <w:r>
              <w:rPr>
                <w:rFonts w:hint="eastAsia"/>
              </w:rPr>
              <w:br w:type="textWrapping"/>
            </w:r>
            <w:r>
              <w:rPr>
                <w:rStyle w:val="11"/>
                <w:rFonts w:hint="eastAsia"/>
              </w:rPr>
              <w:t>1.本品应于大豆苗后，一年生禾本科杂草3-5 叶期，茎叶喷雾。 2.大风天或预计1小时内降雨，请勿施药。3.每季作物使用1次。</w:t>
            </w:r>
          </w:p>
        </w:tc>
      </w:tr>
      <w:tr w14:paraId="631D01CE">
        <w:tblPrEx>
          <w:tblCellMar>
            <w:top w:w="0" w:type="dxa"/>
            <w:left w:w="0" w:type="dxa"/>
            <w:bottom w:w="0" w:type="dxa"/>
            <w:right w:w="0" w:type="dxa"/>
          </w:tblCellMar>
        </w:tblPrEx>
        <w:trPr>
          <w:wBefore w:w="0" w:type="auto"/>
          <w:tblCellSpacing w:w="0" w:type="dxa"/>
        </w:trPr>
        <w:tc>
          <w:tcPr>
            <w:tcW w:w="0" w:type="auto"/>
            <w:noWrap w:val="0"/>
            <w:vAlign w:val="center"/>
          </w:tcPr>
          <w:p w14:paraId="617833AB">
            <w:r>
              <w:rPr>
                <w:rStyle w:val="10"/>
                <w:rFonts w:hint="eastAsia"/>
              </w:rPr>
              <w:t>产品性能:</w:t>
            </w:r>
            <w:r>
              <w:rPr>
                <w:rFonts w:hint="eastAsia"/>
              </w:rPr>
              <w:br w:type="textWrapping"/>
            </w:r>
            <w:r>
              <w:rPr>
                <w:rStyle w:val="11"/>
                <w:rFonts w:hint="eastAsia"/>
              </w:rPr>
              <w:t>烯草酮是内吸传导型茎叶处理除草剂，被植株吸收后传导到分生组织，抑制支链脂肪酸和黄酮类化合物的生物合成，使细胞分裂受到破坏，生长延缓，在施药后1 -3周内植株退绿坏死，随后叶片干枯死亡。用于防治大豆田一年生禾本科杂草。</w:t>
            </w:r>
          </w:p>
        </w:tc>
      </w:tr>
      <w:tr w14:paraId="2BAECC41">
        <w:tblPrEx>
          <w:tblCellMar>
            <w:top w:w="0" w:type="dxa"/>
            <w:left w:w="0" w:type="dxa"/>
            <w:bottom w:w="0" w:type="dxa"/>
            <w:right w:w="0" w:type="dxa"/>
          </w:tblCellMar>
        </w:tblPrEx>
        <w:trPr>
          <w:wBefore w:w="0" w:type="auto"/>
          <w:tblCellSpacing w:w="0" w:type="dxa"/>
        </w:trPr>
        <w:tc>
          <w:tcPr>
            <w:tcW w:w="0" w:type="auto"/>
            <w:noWrap w:val="0"/>
            <w:vAlign w:val="center"/>
          </w:tcPr>
          <w:p w14:paraId="35DE5D3D">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等，避免眼睛、皮肤接触及口鼻吸入药液。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4.用过的容器应妥善处理，不可做他用，也不可随意丢弃。5.孕妇及哺乳期妇女应避免接触本品。</w:t>
            </w:r>
          </w:p>
        </w:tc>
      </w:tr>
      <w:tr w14:paraId="11C914F7">
        <w:tblPrEx>
          <w:tblCellMar>
            <w:top w:w="0" w:type="dxa"/>
            <w:left w:w="0" w:type="dxa"/>
            <w:bottom w:w="0" w:type="dxa"/>
            <w:right w:w="0" w:type="dxa"/>
          </w:tblCellMar>
        </w:tblPrEx>
        <w:trPr>
          <w:wBefore w:w="0" w:type="auto"/>
          <w:tblCellSpacing w:w="0" w:type="dxa"/>
        </w:trPr>
        <w:tc>
          <w:tcPr>
            <w:tcW w:w="0" w:type="auto"/>
            <w:noWrap w:val="0"/>
            <w:vAlign w:val="center"/>
          </w:tcPr>
          <w:p w14:paraId="16D163BD">
            <w:r>
              <w:rPr>
                <w:rStyle w:val="10"/>
                <w:rFonts w:hint="eastAsia"/>
              </w:rPr>
              <w:t>中毒急救措施：</w:t>
            </w:r>
            <w:r>
              <w:rPr>
                <w:rFonts w:hint="eastAsia"/>
              </w:rPr>
              <w:br w:type="textWrapping"/>
            </w:r>
            <w:r>
              <w:rPr>
                <w:rStyle w:val="11"/>
                <w:rFonts w:hint="eastAsia"/>
              </w:rPr>
              <w:t>本品对眼睛有刺激性。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66C79387">
        <w:tblPrEx>
          <w:tblCellMar>
            <w:top w:w="0" w:type="dxa"/>
            <w:left w:w="0" w:type="dxa"/>
            <w:bottom w:w="0" w:type="dxa"/>
            <w:right w:w="0" w:type="dxa"/>
          </w:tblCellMar>
        </w:tblPrEx>
        <w:trPr>
          <w:wBefore w:w="0" w:type="auto"/>
          <w:tblCellSpacing w:w="0" w:type="dxa"/>
        </w:trPr>
        <w:tc>
          <w:tcPr>
            <w:tcW w:w="0" w:type="auto"/>
            <w:noWrap w:val="0"/>
            <w:vAlign w:val="center"/>
          </w:tcPr>
          <w:p w14:paraId="096CA661">
            <w:r>
              <w:rPr>
                <w:rStyle w:val="10"/>
                <w:rFonts w:hint="eastAsia"/>
              </w:rPr>
              <w:t>储存和运输方法：</w:t>
            </w:r>
            <w:r>
              <w:rPr>
                <w:rFonts w:hint="eastAsia"/>
              </w:rPr>
              <w:br w:type="textWrapping"/>
            </w:r>
            <w:r>
              <w:rPr>
                <w:rStyle w:val="11"/>
                <w:rFonts w:hint="eastAsia"/>
              </w:rPr>
              <w:t>1.应贮存于通风、阴凉、干燥处。远离火源或热源。置于儿童触及不到之处，并加锁。2.运输时，严防雨淋、日晒，不能与食品、饮料、粮食、饲料等物品同贮同运，避免与皮肤接触，防止由口鼻吸入。</w:t>
            </w:r>
          </w:p>
        </w:tc>
      </w:tr>
      <w:tr w14:paraId="3C4F2E2F">
        <w:tblPrEx>
          <w:tblCellMar>
            <w:top w:w="0" w:type="dxa"/>
            <w:left w:w="0" w:type="dxa"/>
            <w:bottom w:w="0" w:type="dxa"/>
            <w:right w:w="0" w:type="dxa"/>
          </w:tblCellMar>
        </w:tblPrEx>
        <w:trPr>
          <w:wBefore w:w="0" w:type="auto"/>
          <w:tblCellSpacing w:w="0" w:type="dxa"/>
        </w:trPr>
        <w:tc>
          <w:tcPr>
            <w:tcW w:w="0" w:type="auto"/>
            <w:noWrap w:val="0"/>
            <w:vAlign w:val="center"/>
          </w:tcPr>
          <w:p w14:paraId="78C97F9C">
            <w:r>
              <w:rPr>
                <w:rStyle w:val="10"/>
                <w:rFonts w:hint="eastAsia"/>
              </w:rPr>
              <w:t>质量保证期：</w:t>
            </w:r>
            <w:r>
              <w:rPr>
                <w:rStyle w:val="11"/>
                <w:rFonts w:hint="eastAsia"/>
              </w:rPr>
              <w:t>2年</w:t>
            </w:r>
          </w:p>
        </w:tc>
      </w:tr>
      <w:tr w14:paraId="6B18986E">
        <w:tblPrEx>
          <w:tblCellMar>
            <w:top w:w="0" w:type="dxa"/>
            <w:left w:w="0" w:type="dxa"/>
            <w:bottom w:w="0" w:type="dxa"/>
            <w:right w:w="0" w:type="dxa"/>
          </w:tblCellMar>
        </w:tblPrEx>
        <w:trPr>
          <w:wBefore w:w="0" w:type="auto"/>
          <w:tblCellSpacing w:w="0" w:type="dxa"/>
        </w:trPr>
        <w:tc>
          <w:tcPr>
            <w:tcW w:w="0" w:type="auto"/>
            <w:noWrap w:val="0"/>
            <w:vAlign w:val="center"/>
          </w:tcPr>
          <w:p w14:paraId="1423985F">
            <w:r>
              <w:rPr>
                <w:rStyle w:val="10"/>
                <w:rFonts w:hint="eastAsia"/>
              </w:rPr>
              <w:t>备注：</w:t>
            </w:r>
            <w:r>
              <w:rPr>
                <w:rFonts w:hint="eastAsia"/>
              </w:rPr>
              <w:br w:type="textWrapping"/>
            </w:r>
            <w:r>
              <w:rPr>
                <w:rStyle w:val="11"/>
                <w:rFonts w:hint="eastAsia"/>
              </w:rPr>
              <w:t>烯草酮质量分数26%。</w:t>
            </w:r>
          </w:p>
        </w:tc>
      </w:tr>
    </w:tbl>
    <w:p w14:paraId="57292F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979A02">
        <w:tblPrEx>
          <w:tblCellMar>
            <w:top w:w="0" w:type="dxa"/>
            <w:left w:w="0" w:type="dxa"/>
            <w:bottom w:w="0" w:type="dxa"/>
            <w:right w:w="0" w:type="dxa"/>
          </w:tblCellMar>
        </w:tblPrEx>
        <w:trPr>
          <w:wBefore w:w="0" w:type="auto"/>
          <w:tblCellSpacing w:w="0" w:type="dxa"/>
        </w:trPr>
        <w:tc>
          <w:tcPr>
            <w:tcW w:w="0" w:type="auto"/>
            <w:noWrap w:val="0"/>
            <w:vAlign w:val="center"/>
          </w:tcPr>
          <w:p w14:paraId="65942627">
            <w:r>
              <w:rPr>
                <w:rStyle w:val="10"/>
                <w:rFonts w:hint="eastAsia"/>
              </w:rPr>
              <w:t>登记证号：</w:t>
            </w:r>
            <w:r>
              <w:rPr>
                <w:rFonts w:hint="eastAsia"/>
              </w:rPr>
              <w:t>PD20212365</w:t>
            </w:r>
          </w:p>
        </w:tc>
      </w:tr>
      <w:tr w14:paraId="29E064F4">
        <w:tblPrEx>
          <w:tblCellMar>
            <w:top w:w="0" w:type="dxa"/>
            <w:left w:w="0" w:type="dxa"/>
            <w:bottom w:w="0" w:type="dxa"/>
            <w:right w:w="0" w:type="dxa"/>
          </w:tblCellMar>
        </w:tblPrEx>
        <w:trPr>
          <w:wBefore w:w="0" w:type="auto"/>
          <w:tblCellSpacing w:w="0" w:type="dxa"/>
        </w:trPr>
        <w:tc>
          <w:tcPr>
            <w:tcW w:w="0" w:type="auto"/>
            <w:noWrap w:val="0"/>
            <w:vAlign w:val="center"/>
          </w:tcPr>
          <w:p w14:paraId="131E9234">
            <w:r>
              <w:rPr>
                <w:rStyle w:val="10"/>
                <w:rFonts w:hint="eastAsia"/>
              </w:rPr>
              <w:t>登记证持有人：</w:t>
            </w:r>
            <w:r>
              <w:rPr>
                <w:rFonts w:hint="eastAsia"/>
              </w:rPr>
              <w:t>精典之路农业科技有限公司</w:t>
            </w:r>
          </w:p>
        </w:tc>
      </w:tr>
      <w:tr w14:paraId="12F2428B">
        <w:tblPrEx>
          <w:tblCellMar>
            <w:top w:w="0" w:type="dxa"/>
            <w:left w:w="0" w:type="dxa"/>
            <w:bottom w:w="0" w:type="dxa"/>
            <w:right w:w="0" w:type="dxa"/>
          </w:tblCellMar>
        </w:tblPrEx>
        <w:trPr>
          <w:wBefore w:w="0" w:type="auto"/>
          <w:tblCellSpacing w:w="0" w:type="dxa"/>
        </w:trPr>
        <w:tc>
          <w:tcPr>
            <w:tcW w:w="0" w:type="auto"/>
            <w:noWrap w:val="0"/>
            <w:vAlign w:val="center"/>
          </w:tcPr>
          <w:p w14:paraId="3006A763">
            <w:r>
              <w:rPr>
                <w:rStyle w:val="10"/>
                <w:rFonts w:hint="eastAsia"/>
              </w:rPr>
              <w:t>农药名称：</w:t>
            </w:r>
            <w:r>
              <w:rPr>
                <w:rFonts w:hint="eastAsia"/>
              </w:rPr>
              <w:t>噻虫·氟氯氰</w:t>
            </w:r>
          </w:p>
        </w:tc>
      </w:tr>
      <w:tr w14:paraId="4C5B694F">
        <w:tblPrEx>
          <w:tblCellMar>
            <w:top w:w="0" w:type="dxa"/>
            <w:left w:w="0" w:type="dxa"/>
            <w:bottom w:w="0" w:type="dxa"/>
            <w:right w:w="0" w:type="dxa"/>
          </w:tblCellMar>
        </w:tblPrEx>
        <w:trPr>
          <w:wBefore w:w="0" w:type="auto"/>
          <w:tblCellSpacing w:w="0" w:type="dxa"/>
        </w:trPr>
        <w:tc>
          <w:tcPr>
            <w:tcW w:w="0" w:type="auto"/>
            <w:noWrap w:val="0"/>
            <w:vAlign w:val="center"/>
          </w:tcPr>
          <w:p w14:paraId="23272E4F">
            <w:r>
              <w:rPr>
                <w:rStyle w:val="10"/>
                <w:rFonts w:hint="eastAsia"/>
              </w:rPr>
              <w:t>剂型：</w:t>
            </w:r>
            <w:r>
              <w:rPr>
                <w:rFonts w:hint="eastAsia"/>
              </w:rPr>
              <w:t>颗粒剂</w:t>
            </w:r>
          </w:p>
        </w:tc>
      </w:tr>
      <w:tr w14:paraId="1FB16F92">
        <w:tblPrEx>
          <w:tblCellMar>
            <w:top w:w="0" w:type="dxa"/>
            <w:left w:w="0" w:type="dxa"/>
            <w:bottom w:w="0" w:type="dxa"/>
            <w:right w:w="0" w:type="dxa"/>
          </w:tblCellMar>
        </w:tblPrEx>
        <w:trPr>
          <w:wBefore w:w="0" w:type="auto"/>
          <w:tblCellSpacing w:w="0" w:type="dxa"/>
        </w:trPr>
        <w:tc>
          <w:tcPr>
            <w:tcW w:w="0" w:type="auto"/>
            <w:noWrap w:val="0"/>
            <w:vAlign w:val="center"/>
          </w:tcPr>
          <w:p w14:paraId="2B02CC92">
            <w:r>
              <w:rPr>
                <w:rStyle w:val="10"/>
                <w:rFonts w:hint="eastAsia"/>
              </w:rPr>
              <w:t>毒性及其标识：</w:t>
            </w:r>
            <w:r>
              <w:rPr>
                <w:rFonts w:hint="eastAsia"/>
              </w:rPr>
              <w:t xml:space="preserve"> 微毒 </w:t>
            </w:r>
          </w:p>
        </w:tc>
      </w:tr>
      <w:tr w14:paraId="668D7581">
        <w:tblPrEx>
          <w:tblCellMar>
            <w:top w:w="0" w:type="dxa"/>
            <w:left w:w="0" w:type="dxa"/>
            <w:bottom w:w="0" w:type="dxa"/>
            <w:right w:w="0" w:type="dxa"/>
          </w:tblCellMar>
        </w:tblPrEx>
        <w:trPr>
          <w:wBefore w:w="0" w:type="auto"/>
          <w:tblCellSpacing w:w="0" w:type="dxa"/>
        </w:trPr>
        <w:tc>
          <w:tcPr>
            <w:tcW w:w="0" w:type="auto"/>
            <w:noWrap w:val="0"/>
            <w:vAlign w:val="center"/>
          </w:tcPr>
          <w:p w14:paraId="429E75F6">
            <w:r>
              <w:rPr>
                <w:rStyle w:val="10"/>
                <w:rFonts w:hint="eastAsia"/>
              </w:rPr>
              <w:t>总有效成分含量：</w:t>
            </w:r>
            <w:r>
              <w:rPr>
                <w:rFonts w:hint="eastAsia"/>
              </w:rPr>
              <w:t>2%</w:t>
            </w:r>
          </w:p>
        </w:tc>
      </w:tr>
      <w:tr w14:paraId="0E5DA439">
        <w:tblPrEx>
          <w:tblCellMar>
            <w:top w:w="0" w:type="dxa"/>
            <w:left w:w="0" w:type="dxa"/>
            <w:bottom w:w="0" w:type="dxa"/>
            <w:right w:w="0" w:type="dxa"/>
          </w:tblCellMar>
        </w:tblPrEx>
        <w:trPr>
          <w:wBefore w:w="0" w:type="auto"/>
          <w:tblCellSpacing w:w="0" w:type="dxa"/>
        </w:trPr>
        <w:tc>
          <w:tcPr>
            <w:tcW w:w="0" w:type="auto"/>
            <w:noWrap w:val="0"/>
            <w:vAlign w:val="center"/>
          </w:tcPr>
          <w:p w14:paraId="322DFA22">
            <w:r>
              <w:rPr>
                <w:rFonts w:hint="eastAsia"/>
              </w:rPr>
              <w:t xml:space="preserve">有效成分及其含量： </w:t>
            </w:r>
          </w:p>
          <w:p w14:paraId="4687D3A1">
            <w:r>
              <w:rPr>
                <w:rFonts w:hint="eastAsia"/>
              </w:rPr>
              <w:t xml:space="preserve">    氟氯氰菊酯0.5%    噻虫胺1.5%    </w:t>
            </w:r>
          </w:p>
        </w:tc>
      </w:tr>
      <w:tr w14:paraId="42120C47">
        <w:tblPrEx>
          <w:tblCellMar>
            <w:top w:w="0" w:type="dxa"/>
            <w:left w:w="0" w:type="dxa"/>
            <w:bottom w:w="0" w:type="dxa"/>
            <w:right w:w="0" w:type="dxa"/>
          </w:tblCellMar>
        </w:tblPrEx>
        <w:trPr>
          <w:wBefore w:w="0" w:type="auto"/>
          <w:tblCellSpacing w:w="0" w:type="dxa"/>
        </w:trPr>
        <w:tc>
          <w:tcPr>
            <w:tcW w:w="0" w:type="auto"/>
            <w:noWrap w:val="0"/>
            <w:vAlign w:val="center"/>
          </w:tcPr>
          <w:p w14:paraId="717245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CA3B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88C9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04CA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93C63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31878C">
                  <w:r>
                    <w:rPr>
                      <w:rStyle w:val="11"/>
                      <w:rFonts w:hint="eastAsia"/>
                    </w:rPr>
                    <w:t>施用方式</w:t>
                  </w:r>
                </w:p>
              </w:tc>
            </w:tr>
            <w:tr w14:paraId="4224FC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681395">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AB3F67">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BACDF9">
                  <w:r>
                    <w:rPr>
                      <w:rStyle w:val="11"/>
                      <w:rFonts w:hint="eastAsia"/>
                    </w:rPr>
                    <w:t>1250-1500克/亩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DCB2FD">
                  <w:r>
                    <w:rPr>
                      <w:rStyle w:val="11"/>
                      <w:rFonts w:hint="eastAsia"/>
                    </w:rPr>
                    <w:t>沟施</w:t>
                  </w:r>
                </w:p>
              </w:tc>
            </w:tr>
          </w:tbl>
          <w:p w14:paraId="787DCB97">
            <w:pPr>
              <w:rPr>
                <w:rFonts w:ascii="Times New Roman" w:hAnsi="Times New Roman" w:cs="Times New Roman"/>
                <w:sz w:val="20"/>
                <w:szCs w:val="20"/>
              </w:rPr>
            </w:pPr>
          </w:p>
        </w:tc>
      </w:tr>
      <w:tr w14:paraId="5C7D0E6D">
        <w:tblPrEx>
          <w:tblCellMar>
            <w:top w:w="0" w:type="dxa"/>
            <w:left w:w="0" w:type="dxa"/>
            <w:bottom w:w="0" w:type="dxa"/>
            <w:right w:w="0" w:type="dxa"/>
          </w:tblCellMar>
        </w:tblPrEx>
        <w:trPr>
          <w:wBefore w:w="0" w:type="auto"/>
          <w:tblCellSpacing w:w="0" w:type="dxa"/>
        </w:trPr>
        <w:tc>
          <w:tcPr>
            <w:tcW w:w="0" w:type="auto"/>
            <w:noWrap w:val="0"/>
            <w:vAlign w:val="center"/>
          </w:tcPr>
          <w:p w14:paraId="2C583CF0">
            <w:r>
              <w:rPr>
                <w:rStyle w:val="10"/>
                <w:rFonts w:hint="eastAsia"/>
              </w:rPr>
              <w:t>使用技术要求:</w:t>
            </w:r>
            <w:r>
              <w:rPr>
                <w:rFonts w:hint="eastAsia"/>
              </w:rPr>
              <w:br w:type="textWrapping"/>
            </w:r>
            <w:r>
              <w:rPr>
                <w:rStyle w:val="11"/>
                <w:rFonts w:hint="eastAsia"/>
              </w:rPr>
              <w:t>1、本品于马铃薯播种或移栽前沟施。 2、本品在马铃薯上每季作物最多使用1次。 3、大风天或预计1小时内有雨，请勿施药。</w:t>
            </w:r>
          </w:p>
        </w:tc>
      </w:tr>
      <w:tr w14:paraId="0C19420B">
        <w:tblPrEx>
          <w:tblCellMar>
            <w:top w:w="0" w:type="dxa"/>
            <w:left w:w="0" w:type="dxa"/>
            <w:bottom w:w="0" w:type="dxa"/>
            <w:right w:w="0" w:type="dxa"/>
          </w:tblCellMar>
        </w:tblPrEx>
        <w:trPr>
          <w:wBefore w:w="0" w:type="auto"/>
          <w:tblCellSpacing w:w="0" w:type="dxa"/>
        </w:trPr>
        <w:tc>
          <w:tcPr>
            <w:tcW w:w="0" w:type="auto"/>
            <w:noWrap w:val="0"/>
            <w:vAlign w:val="center"/>
          </w:tcPr>
          <w:p w14:paraId="13FE92F1">
            <w:r>
              <w:rPr>
                <w:rStyle w:val="10"/>
                <w:rFonts w:hint="eastAsia"/>
              </w:rPr>
              <w:t>产品性能:</w:t>
            </w:r>
            <w:r>
              <w:rPr>
                <w:rFonts w:hint="eastAsia"/>
              </w:rPr>
              <w:br w:type="textWrapping"/>
            </w:r>
            <w:r>
              <w:rPr>
                <w:rStyle w:val="11"/>
                <w:rFonts w:hint="eastAsia"/>
              </w:rPr>
              <w:t xml:space="preserve">本品是由两种不同作用机理的有效成分氟氯氰菊酯和噻虫胺复配而成的杀虫颗粒剂，二者混用具有内吸、触杀和胃毒作用，可有效防治马铃薯蛴螬。 </w:t>
            </w:r>
          </w:p>
        </w:tc>
      </w:tr>
      <w:tr w14:paraId="5487AB11">
        <w:tblPrEx>
          <w:tblCellMar>
            <w:top w:w="0" w:type="dxa"/>
            <w:left w:w="0" w:type="dxa"/>
            <w:bottom w:w="0" w:type="dxa"/>
            <w:right w:w="0" w:type="dxa"/>
          </w:tblCellMar>
        </w:tblPrEx>
        <w:trPr>
          <w:wBefore w:w="0" w:type="auto"/>
          <w:tblCellSpacing w:w="0" w:type="dxa"/>
        </w:trPr>
        <w:tc>
          <w:tcPr>
            <w:tcW w:w="0" w:type="auto"/>
            <w:noWrap w:val="0"/>
            <w:vAlign w:val="center"/>
          </w:tcPr>
          <w:p w14:paraId="39DE01E6">
            <w:r>
              <w:rPr>
                <w:rStyle w:val="10"/>
                <w:rFonts w:hint="eastAsia"/>
              </w:rPr>
              <w:t>注意事项：</w:t>
            </w:r>
            <w:r>
              <w:rPr>
                <w:rFonts w:hint="eastAsia"/>
              </w:rPr>
              <w:br w:type="textWrapping"/>
            </w:r>
            <w:r>
              <w:rPr>
                <w:rStyle w:val="11"/>
                <w:rFonts w:hint="eastAsia"/>
              </w:rPr>
              <w:t>1、本品对眼睛有刺激性，施药时应注意个人防护，建议与其他不同作用机制的杀菌剂轮换使用，以延缓抗性产生。2，操作人员需提前做好保护措施，长衣、长裤、鞋、帽子、口罩和手套，严禁抽烟或饮食；施药后应用肥皂和清水彻底清洗暴露在外的皮肤，并及时更换衣物。3、水产养殖区、河塘等水体附近禁用，4、用过的容器应妥善处理，不可做他用，也不可随意丢弃。5、孕妇及哺乳期妇女避免接触本产品。</w:t>
            </w:r>
          </w:p>
        </w:tc>
      </w:tr>
      <w:tr w14:paraId="0305F09A">
        <w:tblPrEx>
          <w:tblCellMar>
            <w:top w:w="0" w:type="dxa"/>
            <w:left w:w="0" w:type="dxa"/>
            <w:bottom w:w="0" w:type="dxa"/>
            <w:right w:w="0" w:type="dxa"/>
          </w:tblCellMar>
        </w:tblPrEx>
        <w:trPr>
          <w:wBefore w:w="0" w:type="auto"/>
          <w:tblCellSpacing w:w="0" w:type="dxa"/>
        </w:trPr>
        <w:tc>
          <w:tcPr>
            <w:tcW w:w="0" w:type="auto"/>
            <w:noWrap w:val="0"/>
            <w:vAlign w:val="center"/>
          </w:tcPr>
          <w:p w14:paraId="242026A1">
            <w:r>
              <w:rPr>
                <w:rStyle w:val="10"/>
                <w:rFonts w:hint="eastAsia"/>
              </w:rPr>
              <w:t>中毒急救措施：</w:t>
            </w:r>
            <w:r>
              <w:rPr>
                <w:rFonts w:hint="eastAsia"/>
              </w:rPr>
              <w:br w:type="textWrapping"/>
            </w:r>
            <w:r>
              <w:rPr>
                <w:rStyle w:val="11"/>
                <w:rFonts w:hint="eastAsia"/>
              </w:rPr>
              <w:t xml:space="preserve">中毒症状：表现为头晕、头痛、恶心、呕吐。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 </w:t>
            </w:r>
          </w:p>
        </w:tc>
      </w:tr>
      <w:tr w14:paraId="6441EA9D">
        <w:tblPrEx>
          <w:tblCellMar>
            <w:top w:w="0" w:type="dxa"/>
            <w:left w:w="0" w:type="dxa"/>
            <w:bottom w:w="0" w:type="dxa"/>
            <w:right w:w="0" w:type="dxa"/>
          </w:tblCellMar>
        </w:tblPrEx>
        <w:trPr>
          <w:wBefore w:w="0" w:type="auto"/>
          <w:tblCellSpacing w:w="0" w:type="dxa"/>
        </w:trPr>
        <w:tc>
          <w:tcPr>
            <w:tcW w:w="0" w:type="auto"/>
            <w:noWrap w:val="0"/>
            <w:vAlign w:val="center"/>
          </w:tcPr>
          <w:p w14:paraId="4C18D9D9">
            <w:r>
              <w:rPr>
                <w:rStyle w:val="10"/>
                <w:rFonts w:hint="eastAsia"/>
              </w:rPr>
              <w:t>储存和运输方法：</w:t>
            </w:r>
            <w:r>
              <w:rPr>
                <w:rFonts w:hint="eastAsia"/>
              </w:rPr>
              <w:br w:type="textWrapping"/>
            </w:r>
            <w:r>
              <w:rPr>
                <w:rStyle w:val="11"/>
                <w:rFonts w:hint="eastAsia"/>
              </w:rPr>
              <w:t>1、本品应贮存在干燥、阴凉、通风、防雨的仓库里，远离火源或热源。 2、放置在儿童接触不到的地方，并加锁。 3、勿与食品、饮料、粮食、饲料等其他商品同贮同运。</w:t>
            </w:r>
          </w:p>
        </w:tc>
      </w:tr>
      <w:tr w14:paraId="4A592521">
        <w:tblPrEx>
          <w:tblCellMar>
            <w:top w:w="0" w:type="dxa"/>
            <w:left w:w="0" w:type="dxa"/>
            <w:bottom w:w="0" w:type="dxa"/>
            <w:right w:w="0" w:type="dxa"/>
          </w:tblCellMar>
        </w:tblPrEx>
        <w:trPr>
          <w:wBefore w:w="0" w:type="auto"/>
          <w:tblCellSpacing w:w="0" w:type="dxa"/>
        </w:trPr>
        <w:tc>
          <w:tcPr>
            <w:tcW w:w="0" w:type="auto"/>
            <w:noWrap w:val="0"/>
            <w:vAlign w:val="center"/>
          </w:tcPr>
          <w:p w14:paraId="2F0133D4">
            <w:r>
              <w:rPr>
                <w:rStyle w:val="10"/>
                <w:rFonts w:hint="eastAsia"/>
              </w:rPr>
              <w:t>质量保证期：</w:t>
            </w:r>
            <w:r>
              <w:rPr>
                <w:rStyle w:val="11"/>
                <w:rFonts w:hint="eastAsia"/>
              </w:rPr>
              <w:t>2年</w:t>
            </w:r>
          </w:p>
        </w:tc>
      </w:tr>
      <w:tr w14:paraId="30E23591">
        <w:tblPrEx>
          <w:tblCellMar>
            <w:top w:w="0" w:type="dxa"/>
            <w:left w:w="0" w:type="dxa"/>
            <w:bottom w:w="0" w:type="dxa"/>
            <w:right w:w="0" w:type="dxa"/>
          </w:tblCellMar>
        </w:tblPrEx>
        <w:trPr>
          <w:wBefore w:w="0" w:type="auto"/>
          <w:tblCellSpacing w:w="0" w:type="dxa"/>
        </w:trPr>
        <w:tc>
          <w:tcPr>
            <w:tcW w:w="0" w:type="auto"/>
            <w:noWrap w:val="0"/>
            <w:vAlign w:val="center"/>
          </w:tcPr>
          <w:p w14:paraId="1FC23E02">
            <w:r>
              <w:rPr>
                <w:rStyle w:val="10"/>
                <w:rFonts w:hint="eastAsia"/>
              </w:rPr>
              <w:t>备注：</w:t>
            </w:r>
          </w:p>
        </w:tc>
      </w:tr>
    </w:tbl>
    <w:p w14:paraId="15135CC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C7D467">
        <w:tblPrEx>
          <w:tblCellMar>
            <w:top w:w="0" w:type="dxa"/>
            <w:left w:w="0" w:type="dxa"/>
            <w:bottom w:w="0" w:type="dxa"/>
            <w:right w:w="0" w:type="dxa"/>
          </w:tblCellMar>
        </w:tblPrEx>
        <w:trPr>
          <w:wBefore w:w="0" w:type="auto"/>
          <w:tblCellSpacing w:w="0" w:type="dxa"/>
        </w:trPr>
        <w:tc>
          <w:tcPr>
            <w:tcW w:w="0" w:type="auto"/>
            <w:noWrap w:val="0"/>
            <w:vAlign w:val="center"/>
          </w:tcPr>
          <w:p w14:paraId="10C90E3F">
            <w:r>
              <w:rPr>
                <w:rStyle w:val="10"/>
                <w:rFonts w:hint="eastAsia"/>
              </w:rPr>
              <w:t>登记证号：</w:t>
            </w:r>
            <w:r>
              <w:rPr>
                <w:rFonts w:hint="eastAsia"/>
              </w:rPr>
              <w:t>PD20212427</w:t>
            </w:r>
          </w:p>
        </w:tc>
      </w:tr>
      <w:tr w14:paraId="1E056CF8">
        <w:tblPrEx>
          <w:tblCellMar>
            <w:top w:w="0" w:type="dxa"/>
            <w:left w:w="0" w:type="dxa"/>
            <w:bottom w:w="0" w:type="dxa"/>
            <w:right w:w="0" w:type="dxa"/>
          </w:tblCellMar>
        </w:tblPrEx>
        <w:trPr>
          <w:wBefore w:w="0" w:type="auto"/>
          <w:tblCellSpacing w:w="0" w:type="dxa"/>
        </w:trPr>
        <w:tc>
          <w:tcPr>
            <w:tcW w:w="0" w:type="auto"/>
            <w:noWrap w:val="0"/>
            <w:vAlign w:val="center"/>
          </w:tcPr>
          <w:p w14:paraId="4688A6D6">
            <w:r>
              <w:rPr>
                <w:rStyle w:val="10"/>
                <w:rFonts w:hint="eastAsia"/>
              </w:rPr>
              <w:t>登记证持有人：</w:t>
            </w:r>
            <w:r>
              <w:rPr>
                <w:rFonts w:hint="eastAsia"/>
              </w:rPr>
              <w:t>广西农喜作物科学有限公司</w:t>
            </w:r>
          </w:p>
        </w:tc>
      </w:tr>
      <w:tr w14:paraId="41CAD576">
        <w:tblPrEx>
          <w:tblCellMar>
            <w:top w:w="0" w:type="dxa"/>
            <w:left w:w="0" w:type="dxa"/>
            <w:bottom w:w="0" w:type="dxa"/>
            <w:right w:w="0" w:type="dxa"/>
          </w:tblCellMar>
        </w:tblPrEx>
        <w:trPr>
          <w:wBefore w:w="0" w:type="auto"/>
          <w:tblCellSpacing w:w="0" w:type="dxa"/>
        </w:trPr>
        <w:tc>
          <w:tcPr>
            <w:tcW w:w="0" w:type="auto"/>
            <w:noWrap w:val="0"/>
            <w:vAlign w:val="center"/>
          </w:tcPr>
          <w:p w14:paraId="1816F583">
            <w:r>
              <w:rPr>
                <w:rStyle w:val="10"/>
                <w:rFonts w:hint="eastAsia"/>
              </w:rPr>
              <w:t>农药名称：</w:t>
            </w:r>
            <w:r>
              <w:rPr>
                <w:rFonts w:hint="eastAsia"/>
              </w:rPr>
              <w:t>呋虫·哒螨灵</w:t>
            </w:r>
          </w:p>
        </w:tc>
      </w:tr>
      <w:tr w14:paraId="03EF52E4">
        <w:tblPrEx>
          <w:tblCellMar>
            <w:top w:w="0" w:type="dxa"/>
            <w:left w:w="0" w:type="dxa"/>
            <w:bottom w:w="0" w:type="dxa"/>
            <w:right w:w="0" w:type="dxa"/>
          </w:tblCellMar>
        </w:tblPrEx>
        <w:trPr>
          <w:wBefore w:w="0" w:type="auto"/>
          <w:tblCellSpacing w:w="0" w:type="dxa"/>
        </w:trPr>
        <w:tc>
          <w:tcPr>
            <w:tcW w:w="0" w:type="auto"/>
            <w:noWrap w:val="0"/>
            <w:vAlign w:val="center"/>
          </w:tcPr>
          <w:p w14:paraId="4629E799">
            <w:r>
              <w:rPr>
                <w:rStyle w:val="10"/>
                <w:rFonts w:hint="eastAsia"/>
              </w:rPr>
              <w:t>剂型：</w:t>
            </w:r>
            <w:r>
              <w:rPr>
                <w:rFonts w:hint="eastAsia"/>
              </w:rPr>
              <w:t>水分散粒剂</w:t>
            </w:r>
          </w:p>
        </w:tc>
      </w:tr>
      <w:tr w14:paraId="737832D8">
        <w:tblPrEx>
          <w:tblCellMar>
            <w:top w:w="0" w:type="dxa"/>
            <w:left w:w="0" w:type="dxa"/>
            <w:bottom w:w="0" w:type="dxa"/>
            <w:right w:w="0" w:type="dxa"/>
          </w:tblCellMar>
        </w:tblPrEx>
        <w:trPr>
          <w:wBefore w:w="0" w:type="auto"/>
          <w:tblCellSpacing w:w="0" w:type="dxa"/>
        </w:trPr>
        <w:tc>
          <w:tcPr>
            <w:tcW w:w="0" w:type="auto"/>
            <w:noWrap w:val="0"/>
            <w:vAlign w:val="center"/>
          </w:tcPr>
          <w:p w14:paraId="0976E729">
            <w:r>
              <w:rPr>
                <w:rStyle w:val="10"/>
                <w:rFonts w:hint="eastAsia"/>
              </w:rPr>
              <w:t>毒性及其标识：</w:t>
            </w:r>
            <w:r>
              <w:rPr>
                <w:rFonts w:hint="eastAsia"/>
              </w:rPr>
              <w:t xml:space="preserve"> </w:t>
            </w:r>
            <w:r>
              <w:rPr>
                <w:lang/>
              </w:rPr>
              <w:drawing>
                <wp:inline distT="0" distB="0" distL="114300" distR="114300">
                  <wp:extent cx="476250" cy="323850"/>
                  <wp:effectExtent l="0" t="0" r="0" b="0"/>
                  <wp:docPr id="205" name="图片 2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64A2C3">
        <w:tblPrEx>
          <w:tblCellMar>
            <w:top w:w="0" w:type="dxa"/>
            <w:left w:w="0" w:type="dxa"/>
            <w:bottom w:w="0" w:type="dxa"/>
            <w:right w:w="0" w:type="dxa"/>
          </w:tblCellMar>
        </w:tblPrEx>
        <w:trPr>
          <w:wBefore w:w="0" w:type="auto"/>
          <w:tblCellSpacing w:w="0" w:type="dxa"/>
        </w:trPr>
        <w:tc>
          <w:tcPr>
            <w:tcW w:w="0" w:type="auto"/>
            <w:noWrap w:val="0"/>
            <w:vAlign w:val="center"/>
          </w:tcPr>
          <w:p w14:paraId="49EA72D2">
            <w:r>
              <w:rPr>
                <w:rStyle w:val="10"/>
                <w:rFonts w:hint="eastAsia"/>
              </w:rPr>
              <w:t>总有效成分含量：</w:t>
            </w:r>
            <w:r>
              <w:rPr>
                <w:rFonts w:hint="eastAsia"/>
              </w:rPr>
              <w:t>75%</w:t>
            </w:r>
          </w:p>
        </w:tc>
      </w:tr>
      <w:tr w14:paraId="2327BDA5">
        <w:tblPrEx>
          <w:tblCellMar>
            <w:top w:w="0" w:type="dxa"/>
            <w:left w:w="0" w:type="dxa"/>
            <w:bottom w:w="0" w:type="dxa"/>
            <w:right w:w="0" w:type="dxa"/>
          </w:tblCellMar>
        </w:tblPrEx>
        <w:trPr>
          <w:wBefore w:w="0" w:type="auto"/>
          <w:tblCellSpacing w:w="0" w:type="dxa"/>
        </w:trPr>
        <w:tc>
          <w:tcPr>
            <w:tcW w:w="0" w:type="auto"/>
            <w:noWrap w:val="0"/>
            <w:vAlign w:val="center"/>
          </w:tcPr>
          <w:p w14:paraId="4D03F46E">
            <w:r>
              <w:rPr>
                <w:rFonts w:hint="eastAsia"/>
              </w:rPr>
              <w:t xml:space="preserve">有效成分及其含量： </w:t>
            </w:r>
          </w:p>
          <w:p w14:paraId="669CE1E2">
            <w:r>
              <w:rPr>
                <w:rFonts w:hint="eastAsia"/>
              </w:rPr>
              <w:t xml:space="preserve">    呋虫胺50%    哒螨灵25%    </w:t>
            </w:r>
          </w:p>
        </w:tc>
      </w:tr>
      <w:tr w14:paraId="0754890F">
        <w:tblPrEx>
          <w:tblCellMar>
            <w:top w:w="0" w:type="dxa"/>
            <w:left w:w="0" w:type="dxa"/>
            <w:bottom w:w="0" w:type="dxa"/>
            <w:right w:w="0" w:type="dxa"/>
          </w:tblCellMar>
        </w:tblPrEx>
        <w:trPr>
          <w:wBefore w:w="0" w:type="auto"/>
          <w:tblCellSpacing w:w="0" w:type="dxa"/>
        </w:trPr>
        <w:tc>
          <w:tcPr>
            <w:tcW w:w="0" w:type="auto"/>
            <w:noWrap w:val="0"/>
            <w:vAlign w:val="center"/>
          </w:tcPr>
          <w:p w14:paraId="4D5ECF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7CF4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51E35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C5C61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01222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D140C4">
                  <w:r>
                    <w:rPr>
                      <w:rStyle w:val="11"/>
                      <w:rFonts w:hint="eastAsia"/>
                    </w:rPr>
                    <w:t>施用方式</w:t>
                  </w:r>
                </w:p>
              </w:tc>
            </w:tr>
            <w:tr w14:paraId="7BD166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7F9B6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9DB57A">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2AD41">
                  <w:r>
                    <w:rPr>
                      <w:rStyle w:val="11"/>
                      <w:rFonts w:hint="eastAsia"/>
                    </w:rPr>
                    <w:t>8-10克/亩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B2ADFB">
                  <w:r>
                    <w:rPr>
                      <w:rStyle w:val="11"/>
                      <w:rFonts w:hint="eastAsia"/>
                    </w:rPr>
                    <w:t>喷雾</w:t>
                  </w:r>
                </w:p>
              </w:tc>
            </w:tr>
          </w:tbl>
          <w:p w14:paraId="5AEAE827">
            <w:pPr>
              <w:rPr>
                <w:rFonts w:ascii="Times New Roman" w:hAnsi="Times New Roman" w:cs="Times New Roman"/>
                <w:sz w:val="20"/>
                <w:szCs w:val="20"/>
              </w:rPr>
            </w:pPr>
          </w:p>
        </w:tc>
      </w:tr>
      <w:tr w14:paraId="302396B6">
        <w:tblPrEx>
          <w:tblCellMar>
            <w:top w:w="0" w:type="dxa"/>
            <w:left w:w="0" w:type="dxa"/>
            <w:bottom w:w="0" w:type="dxa"/>
            <w:right w:w="0" w:type="dxa"/>
          </w:tblCellMar>
        </w:tblPrEx>
        <w:trPr>
          <w:wBefore w:w="0" w:type="auto"/>
          <w:tblCellSpacing w:w="0" w:type="dxa"/>
        </w:trPr>
        <w:tc>
          <w:tcPr>
            <w:tcW w:w="0" w:type="auto"/>
            <w:noWrap w:val="0"/>
            <w:vAlign w:val="center"/>
          </w:tcPr>
          <w:p w14:paraId="21DEF652">
            <w:r>
              <w:rPr>
                <w:rStyle w:val="10"/>
                <w:rFonts w:hint="eastAsia"/>
              </w:rPr>
              <w:t>使用技术要求:</w:t>
            </w:r>
            <w:r>
              <w:rPr>
                <w:rFonts w:hint="eastAsia"/>
              </w:rPr>
              <w:br w:type="textWrapping"/>
            </w:r>
            <w:r>
              <w:rPr>
                <w:rStyle w:val="11"/>
                <w:rFonts w:hint="eastAsia"/>
              </w:rPr>
              <w:t>1. 本品应于甘蓝黄条跳甲成虫发生初期喷雾施药，注意喷雾均匀周到，以确保防效。2. 大风天或预计1小时内有雨，请勿施药。3. 每季作物最多使用1次，安全间隔期为7天。</w:t>
            </w:r>
          </w:p>
        </w:tc>
      </w:tr>
      <w:tr w14:paraId="1765E5A8">
        <w:tblPrEx>
          <w:tblCellMar>
            <w:top w:w="0" w:type="dxa"/>
            <w:left w:w="0" w:type="dxa"/>
            <w:bottom w:w="0" w:type="dxa"/>
            <w:right w:w="0" w:type="dxa"/>
          </w:tblCellMar>
        </w:tblPrEx>
        <w:trPr>
          <w:wBefore w:w="0" w:type="auto"/>
          <w:tblCellSpacing w:w="0" w:type="dxa"/>
        </w:trPr>
        <w:tc>
          <w:tcPr>
            <w:tcW w:w="0" w:type="auto"/>
            <w:noWrap w:val="0"/>
            <w:vAlign w:val="center"/>
          </w:tcPr>
          <w:p w14:paraId="67E94541">
            <w:r>
              <w:rPr>
                <w:rStyle w:val="10"/>
                <w:rFonts w:hint="eastAsia"/>
              </w:rPr>
              <w:t>产品性能:</w:t>
            </w:r>
            <w:r>
              <w:rPr>
                <w:rFonts w:hint="eastAsia"/>
              </w:rPr>
              <w:br w:type="textWrapping"/>
            </w:r>
            <w:r>
              <w:rPr>
                <w:rStyle w:val="11"/>
                <w:rFonts w:hint="eastAsia"/>
              </w:rPr>
              <w:t xml:space="preserve">本品由呋虫胺和哒螨灵复配而成，哒螨灵为广谱、触杀性杀螨剂，对螨的整个生长期都有很好的效果，对移动期的成螨同样有明显的作用，在早春或秋季使用，均可达到满意效果；呋虫胺是第三代烟碱类杀虫剂，具有触杀、胃毒作用，能够快速被植物吸收并广泛分布于作物体内，影响昆虫中枢神经系统的突触。按登记剂量使用时，对甘蓝黄条跳甲具有良好的防治效果，且对甘蓝安全。 </w:t>
            </w:r>
          </w:p>
        </w:tc>
      </w:tr>
      <w:tr w14:paraId="3E81E618">
        <w:tblPrEx>
          <w:tblCellMar>
            <w:top w:w="0" w:type="dxa"/>
            <w:left w:w="0" w:type="dxa"/>
            <w:bottom w:w="0" w:type="dxa"/>
            <w:right w:w="0" w:type="dxa"/>
          </w:tblCellMar>
        </w:tblPrEx>
        <w:trPr>
          <w:wBefore w:w="0" w:type="auto"/>
          <w:tblCellSpacing w:w="0" w:type="dxa"/>
        </w:trPr>
        <w:tc>
          <w:tcPr>
            <w:tcW w:w="0" w:type="auto"/>
            <w:noWrap w:val="0"/>
            <w:vAlign w:val="center"/>
          </w:tcPr>
          <w:p w14:paraId="622E0E1C">
            <w:r>
              <w:rPr>
                <w:rStyle w:val="10"/>
                <w:rFonts w:hint="eastAsia"/>
              </w:rPr>
              <w:t>注意事项：</w:t>
            </w:r>
            <w:r>
              <w:rPr>
                <w:rFonts w:hint="eastAsia"/>
              </w:rPr>
              <w:br w:type="textWrapping"/>
            </w:r>
            <w:r>
              <w:rPr>
                <w:rStyle w:val="11"/>
                <w:rFonts w:hint="eastAsia"/>
              </w:rPr>
              <w:t>1.请按照农药安全使用准则使用本品，建议与其他作用机制不同的杀虫剂轮换使用，以延缓抗性产生。2.本品对眼睛、皮肤有刺激性，使用时穿戴长衣、长裤、帽子、口罩、手套等防护措施，避免药液接触皮肤、眼睛和污染衣物，避免吸入。3.使用中不可吸烟、饮水及吃东西，使用后彻底清洗防护用具，及时清洗手、脸等暴露部位的皮肤，并及时更换衣物、清洗工作服等。4.施药时避免对水源、鱼塘的影响，水产养殖区、河塘等水体附近禁用；药后及时清洗药械；禁止在河塘等水体中清洗施药器具；废弃物切勿污染水源或水体。5.鸟类保护区、天敌放飞区及其附近禁用本品。施药时注意对周围蜂群的影响，（周围）开花植物花期禁用，使用时应密切关注对附近蜂群的影响。蚕室和桑园附近禁止施用本品，禁止采摘最外围桑叶饲喂家蚕。6.用过的容器要妥善处理，不可作他用，也不可随意丢弃。7.孕妇及哺乳期妇女禁止接触本品。</w:t>
            </w:r>
          </w:p>
        </w:tc>
      </w:tr>
      <w:tr w14:paraId="7BCFE7C2">
        <w:tblPrEx>
          <w:tblCellMar>
            <w:top w:w="0" w:type="dxa"/>
            <w:left w:w="0" w:type="dxa"/>
            <w:bottom w:w="0" w:type="dxa"/>
            <w:right w:w="0" w:type="dxa"/>
          </w:tblCellMar>
        </w:tblPrEx>
        <w:trPr>
          <w:wBefore w:w="0" w:type="auto"/>
          <w:tblCellSpacing w:w="0" w:type="dxa"/>
        </w:trPr>
        <w:tc>
          <w:tcPr>
            <w:tcW w:w="0" w:type="auto"/>
            <w:noWrap w:val="0"/>
            <w:vAlign w:val="center"/>
          </w:tcPr>
          <w:p w14:paraId="0838B25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肥皂和大量清水冲洗皮肤暴露部位。眼睛溅入：立即翻开眼睑，用清水冲洗至少15分钟，再请医生诊治。吸入：立即将吸入者转移到空气清新处。误服：请勿自行引吐，立即携带农药标签到医院就诊。注意：对昏迷病人，切勿经口喂入任何东西。</w:t>
            </w:r>
          </w:p>
        </w:tc>
      </w:tr>
      <w:tr w14:paraId="4B7355A1">
        <w:tblPrEx>
          <w:tblCellMar>
            <w:top w:w="0" w:type="dxa"/>
            <w:left w:w="0" w:type="dxa"/>
            <w:bottom w:w="0" w:type="dxa"/>
            <w:right w:w="0" w:type="dxa"/>
          </w:tblCellMar>
        </w:tblPrEx>
        <w:trPr>
          <w:wBefore w:w="0" w:type="auto"/>
          <w:tblCellSpacing w:w="0" w:type="dxa"/>
        </w:trPr>
        <w:tc>
          <w:tcPr>
            <w:tcW w:w="0" w:type="auto"/>
            <w:noWrap w:val="0"/>
            <w:vAlign w:val="center"/>
          </w:tcPr>
          <w:p w14:paraId="2B0BC663">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及动物接触不到的地方，并加锁保存。装卸、运输过程中，需专门车辆运输，轻拿轻放，确保包装不泄露、不损坏。勿与食品、饮料、饲料和粮食等其他商品同贮同运。 </w:t>
            </w:r>
          </w:p>
        </w:tc>
      </w:tr>
      <w:tr w14:paraId="5DBF6349">
        <w:tblPrEx>
          <w:tblCellMar>
            <w:top w:w="0" w:type="dxa"/>
            <w:left w:w="0" w:type="dxa"/>
            <w:bottom w:w="0" w:type="dxa"/>
            <w:right w:w="0" w:type="dxa"/>
          </w:tblCellMar>
        </w:tblPrEx>
        <w:trPr>
          <w:wBefore w:w="0" w:type="auto"/>
          <w:tblCellSpacing w:w="0" w:type="dxa"/>
        </w:trPr>
        <w:tc>
          <w:tcPr>
            <w:tcW w:w="0" w:type="auto"/>
            <w:noWrap w:val="0"/>
            <w:vAlign w:val="center"/>
          </w:tcPr>
          <w:p w14:paraId="45BC0284">
            <w:r>
              <w:rPr>
                <w:rStyle w:val="10"/>
                <w:rFonts w:hint="eastAsia"/>
              </w:rPr>
              <w:t>质量保证期：</w:t>
            </w:r>
            <w:r>
              <w:rPr>
                <w:rStyle w:val="11"/>
                <w:rFonts w:hint="eastAsia"/>
              </w:rPr>
              <w:t>2年</w:t>
            </w:r>
          </w:p>
        </w:tc>
      </w:tr>
      <w:tr w14:paraId="31AD7E0A">
        <w:tblPrEx>
          <w:tblCellMar>
            <w:top w:w="0" w:type="dxa"/>
            <w:left w:w="0" w:type="dxa"/>
            <w:bottom w:w="0" w:type="dxa"/>
            <w:right w:w="0" w:type="dxa"/>
          </w:tblCellMar>
        </w:tblPrEx>
        <w:trPr>
          <w:wBefore w:w="0" w:type="auto"/>
          <w:tblCellSpacing w:w="0" w:type="dxa"/>
        </w:trPr>
        <w:tc>
          <w:tcPr>
            <w:tcW w:w="0" w:type="auto"/>
            <w:noWrap w:val="0"/>
            <w:vAlign w:val="center"/>
          </w:tcPr>
          <w:p w14:paraId="0ED27761">
            <w:r>
              <w:rPr>
                <w:rStyle w:val="10"/>
                <w:rFonts w:hint="eastAsia"/>
              </w:rPr>
              <w:t>备注：</w:t>
            </w:r>
          </w:p>
        </w:tc>
      </w:tr>
    </w:tbl>
    <w:p w14:paraId="04F026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3AF779">
        <w:tblPrEx>
          <w:tblCellMar>
            <w:top w:w="0" w:type="dxa"/>
            <w:left w:w="0" w:type="dxa"/>
            <w:bottom w:w="0" w:type="dxa"/>
            <w:right w:w="0" w:type="dxa"/>
          </w:tblCellMar>
        </w:tblPrEx>
        <w:trPr>
          <w:wBefore w:w="0" w:type="auto"/>
          <w:tblCellSpacing w:w="0" w:type="dxa"/>
        </w:trPr>
        <w:tc>
          <w:tcPr>
            <w:tcW w:w="0" w:type="auto"/>
            <w:noWrap w:val="0"/>
            <w:vAlign w:val="center"/>
          </w:tcPr>
          <w:p w14:paraId="41DF481F">
            <w:r>
              <w:rPr>
                <w:rStyle w:val="10"/>
                <w:rFonts w:hint="eastAsia"/>
              </w:rPr>
              <w:t>登记证号：</w:t>
            </w:r>
            <w:r>
              <w:rPr>
                <w:rFonts w:hint="eastAsia"/>
              </w:rPr>
              <w:t>PD20212367</w:t>
            </w:r>
          </w:p>
        </w:tc>
      </w:tr>
      <w:tr w14:paraId="1A7BA123">
        <w:tblPrEx>
          <w:tblCellMar>
            <w:top w:w="0" w:type="dxa"/>
            <w:left w:w="0" w:type="dxa"/>
            <w:bottom w:w="0" w:type="dxa"/>
            <w:right w:w="0" w:type="dxa"/>
          </w:tblCellMar>
        </w:tblPrEx>
        <w:trPr>
          <w:wBefore w:w="0" w:type="auto"/>
          <w:tblCellSpacing w:w="0" w:type="dxa"/>
        </w:trPr>
        <w:tc>
          <w:tcPr>
            <w:tcW w:w="0" w:type="auto"/>
            <w:noWrap w:val="0"/>
            <w:vAlign w:val="center"/>
          </w:tcPr>
          <w:p w14:paraId="69B26A8B">
            <w:r>
              <w:rPr>
                <w:rStyle w:val="10"/>
                <w:rFonts w:hint="eastAsia"/>
              </w:rPr>
              <w:t>登记证持有人：</w:t>
            </w:r>
            <w:r>
              <w:rPr>
                <w:rFonts w:hint="eastAsia"/>
              </w:rPr>
              <w:t>江苏省苏科农化有限责任公司</w:t>
            </w:r>
          </w:p>
        </w:tc>
      </w:tr>
      <w:tr w14:paraId="33D4178D">
        <w:tblPrEx>
          <w:tblCellMar>
            <w:top w:w="0" w:type="dxa"/>
            <w:left w:w="0" w:type="dxa"/>
            <w:bottom w:w="0" w:type="dxa"/>
            <w:right w:w="0" w:type="dxa"/>
          </w:tblCellMar>
        </w:tblPrEx>
        <w:trPr>
          <w:wBefore w:w="0" w:type="auto"/>
          <w:tblCellSpacing w:w="0" w:type="dxa"/>
        </w:trPr>
        <w:tc>
          <w:tcPr>
            <w:tcW w:w="0" w:type="auto"/>
            <w:noWrap w:val="0"/>
            <w:vAlign w:val="center"/>
          </w:tcPr>
          <w:p w14:paraId="7CDBDDB2">
            <w:r>
              <w:rPr>
                <w:rStyle w:val="10"/>
                <w:rFonts w:hint="eastAsia"/>
              </w:rPr>
              <w:t>农药名称：</w:t>
            </w:r>
            <w:r>
              <w:rPr>
                <w:rFonts w:hint="eastAsia"/>
              </w:rPr>
              <w:t>阿维·氰虫</w:t>
            </w:r>
          </w:p>
        </w:tc>
      </w:tr>
      <w:tr w14:paraId="4476141C">
        <w:tblPrEx>
          <w:tblCellMar>
            <w:top w:w="0" w:type="dxa"/>
            <w:left w:w="0" w:type="dxa"/>
            <w:bottom w:w="0" w:type="dxa"/>
            <w:right w:w="0" w:type="dxa"/>
          </w:tblCellMar>
        </w:tblPrEx>
        <w:trPr>
          <w:wBefore w:w="0" w:type="auto"/>
          <w:tblCellSpacing w:w="0" w:type="dxa"/>
        </w:trPr>
        <w:tc>
          <w:tcPr>
            <w:tcW w:w="0" w:type="auto"/>
            <w:noWrap w:val="0"/>
            <w:vAlign w:val="center"/>
          </w:tcPr>
          <w:p w14:paraId="252E2FDE">
            <w:r>
              <w:rPr>
                <w:rStyle w:val="10"/>
                <w:rFonts w:hint="eastAsia"/>
              </w:rPr>
              <w:t>剂型：</w:t>
            </w:r>
            <w:r>
              <w:rPr>
                <w:rFonts w:hint="eastAsia"/>
              </w:rPr>
              <w:t>悬浮剂</w:t>
            </w:r>
          </w:p>
        </w:tc>
      </w:tr>
      <w:tr w14:paraId="4D83D317">
        <w:tblPrEx>
          <w:tblCellMar>
            <w:top w:w="0" w:type="dxa"/>
            <w:left w:w="0" w:type="dxa"/>
            <w:bottom w:w="0" w:type="dxa"/>
            <w:right w:w="0" w:type="dxa"/>
          </w:tblCellMar>
        </w:tblPrEx>
        <w:trPr>
          <w:wBefore w:w="0" w:type="auto"/>
          <w:tblCellSpacing w:w="0" w:type="dxa"/>
        </w:trPr>
        <w:tc>
          <w:tcPr>
            <w:tcW w:w="0" w:type="auto"/>
            <w:noWrap w:val="0"/>
            <w:vAlign w:val="center"/>
          </w:tcPr>
          <w:p w14:paraId="101B90AB">
            <w:r>
              <w:rPr>
                <w:rStyle w:val="10"/>
                <w:rFonts w:hint="eastAsia"/>
              </w:rPr>
              <w:t>毒性及其标识：</w:t>
            </w:r>
            <w:r>
              <w:rPr>
                <w:rFonts w:hint="eastAsia"/>
              </w:rPr>
              <w:t xml:space="preserve"> </w:t>
            </w:r>
            <w:r>
              <w:rPr>
                <w:lang/>
              </w:rPr>
              <w:drawing>
                <wp:inline distT="0" distB="0" distL="114300" distR="114300">
                  <wp:extent cx="476250" cy="323850"/>
                  <wp:effectExtent l="0" t="0" r="0" b="0"/>
                  <wp:docPr id="206" name="图片 206"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354F99A4">
        <w:tblPrEx>
          <w:tblCellMar>
            <w:top w:w="0" w:type="dxa"/>
            <w:left w:w="0" w:type="dxa"/>
            <w:bottom w:w="0" w:type="dxa"/>
            <w:right w:w="0" w:type="dxa"/>
          </w:tblCellMar>
        </w:tblPrEx>
        <w:trPr>
          <w:wBefore w:w="0" w:type="auto"/>
          <w:tblCellSpacing w:w="0" w:type="dxa"/>
        </w:trPr>
        <w:tc>
          <w:tcPr>
            <w:tcW w:w="0" w:type="auto"/>
            <w:noWrap w:val="0"/>
            <w:vAlign w:val="center"/>
          </w:tcPr>
          <w:p w14:paraId="0983348F">
            <w:r>
              <w:rPr>
                <w:rStyle w:val="10"/>
                <w:rFonts w:hint="eastAsia"/>
              </w:rPr>
              <w:t>总有效成分含量：</w:t>
            </w:r>
            <w:r>
              <w:rPr>
                <w:rFonts w:hint="eastAsia"/>
              </w:rPr>
              <w:t>25%</w:t>
            </w:r>
          </w:p>
        </w:tc>
      </w:tr>
      <w:tr w14:paraId="48A299E1">
        <w:tblPrEx>
          <w:tblCellMar>
            <w:top w:w="0" w:type="dxa"/>
            <w:left w:w="0" w:type="dxa"/>
            <w:bottom w:w="0" w:type="dxa"/>
            <w:right w:w="0" w:type="dxa"/>
          </w:tblCellMar>
        </w:tblPrEx>
        <w:trPr>
          <w:wBefore w:w="0" w:type="auto"/>
          <w:tblCellSpacing w:w="0" w:type="dxa"/>
        </w:trPr>
        <w:tc>
          <w:tcPr>
            <w:tcW w:w="0" w:type="auto"/>
            <w:noWrap w:val="0"/>
            <w:vAlign w:val="center"/>
          </w:tcPr>
          <w:p w14:paraId="3C14C91F">
            <w:r>
              <w:rPr>
                <w:rFonts w:hint="eastAsia"/>
              </w:rPr>
              <w:t xml:space="preserve">有效成分及其含量： </w:t>
            </w:r>
          </w:p>
          <w:p w14:paraId="52FEFEAD">
            <w:r>
              <w:rPr>
                <w:rFonts w:hint="eastAsia"/>
              </w:rPr>
              <w:t xml:space="preserve">    氰氟虫腙20%    阿维菌素5%    </w:t>
            </w:r>
          </w:p>
        </w:tc>
      </w:tr>
      <w:tr w14:paraId="29B03F60">
        <w:tblPrEx>
          <w:tblCellMar>
            <w:top w:w="0" w:type="dxa"/>
            <w:left w:w="0" w:type="dxa"/>
            <w:bottom w:w="0" w:type="dxa"/>
            <w:right w:w="0" w:type="dxa"/>
          </w:tblCellMar>
        </w:tblPrEx>
        <w:trPr>
          <w:wBefore w:w="0" w:type="auto"/>
          <w:tblCellSpacing w:w="0" w:type="dxa"/>
        </w:trPr>
        <w:tc>
          <w:tcPr>
            <w:tcW w:w="0" w:type="auto"/>
            <w:noWrap w:val="0"/>
            <w:vAlign w:val="center"/>
          </w:tcPr>
          <w:p w14:paraId="1FE853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1993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FFAB1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84529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0F04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C0DD73">
                  <w:r>
                    <w:rPr>
                      <w:rStyle w:val="11"/>
                      <w:rFonts w:hint="eastAsia"/>
                    </w:rPr>
                    <w:t>施用方式</w:t>
                  </w:r>
                </w:p>
              </w:tc>
            </w:tr>
            <w:tr w14:paraId="0BABD6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0DF91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657CDA">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91E38">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A63800">
                  <w:r>
                    <w:rPr>
                      <w:rStyle w:val="11"/>
                      <w:rFonts w:hint="eastAsia"/>
                    </w:rPr>
                    <w:t>喷雾</w:t>
                  </w:r>
                </w:p>
              </w:tc>
            </w:tr>
            <w:tr w14:paraId="19D1A7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78262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5648FE">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653AC6">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2382D7">
                  <w:r>
                    <w:rPr>
                      <w:rStyle w:val="11"/>
                      <w:rFonts w:hint="eastAsia"/>
                    </w:rPr>
                    <w:t>喷雾</w:t>
                  </w:r>
                </w:p>
              </w:tc>
            </w:tr>
          </w:tbl>
          <w:p w14:paraId="549FE644">
            <w:pPr>
              <w:rPr>
                <w:rFonts w:ascii="Times New Roman" w:hAnsi="Times New Roman" w:cs="Times New Roman"/>
                <w:sz w:val="20"/>
                <w:szCs w:val="20"/>
              </w:rPr>
            </w:pPr>
          </w:p>
        </w:tc>
      </w:tr>
      <w:tr w14:paraId="10165530">
        <w:tblPrEx>
          <w:tblCellMar>
            <w:top w:w="0" w:type="dxa"/>
            <w:left w:w="0" w:type="dxa"/>
            <w:bottom w:w="0" w:type="dxa"/>
            <w:right w:w="0" w:type="dxa"/>
          </w:tblCellMar>
        </w:tblPrEx>
        <w:trPr>
          <w:wBefore w:w="0" w:type="auto"/>
          <w:tblCellSpacing w:w="0" w:type="dxa"/>
        </w:trPr>
        <w:tc>
          <w:tcPr>
            <w:tcW w:w="0" w:type="auto"/>
            <w:noWrap w:val="0"/>
            <w:vAlign w:val="center"/>
          </w:tcPr>
          <w:p w14:paraId="33A7AD40">
            <w:r>
              <w:rPr>
                <w:rStyle w:val="10"/>
                <w:rFonts w:hint="eastAsia"/>
              </w:rPr>
              <w:t>使用技术要求:</w:t>
            </w:r>
            <w:r>
              <w:rPr>
                <w:rFonts w:hint="eastAsia"/>
              </w:rPr>
              <w:br w:type="textWrapping"/>
            </w:r>
            <w:r>
              <w:rPr>
                <w:rStyle w:val="11"/>
                <w:rFonts w:hint="eastAsia"/>
              </w:rPr>
              <w:t>1、本品于水稻稻纵卷叶螟、二化螟低龄若虫发生始盛期施药。2、本品在水稻上使用，每季最多使用1次，安全间隔期为28天。3、大风或预计1小时内降雨天气，请勿施药。</w:t>
            </w:r>
          </w:p>
        </w:tc>
      </w:tr>
      <w:tr w14:paraId="1F7A3731">
        <w:tblPrEx>
          <w:tblCellMar>
            <w:top w:w="0" w:type="dxa"/>
            <w:left w:w="0" w:type="dxa"/>
            <w:bottom w:w="0" w:type="dxa"/>
            <w:right w:w="0" w:type="dxa"/>
          </w:tblCellMar>
        </w:tblPrEx>
        <w:trPr>
          <w:wBefore w:w="0" w:type="auto"/>
          <w:tblCellSpacing w:w="0" w:type="dxa"/>
        </w:trPr>
        <w:tc>
          <w:tcPr>
            <w:tcW w:w="0" w:type="auto"/>
            <w:noWrap w:val="0"/>
            <w:vAlign w:val="center"/>
          </w:tcPr>
          <w:p w14:paraId="2533F160">
            <w:r>
              <w:rPr>
                <w:rStyle w:val="10"/>
                <w:rFonts w:hint="eastAsia"/>
              </w:rPr>
              <w:t>产品性能:</w:t>
            </w:r>
            <w:r>
              <w:rPr>
                <w:rFonts w:hint="eastAsia"/>
              </w:rPr>
              <w:br w:type="textWrapping"/>
            </w:r>
            <w:r>
              <w:rPr>
                <w:rStyle w:val="11"/>
                <w:rFonts w:hint="eastAsia"/>
              </w:rPr>
              <w:t>本品由阿维菌素和氰氟虫腙混配而成，阿维菌素是一种大环内酯双糖类化合物，通过干扰神经生理活动，从而起到杀虫作用。氰氟虫腙通过阻断害虫神经系统钠离子通道，使虫体过度放松、麻痹，直至最终死亡。本品用于防治水稻稻纵卷叶螟、二化螟。</w:t>
            </w:r>
          </w:p>
        </w:tc>
      </w:tr>
      <w:tr w14:paraId="7052C54A">
        <w:tblPrEx>
          <w:tblCellMar>
            <w:top w:w="0" w:type="dxa"/>
            <w:left w:w="0" w:type="dxa"/>
            <w:bottom w:w="0" w:type="dxa"/>
            <w:right w:w="0" w:type="dxa"/>
          </w:tblCellMar>
        </w:tblPrEx>
        <w:trPr>
          <w:wBefore w:w="0" w:type="auto"/>
          <w:tblCellSpacing w:w="0" w:type="dxa"/>
        </w:trPr>
        <w:tc>
          <w:tcPr>
            <w:tcW w:w="0" w:type="auto"/>
            <w:noWrap w:val="0"/>
            <w:vAlign w:val="center"/>
          </w:tcPr>
          <w:p w14:paraId="58E35CCF">
            <w:r>
              <w:rPr>
                <w:rStyle w:val="10"/>
                <w:rFonts w:hint="eastAsia"/>
              </w:rPr>
              <w:t>注意事项：</w:t>
            </w:r>
            <w:r>
              <w:rPr>
                <w:rFonts w:hint="eastAsia"/>
              </w:rPr>
              <w:br w:type="textWrapping"/>
            </w:r>
            <w:r>
              <w:rPr>
                <w:rStyle w:val="11"/>
                <w:rFonts w:hint="eastAsia"/>
              </w:rPr>
              <w:t>1、使用本品时应穿戴长袖衣服、口罩和手套，避免吸入药液，施药期间不能吃东西和饮水，施药后应及时洗手和洗脸。2、本品对水生生物、鸟类、蜜蜂、家蚕、捕食性天敌风险性较高，鱼或虾蟹套养稻田禁用，水产养殖区、河塘附近禁用，施药后的田水不得直接排入水体，鸟类保护区及其附近禁止使用，（周围）开花植物花期禁用，使用时应密切关注对附近蜂群的影响，桑园、蚕室附近禁止使用，捕食性天敌放飞区禁止使用。3、禁止在河塘等水体中清洗施药器具，使用过的容器应妥善处理，不可作为它用，也不可随意丢弃。4、禁止儿童、孕妇和哺乳期妇女接触本品。5、本品与中等氧化剂不具有稳定的化学相容性，避免与中等氧化剂接触.</w:t>
            </w:r>
          </w:p>
        </w:tc>
      </w:tr>
      <w:tr w14:paraId="3B785CB7">
        <w:tblPrEx>
          <w:tblCellMar>
            <w:top w:w="0" w:type="dxa"/>
            <w:left w:w="0" w:type="dxa"/>
            <w:bottom w:w="0" w:type="dxa"/>
            <w:right w:w="0" w:type="dxa"/>
          </w:tblCellMar>
        </w:tblPrEx>
        <w:trPr>
          <w:wBefore w:w="0" w:type="auto"/>
          <w:tblCellSpacing w:w="0" w:type="dxa"/>
        </w:trPr>
        <w:tc>
          <w:tcPr>
            <w:tcW w:w="0" w:type="auto"/>
            <w:noWrap w:val="0"/>
            <w:vAlign w:val="center"/>
          </w:tcPr>
          <w:p w14:paraId="1CF0EBA7">
            <w:r>
              <w:rPr>
                <w:rStyle w:val="10"/>
                <w:rFonts w:hint="eastAsia"/>
              </w:rPr>
              <w:t>中毒急救措施：</w:t>
            </w:r>
            <w:r>
              <w:rPr>
                <w:rFonts w:hint="eastAsia"/>
              </w:rPr>
              <w:br w:type="textWrapping"/>
            </w:r>
            <w:r>
              <w:rPr>
                <w:rStyle w:val="11"/>
                <w:rFonts w:hint="eastAsia"/>
              </w:rPr>
              <w:t>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2DA500F4">
        <w:tblPrEx>
          <w:tblCellMar>
            <w:top w:w="0" w:type="dxa"/>
            <w:left w:w="0" w:type="dxa"/>
            <w:bottom w:w="0" w:type="dxa"/>
            <w:right w:w="0" w:type="dxa"/>
          </w:tblCellMar>
        </w:tblPrEx>
        <w:trPr>
          <w:wBefore w:w="0" w:type="auto"/>
          <w:tblCellSpacing w:w="0" w:type="dxa"/>
        </w:trPr>
        <w:tc>
          <w:tcPr>
            <w:tcW w:w="0" w:type="auto"/>
            <w:noWrap w:val="0"/>
            <w:vAlign w:val="center"/>
          </w:tcPr>
          <w:p w14:paraId="711BCAC4">
            <w:r>
              <w:rPr>
                <w:rStyle w:val="10"/>
                <w:rFonts w:hint="eastAsia"/>
              </w:rPr>
              <w:t>储存和运输方法：</w:t>
            </w:r>
            <w:r>
              <w:rPr>
                <w:rFonts w:hint="eastAsia"/>
              </w:rPr>
              <w:br w:type="textWrapping"/>
            </w:r>
            <w:r>
              <w:rPr>
                <w:rStyle w:val="11"/>
                <w:rFonts w:hint="eastAsia"/>
              </w:rPr>
              <w:t>储存和运输方法： 1、本品应贮存在干燥、阴凉、通风、防雨处，远离火源和热源。2、装卸时工人需要穿戴口罩、手套、胶靴，工作结束后用清水清洗裸露的皮肤。3、置于儿童接触不到的地方，并加锁。4、不能与食品、饮料、粮食、饲料等混合储存、运输。</w:t>
            </w:r>
          </w:p>
        </w:tc>
      </w:tr>
      <w:tr w14:paraId="4A18CFCF">
        <w:tblPrEx>
          <w:tblCellMar>
            <w:top w:w="0" w:type="dxa"/>
            <w:left w:w="0" w:type="dxa"/>
            <w:bottom w:w="0" w:type="dxa"/>
            <w:right w:w="0" w:type="dxa"/>
          </w:tblCellMar>
        </w:tblPrEx>
        <w:trPr>
          <w:wBefore w:w="0" w:type="auto"/>
          <w:tblCellSpacing w:w="0" w:type="dxa"/>
        </w:trPr>
        <w:tc>
          <w:tcPr>
            <w:tcW w:w="0" w:type="auto"/>
            <w:noWrap w:val="0"/>
            <w:vAlign w:val="center"/>
          </w:tcPr>
          <w:p w14:paraId="6F20CF94">
            <w:r>
              <w:rPr>
                <w:rStyle w:val="10"/>
                <w:rFonts w:hint="eastAsia"/>
              </w:rPr>
              <w:t>质量保证期：</w:t>
            </w:r>
            <w:r>
              <w:rPr>
                <w:rStyle w:val="11"/>
                <w:rFonts w:hint="eastAsia"/>
              </w:rPr>
              <w:t>2年</w:t>
            </w:r>
          </w:p>
        </w:tc>
      </w:tr>
      <w:tr w14:paraId="0FBF11AA">
        <w:tblPrEx>
          <w:tblCellMar>
            <w:top w:w="0" w:type="dxa"/>
            <w:left w:w="0" w:type="dxa"/>
            <w:bottom w:w="0" w:type="dxa"/>
            <w:right w:w="0" w:type="dxa"/>
          </w:tblCellMar>
        </w:tblPrEx>
        <w:trPr>
          <w:wBefore w:w="0" w:type="auto"/>
          <w:tblCellSpacing w:w="0" w:type="dxa"/>
        </w:trPr>
        <w:tc>
          <w:tcPr>
            <w:tcW w:w="0" w:type="auto"/>
            <w:noWrap w:val="0"/>
            <w:vAlign w:val="center"/>
          </w:tcPr>
          <w:p w14:paraId="0737231E">
            <w:r>
              <w:rPr>
                <w:rStyle w:val="10"/>
                <w:rFonts w:hint="eastAsia"/>
              </w:rPr>
              <w:t>备注：</w:t>
            </w:r>
          </w:p>
        </w:tc>
      </w:tr>
    </w:tbl>
    <w:p w14:paraId="5C2C8F8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D4C05A">
        <w:tblPrEx>
          <w:tblCellMar>
            <w:top w:w="0" w:type="dxa"/>
            <w:left w:w="0" w:type="dxa"/>
            <w:bottom w:w="0" w:type="dxa"/>
            <w:right w:w="0" w:type="dxa"/>
          </w:tblCellMar>
        </w:tblPrEx>
        <w:trPr>
          <w:wBefore w:w="0" w:type="auto"/>
          <w:tblCellSpacing w:w="0" w:type="dxa"/>
        </w:trPr>
        <w:tc>
          <w:tcPr>
            <w:tcW w:w="0" w:type="auto"/>
            <w:noWrap w:val="0"/>
            <w:vAlign w:val="center"/>
          </w:tcPr>
          <w:p w14:paraId="065D4DBC">
            <w:r>
              <w:rPr>
                <w:rStyle w:val="10"/>
                <w:rFonts w:hint="eastAsia"/>
              </w:rPr>
              <w:t>登记证号：</w:t>
            </w:r>
            <w:r>
              <w:rPr>
                <w:rFonts w:hint="eastAsia"/>
              </w:rPr>
              <w:t>PD20212383</w:t>
            </w:r>
          </w:p>
        </w:tc>
      </w:tr>
      <w:tr w14:paraId="419E0AC7">
        <w:tblPrEx>
          <w:tblCellMar>
            <w:top w:w="0" w:type="dxa"/>
            <w:left w:w="0" w:type="dxa"/>
            <w:bottom w:w="0" w:type="dxa"/>
            <w:right w:w="0" w:type="dxa"/>
          </w:tblCellMar>
        </w:tblPrEx>
        <w:trPr>
          <w:wBefore w:w="0" w:type="auto"/>
          <w:tblCellSpacing w:w="0" w:type="dxa"/>
        </w:trPr>
        <w:tc>
          <w:tcPr>
            <w:tcW w:w="0" w:type="auto"/>
            <w:noWrap w:val="0"/>
            <w:vAlign w:val="center"/>
          </w:tcPr>
          <w:p w14:paraId="54B14377">
            <w:r>
              <w:rPr>
                <w:rStyle w:val="10"/>
                <w:rFonts w:hint="eastAsia"/>
              </w:rPr>
              <w:t>登记证持有人：</w:t>
            </w:r>
            <w:r>
              <w:rPr>
                <w:rFonts w:hint="eastAsia"/>
              </w:rPr>
              <w:t>广西金穗通实业有限公司</w:t>
            </w:r>
          </w:p>
        </w:tc>
      </w:tr>
      <w:tr w14:paraId="19B93A30">
        <w:tblPrEx>
          <w:tblCellMar>
            <w:top w:w="0" w:type="dxa"/>
            <w:left w:w="0" w:type="dxa"/>
            <w:bottom w:w="0" w:type="dxa"/>
            <w:right w:w="0" w:type="dxa"/>
          </w:tblCellMar>
        </w:tblPrEx>
        <w:trPr>
          <w:wBefore w:w="0" w:type="auto"/>
          <w:tblCellSpacing w:w="0" w:type="dxa"/>
        </w:trPr>
        <w:tc>
          <w:tcPr>
            <w:tcW w:w="0" w:type="auto"/>
            <w:noWrap w:val="0"/>
            <w:vAlign w:val="center"/>
          </w:tcPr>
          <w:p w14:paraId="65821441">
            <w:r>
              <w:rPr>
                <w:rStyle w:val="10"/>
                <w:rFonts w:hint="eastAsia"/>
              </w:rPr>
              <w:t>农药名称：</w:t>
            </w:r>
            <w:r>
              <w:rPr>
                <w:rFonts w:hint="eastAsia"/>
              </w:rPr>
              <w:t>杀单·噻虫胺</w:t>
            </w:r>
          </w:p>
        </w:tc>
      </w:tr>
      <w:tr w14:paraId="421FEACE">
        <w:tblPrEx>
          <w:tblCellMar>
            <w:top w:w="0" w:type="dxa"/>
            <w:left w:w="0" w:type="dxa"/>
            <w:bottom w:w="0" w:type="dxa"/>
            <w:right w:w="0" w:type="dxa"/>
          </w:tblCellMar>
        </w:tblPrEx>
        <w:trPr>
          <w:wBefore w:w="0" w:type="auto"/>
          <w:tblCellSpacing w:w="0" w:type="dxa"/>
        </w:trPr>
        <w:tc>
          <w:tcPr>
            <w:tcW w:w="0" w:type="auto"/>
            <w:noWrap w:val="0"/>
            <w:vAlign w:val="center"/>
          </w:tcPr>
          <w:p w14:paraId="7F008620">
            <w:r>
              <w:rPr>
                <w:rStyle w:val="10"/>
                <w:rFonts w:hint="eastAsia"/>
              </w:rPr>
              <w:t>剂型：</w:t>
            </w:r>
            <w:r>
              <w:rPr>
                <w:rFonts w:hint="eastAsia"/>
              </w:rPr>
              <w:t>颗粒剂</w:t>
            </w:r>
          </w:p>
        </w:tc>
      </w:tr>
      <w:tr w14:paraId="1B4074D5">
        <w:tblPrEx>
          <w:tblCellMar>
            <w:top w:w="0" w:type="dxa"/>
            <w:left w:w="0" w:type="dxa"/>
            <w:bottom w:w="0" w:type="dxa"/>
            <w:right w:w="0" w:type="dxa"/>
          </w:tblCellMar>
        </w:tblPrEx>
        <w:trPr>
          <w:wBefore w:w="0" w:type="auto"/>
          <w:tblCellSpacing w:w="0" w:type="dxa"/>
        </w:trPr>
        <w:tc>
          <w:tcPr>
            <w:tcW w:w="0" w:type="auto"/>
            <w:noWrap w:val="0"/>
            <w:vAlign w:val="center"/>
          </w:tcPr>
          <w:p w14:paraId="693D30F4">
            <w:r>
              <w:rPr>
                <w:rStyle w:val="10"/>
                <w:rFonts w:hint="eastAsia"/>
              </w:rPr>
              <w:t>毒性及其标识：</w:t>
            </w:r>
            <w:r>
              <w:rPr>
                <w:rFonts w:hint="eastAsia"/>
              </w:rPr>
              <w:t xml:space="preserve"> </w:t>
            </w:r>
            <w:r>
              <w:rPr>
                <w:lang/>
              </w:rPr>
              <w:drawing>
                <wp:inline distT="0" distB="0" distL="114300" distR="114300">
                  <wp:extent cx="476250" cy="323850"/>
                  <wp:effectExtent l="0" t="0" r="0" b="0"/>
                  <wp:docPr id="207" name="图片 2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14F6D3">
        <w:tblPrEx>
          <w:tblCellMar>
            <w:top w:w="0" w:type="dxa"/>
            <w:left w:w="0" w:type="dxa"/>
            <w:bottom w:w="0" w:type="dxa"/>
            <w:right w:w="0" w:type="dxa"/>
          </w:tblCellMar>
        </w:tblPrEx>
        <w:trPr>
          <w:wBefore w:w="0" w:type="auto"/>
          <w:tblCellSpacing w:w="0" w:type="dxa"/>
        </w:trPr>
        <w:tc>
          <w:tcPr>
            <w:tcW w:w="0" w:type="auto"/>
            <w:noWrap w:val="0"/>
            <w:vAlign w:val="center"/>
          </w:tcPr>
          <w:p w14:paraId="2017B3E9">
            <w:r>
              <w:rPr>
                <w:rStyle w:val="10"/>
                <w:rFonts w:hint="eastAsia"/>
              </w:rPr>
              <w:t>总有效成分含量：</w:t>
            </w:r>
            <w:r>
              <w:rPr>
                <w:rFonts w:hint="eastAsia"/>
              </w:rPr>
              <w:t>0.5%</w:t>
            </w:r>
          </w:p>
        </w:tc>
      </w:tr>
      <w:tr w14:paraId="2DCDE4DC">
        <w:tblPrEx>
          <w:tblCellMar>
            <w:top w:w="0" w:type="dxa"/>
            <w:left w:w="0" w:type="dxa"/>
            <w:bottom w:w="0" w:type="dxa"/>
            <w:right w:w="0" w:type="dxa"/>
          </w:tblCellMar>
        </w:tblPrEx>
        <w:trPr>
          <w:wBefore w:w="0" w:type="auto"/>
          <w:tblCellSpacing w:w="0" w:type="dxa"/>
        </w:trPr>
        <w:tc>
          <w:tcPr>
            <w:tcW w:w="0" w:type="auto"/>
            <w:noWrap w:val="0"/>
            <w:vAlign w:val="center"/>
          </w:tcPr>
          <w:p w14:paraId="2B532D7B">
            <w:r>
              <w:rPr>
                <w:rFonts w:hint="eastAsia"/>
              </w:rPr>
              <w:t xml:space="preserve">有效成分及其含量： </w:t>
            </w:r>
          </w:p>
          <w:p w14:paraId="319E53B4">
            <w:r>
              <w:rPr>
                <w:rFonts w:hint="eastAsia"/>
              </w:rPr>
              <w:t xml:space="preserve">    噻虫胺0.08%    杀虫单0.42%    </w:t>
            </w:r>
          </w:p>
        </w:tc>
      </w:tr>
      <w:tr w14:paraId="2996AACA">
        <w:tblPrEx>
          <w:tblCellMar>
            <w:top w:w="0" w:type="dxa"/>
            <w:left w:w="0" w:type="dxa"/>
            <w:bottom w:w="0" w:type="dxa"/>
            <w:right w:w="0" w:type="dxa"/>
          </w:tblCellMar>
        </w:tblPrEx>
        <w:trPr>
          <w:wBefore w:w="0" w:type="auto"/>
          <w:tblCellSpacing w:w="0" w:type="dxa"/>
        </w:trPr>
        <w:tc>
          <w:tcPr>
            <w:tcW w:w="0" w:type="auto"/>
            <w:noWrap w:val="0"/>
            <w:vAlign w:val="center"/>
          </w:tcPr>
          <w:p w14:paraId="461CAD2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CF52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D6A6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D6060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A830E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3AB4EA">
                  <w:r>
                    <w:rPr>
                      <w:rStyle w:val="11"/>
                      <w:rFonts w:hint="eastAsia"/>
                    </w:rPr>
                    <w:t>施用方式</w:t>
                  </w:r>
                </w:p>
              </w:tc>
            </w:tr>
            <w:tr w14:paraId="0ACA96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7EA9F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84DF01">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DF004E">
                  <w:r>
                    <w:rPr>
                      <w:rStyle w:val="11"/>
                      <w:rFonts w:hint="eastAsia"/>
                    </w:rPr>
                    <w:t>8-10千克/亩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F28C49">
                  <w:r>
                    <w:rPr>
                      <w:rStyle w:val="11"/>
                      <w:rFonts w:hint="eastAsia"/>
                    </w:rPr>
                    <w:t>撒施</w:t>
                  </w:r>
                </w:p>
              </w:tc>
            </w:tr>
            <w:tr w14:paraId="4A4150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5A550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552DAE">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20F23A">
                  <w:r>
                    <w:rPr>
                      <w:rStyle w:val="11"/>
                      <w:rFonts w:hint="eastAsia"/>
                    </w:rPr>
                    <w:t>8-10千克/亩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54339C">
                  <w:r>
                    <w:rPr>
                      <w:rStyle w:val="11"/>
                      <w:rFonts w:hint="eastAsia"/>
                    </w:rPr>
                    <w:t>撒施</w:t>
                  </w:r>
                </w:p>
              </w:tc>
            </w:tr>
          </w:tbl>
          <w:p w14:paraId="008B6F9D">
            <w:pPr>
              <w:rPr>
                <w:rFonts w:ascii="Times New Roman" w:hAnsi="Times New Roman" w:cs="Times New Roman"/>
                <w:sz w:val="20"/>
                <w:szCs w:val="20"/>
              </w:rPr>
            </w:pPr>
          </w:p>
        </w:tc>
      </w:tr>
      <w:tr w14:paraId="665B00DF">
        <w:tblPrEx>
          <w:tblCellMar>
            <w:top w:w="0" w:type="dxa"/>
            <w:left w:w="0" w:type="dxa"/>
            <w:bottom w:w="0" w:type="dxa"/>
            <w:right w:w="0" w:type="dxa"/>
          </w:tblCellMar>
        </w:tblPrEx>
        <w:trPr>
          <w:wBefore w:w="0" w:type="auto"/>
          <w:tblCellSpacing w:w="0" w:type="dxa"/>
        </w:trPr>
        <w:tc>
          <w:tcPr>
            <w:tcW w:w="0" w:type="auto"/>
            <w:noWrap w:val="0"/>
            <w:vAlign w:val="center"/>
          </w:tcPr>
          <w:p w14:paraId="1CD1949F">
            <w:r>
              <w:rPr>
                <w:rStyle w:val="10"/>
                <w:rFonts w:hint="eastAsia"/>
              </w:rPr>
              <w:t>使用技术要求:</w:t>
            </w:r>
            <w:r>
              <w:rPr>
                <w:rFonts w:hint="eastAsia"/>
              </w:rPr>
              <w:br w:type="textWrapping"/>
            </w:r>
            <w:r>
              <w:rPr>
                <w:rStyle w:val="11"/>
                <w:rFonts w:hint="eastAsia"/>
              </w:rPr>
              <w:t>1.于稻飞虱卵孵高峰至低龄若虫期、稻纵卷叶螟卵孵高峰至低龄幼虫期施药，直接撒施。 2.本品在水稻上每季使用1次，安全间隔期21天。</w:t>
            </w:r>
          </w:p>
        </w:tc>
      </w:tr>
      <w:tr w14:paraId="4BB89E2B">
        <w:tblPrEx>
          <w:tblCellMar>
            <w:top w:w="0" w:type="dxa"/>
            <w:left w:w="0" w:type="dxa"/>
            <w:bottom w:w="0" w:type="dxa"/>
            <w:right w:w="0" w:type="dxa"/>
          </w:tblCellMar>
        </w:tblPrEx>
        <w:trPr>
          <w:wBefore w:w="0" w:type="auto"/>
          <w:tblCellSpacing w:w="0" w:type="dxa"/>
        </w:trPr>
        <w:tc>
          <w:tcPr>
            <w:tcW w:w="0" w:type="auto"/>
            <w:noWrap w:val="0"/>
            <w:vAlign w:val="center"/>
          </w:tcPr>
          <w:p w14:paraId="15A7693B">
            <w:r>
              <w:rPr>
                <w:rStyle w:val="10"/>
                <w:rFonts w:hint="eastAsia"/>
              </w:rPr>
              <w:t>产品性能:</w:t>
            </w:r>
            <w:r>
              <w:rPr>
                <w:rFonts w:hint="eastAsia"/>
              </w:rPr>
              <w:br w:type="textWrapping"/>
            </w:r>
            <w:r>
              <w:rPr>
                <w:rStyle w:val="11"/>
                <w:rFonts w:hint="eastAsia"/>
              </w:rPr>
              <w:t>本品由杀虫单和噻虫胺加工而成，具有内吸、触杀和胃毒的作用，施药后可迅速被作物吸收传导，对水稻稻飞虱和稻纵卷叶螟具有较好的防治效果。</w:t>
            </w:r>
          </w:p>
        </w:tc>
      </w:tr>
      <w:tr w14:paraId="6A641FB7">
        <w:tblPrEx>
          <w:tblCellMar>
            <w:top w:w="0" w:type="dxa"/>
            <w:left w:w="0" w:type="dxa"/>
            <w:bottom w:w="0" w:type="dxa"/>
            <w:right w:w="0" w:type="dxa"/>
          </w:tblCellMar>
        </w:tblPrEx>
        <w:trPr>
          <w:wBefore w:w="0" w:type="auto"/>
          <w:tblCellSpacing w:w="0" w:type="dxa"/>
        </w:trPr>
        <w:tc>
          <w:tcPr>
            <w:tcW w:w="0" w:type="auto"/>
            <w:noWrap w:val="0"/>
            <w:vAlign w:val="center"/>
          </w:tcPr>
          <w:p w14:paraId="12D60590">
            <w:r>
              <w:rPr>
                <w:rStyle w:val="10"/>
                <w:rFonts w:hint="eastAsia"/>
              </w:rPr>
              <w:t>注意事项：</w:t>
            </w:r>
            <w:r>
              <w:rPr>
                <w:rFonts w:hint="eastAsia"/>
              </w:rPr>
              <w:br w:type="textWrapping"/>
            </w:r>
            <w:r>
              <w:rPr>
                <w:rStyle w:val="11"/>
                <w:rFonts w:hint="eastAsia"/>
              </w:rPr>
              <w:t>1.不得污染各类水域，勿将药品或空包装弃于水中，水产养殖区、河塘等水体附近禁用，禁止在河塘等水域清洗施药器具，避免影响鱼类和污染水源。 2.鸟类保护区及其邻近地区禁止使用或限制使用。 3.合理安排施药时机。避开鸟类繁殖期或育雏期。 4.农作物花期禁止使用，使用前最好将适用地区附近的开花杂草先行除掉，避免农药使用后残留的农药对蜜蜂产生风险。 5.使用本品时应穿戴长衣、长裤、帽子、口罩、手套等防护措施。施药期间不可吃东西、饮水和吸烟。施药后应及时洗手和洗脸。 6.用过的容器应妥善处理，不可做它用，也不可随意丢弃。 7.孕妇、哺乳期妇女及过敏者应远离本品。</w:t>
            </w:r>
          </w:p>
        </w:tc>
      </w:tr>
      <w:tr w14:paraId="492E1147">
        <w:tblPrEx>
          <w:tblCellMar>
            <w:top w:w="0" w:type="dxa"/>
            <w:left w:w="0" w:type="dxa"/>
            <w:bottom w:w="0" w:type="dxa"/>
            <w:right w:w="0" w:type="dxa"/>
          </w:tblCellMar>
        </w:tblPrEx>
        <w:trPr>
          <w:wBefore w:w="0" w:type="auto"/>
          <w:tblCellSpacing w:w="0" w:type="dxa"/>
        </w:trPr>
        <w:tc>
          <w:tcPr>
            <w:tcW w:w="0" w:type="auto"/>
            <w:noWrap w:val="0"/>
            <w:vAlign w:val="center"/>
          </w:tcPr>
          <w:p w14:paraId="79D11782">
            <w:r>
              <w:rPr>
                <w:rStyle w:val="10"/>
                <w:rFonts w:hint="eastAsia"/>
              </w:rPr>
              <w:t>中毒急救措施：</w:t>
            </w:r>
            <w:r>
              <w:rPr>
                <w:rFonts w:hint="eastAsia"/>
              </w:rPr>
              <w:br w:type="textWrapping"/>
            </w:r>
            <w:r>
              <w:rPr>
                <w:rStyle w:val="11"/>
                <w:rFonts w:hint="eastAsia"/>
              </w:rPr>
              <w:t>中毒症状：头痛、恶心、呕吐、胸闷等。 该产品对眼睛有刺激性，使用时避免接触眼睛。中毒急救：1.皮肤接触：立即脱掉被污染的衣物，用大量清水冲洗被污染的皮肤，再用肥皂清洗，然后用清水冲净。2.眼睛溅药：立即将眼睑翻开，用清水冲洗至少15分钟，再请医生诊治。 3.发生吸入：立即将吸入者转移到空气新鲜处，如果吸入者停止呼吸， 需进行人工呼吸。请医生诊治。 4.误服：请用清水充分漱口后，立即携带标签，送医就诊。5.解毒剂：无专用解毒剂，对症治疗。</w:t>
            </w:r>
          </w:p>
        </w:tc>
      </w:tr>
      <w:tr w14:paraId="39E4F7BA">
        <w:tblPrEx>
          <w:tblCellMar>
            <w:top w:w="0" w:type="dxa"/>
            <w:left w:w="0" w:type="dxa"/>
            <w:bottom w:w="0" w:type="dxa"/>
            <w:right w:w="0" w:type="dxa"/>
          </w:tblCellMar>
        </w:tblPrEx>
        <w:trPr>
          <w:wBefore w:w="0" w:type="auto"/>
          <w:tblCellSpacing w:w="0" w:type="dxa"/>
        </w:trPr>
        <w:tc>
          <w:tcPr>
            <w:tcW w:w="0" w:type="auto"/>
            <w:noWrap w:val="0"/>
            <w:vAlign w:val="center"/>
          </w:tcPr>
          <w:p w14:paraId="1594DC0E">
            <w:r>
              <w:rPr>
                <w:rStyle w:val="10"/>
                <w:rFonts w:hint="eastAsia"/>
              </w:rPr>
              <w:t>储存和运输方法：</w:t>
            </w:r>
            <w:r>
              <w:rPr>
                <w:rFonts w:hint="eastAsia"/>
              </w:rPr>
              <w:br w:type="textWrapping"/>
            </w:r>
            <w:r>
              <w:rPr>
                <w:rStyle w:val="11"/>
                <w:rFonts w:hint="eastAsia"/>
              </w:rPr>
              <w:t>本品应远离火源、热源，贮存于通风、阴凉、干燥，儿童接触不到的地方，并加锁保存，勿与食品、饲料、粮食等混合存放、运输。</w:t>
            </w:r>
          </w:p>
        </w:tc>
      </w:tr>
      <w:tr w14:paraId="1E7D666C">
        <w:tblPrEx>
          <w:tblCellMar>
            <w:top w:w="0" w:type="dxa"/>
            <w:left w:w="0" w:type="dxa"/>
            <w:bottom w:w="0" w:type="dxa"/>
            <w:right w:w="0" w:type="dxa"/>
          </w:tblCellMar>
        </w:tblPrEx>
        <w:trPr>
          <w:wBefore w:w="0" w:type="auto"/>
          <w:tblCellSpacing w:w="0" w:type="dxa"/>
        </w:trPr>
        <w:tc>
          <w:tcPr>
            <w:tcW w:w="0" w:type="auto"/>
            <w:noWrap w:val="0"/>
            <w:vAlign w:val="center"/>
          </w:tcPr>
          <w:p w14:paraId="73593C2F">
            <w:r>
              <w:rPr>
                <w:rStyle w:val="10"/>
                <w:rFonts w:hint="eastAsia"/>
              </w:rPr>
              <w:t>质量保证期：</w:t>
            </w:r>
            <w:r>
              <w:rPr>
                <w:rStyle w:val="11"/>
                <w:rFonts w:hint="eastAsia"/>
              </w:rPr>
              <w:t>2年</w:t>
            </w:r>
          </w:p>
        </w:tc>
      </w:tr>
      <w:tr w14:paraId="0C428698">
        <w:tblPrEx>
          <w:tblCellMar>
            <w:top w:w="0" w:type="dxa"/>
            <w:left w:w="0" w:type="dxa"/>
            <w:bottom w:w="0" w:type="dxa"/>
            <w:right w:w="0" w:type="dxa"/>
          </w:tblCellMar>
        </w:tblPrEx>
        <w:trPr>
          <w:wBefore w:w="0" w:type="auto"/>
          <w:tblCellSpacing w:w="0" w:type="dxa"/>
        </w:trPr>
        <w:tc>
          <w:tcPr>
            <w:tcW w:w="0" w:type="auto"/>
            <w:noWrap w:val="0"/>
            <w:vAlign w:val="center"/>
          </w:tcPr>
          <w:p w14:paraId="2AD14665">
            <w:r>
              <w:rPr>
                <w:rStyle w:val="10"/>
                <w:rFonts w:hint="eastAsia"/>
              </w:rPr>
              <w:t>备注：</w:t>
            </w:r>
          </w:p>
        </w:tc>
      </w:tr>
    </w:tbl>
    <w:p w14:paraId="64DFD70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89CB5D">
        <w:tblPrEx>
          <w:tblCellMar>
            <w:top w:w="0" w:type="dxa"/>
            <w:left w:w="0" w:type="dxa"/>
            <w:bottom w:w="0" w:type="dxa"/>
            <w:right w:w="0" w:type="dxa"/>
          </w:tblCellMar>
        </w:tblPrEx>
        <w:trPr>
          <w:wBefore w:w="0" w:type="auto"/>
          <w:tblCellSpacing w:w="0" w:type="dxa"/>
        </w:trPr>
        <w:tc>
          <w:tcPr>
            <w:tcW w:w="0" w:type="auto"/>
            <w:noWrap w:val="0"/>
            <w:vAlign w:val="center"/>
          </w:tcPr>
          <w:p w14:paraId="4B030AF1">
            <w:r>
              <w:rPr>
                <w:rStyle w:val="10"/>
                <w:rFonts w:hint="eastAsia"/>
              </w:rPr>
              <w:t>登记证号：</w:t>
            </w:r>
            <w:r>
              <w:rPr>
                <w:rFonts w:hint="eastAsia"/>
              </w:rPr>
              <w:t>PD20212464</w:t>
            </w:r>
          </w:p>
        </w:tc>
      </w:tr>
      <w:tr w14:paraId="099BCF93">
        <w:tblPrEx>
          <w:tblCellMar>
            <w:top w:w="0" w:type="dxa"/>
            <w:left w:w="0" w:type="dxa"/>
            <w:bottom w:w="0" w:type="dxa"/>
            <w:right w:w="0" w:type="dxa"/>
          </w:tblCellMar>
        </w:tblPrEx>
        <w:trPr>
          <w:wBefore w:w="0" w:type="auto"/>
          <w:tblCellSpacing w:w="0" w:type="dxa"/>
        </w:trPr>
        <w:tc>
          <w:tcPr>
            <w:tcW w:w="0" w:type="auto"/>
            <w:noWrap w:val="0"/>
            <w:vAlign w:val="center"/>
          </w:tcPr>
          <w:p w14:paraId="596A290D">
            <w:r>
              <w:rPr>
                <w:rStyle w:val="10"/>
                <w:rFonts w:hint="eastAsia"/>
              </w:rPr>
              <w:t>登记证持有人：</w:t>
            </w:r>
            <w:r>
              <w:rPr>
                <w:rFonts w:hint="eastAsia"/>
              </w:rPr>
              <w:t>云南云大科技农化有限公司</w:t>
            </w:r>
          </w:p>
        </w:tc>
      </w:tr>
      <w:tr w14:paraId="59F89D14">
        <w:tblPrEx>
          <w:tblCellMar>
            <w:top w:w="0" w:type="dxa"/>
            <w:left w:w="0" w:type="dxa"/>
            <w:bottom w:w="0" w:type="dxa"/>
            <w:right w:w="0" w:type="dxa"/>
          </w:tblCellMar>
        </w:tblPrEx>
        <w:trPr>
          <w:wBefore w:w="0" w:type="auto"/>
          <w:tblCellSpacing w:w="0" w:type="dxa"/>
        </w:trPr>
        <w:tc>
          <w:tcPr>
            <w:tcW w:w="0" w:type="auto"/>
            <w:noWrap w:val="0"/>
            <w:vAlign w:val="center"/>
          </w:tcPr>
          <w:p w14:paraId="72E0D34C">
            <w:r>
              <w:rPr>
                <w:rStyle w:val="10"/>
                <w:rFonts w:hint="eastAsia"/>
              </w:rPr>
              <w:t>农药名称：</w:t>
            </w:r>
            <w:r>
              <w:rPr>
                <w:rFonts w:hint="eastAsia"/>
              </w:rPr>
              <w:t>噻虫·咯菌腈</w:t>
            </w:r>
          </w:p>
        </w:tc>
      </w:tr>
      <w:tr w14:paraId="3731F18C">
        <w:tblPrEx>
          <w:tblCellMar>
            <w:top w:w="0" w:type="dxa"/>
            <w:left w:w="0" w:type="dxa"/>
            <w:bottom w:w="0" w:type="dxa"/>
            <w:right w:w="0" w:type="dxa"/>
          </w:tblCellMar>
        </w:tblPrEx>
        <w:trPr>
          <w:wBefore w:w="0" w:type="auto"/>
          <w:tblCellSpacing w:w="0" w:type="dxa"/>
        </w:trPr>
        <w:tc>
          <w:tcPr>
            <w:tcW w:w="0" w:type="auto"/>
            <w:noWrap w:val="0"/>
            <w:vAlign w:val="center"/>
          </w:tcPr>
          <w:p w14:paraId="0C85BC61">
            <w:r>
              <w:rPr>
                <w:rStyle w:val="10"/>
                <w:rFonts w:hint="eastAsia"/>
              </w:rPr>
              <w:t>剂型：</w:t>
            </w:r>
            <w:r>
              <w:rPr>
                <w:rFonts w:hint="eastAsia"/>
              </w:rPr>
              <w:t>种子处理悬浮剂</w:t>
            </w:r>
          </w:p>
        </w:tc>
      </w:tr>
      <w:tr w14:paraId="45EA125F">
        <w:tblPrEx>
          <w:tblCellMar>
            <w:top w:w="0" w:type="dxa"/>
            <w:left w:w="0" w:type="dxa"/>
            <w:bottom w:w="0" w:type="dxa"/>
            <w:right w:w="0" w:type="dxa"/>
          </w:tblCellMar>
        </w:tblPrEx>
        <w:trPr>
          <w:wBefore w:w="0" w:type="auto"/>
          <w:tblCellSpacing w:w="0" w:type="dxa"/>
        </w:trPr>
        <w:tc>
          <w:tcPr>
            <w:tcW w:w="0" w:type="auto"/>
            <w:noWrap w:val="0"/>
            <w:vAlign w:val="center"/>
          </w:tcPr>
          <w:p w14:paraId="5406B742">
            <w:r>
              <w:rPr>
                <w:rStyle w:val="10"/>
                <w:rFonts w:hint="eastAsia"/>
              </w:rPr>
              <w:t>毒性及其标识：</w:t>
            </w:r>
            <w:r>
              <w:rPr>
                <w:rFonts w:hint="eastAsia"/>
              </w:rPr>
              <w:t xml:space="preserve"> </w:t>
            </w:r>
            <w:r>
              <w:rPr>
                <w:lang/>
              </w:rPr>
              <w:drawing>
                <wp:inline distT="0" distB="0" distL="114300" distR="114300">
                  <wp:extent cx="476250" cy="323850"/>
                  <wp:effectExtent l="0" t="0" r="0" b="0"/>
                  <wp:docPr id="208" name="图片 2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57C387">
        <w:tblPrEx>
          <w:tblCellMar>
            <w:top w:w="0" w:type="dxa"/>
            <w:left w:w="0" w:type="dxa"/>
            <w:bottom w:w="0" w:type="dxa"/>
            <w:right w:w="0" w:type="dxa"/>
          </w:tblCellMar>
        </w:tblPrEx>
        <w:trPr>
          <w:wBefore w:w="0" w:type="auto"/>
          <w:tblCellSpacing w:w="0" w:type="dxa"/>
        </w:trPr>
        <w:tc>
          <w:tcPr>
            <w:tcW w:w="0" w:type="auto"/>
            <w:noWrap w:val="0"/>
            <w:vAlign w:val="center"/>
          </w:tcPr>
          <w:p w14:paraId="5240FE09">
            <w:r>
              <w:rPr>
                <w:rStyle w:val="10"/>
                <w:rFonts w:hint="eastAsia"/>
              </w:rPr>
              <w:t>总有效成分含量：</w:t>
            </w:r>
            <w:r>
              <w:rPr>
                <w:rFonts w:hint="eastAsia"/>
              </w:rPr>
              <w:t>25%</w:t>
            </w:r>
          </w:p>
        </w:tc>
      </w:tr>
      <w:tr w14:paraId="123BE15B">
        <w:tblPrEx>
          <w:tblCellMar>
            <w:top w:w="0" w:type="dxa"/>
            <w:left w:w="0" w:type="dxa"/>
            <w:bottom w:w="0" w:type="dxa"/>
            <w:right w:w="0" w:type="dxa"/>
          </w:tblCellMar>
        </w:tblPrEx>
        <w:trPr>
          <w:wBefore w:w="0" w:type="auto"/>
          <w:tblCellSpacing w:w="0" w:type="dxa"/>
        </w:trPr>
        <w:tc>
          <w:tcPr>
            <w:tcW w:w="0" w:type="auto"/>
            <w:noWrap w:val="0"/>
            <w:vAlign w:val="center"/>
          </w:tcPr>
          <w:p w14:paraId="5D01802D">
            <w:r>
              <w:rPr>
                <w:rFonts w:hint="eastAsia"/>
              </w:rPr>
              <w:t xml:space="preserve">有效成分及其含量： </w:t>
            </w:r>
          </w:p>
          <w:p w14:paraId="79D89025">
            <w:r>
              <w:rPr>
                <w:rFonts w:hint="eastAsia"/>
              </w:rPr>
              <w:t xml:space="preserve">    噻虫嗪22.5%    咯菌腈2.5%    </w:t>
            </w:r>
          </w:p>
        </w:tc>
      </w:tr>
      <w:tr w14:paraId="7F375AA1">
        <w:tblPrEx>
          <w:tblCellMar>
            <w:top w:w="0" w:type="dxa"/>
            <w:left w:w="0" w:type="dxa"/>
            <w:bottom w:w="0" w:type="dxa"/>
            <w:right w:w="0" w:type="dxa"/>
          </w:tblCellMar>
        </w:tblPrEx>
        <w:trPr>
          <w:wBefore w:w="0" w:type="auto"/>
          <w:tblCellSpacing w:w="0" w:type="dxa"/>
        </w:trPr>
        <w:tc>
          <w:tcPr>
            <w:tcW w:w="0" w:type="auto"/>
            <w:noWrap w:val="0"/>
            <w:vAlign w:val="center"/>
          </w:tcPr>
          <w:p w14:paraId="6EC7DD6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B44C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E52B3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18A6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7EAF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644050">
                  <w:r>
                    <w:rPr>
                      <w:rStyle w:val="11"/>
                      <w:rFonts w:hint="eastAsia"/>
                    </w:rPr>
                    <w:t>施用方式</w:t>
                  </w:r>
                </w:p>
              </w:tc>
            </w:tr>
            <w:tr w14:paraId="71E170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679D48">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0CE816">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BA6DB0">
                  <w:r>
                    <w:rPr>
                      <w:rStyle w:val="11"/>
                      <w:rFonts w:hint="eastAsia"/>
                    </w:rPr>
                    <w:t>650-750毫升/100千克种子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6E721A">
                  <w:r>
                    <w:rPr>
                      <w:rStyle w:val="11"/>
                      <w:rFonts w:hint="eastAsia"/>
                    </w:rPr>
                    <w:t>种子包衣</w:t>
                  </w:r>
                </w:p>
              </w:tc>
            </w:tr>
            <w:tr w14:paraId="700F82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E0670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E0C520">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118E5C">
                  <w:r>
                    <w:rPr>
                      <w:rStyle w:val="11"/>
                      <w:rFonts w:hint="eastAsia"/>
                    </w:rPr>
                    <w:t>650-750毫升/100千克种子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F3C5AE">
                  <w:r>
                    <w:rPr>
                      <w:rStyle w:val="11"/>
                      <w:rFonts w:hint="eastAsia"/>
                    </w:rPr>
                    <w:t>种子包衣</w:t>
                  </w:r>
                </w:p>
              </w:tc>
            </w:tr>
          </w:tbl>
          <w:p w14:paraId="55588B23">
            <w:pPr>
              <w:rPr>
                <w:rFonts w:ascii="Times New Roman" w:hAnsi="Times New Roman" w:cs="Times New Roman"/>
                <w:sz w:val="20"/>
                <w:szCs w:val="20"/>
              </w:rPr>
            </w:pPr>
          </w:p>
        </w:tc>
      </w:tr>
      <w:tr w14:paraId="0084CD7E">
        <w:tblPrEx>
          <w:tblCellMar>
            <w:top w:w="0" w:type="dxa"/>
            <w:left w:w="0" w:type="dxa"/>
            <w:bottom w:w="0" w:type="dxa"/>
            <w:right w:w="0" w:type="dxa"/>
          </w:tblCellMar>
        </w:tblPrEx>
        <w:trPr>
          <w:wBefore w:w="0" w:type="auto"/>
          <w:tblCellSpacing w:w="0" w:type="dxa"/>
        </w:trPr>
        <w:tc>
          <w:tcPr>
            <w:tcW w:w="0" w:type="auto"/>
            <w:noWrap w:val="0"/>
            <w:vAlign w:val="center"/>
          </w:tcPr>
          <w:p w14:paraId="5114B02E">
            <w:r>
              <w:rPr>
                <w:rStyle w:val="10"/>
                <w:rFonts w:hint="eastAsia"/>
              </w:rPr>
              <w:t>使用技术要求:</w:t>
            </w:r>
            <w:r>
              <w:rPr>
                <w:rFonts w:hint="eastAsia"/>
              </w:rPr>
              <w:br w:type="textWrapping"/>
            </w:r>
            <w:r>
              <w:rPr>
                <w:rStyle w:val="11"/>
                <w:rFonts w:hint="eastAsia"/>
              </w:rPr>
              <w:t>1. 于花生播种前种子包衣，防治花生蛴螬和根腐病，按照制剂推荐用量650-750毫升/100千克种子，将药剂用适量清水稀释后与种子混合均匀，花生种子自然晾干后播种。2.本品每季最多使用1次。</w:t>
            </w:r>
          </w:p>
        </w:tc>
      </w:tr>
      <w:tr w14:paraId="1AA0957D">
        <w:tblPrEx>
          <w:tblCellMar>
            <w:top w:w="0" w:type="dxa"/>
            <w:left w:w="0" w:type="dxa"/>
            <w:bottom w:w="0" w:type="dxa"/>
            <w:right w:w="0" w:type="dxa"/>
          </w:tblCellMar>
        </w:tblPrEx>
        <w:trPr>
          <w:wBefore w:w="0" w:type="auto"/>
          <w:tblCellSpacing w:w="0" w:type="dxa"/>
        </w:trPr>
        <w:tc>
          <w:tcPr>
            <w:tcW w:w="0" w:type="auto"/>
            <w:noWrap w:val="0"/>
            <w:vAlign w:val="center"/>
          </w:tcPr>
          <w:p w14:paraId="38D83A6F">
            <w:r>
              <w:rPr>
                <w:rStyle w:val="10"/>
                <w:rFonts w:hint="eastAsia"/>
              </w:rPr>
              <w:t>产品性能:</w:t>
            </w:r>
            <w:r>
              <w:rPr>
                <w:rFonts w:hint="eastAsia"/>
              </w:rPr>
              <w:br w:type="textWrapping"/>
            </w:r>
            <w:r>
              <w:rPr>
                <w:rStyle w:val="11"/>
                <w:rFonts w:hint="eastAsia"/>
              </w:rPr>
              <w:t>本品由噻虫嗪、咯菌腈复配而成。噻虫嗪可选择性抑制昆虫神经系统烟碱乙酰胆碱酯酶受体，进而阻断昆虫中枢神经系统的正常传导，造成害虫出现麻痹而死亡。咯菌腈为非内吸性杀菌剂，能够抑制渗透信号传导过程中的丝裂原活化蛋白激酶活性。三者混配可用于防治花生蛴螬、花生根腐病。</w:t>
            </w:r>
          </w:p>
        </w:tc>
      </w:tr>
      <w:tr w14:paraId="06F9DB71">
        <w:tblPrEx>
          <w:tblCellMar>
            <w:top w:w="0" w:type="dxa"/>
            <w:left w:w="0" w:type="dxa"/>
            <w:bottom w:w="0" w:type="dxa"/>
            <w:right w:w="0" w:type="dxa"/>
          </w:tblCellMar>
        </w:tblPrEx>
        <w:trPr>
          <w:wBefore w:w="0" w:type="auto"/>
          <w:tblCellSpacing w:w="0" w:type="dxa"/>
        </w:trPr>
        <w:tc>
          <w:tcPr>
            <w:tcW w:w="0" w:type="auto"/>
            <w:noWrap w:val="0"/>
            <w:vAlign w:val="center"/>
          </w:tcPr>
          <w:p w14:paraId="04F12BCC">
            <w:r>
              <w:rPr>
                <w:rStyle w:val="10"/>
                <w:rFonts w:hint="eastAsia"/>
              </w:rPr>
              <w:t>注意事项：</w:t>
            </w:r>
            <w:r>
              <w:rPr>
                <w:rFonts w:hint="eastAsia"/>
              </w:rPr>
              <w:br w:type="textWrapping"/>
            </w:r>
            <w:r>
              <w:rPr>
                <w:rStyle w:val="11"/>
                <w:rFonts w:hint="eastAsia"/>
              </w:rPr>
              <w:t>1. 本品对鱼类、水蚤和藻类等水生生物有毒，远离水产养殖区施药，禁止在河塘等水体中清洗施药器具，清洗施药器具的水也不能排入河塘等水体。2. 使用本品应采取相应的安全防护措施，穿戴帽子、口罩、长衣、长裤、手套、鞋等，避免皮肤接触及口鼻吸入。使用中不可吸烟、饮水及吃东西，使用后及时用大量清水和肥皂清洗手、脸等暴露部位皮肤并更换衣物。3. 处理过的种子必须放置在有明显标签的容器内。不得饲喂禽畜，更不得用来加工饲料或食品。4. 本品对鸟类有毒，播种后必须立即覆土，鸟类保护区附近禁用。5. 本品对蜜蜂有毒，（周围）开花植物花期禁用，使用时应密切关注对附近蜂群的影响。6. 用过的容器应妥善处理，不可做他用，也不可随意丢弃。7. 禁止儿童、孕妇及哺乳期的妇女接触。过敏者禁用，使用中有任何不良反应请及时就医。</w:t>
            </w:r>
          </w:p>
        </w:tc>
      </w:tr>
      <w:tr w14:paraId="5C61E4D2">
        <w:tblPrEx>
          <w:tblCellMar>
            <w:top w:w="0" w:type="dxa"/>
            <w:left w:w="0" w:type="dxa"/>
            <w:bottom w:w="0" w:type="dxa"/>
            <w:right w:w="0" w:type="dxa"/>
          </w:tblCellMar>
        </w:tblPrEx>
        <w:trPr>
          <w:wBefore w:w="0" w:type="auto"/>
          <w:tblCellSpacing w:w="0" w:type="dxa"/>
        </w:trPr>
        <w:tc>
          <w:tcPr>
            <w:tcW w:w="0" w:type="auto"/>
            <w:noWrap w:val="0"/>
            <w:vAlign w:val="center"/>
          </w:tcPr>
          <w:p w14:paraId="21CD1331">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皮肤接触：立即脱去污染的衣物，用软布去除沾染农药，用大量清水和肥皂冲洗。眼睛溅入：立即用流动清水冲洗不少于15分钟。吸入：立即离开施药现场，转移到空气清新处。误食：立即停止服用，用清水充分漱口后，携带农药标签到医院就诊。无特效解毒剂，对症治疗。</w:t>
            </w:r>
          </w:p>
        </w:tc>
      </w:tr>
      <w:tr w14:paraId="4FAFC083">
        <w:tblPrEx>
          <w:tblCellMar>
            <w:top w:w="0" w:type="dxa"/>
            <w:left w:w="0" w:type="dxa"/>
            <w:bottom w:w="0" w:type="dxa"/>
            <w:right w:w="0" w:type="dxa"/>
          </w:tblCellMar>
        </w:tblPrEx>
        <w:trPr>
          <w:wBefore w:w="0" w:type="auto"/>
          <w:tblCellSpacing w:w="0" w:type="dxa"/>
        </w:trPr>
        <w:tc>
          <w:tcPr>
            <w:tcW w:w="0" w:type="auto"/>
            <w:noWrap w:val="0"/>
            <w:vAlign w:val="center"/>
          </w:tcPr>
          <w:p w14:paraId="0CC186E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本品应贮存在干燥、阴凉、通风、防雨处，远离火源或热源。置于儿童、无关人员及动物接触不到的地方，并加锁保存。勿与食品、饮料、种子、饲料等同贮同运。避免与氧化剂接触。</w:t>
            </w:r>
          </w:p>
        </w:tc>
      </w:tr>
      <w:tr w14:paraId="499640F9">
        <w:tblPrEx>
          <w:tblCellMar>
            <w:top w:w="0" w:type="dxa"/>
            <w:left w:w="0" w:type="dxa"/>
            <w:bottom w:w="0" w:type="dxa"/>
            <w:right w:w="0" w:type="dxa"/>
          </w:tblCellMar>
        </w:tblPrEx>
        <w:trPr>
          <w:wBefore w:w="0" w:type="auto"/>
          <w:tblCellSpacing w:w="0" w:type="dxa"/>
        </w:trPr>
        <w:tc>
          <w:tcPr>
            <w:tcW w:w="0" w:type="auto"/>
            <w:noWrap w:val="0"/>
            <w:vAlign w:val="center"/>
          </w:tcPr>
          <w:p w14:paraId="2D661776">
            <w:r>
              <w:rPr>
                <w:rStyle w:val="10"/>
                <w:rFonts w:hint="eastAsia"/>
              </w:rPr>
              <w:t>质量保证期：</w:t>
            </w:r>
            <w:r>
              <w:rPr>
                <w:rStyle w:val="11"/>
                <w:rFonts w:hint="eastAsia"/>
              </w:rPr>
              <w:t>2年</w:t>
            </w:r>
          </w:p>
        </w:tc>
      </w:tr>
      <w:tr w14:paraId="3F3E5627">
        <w:tblPrEx>
          <w:tblCellMar>
            <w:top w:w="0" w:type="dxa"/>
            <w:left w:w="0" w:type="dxa"/>
            <w:bottom w:w="0" w:type="dxa"/>
            <w:right w:w="0" w:type="dxa"/>
          </w:tblCellMar>
        </w:tblPrEx>
        <w:trPr>
          <w:wBefore w:w="0" w:type="auto"/>
          <w:tblCellSpacing w:w="0" w:type="dxa"/>
        </w:trPr>
        <w:tc>
          <w:tcPr>
            <w:tcW w:w="0" w:type="auto"/>
            <w:noWrap w:val="0"/>
            <w:vAlign w:val="center"/>
          </w:tcPr>
          <w:p w14:paraId="135EA019">
            <w:r>
              <w:rPr>
                <w:rStyle w:val="10"/>
                <w:rFonts w:hint="eastAsia"/>
              </w:rPr>
              <w:t>备注：</w:t>
            </w:r>
          </w:p>
        </w:tc>
      </w:tr>
    </w:tbl>
    <w:p w14:paraId="43D5932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144E1E">
        <w:tblPrEx>
          <w:tblCellMar>
            <w:top w:w="0" w:type="dxa"/>
            <w:left w:w="0" w:type="dxa"/>
            <w:bottom w:w="0" w:type="dxa"/>
            <w:right w:w="0" w:type="dxa"/>
          </w:tblCellMar>
        </w:tblPrEx>
        <w:trPr>
          <w:wBefore w:w="0" w:type="auto"/>
          <w:tblCellSpacing w:w="0" w:type="dxa"/>
        </w:trPr>
        <w:tc>
          <w:tcPr>
            <w:tcW w:w="0" w:type="auto"/>
            <w:noWrap w:val="0"/>
            <w:vAlign w:val="center"/>
          </w:tcPr>
          <w:p w14:paraId="626D0A06">
            <w:r>
              <w:rPr>
                <w:rStyle w:val="10"/>
                <w:rFonts w:hint="eastAsia"/>
              </w:rPr>
              <w:t>登记证号：</w:t>
            </w:r>
            <w:r>
              <w:rPr>
                <w:rFonts w:hint="eastAsia"/>
              </w:rPr>
              <w:t>PD20212563</w:t>
            </w:r>
          </w:p>
        </w:tc>
      </w:tr>
      <w:tr w14:paraId="744179B0">
        <w:tblPrEx>
          <w:tblCellMar>
            <w:top w:w="0" w:type="dxa"/>
            <w:left w:w="0" w:type="dxa"/>
            <w:bottom w:w="0" w:type="dxa"/>
            <w:right w:w="0" w:type="dxa"/>
          </w:tblCellMar>
        </w:tblPrEx>
        <w:trPr>
          <w:wBefore w:w="0" w:type="auto"/>
          <w:tblCellSpacing w:w="0" w:type="dxa"/>
        </w:trPr>
        <w:tc>
          <w:tcPr>
            <w:tcW w:w="0" w:type="auto"/>
            <w:noWrap w:val="0"/>
            <w:vAlign w:val="center"/>
          </w:tcPr>
          <w:p w14:paraId="571C2DC8">
            <w:r>
              <w:rPr>
                <w:rStyle w:val="10"/>
                <w:rFonts w:hint="eastAsia"/>
              </w:rPr>
              <w:t>登记证持有人：</w:t>
            </w:r>
            <w:r>
              <w:rPr>
                <w:rFonts w:hint="eastAsia"/>
              </w:rPr>
              <w:t>安徽金土地生物科技有限公司</w:t>
            </w:r>
          </w:p>
        </w:tc>
      </w:tr>
      <w:tr w14:paraId="4954832E">
        <w:tblPrEx>
          <w:tblCellMar>
            <w:top w:w="0" w:type="dxa"/>
            <w:left w:w="0" w:type="dxa"/>
            <w:bottom w:w="0" w:type="dxa"/>
            <w:right w:w="0" w:type="dxa"/>
          </w:tblCellMar>
        </w:tblPrEx>
        <w:trPr>
          <w:wBefore w:w="0" w:type="auto"/>
          <w:tblCellSpacing w:w="0" w:type="dxa"/>
        </w:trPr>
        <w:tc>
          <w:tcPr>
            <w:tcW w:w="0" w:type="auto"/>
            <w:noWrap w:val="0"/>
            <w:vAlign w:val="center"/>
          </w:tcPr>
          <w:p w14:paraId="60EA743F">
            <w:r>
              <w:rPr>
                <w:rStyle w:val="10"/>
                <w:rFonts w:hint="eastAsia"/>
              </w:rPr>
              <w:t>农药名称：</w:t>
            </w:r>
            <w:r>
              <w:rPr>
                <w:rFonts w:hint="eastAsia"/>
              </w:rPr>
              <w:t>氟唑磺隆·异丙隆</w:t>
            </w:r>
          </w:p>
        </w:tc>
      </w:tr>
      <w:tr w14:paraId="58D68BCD">
        <w:tblPrEx>
          <w:tblCellMar>
            <w:top w:w="0" w:type="dxa"/>
            <w:left w:w="0" w:type="dxa"/>
            <w:bottom w:w="0" w:type="dxa"/>
            <w:right w:w="0" w:type="dxa"/>
          </w:tblCellMar>
        </w:tblPrEx>
        <w:trPr>
          <w:wBefore w:w="0" w:type="auto"/>
          <w:tblCellSpacing w:w="0" w:type="dxa"/>
        </w:trPr>
        <w:tc>
          <w:tcPr>
            <w:tcW w:w="0" w:type="auto"/>
            <w:noWrap w:val="0"/>
            <w:vAlign w:val="center"/>
          </w:tcPr>
          <w:p w14:paraId="62D207B5">
            <w:r>
              <w:rPr>
                <w:rStyle w:val="10"/>
                <w:rFonts w:hint="eastAsia"/>
              </w:rPr>
              <w:t>剂型：</w:t>
            </w:r>
            <w:r>
              <w:rPr>
                <w:rFonts w:hint="eastAsia"/>
              </w:rPr>
              <w:t>可分散油悬浮剂</w:t>
            </w:r>
          </w:p>
        </w:tc>
      </w:tr>
      <w:tr w14:paraId="1CC3898D">
        <w:tblPrEx>
          <w:tblCellMar>
            <w:top w:w="0" w:type="dxa"/>
            <w:left w:w="0" w:type="dxa"/>
            <w:bottom w:w="0" w:type="dxa"/>
            <w:right w:w="0" w:type="dxa"/>
          </w:tblCellMar>
        </w:tblPrEx>
        <w:trPr>
          <w:wBefore w:w="0" w:type="auto"/>
          <w:tblCellSpacing w:w="0" w:type="dxa"/>
        </w:trPr>
        <w:tc>
          <w:tcPr>
            <w:tcW w:w="0" w:type="auto"/>
            <w:noWrap w:val="0"/>
            <w:vAlign w:val="center"/>
          </w:tcPr>
          <w:p w14:paraId="42C16558">
            <w:r>
              <w:rPr>
                <w:rStyle w:val="10"/>
                <w:rFonts w:hint="eastAsia"/>
              </w:rPr>
              <w:t>毒性及其标识：</w:t>
            </w:r>
            <w:r>
              <w:rPr>
                <w:rFonts w:hint="eastAsia"/>
              </w:rPr>
              <w:t xml:space="preserve"> </w:t>
            </w:r>
            <w:r>
              <w:rPr>
                <w:lang/>
              </w:rPr>
              <w:drawing>
                <wp:inline distT="0" distB="0" distL="114300" distR="114300">
                  <wp:extent cx="476250" cy="323850"/>
                  <wp:effectExtent l="0" t="0" r="0" b="0"/>
                  <wp:docPr id="209" name="图片 2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7B8145">
        <w:tblPrEx>
          <w:tblCellMar>
            <w:top w:w="0" w:type="dxa"/>
            <w:left w:w="0" w:type="dxa"/>
            <w:bottom w:w="0" w:type="dxa"/>
            <w:right w:w="0" w:type="dxa"/>
          </w:tblCellMar>
        </w:tblPrEx>
        <w:trPr>
          <w:wBefore w:w="0" w:type="auto"/>
          <w:tblCellSpacing w:w="0" w:type="dxa"/>
        </w:trPr>
        <w:tc>
          <w:tcPr>
            <w:tcW w:w="0" w:type="auto"/>
            <w:noWrap w:val="0"/>
            <w:vAlign w:val="center"/>
          </w:tcPr>
          <w:p w14:paraId="7F0780A8">
            <w:r>
              <w:rPr>
                <w:rStyle w:val="10"/>
                <w:rFonts w:hint="eastAsia"/>
              </w:rPr>
              <w:t>总有效成分含量：</w:t>
            </w:r>
            <w:r>
              <w:rPr>
                <w:rFonts w:hint="eastAsia"/>
              </w:rPr>
              <w:t>30%</w:t>
            </w:r>
          </w:p>
        </w:tc>
      </w:tr>
      <w:tr w14:paraId="143518B8">
        <w:tblPrEx>
          <w:tblCellMar>
            <w:top w:w="0" w:type="dxa"/>
            <w:left w:w="0" w:type="dxa"/>
            <w:bottom w:w="0" w:type="dxa"/>
            <w:right w:w="0" w:type="dxa"/>
          </w:tblCellMar>
        </w:tblPrEx>
        <w:trPr>
          <w:wBefore w:w="0" w:type="auto"/>
          <w:tblCellSpacing w:w="0" w:type="dxa"/>
        </w:trPr>
        <w:tc>
          <w:tcPr>
            <w:tcW w:w="0" w:type="auto"/>
            <w:noWrap w:val="0"/>
            <w:vAlign w:val="center"/>
          </w:tcPr>
          <w:p w14:paraId="4B5616DB">
            <w:r>
              <w:rPr>
                <w:rFonts w:hint="eastAsia"/>
              </w:rPr>
              <w:t xml:space="preserve">有效成分及其含量： </w:t>
            </w:r>
          </w:p>
          <w:p w14:paraId="27DCDAC9">
            <w:r>
              <w:rPr>
                <w:rFonts w:hint="eastAsia"/>
              </w:rPr>
              <w:t xml:space="preserve">    异丙隆28.5%    氟唑磺隆1.5%    </w:t>
            </w:r>
          </w:p>
        </w:tc>
      </w:tr>
      <w:tr w14:paraId="52E00ED7">
        <w:tblPrEx>
          <w:tblCellMar>
            <w:top w:w="0" w:type="dxa"/>
            <w:left w:w="0" w:type="dxa"/>
            <w:bottom w:w="0" w:type="dxa"/>
            <w:right w:w="0" w:type="dxa"/>
          </w:tblCellMar>
        </w:tblPrEx>
        <w:trPr>
          <w:wBefore w:w="0" w:type="auto"/>
          <w:tblCellSpacing w:w="0" w:type="dxa"/>
        </w:trPr>
        <w:tc>
          <w:tcPr>
            <w:tcW w:w="0" w:type="auto"/>
            <w:noWrap w:val="0"/>
            <w:vAlign w:val="center"/>
          </w:tcPr>
          <w:p w14:paraId="21564BC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0528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4D715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78149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0C109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6271E4">
                  <w:r>
                    <w:rPr>
                      <w:rStyle w:val="11"/>
                      <w:rFonts w:hint="eastAsia"/>
                    </w:rPr>
                    <w:t>施用方式</w:t>
                  </w:r>
                </w:p>
              </w:tc>
            </w:tr>
            <w:tr w14:paraId="0AE699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E35838">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93856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5C2885">
                  <w:r>
                    <w:rPr>
                      <w:rStyle w:val="11"/>
                      <w:rFonts w:hint="eastAsia"/>
                    </w:rPr>
                    <w:t>140-180毫升/亩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5007BC">
                  <w:r>
                    <w:rPr>
                      <w:rStyle w:val="11"/>
                      <w:rFonts w:hint="eastAsia"/>
                    </w:rPr>
                    <w:t>茎叶喷雾</w:t>
                  </w:r>
                </w:p>
              </w:tc>
            </w:tr>
          </w:tbl>
          <w:p w14:paraId="0A61FBDB">
            <w:pPr>
              <w:rPr>
                <w:rFonts w:ascii="Times New Roman" w:hAnsi="Times New Roman" w:cs="Times New Roman"/>
                <w:sz w:val="20"/>
                <w:szCs w:val="20"/>
              </w:rPr>
            </w:pPr>
          </w:p>
        </w:tc>
      </w:tr>
      <w:tr w14:paraId="2C491662">
        <w:tblPrEx>
          <w:tblCellMar>
            <w:top w:w="0" w:type="dxa"/>
            <w:left w:w="0" w:type="dxa"/>
            <w:bottom w:w="0" w:type="dxa"/>
            <w:right w:w="0" w:type="dxa"/>
          </w:tblCellMar>
        </w:tblPrEx>
        <w:trPr>
          <w:wBefore w:w="0" w:type="auto"/>
          <w:tblCellSpacing w:w="0" w:type="dxa"/>
        </w:trPr>
        <w:tc>
          <w:tcPr>
            <w:tcW w:w="0" w:type="auto"/>
            <w:noWrap w:val="0"/>
            <w:vAlign w:val="center"/>
          </w:tcPr>
          <w:p w14:paraId="4EE3659A">
            <w:r>
              <w:rPr>
                <w:rStyle w:val="10"/>
                <w:rFonts w:hint="eastAsia"/>
              </w:rPr>
              <w:t>使用技术要求:</w:t>
            </w:r>
            <w:r>
              <w:rPr>
                <w:rFonts w:hint="eastAsia"/>
              </w:rPr>
              <w:br w:type="textWrapping"/>
            </w:r>
            <w:r>
              <w:rPr>
                <w:rStyle w:val="11"/>
                <w:rFonts w:hint="eastAsia"/>
              </w:rPr>
              <w:t>1、施药时间：小麦3～5叶期，杂草2～5叶期时施药。2、大风天或预计1小时内降雨，请勿施药。3、每季作物使用1次。</w:t>
            </w:r>
          </w:p>
        </w:tc>
      </w:tr>
      <w:tr w14:paraId="5D51A543">
        <w:tblPrEx>
          <w:tblCellMar>
            <w:top w:w="0" w:type="dxa"/>
            <w:left w:w="0" w:type="dxa"/>
            <w:bottom w:w="0" w:type="dxa"/>
            <w:right w:w="0" w:type="dxa"/>
          </w:tblCellMar>
        </w:tblPrEx>
        <w:trPr>
          <w:wBefore w:w="0" w:type="auto"/>
          <w:tblCellSpacing w:w="0" w:type="dxa"/>
        </w:trPr>
        <w:tc>
          <w:tcPr>
            <w:tcW w:w="0" w:type="auto"/>
            <w:noWrap w:val="0"/>
            <w:vAlign w:val="center"/>
          </w:tcPr>
          <w:p w14:paraId="3246E995">
            <w:r>
              <w:rPr>
                <w:rStyle w:val="10"/>
                <w:rFonts w:hint="eastAsia"/>
              </w:rPr>
              <w:t>产品性能:</w:t>
            </w:r>
            <w:r>
              <w:rPr>
                <w:rFonts w:hint="eastAsia"/>
              </w:rPr>
              <w:br w:type="textWrapping"/>
            </w:r>
            <w:r>
              <w:rPr>
                <w:rStyle w:val="11"/>
                <w:rFonts w:hint="eastAsia"/>
              </w:rPr>
              <w:t>本品由异丙隆和氟唑磺隆复配的小麦田除草剂，各有效成分具有不同的杀草机制。异丙隆为取代脲类选择性除草剂。异丙隆为内吸传导型土壤处理剂兼茎叶处理剂。药剂被植物根部吸收后，抑制光合作用，导致杂草枯死。氟唑磺隆是磺酰脲类内吸型高效小麦田除草剂,通过抑制杂草体内乙酰乳酸合成酶的活性，干扰DNA合成及细胞分裂与生长而发挥除草活性。二者混用能够有效防除冬小麦田一年生杂草。</w:t>
            </w:r>
          </w:p>
        </w:tc>
      </w:tr>
      <w:tr w14:paraId="2160DC4D">
        <w:tblPrEx>
          <w:tblCellMar>
            <w:top w:w="0" w:type="dxa"/>
            <w:left w:w="0" w:type="dxa"/>
            <w:bottom w:w="0" w:type="dxa"/>
            <w:right w:w="0" w:type="dxa"/>
          </w:tblCellMar>
        </w:tblPrEx>
        <w:trPr>
          <w:wBefore w:w="0" w:type="auto"/>
          <w:tblCellSpacing w:w="0" w:type="dxa"/>
        </w:trPr>
        <w:tc>
          <w:tcPr>
            <w:tcW w:w="0" w:type="auto"/>
            <w:noWrap w:val="0"/>
            <w:vAlign w:val="center"/>
          </w:tcPr>
          <w:p w14:paraId="72E5D9AC">
            <w:r>
              <w:rPr>
                <w:rStyle w:val="10"/>
                <w:rFonts w:hint="eastAsia"/>
              </w:rPr>
              <w:t>注意事项：</w:t>
            </w:r>
            <w:r>
              <w:rPr>
                <w:rFonts w:hint="eastAsia"/>
              </w:rPr>
              <w:br w:type="textWrapping"/>
            </w:r>
            <w:r>
              <w:rPr>
                <w:rStyle w:val="11"/>
                <w:rFonts w:hint="eastAsia"/>
              </w:rPr>
              <w:t>1.鸟类保护区附近禁用。2.配药时，应戴防渗手套，避免药液接触皮肤、眼睛和污染衣物，避免吸入雾滴；施药时,应穿戴防护服、手套和口罩等；施药期间不可吃东西、抽烟和饮水等；施药后，立即用肥皂洗手和洗脸等。3.水产养殖区、河塘等水体附近禁用，鸟类保护区附近禁用。施药后彻底清洗器械，禁止在河塘等水体中清洗施药器具，清洗器具的废水不能排入河流、池塘等水源。4. 施药后的地块 24小时内禁止放牧和畜禽进入；勿在安全间隔期内进行采收。5.未用完的制剂应放在原包装内密封保存，切勿将本品置于饮、食容器内，使用过的空包装，用清水冲洗后妥善处理，切勿重复使用或改作其它用途。6.建议与其它作用机制的除草剂轮换使用。7. 孕妇及哺乳期妇女及过敏者禁用。</w:t>
            </w:r>
          </w:p>
        </w:tc>
      </w:tr>
      <w:tr w14:paraId="4842F712">
        <w:tblPrEx>
          <w:tblCellMar>
            <w:top w:w="0" w:type="dxa"/>
            <w:left w:w="0" w:type="dxa"/>
            <w:bottom w:w="0" w:type="dxa"/>
            <w:right w:w="0" w:type="dxa"/>
          </w:tblCellMar>
        </w:tblPrEx>
        <w:trPr>
          <w:wBefore w:w="0" w:type="auto"/>
          <w:tblCellSpacing w:w="0" w:type="dxa"/>
        </w:trPr>
        <w:tc>
          <w:tcPr>
            <w:tcW w:w="0" w:type="auto"/>
            <w:noWrap w:val="0"/>
            <w:vAlign w:val="center"/>
          </w:tcPr>
          <w:p w14:paraId="0B60FD20">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572EDB71">
        <w:tblPrEx>
          <w:tblCellMar>
            <w:top w:w="0" w:type="dxa"/>
            <w:left w:w="0" w:type="dxa"/>
            <w:bottom w:w="0" w:type="dxa"/>
            <w:right w:w="0" w:type="dxa"/>
          </w:tblCellMar>
        </w:tblPrEx>
        <w:trPr>
          <w:wBefore w:w="0" w:type="auto"/>
          <w:tblCellSpacing w:w="0" w:type="dxa"/>
        </w:trPr>
        <w:tc>
          <w:tcPr>
            <w:tcW w:w="0" w:type="auto"/>
            <w:noWrap w:val="0"/>
            <w:vAlign w:val="center"/>
          </w:tcPr>
          <w:p w14:paraId="53329B04">
            <w:r>
              <w:rPr>
                <w:rStyle w:val="10"/>
                <w:rFonts w:hint="eastAsia"/>
              </w:rPr>
              <w:t>储存和运输方法：</w:t>
            </w:r>
            <w:r>
              <w:rPr>
                <w:rFonts w:hint="eastAsia"/>
              </w:rPr>
              <w:br w:type="textWrapping"/>
            </w:r>
            <w:r>
              <w:rPr>
                <w:rStyle w:val="11"/>
                <w:rFonts w:hint="eastAsia"/>
              </w:rPr>
              <w:t>1.本品应贮存于通风、干燥、防雨、阴凉处，远离火源或热源置于儿童触及不到之处，并加锁，勿与食品、饮料、饲料、种子等混合储存。2.贮运时，严防潮湿和日晒，避免与皮肤、眼睛接触，防止口鼻吸入。3.运输前先检查包装容器是否完整、密封。运输过程中确保容器不泄漏、不倒塌、不坠落、不损坏。</w:t>
            </w:r>
          </w:p>
        </w:tc>
      </w:tr>
      <w:tr w14:paraId="3865DEAD">
        <w:tblPrEx>
          <w:tblCellMar>
            <w:top w:w="0" w:type="dxa"/>
            <w:left w:w="0" w:type="dxa"/>
            <w:bottom w:w="0" w:type="dxa"/>
            <w:right w:w="0" w:type="dxa"/>
          </w:tblCellMar>
        </w:tblPrEx>
        <w:trPr>
          <w:wBefore w:w="0" w:type="auto"/>
          <w:tblCellSpacing w:w="0" w:type="dxa"/>
        </w:trPr>
        <w:tc>
          <w:tcPr>
            <w:tcW w:w="0" w:type="auto"/>
            <w:noWrap w:val="0"/>
            <w:vAlign w:val="center"/>
          </w:tcPr>
          <w:p w14:paraId="6D9F59C3">
            <w:r>
              <w:rPr>
                <w:rStyle w:val="10"/>
                <w:rFonts w:hint="eastAsia"/>
              </w:rPr>
              <w:t>质量保证期：</w:t>
            </w:r>
            <w:r>
              <w:rPr>
                <w:rStyle w:val="11"/>
                <w:rFonts w:hint="eastAsia"/>
              </w:rPr>
              <w:t>2年</w:t>
            </w:r>
          </w:p>
        </w:tc>
      </w:tr>
      <w:tr w14:paraId="56D2B60E">
        <w:tblPrEx>
          <w:tblCellMar>
            <w:top w:w="0" w:type="dxa"/>
            <w:left w:w="0" w:type="dxa"/>
            <w:bottom w:w="0" w:type="dxa"/>
            <w:right w:w="0" w:type="dxa"/>
          </w:tblCellMar>
        </w:tblPrEx>
        <w:trPr>
          <w:wBefore w:w="0" w:type="auto"/>
          <w:tblCellSpacing w:w="0" w:type="dxa"/>
        </w:trPr>
        <w:tc>
          <w:tcPr>
            <w:tcW w:w="0" w:type="auto"/>
            <w:noWrap w:val="0"/>
            <w:vAlign w:val="center"/>
          </w:tcPr>
          <w:p w14:paraId="4D8F6BBD">
            <w:r>
              <w:rPr>
                <w:rStyle w:val="10"/>
                <w:rFonts w:hint="eastAsia"/>
              </w:rPr>
              <w:t>备注：</w:t>
            </w:r>
          </w:p>
        </w:tc>
      </w:tr>
    </w:tbl>
    <w:p w14:paraId="3891725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89FDEA">
        <w:tblPrEx>
          <w:tblCellMar>
            <w:top w:w="0" w:type="dxa"/>
            <w:left w:w="0" w:type="dxa"/>
            <w:bottom w:w="0" w:type="dxa"/>
            <w:right w:w="0" w:type="dxa"/>
          </w:tblCellMar>
        </w:tblPrEx>
        <w:trPr>
          <w:wBefore w:w="0" w:type="auto"/>
          <w:tblCellSpacing w:w="0" w:type="dxa"/>
        </w:trPr>
        <w:tc>
          <w:tcPr>
            <w:tcW w:w="0" w:type="auto"/>
            <w:noWrap w:val="0"/>
            <w:vAlign w:val="center"/>
          </w:tcPr>
          <w:p w14:paraId="7C429095">
            <w:r>
              <w:rPr>
                <w:rStyle w:val="10"/>
                <w:rFonts w:hint="eastAsia"/>
              </w:rPr>
              <w:t>登记证号：</w:t>
            </w:r>
            <w:r>
              <w:rPr>
                <w:rFonts w:hint="eastAsia"/>
              </w:rPr>
              <w:t>PD20212471</w:t>
            </w:r>
          </w:p>
        </w:tc>
      </w:tr>
      <w:tr w14:paraId="79835B29">
        <w:tblPrEx>
          <w:tblCellMar>
            <w:top w:w="0" w:type="dxa"/>
            <w:left w:w="0" w:type="dxa"/>
            <w:bottom w:w="0" w:type="dxa"/>
            <w:right w:w="0" w:type="dxa"/>
          </w:tblCellMar>
        </w:tblPrEx>
        <w:trPr>
          <w:wBefore w:w="0" w:type="auto"/>
          <w:tblCellSpacing w:w="0" w:type="dxa"/>
        </w:trPr>
        <w:tc>
          <w:tcPr>
            <w:tcW w:w="0" w:type="auto"/>
            <w:noWrap w:val="0"/>
            <w:vAlign w:val="center"/>
          </w:tcPr>
          <w:p w14:paraId="65BE41D3">
            <w:r>
              <w:rPr>
                <w:rStyle w:val="10"/>
                <w:rFonts w:hint="eastAsia"/>
              </w:rPr>
              <w:t>登记证持有人：</w:t>
            </w:r>
            <w:r>
              <w:rPr>
                <w:rFonts w:hint="eastAsia"/>
              </w:rPr>
              <w:t>成都邦农化学有限公司</w:t>
            </w:r>
          </w:p>
        </w:tc>
      </w:tr>
      <w:tr w14:paraId="24081CCA">
        <w:tblPrEx>
          <w:tblCellMar>
            <w:top w:w="0" w:type="dxa"/>
            <w:left w:w="0" w:type="dxa"/>
            <w:bottom w:w="0" w:type="dxa"/>
            <w:right w:w="0" w:type="dxa"/>
          </w:tblCellMar>
        </w:tblPrEx>
        <w:trPr>
          <w:wBefore w:w="0" w:type="auto"/>
          <w:tblCellSpacing w:w="0" w:type="dxa"/>
        </w:trPr>
        <w:tc>
          <w:tcPr>
            <w:tcW w:w="0" w:type="auto"/>
            <w:noWrap w:val="0"/>
            <w:vAlign w:val="center"/>
          </w:tcPr>
          <w:p w14:paraId="6CB98BE9">
            <w:r>
              <w:rPr>
                <w:rStyle w:val="10"/>
                <w:rFonts w:hint="eastAsia"/>
              </w:rPr>
              <w:t>农药名称：</w:t>
            </w:r>
            <w:r>
              <w:rPr>
                <w:rFonts w:hint="eastAsia"/>
              </w:rPr>
              <w:t>氨氯·二氯吡</w:t>
            </w:r>
          </w:p>
        </w:tc>
      </w:tr>
      <w:tr w14:paraId="010142D4">
        <w:tblPrEx>
          <w:tblCellMar>
            <w:top w:w="0" w:type="dxa"/>
            <w:left w:w="0" w:type="dxa"/>
            <w:bottom w:w="0" w:type="dxa"/>
            <w:right w:w="0" w:type="dxa"/>
          </w:tblCellMar>
        </w:tblPrEx>
        <w:trPr>
          <w:wBefore w:w="0" w:type="auto"/>
          <w:tblCellSpacing w:w="0" w:type="dxa"/>
        </w:trPr>
        <w:tc>
          <w:tcPr>
            <w:tcW w:w="0" w:type="auto"/>
            <w:noWrap w:val="0"/>
            <w:vAlign w:val="center"/>
          </w:tcPr>
          <w:p w14:paraId="36C3577E">
            <w:r>
              <w:rPr>
                <w:rStyle w:val="10"/>
                <w:rFonts w:hint="eastAsia"/>
              </w:rPr>
              <w:t>剂型：</w:t>
            </w:r>
            <w:r>
              <w:rPr>
                <w:rFonts w:hint="eastAsia"/>
              </w:rPr>
              <w:t>可溶液剂</w:t>
            </w:r>
          </w:p>
        </w:tc>
      </w:tr>
      <w:tr w14:paraId="552BFBE0">
        <w:tblPrEx>
          <w:tblCellMar>
            <w:top w:w="0" w:type="dxa"/>
            <w:left w:w="0" w:type="dxa"/>
            <w:bottom w:w="0" w:type="dxa"/>
            <w:right w:w="0" w:type="dxa"/>
          </w:tblCellMar>
        </w:tblPrEx>
        <w:trPr>
          <w:wBefore w:w="0" w:type="auto"/>
          <w:tblCellSpacing w:w="0" w:type="dxa"/>
        </w:trPr>
        <w:tc>
          <w:tcPr>
            <w:tcW w:w="0" w:type="auto"/>
            <w:noWrap w:val="0"/>
            <w:vAlign w:val="center"/>
          </w:tcPr>
          <w:p w14:paraId="5241AA2E">
            <w:r>
              <w:rPr>
                <w:rStyle w:val="10"/>
                <w:rFonts w:hint="eastAsia"/>
              </w:rPr>
              <w:t>毒性及其标识：</w:t>
            </w:r>
            <w:r>
              <w:rPr>
                <w:rFonts w:hint="eastAsia"/>
              </w:rPr>
              <w:t xml:space="preserve"> </w:t>
            </w:r>
            <w:r>
              <w:rPr>
                <w:lang/>
              </w:rPr>
              <w:drawing>
                <wp:inline distT="0" distB="0" distL="114300" distR="114300">
                  <wp:extent cx="476250" cy="323850"/>
                  <wp:effectExtent l="0" t="0" r="0" b="0"/>
                  <wp:docPr id="210" name="图片 2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19B796">
        <w:tblPrEx>
          <w:tblCellMar>
            <w:top w:w="0" w:type="dxa"/>
            <w:left w:w="0" w:type="dxa"/>
            <w:bottom w:w="0" w:type="dxa"/>
            <w:right w:w="0" w:type="dxa"/>
          </w:tblCellMar>
        </w:tblPrEx>
        <w:trPr>
          <w:wBefore w:w="0" w:type="auto"/>
          <w:tblCellSpacing w:w="0" w:type="dxa"/>
        </w:trPr>
        <w:tc>
          <w:tcPr>
            <w:tcW w:w="0" w:type="auto"/>
            <w:noWrap w:val="0"/>
            <w:vAlign w:val="center"/>
          </w:tcPr>
          <w:p w14:paraId="0E476BC7">
            <w:r>
              <w:rPr>
                <w:rStyle w:val="10"/>
                <w:rFonts w:hint="eastAsia"/>
              </w:rPr>
              <w:t>总有效成分含量：</w:t>
            </w:r>
            <w:r>
              <w:rPr>
                <w:rFonts w:hint="eastAsia"/>
              </w:rPr>
              <w:t>30%</w:t>
            </w:r>
          </w:p>
        </w:tc>
      </w:tr>
      <w:tr w14:paraId="0F1956DC">
        <w:tblPrEx>
          <w:tblCellMar>
            <w:top w:w="0" w:type="dxa"/>
            <w:left w:w="0" w:type="dxa"/>
            <w:bottom w:w="0" w:type="dxa"/>
            <w:right w:w="0" w:type="dxa"/>
          </w:tblCellMar>
        </w:tblPrEx>
        <w:trPr>
          <w:wBefore w:w="0" w:type="auto"/>
          <w:tblCellSpacing w:w="0" w:type="dxa"/>
        </w:trPr>
        <w:tc>
          <w:tcPr>
            <w:tcW w:w="0" w:type="auto"/>
            <w:noWrap w:val="0"/>
            <w:vAlign w:val="center"/>
          </w:tcPr>
          <w:p w14:paraId="381E4EBD">
            <w:r>
              <w:rPr>
                <w:rFonts w:hint="eastAsia"/>
              </w:rPr>
              <w:t xml:space="preserve">有效成分及其含量： </w:t>
            </w:r>
          </w:p>
          <w:p w14:paraId="3F3F173A">
            <w:r>
              <w:rPr>
                <w:rFonts w:hint="eastAsia"/>
              </w:rPr>
              <w:t xml:space="preserve">    氨氯吡啶酸6%    二氯吡啶酸24%    </w:t>
            </w:r>
          </w:p>
        </w:tc>
      </w:tr>
      <w:tr w14:paraId="29235F9D">
        <w:tblPrEx>
          <w:tblCellMar>
            <w:top w:w="0" w:type="dxa"/>
            <w:left w:w="0" w:type="dxa"/>
            <w:bottom w:w="0" w:type="dxa"/>
            <w:right w:w="0" w:type="dxa"/>
          </w:tblCellMar>
        </w:tblPrEx>
        <w:trPr>
          <w:wBefore w:w="0" w:type="auto"/>
          <w:tblCellSpacing w:w="0" w:type="dxa"/>
        </w:trPr>
        <w:tc>
          <w:tcPr>
            <w:tcW w:w="0" w:type="auto"/>
            <w:noWrap w:val="0"/>
            <w:vAlign w:val="center"/>
          </w:tcPr>
          <w:p w14:paraId="3C8366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2923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E2E0D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22E7A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A4F4B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3A5BCF">
                  <w:r>
                    <w:rPr>
                      <w:rStyle w:val="11"/>
                      <w:rFonts w:hint="eastAsia"/>
                    </w:rPr>
                    <w:t>施用方式</w:t>
                  </w:r>
                </w:p>
              </w:tc>
            </w:tr>
            <w:tr w14:paraId="701D0B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8029EF">
                  <w:r>
                    <w:rPr>
                      <w:rStyle w:val="11"/>
                      <w:rFonts w:hint="eastAsia"/>
                    </w:rPr>
                    <w:t>冬油菜田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419D2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220BB9">
                  <w:r>
                    <w:rPr>
                      <w:rStyle w:val="11"/>
                      <w:rFonts w:hint="eastAsia"/>
                    </w:rPr>
                    <w:t>23-34毫升/亩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66DF9">
                  <w:r>
                    <w:rPr>
                      <w:rStyle w:val="11"/>
                      <w:rFonts w:hint="eastAsia"/>
                    </w:rPr>
                    <w:t>茎叶喷雾</w:t>
                  </w:r>
                </w:p>
              </w:tc>
            </w:tr>
          </w:tbl>
          <w:p w14:paraId="1680AA07">
            <w:pPr>
              <w:rPr>
                <w:rFonts w:ascii="Times New Roman" w:hAnsi="Times New Roman" w:cs="Times New Roman"/>
                <w:sz w:val="20"/>
                <w:szCs w:val="20"/>
              </w:rPr>
            </w:pPr>
          </w:p>
        </w:tc>
      </w:tr>
      <w:tr w14:paraId="1C8005EE">
        <w:tblPrEx>
          <w:tblCellMar>
            <w:top w:w="0" w:type="dxa"/>
            <w:left w:w="0" w:type="dxa"/>
            <w:bottom w:w="0" w:type="dxa"/>
            <w:right w:w="0" w:type="dxa"/>
          </w:tblCellMar>
        </w:tblPrEx>
        <w:trPr>
          <w:wBefore w:w="0" w:type="auto"/>
          <w:tblCellSpacing w:w="0" w:type="dxa"/>
        </w:trPr>
        <w:tc>
          <w:tcPr>
            <w:tcW w:w="0" w:type="auto"/>
            <w:noWrap w:val="0"/>
            <w:vAlign w:val="center"/>
          </w:tcPr>
          <w:p w14:paraId="1FED3B76">
            <w:r>
              <w:rPr>
                <w:rStyle w:val="10"/>
                <w:rFonts w:hint="eastAsia"/>
              </w:rPr>
              <w:t>使用技术要求:</w:t>
            </w:r>
            <w:r>
              <w:rPr>
                <w:rFonts w:hint="eastAsia"/>
              </w:rPr>
              <w:br w:type="textWrapping"/>
            </w:r>
            <w:r>
              <w:rPr>
                <w:rStyle w:val="11"/>
                <w:rFonts w:hint="eastAsia"/>
              </w:rPr>
              <w:t>1. 本品于油菜田阔叶杂草2~5叶期茎叶喷雾施药1次。2. 本品在油菜田上使用，每季最多使用1次，收获期采收。3. 大风或预计1小时内降雨天气，请勿施药。</w:t>
            </w:r>
          </w:p>
        </w:tc>
      </w:tr>
      <w:tr w14:paraId="258EB554">
        <w:tblPrEx>
          <w:tblCellMar>
            <w:top w:w="0" w:type="dxa"/>
            <w:left w:w="0" w:type="dxa"/>
            <w:bottom w:w="0" w:type="dxa"/>
            <w:right w:w="0" w:type="dxa"/>
          </w:tblCellMar>
        </w:tblPrEx>
        <w:trPr>
          <w:wBefore w:w="0" w:type="auto"/>
          <w:tblCellSpacing w:w="0" w:type="dxa"/>
        </w:trPr>
        <w:tc>
          <w:tcPr>
            <w:tcW w:w="0" w:type="auto"/>
            <w:noWrap w:val="0"/>
            <w:vAlign w:val="center"/>
          </w:tcPr>
          <w:p w14:paraId="0A77109E">
            <w:r>
              <w:rPr>
                <w:rStyle w:val="10"/>
                <w:rFonts w:hint="eastAsia"/>
              </w:rPr>
              <w:t>产品性能:</w:t>
            </w:r>
            <w:r>
              <w:rPr>
                <w:rFonts w:hint="eastAsia"/>
              </w:rPr>
              <w:br w:type="textWrapping"/>
            </w:r>
            <w:r>
              <w:rPr>
                <w:rStyle w:val="11"/>
                <w:rFonts w:hint="eastAsia"/>
              </w:rPr>
              <w:t>本品由氨氯吡啶酸和二氯吡啶酸混配而成，氨氯吡啶酸通过抑制线粒体系统呼吸作用、核酸代谢。二氯吡啶酸能够刺激植物的DNA、RNA和蛋白质的合成从而导致细胞分裂的失控和无序生长，导致管束破坏。本品用于防治油菜田一年生阔叶杂草。</w:t>
            </w:r>
          </w:p>
        </w:tc>
      </w:tr>
      <w:tr w14:paraId="036CEE4E">
        <w:tblPrEx>
          <w:tblCellMar>
            <w:top w:w="0" w:type="dxa"/>
            <w:left w:w="0" w:type="dxa"/>
            <w:bottom w:w="0" w:type="dxa"/>
            <w:right w:w="0" w:type="dxa"/>
          </w:tblCellMar>
        </w:tblPrEx>
        <w:trPr>
          <w:wBefore w:w="0" w:type="auto"/>
          <w:tblCellSpacing w:w="0" w:type="dxa"/>
        </w:trPr>
        <w:tc>
          <w:tcPr>
            <w:tcW w:w="0" w:type="auto"/>
            <w:noWrap w:val="0"/>
            <w:vAlign w:val="center"/>
          </w:tcPr>
          <w:p w14:paraId="03A28641">
            <w:r>
              <w:rPr>
                <w:rStyle w:val="10"/>
                <w:rFonts w:hint="eastAsia"/>
              </w:rPr>
              <w:t>注意事项：</w:t>
            </w:r>
            <w:r>
              <w:rPr>
                <w:rFonts w:hint="eastAsia"/>
              </w:rPr>
              <w:br w:type="textWrapping"/>
            </w:r>
            <w:r>
              <w:rPr>
                <w:rStyle w:val="11"/>
                <w:rFonts w:hint="eastAsia"/>
              </w:rPr>
              <w:t>1. 正常推荐剂量下后茬安全种植小麦、大麦、油菜(不可种植芥菜型油菜)、十字花科蔬菜。后茬如果种植大豆、花生等作物需间隔1年；如果种植棉花、向日葵、西瓜、番茄、红豆、绿豆、甘薯需间隔18个月；若种植其他作物，经试验安全后，方可种植。禁止用弥雾机喷洒药液。2. 使用本品时应穿戴长袖衣服、口罩和手套，避免吸入药液，施药期间不能吃东西和饮水，施药后应及时洗手和洗脸。3. 本品对家蚕风险性较高，桑园、蚕室附近禁止使用。4. 禁止在河塘等水体中清洗施药器具，使用过的容器应妥善处理，不可作为他用，也不可随意丢弃。5. 禁止儿童、孕妇和哺乳期妇女接触本品。6. 避免与氧化剂接触。</w:t>
            </w:r>
          </w:p>
        </w:tc>
      </w:tr>
      <w:tr w14:paraId="68498340">
        <w:tblPrEx>
          <w:tblCellMar>
            <w:top w:w="0" w:type="dxa"/>
            <w:left w:w="0" w:type="dxa"/>
            <w:bottom w:w="0" w:type="dxa"/>
            <w:right w:w="0" w:type="dxa"/>
          </w:tblCellMar>
        </w:tblPrEx>
        <w:trPr>
          <w:wBefore w:w="0" w:type="auto"/>
          <w:tblCellSpacing w:w="0" w:type="dxa"/>
        </w:trPr>
        <w:tc>
          <w:tcPr>
            <w:tcW w:w="0" w:type="auto"/>
            <w:noWrap w:val="0"/>
            <w:vAlign w:val="center"/>
          </w:tcPr>
          <w:p w14:paraId="6C6E2A90">
            <w:r>
              <w:rPr>
                <w:rStyle w:val="10"/>
                <w:rFonts w:hint="eastAsia"/>
              </w:rPr>
              <w:t>中毒急救措施：</w:t>
            </w:r>
            <w:r>
              <w:rPr>
                <w:rFonts w:hint="eastAsia"/>
              </w:rPr>
              <w:br w:type="textWrapping"/>
            </w:r>
            <w:r>
              <w:rPr>
                <w:rStyle w:val="11"/>
                <w:rFonts w:hint="eastAsia"/>
              </w:rPr>
              <w:t>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1A9C1D41">
        <w:tblPrEx>
          <w:tblCellMar>
            <w:top w:w="0" w:type="dxa"/>
            <w:left w:w="0" w:type="dxa"/>
            <w:bottom w:w="0" w:type="dxa"/>
            <w:right w:w="0" w:type="dxa"/>
          </w:tblCellMar>
        </w:tblPrEx>
        <w:trPr>
          <w:wBefore w:w="0" w:type="auto"/>
          <w:tblCellSpacing w:w="0" w:type="dxa"/>
        </w:trPr>
        <w:tc>
          <w:tcPr>
            <w:tcW w:w="0" w:type="auto"/>
            <w:noWrap w:val="0"/>
            <w:vAlign w:val="center"/>
          </w:tcPr>
          <w:p w14:paraId="6B29006B">
            <w:r>
              <w:rPr>
                <w:rStyle w:val="10"/>
                <w:rFonts w:hint="eastAsia"/>
              </w:rPr>
              <w:t>储存和运输方法：</w:t>
            </w:r>
            <w:r>
              <w:rPr>
                <w:rFonts w:hint="eastAsia"/>
              </w:rPr>
              <w:br w:type="textWrapping"/>
            </w:r>
            <w:r>
              <w:rPr>
                <w:rStyle w:val="11"/>
                <w:rFonts w:hint="eastAsia"/>
              </w:rPr>
              <w:t>1. 本品对中等氧化剂具有化学不相容性，不能与中等氧化剂同贮同运。2. 本品应贮存在干燥、阴凉、通风、防雨处，远离火源和热源。3. 装卸时工人需要穿戴口罩、手套、胶靴，工作结束后用清水清洗裸露的皮肤。4. 置于儿童、无关人员接触不到的地方，并加锁。不能与食品、饮料、粮食、饲料等混合储存、运输。</w:t>
            </w:r>
          </w:p>
        </w:tc>
      </w:tr>
      <w:tr w14:paraId="32BFE500">
        <w:tblPrEx>
          <w:tblCellMar>
            <w:top w:w="0" w:type="dxa"/>
            <w:left w:w="0" w:type="dxa"/>
            <w:bottom w:w="0" w:type="dxa"/>
            <w:right w:w="0" w:type="dxa"/>
          </w:tblCellMar>
        </w:tblPrEx>
        <w:trPr>
          <w:wBefore w:w="0" w:type="auto"/>
          <w:tblCellSpacing w:w="0" w:type="dxa"/>
        </w:trPr>
        <w:tc>
          <w:tcPr>
            <w:tcW w:w="0" w:type="auto"/>
            <w:noWrap w:val="0"/>
            <w:vAlign w:val="center"/>
          </w:tcPr>
          <w:p w14:paraId="64C48E8D">
            <w:r>
              <w:rPr>
                <w:rStyle w:val="10"/>
                <w:rFonts w:hint="eastAsia"/>
              </w:rPr>
              <w:t>质量保证期：</w:t>
            </w:r>
            <w:r>
              <w:rPr>
                <w:rStyle w:val="11"/>
                <w:rFonts w:hint="eastAsia"/>
              </w:rPr>
              <w:t>2年</w:t>
            </w:r>
          </w:p>
        </w:tc>
      </w:tr>
      <w:tr w14:paraId="09B3BAA1">
        <w:tblPrEx>
          <w:tblCellMar>
            <w:top w:w="0" w:type="dxa"/>
            <w:left w:w="0" w:type="dxa"/>
            <w:bottom w:w="0" w:type="dxa"/>
            <w:right w:w="0" w:type="dxa"/>
          </w:tblCellMar>
        </w:tblPrEx>
        <w:trPr>
          <w:wBefore w:w="0" w:type="auto"/>
          <w:tblCellSpacing w:w="0" w:type="dxa"/>
        </w:trPr>
        <w:tc>
          <w:tcPr>
            <w:tcW w:w="0" w:type="auto"/>
            <w:noWrap w:val="0"/>
            <w:vAlign w:val="center"/>
          </w:tcPr>
          <w:p w14:paraId="1039FBD2">
            <w:r>
              <w:rPr>
                <w:rStyle w:val="10"/>
                <w:rFonts w:hint="eastAsia"/>
              </w:rPr>
              <w:t>备注：</w:t>
            </w:r>
          </w:p>
        </w:tc>
      </w:tr>
    </w:tbl>
    <w:p w14:paraId="577C47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67EC8C">
        <w:tblPrEx>
          <w:tblCellMar>
            <w:top w:w="0" w:type="dxa"/>
            <w:left w:w="0" w:type="dxa"/>
            <w:bottom w:w="0" w:type="dxa"/>
            <w:right w:w="0" w:type="dxa"/>
          </w:tblCellMar>
        </w:tblPrEx>
        <w:trPr>
          <w:wBefore w:w="0" w:type="auto"/>
          <w:tblCellSpacing w:w="0" w:type="dxa"/>
        </w:trPr>
        <w:tc>
          <w:tcPr>
            <w:tcW w:w="0" w:type="auto"/>
            <w:noWrap w:val="0"/>
            <w:vAlign w:val="center"/>
          </w:tcPr>
          <w:p w14:paraId="5BA5945A">
            <w:r>
              <w:rPr>
                <w:rStyle w:val="10"/>
                <w:rFonts w:hint="eastAsia"/>
              </w:rPr>
              <w:t>登记证号：</w:t>
            </w:r>
            <w:r>
              <w:rPr>
                <w:rFonts w:hint="eastAsia"/>
              </w:rPr>
              <w:t>PD20212671</w:t>
            </w:r>
          </w:p>
        </w:tc>
      </w:tr>
      <w:tr w14:paraId="0E1B59B5">
        <w:tblPrEx>
          <w:tblCellMar>
            <w:top w:w="0" w:type="dxa"/>
            <w:left w:w="0" w:type="dxa"/>
            <w:bottom w:w="0" w:type="dxa"/>
            <w:right w:w="0" w:type="dxa"/>
          </w:tblCellMar>
        </w:tblPrEx>
        <w:trPr>
          <w:wBefore w:w="0" w:type="auto"/>
          <w:tblCellSpacing w:w="0" w:type="dxa"/>
        </w:trPr>
        <w:tc>
          <w:tcPr>
            <w:tcW w:w="0" w:type="auto"/>
            <w:noWrap w:val="0"/>
            <w:vAlign w:val="center"/>
          </w:tcPr>
          <w:p w14:paraId="447458BA">
            <w:r>
              <w:rPr>
                <w:rStyle w:val="10"/>
                <w:rFonts w:hint="eastAsia"/>
              </w:rPr>
              <w:t>登记证持有人：</w:t>
            </w:r>
            <w:r>
              <w:rPr>
                <w:rFonts w:hint="eastAsia"/>
              </w:rPr>
              <w:t>山东省绿士农药有限公司</w:t>
            </w:r>
          </w:p>
        </w:tc>
      </w:tr>
      <w:tr w14:paraId="04479736">
        <w:tblPrEx>
          <w:tblCellMar>
            <w:top w:w="0" w:type="dxa"/>
            <w:left w:w="0" w:type="dxa"/>
            <w:bottom w:w="0" w:type="dxa"/>
            <w:right w:w="0" w:type="dxa"/>
          </w:tblCellMar>
        </w:tblPrEx>
        <w:trPr>
          <w:wBefore w:w="0" w:type="auto"/>
          <w:tblCellSpacing w:w="0" w:type="dxa"/>
        </w:trPr>
        <w:tc>
          <w:tcPr>
            <w:tcW w:w="0" w:type="auto"/>
            <w:noWrap w:val="0"/>
            <w:vAlign w:val="center"/>
          </w:tcPr>
          <w:p w14:paraId="0C34CF20">
            <w:r>
              <w:rPr>
                <w:rStyle w:val="10"/>
                <w:rFonts w:hint="eastAsia"/>
              </w:rPr>
              <w:t>农药名称：</w:t>
            </w:r>
            <w:r>
              <w:rPr>
                <w:rFonts w:hint="eastAsia"/>
              </w:rPr>
              <w:t>松脂酸铜</w:t>
            </w:r>
          </w:p>
        </w:tc>
      </w:tr>
      <w:tr w14:paraId="61A86312">
        <w:tblPrEx>
          <w:tblCellMar>
            <w:top w:w="0" w:type="dxa"/>
            <w:left w:w="0" w:type="dxa"/>
            <w:bottom w:w="0" w:type="dxa"/>
            <w:right w:w="0" w:type="dxa"/>
          </w:tblCellMar>
        </w:tblPrEx>
        <w:trPr>
          <w:wBefore w:w="0" w:type="auto"/>
          <w:tblCellSpacing w:w="0" w:type="dxa"/>
        </w:trPr>
        <w:tc>
          <w:tcPr>
            <w:tcW w:w="0" w:type="auto"/>
            <w:noWrap w:val="0"/>
            <w:vAlign w:val="center"/>
          </w:tcPr>
          <w:p w14:paraId="0C298DA9">
            <w:r>
              <w:rPr>
                <w:rStyle w:val="10"/>
                <w:rFonts w:hint="eastAsia"/>
              </w:rPr>
              <w:t>剂型：</w:t>
            </w:r>
            <w:r>
              <w:rPr>
                <w:rFonts w:hint="eastAsia"/>
              </w:rPr>
              <w:t>水乳剂</w:t>
            </w:r>
          </w:p>
        </w:tc>
      </w:tr>
      <w:tr w14:paraId="458163BE">
        <w:tblPrEx>
          <w:tblCellMar>
            <w:top w:w="0" w:type="dxa"/>
            <w:left w:w="0" w:type="dxa"/>
            <w:bottom w:w="0" w:type="dxa"/>
            <w:right w:w="0" w:type="dxa"/>
          </w:tblCellMar>
        </w:tblPrEx>
        <w:trPr>
          <w:wBefore w:w="0" w:type="auto"/>
          <w:tblCellSpacing w:w="0" w:type="dxa"/>
        </w:trPr>
        <w:tc>
          <w:tcPr>
            <w:tcW w:w="0" w:type="auto"/>
            <w:noWrap w:val="0"/>
            <w:vAlign w:val="center"/>
          </w:tcPr>
          <w:p w14:paraId="64CECD16">
            <w:r>
              <w:rPr>
                <w:rStyle w:val="10"/>
                <w:rFonts w:hint="eastAsia"/>
              </w:rPr>
              <w:t>毒性及其标识：</w:t>
            </w:r>
            <w:r>
              <w:rPr>
                <w:rFonts w:hint="eastAsia"/>
              </w:rPr>
              <w:t xml:space="preserve"> 微毒 </w:t>
            </w:r>
          </w:p>
        </w:tc>
      </w:tr>
      <w:tr w14:paraId="157F0D55">
        <w:tblPrEx>
          <w:tblCellMar>
            <w:top w:w="0" w:type="dxa"/>
            <w:left w:w="0" w:type="dxa"/>
            <w:bottom w:w="0" w:type="dxa"/>
            <w:right w:w="0" w:type="dxa"/>
          </w:tblCellMar>
        </w:tblPrEx>
        <w:trPr>
          <w:wBefore w:w="0" w:type="auto"/>
          <w:tblCellSpacing w:w="0" w:type="dxa"/>
        </w:trPr>
        <w:tc>
          <w:tcPr>
            <w:tcW w:w="0" w:type="auto"/>
            <w:noWrap w:val="0"/>
            <w:vAlign w:val="center"/>
          </w:tcPr>
          <w:p w14:paraId="0FB92FE8">
            <w:r>
              <w:rPr>
                <w:rStyle w:val="10"/>
                <w:rFonts w:hint="eastAsia"/>
              </w:rPr>
              <w:t>总有效成分含量：</w:t>
            </w:r>
            <w:r>
              <w:rPr>
                <w:rFonts w:hint="eastAsia"/>
              </w:rPr>
              <w:t>20%</w:t>
            </w:r>
          </w:p>
        </w:tc>
      </w:tr>
      <w:tr w14:paraId="1E3A83AA">
        <w:tblPrEx>
          <w:tblCellMar>
            <w:top w:w="0" w:type="dxa"/>
            <w:left w:w="0" w:type="dxa"/>
            <w:bottom w:w="0" w:type="dxa"/>
            <w:right w:w="0" w:type="dxa"/>
          </w:tblCellMar>
        </w:tblPrEx>
        <w:trPr>
          <w:wBefore w:w="0" w:type="auto"/>
          <w:tblCellSpacing w:w="0" w:type="dxa"/>
        </w:trPr>
        <w:tc>
          <w:tcPr>
            <w:tcW w:w="0" w:type="auto"/>
            <w:noWrap w:val="0"/>
            <w:vAlign w:val="center"/>
          </w:tcPr>
          <w:p w14:paraId="1DCF65A2">
            <w:r>
              <w:rPr>
                <w:rFonts w:hint="eastAsia"/>
              </w:rPr>
              <w:t xml:space="preserve">有效成分及其含量： </w:t>
            </w:r>
          </w:p>
          <w:p w14:paraId="7ACDB1E7">
            <w:r>
              <w:rPr>
                <w:rFonts w:hint="eastAsia"/>
              </w:rPr>
              <w:t xml:space="preserve">    松脂酸铜20%    </w:t>
            </w:r>
          </w:p>
        </w:tc>
      </w:tr>
      <w:tr w14:paraId="00CFCF39">
        <w:tblPrEx>
          <w:tblCellMar>
            <w:top w:w="0" w:type="dxa"/>
            <w:left w:w="0" w:type="dxa"/>
            <w:bottom w:w="0" w:type="dxa"/>
            <w:right w:w="0" w:type="dxa"/>
          </w:tblCellMar>
        </w:tblPrEx>
        <w:trPr>
          <w:wBefore w:w="0" w:type="auto"/>
          <w:tblCellSpacing w:w="0" w:type="dxa"/>
        </w:trPr>
        <w:tc>
          <w:tcPr>
            <w:tcW w:w="0" w:type="auto"/>
            <w:noWrap w:val="0"/>
            <w:vAlign w:val="center"/>
          </w:tcPr>
          <w:p w14:paraId="20DD53D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133A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D508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58A5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CF88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6EA3F8">
                  <w:r>
                    <w:rPr>
                      <w:rStyle w:val="11"/>
                      <w:rFonts w:hint="eastAsia"/>
                    </w:rPr>
                    <w:t>施用方式</w:t>
                  </w:r>
                </w:p>
              </w:tc>
            </w:tr>
            <w:tr w14:paraId="03A469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54B8E6">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D6169">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D9F8A2">
                  <w:r>
                    <w:rPr>
                      <w:rStyle w:val="11"/>
                      <w:rFonts w:hint="eastAsia"/>
                    </w:rPr>
                    <w:t>75-85毫升/亩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571D97">
                  <w:r>
                    <w:rPr>
                      <w:rStyle w:val="11"/>
                      <w:rFonts w:hint="eastAsia"/>
                    </w:rPr>
                    <w:t>喷雾</w:t>
                  </w:r>
                </w:p>
              </w:tc>
            </w:tr>
          </w:tbl>
          <w:p w14:paraId="7DD6B3DE">
            <w:pPr>
              <w:rPr>
                <w:rFonts w:ascii="Times New Roman" w:hAnsi="Times New Roman" w:cs="Times New Roman"/>
                <w:sz w:val="20"/>
                <w:szCs w:val="20"/>
              </w:rPr>
            </w:pPr>
          </w:p>
        </w:tc>
      </w:tr>
      <w:tr w14:paraId="37843597">
        <w:tblPrEx>
          <w:tblCellMar>
            <w:top w:w="0" w:type="dxa"/>
            <w:left w:w="0" w:type="dxa"/>
            <w:bottom w:w="0" w:type="dxa"/>
            <w:right w:w="0" w:type="dxa"/>
          </w:tblCellMar>
        </w:tblPrEx>
        <w:trPr>
          <w:wBefore w:w="0" w:type="auto"/>
          <w:tblCellSpacing w:w="0" w:type="dxa"/>
        </w:trPr>
        <w:tc>
          <w:tcPr>
            <w:tcW w:w="0" w:type="auto"/>
            <w:noWrap w:val="0"/>
            <w:vAlign w:val="center"/>
          </w:tcPr>
          <w:p w14:paraId="1E8E4034">
            <w:r>
              <w:rPr>
                <w:rStyle w:val="10"/>
                <w:rFonts w:hint="eastAsia"/>
              </w:rPr>
              <w:t>使用技术要求:</w:t>
            </w:r>
            <w:r>
              <w:rPr>
                <w:rFonts w:hint="eastAsia"/>
              </w:rPr>
              <w:br w:type="textWrapping"/>
            </w:r>
            <w:r>
              <w:rPr>
                <w:rStyle w:val="11"/>
                <w:rFonts w:hint="eastAsia"/>
              </w:rPr>
              <w:t>1.葡萄霜霉病发生前期或初期均匀喷雾处理，施药2-3次，施药间隔7天左右。 2.每季作物最多使用3次，安全间隔期为7天。 3.大风天或预计1小时内降雨，请勿施药。</w:t>
            </w:r>
          </w:p>
        </w:tc>
      </w:tr>
      <w:tr w14:paraId="5C3FA5CB">
        <w:tblPrEx>
          <w:tblCellMar>
            <w:top w:w="0" w:type="dxa"/>
            <w:left w:w="0" w:type="dxa"/>
            <w:bottom w:w="0" w:type="dxa"/>
            <w:right w:w="0" w:type="dxa"/>
          </w:tblCellMar>
        </w:tblPrEx>
        <w:trPr>
          <w:wBefore w:w="0" w:type="auto"/>
          <w:tblCellSpacing w:w="0" w:type="dxa"/>
        </w:trPr>
        <w:tc>
          <w:tcPr>
            <w:tcW w:w="0" w:type="auto"/>
            <w:noWrap w:val="0"/>
            <w:vAlign w:val="center"/>
          </w:tcPr>
          <w:p w14:paraId="0E4A8C35">
            <w:r>
              <w:rPr>
                <w:rStyle w:val="10"/>
                <w:rFonts w:hint="eastAsia"/>
              </w:rPr>
              <w:t>产品性能:</w:t>
            </w:r>
            <w:r>
              <w:rPr>
                <w:rFonts w:hint="eastAsia"/>
              </w:rPr>
              <w:br w:type="textWrapping"/>
            </w:r>
            <w:r>
              <w:rPr>
                <w:rStyle w:val="11"/>
                <w:rFonts w:hint="eastAsia"/>
              </w:rPr>
              <w:t>本品是一种高效低毒的有机铜保护性杀菌剂，对霜霉病菌蛋白质的合成起抑制作用，致使菌体死亡。具有持效期长，使用方便的特点，有预防保护和治疗双重作用，可较好防治葡萄霜霉病。</w:t>
            </w:r>
          </w:p>
        </w:tc>
      </w:tr>
      <w:tr w14:paraId="7D053B77">
        <w:tblPrEx>
          <w:tblCellMar>
            <w:top w:w="0" w:type="dxa"/>
            <w:left w:w="0" w:type="dxa"/>
            <w:bottom w:w="0" w:type="dxa"/>
            <w:right w:w="0" w:type="dxa"/>
          </w:tblCellMar>
        </w:tblPrEx>
        <w:trPr>
          <w:wBefore w:w="0" w:type="auto"/>
          <w:tblCellSpacing w:w="0" w:type="dxa"/>
        </w:trPr>
        <w:tc>
          <w:tcPr>
            <w:tcW w:w="0" w:type="auto"/>
            <w:noWrap w:val="0"/>
            <w:vAlign w:val="center"/>
          </w:tcPr>
          <w:p w14:paraId="3790AD4A">
            <w:r>
              <w:rPr>
                <w:rStyle w:val="10"/>
                <w:rFonts w:hint="eastAsia"/>
              </w:rPr>
              <w:t>注意事项：</w:t>
            </w:r>
            <w:r>
              <w:rPr>
                <w:rFonts w:hint="eastAsia"/>
              </w:rPr>
              <w:br w:type="textWrapping"/>
            </w:r>
            <w:r>
              <w:rPr>
                <w:rStyle w:val="11"/>
                <w:rFonts w:hint="eastAsia"/>
              </w:rPr>
              <w:t>1.本品不可与呈强酸、强碱物质混用。2. 本品对眼睛有刺激性，使用时避免接触眼睛，穿戴长衣、长裤、帽子、口罩、手套等防护措施，严禁吸烟和饮食，避免药物与皮肤和眼睛直接接触。施药后要及时洗手洗脸。3. 本品对蜜蜂、鱼类等水生生物、家蚕有毒，施药期间应避免对周围蜂群的影响，禁止在开花植物花期、蚕室和桑园附近使用。4.远离水产养殖区、河塘等水域施药，禁止在河塘等水体中清洗施药器具。赤眼蜂等天敌放飞区禁用。5.用过的容器或空包装应妥善处置，不可做他用，也不可随意丢弃。 6. 避免孕妇及哺乳期妇女接触此药。7.建议与作用机制不同的杀菌剂轮换使用，以延缓抗性产生。8.避免与氧化剂接触。</w:t>
            </w:r>
          </w:p>
        </w:tc>
      </w:tr>
      <w:tr w14:paraId="3CD03BF6">
        <w:tblPrEx>
          <w:tblCellMar>
            <w:top w:w="0" w:type="dxa"/>
            <w:left w:w="0" w:type="dxa"/>
            <w:bottom w:w="0" w:type="dxa"/>
            <w:right w:w="0" w:type="dxa"/>
          </w:tblCellMar>
        </w:tblPrEx>
        <w:trPr>
          <w:wBefore w:w="0" w:type="auto"/>
          <w:tblCellSpacing w:w="0" w:type="dxa"/>
        </w:trPr>
        <w:tc>
          <w:tcPr>
            <w:tcW w:w="0" w:type="auto"/>
            <w:noWrap w:val="0"/>
            <w:vAlign w:val="center"/>
          </w:tcPr>
          <w:p w14:paraId="3CEFADAF">
            <w:r>
              <w:rPr>
                <w:rStyle w:val="10"/>
                <w:rFonts w:hint="eastAsia"/>
              </w:rPr>
              <w:t>中毒急救措施：</w:t>
            </w:r>
            <w:r>
              <w:rPr>
                <w:rFonts w:hint="eastAsia"/>
              </w:rPr>
              <w:br w:type="textWrapping"/>
            </w:r>
            <w:r>
              <w:rPr>
                <w:rStyle w:val="11"/>
                <w:rFonts w:hint="eastAsia"/>
              </w:rPr>
              <w:t>对眼睛有刺激性，应避免接触眼睛。中毒症状：轻度中毒，头痛、呕吐、出汗等，重者抽搐。 皮肤接触：立即脱去污染的衣物，用肥皂和大量清水冲洗皮肤暴露部位。如皮肤刺激感持续，请医生诊治。 眼睛溅入：立即翻开眼睑，用清水冲洗至少15分钟，再请医生诊治。 吸入：立即将吸入者转移到空气清新处，有持续异状时，应送医治疗。 误 食：严禁引吐，应先立即用清水漱口，并携带产品标签送医就诊，对症治疗。</w:t>
            </w:r>
          </w:p>
        </w:tc>
      </w:tr>
      <w:tr w14:paraId="14B8D671">
        <w:tblPrEx>
          <w:tblCellMar>
            <w:top w:w="0" w:type="dxa"/>
            <w:left w:w="0" w:type="dxa"/>
            <w:bottom w:w="0" w:type="dxa"/>
            <w:right w:w="0" w:type="dxa"/>
          </w:tblCellMar>
        </w:tblPrEx>
        <w:trPr>
          <w:wBefore w:w="0" w:type="auto"/>
          <w:tblCellSpacing w:w="0" w:type="dxa"/>
        </w:trPr>
        <w:tc>
          <w:tcPr>
            <w:tcW w:w="0" w:type="auto"/>
            <w:noWrap w:val="0"/>
            <w:vAlign w:val="center"/>
          </w:tcPr>
          <w:p w14:paraId="4ECEAFB8">
            <w:r>
              <w:rPr>
                <w:rStyle w:val="10"/>
                <w:rFonts w:hint="eastAsia"/>
              </w:rPr>
              <w:t>储存和运输方法：</w:t>
            </w:r>
            <w:r>
              <w:rPr>
                <w:rFonts w:hint="eastAsia"/>
              </w:rPr>
              <w:br w:type="textWrapping"/>
            </w:r>
            <w:r>
              <w:rPr>
                <w:rStyle w:val="11"/>
                <w:rFonts w:hint="eastAsia"/>
              </w:rPr>
              <w:t>1. 本品属易燃液体，应贮存在阴凉、干燥、通风、防雨处，严防潮湿和日晒；2. 避免阳光直接照射，远离火源与热源；3. 置于儿童、无关人员及动物接触不到的地方，并加锁；4. 不得与食物、饮料、种子、饲料、粮食等物品同贮同运。搬运及运输过程中，轻拿轻放。</w:t>
            </w:r>
          </w:p>
        </w:tc>
      </w:tr>
      <w:tr w14:paraId="5925A6BB">
        <w:tblPrEx>
          <w:tblCellMar>
            <w:top w:w="0" w:type="dxa"/>
            <w:left w:w="0" w:type="dxa"/>
            <w:bottom w:w="0" w:type="dxa"/>
            <w:right w:w="0" w:type="dxa"/>
          </w:tblCellMar>
        </w:tblPrEx>
        <w:trPr>
          <w:wBefore w:w="0" w:type="auto"/>
          <w:tblCellSpacing w:w="0" w:type="dxa"/>
        </w:trPr>
        <w:tc>
          <w:tcPr>
            <w:tcW w:w="0" w:type="auto"/>
            <w:noWrap w:val="0"/>
            <w:vAlign w:val="center"/>
          </w:tcPr>
          <w:p w14:paraId="37E65FCA">
            <w:r>
              <w:rPr>
                <w:rStyle w:val="10"/>
                <w:rFonts w:hint="eastAsia"/>
              </w:rPr>
              <w:t>质量保证期：</w:t>
            </w:r>
            <w:r>
              <w:rPr>
                <w:rStyle w:val="11"/>
                <w:rFonts w:hint="eastAsia"/>
              </w:rPr>
              <w:t>2年</w:t>
            </w:r>
          </w:p>
        </w:tc>
      </w:tr>
      <w:tr w14:paraId="45A5F7FD">
        <w:tblPrEx>
          <w:tblCellMar>
            <w:top w:w="0" w:type="dxa"/>
            <w:left w:w="0" w:type="dxa"/>
            <w:bottom w:w="0" w:type="dxa"/>
            <w:right w:w="0" w:type="dxa"/>
          </w:tblCellMar>
        </w:tblPrEx>
        <w:trPr>
          <w:wBefore w:w="0" w:type="auto"/>
          <w:tblCellSpacing w:w="0" w:type="dxa"/>
        </w:trPr>
        <w:tc>
          <w:tcPr>
            <w:tcW w:w="0" w:type="auto"/>
            <w:noWrap w:val="0"/>
            <w:vAlign w:val="center"/>
          </w:tcPr>
          <w:p w14:paraId="7C957A88">
            <w:r>
              <w:rPr>
                <w:rStyle w:val="10"/>
                <w:rFonts w:hint="eastAsia"/>
              </w:rPr>
              <w:t>备注：</w:t>
            </w:r>
          </w:p>
        </w:tc>
      </w:tr>
    </w:tbl>
    <w:p w14:paraId="020A100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F59619">
        <w:tblPrEx>
          <w:tblCellMar>
            <w:top w:w="0" w:type="dxa"/>
            <w:left w:w="0" w:type="dxa"/>
            <w:bottom w:w="0" w:type="dxa"/>
            <w:right w:w="0" w:type="dxa"/>
          </w:tblCellMar>
        </w:tblPrEx>
        <w:trPr>
          <w:wBefore w:w="0" w:type="auto"/>
          <w:tblCellSpacing w:w="0" w:type="dxa"/>
        </w:trPr>
        <w:tc>
          <w:tcPr>
            <w:tcW w:w="0" w:type="auto"/>
            <w:noWrap w:val="0"/>
            <w:vAlign w:val="center"/>
          </w:tcPr>
          <w:p w14:paraId="410C6C66">
            <w:r>
              <w:rPr>
                <w:rStyle w:val="10"/>
                <w:rFonts w:hint="eastAsia"/>
              </w:rPr>
              <w:t>登记证号：</w:t>
            </w:r>
            <w:r>
              <w:rPr>
                <w:rFonts w:hint="eastAsia"/>
              </w:rPr>
              <w:t>PD20212483</w:t>
            </w:r>
          </w:p>
        </w:tc>
      </w:tr>
      <w:tr w14:paraId="126FB6A6">
        <w:tblPrEx>
          <w:tblCellMar>
            <w:top w:w="0" w:type="dxa"/>
            <w:left w:w="0" w:type="dxa"/>
            <w:bottom w:w="0" w:type="dxa"/>
            <w:right w:w="0" w:type="dxa"/>
          </w:tblCellMar>
        </w:tblPrEx>
        <w:trPr>
          <w:wBefore w:w="0" w:type="auto"/>
          <w:tblCellSpacing w:w="0" w:type="dxa"/>
        </w:trPr>
        <w:tc>
          <w:tcPr>
            <w:tcW w:w="0" w:type="auto"/>
            <w:noWrap w:val="0"/>
            <w:vAlign w:val="center"/>
          </w:tcPr>
          <w:p w14:paraId="5A358F30">
            <w:r>
              <w:rPr>
                <w:rStyle w:val="10"/>
                <w:rFonts w:hint="eastAsia"/>
              </w:rPr>
              <w:t>登记证持有人：</w:t>
            </w:r>
            <w:r>
              <w:rPr>
                <w:rFonts w:hint="eastAsia"/>
              </w:rPr>
              <w:t>河南金田地农化有限责任公司</w:t>
            </w:r>
          </w:p>
        </w:tc>
      </w:tr>
      <w:tr w14:paraId="7CABA866">
        <w:tblPrEx>
          <w:tblCellMar>
            <w:top w:w="0" w:type="dxa"/>
            <w:left w:w="0" w:type="dxa"/>
            <w:bottom w:w="0" w:type="dxa"/>
            <w:right w:w="0" w:type="dxa"/>
          </w:tblCellMar>
        </w:tblPrEx>
        <w:trPr>
          <w:wBefore w:w="0" w:type="auto"/>
          <w:tblCellSpacing w:w="0" w:type="dxa"/>
        </w:trPr>
        <w:tc>
          <w:tcPr>
            <w:tcW w:w="0" w:type="auto"/>
            <w:noWrap w:val="0"/>
            <w:vAlign w:val="center"/>
          </w:tcPr>
          <w:p w14:paraId="10E639CB">
            <w:r>
              <w:rPr>
                <w:rStyle w:val="10"/>
                <w:rFonts w:hint="eastAsia"/>
              </w:rPr>
              <w:t>农药名称：</w:t>
            </w:r>
            <w:r>
              <w:rPr>
                <w:rFonts w:hint="eastAsia"/>
              </w:rPr>
              <w:t>氟唑·炔草酯</w:t>
            </w:r>
          </w:p>
        </w:tc>
      </w:tr>
      <w:tr w14:paraId="425CFE17">
        <w:tblPrEx>
          <w:tblCellMar>
            <w:top w:w="0" w:type="dxa"/>
            <w:left w:w="0" w:type="dxa"/>
            <w:bottom w:w="0" w:type="dxa"/>
            <w:right w:w="0" w:type="dxa"/>
          </w:tblCellMar>
        </w:tblPrEx>
        <w:trPr>
          <w:wBefore w:w="0" w:type="auto"/>
          <w:tblCellSpacing w:w="0" w:type="dxa"/>
        </w:trPr>
        <w:tc>
          <w:tcPr>
            <w:tcW w:w="0" w:type="auto"/>
            <w:noWrap w:val="0"/>
            <w:vAlign w:val="center"/>
          </w:tcPr>
          <w:p w14:paraId="4DCE2B4C">
            <w:r>
              <w:rPr>
                <w:rStyle w:val="10"/>
                <w:rFonts w:hint="eastAsia"/>
              </w:rPr>
              <w:t>剂型：</w:t>
            </w:r>
            <w:r>
              <w:rPr>
                <w:rFonts w:hint="eastAsia"/>
              </w:rPr>
              <w:t>可分散油悬浮剂</w:t>
            </w:r>
          </w:p>
        </w:tc>
      </w:tr>
      <w:tr w14:paraId="06CAFAB3">
        <w:tblPrEx>
          <w:tblCellMar>
            <w:top w:w="0" w:type="dxa"/>
            <w:left w:w="0" w:type="dxa"/>
            <w:bottom w:w="0" w:type="dxa"/>
            <w:right w:w="0" w:type="dxa"/>
          </w:tblCellMar>
        </w:tblPrEx>
        <w:trPr>
          <w:wBefore w:w="0" w:type="auto"/>
          <w:tblCellSpacing w:w="0" w:type="dxa"/>
        </w:trPr>
        <w:tc>
          <w:tcPr>
            <w:tcW w:w="0" w:type="auto"/>
            <w:noWrap w:val="0"/>
            <w:vAlign w:val="center"/>
          </w:tcPr>
          <w:p w14:paraId="6DA81DD6">
            <w:r>
              <w:rPr>
                <w:rStyle w:val="10"/>
                <w:rFonts w:hint="eastAsia"/>
              </w:rPr>
              <w:t>毒性及其标识：</w:t>
            </w:r>
            <w:r>
              <w:rPr>
                <w:rFonts w:hint="eastAsia"/>
              </w:rPr>
              <w:t xml:space="preserve"> </w:t>
            </w:r>
            <w:r>
              <w:rPr>
                <w:lang/>
              </w:rPr>
              <w:drawing>
                <wp:inline distT="0" distB="0" distL="114300" distR="114300">
                  <wp:extent cx="476250" cy="323850"/>
                  <wp:effectExtent l="0" t="0" r="0" b="0"/>
                  <wp:docPr id="211" name="图片 2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AA1769">
        <w:tblPrEx>
          <w:tblCellMar>
            <w:top w:w="0" w:type="dxa"/>
            <w:left w:w="0" w:type="dxa"/>
            <w:bottom w:w="0" w:type="dxa"/>
            <w:right w:w="0" w:type="dxa"/>
          </w:tblCellMar>
        </w:tblPrEx>
        <w:trPr>
          <w:wBefore w:w="0" w:type="auto"/>
          <w:tblCellSpacing w:w="0" w:type="dxa"/>
        </w:trPr>
        <w:tc>
          <w:tcPr>
            <w:tcW w:w="0" w:type="auto"/>
            <w:noWrap w:val="0"/>
            <w:vAlign w:val="center"/>
          </w:tcPr>
          <w:p w14:paraId="7B45D63B">
            <w:r>
              <w:rPr>
                <w:rStyle w:val="10"/>
                <w:rFonts w:hint="eastAsia"/>
              </w:rPr>
              <w:t>总有效成分含量：</w:t>
            </w:r>
            <w:r>
              <w:rPr>
                <w:rFonts w:hint="eastAsia"/>
              </w:rPr>
              <w:t>18%</w:t>
            </w:r>
          </w:p>
        </w:tc>
      </w:tr>
      <w:tr w14:paraId="330B5B75">
        <w:tblPrEx>
          <w:tblCellMar>
            <w:top w:w="0" w:type="dxa"/>
            <w:left w:w="0" w:type="dxa"/>
            <w:bottom w:w="0" w:type="dxa"/>
            <w:right w:w="0" w:type="dxa"/>
          </w:tblCellMar>
        </w:tblPrEx>
        <w:trPr>
          <w:wBefore w:w="0" w:type="auto"/>
          <w:tblCellSpacing w:w="0" w:type="dxa"/>
        </w:trPr>
        <w:tc>
          <w:tcPr>
            <w:tcW w:w="0" w:type="auto"/>
            <w:noWrap w:val="0"/>
            <w:vAlign w:val="center"/>
          </w:tcPr>
          <w:p w14:paraId="06AFA4CC">
            <w:r>
              <w:rPr>
                <w:rFonts w:hint="eastAsia"/>
              </w:rPr>
              <w:t xml:space="preserve">有效成分及其含量： </w:t>
            </w:r>
          </w:p>
          <w:p w14:paraId="12D2412C">
            <w:r>
              <w:rPr>
                <w:rFonts w:hint="eastAsia"/>
              </w:rPr>
              <w:t xml:space="preserve">    氟唑磺隆6%    炔草酯12%    </w:t>
            </w:r>
          </w:p>
        </w:tc>
      </w:tr>
      <w:tr w14:paraId="00986E56">
        <w:tblPrEx>
          <w:tblCellMar>
            <w:top w:w="0" w:type="dxa"/>
            <w:left w:w="0" w:type="dxa"/>
            <w:bottom w:w="0" w:type="dxa"/>
            <w:right w:w="0" w:type="dxa"/>
          </w:tblCellMar>
        </w:tblPrEx>
        <w:trPr>
          <w:wBefore w:w="0" w:type="auto"/>
          <w:tblCellSpacing w:w="0" w:type="dxa"/>
        </w:trPr>
        <w:tc>
          <w:tcPr>
            <w:tcW w:w="0" w:type="auto"/>
            <w:noWrap w:val="0"/>
            <w:vAlign w:val="center"/>
          </w:tcPr>
          <w:p w14:paraId="54F024B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5F7D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AD3D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B1DA9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533D1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115C6B">
                  <w:r>
                    <w:rPr>
                      <w:rStyle w:val="11"/>
                      <w:rFonts w:hint="eastAsia"/>
                    </w:rPr>
                    <w:t>施用方式</w:t>
                  </w:r>
                </w:p>
              </w:tc>
            </w:tr>
            <w:tr w14:paraId="7D1ABF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66607A">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932965">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5B8670">
                  <w:r>
                    <w:rPr>
                      <w:rStyle w:val="11"/>
                      <w:rFonts w:hint="eastAsia"/>
                    </w:rPr>
                    <w:t>30-33毫升/亩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1F79B6">
                  <w:r>
                    <w:rPr>
                      <w:rStyle w:val="11"/>
                      <w:rFonts w:hint="eastAsia"/>
                    </w:rPr>
                    <w:t>茎叶喷雾</w:t>
                  </w:r>
                </w:p>
              </w:tc>
            </w:tr>
          </w:tbl>
          <w:p w14:paraId="4495FF6D">
            <w:pPr>
              <w:rPr>
                <w:rFonts w:ascii="Times New Roman" w:hAnsi="Times New Roman" w:cs="Times New Roman"/>
                <w:sz w:val="20"/>
                <w:szCs w:val="20"/>
              </w:rPr>
            </w:pPr>
          </w:p>
        </w:tc>
      </w:tr>
      <w:tr w14:paraId="3A597369">
        <w:tblPrEx>
          <w:tblCellMar>
            <w:top w:w="0" w:type="dxa"/>
            <w:left w:w="0" w:type="dxa"/>
            <w:bottom w:w="0" w:type="dxa"/>
            <w:right w:w="0" w:type="dxa"/>
          </w:tblCellMar>
        </w:tblPrEx>
        <w:trPr>
          <w:wBefore w:w="0" w:type="auto"/>
          <w:tblCellSpacing w:w="0" w:type="dxa"/>
        </w:trPr>
        <w:tc>
          <w:tcPr>
            <w:tcW w:w="0" w:type="auto"/>
            <w:noWrap w:val="0"/>
            <w:vAlign w:val="center"/>
          </w:tcPr>
          <w:p w14:paraId="69FCD5E5">
            <w:r>
              <w:rPr>
                <w:rStyle w:val="10"/>
                <w:rFonts w:hint="eastAsia"/>
              </w:rPr>
              <w:t>使用技术要求:</w:t>
            </w:r>
            <w:r>
              <w:rPr>
                <w:rFonts w:hint="eastAsia"/>
              </w:rPr>
              <w:br w:type="textWrapping"/>
            </w:r>
            <w:r>
              <w:rPr>
                <w:rStyle w:val="11"/>
                <w:rFonts w:hint="eastAsia"/>
              </w:rPr>
              <w:t>1. 本品于冬小麦4叶期至拔节前，田间一年生杂草2-5叶期，茎叶喷雾。在雀麦、野燕麦发生量大的地块，在雀麦、野燕麦3叶前施药效果更佳。2. 勿在低温8℃以下及干旱、霜冻等不良气候条件下施药。3. 大风天或预计1小时内降雨，请勿施药。4. 每季作物最多使用1次。</w:t>
            </w:r>
          </w:p>
        </w:tc>
      </w:tr>
      <w:tr w14:paraId="24C5CE20">
        <w:tblPrEx>
          <w:tblCellMar>
            <w:top w:w="0" w:type="dxa"/>
            <w:left w:w="0" w:type="dxa"/>
            <w:bottom w:w="0" w:type="dxa"/>
            <w:right w:w="0" w:type="dxa"/>
          </w:tblCellMar>
        </w:tblPrEx>
        <w:trPr>
          <w:wBefore w:w="0" w:type="auto"/>
          <w:tblCellSpacing w:w="0" w:type="dxa"/>
        </w:trPr>
        <w:tc>
          <w:tcPr>
            <w:tcW w:w="0" w:type="auto"/>
            <w:noWrap w:val="0"/>
            <w:vAlign w:val="center"/>
          </w:tcPr>
          <w:p w14:paraId="7725AA84">
            <w:r>
              <w:rPr>
                <w:rStyle w:val="10"/>
                <w:rFonts w:hint="eastAsia"/>
              </w:rPr>
              <w:t>产品性能:</w:t>
            </w:r>
            <w:r>
              <w:rPr>
                <w:rFonts w:hint="eastAsia"/>
              </w:rPr>
              <w:br w:type="textWrapping"/>
            </w:r>
            <w:r>
              <w:rPr>
                <w:rStyle w:val="11"/>
                <w:rFonts w:hint="eastAsia"/>
              </w:rPr>
              <w:t xml:space="preserve">本品由两种不同作用机制的除草剂混配而成，适用于小麦田禾本科杂草的综合治理。本品为苗后茎叶处理剂，可有效防除雀麦、野燕麦、看麦娘、菵草、硬草、棒头草等麦田主要禾本科杂草。 </w:t>
            </w:r>
          </w:p>
        </w:tc>
      </w:tr>
      <w:tr w14:paraId="5D95A72D">
        <w:tblPrEx>
          <w:tblCellMar>
            <w:top w:w="0" w:type="dxa"/>
            <w:left w:w="0" w:type="dxa"/>
            <w:bottom w:w="0" w:type="dxa"/>
            <w:right w:w="0" w:type="dxa"/>
          </w:tblCellMar>
        </w:tblPrEx>
        <w:trPr>
          <w:wBefore w:w="0" w:type="auto"/>
          <w:tblCellSpacing w:w="0" w:type="dxa"/>
        </w:trPr>
        <w:tc>
          <w:tcPr>
            <w:tcW w:w="0" w:type="auto"/>
            <w:noWrap w:val="0"/>
            <w:vAlign w:val="center"/>
          </w:tcPr>
          <w:p w14:paraId="593A4B40">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本品对眼睛有刺激性，使用时避免接触眼睛，穿戴长衣、长裤、帽子、口罩、手套等防护措施。避免吸入药液。施药期间不可吃东西和饮水等。施药后应及时洗手和洗脸等。2. 本品对蜜蜂、鱼类等水生生物、家蚕有毒，施药期间应避免对周围蜂群的影响，禁止在开花植物花期、蚕室、桑园附近及赤眼蜂、瓢虫等天敌放飞区域使用。3. 水产养殖区、河塘等水体附近禁用，禁止在河塘等水域清洗施药器具。4. 用过的容器要妥善处理不能随意丢弃，也不能做他用。5. 孕妇及哺乳期的妇女避免接触本产品。</w:t>
            </w:r>
          </w:p>
        </w:tc>
      </w:tr>
      <w:tr w14:paraId="7C3DFB6A">
        <w:tblPrEx>
          <w:tblCellMar>
            <w:top w:w="0" w:type="dxa"/>
            <w:left w:w="0" w:type="dxa"/>
            <w:bottom w:w="0" w:type="dxa"/>
            <w:right w:w="0" w:type="dxa"/>
          </w:tblCellMar>
        </w:tblPrEx>
        <w:trPr>
          <w:wBefore w:w="0" w:type="auto"/>
          <w:tblCellSpacing w:w="0" w:type="dxa"/>
        </w:trPr>
        <w:tc>
          <w:tcPr>
            <w:tcW w:w="0" w:type="auto"/>
            <w:noWrap w:val="0"/>
            <w:vAlign w:val="center"/>
          </w:tcPr>
          <w:p w14:paraId="22D941CB">
            <w:r>
              <w:rPr>
                <w:rStyle w:val="10"/>
                <w:rFonts w:hint="eastAsia"/>
              </w:rPr>
              <w:t>中毒急救措施：</w:t>
            </w:r>
            <w:r>
              <w:rPr>
                <w:rFonts w:hint="eastAsia"/>
              </w:rPr>
              <w:br w:type="textWrapping"/>
            </w:r>
            <w:r>
              <w:rPr>
                <w:rStyle w:val="11"/>
                <w:rFonts w:hint="eastAsia"/>
              </w:rPr>
              <w:t xml:space="preserve">中毒症状表现为皮肤刺痛、头痛、头昏、恶心呕吐，双手颤抖、抽搐、惊厥、昏迷等。用药时如感觉不适，立即停止工作，采取急救措施，并携此标签送医就诊；如溅入眼睛，立即用大量流动清水冲洗至少15分钟，再请医生诊治；如误服，立即停止，用大量的清水充分漱口后，应立即携此标签将病人送医院对症治疗；不慎吸入，立即将吸入者转移到空气新鲜处，严重者携标签就医；如药液沾染皮肤，立即用肥皂水彻底清洗。本品无特效解毒剂。可采取洗胃、活性碳吸附及稀释等办法救治，注意防止胃容物进入呼吸道。注意：切勿对昏迷病人经口喂入任何东西或引吐。 </w:t>
            </w:r>
          </w:p>
        </w:tc>
      </w:tr>
      <w:tr w14:paraId="06B5D3C8">
        <w:tblPrEx>
          <w:tblCellMar>
            <w:top w:w="0" w:type="dxa"/>
            <w:left w:w="0" w:type="dxa"/>
            <w:bottom w:w="0" w:type="dxa"/>
            <w:right w:w="0" w:type="dxa"/>
          </w:tblCellMar>
        </w:tblPrEx>
        <w:trPr>
          <w:wBefore w:w="0" w:type="auto"/>
          <w:tblCellSpacing w:w="0" w:type="dxa"/>
        </w:trPr>
        <w:tc>
          <w:tcPr>
            <w:tcW w:w="0" w:type="auto"/>
            <w:noWrap w:val="0"/>
            <w:vAlign w:val="center"/>
          </w:tcPr>
          <w:p w14:paraId="0803DBE1">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本品应贮存在干燥、阴凉、通风、防雨处，远离火源或热源。置于儿童、无关人员触及不到之处，并加锁。勿与食品、饮料、粮食、饲料等其他商品同贮同运。 </w:t>
            </w:r>
          </w:p>
        </w:tc>
      </w:tr>
      <w:tr w14:paraId="3E924C1D">
        <w:tblPrEx>
          <w:tblCellMar>
            <w:top w:w="0" w:type="dxa"/>
            <w:left w:w="0" w:type="dxa"/>
            <w:bottom w:w="0" w:type="dxa"/>
            <w:right w:w="0" w:type="dxa"/>
          </w:tblCellMar>
        </w:tblPrEx>
        <w:trPr>
          <w:wBefore w:w="0" w:type="auto"/>
          <w:tblCellSpacing w:w="0" w:type="dxa"/>
        </w:trPr>
        <w:tc>
          <w:tcPr>
            <w:tcW w:w="0" w:type="auto"/>
            <w:noWrap w:val="0"/>
            <w:vAlign w:val="center"/>
          </w:tcPr>
          <w:p w14:paraId="085AB77A">
            <w:r>
              <w:rPr>
                <w:rStyle w:val="10"/>
                <w:rFonts w:hint="eastAsia"/>
              </w:rPr>
              <w:t>质量保证期：</w:t>
            </w:r>
            <w:r>
              <w:rPr>
                <w:rStyle w:val="11"/>
                <w:rFonts w:hint="eastAsia"/>
              </w:rPr>
              <w:t>2年</w:t>
            </w:r>
          </w:p>
        </w:tc>
      </w:tr>
      <w:tr w14:paraId="2F8B53B3">
        <w:tblPrEx>
          <w:tblCellMar>
            <w:top w:w="0" w:type="dxa"/>
            <w:left w:w="0" w:type="dxa"/>
            <w:bottom w:w="0" w:type="dxa"/>
            <w:right w:w="0" w:type="dxa"/>
          </w:tblCellMar>
        </w:tblPrEx>
        <w:trPr>
          <w:wBefore w:w="0" w:type="auto"/>
          <w:tblCellSpacing w:w="0" w:type="dxa"/>
        </w:trPr>
        <w:tc>
          <w:tcPr>
            <w:tcW w:w="0" w:type="auto"/>
            <w:noWrap w:val="0"/>
            <w:vAlign w:val="center"/>
          </w:tcPr>
          <w:p w14:paraId="44DD2AC3">
            <w:r>
              <w:rPr>
                <w:rStyle w:val="10"/>
                <w:rFonts w:hint="eastAsia"/>
              </w:rPr>
              <w:t>备注：</w:t>
            </w:r>
          </w:p>
        </w:tc>
      </w:tr>
    </w:tbl>
    <w:p w14:paraId="5114BFB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B1549B">
        <w:tblPrEx>
          <w:tblCellMar>
            <w:top w:w="0" w:type="dxa"/>
            <w:left w:w="0" w:type="dxa"/>
            <w:bottom w:w="0" w:type="dxa"/>
            <w:right w:w="0" w:type="dxa"/>
          </w:tblCellMar>
        </w:tblPrEx>
        <w:trPr>
          <w:wBefore w:w="0" w:type="auto"/>
          <w:tblCellSpacing w:w="0" w:type="dxa"/>
        </w:trPr>
        <w:tc>
          <w:tcPr>
            <w:tcW w:w="0" w:type="auto"/>
            <w:noWrap w:val="0"/>
            <w:vAlign w:val="center"/>
          </w:tcPr>
          <w:p w14:paraId="15FB4093">
            <w:r>
              <w:rPr>
                <w:rStyle w:val="10"/>
                <w:rFonts w:hint="eastAsia"/>
              </w:rPr>
              <w:t>登记证号：</w:t>
            </w:r>
            <w:r>
              <w:rPr>
                <w:rFonts w:hint="eastAsia"/>
              </w:rPr>
              <w:t>PD20212375</w:t>
            </w:r>
          </w:p>
        </w:tc>
      </w:tr>
      <w:tr w14:paraId="43DA702A">
        <w:tblPrEx>
          <w:tblCellMar>
            <w:top w:w="0" w:type="dxa"/>
            <w:left w:w="0" w:type="dxa"/>
            <w:bottom w:w="0" w:type="dxa"/>
            <w:right w:w="0" w:type="dxa"/>
          </w:tblCellMar>
        </w:tblPrEx>
        <w:trPr>
          <w:wBefore w:w="0" w:type="auto"/>
          <w:tblCellSpacing w:w="0" w:type="dxa"/>
        </w:trPr>
        <w:tc>
          <w:tcPr>
            <w:tcW w:w="0" w:type="auto"/>
            <w:noWrap w:val="0"/>
            <w:vAlign w:val="center"/>
          </w:tcPr>
          <w:p w14:paraId="473F6B0D">
            <w:r>
              <w:rPr>
                <w:rStyle w:val="10"/>
                <w:rFonts w:hint="eastAsia"/>
              </w:rPr>
              <w:t>登记证持有人：</w:t>
            </w:r>
            <w:r>
              <w:rPr>
                <w:rFonts w:hint="eastAsia"/>
              </w:rPr>
              <w:t>安徽康宇生物科技工程有限公司</w:t>
            </w:r>
          </w:p>
        </w:tc>
      </w:tr>
      <w:tr w14:paraId="555966A4">
        <w:tblPrEx>
          <w:tblCellMar>
            <w:top w:w="0" w:type="dxa"/>
            <w:left w:w="0" w:type="dxa"/>
            <w:bottom w:w="0" w:type="dxa"/>
            <w:right w:w="0" w:type="dxa"/>
          </w:tblCellMar>
        </w:tblPrEx>
        <w:trPr>
          <w:wBefore w:w="0" w:type="auto"/>
          <w:tblCellSpacing w:w="0" w:type="dxa"/>
        </w:trPr>
        <w:tc>
          <w:tcPr>
            <w:tcW w:w="0" w:type="auto"/>
            <w:noWrap w:val="0"/>
            <w:vAlign w:val="center"/>
          </w:tcPr>
          <w:p w14:paraId="70D7FFF1">
            <w:r>
              <w:rPr>
                <w:rStyle w:val="10"/>
                <w:rFonts w:hint="eastAsia"/>
              </w:rPr>
              <w:t>农药名称：</w:t>
            </w:r>
            <w:r>
              <w:rPr>
                <w:rFonts w:hint="eastAsia"/>
              </w:rPr>
              <w:t>苦参提取物</w:t>
            </w:r>
          </w:p>
        </w:tc>
      </w:tr>
      <w:tr w14:paraId="7F1B75F9">
        <w:tblPrEx>
          <w:tblCellMar>
            <w:top w:w="0" w:type="dxa"/>
            <w:left w:w="0" w:type="dxa"/>
            <w:bottom w:w="0" w:type="dxa"/>
            <w:right w:w="0" w:type="dxa"/>
          </w:tblCellMar>
        </w:tblPrEx>
        <w:trPr>
          <w:wBefore w:w="0" w:type="auto"/>
          <w:tblCellSpacing w:w="0" w:type="dxa"/>
        </w:trPr>
        <w:tc>
          <w:tcPr>
            <w:tcW w:w="0" w:type="auto"/>
            <w:noWrap w:val="0"/>
            <w:vAlign w:val="center"/>
          </w:tcPr>
          <w:p w14:paraId="14DBA655">
            <w:r>
              <w:rPr>
                <w:rStyle w:val="10"/>
                <w:rFonts w:hint="eastAsia"/>
              </w:rPr>
              <w:t>剂型：</w:t>
            </w:r>
            <w:r>
              <w:rPr>
                <w:rFonts w:hint="eastAsia"/>
              </w:rPr>
              <w:t>可溶液剂</w:t>
            </w:r>
          </w:p>
        </w:tc>
      </w:tr>
      <w:tr w14:paraId="28D85C6E">
        <w:tblPrEx>
          <w:tblCellMar>
            <w:top w:w="0" w:type="dxa"/>
            <w:left w:w="0" w:type="dxa"/>
            <w:bottom w:w="0" w:type="dxa"/>
            <w:right w:w="0" w:type="dxa"/>
          </w:tblCellMar>
        </w:tblPrEx>
        <w:trPr>
          <w:wBefore w:w="0" w:type="auto"/>
          <w:tblCellSpacing w:w="0" w:type="dxa"/>
        </w:trPr>
        <w:tc>
          <w:tcPr>
            <w:tcW w:w="0" w:type="auto"/>
            <w:noWrap w:val="0"/>
            <w:vAlign w:val="center"/>
          </w:tcPr>
          <w:p w14:paraId="31F1A81B">
            <w:r>
              <w:rPr>
                <w:rStyle w:val="10"/>
                <w:rFonts w:hint="eastAsia"/>
              </w:rPr>
              <w:t>毒性及其标识：</w:t>
            </w:r>
            <w:r>
              <w:rPr>
                <w:rFonts w:hint="eastAsia"/>
              </w:rPr>
              <w:t xml:space="preserve"> </w:t>
            </w:r>
            <w:r>
              <w:rPr>
                <w:lang/>
              </w:rPr>
              <w:drawing>
                <wp:inline distT="0" distB="0" distL="114300" distR="114300">
                  <wp:extent cx="476250" cy="323850"/>
                  <wp:effectExtent l="0" t="0" r="0" b="0"/>
                  <wp:docPr id="212" name="图片 2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BE110E">
        <w:tblPrEx>
          <w:tblCellMar>
            <w:top w:w="0" w:type="dxa"/>
            <w:left w:w="0" w:type="dxa"/>
            <w:bottom w:w="0" w:type="dxa"/>
            <w:right w:w="0" w:type="dxa"/>
          </w:tblCellMar>
        </w:tblPrEx>
        <w:trPr>
          <w:wBefore w:w="0" w:type="auto"/>
          <w:tblCellSpacing w:w="0" w:type="dxa"/>
        </w:trPr>
        <w:tc>
          <w:tcPr>
            <w:tcW w:w="0" w:type="auto"/>
            <w:noWrap w:val="0"/>
            <w:vAlign w:val="center"/>
          </w:tcPr>
          <w:p w14:paraId="7D28DEE6">
            <w:r>
              <w:rPr>
                <w:rStyle w:val="10"/>
                <w:rFonts w:hint="eastAsia"/>
              </w:rPr>
              <w:t>总有效成分含量：</w:t>
            </w:r>
            <w:r>
              <w:rPr>
                <w:rFonts w:hint="eastAsia"/>
              </w:rPr>
              <w:t>1%</w:t>
            </w:r>
          </w:p>
        </w:tc>
      </w:tr>
      <w:tr w14:paraId="1E821612">
        <w:tblPrEx>
          <w:tblCellMar>
            <w:top w:w="0" w:type="dxa"/>
            <w:left w:w="0" w:type="dxa"/>
            <w:bottom w:w="0" w:type="dxa"/>
            <w:right w:w="0" w:type="dxa"/>
          </w:tblCellMar>
        </w:tblPrEx>
        <w:trPr>
          <w:wBefore w:w="0" w:type="auto"/>
          <w:tblCellSpacing w:w="0" w:type="dxa"/>
        </w:trPr>
        <w:tc>
          <w:tcPr>
            <w:tcW w:w="0" w:type="auto"/>
            <w:noWrap w:val="0"/>
            <w:vAlign w:val="center"/>
          </w:tcPr>
          <w:p w14:paraId="530E802B">
            <w:r>
              <w:rPr>
                <w:rFonts w:hint="eastAsia"/>
              </w:rPr>
              <w:t xml:space="preserve">有效成分及其含量： </w:t>
            </w:r>
          </w:p>
          <w:p w14:paraId="2CD41AF0">
            <w:r>
              <w:rPr>
                <w:rFonts w:hint="eastAsia"/>
              </w:rPr>
              <w:t xml:space="preserve">    苦参碱1%    </w:t>
            </w:r>
          </w:p>
        </w:tc>
      </w:tr>
      <w:tr w14:paraId="4591C752">
        <w:tblPrEx>
          <w:tblCellMar>
            <w:top w:w="0" w:type="dxa"/>
            <w:left w:w="0" w:type="dxa"/>
            <w:bottom w:w="0" w:type="dxa"/>
            <w:right w:w="0" w:type="dxa"/>
          </w:tblCellMar>
        </w:tblPrEx>
        <w:trPr>
          <w:wBefore w:w="0" w:type="auto"/>
          <w:tblCellSpacing w:w="0" w:type="dxa"/>
        </w:trPr>
        <w:tc>
          <w:tcPr>
            <w:tcW w:w="0" w:type="auto"/>
            <w:noWrap w:val="0"/>
            <w:vAlign w:val="center"/>
          </w:tcPr>
          <w:p w14:paraId="5B75A9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0E16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33D2F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645E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EEE5F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B8EE54">
                  <w:r>
                    <w:rPr>
                      <w:rStyle w:val="11"/>
                      <w:rFonts w:hint="eastAsia"/>
                    </w:rPr>
                    <w:t>施用方式</w:t>
                  </w:r>
                </w:p>
              </w:tc>
            </w:tr>
            <w:tr w14:paraId="77D49D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BC7F3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7879E4">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F1DC2B">
                  <w:r>
                    <w:rPr>
                      <w:rStyle w:val="11"/>
                      <w:rFonts w:hint="eastAsia"/>
                    </w:rPr>
                    <w:t>45-60毫升/亩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D710BB">
                  <w:r>
                    <w:rPr>
                      <w:rStyle w:val="11"/>
                      <w:rFonts w:hint="eastAsia"/>
                    </w:rPr>
                    <w:t>喷雾</w:t>
                  </w:r>
                </w:p>
              </w:tc>
            </w:tr>
          </w:tbl>
          <w:p w14:paraId="5BA6CC08">
            <w:pPr>
              <w:rPr>
                <w:rFonts w:ascii="Times New Roman" w:hAnsi="Times New Roman" w:cs="Times New Roman"/>
                <w:sz w:val="20"/>
                <w:szCs w:val="20"/>
              </w:rPr>
            </w:pPr>
          </w:p>
        </w:tc>
      </w:tr>
      <w:tr w14:paraId="2D9880B8">
        <w:tblPrEx>
          <w:tblCellMar>
            <w:top w:w="0" w:type="dxa"/>
            <w:left w:w="0" w:type="dxa"/>
            <w:bottom w:w="0" w:type="dxa"/>
            <w:right w:w="0" w:type="dxa"/>
          </w:tblCellMar>
        </w:tblPrEx>
        <w:trPr>
          <w:wBefore w:w="0" w:type="auto"/>
          <w:tblCellSpacing w:w="0" w:type="dxa"/>
        </w:trPr>
        <w:tc>
          <w:tcPr>
            <w:tcW w:w="0" w:type="auto"/>
            <w:noWrap w:val="0"/>
            <w:vAlign w:val="center"/>
          </w:tcPr>
          <w:p w14:paraId="732C326D">
            <w:r>
              <w:rPr>
                <w:rStyle w:val="10"/>
                <w:rFonts w:hint="eastAsia"/>
              </w:rPr>
              <w:t>使用技术要求:</w:t>
            </w:r>
            <w:r>
              <w:rPr>
                <w:rFonts w:hint="eastAsia"/>
              </w:rPr>
              <w:br w:type="textWrapping"/>
            </w:r>
            <w:r>
              <w:rPr>
                <w:rStyle w:val="11"/>
                <w:rFonts w:hint="eastAsia"/>
              </w:rPr>
              <w:t>1.在黄瓜蚜虫发生初期施药1次。 2. 大风天或预计1小时内降雨，请勿施药。</w:t>
            </w:r>
          </w:p>
        </w:tc>
      </w:tr>
      <w:tr w14:paraId="61BF264F">
        <w:tblPrEx>
          <w:tblCellMar>
            <w:top w:w="0" w:type="dxa"/>
            <w:left w:w="0" w:type="dxa"/>
            <w:bottom w:w="0" w:type="dxa"/>
            <w:right w:w="0" w:type="dxa"/>
          </w:tblCellMar>
        </w:tblPrEx>
        <w:trPr>
          <w:wBefore w:w="0" w:type="auto"/>
          <w:tblCellSpacing w:w="0" w:type="dxa"/>
        </w:trPr>
        <w:tc>
          <w:tcPr>
            <w:tcW w:w="0" w:type="auto"/>
            <w:noWrap w:val="0"/>
            <w:vAlign w:val="center"/>
          </w:tcPr>
          <w:p w14:paraId="020F0101">
            <w:r>
              <w:rPr>
                <w:rStyle w:val="10"/>
                <w:rFonts w:hint="eastAsia"/>
              </w:rPr>
              <w:t>产品性能:</w:t>
            </w:r>
            <w:r>
              <w:rPr>
                <w:rFonts w:hint="eastAsia"/>
              </w:rPr>
              <w:br w:type="textWrapping"/>
            </w:r>
            <w:r>
              <w:rPr>
                <w:rStyle w:val="11"/>
                <w:rFonts w:hint="eastAsia"/>
              </w:rPr>
              <w:t>本品为植物源农药，具有杀虫的功能，能引起害虫中枢神经麻痹，虫体蛋白凝固，从而堵死虫体气孔，使虫体窒息死亡。可用于防治黄瓜蚜虫。</w:t>
            </w:r>
          </w:p>
        </w:tc>
      </w:tr>
      <w:tr w14:paraId="14D60EF3">
        <w:tblPrEx>
          <w:tblCellMar>
            <w:top w:w="0" w:type="dxa"/>
            <w:left w:w="0" w:type="dxa"/>
            <w:bottom w:w="0" w:type="dxa"/>
            <w:right w:w="0" w:type="dxa"/>
          </w:tblCellMar>
        </w:tblPrEx>
        <w:trPr>
          <w:wBefore w:w="0" w:type="auto"/>
          <w:tblCellSpacing w:w="0" w:type="dxa"/>
        </w:trPr>
        <w:tc>
          <w:tcPr>
            <w:tcW w:w="0" w:type="auto"/>
            <w:noWrap w:val="0"/>
            <w:vAlign w:val="center"/>
          </w:tcPr>
          <w:p w14:paraId="4B6B76F8">
            <w:r>
              <w:rPr>
                <w:rStyle w:val="10"/>
                <w:rFonts w:hint="eastAsia"/>
              </w:rPr>
              <w:t>注意事项：</w:t>
            </w:r>
            <w:r>
              <w:rPr>
                <w:rFonts w:hint="eastAsia"/>
              </w:rPr>
              <w:br w:type="textWrapping"/>
            </w:r>
            <w:r>
              <w:rPr>
                <w:rStyle w:val="11"/>
                <w:rFonts w:hint="eastAsia"/>
              </w:rPr>
              <w:t>1、使用本品应采取相应的安全防护措施，穿防护服，戴防护手套、口罩等，避免皮肤接触及口鼻吸入。使用中不可吸烟、饮水及吃东西，使用后及时清洗手、脸等暴露部位皮肤并更换衣物。 2、建议与其他作用机制杀虫剂交替使用，以延缓抗性产生。 3、不得与碱性农药等物质混用，以免降低药效。 4、本品应远离水产养殖区、河塘等水体施药，禁止在河塘等水域内清洗施药器具。 5、孕妇和哺乳期妇女不得接触本品。 6、用过的包装物应妥善处理，不可做他用，也不可随意丢弃。7、避免与氧化剂接触。</w:t>
            </w:r>
          </w:p>
        </w:tc>
      </w:tr>
      <w:tr w14:paraId="065158B3">
        <w:tblPrEx>
          <w:tblCellMar>
            <w:top w:w="0" w:type="dxa"/>
            <w:left w:w="0" w:type="dxa"/>
            <w:bottom w:w="0" w:type="dxa"/>
            <w:right w:w="0" w:type="dxa"/>
          </w:tblCellMar>
        </w:tblPrEx>
        <w:trPr>
          <w:wBefore w:w="0" w:type="auto"/>
          <w:tblCellSpacing w:w="0" w:type="dxa"/>
        </w:trPr>
        <w:tc>
          <w:tcPr>
            <w:tcW w:w="0" w:type="auto"/>
            <w:noWrap w:val="0"/>
            <w:vAlign w:val="center"/>
          </w:tcPr>
          <w:p w14:paraId="06703223">
            <w:r>
              <w:rPr>
                <w:rStyle w:val="10"/>
                <w:rFonts w:hint="eastAsia"/>
              </w:rPr>
              <w:t>中毒急救措施：</w:t>
            </w:r>
            <w:r>
              <w:rPr>
                <w:rFonts w:hint="eastAsia"/>
              </w:rPr>
              <w:br w:type="textWrapping"/>
            </w:r>
            <w:r>
              <w:rPr>
                <w:rStyle w:val="11"/>
                <w:rFonts w:hint="eastAsia"/>
              </w:rPr>
              <w:t>对眼睛有刺激性，使用时避免接触眼睛。不慎吸入，应将病人移至空气流通处。不慎接触皮肤或溅入眼睛，用大量清水冲洗至少15分钟。如有误服，立即引吐，并迅速携本标签就医，医务人员可给患者洗胃，但要防止胃存物进入呼吸道。</w:t>
            </w:r>
          </w:p>
        </w:tc>
      </w:tr>
      <w:tr w14:paraId="1B2B7FE8">
        <w:tblPrEx>
          <w:tblCellMar>
            <w:top w:w="0" w:type="dxa"/>
            <w:left w:w="0" w:type="dxa"/>
            <w:bottom w:w="0" w:type="dxa"/>
            <w:right w:w="0" w:type="dxa"/>
          </w:tblCellMar>
        </w:tblPrEx>
        <w:trPr>
          <w:wBefore w:w="0" w:type="auto"/>
          <w:tblCellSpacing w:w="0" w:type="dxa"/>
        </w:trPr>
        <w:tc>
          <w:tcPr>
            <w:tcW w:w="0" w:type="auto"/>
            <w:noWrap w:val="0"/>
            <w:vAlign w:val="center"/>
          </w:tcPr>
          <w:p w14:paraId="3B846D8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本品应贮存在干燥、阴凉、通风、防雨处，远离火源或热源。置于儿童、无关人员触及不到之处，并加锁。勿与食品、饮料、饲料等其他商品同贮同运。严禁倒置。避免与氧化剂接触。</w:t>
            </w:r>
          </w:p>
        </w:tc>
      </w:tr>
      <w:tr w14:paraId="091DB95D">
        <w:tblPrEx>
          <w:tblCellMar>
            <w:top w:w="0" w:type="dxa"/>
            <w:left w:w="0" w:type="dxa"/>
            <w:bottom w:w="0" w:type="dxa"/>
            <w:right w:w="0" w:type="dxa"/>
          </w:tblCellMar>
        </w:tblPrEx>
        <w:trPr>
          <w:wBefore w:w="0" w:type="auto"/>
          <w:tblCellSpacing w:w="0" w:type="dxa"/>
        </w:trPr>
        <w:tc>
          <w:tcPr>
            <w:tcW w:w="0" w:type="auto"/>
            <w:noWrap w:val="0"/>
            <w:vAlign w:val="center"/>
          </w:tcPr>
          <w:p w14:paraId="13BFF26F">
            <w:r>
              <w:rPr>
                <w:rStyle w:val="10"/>
                <w:rFonts w:hint="eastAsia"/>
              </w:rPr>
              <w:t>质量保证期：</w:t>
            </w:r>
            <w:r>
              <w:rPr>
                <w:rStyle w:val="11"/>
                <w:rFonts w:hint="eastAsia"/>
              </w:rPr>
              <w:t>2年</w:t>
            </w:r>
          </w:p>
        </w:tc>
      </w:tr>
      <w:tr w14:paraId="665AEAE0">
        <w:tblPrEx>
          <w:tblCellMar>
            <w:top w:w="0" w:type="dxa"/>
            <w:left w:w="0" w:type="dxa"/>
            <w:bottom w:w="0" w:type="dxa"/>
            <w:right w:w="0" w:type="dxa"/>
          </w:tblCellMar>
        </w:tblPrEx>
        <w:trPr>
          <w:wBefore w:w="0" w:type="auto"/>
          <w:tblCellSpacing w:w="0" w:type="dxa"/>
        </w:trPr>
        <w:tc>
          <w:tcPr>
            <w:tcW w:w="0" w:type="auto"/>
            <w:noWrap w:val="0"/>
            <w:vAlign w:val="center"/>
          </w:tcPr>
          <w:p w14:paraId="535406C1">
            <w:r>
              <w:rPr>
                <w:rStyle w:val="10"/>
                <w:rFonts w:hint="eastAsia"/>
              </w:rPr>
              <w:t>备注：</w:t>
            </w:r>
          </w:p>
        </w:tc>
      </w:tr>
    </w:tbl>
    <w:p w14:paraId="5400D7D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FF5962">
        <w:tblPrEx>
          <w:tblCellMar>
            <w:top w:w="0" w:type="dxa"/>
            <w:left w:w="0" w:type="dxa"/>
            <w:bottom w:w="0" w:type="dxa"/>
            <w:right w:w="0" w:type="dxa"/>
          </w:tblCellMar>
        </w:tblPrEx>
        <w:trPr>
          <w:wBefore w:w="0" w:type="auto"/>
          <w:tblCellSpacing w:w="0" w:type="dxa"/>
        </w:trPr>
        <w:tc>
          <w:tcPr>
            <w:tcW w:w="0" w:type="auto"/>
            <w:noWrap w:val="0"/>
            <w:vAlign w:val="center"/>
          </w:tcPr>
          <w:p w14:paraId="1D7BEB39">
            <w:r>
              <w:rPr>
                <w:rStyle w:val="10"/>
                <w:rFonts w:hint="eastAsia"/>
              </w:rPr>
              <w:t>登记证号：</w:t>
            </w:r>
            <w:r>
              <w:rPr>
                <w:rFonts w:hint="eastAsia"/>
              </w:rPr>
              <w:t>PD20212674</w:t>
            </w:r>
          </w:p>
        </w:tc>
      </w:tr>
      <w:tr w14:paraId="23A5B44C">
        <w:tblPrEx>
          <w:tblCellMar>
            <w:top w:w="0" w:type="dxa"/>
            <w:left w:w="0" w:type="dxa"/>
            <w:bottom w:w="0" w:type="dxa"/>
            <w:right w:w="0" w:type="dxa"/>
          </w:tblCellMar>
        </w:tblPrEx>
        <w:trPr>
          <w:wBefore w:w="0" w:type="auto"/>
          <w:tblCellSpacing w:w="0" w:type="dxa"/>
        </w:trPr>
        <w:tc>
          <w:tcPr>
            <w:tcW w:w="0" w:type="auto"/>
            <w:noWrap w:val="0"/>
            <w:vAlign w:val="center"/>
          </w:tcPr>
          <w:p w14:paraId="11E487CF">
            <w:r>
              <w:rPr>
                <w:rStyle w:val="10"/>
                <w:rFonts w:hint="eastAsia"/>
              </w:rPr>
              <w:t>登记证持有人：</w:t>
            </w:r>
            <w:r>
              <w:rPr>
                <w:rFonts w:hint="eastAsia"/>
              </w:rPr>
              <w:t>江苏优嘉植物保护有限公司</w:t>
            </w:r>
          </w:p>
        </w:tc>
      </w:tr>
      <w:tr w14:paraId="158D496D">
        <w:tblPrEx>
          <w:tblCellMar>
            <w:top w:w="0" w:type="dxa"/>
            <w:left w:w="0" w:type="dxa"/>
            <w:bottom w:w="0" w:type="dxa"/>
            <w:right w:w="0" w:type="dxa"/>
          </w:tblCellMar>
        </w:tblPrEx>
        <w:trPr>
          <w:wBefore w:w="0" w:type="auto"/>
          <w:tblCellSpacing w:w="0" w:type="dxa"/>
        </w:trPr>
        <w:tc>
          <w:tcPr>
            <w:tcW w:w="0" w:type="auto"/>
            <w:noWrap w:val="0"/>
            <w:vAlign w:val="center"/>
          </w:tcPr>
          <w:p w14:paraId="56560E1B">
            <w:r>
              <w:rPr>
                <w:rStyle w:val="10"/>
                <w:rFonts w:hint="eastAsia"/>
              </w:rPr>
              <w:t>农药名称：</w:t>
            </w:r>
            <w:r>
              <w:rPr>
                <w:rFonts w:hint="eastAsia"/>
              </w:rPr>
              <w:t>啶氧菌酯</w:t>
            </w:r>
          </w:p>
        </w:tc>
      </w:tr>
      <w:tr w14:paraId="13AB2879">
        <w:tblPrEx>
          <w:tblCellMar>
            <w:top w:w="0" w:type="dxa"/>
            <w:left w:w="0" w:type="dxa"/>
            <w:bottom w:w="0" w:type="dxa"/>
            <w:right w:w="0" w:type="dxa"/>
          </w:tblCellMar>
        </w:tblPrEx>
        <w:trPr>
          <w:wBefore w:w="0" w:type="auto"/>
          <w:tblCellSpacing w:w="0" w:type="dxa"/>
        </w:trPr>
        <w:tc>
          <w:tcPr>
            <w:tcW w:w="0" w:type="auto"/>
            <w:noWrap w:val="0"/>
            <w:vAlign w:val="center"/>
          </w:tcPr>
          <w:p w14:paraId="24823D62">
            <w:r>
              <w:rPr>
                <w:rStyle w:val="10"/>
                <w:rFonts w:hint="eastAsia"/>
              </w:rPr>
              <w:t>剂型：</w:t>
            </w:r>
            <w:r>
              <w:rPr>
                <w:rFonts w:hint="eastAsia"/>
              </w:rPr>
              <w:t>悬浮剂</w:t>
            </w:r>
          </w:p>
        </w:tc>
      </w:tr>
      <w:tr w14:paraId="34D9A720">
        <w:tblPrEx>
          <w:tblCellMar>
            <w:top w:w="0" w:type="dxa"/>
            <w:left w:w="0" w:type="dxa"/>
            <w:bottom w:w="0" w:type="dxa"/>
            <w:right w:w="0" w:type="dxa"/>
          </w:tblCellMar>
        </w:tblPrEx>
        <w:trPr>
          <w:wBefore w:w="0" w:type="auto"/>
          <w:tblCellSpacing w:w="0" w:type="dxa"/>
        </w:trPr>
        <w:tc>
          <w:tcPr>
            <w:tcW w:w="0" w:type="auto"/>
            <w:noWrap w:val="0"/>
            <w:vAlign w:val="center"/>
          </w:tcPr>
          <w:p w14:paraId="545FFA0D">
            <w:r>
              <w:rPr>
                <w:rStyle w:val="10"/>
                <w:rFonts w:hint="eastAsia"/>
              </w:rPr>
              <w:t>毒性及其标识：</w:t>
            </w:r>
            <w:r>
              <w:rPr>
                <w:rFonts w:hint="eastAsia"/>
              </w:rPr>
              <w:t xml:space="preserve"> 微毒 </w:t>
            </w:r>
          </w:p>
        </w:tc>
      </w:tr>
      <w:tr w14:paraId="642988C8">
        <w:tblPrEx>
          <w:tblCellMar>
            <w:top w:w="0" w:type="dxa"/>
            <w:left w:w="0" w:type="dxa"/>
            <w:bottom w:w="0" w:type="dxa"/>
            <w:right w:w="0" w:type="dxa"/>
          </w:tblCellMar>
        </w:tblPrEx>
        <w:trPr>
          <w:wBefore w:w="0" w:type="auto"/>
          <w:tblCellSpacing w:w="0" w:type="dxa"/>
        </w:trPr>
        <w:tc>
          <w:tcPr>
            <w:tcW w:w="0" w:type="auto"/>
            <w:noWrap w:val="0"/>
            <w:vAlign w:val="center"/>
          </w:tcPr>
          <w:p w14:paraId="4DE454D6">
            <w:r>
              <w:rPr>
                <w:rStyle w:val="10"/>
                <w:rFonts w:hint="eastAsia"/>
              </w:rPr>
              <w:t>总有效成分含量：</w:t>
            </w:r>
            <w:r>
              <w:rPr>
                <w:rFonts w:hint="eastAsia"/>
              </w:rPr>
              <w:t>22.5%</w:t>
            </w:r>
          </w:p>
        </w:tc>
      </w:tr>
      <w:tr w14:paraId="671D72BC">
        <w:tblPrEx>
          <w:tblCellMar>
            <w:top w:w="0" w:type="dxa"/>
            <w:left w:w="0" w:type="dxa"/>
            <w:bottom w:w="0" w:type="dxa"/>
            <w:right w:w="0" w:type="dxa"/>
          </w:tblCellMar>
        </w:tblPrEx>
        <w:trPr>
          <w:wBefore w:w="0" w:type="auto"/>
          <w:tblCellSpacing w:w="0" w:type="dxa"/>
        </w:trPr>
        <w:tc>
          <w:tcPr>
            <w:tcW w:w="0" w:type="auto"/>
            <w:noWrap w:val="0"/>
            <w:vAlign w:val="center"/>
          </w:tcPr>
          <w:p w14:paraId="63ACDF64">
            <w:r>
              <w:rPr>
                <w:rFonts w:hint="eastAsia"/>
              </w:rPr>
              <w:t xml:space="preserve">有效成分及其含量： </w:t>
            </w:r>
          </w:p>
          <w:p w14:paraId="508D5848">
            <w:r>
              <w:rPr>
                <w:rFonts w:hint="eastAsia"/>
              </w:rPr>
              <w:t xml:space="preserve">    啶氧菌酯22.5%    </w:t>
            </w:r>
          </w:p>
        </w:tc>
      </w:tr>
      <w:tr w14:paraId="17507C82">
        <w:tblPrEx>
          <w:tblCellMar>
            <w:top w:w="0" w:type="dxa"/>
            <w:left w:w="0" w:type="dxa"/>
            <w:bottom w:w="0" w:type="dxa"/>
            <w:right w:w="0" w:type="dxa"/>
          </w:tblCellMar>
        </w:tblPrEx>
        <w:trPr>
          <w:wBefore w:w="0" w:type="auto"/>
          <w:tblCellSpacing w:w="0" w:type="dxa"/>
        </w:trPr>
        <w:tc>
          <w:tcPr>
            <w:tcW w:w="0" w:type="auto"/>
            <w:noWrap w:val="0"/>
            <w:vAlign w:val="center"/>
          </w:tcPr>
          <w:p w14:paraId="67995E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6C15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C214C4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DBB53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DB6AB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F93906">
                  <w:r>
                    <w:rPr>
                      <w:rStyle w:val="11"/>
                      <w:rFonts w:hint="eastAsia"/>
                    </w:rPr>
                    <w:t>施用方式</w:t>
                  </w:r>
                </w:p>
              </w:tc>
            </w:tr>
            <w:tr w14:paraId="3C110A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B0AD96">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C815C0">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48E3C7">
                  <w:r>
                    <w:rPr>
                      <w:rStyle w:val="11"/>
                      <w:rFonts w:hint="eastAsia"/>
                    </w:rPr>
                    <w:t>39-50毫升/亩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4F8FB">
                  <w:r>
                    <w:rPr>
                      <w:rStyle w:val="11"/>
                      <w:rFonts w:hint="eastAsia"/>
                    </w:rPr>
                    <w:t>喷雾</w:t>
                  </w:r>
                </w:p>
              </w:tc>
            </w:tr>
          </w:tbl>
          <w:p w14:paraId="25A57510">
            <w:pPr>
              <w:rPr>
                <w:rFonts w:ascii="Times New Roman" w:hAnsi="Times New Roman" w:cs="Times New Roman"/>
                <w:sz w:val="20"/>
                <w:szCs w:val="20"/>
              </w:rPr>
            </w:pPr>
          </w:p>
        </w:tc>
      </w:tr>
      <w:tr w14:paraId="2F096538">
        <w:tblPrEx>
          <w:tblCellMar>
            <w:top w:w="0" w:type="dxa"/>
            <w:left w:w="0" w:type="dxa"/>
            <w:bottom w:w="0" w:type="dxa"/>
            <w:right w:w="0" w:type="dxa"/>
          </w:tblCellMar>
        </w:tblPrEx>
        <w:trPr>
          <w:wBefore w:w="0" w:type="auto"/>
          <w:tblCellSpacing w:w="0" w:type="dxa"/>
        </w:trPr>
        <w:tc>
          <w:tcPr>
            <w:tcW w:w="0" w:type="auto"/>
            <w:noWrap w:val="0"/>
            <w:vAlign w:val="center"/>
          </w:tcPr>
          <w:p w14:paraId="406CBACD">
            <w:r>
              <w:rPr>
                <w:rStyle w:val="10"/>
                <w:rFonts w:hint="eastAsia"/>
              </w:rPr>
              <w:t>使用技术要求:</w:t>
            </w:r>
            <w:r>
              <w:rPr>
                <w:rFonts w:hint="eastAsia"/>
              </w:rPr>
              <w:br w:type="textWrapping"/>
            </w:r>
            <w:r>
              <w:rPr>
                <w:rStyle w:val="11"/>
                <w:rFonts w:hint="eastAsia"/>
              </w:rPr>
              <w:t>1）西瓜炭疽病于病害发生前或发病初期喷雾施药，连续施药2-3次，每次间隔7-10天。2）大风天或预计1小时内有雨，请勿施药。3）使用本品在西瓜上时，每季作物最多施药3次，安全间隔期7天。</w:t>
            </w:r>
          </w:p>
        </w:tc>
      </w:tr>
      <w:tr w14:paraId="5BB5ABB7">
        <w:tblPrEx>
          <w:tblCellMar>
            <w:top w:w="0" w:type="dxa"/>
            <w:left w:w="0" w:type="dxa"/>
            <w:bottom w:w="0" w:type="dxa"/>
            <w:right w:w="0" w:type="dxa"/>
          </w:tblCellMar>
        </w:tblPrEx>
        <w:trPr>
          <w:wBefore w:w="0" w:type="auto"/>
          <w:tblCellSpacing w:w="0" w:type="dxa"/>
        </w:trPr>
        <w:tc>
          <w:tcPr>
            <w:tcW w:w="0" w:type="auto"/>
            <w:noWrap w:val="0"/>
            <w:vAlign w:val="center"/>
          </w:tcPr>
          <w:p w14:paraId="02861346">
            <w:r>
              <w:rPr>
                <w:rStyle w:val="10"/>
                <w:rFonts w:hint="eastAsia"/>
              </w:rPr>
              <w:t>产品性能:</w:t>
            </w:r>
            <w:r>
              <w:rPr>
                <w:rFonts w:hint="eastAsia"/>
              </w:rPr>
              <w:br w:type="textWrapping"/>
            </w:r>
            <w:r>
              <w:rPr>
                <w:rStyle w:val="11"/>
                <w:rFonts w:hint="eastAsia"/>
              </w:rPr>
              <w:t>本品属甲氧基丙烯酸酯类杀菌剂，具有铲除、保护、渗透和内吸作用，其进入病菌细胞内，抑制线粒体的呼吸作用，进而抑制病菌孢子萌发、菌丝生长以及孢子的形成。对西瓜炭疽病有较好的防治效果。</w:t>
            </w:r>
          </w:p>
        </w:tc>
      </w:tr>
      <w:tr w14:paraId="0519CE51">
        <w:tblPrEx>
          <w:tblCellMar>
            <w:top w:w="0" w:type="dxa"/>
            <w:left w:w="0" w:type="dxa"/>
            <w:bottom w:w="0" w:type="dxa"/>
            <w:right w:w="0" w:type="dxa"/>
          </w:tblCellMar>
        </w:tblPrEx>
        <w:trPr>
          <w:wBefore w:w="0" w:type="auto"/>
          <w:tblCellSpacing w:w="0" w:type="dxa"/>
        </w:trPr>
        <w:tc>
          <w:tcPr>
            <w:tcW w:w="0" w:type="auto"/>
            <w:noWrap w:val="0"/>
            <w:vAlign w:val="center"/>
          </w:tcPr>
          <w:p w14:paraId="7DC95C8E">
            <w:r>
              <w:rPr>
                <w:rStyle w:val="10"/>
                <w:rFonts w:hint="eastAsia"/>
              </w:rPr>
              <w:t>注意事项：</w:t>
            </w:r>
            <w:r>
              <w:rPr>
                <w:rFonts w:hint="eastAsia"/>
              </w:rPr>
              <w:br w:type="textWrapping"/>
            </w:r>
            <w:r>
              <w:rPr>
                <w:rStyle w:val="11"/>
                <w:rFonts w:hint="eastAsia"/>
              </w:rPr>
              <w:t>（1）本品避免与中等氧化剂接触。（2）遵守一般农药使用规则。施药时要穿戴防护用具、手套，避免使药液溅到眼睛、皮肤和衣服上，避免口鼻吸入，施药后用肥皂洗手、洗脸。（3）清洗喷雾器的废水和废弃的包装不可污染河流、井水、湖泊及其它开放性水源。用后的空袋冲洗三次后妥善处理，切勿重复使用或改作其它用途。（4）喷施的药液应避免漂移至水生生物栖息地。（5）建议与其他作用机制不同的杀菌剂轮换使用。（6）孕妇和哺乳期妇女禁止接触本品。（7）用过的容器应妥善处理，不可做他用，也不可随意丢弃。（8）水产养殖区，河塘等水体附近禁用，禁止在河塘水域清洗施药器具，桑园及蚕室附近禁用，瓢虫、赤眼蜂等天敌放飞区域禁用。</w:t>
            </w:r>
          </w:p>
        </w:tc>
      </w:tr>
      <w:tr w14:paraId="7AC39786">
        <w:tblPrEx>
          <w:tblCellMar>
            <w:top w:w="0" w:type="dxa"/>
            <w:left w:w="0" w:type="dxa"/>
            <w:bottom w:w="0" w:type="dxa"/>
            <w:right w:w="0" w:type="dxa"/>
          </w:tblCellMar>
        </w:tblPrEx>
        <w:trPr>
          <w:wBefore w:w="0" w:type="auto"/>
          <w:tblCellSpacing w:w="0" w:type="dxa"/>
        </w:trPr>
        <w:tc>
          <w:tcPr>
            <w:tcW w:w="0" w:type="auto"/>
            <w:noWrap w:val="0"/>
            <w:vAlign w:val="center"/>
          </w:tcPr>
          <w:p w14:paraId="45AD62EC">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脱去污染的衣物，用软布去除污染农药，立即用大量清水和肥皂冲洗。眼睛溅入：立即用流动清水冲洗不少于15分钟。吸入：立即离开施药现场，转移到空气清新处。误食：立即停止服用，用清水充分漱口后，立即携带农药标签到医院就诊。无专用解毒剂，对症治疗。</w:t>
            </w:r>
          </w:p>
        </w:tc>
      </w:tr>
      <w:tr w14:paraId="0B433976">
        <w:tblPrEx>
          <w:tblCellMar>
            <w:top w:w="0" w:type="dxa"/>
            <w:left w:w="0" w:type="dxa"/>
            <w:bottom w:w="0" w:type="dxa"/>
            <w:right w:w="0" w:type="dxa"/>
          </w:tblCellMar>
        </w:tblPrEx>
        <w:trPr>
          <w:wBefore w:w="0" w:type="auto"/>
          <w:tblCellSpacing w:w="0" w:type="dxa"/>
        </w:trPr>
        <w:tc>
          <w:tcPr>
            <w:tcW w:w="0" w:type="auto"/>
            <w:noWrap w:val="0"/>
            <w:vAlign w:val="center"/>
          </w:tcPr>
          <w:p w14:paraId="1AA4E8A7">
            <w:r>
              <w:rPr>
                <w:rStyle w:val="10"/>
                <w:rFonts w:hint="eastAsia"/>
              </w:rPr>
              <w:t>储存和运输方法：</w:t>
            </w:r>
            <w:r>
              <w:rPr>
                <w:rFonts w:hint="eastAsia"/>
              </w:rPr>
              <w:br w:type="textWrapping"/>
            </w:r>
            <w:r>
              <w:rPr>
                <w:rStyle w:val="11"/>
                <w:rFonts w:hint="eastAsia"/>
              </w:rPr>
              <w:t>本品应贮存于阴凉、干燥、通风、避光处，并远离火源和热源。 应置于儿童及宠物触及不到之处，并加锁。 运输时，请注意防雨淋、高温，轻拿轻放，不得损坏包装。 请勿与食品、饮料、粮食、饲料等其他商品同贮同运。</w:t>
            </w:r>
          </w:p>
        </w:tc>
      </w:tr>
      <w:tr w14:paraId="30E11637">
        <w:tblPrEx>
          <w:tblCellMar>
            <w:top w:w="0" w:type="dxa"/>
            <w:left w:w="0" w:type="dxa"/>
            <w:bottom w:w="0" w:type="dxa"/>
            <w:right w:w="0" w:type="dxa"/>
          </w:tblCellMar>
        </w:tblPrEx>
        <w:trPr>
          <w:wBefore w:w="0" w:type="auto"/>
          <w:tblCellSpacing w:w="0" w:type="dxa"/>
        </w:trPr>
        <w:tc>
          <w:tcPr>
            <w:tcW w:w="0" w:type="auto"/>
            <w:noWrap w:val="0"/>
            <w:vAlign w:val="center"/>
          </w:tcPr>
          <w:p w14:paraId="49CC1BC6">
            <w:r>
              <w:rPr>
                <w:rStyle w:val="10"/>
                <w:rFonts w:hint="eastAsia"/>
              </w:rPr>
              <w:t>质量保证期：</w:t>
            </w:r>
            <w:r>
              <w:rPr>
                <w:rStyle w:val="11"/>
                <w:rFonts w:hint="eastAsia"/>
              </w:rPr>
              <w:t>2年</w:t>
            </w:r>
          </w:p>
        </w:tc>
      </w:tr>
      <w:tr w14:paraId="0A2E53B0">
        <w:tblPrEx>
          <w:tblCellMar>
            <w:top w:w="0" w:type="dxa"/>
            <w:left w:w="0" w:type="dxa"/>
            <w:bottom w:w="0" w:type="dxa"/>
            <w:right w:w="0" w:type="dxa"/>
          </w:tblCellMar>
        </w:tblPrEx>
        <w:trPr>
          <w:wBefore w:w="0" w:type="auto"/>
          <w:tblCellSpacing w:w="0" w:type="dxa"/>
        </w:trPr>
        <w:tc>
          <w:tcPr>
            <w:tcW w:w="0" w:type="auto"/>
            <w:noWrap w:val="0"/>
            <w:vAlign w:val="center"/>
          </w:tcPr>
          <w:p w14:paraId="62C45A28">
            <w:r>
              <w:rPr>
                <w:rStyle w:val="10"/>
                <w:rFonts w:hint="eastAsia"/>
              </w:rPr>
              <w:t>备注：</w:t>
            </w:r>
          </w:p>
        </w:tc>
      </w:tr>
    </w:tbl>
    <w:p w14:paraId="726AF97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ADF15C">
        <w:tblPrEx>
          <w:tblCellMar>
            <w:top w:w="0" w:type="dxa"/>
            <w:left w:w="0" w:type="dxa"/>
            <w:bottom w:w="0" w:type="dxa"/>
            <w:right w:w="0" w:type="dxa"/>
          </w:tblCellMar>
        </w:tblPrEx>
        <w:trPr>
          <w:wBefore w:w="0" w:type="auto"/>
          <w:tblCellSpacing w:w="0" w:type="dxa"/>
        </w:trPr>
        <w:tc>
          <w:tcPr>
            <w:tcW w:w="0" w:type="auto"/>
            <w:noWrap w:val="0"/>
            <w:vAlign w:val="center"/>
          </w:tcPr>
          <w:p w14:paraId="643C8E2E">
            <w:r>
              <w:rPr>
                <w:rStyle w:val="10"/>
                <w:rFonts w:hint="eastAsia"/>
              </w:rPr>
              <w:t>登记证号：</w:t>
            </w:r>
            <w:r>
              <w:rPr>
                <w:rFonts w:hint="eastAsia"/>
              </w:rPr>
              <w:t>WP20210367</w:t>
            </w:r>
          </w:p>
        </w:tc>
      </w:tr>
      <w:tr w14:paraId="4AACD670">
        <w:tblPrEx>
          <w:tblCellMar>
            <w:top w:w="0" w:type="dxa"/>
            <w:left w:w="0" w:type="dxa"/>
            <w:bottom w:w="0" w:type="dxa"/>
            <w:right w:w="0" w:type="dxa"/>
          </w:tblCellMar>
        </w:tblPrEx>
        <w:trPr>
          <w:wBefore w:w="0" w:type="auto"/>
          <w:tblCellSpacing w:w="0" w:type="dxa"/>
        </w:trPr>
        <w:tc>
          <w:tcPr>
            <w:tcW w:w="0" w:type="auto"/>
            <w:noWrap w:val="0"/>
            <w:vAlign w:val="center"/>
          </w:tcPr>
          <w:p w14:paraId="51C4795C">
            <w:r>
              <w:rPr>
                <w:rStyle w:val="10"/>
                <w:rFonts w:hint="eastAsia"/>
              </w:rPr>
              <w:t>登记证持有人：</w:t>
            </w:r>
            <w:r>
              <w:rPr>
                <w:rFonts w:hint="eastAsia"/>
              </w:rPr>
              <w:t>江西山峰日化有限公司</w:t>
            </w:r>
          </w:p>
        </w:tc>
      </w:tr>
      <w:tr w14:paraId="767E4E22">
        <w:tblPrEx>
          <w:tblCellMar>
            <w:top w:w="0" w:type="dxa"/>
            <w:left w:w="0" w:type="dxa"/>
            <w:bottom w:w="0" w:type="dxa"/>
            <w:right w:w="0" w:type="dxa"/>
          </w:tblCellMar>
        </w:tblPrEx>
        <w:trPr>
          <w:wBefore w:w="0" w:type="auto"/>
          <w:tblCellSpacing w:w="0" w:type="dxa"/>
        </w:trPr>
        <w:tc>
          <w:tcPr>
            <w:tcW w:w="0" w:type="auto"/>
            <w:noWrap w:val="0"/>
            <w:vAlign w:val="center"/>
          </w:tcPr>
          <w:p w14:paraId="7E62257F">
            <w:r>
              <w:rPr>
                <w:rStyle w:val="10"/>
                <w:rFonts w:hint="eastAsia"/>
              </w:rPr>
              <w:t>农药名称：</w:t>
            </w:r>
            <w:r>
              <w:rPr>
                <w:rFonts w:hint="eastAsia"/>
              </w:rPr>
              <w:t>杀蟑烟剂</w:t>
            </w:r>
          </w:p>
        </w:tc>
      </w:tr>
      <w:tr w14:paraId="48FEC23C">
        <w:tblPrEx>
          <w:tblCellMar>
            <w:top w:w="0" w:type="dxa"/>
            <w:left w:w="0" w:type="dxa"/>
            <w:bottom w:w="0" w:type="dxa"/>
            <w:right w:w="0" w:type="dxa"/>
          </w:tblCellMar>
        </w:tblPrEx>
        <w:trPr>
          <w:wBefore w:w="0" w:type="auto"/>
          <w:tblCellSpacing w:w="0" w:type="dxa"/>
        </w:trPr>
        <w:tc>
          <w:tcPr>
            <w:tcW w:w="0" w:type="auto"/>
            <w:noWrap w:val="0"/>
            <w:vAlign w:val="center"/>
          </w:tcPr>
          <w:p w14:paraId="1BDBCC19">
            <w:r>
              <w:rPr>
                <w:rStyle w:val="10"/>
                <w:rFonts w:hint="eastAsia"/>
              </w:rPr>
              <w:t>剂型：</w:t>
            </w:r>
            <w:r>
              <w:rPr>
                <w:rFonts w:hint="eastAsia"/>
              </w:rPr>
              <w:t>烟剂</w:t>
            </w:r>
          </w:p>
        </w:tc>
      </w:tr>
      <w:tr w14:paraId="39512843">
        <w:tblPrEx>
          <w:tblCellMar>
            <w:top w:w="0" w:type="dxa"/>
            <w:left w:w="0" w:type="dxa"/>
            <w:bottom w:w="0" w:type="dxa"/>
            <w:right w:w="0" w:type="dxa"/>
          </w:tblCellMar>
        </w:tblPrEx>
        <w:trPr>
          <w:wBefore w:w="0" w:type="auto"/>
          <w:tblCellSpacing w:w="0" w:type="dxa"/>
        </w:trPr>
        <w:tc>
          <w:tcPr>
            <w:tcW w:w="0" w:type="auto"/>
            <w:noWrap w:val="0"/>
            <w:vAlign w:val="center"/>
          </w:tcPr>
          <w:p w14:paraId="7D34EA72">
            <w:r>
              <w:rPr>
                <w:rStyle w:val="10"/>
                <w:rFonts w:hint="eastAsia"/>
              </w:rPr>
              <w:t>毒性及其标识：</w:t>
            </w:r>
            <w:r>
              <w:rPr>
                <w:rFonts w:hint="eastAsia"/>
              </w:rPr>
              <w:t xml:space="preserve"> 微毒 </w:t>
            </w:r>
          </w:p>
        </w:tc>
      </w:tr>
      <w:tr w14:paraId="02D20CE6">
        <w:tblPrEx>
          <w:tblCellMar>
            <w:top w:w="0" w:type="dxa"/>
            <w:left w:w="0" w:type="dxa"/>
            <w:bottom w:w="0" w:type="dxa"/>
            <w:right w:w="0" w:type="dxa"/>
          </w:tblCellMar>
        </w:tblPrEx>
        <w:trPr>
          <w:wBefore w:w="0" w:type="auto"/>
          <w:tblCellSpacing w:w="0" w:type="dxa"/>
        </w:trPr>
        <w:tc>
          <w:tcPr>
            <w:tcW w:w="0" w:type="auto"/>
            <w:noWrap w:val="0"/>
            <w:vAlign w:val="center"/>
          </w:tcPr>
          <w:p w14:paraId="40D1C66F">
            <w:r>
              <w:rPr>
                <w:rStyle w:val="10"/>
                <w:rFonts w:hint="eastAsia"/>
              </w:rPr>
              <w:t>总有效成分含量：</w:t>
            </w:r>
            <w:r>
              <w:rPr>
                <w:rFonts w:hint="eastAsia"/>
              </w:rPr>
              <w:t>7.2%</w:t>
            </w:r>
          </w:p>
        </w:tc>
      </w:tr>
      <w:tr w14:paraId="7A4795A0">
        <w:tblPrEx>
          <w:tblCellMar>
            <w:top w:w="0" w:type="dxa"/>
            <w:left w:w="0" w:type="dxa"/>
            <w:bottom w:w="0" w:type="dxa"/>
            <w:right w:w="0" w:type="dxa"/>
          </w:tblCellMar>
        </w:tblPrEx>
        <w:trPr>
          <w:wBefore w:w="0" w:type="auto"/>
          <w:tblCellSpacing w:w="0" w:type="dxa"/>
        </w:trPr>
        <w:tc>
          <w:tcPr>
            <w:tcW w:w="0" w:type="auto"/>
            <w:noWrap w:val="0"/>
            <w:vAlign w:val="center"/>
          </w:tcPr>
          <w:p w14:paraId="471B1217">
            <w:r>
              <w:rPr>
                <w:rFonts w:hint="eastAsia"/>
              </w:rPr>
              <w:t xml:space="preserve">有效成分及其含量： </w:t>
            </w:r>
          </w:p>
          <w:p w14:paraId="6EE7EB06">
            <w:r>
              <w:rPr>
                <w:rFonts w:hint="eastAsia"/>
              </w:rPr>
              <w:t xml:space="preserve">    右旋苯醚氰菊酯7.2%    </w:t>
            </w:r>
          </w:p>
        </w:tc>
      </w:tr>
      <w:tr w14:paraId="29444F55">
        <w:tblPrEx>
          <w:tblCellMar>
            <w:top w:w="0" w:type="dxa"/>
            <w:left w:w="0" w:type="dxa"/>
            <w:bottom w:w="0" w:type="dxa"/>
            <w:right w:w="0" w:type="dxa"/>
          </w:tblCellMar>
        </w:tblPrEx>
        <w:trPr>
          <w:wBefore w:w="0" w:type="auto"/>
          <w:tblCellSpacing w:w="0" w:type="dxa"/>
        </w:trPr>
        <w:tc>
          <w:tcPr>
            <w:tcW w:w="0" w:type="auto"/>
            <w:noWrap w:val="0"/>
            <w:vAlign w:val="center"/>
          </w:tcPr>
          <w:p w14:paraId="51FB23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0E14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563A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8D45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96999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E2AA88">
                  <w:r>
                    <w:rPr>
                      <w:rStyle w:val="11"/>
                      <w:rFonts w:hint="eastAsia"/>
                    </w:rPr>
                    <w:t>施用方式</w:t>
                  </w:r>
                </w:p>
              </w:tc>
            </w:tr>
            <w:tr w14:paraId="3CAD30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3DB0C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E3054D">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EE0E9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DC5F11">
                  <w:r>
                    <w:rPr>
                      <w:rStyle w:val="11"/>
                      <w:rFonts w:hint="eastAsia"/>
                    </w:rPr>
                    <w:t>点燃</w:t>
                  </w:r>
                </w:p>
              </w:tc>
            </w:tr>
          </w:tbl>
          <w:p w14:paraId="5B400D06">
            <w:pPr>
              <w:rPr>
                <w:rFonts w:ascii="Times New Roman" w:hAnsi="Times New Roman" w:cs="Times New Roman"/>
                <w:sz w:val="20"/>
                <w:szCs w:val="20"/>
              </w:rPr>
            </w:pPr>
          </w:p>
        </w:tc>
      </w:tr>
      <w:tr w14:paraId="625E3EDF">
        <w:tblPrEx>
          <w:tblCellMar>
            <w:top w:w="0" w:type="dxa"/>
            <w:left w:w="0" w:type="dxa"/>
            <w:bottom w:w="0" w:type="dxa"/>
            <w:right w:w="0" w:type="dxa"/>
          </w:tblCellMar>
        </w:tblPrEx>
        <w:trPr>
          <w:wBefore w:w="0" w:type="auto"/>
          <w:tblCellSpacing w:w="0" w:type="dxa"/>
        </w:trPr>
        <w:tc>
          <w:tcPr>
            <w:tcW w:w="0" w:type="auto"/>
            <w:noWrap w:val="0"/>
            <w:vAlign w:val="center"/>
          </w:tcPr>
          <w:p w14:paraId="6CDFE383">
            <w:r>
              <w:rPr>
                <w:rStyle w:val="10"/>
                <w:rFonts w:hint="eastAsia"/>
              </w:rPr>
              <w:t>使用技术要求:</w:t>
            </w:r>
            <w:r>
              <w:rPr>
                <w:rFonts w:hint="eastAsia"/>
              </w:rPr>
              <w:br w:type="textWrapping"/>
            </w:r>
            <w:r>
              <w:rPr>
                <w:rStyle w:val="11"/>
                <w:rFonts w:hint="eastAsia"/>
              </w:rPr>
              <w:t>1.剪开包装铝箔，取出杀蟑烟剂。2.将其放置于托架上（建议每5平方米的面积使用1片，面积大时可两片叠合使用），点燃后吹灭明火，放置于室中央，任其自然产生烟雾。并将门窗关严不留缝隙，以免蟑螂害虫从中逃跑，用药后人畜立即离开房间。3. 烟熏三小时后便可打开门窗，经充分通风后方可再次进入房间，并及时清扫击倒的蟑螂害虫</w:t>
            </w:r>
          </w:p>
        </w:tc>
      </w:tr>
      <w:tr w14:paraId="654ECAEE">
        <w:tblPrEx>
          <w:tblCellMar>
            <w:top w:w="0" w:type="dxa"/>
            <w:left w:w="0" w:type="dxa"/>
            <w:bottom w:w="0" w:type="dxa"/>
            <w:right w:w="0" w:type="dxa"/>
          </w:tblCellMar>
        </w:tblPrEx>
        <w:trPr>
          <w:wBefore w:w="0" w:type="auto"/>
          <w:tblCellSpacing w:w="0" w:type="dxa"/>
        </w:trPr>
        <w:tc>
          <w:tcPr>
            <w:tcW w:w="0" w:type="auto"/>
            <w:noWrap w:val="0"/>
            <w:vAlign w:val="center"/>
          </w:tcPr>
          <w:p w14:paraId="41C03008">
            <w:r>
              <w:rPr>
                <w:rStyle w:val="10"/>
                <w:rFonts w:hint="eastAsia"/>
              </w:rPr>
              <w:t>产品性能:</w:t>
            </w:r>
            <w:r>
              <w:rPr>
                <w:rFonts w:hint="eastAsia"/>
              </w:rPr>
              <w:br w:type="textWrapping"/>
            </w:r>
            <w:r>
              <w:rPr>
                <w:rStyle w:val="11"/>
                <w:rFonts w:hint="eastAsia"/>
              </w:rPr>
              <w:t>本品采用弥漫烟熏的方法驱杀隐藏的蟑螂，施药方便简单。</w:t>
            </w:r>
          </w:p>
        </w:tc>
      </w:tr>
      <w:tr w14:paraId="60DECD9D">
        <w:tblPrEx>
          <w:tblCellMar>
            <w:top w:w="0" w:type="dxa"/>
            <w:left w:w="0" w:type="dxa"/>
            <w:bottom w:w="0" w:type="dxa"/>
            <w:right w:w="0" w:type="dxa"/>
          </w:tblCellMar>
        </w:tblPrEx>
        <w:trPr>
          <w:wBefore w:w="0" w:type="auto"/>
          <w:tblCellSpacing w:w="0" w:type="dxa"/>
        </w:trPr>
        <w:tc>
          <w:tcPr>
            <w:tcW w:w="0" w:type="auto"/>
            <w:noWrap w:val="0"/>
            <w:vAlign w:val="center"/>
          </w:tcPr>
          <w:p w14:paraId="2E91AAE8">
            <w:r>
              <w:rPr>
                <w:rStyle w:val="10"/>
                <w:rFonts w:hint="eastAsia"/>
              </w:rPr>
              <w:t>注意事项：</w:t>
            </w:r>
            <w:r>
              <w:rPr>
                <w:rFonts w:hint="eastAsia"/>
              </w:rPr>
              <w:br w:type="textWrapping"/>
            </w:r>
            <w:r>
              <w:rPr>
                <w:rStyle w:val="11"/>
                <w:rFonts w:hint="eastAsia"/>
              </w:rPr>
              <w:t>仅限室内使用。勿用易燃品做接灰盘；使用后注意通风；注意防火安全；本品对鱼类、蜂和蚕有毒，蚕室内及其附近禁用；过敏者禁用；用后洗手，拆封后未使用的烟剂要封好保存。使用中有任何不良反应请及时就医。孕妇及哺乳期妇女禁止接触。</w:t>
            </w:r>
          </w:p>
        </w:tc>
      </w:tr>
      <w:tr w14:paraId="7CD743CB">
        <w:tblPrEx>
          <w:tblCellMar>
            <w:top w:w="0" w:type="dxa"/>
            <w:left w:w="0" w:type="dxa"/>
            <w:bottom w:w="0" w:type="dxa"/>
            <w:right w:w="0" w:type="dxa"/>
          </w:tblCellMar>
        </w:tblPrEx>
        <w:trPr>
          <w:wBefore w:w="0" w:type="auto"/>
          <w:tblCellSpacing w:w="0" w:type="dxa"/>
        </w:trPr>
        <w:tc>
          <w:tcPr>
            <w:tcW w:w="0" w:type="auto"/>
            <w:noWrap w:val="0"/>
            <w:vAlign w:val="center"/>
          </w:tcPr>
          <w:p w14:paraId="161AD51F">
            <w:r>
              <w:rPr>
                <w:rStyle w:val="10"/>
                <w:rFonts w:hint="eastAsia"/>
              </w:rPr>
              <w:t>中毒急救措施：</w:t>
            </w:r>
            <w:r>
              <w:rPr>
                <w:rFonts w:hint="eastAsia"/>
              </w:rPr>
              <w:br w:type="textWrapping"/>
            </w:r>
            <w:r>
              <w:rPr>
                <w:rStyle w:val="11"/>
                <w:rFonts w:hint="eastAsia"/>
              </w:rPr>
              <w:t>使用本品若不慎误服，请立即携本品包装至医院诊治。</w:t>
            </w:r>
          </w:p>
        </w:tc>
      </w:tr>
      <w:tr w14:paraId="131378B1">
        <w:tblPrEx>
          <w:tblCellMar>
            <w:top w:w="0" w:type="dxa"/>
            <w:left w:w="0" w:type="dxa"/>
            <w:bottom w:w="0" w:type="dxa"/>
            <w:right w:w="0" w:type="dxa"/>
          </w:tblCellMar>
        </w:tblPrEx>
        <w:trPr>
          <w:wBefore w:w="0" w:type="auto"/>
          <w:tblCellSpacing w:w="0" w:type="dxa"/>
        </w:trPr>
        <w:tc>
          <w:tcPr>
            <w:tcW w:w="0" w:type="auto"/>
            <w:noWrap w:val="0"/>
            <w:vAlign w:val="center"/>
          </w:tcPr>
          <w:p w14:paraId="0756196E">
            <w:r>
              <w:rPr>
                <w:rStyle w:val="10"/>
                <w:rFonts w:hint="eastAsia"/>
              </w:rPr>
              <w:t>储存和运输方法：</w:t>
            </w:r>
            <w:r>
              <w:rPr>
                <w:rFonts w:hint="eastAsia"/>
              </w:rPr>
              <w:br w:type="textWrapping"/>
            </w:r>
            <w:r>
              <w:rPr>
                <w:rStyle w:val="11"/>
                <w:rFonts w:hint="eastAsia"/>
              </w:rPr>
              <w:t>本品应贮存在干燥、阴凉、通风、防雨处。防止重压。勿与食品、饮料、饲料、粮食及易燃易爆品混放混运。置于儿童、无关人员接触不到的地方，并加锁。</w:t>
            </w:r>
          </w:p>
        </w:tc>
      </w:tr>
      <w:tr w14:paraId="1A563871">
        <w:tblPrEx>
          <w:tblCellMar>
            <w:top w:w="0" w:type="dxa"/>
            <w:left w:w="0" w:type="dxa"/>
            <w:bottom w:w="0" w:type="dxa"/>
            <w:right w:w="0" w:type="dxa"/>
          </w:tblCellMar>
        </w:tblPrEx>
        <w:trPr>
          <w:wBefore w:w="0" w:type="auto"/>
          <w:tblCellSpacing w:w="0" w:type="dxa"/>
        </w:trPr>
        <w:tc>
          <w:tcPr>
            <w:tcW w:w="0" w:type="auto"/>
            <w:noWrap w:val="0"/>
            <w:vAlign w:val="center"/>
          </w:tcPr>
          <w:p w14:paraId="6A60AB4C">
            <w:r>
              <w:rPr>
                <w:rStyle w:val="10"/>
                <w:rFonts w:hint="eastAsia"/>
              </w:rPr>
              <w:t>质量保证期：</w:t>
            </w:r>
            <w:r>
              <w:rPr>
                <w:rStyle w:val="11"/>
                <w:rFonts w:hint="eastAsia"/>
              </w:rPr>
              <w:t>3年</w:t>
            </w:r>
          </w:p>
        </w:tc>
      </w:tr>
      <w:tr w14:paraId="30032867">
        <w:tblPrEx>
          <w:tblCellMar>
            <w:top w:w="0" w:type="dxa"/>
            <w:left w:w="0" w:type="dxa"/>
            <w:bottom w:w="0" w:type="dxa"/>
            <w:right w:w="0" w:type="dxa"/>
          </w:tblCellMar>
        </w:tblPrEx>
        <w:trPr>
          <w:wBefore w:w="0" w:type="auto"/>
          <w:tblCellSpacing w:w="0" w:type="dxa"/>
        </w:trPr>
        <w:tc>
          <w:tcPr>
            <w:tcW w:w="0" w:type="auto"/>
            <w:noWrap w:val="0"/>
            <w:vAlign w:val="center"/>
          </w:tcPr>
          <w:p w14:paraId="736BC618">
            <w:r>
              <w:rPr>
                <w:rStyle w:val="10"/>
                <w:rFonts w:hint="eastAsia"/>
              </w:rPr>
              <w:t>备注：</w:t>
            </w:r>
          </w:p>
        </w:tc>
      </w:tr>
    </w:tbl>
    <w:p w14:paraId="54E1EF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34F2A1">
        <w:tblPrEx>
          <w:tblCellMar>
            <w:top w:w="0" w:type="dxa"/>
            <w:left w:w="0" w:type="dxa"/>
            <w:bottom w:w="0" w:type="dxa"/>
            <w:right w:w="0" w:type="dxa"/>
          </w:tblCellMar>
        </w:tblPrEx>
        <w:trPr>
          <w:wBefore w:w="0" w:type="auto"/>
          <w:tblCellSpacing w:w="0" w:type="dxa"/>
        </w:trPr>
        <w:tc>
          <w:tcPr>
            <w:tcW w:w="0" w:type="auto"/>
            <w:noWrap w:val="0"/>
            <w:vAlign w:val="center"/>
          </w:tcPr>
          <w:p w14:paraId="08E5D944">
            <w:r>
              <w:rPr>
                <w:rStyle w:val="10"/>
                <w:rFonts w:hint="eastAsia"/>
              </w:rPr>
              <w:t>登记证号：</w:t>
            </w:r>
            <w:r>
              <w:rPr>
                <w:rFonts w:hint="eastAsia"/>
              </w:rPr>
              <w:t>PD20212738</w:t>
            </w:r>
          </w:p>
        </w:tc>
      </w:tr>
      <w:tr w14:paraId="2B102670">
        <w:tblPrEx>
          <w:tblCellMar>
            <w:top w:w="0" w:type="dxa"/>
            <w:left w:w="0" w:type="dxa"/>
            <w:bottom w:w="0" w:type="dxa"/>
            <w:right w:w="0" w:type="dxa"/>
          </w:tblCellMar>
        </w:tblPrEx>
        <w:trPr>
          <w:wBefore w:w="0" w:type="auto"/>
          <w:tblCellSpacing w:w="0" w:type="dxa"/>
        </w:trPr>
        <w:tc>
          <w:tcPr>
            <w:tcW w:w="0" w:type="auto"/>
            <w:noWrap w:val="0"/>
            <w:vAlign w:val="center"/>
          </w:tcPr>
          <w:p w14:paraId="139D8A59">
            <w:r>
              <w:rPr>
                <w:rStyle w:val="10"/>
                <w:rFonts w:hint="eastAsia"/>
              </w:rPr>
              <w:t>登记证持有人：</w:t>
            </w:r>
            <w:r>
              <w:rPr>
                <w:rFonts w:hint="eastAsia"/>
              </w:rPr>
              <w:t>陕西恒田生物农业有限公司</w:t>
            </w:r>
          </w:p>
        </w:tc>
      </w:tr>
      <w:tr w14:paraId="242DC28F">
        <w:tblPrEx>
          <w:tblCellMar>
            <w:top w:w="0" w:type="dxa"/>
            <w:left w:w="0" w:type="dxa"/>
            <w:bottom w:w="0" w:type="dxa"/>
            <w:right w:w="0" w:type="dxa"/>
          </w:tblCellMar>
        </w:tblPrEx>
        <w:trPr>
          <w:wBefore w:w="0" w:type="auto"/>
          <w:tblCellSpacing w:w="0" w:type="dxa"/>
        </w:trPr>
        <w:tc>
          <w:tcPr>
            <w:tcW w:w="0" w:type="auto"/>
            <w:noWrap w:val="0"/>
            <w:vAlign w:val="center"/>
          </w:tcPr>
          <w:p w14:paraId="29231B52">
            <w:r>
              <w:rPr>
                <w:rStyle w:val="10"/>
                <w:rFonts w:hint="eastAsia"/>
              </w:rPr>
              <w:t>农药名称：</w:t>
            </w:r>
            <w:r>
              <w:rPr>
                <w:rFonts w:hint="eastAsia"/>
              </w:rPr>
              <w:t>胺鲜酯柠檬酸盐</w:t>
            </w:r>
          </w:p>
        </w:tc>
      </w:tr>
      <w:tr w14:paraId="732BBC91">
        <w:tblPrEx>
          <w:tblCellMar>
            <w:top w:w="0" w:type="dxa"/>
            <w:left w:w="0" w:type="dxa"/>
            <w:bottom w:w="0" w:type="dxa"/>
            <w:right w:w="0" w:type="dxa"/>
          </w:tblCellMar>
        </w:tblPrEx>
        <w:trPr>
          <w:wBefore w:w="0" w:type="auto"/>
          <w:tblCellSpacing w:w="0" w:type="dxa"/>
        </w:trPr>
        <w:tc>
          <w:tcPr>
            <w:tcW w:w="0" w:type="auto"/>
            <w:noWrap w:val="0"/>
            <w:vAlign w:val="center"/>
          </w:tcPr>
          <w:p w14:paraId="7F2DF6D1">
            <w:r>
              <w:rPr>
                <w:rStyle w:val="10"/>
                <w:rFonts w:hint="eastAsia"/>
              </w:rPr>
              <w:t>剂型：</w:t>
            </w:r>
            <w:r>
              <w:rPr>
                <w:rFonts w:hint="eastAsia"/>
              </w:rPr>
              <w:t>可溶液剂</w:t>
            </w:r>
          </w:p>
        </w:tc>
      </w:tr>
      <w:tr w14:paraId="602D6727">
        <w:tblPrEx>
          <w:tblCellMar>
            <w:top w:w="0" w:type="dxa"/>
            <w:left w:w="0" w:type="dxa"/>
            <w:bottom w:w="0" w:type="dxa"/>
            <w:right w:w="0" w:type="dxa"/>
          </w:tblCellMar>
        </w:tblPrEx>
        <w:trPr>
          <w:wBefore w:w="0" w:type="auto"/>
          <w:tblCellSpacing w:w="0" w:type="dxa"/>
        </w:trPr>
        <w:tc>
          <w:tcPr>
            <w:tcW w:w="0" w:type="auto"/>
            <w:noWrap w:val="0"/>
            <w:vAlign w:val="center"/>
          </w:tcPr>
          <w:p w14:paraId="1515F379">
            <w:r>
              <w:rPr>
                <w:rStyle w:val="10"/>
                <w:rFonts w:hint="eastAsia"/>
              </w:rPr>
              <w:t>毒性及其标识：</w:t>
            </w:r>
            <w:r>
              <w:rPr>
                <w:rFonts w:hint="eastAsia"/>
              </w:rPr>
              <w:t xml:space="preserve"> </w:t>
            </w:r>
            <w:r>
              <w:rPr>
                <w:lang/>
              </w:rPr>
              <w:drawing>
                <wp:inline distT="0" distB="0" distL="114300" distR="114300">
                  <wp:extent cx="476250" cy="323850"/>
                  <wp:effectExtent l="0" t="0" r="0" b="0"/>
                  <wp:docPr id="213" name="图片 2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B0938F">
        <w:tblPrEx>
          <w:tblCellMar>
            <w:top w:w="0" w:type="dxa"/>
            <w:left w:w="0" w:type="dxa"/>
            <w:bottom w:w="0" w:type="dxa"/>
            <w:right w:w="0" w:type="dxa"/>
          </w:tblCellMar>
        </w:tblPrEx>
        <w:trPr>
          <w:wBefore w:w="0" w:type="auto"/>
          <w:tblCellSpacing w:w="0" w:type="dxa"/>
        </w:trPr>
        <w:tc>
          <w:tcPr>
            <w:tcW w:w="0" w:type="auto"/>
            <w:noWrap w:val="0"/>
            <w:vAlign w:val="center"/>
          </w:tcPr>
          <w:p w14:paraId="604C3F44">
            <w:r>
              <w:rPr>
                <w:rStyle w:val="10"/>
                <w:rFonts w:hint="eastAsia"/>
              </w:rPr>
              <w:t>总有效成分含量：</w:t>
            </w:r>
            <w:r>
              <w:rPr>
                <w:rFonts w:hint="eastAsia"/>
              </w:rPr>
              <w:t>8%</w:t>
            </w:r>
          </w:p>
        </w:tc>
      </w:tr>
      <w:tr w14:paraId="7F97D8E0">
        <w:tblPrEx>
          <w:tblCellMar>
            <w:top w:w="0" w:type="dxa"/>
            <w:left w:w="0" w:type="dxa"/>
            <w:bottom w:w="0" w:type="dxa"/>
            <w:right w:w="0" w:type="dxa"/>
          </w:tblCellMar>
        </w:tblPrEx>
        <w:trPr>
          <w:wBefore w:w="0" w:type="auto"/>
          <w:tblCellSpacing w:w="0" w:type="dxa"/>
        </w:trPr>
        <w:tc>
          <w:tcPr>
            <w:tcW w:w="0" w:type="auto"/>
            <w:noWrap w:val="0"/>
            <w:vAlign w:val="center"/>
          </w:tcPr>
          <w:p w14:paraId="4AF64749">
            <w:r>
              <w:rPr>
                <w:rFonts w:hint="eastAsia"/>
              </w:rPr>
              <w:t xml:space="preserve">有效成分及其含量： </w:t>
            </w:r>
          </w:p>
          <w:p w14:paraId="14892482">
            <w:r>
              <w:rPr>
                <w:rFonts w:hint="eastAsia"/>
              </w:rPr>
              <w:t xml:space="preserve">    胺鲜酯8%    </w:t>
            </w:r>
          </w:p>
        </w:tc>
      </w:tr>
      <w:tr w14:paraId="2A094265">
        <w:tblPrEx>
          <w:tblCellMar>
            <w:top w:w="0" w:type="dxa"/>
            <w:left w:w="0" w:type="dxa"/>
            <w:bottom w:w="0" w:type="dxa"/>
            <w:right w:w="0" w:type="dxa"/>
          </w:tblCellMar>
        </w:tblPrEx>
        <w:trPr>
          <w:wBefore w:w="0" w:type="auto"/>
          <w:tblCellSpacing w:w="0" w:type="dxa"/>
        </w:trPr>
        <w:tc>
          <w:tcPr>
            <w:tcW w:w="0" w:type="auto"/>
            <w:noWrap w:val="0"/>
            <w:vAlign w:val="center"/>
          </w:tcPr>
          <w:p w14:paraId="4806DDA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64DD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2468F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8CF7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3B14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859C19">
                  <w:r>
                    <w:rPr>
                      <w:rStyle w:val="11"/>
                      <w:rFonts w:hint="eastAsia"/>
                    </w:rPr>
                    <w:t>施用方式</w:t>
                  </w:r>
                </w:p>
              </w:tc>
            </w:tr>
            <w:tr w14:paraId="6D0F56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F02907">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928AA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11DE93">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49FF5">
                  <w:r>
                    <w:rPr>
                      <w:rStyle w:val="11"/>
                      <w:rFonts w:hint="eastAsia"/>
                    </w:rPr>
                    <w:t>喷雾</w:t>
                  </w:r>
                </w:p>
              </w:tc>
            </w:tr>
          </w:tbl>
          <w:p w14:paraId="55E54A6A">
            <w:pPr>
              <w:rPr>
                <w:rFonts w:ascii="Times New Roman" w:hAnsi="Times New Roman" w:cs="Times New Roman"/>
                <w:sz w:val="20"/>
                <w:szCs w:val="20"/>
              </w:rPr>
            </w:pPr>
          </w:p>
        </w:tc>
      </w:tr>
      <w:tr w14:paraId="0CFC3506">
        <w:tblPrEx>
          <w:tblCellMar>
            <w:top w:w="0" w:type="dxa"/>
            <w:left w:w="0" w:type="dxa"/>
            <w:bottom w:w="0" w:type="dxa"/>
            <w:right w:w="0" w:type="dxa"/>
          </w:tblCellMar>
        </w:tblPrEx>
        <w:trPr>
          <w:wBefore w:w="0" w:type="auto"/>
          <w:tblCellSpacing w:w="0" w:type="dxa"/>
        </w:trPr>
        <w:tc>
          <w:tcPr>
            <w:tcW w:w="0" w:type="auto"/>
            <w:noWrap w:val="0"/>
            <w:vAlign w:val="center"/>
          </w:tcPr>
          <w:p w14:paraId="46C44E80">
            <w:r>
              <w:rPr>
                <w:rStyle w:val="10"/>
                <w:rFonts w:hint="eastAsia"/>
              </w:rPr>
              <w:t>使用技术要求:</w:t>
            </w:r>
            <w:r>
              <w:rPr>
                <w:rFonts w:hint="eastAsia"/>
              </w:rPr>
              <w:br w:type="textWrapping"/>
            </w:r>
            <w:r>
              <w:rPr>
                <w:rStyle w:val="11"/>
                <w:rFonts w:hint="eastAsia"/>
              </w:rPr>
              <w:t>1.本品于大白菜苗期施药一次，间隔7天第二次施药，注意喷雾均匀、周到。2.大风天或下雨前后，请勿施药。3.每季最多使用2次，安全间隔期7天。 其他说明：</w:t>
            </w:r>
          </w:p>
        </w:tc>
      </w:tr>
      <w:tr w14:paraId="0E138251">
        <w:tblPrEx>
          <w:tblCellMar>
            <w:top w:w="0" w:type="dxa"/>
            <w:left w:w="0" w:type="dxa"/>
            <w:bottom w:w="0" w:type="dxa"/>
            <w:right w:w="0" w:type="dxa"/>
          </w:tblCellMar>
        </w:tblPrEx>
        <w:trPr>
          <w:wBefore w:w="0" w:type="auto"/>
          <w:tblCellSpacing w:w="0" w:type="dxa"/>
        </w:trPr>
        <w:tc>
          <w:tcPr>
            <w:tcW w:w="0" w:type="auto"/>
            <w:noWrap w:val="0"/>
            <w:vAlign w:val="center"/>
          </w:tcPr>
          <w:p w14:paraId="194D961E">
            <w:r>
              <w:rPr>
                <w:rStyle w:val="10"/>
                <w:rFonts w:hint="eastAsia"/>
              </w:rPr>
              <w:t>产品性能:</w:t>
            </w:r>
            <w:r>
              <w:rPr>
                <w:rFonts w:hint="eastAsia"/>
              </w:rPr>
              <w:br w:type="textWrapping"/>
            </w:r>
            <w:r>
              <w:rPr>
                <w:rStyle w:val="11"/>
                <w:rFonts w:hint="eastAsia"/>
              </w:rPr>
              <w:t>本品为植物生长调节剂。能提高植株内叶绿素、蛋白质、核酸的含量和光合速率，加强植株碳、氮的代谢，增强植株根系的发育和抗逆性，促进作物早熟、增产、提高产品品质。</w:t>
            </w:r>
          </w:p>
        </w:tc>
      </w:tr>
      <w:tr w14:paraId="3A88256E">
        <w:tblPrEx>
          <w:tblCellMar>
            <w:top w:w="0" w:type="dxa"/>
            <w:left w:w="0" w:type="dxa"/>
            <w:bottom w:w="0" w:type="dxa"/>
            <w:right w:w="0" w:type="dxa"/>
          </w:tblCellMar>
        </w:tblPrEx>
        <w:trPr>
          <w:wBefore w:w="0" w:type="auto"/>
          <w:tblCellSpacing w:w="0" w:type="dxa"/>
        </w:trPr>
        <w:tc>
          <w:tcPr>
            <w:tcW w:w="0" w:type="auto"/>
            <w:noWrap w:val="0"/>
            <w:vAlign w:val="center"/>
          </w:tcPr>
          <w:p w14:paraId="024EDEF7">
            <w:r>
              <w:rPr>
                <w:rStyle w:val="10"/>
                <w:rFonts w:hint="eastAsia"/>
              </w:rPr>
              <w:t>注意事项：</w:t>
            </w:r>
            <w:r>
              <w:rPr>
                <w:rFonts w:hint="eastAsia"/>
              </w:rPr>
              <w:br w:type="textWrapping"/>
            </w:r>
            <w:r>
              <w:rPr>
                <w:rStyle w:val="11"/>
                <w:rFonts w:hint="eastAsia"/>
              </w:rPr>
              <w:t>1．严格按照规定剂量和方法使用，用药应均匀、周到，不能随意增加浓度。2.本品宜现配现用，不可久置。3.禁止在河塘等水体中清洗施药器具，药液及其废液不得污染各类水域、土壤等环境。4．使用本品时应穿防护服和戴手套，避免吸入药液。施药期间不可吃东西和饮水。施药后应及时洗手和洗脸。5.用过的容器应妥善处理，不可做他用，也不可随意丢弃。6.孕妇及哺乳期妇女避免接触。</w:t>
            </w:r>
          </w:p>
        </w:tc>
      </w:tr>
      <w:tr w14:paraId="3150377C">
        <w:tblPrEx>
          <w:tblCellMar>
            <w:top w:w="0" w:type="dxa"/>
            <w:left w:w="0" w:type="dxa"/>
            <w:bottom w:w="0" w:type="dxa"/>
            <w:right w:w="0" w:type="dxa"/>
          </w:tblCellMar>
        </w:tblPrEx>
        <w:trPr>
          <w:wBefore w:w="0" w:type="auto"/>
          <w:tblCellSpacing w:w="0" w:type="dxa"/>
        </w:trPr>
        <w:tc>
          <w:tcPr>
            <w:tcW w:w="0" w:type="auto"/>
            <w:noWrap w:val="0"/>
            <w:vAlign w:val="center"/>
          </w:tcPr>
          <w:p w14:paraId="0C7BC9EF">
            <w:r>
              <w:rPr>
                <w:rStyle w:val="10"/>
                <w:rFonts w:hint="eastAsia"/>
              </w:rPr>
              <w:t>中毒急救措施：</w:t>
            </w:r>
            <w:r>
              <w:rPr>
                <w:rFonts w:hint="eastAsia"/>
              </w:rPr>
              <w:br w:type="textWrapping"/>
            </w:r>
            <w:r>
              <w:rPr>
                <w:rStyle w:val="11"/>
                <w:rFonts w:hint="eastAsia"/>
              </w:rPr>
              <w:t>皮肤接触：立即用大量清水和肥皂冲洗。眼睛溅入：立即用流动清水冲洗至少15分钟。吸入：立即离开施药现场，转移到空气清新处。误食：用清水充分漱口后，立即携标签到医院对症治疗。</w:t>
            </w:r>
          </w:p>
        </w:tc>
      </w:tr>
      <w:tr w14:paraId="4DE22D06">
        <w:tblPrEx>
          <w:tblCellMar>
            <w:top w:w="0" w:type="dxa"/>
            <w:left w:w="0" w:type="dxa"/>
            <w:bottom w:w="0" w:type="dxa"/>
            <w:right w:w="0" w:type="dxa"/>
          </w:tblCellMar>
        </w:tblPrEx>
        <w:trPr>
          <w:wBefore w:w="0" w:type="auto"/>
          <w:tblCellSpacing w:w="0" w:type="dxa"/>
        </w:trPr>
        <w:tc>
          <w:tcPr>
            <w:tcW w:w="0" w:type="auto"/>
            <w:noWrap w:val="0"/>
            <w:vAlign w:val="center"/>
          </w:tcPr>
          <w:p w14:paraId="2D522511">
            <w:r>
              <w:rPr>
                <w:rStyle w:val="10"/>
                <w:rFonts w:hint="eastAsia"/>
              </w:rPr>
              <w:t>储存和运输方法：</w:t>
            </w:r>
            <w:r>
              <w:rPr>
                <w:rFonts w:hint="eastAsia"/>
              </w:rPr>
              <w:br w:type="textWrapping"/>
            </w:r>
            <w:r>
              <w:rPr>
                <w:rStyle w:val="11"/>
                <w:rFonts w:hint="eastAsia"/>
              </w:rPr>
              <w:t>本品应严防潮湿和日晒，药剂应储存于阴凉、干燥、通风处，远离火源和热源，置于儿童、无关人员接触不到之处并加锁。勿与食品、饮料、粮食、种子、饲料等混合储运。运输时应注意避光、防高温、雨淋。</w:t>
            </w:r>
          </w:p>
        </w:tc>
      </w:tr>
      <w:tr w14:paraId="38C6B98B">
        <w:tblPrEx>
          <w:tblCellMar>
            <w:top w:w="0" w:type="dxa"/>
            <w:left w:w="0" w:type="dxa"/>
            <w:bottom w:w="0" w:type="dxa"/>
            <w:right w:w="0" w:type="dxa"/>
          </w:tblCellMar>
        </w:tblPrEx>
        <w:trPr>
          <w:wBefore w:w="0" w:type="auto"/>
          <w:tblCellSpacing w:w="0" w:type="dxa"/>
        </w:trPr>
        <w:tc>
          <w:tcPr>
            <w:tcW w:w="0" w:type="auto"/>
            <w:noWrap w:val="0"/>
            <w:vAlign w:val="center"/>
          </w:tcPr>
          <w:p w14:paraId="31D06BC6">
            <w:r>
              <w:rPr>
                <w:rStyle w:val="10"/>
                <w:rFonts w:hint="eastAsia"/>
              </w:rPr>
              <w:t>质量保证期：</w:t>
            </w:r>
            <w:r>
              <w:rPr>
                <w:rStyle w:val="11"/>
                <w:rFonts w:hint="eastAsia"/>
              </w:rPr>
              <w:t>2年</w:t>
            </w:r>
          </w:p>
        </w:tc>
      </w:tr>
      <w:tr w14:paraId="38B1BE80">
        <w:tblPrEx>
          <w:tblCellMar>
            <w:top w:w="0" w:type="dxa"/>
            <w:left w:w="0" w:type="dxa"/>
            <w:bottom w:w="0" w:type="dxa"/>
            <w:right w:w="0" w:type="dxa"/>
          </w:tblCellMar>
        </w:tblPrEx>
        <w:trPr>
          <w:wBefore w:w="0" w:type="auto"/>
          <w:tblCellSpacing w:w="0" w:type="dxa"/>
        </w:trPr>
        <w:tc>
          <w:tcPr>
            <w:tcW w:w="0" w:type="auto"/>
            <w:noWrap w:val="0"/>
            <w:vAlign w:val="center"/>
          </w:tcPr>
          <w:p w14:paraId="591000D2">
            <w:r>
              <w:rPr>
                <w:rStyle w:val="10"/>
                <w:rFonts w:hint="eastAsia"/>
              </w:rPr>
              <w:t>备注：</w:t>
            </w:r>
            <w:r>
              <w:rPr>
                <w:rFonts w:hint="eastAsia"/>
              </w:rPr>
              <w:br w:type="textWrapping"/>
            </w:r>
            <w:r>
              <w:rPr>
                <w:rStyle w:val="11"/>
                <w:rFonts w:hint="eastAsia"/>
              </w:rPr>
              <w:t>胺鲜酯柠檬酸盐15.1%。</w:t>
            </w:r>
          </w:p>
        </w:tc>
      </w:tr>
    </w:tbl>
    <w:p w14:paraId="212CA7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8FF40E">
        <w:tblPrEx>
          <w:tblCellMar>
            <w:top w:w="0" w:type="dxa"/>
            <w:left w:w="0" w:type="dxa"/>
            <w:bottom w:w="0" w:type="dxa"/>
            <w:right w:w="0" w:type="dxa"/>
          </w:tblCellMar>
        </w:tblPrEx>
        <w:trPr>
          <w:wBefore w:w="0" w:type="auto"/>
          <w:tblCellSpacing w:w="0" w:type="dxa"/>
        </w:trPr>
        <w:tc>
          <w:tcPr>
            <w:tcW w:w="0" w:type="auto"/>
            <w:noWrap w:val="0"/>
            <w:vAlign w:val="center"/>
          </w:tcPr>
          <w:p w14:paraId="0568B7B4">
            <w:r>
              <w:rPr>
                <w:rStyle w:val="10"/>
                <w:rFonts w:hint="eastAsia"/>
              </w:rPr>
              <w:t>登记证号：</w:t>
            </w:r>
            <w:r>
              <w:rPr>
                <w:rFonts w:hint="eastAsia"/>
              </w:rPr>
              <w:t>PD20212740</w:t>
            </w:r>
          </w:p>
        </w:tc>
      </w:tr>
      <w:tr w14:paraId="52FA27D9">
        <w:tblPrEx>
          <w:tblCellMar>
            <w:top w:w="0" w:type="dxa"/>
            <w:left w:w="0" w:type="dxa"/>
            <w:bottom w:w="0" w:type="dxa"/>
            <w:right w:w="0" w:type="dxa"/>
          </w:tblCellMar>
        </w:tblPrEx>
        <w:trPr>
          <w:wBefore w:w="0" w:type="auto"/>
          <w:tblCellSpacing w:w="0" w:type="dxa"/>
        </w:trPr>
        <w:tc>
          <w:tcPr>
            <w:tcW w:w="0" w:type="auto"/>
            <w:noWrap w:val="0"/>
            <w:vAlign w:val="center"/>
          </w:tcPr>
          <w:p w14:paraId="6F583431">
            <w:r>
              <w:rPr>
                <w:rStyle w:val="10"/>
                <w:rFonts w:hint="eastAsia"/>
              </w:rPr>
              <w:t>登记证持有人：</w:t>
            </w:r>
            <w:r>
              <w:rPr>
                <w:rFonts w:hint="eastAsia"/>
              </w:rPr>
              <w:t>上海悦联生物科技有限公司</w:t>
            </w:r>
          </w:p>
        </w:tc>
      </w:tr>
      <w:tr w14:paraId="73343E74">
        <w:tblPrEx>
          <w:tblCellMar>
            <w:top w:w="0" w:type="dxa"/>
            <w:left w:w="0" w:type="dxa"/>
            <w:bottom w:w="0" w:type="dxa"/>
            <w:right w:w="0" w:type="dxa"/>
          </w:tblCellMar>
        </w:tblPrEx>
        <w:trPr>
          <w:wBefore w:w="0" w:type="auto"/>
          <w:tblCellSpacing w:w="0" w:type="dxa"/>
        </w:trPr>
        <w:tc>
          <w:tcPr>
            <w:tcW w:w="0" w:type="auto"/>
            <w:noWrap w:val="0"/>
            <w:vAlign w:val="center"/>
          </w:tcPr>
          <w:p w14:paraId="19069689">
            <w:r>
              <w:rPr>
                <w:rStyle w:val="10"/>
                <w:rFonts w:hint="eastAsia"/>
              </w:rPr>
              <w:t>农药名称：</w:t>
            </w:r>
            <w:r>
              <w:rPr>
                <w:rFonts w:hint="eastAsia"/>
              </w:rPr>
              <w:t>苄氨·赤霉酸</w:t>
            </w:r>
          </w:p>
        </w:tc>
      </w:tr>
      <w:tr w14:paraId="0E0E0AA4">
        <w:tblPrEx>
          <w:tblCellMar>
            <w:top w:w="0" w:type="dxa"/>
            <w:left w:w="0" w:type="dxa"/>
            <w:bottom w:w="0" w:type="dxa"/>
            <w:right w:w="0" w:type="dxa"/>
          </w:tblCellMar>
        </w:tblPrEx>
        <w:trPr>
          <w:wBefore w:w="0" w:type="auto"/>
          <w:tblCellSpacing w:w="0" w:type="dxa"/>
        </w:trPr>
        <w:tc>
          <w:tcPr>
            <w:tcW w:w="0" w:type="auto"/>
            <w:noWrap w:val="0"/>
            <w:vAlign w:val="center"/>
          </w:tcPr>
          <w:p w14:paraId="5C035E46">
            <w:r>
              <w:rPr>
                <w:rStyle w:val="10"/>
                <w:rFonts w:hint="eastAsia"/>
              </w:rPr>
              <w:t>剂型：</w:t>
            </w:r>
            <w:r>
              <w:rPr>
                <w:rFonts w:hint="eastAsia"/>
              </w:rPr>
              <w:t>可溶液剂</w:t>
            </w:r>
          </w:p>
        </w:tc>
      </w:tr>
      <w:tr w14:paraId="194D7F32">
        <w:tblPrEx>
          <w:tblCellMar>
            <w:top w:w="0" w:type="dxa"/>
            <w:left w:w="0" w:type="dxa"/>
            <w:bottom w:w="0" w:type="dxa"/>
            <w:right w:w="0" w:type="dxa"/>
          </w:tblCellMar>
        </w:tblPrEx>
        <w:trPr>
          <w:wBefore w:w="0" w:type="auto"/>
          <w:tblCellSpacing w:w="0" w:type="dxa"/>
        </w:trPr>
        <w:tc>
          <w:tcPr>
            <w:tcW w:w="0" w:type="auto"/>
            <w:noWrap w:val="0"/>
            <w:vAlign w:val="center"/>
          </w:tcPr>
          <w:p w14:paraId="5A32F52B">
            <w:r>
              <w:rPr>
                <w:rStyle w:val="10"/>
                <w:rFonts w:hint="eastAsia"/>
              </w:rPr>
              <w:t>毒性及其标识：</w:t>
            </w:r>
            <w:r>
              <w:rPr>
                <w:rFonts w:hint="eastAsia"/>
              </w:rPr>
              <w:t xml:space="preserve"> </w:t>
            </w:r>
            <w:r>
              <w:rPr>
                <w:lang/>
              </w:rPr>
              <w:drawing>
                <wp:inline distT="0" distB="0" distL="114300" distR="114300">
                  <wp:extent cx="476250" cy="323850"/>
                  <wp:effectExtent l="0" t="0" r="0" b="0"/>
                  <wp:docPr id="214" name="图片 2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4D2D8A">
        <w:tblPrEx>
          <w:tblCellMar>
            <w:top w:w="0" w:type="dxa"/>
            <w:left w:w="0" w:type="dxa"/>
            <w:bottom w:w="0" w:type="dxa"/>
            <w:right w:w="0" w:type="dxa"/>
          </w:tblCellMar>
        </w:tblPrEx>
        <w:trPr>
          <w:wBefore w:w="0" w:type="auto"/>
          <w:tblCellSpacing w:w="0" w:type="dxa"/>
        </w:trPr>
        <w:tc>
          <w:tcPr>
            <w:tcW w:w="0" w:type="auto"/>
            <w:noWrap w:val="0"/>
            <w:vAlign w:val="center"/>
          </w:tcPr>
          <w:p w14:paraId="50C0999A">
            <w:r>
              <w:rPr>
                <w:rStyle w:val="10"/>
                <w:rFonts w:hint="eastAsia"/>
              </w:rPr>
              <w:t>总有效成分含量：</w:t>
            </w:r>
            <w:r>
              <w:rPr>
                <w:rFonts w:hint="eastAsia"/>
              </w:rPr>
              <w:t>3.6%</w:t>
            </w:r>
          </w:p>
        </w:tc>
      </w:tr>
      <w:tr w14:paraId="134A8A9C">
        <w:tblPrEx>
          <w:tblCellMar>
            <w:top w:w="0" w:type="dxa"/>
            <w:left w:w="0" w:type="dxa"/>
            <w:bottom w:w="0" w:type="dxa"/>
            <w:right w:w="0" w:type="dxa"/>
          </w:tblCellMar>
        </w:tblPrEx>
        <w:trPr>
          <w:wBefore w:w="0" w:type="auto"/>
          <w:tblCellSpacing w:w="0" w:type="dxa"/>
        </w:trPr>
        <w:tc>
          <w:tcPr>
            <w:tcW w:w="0" w:type="auto"/>
            <w:noWrap w:val="0"/>
            <w:vAlign w:val="center"/>
          </w:tcPr>
          <w:p w14:paraId="0400B4C0">
            <w:r>
              <w:rPr>
                <w:rFonts w:hint="eastAsia"/>
              </w:rPr>
              <w:t xml:space="preserve">有效成分及其含量： </w:t>
            </w:r>
          </w:p>
          <w:p w14:paraId="443E2C48">
            <w:r>
              <w:rPr>
                <w:rFonts w:hint="eastAsia"/>
              </w:rPr>
              <w:t xml:space="preserve">    苄氨基嘌呤1.8%    赤霉酸A4+A71.8%    </w:t>
            </w:r>
          </w:p>
        </w:tc>
      </w:tr>
      <w:tr w14:paraId="446C7C55">
        <w:tblPrEx>
          <w:tblCellMar>
            <w:top w:w="0" w:type="dxa"/>
            <w:left w:w="0" w:type="dxa"/>
            <w:bottom w:w="0" w:type="dxa"/>
            <w:right w:w="0" w:type="dxa"/>
          </w:tblCellMar>
        </w:tblPrEx>
        <w:trPr>
          <w:wBefore w:w="0" w:type="auto"/>
          <w:tblCellSpacing w:w="0" w:type="dxa"/>
        </w:trPr>
        <w:tc>
          <w:tcPr>
            <w:tcW w:w="0" w:type="auto"/>
            <w:noWrap w:val="0"/>
            <w:vAlign w:val="center"/>
          </w:tcPr>
          <w:p w14:paraId="1D0DCE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2276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2B02C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ECB0B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FA6B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750636">
                  <w:r>
                    <w:rPr>
                      <w:rStyle w:val="11"/>
                      <w:rFonts w:hint="eastAsia"/>
                    </w:rPr>
                    <w:t>施用方式</w:t>
                  </w:r>
                </w:p>
              </w:tc>
            </w:tr>
            <w:tr w14:paraId="492F3C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ABB109">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64242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FDB23C">
                  <w:r>
                    <w:rPr>
                      <w:rStyle w:val="11"/>
                      <w:rFonts w:hint="eastAsia"/>
                    </w:rPr>
                    <w:t>800-1000倍液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A3782E">
                  <w:r>
                    <w:rPr>
                      <w:rStyle w:val="11"/>
                      <w:rFonts w:hint="eastAsia"/>
                    </w:rPr>
                    <w:t>喷雾</w:t>
                  </w:r>
                </w:p>
              </w:tc>
            </w:tr>
          </w:tbl>
          <w:p w14:paraId="2F259CCD">
            <w:pPr>
              <w:rPr>
                <w:rFonts w:ascii="Times New Roman" w:hAnsi="Times New Roman" w:cs="Times New Roman"/>
                <w:sz w:val="20"/>
                <w:szCs w:val="20"/>
              </w:rPr>
            </w:pPr>
          </w:p>
        </w:tc>
      </w:tr>
      <w:tr w14:paraId="512C6A02">
        <w:tblPrEx>
          <w:tblCellMar>
            <w:top w:w="0" w:type="dxa"/>
            <w:left w:w="0" w:type="dxa"/>
            <w:bottom w:w="0" w:type="dxa"/>
            <w:right w:w="0" w:type="dxa"/>
          </w:tblCellMar>
        </w:tblPrEx>
        <w:trPr>
          <w:wBefore w:w="0" w:type="auto"/>
          <w:tblCellSpacing w:w="0" w:type="dxa"/>
        </w:trPr>
        <w:tc>
          <w:tcPr>
            <w:tcW w:w="0" w:type="auto"/>
            <w:noWrap w:val="0"/>
            <w:vAlign w:val="center"/>
          </w:tcPr>
          <w:p w14:paraId="731CB655">
            <w:r>
              <w:rPr>
                <w:rStyle w:val="10"/>
                <w:rFonts w:hint="eastAsia"/>
              </w:rPr>
              <w:t>使用技术要求:</w:t>
            </w:r>
            <w:r>
              <w:rPr>
                <w:rFonts w:hint="eastAsia"/>
              </w:rPr>
              <w:br w:type="textWrapping"/>
            </w:r>
            <w:r>
              <w:rPr>
                <w:rStyle w:val="11"/>
                <w:rFonts w:hint="eastAsia"/>
              </w:rPr>
              <w:t>1. 在苹果树盛花期（花开70%~80%）、幼果期各喷雾使用一次，注意喷雾均匀周到。 2. 大风天或预计1小时内有雨，请勿使用。</w:t>
            </w:r>
          </w:p>
        </w:tc>
      </w:tr>
      <w:tr w14:paraId="1DF47B8A">
        <w:tblPrEx>
          <w:tblCellMar>
            <w:top w:w="0" w:type="dxa"/>
            <w:left w:w="0" w:type="dxa"/>
            <w:bottom w:w="0" w:type="dxa"/>
            <w:right w:w="0" w:type="dxa"/>
          </w:tblCellMar>
        </w:tblPrEx>
        <w:trPr>
          <w:wBefore w:w="0" w:type="auto"/>
          <w:tblCellSpacing w:w="0" w:type="dxa"/>
        </w:trPr>
        <w:tc>
          <w:tcPr>
            <w:tcW w:w="0" w:type="auto"/>
            <w:noWrap w:val="0"/>
            <w:vAlign w:val="center"/>
          </w:tcPr>
          <w:p w14:paraId="10054BAB">
            <w:r>
              <w:rPr>
                <w:rStyle w:val="10"/>
                <w:rFonts w:hint="eastAsia"/>
              </w:rPr>
              <w:t>产品性能:</w:t>
            </w:r>
            <w:r>
              <w:rPr>
                <w:rFonts w:hint="eastAsia"/>
              </w:rPr>
              <w:br w:type="textWrapping"/>
            </w:r>
            <w:r>
              <w:rPr>
                <w:rStyle w:val="11"/>
                <w:rFonts w:hint="eastAsia"/>
              </w:rPr>
              <w:t>本品是由苄氨基嘌呤和赤霉酸复配而成，可促进作物花芽分化，催花促花，花茎伸长，促进幼果细胞分裂，细胞膨大，促进单性结实和果实生长，而达到提高座果率，保花保果的效果；本品还可激活细胞活力、增大叶片、促进作物生长、缓解逆境障碍等。</w:t>
            </w:r>
          </w:p>
        </w:tc>
      </w:tr>
      <w:tr w14:paraId="2494A0C4">
        <w:tblPrEx>
          <w:tblCellMar>
            <w:top w:w="0" w:type="dxa"/>
            <w:left w:w="0" w:type="dxa"/>
            <w:bottom w:w="0" w:type="dxa"/>
            <w:right w:w="0" w:type="dxa"/>
          </w:tblCellMar>
        </w:tblPrEx>
        <w:trPr>
          <w:wBefore w:w="0" w:type="auto"/>
          <w:tblCellSpacing w:w="0" w:type="dxa"/>
        </w:trPr>
        <w:tc>
          <w:tcPr>
            <w:tcW w:w="0" w:type="auto"/>
            <w:noWrap w:val="0"/>
            <w:vAlign w:val="center"/>
          </w:tcPr>
          <w:p w14:paraId="43E017EC">
            <w:r>
              <w:rPr>
                <w:rStyle w:val="10"/>
                <w:rFonts w:hint="eastAsia"/>
              </w:rPr>
              <w:t>注意事项：</w:t>
            </w:r>
            <w:r>
              <w:rPr>
                <w:rFonts w:hint="eastAsia"/>
              </w:rPr>
              <w:br w:type="textWrapping"/>
            </w:r>
            <w:r>
              <w:rPr>
                <w:rStyle w:val="11"/>
                <w:rFonts w:hint="eastAsia"/>
              </w:rPr>
              <w:t>1. 本品要现配现用，禁止与碱性农药混配混用。 2. 本品对眼睛有刺激性，使用时避免接触眼睛，穿戴长衣、长裤、帽子、口罩、手套等防护措施。避免皮肤接触及口鼻吸入药液。使用中不可吸烟、饮水和吃东西等；使用后及时清洗手、脸等暴露部位皮肤并更换衣物。 3. 禁止在河塘等水体清洗施药器具。 4. （周围）开花植物花期禁用，使用时应密切关注对附近蜂群的影响；鸟类保护区附近禁用。 4. 用过的容器应妥善处理，不可做他用，也不可随意丢弃。 5. 孕妇及哺乳期妇女禁止接触。</w:t>
            </w:r>
          </w:p>
        </w:tc>
      </w:tr>
      <w:tr w14:paraId="344E45B2">
        <w:tblPrEx>
          <w:tblCellMar>
            <w:top w:w="0" w:type="dxa"/>
            <w:left w:w="0" w:type="dxa"/>
            <w:bottom w:w="0" w:type="dxa"/>
            <w:right w:w="0" w:type="dxa"/>
          </w:tblCellMar>
        </w:tblPrEx>
        <w:trPr>
          <w:wBefore w:w="0" w:type="auto"/>
          <w:tblCellSpacing w:w="0" w:type="dxa"/>
        </w:trPr>
        <w:tc>
          <w:tcPr>
            <w:tcW w:w="0" w:type="auto"/>
            <w:noWrap w:val="0"/>
            <w:vAlign w:val="center"/>
          </w:tcPr>
          <w:p w14:paraId="0A84E71F">
            <w:r>
              <w:rPr>
                <w:rStyle w:val="10"/>
                <w:rFonts w:hint="eastAsia"/>
              </w:rPr>
              <w:t>中毒急救措施：</w:t>
            </w:r>
            <w:r>
              <w:rPr>
                <w:rFonts w:hint="eastAsia"/>
              </w:rPr>
              <w:br w:type="textWrapping"/>
            </w:r>
            <w:r>
              <w:rPr>
                <w:rStyle w:val="11"/>
                <w:rFonts w:hint="eastAsia"/>
              </w:rPr>
              <w:t>急救措施：本品对眼睛有刺激性，使用中或使用后如果感觉不适，应立即停止工作，采取急救措施，并携带标签送医院就诊。 1. 皮肤接触：脱去污染的衣物，用软布去除沾染农药，立即用大量清水和肥皂冲洗。 2. 眼睛溅入：立即用流动清水冲洗不少于15分钟，携带标签到医院就诊。 3. 吸入：立即离开施药现场，转移到空气清新处。 4. 误食：立即停止服用，紧急医疗措施：使用医用活性炭洗胃，洗胃时注意防止胃容物进入呼吸道。注意：对昏迷病人，切勿经口喂入任何东西或引吐。 5）无专用解毒剂、请对症治疗。</w:t>
            </w:r>
          </w:p>
        </w:tc>
      </w:tr>
      <w:tr w14:paraId="3112D89E">
        <w:tblPrEx>
          <w:tblCellMar>
            <w:top w:w="0" w:type="dxa"/>
            <w:left w:w="0" w:type="dxa"/>
            <w:bottom w:w="0" w:type="dxa"/>
            <w:right w:w="0" w:type="dxa"/>
          </w:tblCellMar>
        </w:tblPrEx>
        <w:trPr>
          <w:wBefore w:w="0" w:type="auto"/>
          <w:tblCellSpacing w:w="0" w:type="dxa"/>
        </w:trPr>
        <w:tc>
          <w:tcPr>
            <w:tcW w:w="0" w:type="auto"/>
            <w:noWrap w:val="0"/>
            <w:vAlign w:val="center"/>
          </w:tcPr>
          <w:p w14:paraId="4507F35D">
            <w:r>
              <w:rPr>
                <w:rStyle w:val="10"/>
                <w:rFonts w:hint="eastAsia"/>
              </w:rPr>
              <w:t>储存和运输方法：</w:t>
            </w:r>
            <w:r>
              <w:rPr>
                <w:rFonts w:hint="eastAsia"/>
              </w:rPr>
              <w:br w:type="textWrapping"/>
            </w:r>
            <w:r>
              <w:rPr>
                <w:rStyle w:val="11"/>
                <w:rFonts w:hint="eastAsia"/>
              </w:rPr>
              <w:t>本品应贮存在避光、通风、干燥防风雨处，本品为易燃液体，远离火源和热源。置于儿童、无关人员及动物接触不到的地方，并加锁保存。勿与食物、饮料、种子、粮食和饲料同贮同运。</w:t>
            </w:r>
          </w:p>
        </w:tc>
      </w:tr>
      <w:tr w14:paraId="2F4A9A51">
        <w:tblPrEx>
          <w:tblCellMar>
            <w:top w:w="0" w:type="dxa"/>
            <w:left w:w="0" w:type="dxa"/>
            <w:bottom w:w="0" w:type="dxa"/>
            <w:right w:w="0" w:type="dxa"/>
          </w:tblCellMar>
        </w:tblPrEx>
        <w:trPr>
          <w:wBefore w:w="0" w:type="auto"/>
          <w:tblCellSpacing w:w="0" w:type="dxa"/>
        </w:trPr>
        <w:tc>
          <w:tcPr>
            <w:tcW w:w="0" w:type="auto"/>
            <w:noWrap w:val="0"/>
            <w:vAlign w:val="center"/>
          </w:tcPr>
          <w:p w14:paraId="3FBC0594">
            <w:r>
              <w:rPr>
                <w:rStyle w:val="10"/>
                <w:rFonts w:hint="eastAsia"/>
              </w:rPr>
              <w:t>质量保证期：</w:t>
            </w:r>
            <w:r>
              <w:rPr>
                <w:rStyle w:val="11"/>
                <w:rFonts w:hint="eastAsia"/>
              </w:rPr>
              <w:t>2年</w:t>
            </w:r>
          </w:p>
        </w:tc>
      </w:tr>
      <w:tr w14:paraId="082F949D">
        <w:tblPrEx>
          <w:tblCellMar>
            <w:top w:w="0" w:type="dxa"/>
            <w:left w:w="0" w:type="dxa"/>
            <w:bottom w:w="0" w:type="dxa"/>
            <w:right w:w="0" w:type="dxa"/>
          </w:tblCellMar>
        </w:tblPrEx>
        <w:trPr>
          <w:wBefore w:w="0" w:type="auto"/>
          <w:tblCellSpacing w:w="0" w:type="dxa"/>
        </w:trPr>
        <w:tc>
          <w:tcPr>
            <w:tcW w:w="0" w:type="auto"/>
            <w:noWrap w:val="0"/>
            <w:vAlign w:val="center"/>
          </w:tcPr>
          <w:p w14:paraId="788B5CC0">
            <w:r>
              <w:rPr>
                <w:rStyle w:val="10"/>
                <w:rFonts w:hint="eastAsia"/>
              </w:rPr>
              <w:t>备注：</w:t>
            </w:r>
          </w:p>
        </w:tc>
      </w:tr>
    </w:tbl>
    <w:p w14:paraId="783A74B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89FACB">
        <w:tblPrEx>
          <w:tblCellMar>
            <w:top w:w="0" w:type="dxa"/>
            <w:left w:w="0" w:type="dxa"/>
            <w:bottom w:w="0" w:type="dxa"/>
            <w:right w:w="0" w:type="dxa"/>
          </w:tblCellMar>
        </w:tblPrEx>
        <w:trPr>
          <w:wBefore w:w="0" w:type="auto"/>
          <w:tblCellSpacing w:w="0" w:type="dxa"/>
        </w:trPr>
        <w:tc>
          <w:tcPr>
            <w:tcW w:w="0" w:type="auto"/>
            <w:noWrap w:val="0"/>
            <w:vAlign w:val="center"/>
          </w:tcPr>
          <w:p w14:paraId="02B13B3F">
            <w:r>
              <w:rPr>
                <w:rStyle w:val="10"/>
                <w:rFonts w:hint="eastAsia"/>
              </w:rPr>
              <w:t>登记证号：</w:t>
            </w:r>
            <w:r>
              <w:rPr>
                <w:rFonts w:hint="eastAsia"/>
              </w:rPr>
              <w:t>PD20212500</w:t>
            </w:r>
          </w:p>
        </w:tc>
      </w:tr>
      <w:tr w14:paraId="45F73DA0">
        <w:tblPrEx>
          <w:tblCellMar>
            <w:top w:w="0" w:type="dxa"/>
            <w:left w:w="0" w:type="dxa"/>
            <w:bottom w:w="0" w:type="dxa"/>
            <w:right w:w="0" w:type="dxa"/>
          </w:tblCellMar>
        </w:tblPrEx>
        <w:trPr>
          <w:wBefore w:w="0" w:type="auto"/>
          <w:tblCellSpacing w:w="0" w:type="dxa"/>
        </w:trPr>
        <w:tc>
          <w:tcPr>
            <w:tcW w:w="0" w:type="auto"/>
            <w:noWrap w:val="0"/>
            <w:vAlign w:val="center"/>
          </w:tcPr>
          <w:p w14:paraId="648D5D94">
            <w:r>
              <w:rPr>
                <w:rStyle w:val="10"/>
                <w:rFonts w:hint="eastAsia"/>
              </w:rPr>
              <w:t>登记证持有人：</w:t>
            </w:r>
            <w:r>
              <w:rPr>
                <w:rFonts w:hint="eastAsia"/>
              </w:rPr>
              <w:t>山东中禾化学有限公司</w:t>
            </w:r>
          </w:p>
        </w:tc>
      </w:tr>
      <w:tr w14:paraId="53C46F43">
        <w:tblPrEx>
          <w:tblCellMar>
            <w:top w:w="0" w:type="dxa"/>
            <w:left w:w="0" w:type="dxa"/>
            <w:bottom w:w="0" w:type="dxa"/>
            <w:right w:w="0" w:type="dxa"/>
          </w:tblCellMar>
        </w:tblPrEx>
        <w:trPr>
          <w:wBefore w:w="0" w:type="auto"/>
          <w:tblCellSpacing w:w="0" w:type="dxa"/>
        </w:trPr>
        <w:tc>
          <w:tcPr>
            <w:tcW w:w="0" w:type="auto"/>
            <w:noWrap w:val="0"/>
            <w:vAlign w:val="center"/>
          </w:tcPr>
          <w:p w14:paraId="62BA4768">
            <w:r>
              <w:rPr>
                <w:rStyle w:val="10"/>
                <w:rFonts w:hint="eastAsia"/>
              </w:rPr>
              <w:t>农药名称：</w:t>
            </w:r>
            <w:r>
              <w:rPr>
                <w:rFonts w:hint="eastAsia"/>
              </w:rPr>
              <w:t>2甲4氯异辛酯</w:t>
            </w:r>
          </w:p>
        </w:tc>
      </w:tr>
      <w:tr w14:paraId="486D8B99">
        <w:tblPrEx>
          <w:tblCellMar>
            <w:top w:w="0" w:type="dxa"/>
            <w:left w:w="0" w:type="dxa"/>
            <w:bottom w:w="0" w:type="dxa"/>
            <w:right w:w="0" w:type="dxa"/>
          </w:tblCellMar>
        </w:tblPrEx>
        <w:trPr>
          <w:wBefore w:w="0" w:type="auto"/>
          <w:tblCellSpacing w:w="0" w:type="dxa"/>
        </w:trPr>
        <w:tc>
          <w:tcPr>
            <w:tcW w:w="0" w:type="auto"/>
            <w:noWrap w:val="0"/>
            <w:vAlign w:val="center"/>
          </w:tcPr>
          <w:p w14:paraId="76E0F3EC">
            <w:r>
              <w:rPr>
                <w:rStyle w:val="10"/>
                <w:rFonts w:hint="eastAsia"/>
              </w:rPr>
              <w:t>剂型：</w:t>
            </w:r>
            <w:r>
              <w:rPr>
                <w:rFonts w:hint="eastAsia"/>
              </w:rPr>
              <w:t>乳油</w:t>
            </w:r>
          </w:p>
        </w:tc>
      </w:tr>
      <w:tr w14:paraId="2D630660">
        <w:tblPrEx>
          <w:tblCellMar>
            <w:top w:w="0" w:type="dxa"/>
            <w:left w:w="0" w:type="dxa"/>
            <w:bottom w:w="0" w:type="dxa"/>
            <w:right w:w="0" w:type="dxa"/>
          </w:tblCellMar>
        </w:tblPrEx>
        <w:trPr>
          <w:wBefore w:w="0" w:type="auto"/>
          <w:tblCellSpacing w:w="0" w:type="dxa"/>
        </w:trPr>
        <w:tc>
          <w:tcPr>
            <w:tcW w:w="0" w:type="auto"/>
            <w:noWrap w:val="0"/>
            <w:vAlign w:val="center"/>
          </w:tcPr>
          <w:p w14:paraId="32DE41F6">
            <w:r>
              <w:rPr>
                <w:rStyle w:val="10"/>
                <w:rFonts w:hint="eastAsia"/>
              </w:rPr>
              <w:t>毒性及其标识：</w:t>
            </w:r>
            <w:r>
              <w:rPr>
                <w:rFonts w:hint="eastAsia"/>
              </w:rPr>
              <w:t xml:space="preserve"> </w:t>
            </w:r>
            <w:r>
              <w:rPr>
                <w:lang/>
              </w:rPr>
              <w:drawing>
                <wp:inline distT="0" distB="0" distL="114300" distR="114300">
                  <wp:extent cx="476250" cy="323850"/>
                  <wp:effectExtent l="0" t="0" r="0" b="0"/>
                  <wp:docPr id="215" name="图片 2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A7BB26E">
        <w:tblPrEx>
          <w:tblCellMar>
            <w:top w:w="0" w:type="dxa"/>
            <w:left w:w="0" w:type="dxa"/>
            <w:bottom w:w="0" w:type="dxa"/>
            <w:right w:w="0" w:type="dxa"/>
          </w:tblCellMar>
        </w:tblPrEx>
        <w:trPr>
          <w:wBefore w:w="0" w:type="auto"/>
          <w:tblCellSpacing w:w="0" w:type="dxa"/>
        </w:trPr>
        <w:tc>
          <w:tcPr>
            <w:tcW w:w="0" w:type="auto"/>
            <w:noWrap w:val="0"/>
            <w:vAlign w:val="center"/>
          </w:tcPr>
          <w:p w14:paraId="114C8098">
            <w:r>
              <w:rPr>
                <w:rStyle w:val="10"/>
                <w:rFonts w:hint="eastAsia"/>
              </w:rPr>
              <w:t>总有效成分含量：</w:t>
            </w:r>
            <w:r>
              <w:rPr>
                <w:rFonts w:hint="eastAsia"/>
              </w:rPr>
              <w:t>85%</w:t>
            </w:r>
          </w:p>
        </w:tc>
      </w:tr>
      <w:tr w14:paraId="1D19F5F8">
        <w:tblPrEx>
          <w:tblCellMar>
            <w:top w:w="0" w:type="dxa"/>
            <w:left w:w="0" w:type="dxa"/>
            <w:bottom w:w="0" w:type="dxa"/>
            <w:right w:w="0" w:type="dxa"/>
          </w:tblCellMar>
        </w:tblPrEx>
        <w:trPr>
          <w:wBefore w:w="0" w:type="auto"/>
          <w:tblCellSpacing w:w="0" w:type="dxa"/>
        </w:trPr>
        <w:tc>
          <w:tcPr>
            <w:tcW w:w="0" w:type="auto"/>
            <w:noWrap w:val="0"/>
            <w:vAlign w:val="center"/>
          </w:tcPr>
          <w:p w14:paraId="524F7A10">
            <w:r>
              <w:rPr>
                <w:rFonts w:hint="eastAsia"/>
              </w:rPr>
              <w:t xml:space="preserve">有效成分及其含量： </w:t>
            </w:r>
          </w:p>
          <w:p w14:paraId="3134B537">
            <w:r>
              <w:rPr>
                <w:rFonts w:hint="eastAsia"/>
              </w:rPr>
              <w:t xml:space="preserve">    2甲4氯异辛酯85%    </w:t>
            </w:r>
          </w:p>
        </w:tc>
      </w:tr>
      <w:tr w14:paraId="0AFFB2DE">
        <w:tblPrEx>
          <w:tblCellMar>
            <w:top w:w="0" w:type="dxa"/>
            <w:left w:w="0" w:type="dxa"/>
            <w:bottom w:w="0" w:type="dxa"/>
            <w:right w:w="0" w:type="dxa"/>
          </w:tblCellMar>
        </w:tblPrEx>
        <w:trPr>
          <w:wBefore w:w="0" w:type="auto"/>
          <w:tblCellSpacing w:w="0" w:type="dxa"/>
        </w:trPr>
        <w:tc>
          <w:tcPr>
            <w:tcW w:w="0" w:type="auto"/>
            <w:noWrap w:val="0"/>
            <w:vAlign w:val="center"/>
          </w:tcPr>
          <w:p w14:paraId="3ED96F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4043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001BB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46582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90AA5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8DB4C7">
                  <w:r>
                    <w:rPr>
                      <w:rStyle w:val="11"/>
                      <w:rFonts w:hint="eastAsia"/>
                    </w:rPr>
                    <w:t>施用方式</w:t>
                  </w:r>
                </w:p>
              </w:tc>
            </w:tr>
            <w:tr w14:paraId="3F9F72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A8C30D">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5004B">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8737AC">
                  <w:r>
                    <w:rPr>
                      <w:rStyle w:val="11"/>
                      <w:rFonts w:hint="eastAsia"/>
                    </w:rPr>
                    <w:t>35-45毫升/亩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ADF7FF">
                  <w:r>
                    <w:rPr>
                      <w:rStyle w:val="11"/>
                      <w:rFonts w:hint="eastAsia"/>
                    </w:rPr>
                    <w:t>茎叶喷雾</w:t>
                  </w:r>
                </w:p>
              </w:tc>
            </w:tr>
          </w:tbl>
          <w:p w14:paraId="00CE4B74">
            <w:pPr>
              <w:rPr>
                <w:rFonts w:ascii="Times New Roman" w:hAnsi="Times New Roman" w:cs="Times New Roman"/>
                <w:sz w:val="20"/>
                <w:szCs w:val="20"/>
              </w:rPr>
            </w:pPr>
          </w:p>
        </w:tc>
      </w:tr>
      <w:tr w14:paraId="434AD4AB">
        <w:tblPrEx>
          <w:tblCellMar>
            <w:top w:w="0" w:type="dxa"/>
            <w:left w:w="0" w:type="dxa"/>
            <w:bottom w:w="0" w:type="dxa"/>
            <w:right w:w="0" w:type="dxa"/>
          </w:tblCellMar>
        </w:tblPrEx>
        <w:trPr>
          <w:wBefore w:w="0" w:type="auto"/>
          <w:tblCellSpacing w:w="0" w:type="dxa"/>
        </w:trPr>
        <w:tc>
          <w:tcPr>
            <w:tcW w:w="0" w:type="auto"/>
            <w:noWrap w:val="0"/>
            <w:vAlign w:val="center"/>
          </w:tcPr>
          <w:p w14:paraId="2572E888">
            <w:r>
              <w:rPr>
                <w:rStyle w:val="10"/>
                <w:rFonts w:hint="eastAsia"/>
              </w:rPr>
              <w:t>使用技术要求:</w:t>
            </w:r>
            <w:r>
              <w:rPr>
                <w:rFonts w:hint="eastAsia"/>
              </w:rPr>
              <w:br w:type="textWrapping"/>
            </w:r>
            <w:r>
              <w:rPr>
                <w:rStyle w:val="11"/>
                <w:rFonts w:hint="eastAsia"/>
              </w:rPr>
              <w:t>1. 冬小麦返青至拔节前，阔叶杂草2-5叶期茎叶喷雾处理。 2. 每季最多使用1次。 3. 预计大风天或4小时内降雨，请勿施药。尽量选择无风的天气施药，避免飘移药害。</w:t>
            </w:r>
          </w:p>
        </w:tc>
      </w:tr>
      <w:tr w14:paraId="78D7F362">
        <w:tblPrEx>
          <w:tblCellMar>
            <w:top w:w="0" w:type="dxa"/>
            <w:left w:w="0" w:type="dxa"/>
            <w:bottom w:w="0" w:type="dxa"/>
            <w:right w:w="0" w:type="dxa"/>
          </w:tblCellMar>
        </w:tblPrEx>
        <w:trPr>
          <w:wBefore w:w="0" w:type="auto"/>
          <w:tblCellSpacing w:w="0" w:type="dxa"/>
        </w:trPr>
        <w:tc>
          <w:tcPr>
            <w:tcW w:w="0" w:type="auto"/>
            <w:noWrap w:val="0"/>
            <w:vAlign w:val="center"/>
          </w:tcPr>
          <w:p w14:paraId="35BCC33F">
            <w:r>
              <w:rPr>
                <w:rStyle w:val="10"/>
                <w:rFonts w:hint="eastAsia"/>
              </w:rPr>
              <w:t>产品性能:</w:t>
            </w:r>
            <w:r>
              <w:rPr>
                <w:rFonts w:hint="eastAsia"/>
              </w:rPr>
              <w:br w:type="textWrapping"/>
            </w:r>
            <w:r>
              <w:rPr>
                <w:rStyle w:val="11"/>
                <w:rFonts w:hint="eastAsia"/>
              </w:rPr>
              <w:t>本品是一种内吸传导型选择性除草剂，对冬小麦田一年生阔叶杂草及部分莎草科杂草有较好的防治效果。</w:t>
            </w:r>
          </w:p>
        </w:tc>
      </w:tr>
      <w:tr w14:paraId="2BC01CA2">
        <w:tblPrEx>
          <w:tblCellMar>
            <w:top w:w="0" w:type="dxa"/>
            <w:left w:w="0" w:type="dxa"/>
            <w:bottom w:w="0" w:type="dxa"/>
            <w:right w:w="0" w:type="dxa"/>
          </w:tblCellMar>
        </w:tblPrEx>
        <w:trPr>
          <w:wBefore w:w="0" w:type="auto"/>
          <w:tblCellSpacing w:w="0" w:type="dxa"/>
        </w:trPr>
        <w:tc>
          <w:tcPr>
            <w:tcW w:w="0" w:type="auto"/>
            <w:noWrap w:val="0"/>
            <w:vAlign w:val="center"/>
          </w:tcPr>
          <w:p w14:paraId="038CFFD3">
            <w:r>
              <w:rPr>
                <w:rStyle w:val="10"/>
                <w:rFonts w:hint="eastAsia"/>
              </w:rPr>
              <w:t>注意事项：</w:t>
            </w:r>
            <w:r>
              <w:rPr>
                <w:rFonts w:hint="eastAsia"/>
              </w:rPr>
              <w:br w:type="textWrapping"/>
            </w:r>
            <w:r>
              <w:rPr>
                <w:rStyle w:val="11"/>
                <w:rFonts w:hint="eastAsia"/>
              </w:rPr>
              <w:t>1. 作物制种田禁止使用本品。2. 使用前请务必仔细阅读此标签，并严格按照标签说明使用。 3. 喷雾时避免飘移到邻近花生、豆类、瓜类等阔叶敏感作物上。4. 本品对蚤、藻等水生生物有毒。赤眼蜂等天敌放飞区域禁用。远离水产养殖区施药，禁止在河塘等水体中清洗施药器具。用过的容器应妥善处理，不能随意丢弃，也不能做他用。5. 使用本品时对眼有中度刺激，应穿戴防护服、口罩、手套、注意眼的防护等，避免吸入药液。施药期间不可吃东西和饮水。施药后，彻底清洗器械，并立即用肥皂洗手和洗脸。6. 避免孕妇及哺乳期的妇女接触本品。7. 建议日平均气温在8℃以上使用本品。 8. 请严格按照推荐方法使用、操作和贮藏本品；使用时请咨询当地农业技术部门。</w:t>
            </w:r>
          </w:p>
        </w:tc>
      </w:tr>
      <w:tr w14:paraId="03F6C602">
        <w:tblPrEx>
          <w:tblCellMar>
            <w:top w:w="0" w:type="dxa"/>
            <w:left w:w="0" w:type="dxa"/>
            <w:bottom w:w="0" w:type="dxa"/>
            <w:right w:w="0" w:type="dxa"/>
          </w:tblCellMar>
        </w:tblPrEx>
        <w:trPr>
          <w:wBefore w:w="0" w:type="auto"/>
          <w:tblCellSpacing w:w="0" w:type="dxa"/>
        </w:trPr>
        <w:tc>
          <w:tcPr>
            <w:tcW w:w="0" w:type="auto"/>
            <w:noWrap w:val="0"/>
            <w:vAlign w:val="center"/>
          </w:tcPr>
          <w:p w14:paraId="745C5A1C">
            <w:r>
              <w:rPr>
                <w:rStyle w:val="10"/>
                <w:rFonts w:hint="eastAsia"/>
              </w:rPr>
              <w:t>中毒急救措施：</w:t>
            </w:r>
            <w:r>
              <w:rPr>
                <w:rFonts w:hint="eastAsia"/>
              </w:rPr>
              <w:br w:type="textWrapping"/>
            </w:r>
            <w:r>
              <w:rPr>
                <w:rStyle w:val="11"/>
                <w:rFonts w:hint="eastAsia"/>
              </w:rPr>
              <w:t>中毒症状：对皮肤、眼睛和上呼吸道有刺激作用，严重时对肝、肾有损伤。不慎误服：用清水将嘴清洗干净，不要自行引吐，携此标签送医诊治。医生洗胃时，应注意保护气管和食管，本品无特殊解毒剂、请对症治疗。不慎吸入：应将病人移至空气流通处；不慎眼睛溅入或接触皮肤：用大量清水冲洗至少15分钟</w:t>
            </w:r>
          </w:p>
        </w:tc>
      </w:tr>
      <w:tr w14:paraId="5F928B2C">
        <w:tblPrEx>
          <w:tblCellMar>
            <w:top w:w="0" w:type="dxa"/>
            <w:left w:w="0" w:type="dxa"/>
            <w:bottom w:w="0" w:type="dxa"/>
            <w:right w:w="0" w:type="dxa"/>
          </w:tblCellMar>
        </w:tblPrEx>
        <w:trPr>
          <w:wBefore w:w="0" w:type="auto"/>
          <w:tblCellSpacing w:w="0" w:type="dxa"/>
        </w:trPr>
        <w:tc>
          <w:tcPr>
            <w:tcW w:w="0" w:type="auto"/>
            <w:noWrap w:val="0"/>
            <w:vAlign w:val="center"/>
          </w:tcPr>
          <w:p w14:paraId="31531244">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装卸时，注意轻拿轻放，禁止说笑打闹、吃、喝、抽烟；运输时要防潮防晒。</w:t>
            </w:r>
          </w:p>
        </w:tc>
      </w:tr>
      <w:tr w14:paraId="6925EAB8">
        <w:tblPrEx>
          <w:tblCellMar>
            <w:top w:w="0" w:type="dxa"/>
            <w:left w:w="0" w:type="dxa"/>
            <w:bottom w:w="0" w:type="dxa"/>
            <w:right w:w="0" w:type="dxa"/>
          </w:tblCellMar>
        </w:tblPrEx>
        <w:trPr>
          <w:wBefore w:w="0" w:type="auto"/>
          <w:tblCellSpacing w:w="0" w:type="dxa"/>
        </w:trPr>
        <w:tc>
          <w:tcPr>
            <w:tcW w:w="0" w:type="auto"/>
            <w:noWrap w:val="0"/>
            <w:vAlign w:val="center"/>
          </w:tcPr>
          <w:p w14:paraId="4948E3D5">
            <w:r>
              <w:rPr>
                <w:rStyle w:val="10"/>
                <w:rFonts w:hint="eastAsia"/>
              </w:rPr>
              <w:t>质量保证期：</w:t>
            </w:r>
            <w:r>
              <w:rPr>
                <w:rStyle w:val="11"/>
                <w:rFonts w:hint="eastAsia"/>
              </w:rPr>
              <w:t>2年</w:t>
            </w:r>
          </w:p>
        </w:tc>
      </w:tr>
      <w:tr w14:paraId="136DBCA2">
        <w:tblPrEx>
          <w:tblCellMar>
            <w:top w:w="0" w:type="dxa"/>
            <w:left w:w="0" w:type="dxa"/>
            <w:bottom w:w="0" w:type="dxa"/>
            <w:right w:w="0" w:type="dxa"/>
          </w:tblCellMar>
        </w:tblPrEx>
        <w:trPr>
          <w:wBefore w:w="0" w:type="auto"/>
          <w:tblCellSpacing w:w="0" w:type="dxa"/>
        </w:trPr>
        <w:tc>
          <w:tcPr>
            <w:tcW w:w="0" w:type="auto"/>
            <w:noWrap w:val="0"/>
            <w:vAlign w:val="center"/>
          </w:tcPr>
          <w:p w14:paraId="2AB9F8AB">
            <w:r>
              <w:rPr>
                <w:rStyle w:val="10"/>
                <w:rFonts w:hint="eastAsia"/>
              </w:rPr>
              <w:t>备注：</w:t>
            </w:r>
          </w:p>
        </w:tc>
      </w:tr>
    </w:tbl>
    <w:p w14:paraId="500846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E866D5">
        <w:tblPrEx>
          <w:tblCellMar>
            <w:top w:w="0" w:type="dxa"/>
            <w:left w:w="0" w:type="dxa"/>
            <w:bottom w:w="0" w:type="dxa"/>
            <w:right w:w="0" w:type="dxa"/>
          </w:tblCellMar>
        </w:tblPrEx>
        <w:trPr>
          <w:wBefore w:w="0" w:type="auto"/>
          <w:tblCellSpacing w:w="0" w:type="dxa"/>
        </w:trPr>
        <w:tc>
          <w:tcPr>
            <w:tcW w:w="0" w:type="auto"/>
            <w:noWrap w:val="0"/>
            <w:vAlign w:val="center"/>
          </w:tcPr>
          <w:p w14:paraId="19BC50A4">
            <w:r>
              <w:rPr>
                <w:rStyle w:val="10"/>
                <w:rFonts w:hint="eastAsia"/>
              </w:rPr>
              <w:t>登记证号：</w:t>
            </w:r>
            <w:r>
              <w:rPr>
                <w:rFonts w:hint="eastAsia"/>
              </w:rPr>
              <w:t>PD20212679</w:t>
            </w:r>
          </w:p>
        </w:tc>
      </w:tr>
      <w:tr w14:paraId="786D2908">
        <w:tblPrEx>
          <w:tblCellMar>
            <w:top w:w="0" w:type="dxa"/>
            <w:left w:w="0" w:type="dxa"/>
            <w:bottom w:w="0" w:type="dxa"/>
            <w:right w:w="0" w:type="dxa"/>
          </w:tblCellMar>
        </w:tblPrEx>
        <w:trPr>
          <w:wBefore w:w="0" w:type="auto"/>
          <w:tblCellSpacing w:w="0" w:type="dxa"/>
        </w:trPr>
        <w:tc>
          <w:tcPr>
            <w:tcW w:w="0" w:type="auto"/>
            <w:noWrap w:val="0"/>
            <w:vAlign w:val="center"/>
          </w:tcPr>
          <w:p w14:paraId="4FFEF4BC">
            <w:r>
              <w:rPr>
                <w:rStyle w:val="10"/>
                <w:rFonts w:hint="eastAsia"/>
              </w:rPr>
              <w:t>登记证持有人：</w:t>
            </w:r>
            <w:r>
              <w:rPr>
                <w:rFonts w:hint="eastAsia"/>
              </w:rPr>
              <w:t>河南喜夫农生物科技有限公司</w:t>
            </w:r>
          </w:p>
        </w:tc>
      </w:tr>
      <w:tr w14:paraId="61837620">
        <w:tblPrEx>
          <w:tblCellMar>
            <w:top w:w="0" w:type="dxa"/>
            <w:left w:w="0" w:type="dxa"/>
            <w:bottom w:w="0" w:type="dxa"/>
            <w:right w:w="0" w:type="dxa"/>
          </w:tblCellMar>
        </w:tblPrEx>
        <w:trPr>
          <w:wBefore w:w="0" w:type="auto"/>
          <w:tblCellSpacing w:w="0" w:type="dxa"/>
        </w:trPr>
        <w:tc>
          <w:tcPr>
            <w:tcW w:w="0" w:type="auto"/>
            <w:noWrap w:val="0"/>
            <w:vAlign w:val="center"/>
          </w:tcPr>
          <w:p w14:paraId="167FFC57">
            <w:r>
              <w:rPr>
                <w:rStyle w:val="10"/>
                <w:rFonts w:hint="eastAsia"/>
              </w:rPr>
              <w:t>农药名称：</w:t>
            </w:r>
            <w:r>
              <w:rPr>
                <w:rFonts w:hint="eastAsia"/>
              </w:rPr>
              <w:t>噻呋·戊唑醇</w:t>
            </w:r>
          </w:p>
        </w:tc>
      </w:tr>
      <w:tr w14:paraId="0463BD2B">
        <w:tblPrEx>
          <w:tblCellMar>
            <w:top w:w="0" w:type="dxa"/>
            <w:left w:w="0" w:type="dxa"/>
            <w:bottom w:w="0" w:type="dxa"/>
            <w:right w:w="0" w:type="dxa"/>
          </w:tblCellMar>
        </w:tblPrEx>
        <w:trPr>
          <w:wBefore w:w="0" w:type="auto"/>
          <w:tblCellSpacing w:w="0" w:type="dxa"/>
        </w:trPr>
        <w:tc>
          <w:tcPr>
            <w:tcW w:w="0" w:type="auto"/>
            <w:noWrap w:val="0"/>
            <w:vAlign w:val="center"/>
          </w:tcPr>
          <w:p w14:paraId="64981C5C">
            <w:r>
              <w:rPr>
                <w:rStyle w:val="10"/>
                <w:rFonts w:hint="eastAsia"/>
              </w:rPr>
              <w:t>剂型：</w:t>
            </w:r>
            <w:r>
              <w:rPr>
                <w:rFonts w:hint="eastAsia"/>
              </w:rPr>
              <w:t>悬浮剂</w:t>
            </w:r>
          </w:p>
        </w:tc>
      </w:tr>
      <w:tr w14:paraId="24BF6CBB">
        <w:tblPrEx>
          <w:tblCellMar>
            <w:top w:w="0" w:type="dxa"/>
            <w:left w:w="0" w:type="dxa"/>
            <w:bottom w:w="0" w:type="dxa"/>
            <w:right w:w="0" w:type="dxa"/>
          </w:tblCellMar>
        </w:tblPrEx>
        <w:trPr>
          <w:wBefore w:w="0" w:type="auto"/>
          <w:tblCellSpacing w:w="0" w:type="dxa"/>
        </w:trPr>
        <w:tc>
          <w:tcPr>
            <w:tcW w:w="0" w:type="auto"/>
            <w:noWrap w:val="0"/>
            <w:vAlign w:val="center"/>
          </w:tcPr>
          <w:p w14:paraId="65DD783D">
            <w:r>
              <w:rPr>
                <w:rStyle w:val="10"/>
                <w:rFonts w:hint="eastAsia"/>
              </w:rPr>
              <w:t>毒性及其标识：</w:t>
            </w:r>
            <w:r>
              <w:rPr>
                <w:rFonts w:hint="eastAsia"/>
              </w:rPr>
              <w:t xml:space="preserve"> </w:t>
            </w:r>
            <w:r>
              <w:rPr>
                <w:lang/>
              </w:rPr>
              <w:drawing>
                <wp:inline distT="0" distB="0" distL="114300" distR="114300">
                  <wp:extent cx="476250" cy="323850"/>
                  <wp:effectExtent l="0" t="0" r="0" b="0"/>
                  <wp:docPr id="216" name="图片 2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AF3E25">
        <w:tblPrEx>
          <w:tblCellMar>
            <w:top w:w="0" w:type="dxa"/>
            <w:left w:w="0" w:type="dxa"/>
            <w:bottom w:w="0" w:type="dxa"/>
            <w:right w:w="0" w:type="dxa"/>
          </w:tblCellMar>
        </w:tblPrEx>
        <w:trPr>
          <w:wBefore w:w="0" w:type="auto"/>
          <w:tblCellSpacing w:w="0" w:type="dxa"/>
        </w:trPr>
        <w:tc>
          <w:tcPr>
            <w:tcW w:w="0" w:type="auto"/>
            <w:noWrap w:val="0"/>
            <w:vAlign w:val="center"/>
          </w:tcPr>
          <w:p w14:paraId="04FBE871">
            <w:r>
              <w:rPr>
                <w:rStyle w:val="10"/>
                <w:rFonts w:hint="eastAsia"/>
              </w:rPr>
              <w:t>总有效成分含量：</w:t>
            </w:r>
            <w:r>
              <w:rPr>
                <w:rFonts w:hint="eastAsia"/>
              </w:rPr>
              <w:t>27%</w:t>
            </w:r>
          </w:p>
        </w:tc>
      </w:tr>
      <w:tr w14:paraId="3FDA36DF">
        <w:tblPrEx>
          <w:tblCellMar>
            <w:top w:w="0" w:type="dxa"/>
            <w:left w:w="0" w:type="dxa"/>
            <w:bottom w:w="0" w:type="dxa"/>
            <w:right w:w="0" w:type="dxa"/>
          </w:tblCellMar>
        </w:tblPrEx>
        <w:trPr>
          <w:wBefore w:w="0" w:type="auto"/>
          <w:tblCellSpacing w:w="0" w:type="dxa"/>
        </w:trPr>
        <w:tc>
          <w:tcPr>
            <w:tcW w:w="0" w:type="auto"/>
            <w:noWrap w:val="0"/>
            <w:vAlign w:val="center"/>
          </w:tcPr>
          <w:p w14:paraId="1B2ECDD1">
            <w:r>
              <w:rPr>
                <w:rFonts w:hint="eastAsia"/>
              </w:rPr>
              <w:t xml:space="preserve">有效成分及其含量： </w:t>
            </w:r>
          </w:p>
          <w:p w14:paraId="4735DAE0">
            <w:r>
              <w:rPr>
                <w:rFonts w:hint="eastAsia"/>
              </w:rPr>
              <w:t xml:space="preserve">    噻呋酰胺9%    戊唑醇18%    </w:t>
            </w:r>
          </w:p>
        </w:tc>
      </w:tr>
      <w:tr w14:paraId="523B113B">
        <w:tblPrEx>
          <w:tblCellMar>
            <w:top w:w="0" w:type="dxa"/>
            <w:left w:w="0" w:type="dxa"/>
            <w:bottom w:w="0" w:type="dxa"/>
            <w:right w:w="0" w:type="dxa"/>
          </w:tblCellMar>
        </w:tblPrEx>
        <w:trPr>
          <w:wBefore w:w="0" w:type="auto"/>
          <w:tblCellSpacing w:w="0" w:type="dxa"/>
        </w:trPr>
        <w:tc>
          <w:tcPr>
            <w:tcW w:w="0" w:type="auto"/>
            <w:noWrap w:val="0"/>
            <w:vAlign w:val="center"/>
          </w:tcPr>
          <w:p w14:paraId="67A14A4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7ACD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19675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D9AC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874E5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F73759">
                  <w:r>
                    <w:rPr>
                      <w:rStyle w:val="11"/>
                      <w:rFonts w:hint="eastAsia"/>
                    </w:rPr>
                    <w:t>施用方式</w:t>
                  </w:r>
                </w:p>
              </w:tc>
            </w:tr>
            <w:tr w14:paraId="2F263F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449C72">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882BE7">
                  <w:r>
                    <w:rPr>
                      <w:rStyle w:val="11"/>
                      <w:rFonts w:hint="eastAsia"/>
                    </w:rPr>
                    <w:t>叶斑病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54765E">
                  <w:r>
                    <w:rPr>
                      <w:rStyle w:val="11"/>
                      <w:rFonts w:hint="eastAsia"/>
                    </w:rPr>
                    <w:t>40-45毫升/亩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DE6375">
                  <w:r>
                    <w:rPr>
                      <w:rStyle w:val="11"/>
                      <w:rFonts w:hint="eastAsia"/>
                    </w:rPr>
                    <w:t>喷雾</w:t>
                  </w:r>
                </w:p>
              </w:tc>
            </w:tr>
            <w:tr w14:paraId="2E9EFD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19267F">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49844">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6273D">
                  <w:r>
                    <w:rPr>
                      <w:rStyle w:val="11"/>
                      <w:rFonts w:hint="eastAsia"/>
                    </w:rPr>
                    <w:t>40-45毫升/亩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13730F">
                  <w:r>
                    <w:rPr>
                      <w:rStyle w:val="11"/>
                      <w:rFonts w:hint="eastAsia"/>
                    </w:rPr>
                    <w:t>喷雾</w:t>
                  </w:r>
                </w:p>
              </w:tc>
            </w:tr>
          </w:tbl>
          <w:p w14:paraId="2F349A04">
            <w:pPr>
              <w:rPr>
                <w:rFonts w:ascii="Times New Roman" w:hAnsi="Times New Roman" w:cs="Times New Roman"/>
                <w:sz w:val="20"/>
                <w:szCs w:val="20"/>
              </w:rPr>
            </w:pPr>
          </w:p>
        </w:tc>
      </w:tr>
      <w:tr w14:paraId="33F1DFA9">
        <w:tblPrEx>
          <w:tblCellMar>
            <w:top w:w="0" w:type="dxa"/>
            <w:left w:w="0" w:type="dxa"/>
            <w:bottom w:w="0" w:type="dxa"/>
            <w:right w:w="0" w:type="dxa"/>
          </w:tblCellMar>
        </w:tblPrEx>
        <w:trPr>
          <w:wBefore w:w="0" w:type="auto"/>
          <w:tblCellSpacing w:w="0" w:type="dxa"/>
        </w:trPr>
        <w:tc>
          <w:tcPr>
            <w:tcW w:w="0" w:type="auto"/>
            <w:noWrap w:val="0"/>
            <w:vAlign w:val="center"/>
          </w:tcPr>
          <w:p w14:paraId="36B8E43C">
            <w:r>
              <w:rPr>
                <w:rStyle w:val="10"/>
                <w:rFonts w:hint="eastAsia"/>
              </w:rPr>
              <w:t>使用技术要求:</w:t>
            </w:r>
            <w:r>
              <w:rPr>
                <w:rFonts w:hint="eastAsia"/>
              </w:rPr>
              <w:br w:type="textWrapping"/>
            </w:r>
            <w:r>
              <w:rPr>
                <w:rStyle w:val="11"/>
                <w:rFonts w:hint="eastAsia"/>
              </w:rPr>
              <w:t>1.本品应与花生病害发生前或发生初期施药，注意喷雾均匀周到，每季最多施药3次，施药间隔为7-14天。 2.大风天或预计3小时内降雨，请勿施药。 3.本品在花生上使用的安全间隔期为21天，每季最多使用3次。</w:t>
            </w:r>
          </w:p>
        </w:tc>
      </w:tr>
      <w:tr w14:paraId="5FD449FD">
        <w:tblPrEx>
          <w:tblCellMar>
            <w:top w:w="0" w:type="dxa"/>
            <w:left w:w="0" w:type="dxa"/>
            <w:bottom w:w="0" w:type="dxa"/>
            <w:right w:w="0" w:type="dxa"/>
          </w:tblCellMar>
        </w:tblPrEx>
        <w:trPr>
          <w:wBefore w:w="0" w:type="auto"/>
          <w:tblCellSpacing w:w="0" w:type="dxa"/>
        </w:trPr>
        <w:tc>
          <w:tcPr>
            <w:tcW w:w="0" w:type="auto"/>
            <w:noWrap w:val="0"/>
            <w:vAlign w:val="center"/>
          </w:tcPr>
          <w:p w14:paraId="6042A3D6">
            <w:r>
              <w:rPr>
                <w:rStyle w:val="10"/>
                <w:rFonts w:hint="eastAsia"/>
              </w:rPr>
              <w:t>产品性能:</w:t>
            </w:r>
            <w:r>
              <w:rPr>
                <w:rFonts w:hint="eastAsia"/>
              </w:rPr>
              <w:br w:type="textWrapping"/>
            </w:r>
            <w:r>
              <w:rPr>
                <w:rStyle w:val="11"/>
                <w:rFonts w:hint="eastAsia"/>
              </w:rPr>
              <w:t>噻呋酰胺是类琥珀酸酯脱氢酶抑制剂，具有预防和治疗双重功效，持效期较长；戊唑醇主要是抑制麦角甾醇中间体的氧化脱甲基化反应。将噻呋酰胺和戊唑醇混配，兼具保护和治疗双重作用，能有效防治花生叶斑病和白绢病。</w:t>
            </w:r>
          </w:p>
        </w:tc>
      </w:tr>
      <w:tr w14:paraId="30BEDFD5">
        <w:tblPrEx>
          <w:tblCellMar>
            <w:top w:w="0" w:type="dxa"/>
            <w:left w:w="0" w:type="dxa"/>
            <w:bottom w:w="0" w:type="dxa"/>
            <w:right w:w="0" w:type="dxa"/>
          </w:tblCellMar>
        </w:tblPrEx>
        <w:trPr>
          <w:wBefore w:w="0" w:type="auto"/>
          <w:tblCellSpacing w:w="0" w:type="dxa"/>
        </w:trPr>
        <w:tc>
          <w:tcPr>
            <w:tcW w:w="0" w:type="auto"/>
            <w:noWrap w:val="0"/>
            <w:vAlign w:val="center"/>
          </w:tcPr>
          <w:p w14:paraId="6902803F">
            <w:r>
              <w:rPr>
                <w:rStyle w:val="10"/>
                <w:rFonts w:hint="eastAsia"/>
              </w:rPr>
              <w:t>注意事项：</w:t>
            </w:r>
            <w:r>
              <w:rPr>
                <w:rFonts w:hint="eastAsia"/>
              </w:rPr>
              <w:br w:type="textWrapping"/>
            </w:r>
            <w:r>
              <w:rPr>
                <w:rStyle w:val="11"/>
                <w:rFonts w:hint="eastAsia"/>
              </w:rPr>
              <w:t>1.本品不可与强酸强碱农药等物质混合使用。2.本品对鱼类等水生生物有中等毒性，应远离水产养殖区施药，禁止在河塘等水体清洗施药器具，不要污染水体，应避免药液流入湖泊、河流或鱼塘中污染水源。鱼或虾蟹套养稻田禁用，施药后的田水不得直接排入水体 3.使用本品时应穿戴防护服和手套，避免吸入药液。施药期间不可吃东西和饮水。施药后应及时冲洗手、脸及裸露部位。4.丢弃的包装物等废弃物应避免污染水体，建议用控制焚烧法或安全掩埋法处置包装物或废弃物。5 孕妇及哺乳期妇女禁止接触本品。</w:t>
            </w:r>
          </w:p>
        </w:tc>
      </w:tr>
      <w:tr w14:paraId="74FAB458">
        <w:tblPrEx>
          <w:tblCellMar>
            <w:top w:w="0" w:type="dxa"/>
            <w:left w:w="0" w:type="dxa"/>
            <w:bottom w:w="0" w:type="dxa"/>
            <w:right w:w="0" w:type="dxa"/>
          </w:tblCellMar>
        </w:tblPrEx>
        <w:trPr>
          <w:wBefore w:w="0" w:type="auto"/>
          <w:tblCellSpacing w:w="0" w:type="dxa"/>
        </w:trPr>
        <w:tc>
          <w:tcPr>
            <w:tcW w:w="0" w:type="auto"/>
            <w:noWrap w:val="0"/>
            <w:vAlign w:val="center"/>
          </w:tcPr>
          <w:p w14:paraId="662A4C84">
            <w:r>
              <w:rPr>
                <w:rStyle w:val="10"/>
                <w:rFonts w:hint="eastAsia"/>
              </w:rPr>
              <w:t>中毒急救措施：</w:t>
            </w:r>
            <w:r>
              <w:rPr>
                <w:rFonts w:hint="eastAsia"/>
              </w:rPr>
              <w:br w:type="textWrapping"/>
            </w:r>
            <w:r>
              <w:rPr>
                <w:rStyle w:val="11"/>
                <w:rFonts w:hint="eastAsia"/>
              </w:rPr>
              <w:t>中毒症状：头晕、头痛、恶心、呕吐等，对皮肤、眼睛有刺激作用，要注意防护。急救措施：若误服携此标签及时送往医院对症治疗。误入眼睛：清水冲洗至少15分钟，并就医。误触皮肤：清水冲洗并换洗衣物。不慎吸入，将病人移至空气流通处。</w:t>
            </w:r>
          </w:p>
        </w:tc>
      </w:tr>
      <w:tr w14:paraId="4029448E">
        <w:tblPrEx>
          <w:tblCellMar>
            <w:top w:w="0" w:type="dxa"/>
            <w:left w:w="0" w:type="dxa"/>
            <w:bottom w:w="0" w:type="dxa"/>
            <w:right w:w="0" w:type="dxa"/>
          </w:tblCellMar>
        </w:tblPrEx>
        <w:trPr>
          <w:wBefore w:w="0" w:type="auto"/>
          <w:tblCellSpacing w:w="0" w:type="dxa"/>
        </w:trPr>
        <w:tc>
          <w:tcPr>
            <w:tcW w:w="0" w:type="auto"/>
            <w:noWrap w:val="0"/>
            <w:vAlign w:val="center"/>
          </w:tcPr>
          <w:p w14:paraId="1BB68FFE">
            <w:r>
              <w:rPr>
                <w:rStyle w:val="10"/>
                <w:rFonts w:hint="eastAsia"/>
              </w:rPr>
              <w:t>储存和运输方法：</w:t>
            </w:r>
            <w:r>
              <w:rPr>
                <w:rFonts w:hint="eastAsia"/>
              </w:rPr>
              <w:br w:type="textWrapping"/>
            </w:r>
            <w:r>
              <w:rPr>
                <w:rStyle w:val="11"/>
                <w:rFonts w:hint="eastAsia"/>
              </w:rPr>
              <w:t>1．本品应密封贮存在干燥、阴凉、通风、防雨处，远离火源或热源。2．存放于儿童触及不到之处，并加锁。3．勿与食品、饮料、粮食、饲料等其他商品同贮同运。贮存或运输时堆层不得超过规定，注意轻拿轻放，以免损坏包装，导致产品泄漏。</w:t>
            </w:r>
          </w:p>
        </w:tc>
      </w:tr>
      <w:tr w14:paraId="53C19470">
        <w:tblPrEx>
          <w:tblCellMar>
            <w:top w:w="0" w:type="dxa"/>
            <w:left w:w="0" w:type="dxa"/>
            <w:bottom w:w="0" w:type="dxa"/>
            <w:right w:w="0" w:type="dxa"/>
          </w:tblCellMar>
        </w:tblPrEx>
        <w:trPr>
          <w:wBefore w:w="0" w:type="auto"/>
          <w:tblCellSpacing w:w="0" w:type="dxa"/>
        </w:trPr>
        <w:tc>
          <w:tcPr>
            <w:tcW w:w="0" w:type="auto"/>
            <w:noWrap w:val="0"/>
            <w:vAlign w:val="center"/>
          </w:tcPr>
          <w:p w14:paraId="2607D8E3">
            <w:r>
              <w:rPr>
                <w:rStyle w:val="10"/>
                <w:rFonts w:hint="eastAsia"/>
              </w:rPr>
              <w:t>质量保证期：</w:t>
            </w:r>
            <w:r>
              <w:rPr>
                <w:rStyle w:val="11"/>
                <w:rFonts w:hint="eastAsia"/>
              </w:rPr>
              <w:t>2年</w:t>
            </w:r>
          </w:p>
        </w:tc>
      </w:tr>
      <w:tr w14:paraId="5F5D6410">
        <w:tblPrEx>
          <w:tblCellMar>
            <w:top w:w="0" w:type="dxa"/>
            <w:left w:w="0" w:type="dxa"/>
            <w:bottom w:w="0" w:type="dxa"/>
            <w:right w:w="0" w:type="dxa"/>
          </w:tblCellMar>
        </w:tblPrEx>
        <w:trPr>
          <w:wBefore w:w="0" w:type="auto"/>
          <w:tblCellSpacing w:w="0" w:type="dxa"/>
        </w:trPr>
        <w:tc>
          <w:tcPr>
            <w:tcW w:w="0" w:type="auto"/>
            <w:noWrap w:val="0"/>
            <w:vAlign w:val="center"/>
          </w:tcPr>
          <w:p w14:paraId="0EA5DF76">
            <w:r>
              <w:rPr>
                <w:rStyle w:val="10"/>
                <w:rFonts w:hint="eastAsia"/>
              </w:rPr>
              <w:t>备注：</w:t>
            </w:r>
          </w:p>
        </w:tc>
      </w:tr>
    </w:tbl>
    <w:p w14:paraId="0170B22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3FE5DB">
        <w:tblPrEx>
          <w:tblCellMar>
            <w:top w:w="0" w:type="dxa"/>
            <w:left w:w="0" w:type="dxa"/>
            <w:bottom w:w="0" w:type="dxa"/>
            <w:right w:w="0" w:type="dxa"/>
          </w:tblCellMar>
        </w:tblPrEx>
        <w:trPr>
          <w:wBefore w:w="0" w:type="auto"/>
          <w:tblCellSpacing w:w="0" w:type="dxa"/>
        </w:trPr>
        <w:tc>
          <w:tcPr>
            <w:tcW w:w="0" w:type="auto"/>
            <w:noWrap w:val="0"/>
            <w:vAlign w:val="center"/>
          </w:tcPr>
          <w:p w14:paraId="380CC9D6">
            <w:r>
              <w:rPr>
                <w:rStyle w:val="10"/>
                <w:rFonts w:hint="eastAsia"/>
              </w:rPr>
              <w:t>登记证号：</w:t>
            </w:r>
            <w:r>
              <w:rPr>
                <w:rFonts w:hint="eastAsia"/>
              </w:rPr>
              <w:t>PD20212743</w:t>
            </w:r>
          </w:p>
        </w:tc>
      </w:tr>
      <w:tr w14:paraId="0914C784">
        <w:tblPrEx>
          <w:tblCellMar>
            <w:top w:w="0" w:type="dxa"/>
            <w:left w:w="0" w:type="dxa"/>
            <w:bottom w:w="0" w:type="dxa"/>
            <w:right w:w="0" w:type="dxa"/>
          </w:tblCellMar>
        </w:tblPrEx>
        <w:trPr>
          <w:wBefore w:w="0" w:type="auto"/>
          <w:tblCellSpacing w:w="0" w:type="dxa"/>
        </w:trPr>
        <w:tc>
          <w:tcPr>
            <w:tcW w:w="0" w:type="auto"/>
            <w:noWrap w:val="0"/>
            <w:vAlign w:val="center"/>
          </w:tcPr>
          <w:p w14:paraId="36A79008">
            <w:r>
              <w:rPr>
                <w:rStyle w:val="10"/>
                <w:rFonts w:hint="eastAsia"/>
              </w:rPr>
              <w:t>登记证持有人：</w:t>
            </w:r>
            <w:r>
              <w:rPr>
                <w:rFonts w:hint="eastAsia"/>
              </w:rPr>
              <w:t>许昌市建安区昌盛日化实业有限公司</w:t>
            </w:r>
          </w:p>
        </w:tc>
      </w:tr>
      <w:tr w14:paraId="255135BF">
        <w:tblPrEx>
          <w:tblCellMar>
            <w:top w:w="0" w:type="dxa"/>
            <w:left w:w="0" w:type="dxa"/>
            <w:bottom w:w="0" w:type="dxa"/>
            <w:right w:w="0" w:type="dxa"/>
          </w:tblCellMar>
        </w:tblPrEx>
        <w:trPr>
          <w:wBefore w:w="0" w:type="auto"/>
          <w:tblCellSpacing w:w="0" w:type="dxa"/>
        </w:trPr>
        <w:tc>
          <w:tcPr>
            <w:tcW w:w="0" w:type="auto"/>
            <w:noWrap w:val="0"/>
            <w:vAlign w:val="center"/>
          </w:tcPr>
          <w:p w14:paraId="4F3474A8">
            <w:r>
              <w:rPr>
                <w:rStyle w:val="10"/>
                <w:rFonts w:hint="eastAsia"/>
              </w:rPr>
              <w:t>农药名称：</w:t>
            </w:r>
            <w:r>
              <w:rPr>
                <w:rFonts w:hint="eastAsia"/>
              </w:rPr>
              <w:t>S-诱抗素</w:t>
            </w:r>
          </w:p>
        </w:tc>
      </w:tr>
      <w:tr w14:paraId="49B13029">
        <w:tblPrEx>
          <w:tblCellMar>
            <w:top w:w="0" w:type="dxa"/>
            <w:left w:w="0" w:type="dxa"/>
            <w:bottom w:w="0" w:type="dxa"/>
            <w:right w:w="0" w:type="dxa"/>
          </w:tblCellMar>
        </w:tblPrEx>
        <w:trPr>
          <w:wBefore w:w="0" w:type="auto"/>
          <w:tblCellSpacing w:w="0" w:type="dxa"/>
        </w:trPr>
        <w:tc>
          <w:tcPr>
            <w:tcW w:w="0" w:type="auto"/>
            <w:noWrap w:val="0"/>
            <w:vAlign w:val="center"/>
          </w:tcPr>
          <w:p w14:paraId="21218892">
            <w:r>
              <w:rPr>
                <w:rStyle w:val="10"/>
                <w:rFonts w:hint="eastAsia"/>
              </w:rPr>
              <w:t>剂型：</w:t>
            </w:r>
            <w:r>
              <w:rPr>
                <w:rFonts w:hint="eastAsia"/>
              </w:rPr>
              <w:t>可溶液剂</w:t>
            </w:r>
          </w:p>
        </w:tc>
      </w:tr>
      <w:tr w14:paraId="2E4F53F2">
        <w:tblPrEx>
          <w:tblCellMar>
            <w:top w:w="0" w:type="dxa"/>
            <w:left w:w="0" w:type="dxa"/>
            <w:bottom w:w="0" w:type="dxa"/>
            <w:right w:w="0" w:type="dxa"/>
          </w:tblCellMar>
        </w:tblPrEx>
        <w:trPr>
          <w:wBefore w:w="0" w:type="auto"/>
          <w:tblCellSpacing w:w="0" w:type="dxa"/>
        </w:trPr>
        <w:tc>
          <w:tcPr>
            <w:tcW w:w="0" w:type="auto"/>
            <w:noWrap w:val="0"/>
            <w:vAlign w:val="center"/>
          </w:tcPr>
          <w:p w14:paraId="45766569">
            <w:r>
              <w:rPr>
                <w:rStyle w:val="10"/>
                <w:rFonts w:hint="eastAsia"/>
              </w:rPr>
              <w:t>毒性及其标识：</w:t>
            </w:r>
            <w:r>
              <w:rPr>
                <w:rFonts w:hint="eastAsia"/>
              </w:rPr>
              <w:t xml:space="preserve"> </w:t>
            </w:r>
            <w:r>
              <w:rPr>
                <w:lang/>
              </w:rPr>
              <w:drawing>
                <wp:inline distT="0" distB="0" distL="114300" distR="114300">
                  <wp:extent cx="476250" cy="323850"/>
                  <wp:effectExtent l="0" t="0" r="0" b="0"/>
                  <wp:docPr id="217" name="图片 2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138CF8">
        <w:tblPrEx>
          <w:tblCellMar>
            <w:top w:w="0" w:type="dxa"/>
            <w:left w:w="0" w:type="dxa"/>
            <w:bottom w:w="0" w:type="dxa"/>
            <w:right w:w="0" w:type="dxa"/>
          </w:tblCellMar>
        </w:tblPrEx>
        <w:trPr>
          <w:wBefore w:w="0" w:type="auto"/>
          <w:tblCellSpacing w:w="0" w:type="dxa"/>
        </w:trPr>
        <w:tc>
          <w:tcPr>
            <w:tcW w:w="0" w:type="auto"/>
            <w:noWrap w:val="0"/>
            <w:vAlign w:val="center"/>
          </w:tcPr>
          <w:p w14:paraId="4067EC89">
            <w:r>
              <w:rPr>
                <w:rStyle w:val="10"/>
                <w:rFonts w:hint="eastAsia"/>
              </w:rPr>
              <w:t>总有效成分含量：</w:t>
            </w:r>
            <w:r>
              <w:rPr>
                <w:rFonts w:hint="eastAsia"/>
              </w:rPr>
              <w:t>0.1%</w:t>
            </w:r>
          </w:p>
        </w:tc>
      </w:tr>
      <w:tr w14:paraId="36947C07">
        <w:tblPrEx>
          <w:tblCellMar>
            <w:top w:w="0" w:type="dxa"/>
            <w:left w:w="0" w:type="dxa"/>
            <w:bottom w:w="0" w:type="dxa"/>
            <w:right w:w="0" w:type="dxa"/>
          </w:tblCellMar>
        </w:tblPrEx>
        <w:trPr>
          <w:wBefore w:w="0" w:type="auto"/>
          <w:tblCellSpacing w:w="0" w:type="dxa"/>
        </w:trPr>
        <w:tc>
          <w:tcPr>
            <w:tcW w:w="0" w:type="auto"/>
            <w:noWrap w:val="0"/>
            <w:vAlign w:val="center"/>
          </w:tcPr>
          <w:p w14:paraId="0EA94C38">
            <w:r>
              <w:rPr>
                <w:rFonts w:hint="eastAsia"/>
              </w:rPr>
              <w:t xml:space="preserve">有效成分及其含量： </w:t>
            </w:r>
          </w:p>
          <w:p w14:paraId="20AF34ED">
            <w:r>
              <w:rPr>
                <w:rFonts w:hint="eastAsia"/>
              </w:rPr>
              <w:t xml:space="preserve">    S-诱抗素0.1%    </w:t>
            </w:r>
          </w:p>
        </w:tc>
      </w:tr>
      <w:tr w14:paraId="7A94C63D">
        <w:tblPrEx>
          <w:tblCellMar>
            <w:top w:w="0" w:type="dxa"/>
            <w:left w:w="0" w:type="dxa"/>
            <w:bottom w:w="0" w:type="dxa"/>
            <w:right w:w="0" w:type="dxa"/>
          </w:tblCellMar>
        </w:tblPrEx>
        <w:trPr>
          <w:wBefore w:w="0" w:type="auto"/>
          <w:tblCellSpacing w:w="0" w:type="dxa"/>
        </w:trPr>
        <w:tc>
          <w:tcPr>
            <w:tcW w:w="0" w:type="auto"/>
            <w:noWrap w:val="0"/>
            <w:vAlign w:val="center"/>
          </w:tcPr>
          <w:p w14:paraId="4019ABE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B52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B866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E1D6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AC4FF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C37394">
                  <w:r>
                    <w:rPr>
                      <w:rStyle w:val="11"/>
                      <w:rFonts w:hint="eastAsia"/>
                    </w:rPr>
                    <w:t>施用方式</w:t>
                  </w:r>
                </w:p>
              </w:tc>
            </w:tr>
            <w:tr w14:paraId="167ABA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62B52D">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43E84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2758C7">
                  <w:r>
                    <w:rPr>
                      <w:rStyle w:val="11"/>
                      <w:rFonts w:hint="eastAsia"/>
                    </w:rPr>
                    <w:t>200-400倍液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F9A92F">
                  <w:r>
                    <w:rPr>
                      <w:rStyle w:val="11"/>
                      <w:rFonts w:hint="eastAsia"/>
                    </w:rPr>
                    <w:t>喷雾</w:t>
                  </w:r>
                </w:p>
              </w:tc>
            </w:tr>
          </w:tbl>
          <w:p w14:paraId="01F2CE21">
            <w:pPr>
              <w:rPr>
                <w:rFonts w:ascii="Times New Roman" w:hAnsi="Times New Roman" w:cs="Times New Roman"/>
                <w:sz w:val="20"/>
                <w:szCs w:val="20"/>
              </w:rPr>
            </w:pPr>
          </w:p>
        </w:tc>
      </w:tr>
      <w:tr w14:paraId="4C246C19">
        <w:tblPrEx>
          <w:tblCellMar>
            <w:top w:w="0" w:type="dxa"/>
            <w:left w:w="0" w:type="dxa"/>
            <w:bottom w:w="0" w:type="dxa"/>
            <w:right w:w="0" w:type="dxa"/>
          </w:tblCellMar>
        </w:tblPrEx>
        <w:trPr>
          <w:wBefore w:w="0" w:type="auto"/>
          <w:tblCellSpacing w:w="0" w:type="dxa"/>
        </w:trPr>
        <w:tc>
          <w:tcPr>
            <w:tcW w:w="0" w:type="auto"/>
            <w:noWrap w:val="0"/>
            <w:vAlign w:val="center"/>
          </w:tcPr>
          <w:p w14:paraId="7ADE13B1">
            <w:r>
              <w:rPr>
                <w:rStyle w:val="10"/>
                <w:rFonts w:hint="eastAsia"/>
              </w:rPr>
              <w:t>使用技术要求:</w:t>
            </w:r>
            <w:r>
              <w:rPr>
                <w:rFonts w:hint="eastAsia"/>
              </w:rPr>
              <w:br w:type="textWrapping"/>
            </w:r>
            <w:r>
              <w:rPr>
                <w:rStyle w:val="11"/>
                <w:rFonts w:hint="eastAsia"/>
              </w:rPr>
              <w:t>1.于番茄苗期或移栽后7-20天第一次施药，间隔7天第二次施药，每季作物最多施药2次，施药时应注意均匀、周到。 2.大风天或预计1小时内降雨，请勿施药。</w:t>
            </w:r>
          </w:p>
        </w:tc>
      </w:tr>
      <w:tr w14:paraId="10D67A5C">
        <w:tblPrEx>
          <w:tblCellMar>
            <w:top w:w="0" w:type="dxa"/>
            <w:left w:w="0" w:type="dxa"/>
            <w:bottom w:w="0" w:type="dxa"/>
            <w:right w:w="0" w:type="dxa"/>
          </w:tblCellMar>
        </w:tblPrEx>
        <w:trPr>
          <w:wBefore w:w="0" w:type="auto"/>
          <w:tblCellSpacing w:w="0" w:type="dxa"/>
        </w:trPr>
        <w:tc>
          <w:tcPr>
            <w:tcW w:w="0" w:type="auto"/>
            <w:noWrap w:val="0"/>
            <w:vAlign w:val="center"/>
          </w:tcPr>
          <w:p w14:paraId="3A4066BF">
            <w:r>
              <w:rPr>
                <w:rStyle w:val="10"/>
                <w:rFonts w:hint="eastAsia"/>
              </w:rPr>
              <w:t>产品性能:</w:t>
            </w:r>
            <w:r>
              <w:rPr>
                <w:rFonts w:hint="eastAsia"/>
              </w:rPr>
              <w:br w:type="textWrapping"/>
            </w:r>
            <w:r>
              <w:rPr>
                <w:rStyle w:val="11"/>
                <w:rFonts w:hint="eastAsia"/>
              </w:rPr>
              <w:t>S-诱抗素是一种天然植物生长调节剂，具有促进植物平衡吸收水、肥和协调体内代谢的能力，能有效增强植物的抗逆性。在推荐使用剂量范围内，对番茄调节生长有良好的效果。</w:t>
            </w:r>
          </w:p>
        </w:tc>
      </w:tr>
      <w:tr w14:paraId="4E968F0D">
        <w:tblPrEx>
          <w:tblCellMar>
            <w:top w:w="0" w:type="dxa"/>
            <w:left w:w="0" w:type="dxa"/>
            <w:bottom w:w="0" w:type="dxa"/>
            <w:right w:w="0" w:type="dxa"/>
          </w:tblCellMar>
        </w:tblPrEx>
        <w:trPr>
          <w:wBefore w:w="0" w:type="auto"/>
          <w:tblCellSpacing w:w="0" w:type="dxa"/>
        </w:trPr>
        <w:tc>
          <w:tcPr>
            <w:tcW w:w="0" w:type="auto"/>
            <w:noWrap w:val="0"/>
            <w:vAlign w:val="center"/>
          </w:tcPr>
          <w:p w14:paraId="609417D4">
            <w:r>
              <w:rPr>
                <w:rStyle w:val="10"/>
                <w:rFonts w:hint="eastAsia"/>
              </w:rPr>
              <w:t>注意事项：</w:t>
            </w:r>
            <w:r>
              <w:rPr>
                <w:rFonts w:hint="eastAsia"/>
              </w:rPr>
              <w:br w:type="textWrapping"/>
            </w:r>
            <w:r>
              <w:rPr>
                <w:rStyle w:val="11"/>
                <w:rFonts w:hint="eastAsia"/>
              </w:rPr>
              <w:t>1.本品应避光保存，开启包装后最好一次性用完。2. 本品不可与碱性农药等物质混用，忌用碱水稀释。 3. 使用本品时应穿防护服和戴手套，避免吸入药液。施药期间不可吃东西和饮水，施药后应及时洗手和洗脸。 4. 用过的容器应妥善处理，不可做他用，也不可随意丢弃。 5. 水产养殖区、河塘等水体附近禁用，禁止在河塘等水域清洗施药器具。 6. 孕妇及哺乳期妇女禁止接触本品。</w:t>
            </w:r>
          </w:p>
        </w:tc>
      </w:tr>
      <w:tr w14:paraId="4F312191">
        <w:tblPrEx>
          <w:tblCellMar>
            <w:top w:w="0" w:type="dxa"/>
            <w:left w:w="0" w:type="dxa"/>
            <w:bottom w:w="0" w:type="dxa"/>
            <w:right w:w="0" w:type="dxa"/>
          </w:tblCellMar>
        </w:tblPrEx>
        <w:trPr>
          <w:wBefore w:w="0" w:type="auto"/>
          <w:tblCellSpacing w:w="0" w:type="dxa"/>
        </w:trPr>
        <w:tc>
          <w:tcPr>
            <w:tcW w:w="0" w:type="auto"/>
            <w:noWrap w:val="0"/>
            <w:vAlign w:val="center"/>
          </w:tcPr>
          <w:p w14:paraId="3246F4C6">
            <w:r>
              <w:rPr>
                <w:rStyle w:val="10"/>
                <w:rFonts w:hint="eastAsia"/>
              </w:rPr>
              <w:t>中毒急救措施：</w:t>
            </w:r>
            <w:r>
              <w:rPr>
                <w:rFonts w:hint="eastAsia"/>
              </w:rPr>
              <w:br w:type="textWrapping"/>
            </w:r>
            <w:r>
              <w:rPr>
                <w:rStyle w:val="11"/>
                <w:rFonts w:hint="eastAsia"/>
              </w:rPr>
              <w:t xml:space="preserve">中毒症状：本品无人体中毒报道。 急救措施：使用中或使用后如果感觉不适，应立即停止工作，采取急救措施，并携带标签送医院就诊。皮肤接触：脱去污染的衣物，立即用软布去除沾染农药，用大量清水和肥皂冲洗。眼睛溅入：立即用清水彻底冲洗干净，仍有不适，应携此标签送医院对症治疗。吸入：将吸入者转移至空气清新处。误服：携带农药标签到医院对症治疗，无专用解毒剂。 </w:t>
            </w:r>
          </w:p>
        </w:tc>
      </w:tr>
      <w:tr w14:paraId="128842B1">
        <w:tblPrEx>
          <w:tblCellMar>
            <w:top w:w="0" w:type="dxa"/>
            <w:left w:w="0" w:type="dxa"/>
            <w:bottom w:w="0" w:type="dxa"/>
            <w:right w:w="0" w:type="dxa"/>
          </w:tblCellMar>
        </w:tblPrEx>
        <w:trPr>
          <w:wBefore w:w="0" w:type="auto"/>
          <w:tblCellSpacing w:w="0" w:type="dxa"/>
        </w:trPr>
        <w:tc>
          <w:tcPr>
            <w:tcW w:w="0" w:type="auto"/>
            <w:noWrap w:val="0"/>
            <w:vAlign w:val="center"/>
          </w:tcPr>
          <w:p w14:paraId="56279334">
            <w:r>
              <w:rPr>
                <w:rStyle w:val="10"/>
                <w:rFonts w:hint="eastAsia"/>
              </w:rPr>
              <w:t>储存和运输方法：</w:t>
            </w:r>
            <w:r>
              <w:rPr>
                <w:rFonts w:hint="eastAsia"/>
              </w:rPr>
              <w:br w:type="textWrapping"/>
            </w:r>
            <w:r>
              <w:rPr>
                <w:rStyle w:val="11"/>
                <w:rFonts w:hint="eastAsia"/>
              </w:rPr>
              <w:t xml:space="preserve">本品应密封包装，置于阴凉、避光、干燥、通风处。远离火源和热源，与强氧化剂分开存放。置于儿童触及不到之处，并加锁。勿与食品、饮料、粮食、饲料、种子等物品同贮同运。 </w:t>
            </w:r>
          </w:p>
        </w:tc>
      </w:tr>
      <w:tr w14:paraId="47896BCA">
        <w:tblPrEx>
          <w:tblCellMar>
            <w:top w:w="0" w:type="dxa"/>
            <w:left w:w="0" w:type="dxa"/>
            <w:bottom w:w="0" w:type="dxa"/>
            <w:right w:w="0" w:type="dxa"/>
          </w:tblCellMar>
        </w:tblPrEx>
        <w:trPr>
          <w:wBefore w:w="0" w:type="auto"/>
          <w:tblCellSpacing w:w="0" w:type="dxa"/>
        </w:trPr>
        <w:tc>
          <w:tcPr>
            <w:tcW w:w="0" w:type="auto"/>
            <w:noWrap w:val="0"/>
            <w:vAlign w:val="center"/>
          </w:tcPr>
          <w:p w14:paraId="6EE0806F">
            <w:r>
              <w:rPr>
                <w:rStyle w:val="10"/>
                <w:rFonts w:hint="eastAsia"/>
              </w:rPr>
              <w:t>质量保证期：</w:t>
            </w:r>
            <w:r>
              <w:rPr>
                <w:rStyle w:val="11"/>
                <w:rFonts w:hint="eastAsia"/>
              </w:rPr>
              <w:t>2年</w:t>
            </w:r>
          </w:p>
        </w:tc>
      </w:tr>
      <w:tr w14:paraId="5E12BE74">
        <w:tblPrEx>
          <w:tblCellMar>
            <w:top w:w="0" w:type="dxa"/>
            <w:left w:w="0" w:type="dxa"/>
            <w:bottom w:w="0" w:type="dxa"/>
            <w:right w:w="0" w:type="dxa"/>
          </w:tblCellMar>
        </w:tblPrEx>
        <w:trPr>
          <w:wBefore w:w="0" w:type="auto"/>
          <w:tblCellSpacing w:w="0" w:type="dxa"/>
        </w:trPr>
        <w:tc>
          <w:tcPr>
            <w:tcW w:w="0" w:type="auto"/>
            <w:noWrap w:val="0"/>
            <w:vAlign w:val="center"/>
          </w:tcPr>
          <w:p w14:paraId="3DE1C850">
            <w:r>
              <w:rPr>
                <w:rStyle w:val="10"/>
                <w:rFonts w:hint="eastAsia"/>
              </w:rPr>
              <w:t>备注：</w:t>
            </w:r>
          </w:p>
        </w:tc>
      </w:tr>
    </w:tbl>
    <w:p w14:paraId="731FBD4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262B39">
        <w:tblPrEx>
          <w:tblCellMar>
            <w:top w:w="0" w:type="dxa"/>
            <w:left w:w="0" w:type="dxa"/>
            <w:bottom w:w="0" w:type="dxa"/>
            <w:right w:w="0" w:type="dxa"/>
          </w:tblCellMar>
        </w:tblPrEx>
        <w:trPr>
          <w:wBefore w:w="0" w:type="auto"/>
          <w:tblCellSpacing w:w="0" w:type="dxa"/>
        </w:trPr>
        <w:tc>
          <w:tcPr>
            <w:tcW w:w="0" w:type="auto"/>
            <w:noWrap w:val="0"/>
            <w:vAlign w:val="center"/>
          </w:tcPr>
          <w:p w14:paraId="2DE3404C">
            <w:r>
              <w:rPr>
                <w:rStyle w:val="10"/>
                <w:rFonts w:hint="eastAsia"/>
              </w:rPr>
              <w:t>登记证号：</w:t>
            </w:r>
            <w:r>
              <w:rPr>
                <w:rFonts w:hint="eastAsia"/>
              </w:rPr>
              <w:t>PD20212458</w:t>
            </w:r>
          </w:p>
        </w:tc>
      </w:tr>
      <w:tr w14:paraId="42B5CB81">
        <w:tblPrEx>
          <w:tblCellMar>
            <w:top w:w="0" w:type="dxa"/>
            <w:left w:w="0" w:type="dxa"/>
            <w:bottom w:w="0" w:type="dxa"/>
            <w:right w:w="0" w:type="dxa"/>
          </w:tblCellMar>
        </w:tblPrEx>
        <w:trPr>
          <w:wBefore w:w="0" w:type="auto"/>
          <w:tblCellSpacing w:w="0" w:type="dxa"/>
        </w:trPr>
        <w:tc>
          <w:tcPr>
            <w:tcW w:w="0" w:type="auto"/>
            <w:noWrap w:val="0"/>
            <w:vAlign w:val="center"/>
          </w:tcPr>
          <w:p w14:paraId="6895BC25">
            <w:r>
              <w:rPr>
                <w:rStyle w:val="10"/>
                <w:rFonts w:hint="eastAsia"/>
              </w:rPr>
              <w:t>登记证持有人：</w:t>
            </w:r>
            <w:r>
              <w:rPr>
                <w:rFonts w:hint="eastAsia"/>
              </w:rPr>
              <w:t>大连九信作物科学有限公司</w:t>
            </w:r>
          </w:p>
        </w:tc>
      </w:tr>
      <w:tr w14:paraId="1710040F">
        <w:tblPrEx>
          <w:tblCellMar>
            <w:top w:w="0" w:type="dxa"/>
            <w:left w:w="0" w:type="dxa"/>
            <w:bottom w:w="0" w:type="dxa"/>
            <w:right w:w="0" w:type="dxa"/>
          </w:tblCellMar>
        </w:tblPrEx>
        <w:trPr>
          <w:wBefore w:w="0" w:type="auto"/>
          <w:tblCellSpacing w:w="0" w:type="dxa"/>
        </w:trPr>
        <w:tc>
          <w:tcPr>
            <w:tcW w:w="0" w:type="auto"/>
            <w:noWrap w:val="0"/>
            <w:vAlign w:val="center"/>
          </w:tcPr>
          <w:p w14:paraId="4E6E8833">
            <w:r>
              <w:rPr>
                <w:rStyle w:val="10"/>
                <w:rFonts w:hint="eastAsia"/>
              </w:rPr>
              <w:t>农药名称：</w:t>
            </w:r>
            <w:r>
              <w:rPr>
                <w:rFonts w:hint="eastAsia"/>
              </w:rPr>
              <w:t>氟啶胺</w:t>
            </w:r>
          </w:p>
        </w:tc>
      </w:tr>
      <w:tr w14:paraId="041F8487">
        <w:tblPrEx>
          <w:tblCellMar>
            <w:top w:w="0" w:type="dxa"/>
            <w:left w:w="0" w:type="dxa"/>
            <w:bottom w:w="0" w:type="dxa"/>
            <w:right w:w="0" w:type="dxa"/>
          </w:tblCellMar>
        </w:tblPrEx>
        <w:trPr>
          <w:wBefore w:w="0" w:type="auto"/>
          <w:tblCellSpacing w:w="0" w:type="dxa"/>
        </w:trPr>
        <w:tc>
          <w:tcPr>
            <w:tcW w:w="0" w:type="auto"/>
            <w:noWrap w:val="0"/>
            <w:vAlign w:val="center"/>
          </w:tcPr>
          <w:p w14:paraId="2E810A5B">
            <w:r>
              <w:rPr>
                <w:rStyle w:val="10"/>
                <w:rFonts w:hint="eastAsia"/>
              </w:rPr>
              <w:t>剂型：</w:t>
            </w:r>
            <w:r>
              <w:rPr>
                <w:rFonts w:hint="eastAsia"/>
              </w:rPr>
              <w:t>悬浮剂</w:t>
            </w:r>
          </w:p>
        </w:tc>
      </w:tr>
      <w:tr w14:paraId="2D85255B">
        <w:tblPrEx>
          <w:tblCellMar>
            <w:top w:w="0" w:type="dxa"/>
            <w:left w:w="0" w:type="dxa"/>
            <w:bottom w:w="0" w:type="dxa"/>
            <w:right w:w="0" w:type="dxa"/>
          </w:tblCellMar>
        </w:tblPrEx>
        <w:trPr>
          <w:wBefore w:w="0" w:type="auto"/>
          <w:tblCellSpacing w:w="0" w:type="dxa"/>
        </w:trPr>
        <w:tc>
          <w:tcPr>
            <w:tcW w:w="0" w:type="auto"/>
            <w:noWrap w:val="0"/>
            <w:vAlign w:val="center"/>
          </w:tcPr>
          <w:p w14:paraId="652A5CDF">
            <w:r>
              <w:rPr>
                <w:rStyle w:val="10"/>
                <w:rFonts w:hint="eastAsia"/>
              </w:rPr>
              <w:t>毒性及其标识：</w:t>
            </w:r>
            <w:r>
              <w:rPr>
                <w:rFonts w:hint="eastAsia"/>
              </w:rPr>
              <w:t xml:space="preserve"> 微毒 </w:t>
            </w:r>
          </w:p>
        </w:tc>
      </w:tr>
      <w:tr w14:paraId="1474ABB5">
        <w:tblPrEx>
          <w:tblCellMar>
            <w:top w:w="0" w:type="dxa"/>
            <w:left w:w="0" w:type="dxa"/>
            <w:bottom w:w="0" w:type="dxa"/>
            <w:right w:w="0" w:type="dxa"/>
          </w:tblCellMar>
        </w:tblPrEx>
        <w:trPr>
          <w:wBefore w:w="0" w:type="auto"/>
          <w:tblCellSpacing w:w="0" w:type="dxa"/>
        </w:trPr>
        <w:tc>
          <w:tcPr>
            <w:tcW w:w="0" w:type="auto"/>
            <w:noWrap w:val="0"/>
            <w:vAlign w:val="center"/>
          </w:tcPr>
          <w:p w14:paraId="39F94C1D">
            <w:r>
              <w:rPr>
                <w:rStyle w:val="10"/>
                <w:rFonts w:hint="eastAsia"/>
              </w:rPr>
              <w:t>总有效成分含量：</w:t>
            </w:r>
            <w:r>
              <w:rPr>
                <w:rFonts w:hint="eastAsia"/>
              </w:rPr>
              <w:t>500克/升</w:t>
            </w:r>
          </w:p>
        </w:tc>
      </w:tr>
      <w:tr w14:paraId="2CD86287">
        <w:tblPrEx>
          <w:tblCellMar>
            <w:top w:w="0" w:type="dxa"/>
            <w:left w:w="0" w:type="dxa"/>
            <w:bottom w:w="0" w:type="dxa"/>
            <w:right w:w="0" w:type="dxa"/>
          </w:tblCellMar>
        </w:tblPrEx>
        <w:trPr>
          <w:wBefore w:w="0" w:type="auto"/>
          <w:tblCellSpacing w:w="0" w:type="dxa"/>
        </w:trPr>
        <w:tc>
          <w:tcPr>
            <w:tcW w:w="0" w:type="auto"/>
            <w:noWrap w:val="0"/>
            <w:vAlign w:val="center"/>
          </w:tcPr>
          <w:p w14:paraId="276B3DF2">
            <w:r>
              <w:rPr>
                <w:rFonts w:hint="eastAsia"/>
              </w:rPr>
              <w:t xml:space="preserve">有效成分及其含量： </w:t>
            </w:r>
          </w:p>
          <w:p w14:paraId="1C5EE807">
            <w:r>
              <w:rPr>
                <w:rFonts w:hint="eastAsia"/>
              </w:rPr>
              <w:t xml:space="preserve">    氟啶胺500克/升    </w:t>
            </w:r>
          </w:p>
        </w:tc>
      </w:tr>
      <w:tr w14:paraId="5509E7DE">
        <w:tblPrEx>
          <w:tblCellMar>
            <w:top w:w="0" w:type="dxa"/>
            <w:left w:w="0" w:type="dxa"/>
            <w:bottom w:w="0" w:type="dxa"/>
            <w:right w:w="0" w:type="dxa"/>
          </w:tblCellMar>
        </w:tblPrEx>
        <w:trPr>
          <w:wBefore w:w="0" w:type="auto"/>
          <w:tblCellSpacing w:w="0" w:type="dxa"/>
        </w:trPr>
        <w:tc>
          <w:tcPr>
            <w:tcW w:w="0" w:type="auto"/>
            <w:noWrap w:val="0"/>
            <w:vAlign w:val="center"/>
          </w:tcPr>
          <w:p w14:paraId="2F88347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7410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3773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DE31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5C1C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303A20">
                  <w:r>
                    <w:rPr>
                      <w:rStyle w:val="11"/>
                      <w:rFonts w:hint="eastAsia"/>
                    </w:rPr>
                    <w:t>施用方式</w:t>
                  </w:r>
                </w:p>
              </w:tc>
            </w:tr>
            <w:tr w14:paraId="053CC3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F287D6">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104A8E">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8CE86D">
                  <w:r>
                    <w:rPr>
                      <w:rStyle w:val="11"/>
                      <w:rFonts w:hint="eastAsia"/>
                    </w:rPr>
                    <w:t>30-33毫升/亩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1A2A55">
                  <w:r>
                    <w:rPr>
                      <w:rStyle w:val="11"/>
                      <w:rFonts w:hint="eastAsia"/>
                    </w:rPr>
                    <w:t>喷雾</w:t>
                  </w:r>
                </w:p>
              </w:tc>
            </w:tr>
            <w:tr w14:paraId="0E61DE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45CDD2">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8AED56">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49B345">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4B2E7F">
                  <w:r>
                    <w:rPr>
                      <w:rStyle w:val="11"/>
                      <w:rFonts w:hint="eastAsia"/>
                    </w:rPr>
                    <w:t>喷雾</w:t>
                  </w:r>
                </w:p>
              </w:tc>
            </w:tr>
          </w:tbl>
          <w:p w14:paraId="209D3C2F">
            <w:pPr>
              <w:rPr>
                <w:rFonts w:ascii="Times New Roman" w:hAnsi="Times New Roman" w:cs="Times New Roman"/>
                <w:sz w:val="20"/>
                <w:szCs w:val="20"/>
              </w:rPr>
            </w:pPr>
          </w:p>
        </w:tc>
      </w:tr>
      <w:tr w14:paraId="153EB1D8">
        <w:tblPrEx>
          <w:tblCellMar>
            <w:top w:w="0" w:type="dxa"/>
            <w:left w:w="0" w:type="dxa"/>
            <w:bottom w:w="0" w:type="dxa"/>
            <w:right w:w="0" w:type="dxa"/>
          </w:tblCellMar>
        </w:tblPrEx>
        <w:trPr>
          <w:wBefore w:w="0" w:type="auto"/>
          <w:tblCellSpacing w:w="0" w:type="dxa"/>
        </w:trPr>
        <w:tc>
          <w:tcPr>
            <w:tcW w:w="0" w:type="auto"/>
            <w:noWrap w:val="0"/>
            <w:vAlign w:val="center"/>
          </w:tcPr>
          <w:p w14:paraId="6DBCA856">
            <w:r>
              <w:rPr>
                <w:rStyle w:val="10"/>
                <w:rFonts w:hint="eastAsia"/>
              </w:rPr>
              <w:t>使用技术要求:</w:t>
            </w:r>
            <w:r>
              <w:rPr>
                <w:rFonts w:hint="eastAsia"/>
              </w:rPr>
              <w:br w:type="textWrapping"/>
            </w:r>
            <w:r>
              <w:rPr>
                <w:rStyle w:val="11"/>
                <w:rFonts w:hint="eastAsia"/>
              </w:rPr>
              <w:t>1、防治马铃薯晚疫病时，在马铃薯晚疫病发病前或发病初期喷雾施药2-3次，间隔7-10天。2、防治柑橘树红蜘蛛时，在红蜘蛛发生初期喷雾施药1次。3、大风天或预计1小时内降雨，请勿施药。4.在马铃薯上最多使用3次，安全间隔期7天。在柑橘上最多施药1次，安全间隔期28天。</w:t>
            </w:r>
          </w:p>
        </w:tc>
      </w:tr>
      <w:tr w14:paraId="7B2EFCEB">
        <w:tblPrEx>
          <w:tblCellMar>
            <w:top w:w="0" w:type="dxa"/>
            <w:left w:w="0" w:type="dxa"/>
            <w:bottom w:w="0" w:type="dxa"/>
            <w:right w:w="0" w:type="dxa"/>
          </w:tblCellMar>
        </w:tblPrEx>
        <w:trPr>
          <w:wBefore w:w="0" w:type="auto"/>
          <w:tblCellSpacing w:w="0" w:type="dxa"/>
        </w:trPr>
        <w:tc>
          <w:tcPr>
            <w:tcW w:w="0" w:type="auto"/>
            <w:noWrap w:val="0"/>
            <w:vAlign w:val="center"/>
          </w:tcPr>
          <w:p w14:paraId="4DEC2C8F">
            <w:r>
              <w:rPr>
                <w:rStyle w:val="10"/>
                <w:rFonts w:hint="eastAsia"/>
              </w:rPr>
              <w:t>产品性能:</w:t>
            </w:r>
            <w:r>
              <w:rPr>
                <w:rFonts w:hint="eastAsia"/>
              </w:rPr>
              <w:br w:type="textWrapping"/>
            </w:r>
            <w:r>
              <w:rPr>
                <w:rStyle w:val="11"/>
                <w:rFonts w:hint="eastAsia"/>
              </w:rPr>
              <w:t xml:space="preserve">氟啶胺为2,6-二硝基苯胺类化合物，属杀菌和杀螨剂，具有保护性，略微有治疗和内吸作用。对鞭毛菌、半知菌引起的病害有良好的防治效果，对红蜘蛛。对马铃薯晚疫病，柑橘红蜘蛛有较好的防效。 </w:t>
            </w:r>
          </w:p>
        </w:tc>
      </w:tr>
      <w:tr w14:paraId="2FC94B34">
        <w:tblPrEx>
          <w:tblCellMar>
            <w:top w:w="0" w:type="dxa"/>
            <w:left w:w="0" w:type="dxa"/>
            <w:bottom w:w="0" w:type="dxa"/>
            <w:right w:w="0" w:type="dxa"/>
          </w:tblCellMar>
        </w:tblPrEx>
        <w:trPr>
          <w:wBefore w:w="0" w:type="auto"/>
          <w:tblCellSpacing w:w="0" w:type="dxa"/>
        </w:trPr>
        <w:tc>
          <w:tcPr>
            <w:tcW w:w="0" w:type="auto"/>
            <w:noWrap w:val="0"/>
            <w:vAlign w:val="center"/>
          </w:tcPr>
          <w:p w14:paraId="6438FAC7">
            <w:r>
              <w:rPr>
                <w:rStyle w:val="10"/>
                <w:rFonts w:hint="eastAsia"/>
              </w:rPr>
              <w:t>注意事项：</w:t>
            </w:r>
            <w:r>
              <w:rPr>
                <w:rFonts w:hint="eastAsia"/>
              </w:rPr>
              <w:br w:type="textWrapping"/>
            </w:r>
            <w:r>
              <w:rPr>
                <w:rStyle w:val="11"/>
                <w:rFonts w:hint="eastAsia"/>
              </w:rPr>
              <w:t>1、本品不能与碱性药剂混用，不要在低于-10℃和高于35℃的环境储存。 2 、本品对水生生物高毒，桑园、蚕室附近禁用。 3、建议与其他作用机制不同的杀虫剂和杀菌剂轮换使用，以延缓抗性产生。 4、使用本品时应采取安全防护措施，穿戴长衣、长裤、帽子、口罩、手套等防护措施，避免口鼻吸入及皮肤接触，使用中不可吸烟、饮水及吃东西，使用后及时清洗手、脸等暴露皮肤 并更换衣服。施药后，彻底清洗防护用具，洗澡，并更换和清洗工作服。 5、水产养殖区、河塘等水体附近禁用，禁止在河塘等水域清洗施药器具。使用过的空包装用清水冲洗三次后妥善处理，切勿重复使用或改作其它用途。 切勿将制剂及其废液弃于池塘、河溪和湖泊等，以免污染水源。未用完的制剂应放在原包装内密封保存，切勿将本品置于饮、食容器内。 6、 禁止孕妇及哺乳期妇女接触。7、避免与氧化剂接触。</w:t>
            </w:r>
          </w:p>
        </w:tc>
      </w:tr>
      <w:tr w14:paraId="5219D1FB">
        <w:tblPrEx>
          <w:tblCellMar>
            <w:top w:w="0" w:type="dxa"/>
            <w:left w:w="0" w:type="dxa"/>
            <w:bottom w:w="0" w:type="dxa"/>
            <w:right w:w="0" w:type="dxa"/>
          </w:tblCellMar>
        </w:tblPrEx>
        <w:trPr>
          <w:wBefore w:w="0" w:type="auto"/>
          <w:tblCellSpacing w:w="0" w:type="dxa"/>
        </w:trPr>
        <w:tc>
          <w:tcPr>
            <w:tcW w:w="0" w:type="auto"/>
            <w:noWrap w:val="0"/>
            <w:vAlign w:val="center"/>
          </w:tcPr>
          <w:p w14:paraId="7F30841E">
            <w:r>
              <w:rPr>
                <w:rStyle w:val="10"/>
                <w:rFonts w:hint="eastAsia"/>
              </w:rPr>
              <w:t>中毒急救措施：</w:t>
            </w:r>
            <w:r>
              <w:rPr>
                <w:rFonts w:hint="eastAsia"/>
              </w:rPr>
              <w:br w:type="textWrapping"/>
            </w:r>
            <w:r>
              <w:rPr>
                <w:rStyle w:val="11"/>
                <w:rFonts w:hint="eastAsia"/>
              </w:rPr>
              <w:t xml:space="preserve">该产品对眼睛有刺激性，使用时避免接触眼睛。 急救措施：使用中或使用后如果感觉不适，应立即停止工作，采取急救措施，并携带标签送医院就诊。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4、误食：立即停止服用，用清水充分漱口后，请勿引吐，立即携带农药标签到医院就诊，紧急医疗措施：使用医用活性炭洗胃，注意防止胃容物进入呼吸道。 5、解毒剂：无专用解毒剂。 </w:t>
            </w:r>
          </w:p>
        </w:tc>
      </w:tr>
      <w:tr w14:paraId="37A2349D">
        <w:tblPrEx>
          <w:tblCellMar>
            <w:top w:w="0" w:type="dxa"/>
            <w:left w:w="0" w:type="dxa"/>
            <w:bottom w:w="0" w:type="dxa"/>
            <w:right w:w="0" w:type="dxa"/>
          </w:tblCellMar>
        </w:tblPrEx>
        <w:trPr>
          <w:wBefore w:w="0" w:type="auto"/>
          <w:tblCellSpacing w:w="0" w:type="dxa"/>
        </w:trPr>
        <w:tc>
          <w:tcPr>
            <w:tcW w:w="0" w:type="auto"/>
            <w:noWrap w:val="0"/>
            <w:vAlign w:val="center"/>
          </w:tcPr>
          <w:p w14:paraId="11E03187">
            <w:r>
              <w:rPr>
                <w:rStyle w:val="10"/>
                <w:rFonts w:hint="eastAsia"/>
              </w:rPr>
              <w:t>储存和运输方法：</w:t>
            </w:r>
            <w:r>
              <w:rPr>
                <w:rFonts w:hint="eastAsia"/>
              </w:rPr>
              <w:br w:type="textWrapping"/>
            </w:r>
            <w:r>
              <w:rPr>
                <w:rStyle w:val="11"/>
                <w:rFonts w:hint="eastAsia"/>
              </w:rPr>
              <w:t>1.本品应贮存在阴凉、干燥、通风、防雨处，不可倒置。2.本品应当置于儿童、 无关人员及动物接触不到的地方，并加锁保存。 3.勿与食品、饮料、粮食、种 子、饲料等同贮同运。4.运输过程中要防晒、防雨淋；确保容器不泄露、不倒 塌、不坠落、不损坏，并按规定路线行驶。专用车辆运输。</w:t>
            </w:r>
          </w:p>
        </w:tc>
      </w:tr>
      <w:tr w14:paraId="5209BD9B">
        <w:tblPrEx>
          <w:tblCellMar>
            <w:top w:w="0" w:type="dxa"/>
            <w:left w:w="0" w:type="dxa"/>
            <w:bottom w:w="0" w:type="dxa"/>
            <w:right w:w="0" w:type="dxa"/>
          </w:tblCellMar>
        </w:tblPrEx>
        <w:trPr>
          <w:wBefore w:w="0" w:type="auto"/>
          <w:tblCellSpacing w:w="0" w:type="dxa"/>
        </w:trPr>
        <w:tc>
          <w:tcPr>
            <w:tcW w:w="0" w:type="auto"/>
            <w:noWrap w:val="0"/>
            <w:vAlign w:val="center"/>
          </w:tcPr>
          <w:p w14:paraId="26A8671D">
            <w:r>
              <w:rPr>
                <w:rStyle w:val="10"/>
                <w:rFonts w:hint="eastAsia"/>
              </w:rPr>
              <w:t>质量保证期：</w:t>
            </w:r>
            <w:r>
              <w:rPr>
                <w:rStyle w:val="11"/>
                <w:rFonts w:hint="eastAsia"/>
              </w:rPr>
              <w:t>2年</w:t>
            </w:r>
          </w:p>
        </w:tc>
      </w:tr>
      <w:tr w14:paraId="42F1BC7B">
        <w:tblPrEx>
          <w:tblCellMar>
            <w:top w:w="0" w:type="dxa"/>
            <w:left w:w="0" w:type="dxa"/>
            <w:bottom w:w="0" w:type="dxa"/>
            <w:right w:w="0" w:type="dxa"/>
          </w:tblCellMar>
        </w:tblPrEx>
        <w:trPr>
          <w:wBefore w:w="0" w:type="auto"/>
          <w:tblCellSpacing w:w="0" w:type="dxa"/>
        </w:trPr>
        <w:tc>
          <w:tcPr>
            <w:tcW w:w="0" w:type="auto"/>
            <w:noWrap w:val="0"/>
            <w:vAlign w:val="center"/>
          </w:tcPr>
          <w:p w14:paraId="2D34DA78">
            <w:r>
              <w:rPr>
                <w:rStyle w:val="10"/>
                <w:rFonts w:hint="eastAsia"/>
              </w:rPr>
              <w:t>备注：</w:t>
            </w:r>
          </w:p>
        </w:tc>
      </w:tr>
    </w:tbl>
    <w:p w14:paraId="1DB4D5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F5DCC6">
        <w:tblPrEx>
          <w:tblCellMar>
            <w:top w:w="0" w:type="dxa"/>
            <w:left w:w="0" w:type="dxa"/>
            <w:bottom w:w="0" w:type="dxa"/>
            <w:right w:w="0" w:type="dxa"/>
          </w:tblCellMar>
        </w:tblPrEx>
        <w:trPr>
          <w:wBefore w:w="0" w:type="auto"/>
          <w:tblCellSpacing w:w="0" w:type="dxa"/>
        </w:trPr>
        <w:tc>
          <w:tcPr>
            <w:tcW w:w="0" w:type="auto"/>
            <w:noWrap w:val="0"/>
            <w:vAlign w:val="center"/>
          </w:tcPr>
          <w:p w14:paraId="4D89320A">
            <w:r>
              <w:rPr>
                <w:rStyle w:val="10"/>
                <w:rFonts w:hint="eastAsia"/>
              </w:rPr>
              <w:t>登记证号：</w:t>
            </w:r>
            <w:r>
              <w:rPr>
                <w:rFonts w:hint="eastAsia"/>
              </w:rPr>
              <w:t>PD20212736</w:t>
            </w:r>
          </w:p>
        </w:tc>
      </w:tr>
      <w:tr w14:paraId="47C372F3">
        <w:tblPrEx>
          <w:tblCellMar>
            <w:top w:w="0" w:type="dxa"/>
            <w:left w:w="0" w:type="dxa"/>
            <w:bottom w:w="0" w:type="dxa"/>
            <w:right w:w="0" w:type="dxa"/>
          </w:tblCellMar>
        </w:tblPrEx>
        <w:trPr>
          <w:wBefore w:w="0" w:type="auto"/>
          <w:tblCellSpacing w:w="0" w:type="dxa"/>
        </w:trPr>
        <w:tc>
          <w:tcPr>
            <w:tcW w:w="0" w:type="auto"/>
            <w:noWrap w:val="0"/>
            <w:vAlign w:val="center"/>
          </w:tcPr>
          <w:p w14:paraId="1EDEF136">
            <w:r>
              <w:rPr>
                <w:rStyle w:val="10"/>
                <w:rFonts w:hint="eastAsia"/>
              </w:rPr>
              <w:t>登记证持有人：</w:t>
            </w:r>
            <w:r>
              <w:rPr>
                <w:rFonts w:hint="eastAsia"/>
              </w:rPr>
              <w:t>洛阳巧喜生物科技有限公司</w:t>
            </w:r>
          </w:p>
        </w:tc>
      </w:tr>
      <w:tr w14:paraId="462E9D51">
        <w:tblPrEx>
          <w:tblCellMar>
            <w:top w:w="0" w:type="dxa"/>
            <w:left w:w="0" w:type="dxa"/>
            <w:bottom w:w="0" w:type="dxa"/>
            <w:right w:w="0" w:type="dxa"/>
          </w:tblCellMar>
        </w:tblPrEx>
        <w:trPr>
          <w:wBefore w:w="0" w:type="auto"/>
          <w:tblCellSpacing w:w="0" w:type="dxa"/>
        </w:trPr>
        <w:tc>
          <w:tcPr>
            <w:tcW w:w="0" w:type="auto"/>
            <w:noWrap w:val="0"/>
            <w:vAlign w:val="center"/>
          </w:tcPr>
          <w:p w14:paraId="4C37EE84">
            <w:r>
              <w:rPr>
                <w:rStyle w:val="10"/>
                <w:rFonts w:hint="eastAsia"/>
              </w:rPr>
              <w:t>农药名称：</w:t>
            </w:r>
            <w:r>
              <w:rPr>
                <w:rFonts w:hint="eastAsia"/>
              </w:rPr>
              <w:t>24-表芸·赤霉酸</w:t>
            </w:r>
          </w:p>
        </w:tc>
      </w:tr>
      <w:tr w14:paraId="7DF9DC70">
        <w:tblPrEx>
          <w:tblCellMar>
            <w:top w:w="0" w:type="dxa"/>
            <w:left w:w="0" w:type="dxa"/>
            <w:bottom w:w="0" w:type="dxa"/>
            <w:right w:w="0" w:type="dxa"/>
          </w:tblCellMar>
        </w:tblPrEx>
        <w:trPr>
          <w:wBefore w:w="0" w:type="auto"/>
          <w:tblCellSpacing w:w="0" w:type="dxa"/>
        </w:trPr>
        <w:tc>
          <w:tcPr>
            <w:tcW w:w="0" w:type="auto"/>
            <w:noWrap w:val="0"/>
            <w:vAlign w:val="center"/>
          </w:tcPr>
          <w:p w14:paraId="68D37EE6">
            <w:r>
              <w:rPr>
                <w:rStyle w:val="10"/>
                <w:rFonts w:hint="eastAsia"/>
              </w:rPr>
              <w:t>剂型：</w:t>
            </w:r>
            <w:r>
              <w:rPr>
                <w:rFonts w:hint="eastAsia"/>
              </w:rPr>
              <w:t>可溶液剂</w:t>
            </w:r>
          </w:p>
        </w:tc>
      </w:tr>
      <w:tr w14:paraId="462D46D0">
        <w:tblPrEx>
          <w:tblCellMar>
            <w:top w:w="0" w:type="dxa"/>
            <w:left w:w="0" w:type="dxa"/>
            <w:bottom w:w="0" w:type="dxa"/>
            <w:right w:w="0" w:type="dxa"/>
          </w:tblCellMar>
        </w:tblPrEx>
        <w:trPr>
          <w:wBefore w:w="0" w:type="auto"/>
          <w:tblCellSpacing w:w="0" w:type="dxa"/>
        </w:trPr>
        <w:tc>
          <w:tcPr>
            <w:tcW w:w="0" w:type="auto"/>
            <w:noWrap w:val="0"/>
            <w:vAlign w:val="center"/>
          </w:tcPr>
          <w:p w14:paraId="04E1EF73">
            <w:r>
              <w:rPr>
                <w:rStyle w:val="10"/>
                <w:rFonts w:hint="eastAsia"/>
              </w:rPr>
              <w:t>毒性及其标识：</w:t>
            </w:r>
            <w:r>
              <w:rPr>
                <w:rFonts w:hint="eastAsia"/>
              </w:rPr>
              <w:t xml:space="preserve"> </w:t>
            </w:r>
            <w:r>
              <w:rPr>
                <w:lang/>
              </w:rPr>
              <w:drawing>
                <wp:inline distT="0" distB="0" distL="114300" distR="114300">
                  <wp:extent cx="476250" cy="323850"/>
                  <wp:effectExtent l="0" t="0" r="0" b="0"/>
                  <wp:docPr id="218" name="图片 2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87A1D69">
        <w:tblPrEx>
          <w:tblCellMar>
            <w:top w:w="0" w:type="dxa"/>
            <w:left w:w="0" w:type="dxa"/>
            <w:bottom w:w="0" w:type="dxa"/>
            <w:right w:w="0" w:type="dxa"/>
          </w:tblCellMar>
        </w:tblPrEx>
        <w:trPr>
          <w:wBefore w:w="0" w:type="auto"/>
          <w:tblCellSpacing w:w="0" w:type="dxa"/>
        </w:trPr>
        <w:tc>
          <w:tcPr>
            <w:tcW w:w="0" w:type="auto"/>
            <w:noWrap w:val="0"/>
            <w:vAlign w:val="center"/>
          </w:tcPr>
          <w:p w14:paraId="252A1F38">
            <w:r>
              <w:rPr>
                <w:rStyle w:val="10"/>
                <w:rFonts w:hint="eastAsia"/>
              </w:rPr>
              <w:t>总有效成分含量：</w:t>
            </w:r>
            <w:r>
              <w:rPr>
                <w:rFonts w:hint="eastAsia"/>
              </w:rPr>
              <w:t>0.4%</w:t>
            </w:r>
          </w:p>
        </w:tc>
      </w:tr>
      <w:tr w14:paraId="3D7C59D0">
        <w:tblPrEx>
          <w:tblCellMar>
            <w:top w:w="0" w:type="dxa"/>
            <w:left w:w="0" w:type="dxa"/>
            <w:bottom w:w="0" w:type="dxa"/>
            <w:right w:w="0" w:type="dxa"/>
          </w:tblCellMar>
        </w:tblPrEx>
        <w:trPr>
          <w:wBefore w:w="0" w:type="auto"/>
          <w:tblCellSpacing w:w="0" w:type="dxa"/>
        </w:trPr>
        <w:tc>
          <w:tcPr>
            <w:tcW w:w="0" w:type="auto"/>
            <w:noWrap w:val="0"/>
            <w:vAlign w:val="center"/>
          </w:tcPr>
          <w:p w14:paraId="352BC13D">
            <w:r>
              <w:rPr>
                <w:rFonts w:hint="eastAsia"/>
              </w:rPr>
              <w:t xml:space="preserve">有效成分及其含量： </w:t>
            </w:r>
          </w:p>
          <w:p w14:paraId="63FBAB53">
            <w:r>
              <w:rPr>
                <w:rFonts w:hint="eastAsia"/>
              </w:rPr>
              <w:t xml:space="preserve">    24-表芸苔素内酯0.002%    赤霉酸A4+A70.398%    </w:t>
            </w:r>
          </w:p>
        </w:tc>
      </w:tr>
      <w:tr w14:paraId="165B105D">
        <w:tblPrEx>
          <w:tblCellMar>
            <w:top w:w="0" w:type="dxa"/>
            <w:left w:w="0" w:type="dxa"/>
            <w:bottom w:w="0" w:type="dxa"/>
            <w:right w:w="0" w:type="dxa"/>
          </w:tblCellMar>
        </w:tblPrEx>
        <w:trPr>
          <w:wBefore w:w="0" w:type="auto"/>
          <w:tblCellSpacing w:w="0" w:type="dxa"/>
        </w:trPr>
        <w:tc>
          <w:tcPr>
            <w:tcW w:w="0" w:type="auto"/>
            <w:noWrap w:val="0"/>
            <w:vAlign w:val="center"/>
          </w:tcPr>
          <w:p w14:paraId="39B703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03D4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A47D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B31B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C08F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5B7B1D">
                  <w:r>
                    <w:rPr>
                      <w:rStyle w:val="11"/>
                      <w:rFonts w:hint="eastAsia"/>
                    </w:rPr>
                    <w:t>施用方式</w:t>
                  </w:r>
                </w:p>
              </w:tc>
            </w:tr>
            <w:tr w14:paraId="7AA963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794403">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9E595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AA8B0F">
                  <w:r>
                    <w:rPr>
                      <w:rStyle w:val="11"/>
                      <w:rFonts w:hint="eastAsia"/>
                    </w:rPr>
                    <w:t>800-1600倍液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A3A91D">
                  <w:r>
                    <w:rPr>
                      <w:rStyle w:val="11"/>
                      <w:rFonts w:hint="eastAsia"/>
                    </w:rPr>
                    <w:t>喷雾</w:t>
                  </w:r>
                </w:p>
              </w:tc>
            </w:tr>
          </w:tbl>
          <w:p w14:paraId="7B0293B7">
            <w:pPr>
              <w:rPr>
                <w:rFonts w:ascii="Times New Roman" w:hAnsi="Times New Roman" w:cs="Times New Roman"/>
                <w:sz w:val="20"/>
                <w:szCs w:val="20"/>
              </w:rPr>
            </w:pPr>
          </w:p>
        </w:tc>
      </w:tr>
      <w:tr w14:paraId="160CE52B">
        <w:tblPrEx>
          <w:tblCellMar>
            <w:top w:w="0" w:type="dxa"/>
            <w:left w:w="0" w:type="dxa"/>
            <w:bottom w:w="0" w:type="dxa"/>
            <w:right w:w="0" w:type="dxa"/>
          </w:tblCellMar>
        </w:tblPrEx>
        <w:trPr>
          <w:wBefore w:w="0" w:type="auto"/>
          <w:tblCellSpacing w:w="0" w:type="dxa"/>
        </w:trPr>
        <w:tc>
          <w:tcPr>
            <w:tcW w:w="0" w:type="auto"/>
            <w:noWrap w:val="0"/>
            <w:vAlign w:val="center"/>
          </w:tcPr>
          <w:p w14:paraId="6D605FD0">
            <w:r>
              <w:rPr>
                <w:rStyle w:val="10"/>
                <w:rFonts w:hint="eastAsia"/>
              </w:rPr>
              <w:t>使用技术要求:</w:t>
            </w:r>
            <w:r>
              <w:rPr>
                <w:rFonts w:hint="eastAsia"/>
              </w:rPr>
              <w:br w:type="textWrapping"/>
            </w:r>
            <w:r>
              <w:rPr>
                <w:rStyle w:val="11"/>
                <w:rFonts w:hint="eastAsia"/>
              </w:rPr>
              <w:t>1.本品应在葡萄幼果期、果实膨大期喷雾施药各一次，共施药2次。，施药时应周到、均匀，勿重喷或漏喷。2.大风天或预计1小时内降雨，请勿施药。3.大风天或预计1小时内降雨，请勿施药。4.保证施药均匀，避免药害。</w:t>
            </w:r>
          </w:p>
        </w:tc>
      </w:tr>
      <w:tr w14:paraId="3943CA0E">
        <w:tblPrEx>
          <w:tblCellMar>
            <w:top w:w="0" w:type="dxa"/>
            <w:left w:w="0" w:type="dxa"/>
            <w:bottom w:w="0" w:type="dxa"/>
            <w:right w:w="0" w:type="dxa"/>
          </w:tblCellMar>
        </w:tblPrEx>
        <w:trPr>
          <w:wBefore w:w="0" w:type="auto"/>
          <w:tblCellSpacing w:w="0" w:type="dxa"/>
        </w:trPr>
        <w:tc>
          <w:tcPr>
            <w:tcW w:w="0" w:type="auto"/>
            <w:noWrap w:val="0"/>
            <w:vAlign w:val="center"/>
          </w:tcPr>
          <w:p w14:paraId="46540255">
            <w:r>
              <w:rPr>
                <w:rStyle w:val="10"/>
                <w:rFonts w:hint="eastAsia"/>
              </w:rPr>
              <w:t>产品性能:</w:t>
            </w:r>
            <w:r>
              <w:rPr>
                <w:rFonts w:hint="eastAsia"/>
              </w:rPr>
              <w:br w:type="textWrapping"/>
            </w:r>
            <w:r>
              <w:rPr>
                <w:rStyle w:val="11"/>
                <w:rFonts w:hint="eastAsia"/>
              </w:rPr>
              <w:t>本品是一种由24表芸苔素内酯与赤霉酸A4+A7混配而成的植物生长调节剂，对葡萄生长有较好的调节作用。</w:t>
            </w:r>
          </w:p>
        </w:tc>
      </w:tr>
      <w:tr w14:paraId="2B217B4B">
        <w:tblPrEx>
          <w:tblCellMar>
            <w:top w:w="0" w:type="dxa"/>
            <w:left w:w="0" w:type="dxa"/>
            <w:bottom w:w="0" w:type="dxa"/>
            <w:right w:w="0" w:type="dxa"/>
          </w:tblCellMar>
        </w:tblPrEx>
        <w:trPr>
          <w:wBefore w:w="0" w:type="auto"/>
          <w:tblCellSpacing w:w="0" w:type="dxa"/>
        </w:trPr>
        <w:tc>
          <w:tcPr>
            <w:tcW w:w="0" w:type="auto"/>
            <w:noWrap w:val="0"/>
            <w:vAlign w:val="center"/>
          </w:tcPr>
          <w:p w14:paraId="51D7475D">
            <w:r>
              <w:rPr>
                <w:rStyle w:val="10"/>
                <w:rFonts w:hint="eastAsia"/>
              </w:rPr>
              <w:t>注意事项：</w:t>
            </w:r>
            <w:r>
              <w:rPr>
                <w:rFonts w:hint="eastAsia"/>
              </w:rPr>
              <w:br w:type="textWrapping"/>
            </w:r>
            <w:r>
              <w:rPr>
                <w:rStyle w:val="11"/>
                <w:rFonts w:hint="eastAsia"/>
              </w:rPr>
              <w:t>1.严格按规定用药量和方法使用。 2.本品不可与碱性农药等物质混用，建议与其他作用机制不同的植物生长调节剂轮换使用，以延缓抗性的产生。3.水产养殖区、河塘等水体附近禁用，禁止在河塘等水域清洗施药器具。 药液及其废液不得污染各类水域、土壤等环境。用过的容器和废气包装应妥善处理，不可随意丢弃或做他用。 4.施药期间（周围）开花植物花期禁用，使用时密切关注对附近蜂群的影响；鸟类保护区附近禁用；远离水产养殖区、河塘等水体施药。 5.使用本品应采取相应的安全防护措施，穿防护服，戴防护手套、口罩等，避免皮肤接触及口鼻吸入。使用中不可吸烟、饮水及吃东西，使用后及时清洗手、脸等暴露部位皮肤并更换衣物。 6.孕妇、哺乳期的妇女、过敏体质者、感冒和皮肤病患者禁止接触本产品。</w:t>
            </w:r>
          </w:p>
        </w:tc>
      </w:tr>
      <w:tr w14:paraId="09EC4C11">
        <w:tblPrEx>
          <w:tblCellMar>
            <w:top w:w="0" w:type="dxa"/>
            <w:left w:w="0" w:type="dxa"/>
            <w:bottom w:w="0" w:type="dxa"/>
            <w:right w:w="0" w:type="dxa"/>
          </w:tblCellMar>
        </w:tblPrEx>
        <w:trPr>
          <w:wBefore w:w="0" w:type="auto"/>
          <w:tblCellSpacing w:w="0" w:type="dxa"/>
        </w:trPr>
        <w:tc>
          <w:tcPr>
            <w:tcW w:w="0" w:type="auto"/>
            <w:noWrap w:val="0"/>
            <w:vAlign w:val="center"/>
          </w:tcPr>
          <w:p w14:paraId="4AE66AED">
            <w:r>
              <w:rPr>
                <w:rStyle w:val="10"/>
                <w:rFonts w:hint="eastAsia"/>
              </w:rPr>
              <w:t>中毒急救措施：</w:t>
            </w:r>
            <w:r>
              <w:rPr>
                <w:rFonts w:hint="eastAsia"/>
              </w:rPr>
              <w:br w:type="textWrapping"/>
            </w:r>
            <w:r>
              <w:rPr>
                <w:rStyle w:val="11"/>
                <w:rFonts w:hint="eastAsia"/>
              </w:rPr>
              <w:t>中毒症状：无明显中毒症状。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078C58AE">
        <w:tblPrEx>
          <w:tblCellMar>
            <w:top w:w="0" w:type="dxa"/>
            <w:left w:w="0" w:type="dxa"/>
            <w:bottom w:w="0" w:type="dxa"/>
            <w:right w:w="0" w:type="dxa"/>
          </w:tblCellMar>
        </w:tblPrEx>
        <w:trPr>
          <w:wBefore w:w="0" w:type="auto"/>
          <w:tblCellSpacing w:w="0" w:type="dxa"/>
        </w:trPr>
        <w:tc>
          <w:tcPr>
            <w:tcW w:w="0" w:type="auto"/>
            <w:noWrap w:val="0"/>
            <w:vAlign w:val="center"/>
          </w:tcPr>
          <w:p w14:paraId="734015A1">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本品应储存在干燥、阴凉、通风、防雨处，远离火源或热源。置于儿童接触不到的地方，并加锁。不能与食品、饮料、粮食、饲料等同贮同运。在装卸、运输时应轻拿轻放。</w:t>
            </w:r>
          </w:p>
        </w:tc>
      </w:tr>
      <w:tr w14:paraId="1D7E805A">
        <w:tblPrEx>
          <w:tblCellMar>
            <w:top w:w="0" w:type="dxa"/>
            <w:left w:w="0" w:type="dxa"/>
            <w:bottom w:w="0" w:type="dxa"/>
            <w:right w:w="0" w:type="dxa"/>
          </w:tblCellMar>
        </w:tblPrEx>
        <w:trPr>
          <w:wBefore w:w="0" w:type="auto"/>
          <w:tblCellSpacing w:w="0" w:type="dxa"/>
        </w:trPr>
        <w:tc>
          <w:tcPr>
            <w:tcW w:w="0" w:type="auto"/>
            <w:noWrap w:val="0"/>
            <w:vAlign w:val="center"/>
          </w:tcPr>
          <w:p w14:paraId="2DBD0B8D">
            <w:r>
              <w:rPr>
                <w:rStyle w:val="10"/>
                <w:rFonts w:hint="eastAsia"/>
              </w:rPr>
              <w:t>质量保证期：</w:t>
            </w:r>
            <w:r>
              <w:rPr>
                <w:rStyle w:val="11"/>
                <w:rFonts w:hint="eastAsia"/>
              </w:rPr>
              <w:t>2年</w:t>
            </w:r>
          </w:p>
        </w:tc>
      </w:tr>
      <w:tr w14:paraId="7C80E8C2">
        <w:tblPrEx>
          <w:tblCellMar>
            <w:top w:w="0" w:type="dxa"/>
            <w:left w:w="0" w:type="dxa"/>
            <w:bottom w:w="0" w:type="dxa"/>
            <w:right w:w="0" w:type="dxa"/>
          </w:tblCellMar>
        </w:tblPrEx>
        <w:trPr>
          <w:wBefore w:w="0" w:type="auto"/>
          <w:tblCellSpacing w:w="0" w:type="dxa"/>
        </w:trPr>
        <w:tc>
          <w:tcPr>
            <w:tcW w:w="0" w:type="auto"/>
            <w:noWrap w:val="0"/>
            <w:vAlign w:val="center"/>
          </w:tcPr>
          <w:p w14:paraId="5F06BFBA">
            <w:r>
              <w:rPr>
                <w:rStyle w:val="10"/>
                <w:rFonts w:hint="eastAsia"/>
              </w:rPr>
              <w:t>备注：</w:t>
            </w:r>
          </w:p>
        </w:tc>
      </w:tr>
    </w:tbl>
    <w:p w14:paraId="2E7848F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5CBD74">
        <w:tblPrEx>
          <w:tblCellMar>
            <w:top w:w="0" w:type="dxa"/>
            <w:left w:w="0" w:type="dxa"/>
            <w:bottom w:w="0" w:type="dxa"/>
            <w:right w:w="0" w:type="dxa"/>
          </w:tblCellMar>
        </w:tblPrEx>
        <w:trPr>
          <w:wBefore w:w="0" w:type="auto"/>
          <w:tblCellSpacing w:w="0" w:type="dxa"/>
        </w:trPr>
        <w:tc>
          <w:tcPr>
            <w:tcW w:w="0" w:type="auto"/>
            <w:noWrap w:val="0"/>
            <w:vAlign w:val="center"/>
          </w:tcPr>
          <w:p w14:paraId="031C6B42">
            <w:r>
              <w:rPr>
                <w:rStyle w:val="10"/>
                <w:rFonts w:hint="eastAsia"/>
              </w:rPr>
              <w:t>登记证号：</w:t>
            </w:r>
            <w:r>
              <w:rPr>
                <w:rFonts w:hint="eastAsia"/>
              </w:rPr>
              <w:t>EX20210130</w:t>
            </w:r>
          </w:p>
        </w:tc>
      </w:tr>
      <w:tr w14:paraId="272208B8">
        <w:tblPrEx>
          <w:tblCellMar>
            <w:top w:w="0" w:type="dxa"/>
            <w:left w:w="0" w:type="dxa"/>
            <w:bottom w:w="0" w:type="dxa"/>
            <w:right w:w="0" w:type="dxa"/>
          </w:tblCellMar>
        </w:tblPrEx>
        <w:trPr>
          <w:wBefore w:w="0" w:type="auto"/>
          <w:tblCellSpacing w:w="0" w:type="dxa"/>
        </w:trPr>
        <w:tc>
          <w:tcPr>
            <w:tcW w:w="0" w:type="auto"/>
            <w:noWrap w:val="0"/>
            <w:vAlign w:val="center"/>
          </w:tcPr>
          <w:p w14:paraId="1F0B6A4E">
            <w:r>
              <w:rPr>
                <w:rStyle w:val="10"/>
                <w:rFonts w:hint="eastAsia"/>
              </w:rPr>
              <w:t>登记证持有人：</w:t>
            </w:r>
            <w:r>
              <w:rPr>
                <w:rFonts w:hint="eastAsia"/>
              </w:rPr>
              <w:t>迈克斯（如东）化工有限公司</w:t>
            </w:r>
          </w:p>
        </w:tc>
      </w:tr>
      <w:tr w14:paraId="4697A0DE">
        <w:tblPrEx>
          <w:tblCellMar>
            <w:top w:w="0" w:type="dxa"/>
            <w:left w:w="0" w:type="dxa"/>
            <w:bottom w:w="0" w:type="dxa"/>
            <w:right w:w="0" w:type="dxa"/>
          </w:tblCellMar>
        </w:tblPrEx>
        <w:trPr>
          <w:wBefore w:w="0" w:type="auto"/>
          <w:tblCellSpacing w:w="0" w:type="dxa"/>
        </w:trPr>
        <w:tc>
          <w:tcPr>
            <w:tcW w:w="0" w:type="auto"/>
            <w:noWrap w:val="0"/>
            <w:vAlign w:val="center"/>
          </w:tcPr>
          <w:p w14:paraId="69F57899">
            <w:r>
              <w:rPr>
                <w:rStyle w:val="10"/>
                <w:rFonts w:hint="eastAsia"/>
              </w:rPr>
              <w:t>农药名称：</w:t>
            </w:r>
            <w:r>
              <w:rPr>
                <w:rFonts w:hint="eastAsia"/>
              </w:rPr>
              <w:t>甲萘威</w:t>
            </w:r>
          </w:p>
        </w:tc>
      </w:tr>
      <w:tr w14:paraId="279296CC">
        <w:tblPrEx>
          <w:tblCellMar>
            <w:top w:w="0" w:type="dxa"/>
            <w:left w:w="0" w:type="dxa"/>
            <w:bottom w:w="0" w:type="dxa"/>
            <w:right w:w="0" w:type="dxa"/>
          </w:tblCellMar>
        </w:tblPrEx>
        <w:trPr>
          <w:wBefore w:w="0" w:type="auto"/>
          <w:tblCellSpacing w:w="0" w:type="dxa"/>
        </w:trPr>
        <w:tc>
          <w:tcPr>
            <w:tcW w:w="0" w:type="auto"/>
            <w:noWrap w:val="0"/>
            <w:vAlign w:val="center"/>
          </w:tcPr>
          <w:p w14:paraId="0D8CBB6E">
            <w:r>
              <w:rPr>
                <w:rStyle w:val="10"/>
                <w:rFonts w:hint="eastAsia"/>
              </w:rPr>
              <w:t>剂型：</w:t>
            </w:r>
            <w:r>
              <w:rPr>
                <w:rFonts w:hint="eastAsia"/>
              </w:rPr>
              <w:t>可湿性粉剂</w:t>
            </w:r>
          </w:p>
        </w:tc>
      </w:tr>
      <w:tr w14:paraId="467B65DF">
        <w:tblPrEx>
          <w:tblCellMar>
            <w:top w:w="0" w:type="dxa"/>
            <w:left w:w="0" w:type="dxa"/>
            <w:bottom w:w="0" w:type="dxa"/>
            <w:right w:w="0" w:type="dxa"/>
          </w:tblCellMar>
        </w:tblPrEx>
        <w:trPr>
          <w:wBefore w:w="0" w:type="auto"/>
          <w:tblCellSpacing w:w="0" w:type="dxa"/>
        </w:trPr>
        <w:tc>
          <w:tcPr>
            <w:tcW w:w="0" w:type="auto"/>
            <w:noWrap w:val="0"/>
            <w:vAlign w:val="center"/>
          </w:tcPr>
          <w:p w14:paraId="3E82D8B3">
            <w:r>
              <w:rPr>
                <w:rStyle w:val="10"/>
                <w:rFonts w:hint="eastAsia"/>
              </w:rPr>
              <w:t>毒性及其标识：</w:t>
            </w:r>
            <w:r>
              <w:rPr>
                <w:rFonts w:hint="eastAsia"/>
              </w:rPr>
              <w:t xml:space="preserve"> </w:t>
            </w:r>
            <w:r>
              <w:rPr>
                <w:lang/>
              </w:rPr>
              <w:drawing>
                <wp:inline distT="0" distB="0" distL="114300" distR="114300">
                  <wp:extent cx="476250" cy="323850"/>
                  <wp:effectExtent l="0" t="0" r="0" b="0"/>
                  <wp:docPr id="219" name="图片 21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318FD803">
        <w:tblPrEx>
          <w:tblCellMar>
            <w:top w:w="0" w:type="dxa"/>
            <w:left w:w="0" w:type="dxa"/>
            <w:bottom w:w="0" w:type="dxa"/>
            <w:right w:w="0" w:type="dxa"/>
          </w:tblCellMar>
        </w:tblPrEx>
        <w:trPr>
          <w:wBefore w:w="0" w:type="auto"/>
          <w:tblCellSpacing w:w="0" w:type="dxa"/>
        </w:trPr>
        <w:tc>
          <w:tcPr>
            <w:tcW w:w="0" w:type="auto"/>
            <w:noWrap w:val="0"/>
            <w:vAlign w:val="center"/>
          </w:tcPr>
          <w:p w14:paraId="74F8FE7A">
            <w:r>
              <w:rPr>
                <w:rStyle w:val="10"/>
                <w:rFonts w:hint="eastAsia"/>
              </w:rPr>
              <w:t>总有效成分含量：</w:t>
            </w:r>
            <w:r>
              <w:rPr>
                <w:rFonts w:hint="eastAsia"/>
              </w:rPr>
              <w:t>80%</w:t>
            </w:r>
          </w:p>
        </w:tc>
      </w:tr>
      <w:tr w14:paraId="57753527">
        <w:tblPrEx>
          <w:tblCellMar>
            <w:top w:w="0" w:type="dxa"/>
            <w:left w:w="0" w:type="dxa"/>
            <w:bottom w:w="0" w:type="dxa"/>
            <w:right w:w="0" w:type="dxa"/>
          </w:tblCellMar>
        </w:tblPrEx>
        <w:trPr>
          <w:wBefore w:w="0" w:type="auto"/>
          <w:tblCellSpacing w:w="0" w:type="dxa"/>
        </w:trPr>
        <w:tc>
          <w:tcPr>
            <w:tcW w:w="0" w:type="auto"/>
            <w:noWrap w:val="0"/>
            <w:vAlign w:val="center"/>
          </w:tcPr>
          <w:p w14:paraId="5A11C752">
            <w:r>
              <w:rPr>
                <w:rFonts w:hint="eastAsia"/>
              </w:rPr>
              <w:t xml:space="preserve">有效成分及其含量： </w:t>
            </w:r>
          </w:p>
          <w:p w14:paraId="3AAB7372">
            <w:r>
              <w:rPr>
                <w:rFonts w:hint="eastAsia"/>
              </w:rPr>
              <w:t xml:space="preserve">    </w:t>
            </w:r>
          </w:p>
        </w:tc>
      </w:tr>
      <w:tr w14:paraId="3B873A29">
        <w:tblPrEx>
          <w:tblCellMar>
            <w:top w:w="0" w:type="dxa"/>
            <w:left w:w="0" w:type="dxa"/>
            <w:bottom w:w="0" w:type="dxa"/>
            <w:right w:w="0" w:type="dxa"/>
          </w:tblCellMar>
        </w:tblPrEx>
        <w:trPr>
          <w:wBefore w:w="0" w:type="auto"/>
          <w:tblCellSpacing w:w="0" w:type="dxa"/>
        </w:trPr>
        <w:tc>
          <w:tcPr>
            <w:tcW w:w="0" w:type="auto"/>
            <w:noWrap w:val="0"/>
            <w:vAlign w:val="center"/>
          </w:tcPr>
          <w:p w14:paraId="44869F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6524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69E96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81E3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C4EF2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981A81">
                  <w:r>
                    <w:rPr>
                      <w:rStyle w:val="11"/>
                      <w:rFonts w:hint="eastAsia"/>
                    </w:rPr>
                    <w:t>施用方式</w:t>
                  </w:r>
                </w:p>
              </w:tc>
            </w:tr>
          </w:tbl>
          <w:p w14:paraId="5A482D8A">
            <w:pPr>
              <w:rPr>
                <w:rFonts w:ascii="Times New Roman" w:hAnsi="Times New Roman" w:cs="Times New Roman"/>
                <w:sz w:val="20"/>
                <w:szCs w:val="20"/>
              </w:rPr>
            </w:pPr>
          </w:p>
        </w:tc>
      </w:tr>
      <w:tr w14:paraId="440093BF">
        <w:tblPrEx>
          <w:tblCellMar>
            <w:top w:w="0" w:type="dxa"/>
            <w:left w:w="0" w:type="dxa"/>
            <w:bottom w:w="0" w:type="dxa"/>
            <w:right w:w="0" w:type="dxa"/>
          </w:tblCellMar>
        </w:tblPrEx>
        <w:trPr>
          <w:wBefore w:w="0" w:type="auto"/>
          <w:tblCellSpacing w:w="0" w:type="dxa"/>
        </w:trPr>
        <w:tc>
          <w:tcPr>
            <w:tcW w:w="0" w:type="auto"/>
            <w:noWrap w:val="0"/>
            <w:vAlign w:val="center"/>
          </w:tcPr>
          <w:p w14:paraId="420B6540">
            <w:r>
              <w:rPr>
                <w:rStyle w:val="10"/>
                <w:rFonts w:hint="eastAsia"/>
              </w:rPr>
              <w:t>使用技术要求:</w:t>
            </w:r>
            <w:r>
              <w:rPr>
                <w:rFonts w:hint="eastAsia"/>
              </w:rPr>
              <w:br w:type="textWrapping"/>
            </w:r>
          </w:p>
        </w:tc>
      </w:tr>
      <w:tr w14:paraId="0EA89E78">
        <w:tblPrEx>
          <w:tblCellMar>
            <w:top w:w="0" w:type="dxa"/>
            <w:left w:w="0" w:type="dxa"/>
            <w:bottom w:w="0" w:type="dxa"/>
            <w:right w:w="0" w:type="dxa"/>
          </w:tblCellMar>
        </w:tblPrEx>
        <w:trPr>
          <w:wBefore w:w="0" w:type="auto"/>
          <w:tblCellSpacing w:w="0" w:type="dxa"/>
        </w:trPr>
        <w:tc>
          <w:tcPr>
            <w:tcW w:w="0" w:type="auto"/>
            <w:noWrap w:val="0"/>
            <w:vAlign w:val="center"/>
          </w:tcPr>
          <w:p w14:paraId="2C79198A">
            <w:r>
              <w:rPr>
                <w:rStyle w:val="10"/>
                <w:rFonts w:hint="eastAsia"/>
              </w:rPr>
              <w:t>产品性能:</w:t>
            </w:r>
          </w:p>
        </w:tc>
      </w:tr>
      <w:tr w14:paraId="0D0FC6BE">
        <w:tblPrEx>
          <w:tblCellMar>
            <w:top w:w="0" w:type="dxa"/>
            <w:left w:w="0" w:type="dxa"/>
            <w:bottom w:w="0" w:type="dxa"/>
            <w:right w:w="0" w:type="dxa"/>
          </w:tblCellMar>
        </w:tblPrEx>
        <w:trPr>
          <w:wBefore w:w="0" w:type="auto"/>
          <w:tblCellSpacing w:w="0" w:type="dxa"/>
        </w:trPr>
        <w:tc>
          <w:tcPr>
            <w:tcW w:w="0" w:type="auto"/>
            <w:noWrap w:val="0"/>
            <w:vAlign w:val="center"/>
          </w:tcPr>
          <w:p w14:paraId="37B80B98">
            <w:r>
              <w:rPr>
                <w:rStyle w:val="10"/>
                <w:rFonts w:hint="eastAsia"/>
              </w:rPr>
              <w:t>注意事项：</w:t>
            </w:r>
          </w:p>
        </w:tc>
      </w:tr>
      <w:tr w14:paraId="3800C7A9">
        <w:tblPrEx>
          <w:tblCellMar>
            <w:top w:w="0" w:type="dxa"/>
            <w:left w:w="0" w:type="dxa"/>
            <w:bottom w:w="0" w:type="dxa"/>
            <w:right w:w="0" w:type="dxa"/>
          </w:tblCellMar>
        </w:tblPrEx>
        <w:trPr>
          <w:wBefore w:w="0" w:type="auto"/>
          <w:tblCellSpacing w:w="0" w:type="dxa"/>
        </w:trPr>
        <w:tc>
          <w:tcPr>
            <w:tcW w:w="0" w:type="auto"/>
            <w:noWrap w:val="0"/>
            <w:vAlign w:val="center"/>
          </w:tcPr>
          <w:p w14:paraId="06C9E4E6">
            <w:r>
              <w:rPr>
                <w:rStyle w:val="10"/>
                <w:rFonts w:hint="eastAsia"/>
              </w:rPr>
              <w:t>中毒急救措施：</w:t>
            </w:r>
          </w:p>
        </w:tc>
      </w:tr>
      <w:tr w14:paraId="36052B0B">
        <w:tblPrEx>
          <w:tblCellMar>
            <w:top w:w="0" w:type="dxa"/>
            <w:left w:w="0" w:type="dxa"/>
            <w:bottom w:w="0" w:type="dxa"/>
            <w:right w:w="0" w:type="dxa"/>
          </w:tblCellMar>
        </w:tblPrEx>
        <w:trPr>
          <w:wBefore w:w="0" w:type="auto"/>
          <w:tblCellSpacing w:w="0" w:type="dxa"/>
        </w:trPr>
        <w:tc>
          <w:tcPr>
            <w:tcW w:w="0" w:type="auto"/>
            <w:noWrap w:val="0"/>
            <w:vAlign w:val="center"/>
          </w:tcPr>
          <w:p w14:paraId="6CD8780E">
            <w:r>
              <w:rPr>
                <w:rStyle w:val="10"/>
                <w:rFonts w:hint="eastAsia"/>
              </w:rPr>
              <w:t>储存和运输方法：</w:t>
            </w:r>
          </w:p>
        </w:tc>
      </w:tr>
      <w:tr w14:paraId="75A88047">
        <w:tblPrEx>
          <w:tblCellMar>
            <w:top w:w="0" w:type="dxa"/>
            <w:left w:w="0" w:type="dxa"/>
            <w:bottom w:w="0" w:type="dxa"/>
            <w:right w:w="0" w:type="dxa"/>
          </w:tblCellMar>
        </w:tblPrEx>
        <w:trPr>
          <w:wBefore w:w="0" w:type="auto"/>
          <w:tblCellSpacing w:w="0" w:type="dxa"/>
        </w:trPr>
        <w:tc>
          <w:tcPr>
            <w:tcW w:w="0" w:type="auto"/>
            <w:noWrap w:val="0"/>
            <w:vAlign w:val="center"/>
          </w:tcPr>
          <w:p w14:paraId="55A09EA7">
            <w:r>
              <w:rPr>
                <w:rStyle w:val="10"/>
                <w:rFonts w:hint="eastAsia"/>
              </w:rPr>
              <w:t>质量保证期：</w:t>
            </w:r>
          </w:p>
        </w:tc>
      </w:tr>
      <w:tr w14:paraId="6BB0AA44">
        <w:tblPrEx>
          <w:tblCellMar>
            <w:top w:w="0" w:type="dxa"/>
            <w:left w:w="0" w:type="dxa"/>
            <w:bottom w:w="0" w:type="dxa"/>
            <w:right w:w="0" w:type="dxa"/>
          </w:tblCellMar>
        </w:tblPrEx>
        <w:trPr>
          <w:wBefore w:w="0" w:type="auto"/>
          <w:tblCellSpacing w:w="0" w:type="dxa"/>
        </w:trPr>
        <w:tc>
          <w:tcPr>
            <w:tcW w:w="0" w:type="auto"/>
            <w:noWrap w:val="0"/>
            <w:vAlign w:val="center"/>
          </w:tcPr>
          <w:p w14:paraId="0C55FC0E">
            <w:r>
              <w:rPr>
                <w:rStyle w:val="10"/>
                <w:rFonts w:hint="eastAsia"/>
              </w:rPr>
              <w:t>备注：</w:t>
            </w:r>
          </w:p>
        </w:tc>
      </w:tr>
    </w:tbl>
    <w:p w14:paraId="6B431C8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0215B6">
        <w:tblPrEx>
          <w:tblCellMar>
            <w:top w:w="0" w:type="dxa"/>
            <w:left w:w="0" w:type="dxa"/>
            <w:bottom w:w="0" w:type="dxa"/>
            <w:right w:w="0" w:type="dxa"/>
          </w:tblCellMar>
        </w:tblPrEx>
        <w:trPr>
          <w:wBefore w:w="0" w:type="auto"/>
          <w:tblCellSpacing w:w="0" w:type="dxa"/>
        </w:trPr>
        <w:tc>
          <w:tcPr>
            <w:tcW w:w="0" w:type="auto"/>
            <w:noWrap w:val="0"/>
            <w:vAlign w:val="center"/>
          </w:tcPr>
          <w:p w14:paraId="2963B5D2">
            <w:r>
              <w:rPr>
                <w:rStyle w:val="10"/>
                <w:rFonts w:hint="eastAsia"/>
              </w:rPr>
              <w:t>登记证号：</w:t>
            </w:r>
            <w:r>
              <w:rPr>
                <w:rFonts w:hint="eastAsia"/>
              </w:rPr>
              <w:t>PD20212694</w:t>
            </w:r>
          </w:p>
        </w:tc>
      </w:tr>
      <w:tr w14:paraId="1C0495EC">
        <w:tblPrEx>
          <w:tblCellMar>
            <w:top w:w="0" w:type="dxa"/>
            <w:left w:w="0" w:type="dxa"/>
            <w:bottom w:w="0" w:type="dxa"/>
            <w:right w:w="0" w:type="dxa"/>
          </w:tblCellMar>
        </w:tblPrEx>
        <w:trPr>
          <w:wBefore w:w="0" w:type="auto"/>
          <w:tblCellSpacing w:w="0" w:type="dxa"/>
        </w:trPr>
        <w:tc>
          <w:tcPr>
            <w:tcW w:w="0" w:type="auto"/>
            <w:noWrap w:val="0"/>
            <w:vAlign w:val="center"/>
          </w:tcPr>
          <w:p w14:paraId="62A1DDE2">
            <w:r>
              <w:rPr>
                <w:rStyle w:val="10"/>
                <w:rFonts w:hint="eastAsia"/>
              </w:rPr>
              <w:t>登记证持有人：</w:t>
            </w:r>
            <w:r>
              <w:rPr>
                <w:rFonts w:hint="eastAsia"/>
              </w:rPr>
              <w:t>广东植物龙生物技术股份有限公司</w:t>
            </w:r>
          </w:p>
        </w:tc>
      </w:tr>
      <w:tr w14:paraId="14705317">
        <w:tblPrEx>
          <w:tblCellMar>
            <w:top w:w="0" w:type="dxa"/>
            <w:left w:w="0" w:type="dxa"/>
            <w:bottom w:w="0" w:type="dxa"/>
            <w:right w:w="0" w:type="dxa"/>
          </w:tblCellMar>
        </w:tblPrEx>
        <w:trPr>
          <w:wBefore w:w="0" w:type="auto"/>
          <w:tblCellSpacing w:w="0" w:type="dxa"/>
        </w:trPr>
        <w:tc>
          <w:tcPr>
            <w:tcW w:w="0" w:type="auto"/>
            <w:noWrap w:val="0"/>
            <w:vAlign w:val="center"/>
          </w:tcPr>
          <w:p w14:paraId="081AE18D">
            <w:r>
              <w:rPr>
                <w:rStyle w:val="10"/>
                <w:rFonts w:hint="eastAsia"/>
              </w:rPr>
              <w:t>农药名称：</w:t>
            </w:r>
            <w:r>
              <w:rPr>
                <w:rFonts w:hint="eastAsia"/>
              </w:rPr>
              <w:t>咪鲜胺</w:t>
            </w:r>
          </w:p>
        </w:tc>
      </w:tr>
      <w:tr w14:paraId="40836A89">
        <w:tblPrEx>
          <w:tblCellMar>
            <w:top w:w="0" w:type="dxa"/>
            <w:left w:w="0" w:type="dxa"/>
            <w:bottom w:w="0" w:type="dxa"/>
            <w:right w:w="0" w:type="dxa"/>
          </w:tblCellMar>
        </w:tblPrEx>
        <w:trPr>
          <w:wBefore w:w="0" w:type="auto"/>
          <w:tblCellSpacing w:w="0" w:type="dxa"/>
        </w:trPr>
        <w:tc>
          <w:tcPr>
            <w:tcW w:w="0" w:type="auto"/>
            <w:noWrap w:val="0"/>
            <w:vAlign w:val="center"/>
          </w:tcPr>
          <w:p w14:paraId="67BBF551">
            <w:r>
              <w:rPr>
                <w:rStyle w:val="10"/>
                <w:rFonts w:hint="eastAsia"/>
              </w:rPr>
              <w:t>剂型：</w:t>
            </w:r>
            <w:r>
              <w:rPr>
                <w:rFonts w:hint="eastAsia"/>
              </w:rPr>
              <w:t>乳油</w:t>
            </w:r>
          </w:p>
        </w:tc>
      </w:tr>
      <w:tr w14:paraId="3A61EF4B">
        <w:tblPrEx>
          <w:tblCellMar>
            <w:top w:w="0" w:type="dxa"/>
            <w:left w:w="0" w:type="dxa"/>
            <w:bottom w:w="0" w:type="dxa"/>
            <w:right w:w="0" w:type="dxa"/>
          </w:tblCellMar>
        </w:tblPrEx>
        <w:trPr>
          <w:wBefore w:w="0" w:type="auto"/>
          <w:tblCellSpacing w:w="0" w:type="dxa"/>
        </w:trPr>
        <w:tc>
          <w:tcPr>
            <w:tcW w:w="0" w:type="auto"/>
            <w:noWrap w:val="0"/>
            <w:vAlign w:val="center"/>
          </w:tcPr>
          <w:p w14:paraId="7A9EDB30">
            <w:r>
              <w:rPr>
                <w:rStyle w:val="10"/>
                <w:rFonts w:hint="eastAsia"/>
              </w:rPr>
              <w:t>毒性及其标识：</w:t>
            </w:r>
            <w:r>
              <w:rPr>
                <w:rFonts w:hint="eastAsia"/>
              </w:rPr>
              <w:t xml:space="preserve"> </w:t>
            </w:r>
            <w:r>
              <w:rPr>
                <w:lang/>
              </w:rPr>
              <w:drawing>
                <wp:inline distT="0" distB="0" distL="114300" distR="114300">
                  <wp:extent cx="476250" cy="323850"/>
                  <wp:effectExtent l="0" t="0" r="0" b="0"/>
                  <wp:docPr id="220" name="图片 2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FEBE3B">
        <w:tblPrEx>
          <w:tblCellMar>
            <w:top w:w="0" w:type="dxa"/>
            <w:left w:w="0" w:type="dxa"/>
            <w:bottom w:w="0" w:type="dxa"/>
            <w:right w:w="0" w:type="dxa"/>
          </w:tblCellMar>
        </w:tblPrEx>
        <w:trPr>
          <w:wBefore w:w="0" w:type="auto"/>
          <w:tblCellSpacing w:w="0" w:type="dxa"/>
        </w:trPr>
        <w:tc>
          <w:tcPr>
            <w:tcW w:w="0" w:type="auto"/>
            <w:noWrap w:val="0"/>
            <w:vAlign w:val="center"/>
          </w:tcPr>
          <w:p w14:paraId="29B6F55E">
            <w:r>
              <w:rPr>
                <w:rStyle w:val="10"/>
                <w:rFonts w:hint="eastAsia"/>
              </w:rPr>
              <w:t>总有效成分含量：</w:t>
            </w:r>
            <w:r>
              <w:rPr>
                <w:rFonts w:hint="eastAsia"/>
              </w:rPr>
              <w:t>25%</w:t>
            </w:r>
          </w:p>
        </w:tc>
      </w:tr>
      <w:tr w14:paraId="35D9FE32">
        <w:tblPrEx>
          <w:tblCellMar>
            <w:top w:w="0" w:type="dxa"/>
            <w:left w:w="0" w:type="dxa"/>
            <w:bottom w:w="0" w:type="dxa"/>
            <w:right w:w="0" w:type="dxa"/>
          </w:tblCellMar>
        </w:tblPrEx>
        <w:trPr>
          <w:wBefore w:w="0" w:type="auto"/>
          <w:tblCellSpacing w:w="0" w:type="dxa"/>
        </w:trPr>
        <w:tc>
          <w:tcPr>
            <w:tcW w:w="0" w:type="auto"/>
            <w:noWrap w:val="0"/>
            <w:vAlign w:val="center"/>
          </w:tcPr>
          <w:p w14:paraId="51A720AF">
            <w:r>
              <w:rPr>
                <w:rFonts w:hint="eastAsia"/>
              </w:rPr>
              <w:t xml:space="preserve">有效成分及其含量： </w:t>
            </w:r>
          </w:p>
          <w:p w14:paraId="6D0A9893">
            <w:r>
              <w:rPr>
                <w:rFonts w:hint="eastAsia"/>
              </w:rPr>
              <w:t xml:space="preserve">    咪鲜胺25%    </w:t>
            </w:r>
          </w:p>
        </w:tc>
      </w:tr>
      <w:tr w14:paraId="380E03B5">
        <w:tblPrEx>
          <w:tblCellMar>
            <w:top w:w="0" w:type="dxa"/>
            <w:left w:w="0" w:type="dxa"/>
            <w:bottom w:w="0" w:type="dxa"/>
            <w:right w:w="0" w:type="dxa"/>
          </w:tblCellMar>
        </w:tblPrEx>
        <w:trPr>
          <w:wBefore w:w="0" w:type="auto"/>
          <w:tblCellSpacing w:w="0" w:type="dxa"/>
        </w:trPr>
        <w:tc>
          <w:tcPr>
            <w:tcW w:w="0" w:type="auto"/>
            <w:noWrap w:val="0"/>
            <w:vAlign w:val="center"/>
          </w:tcPr>
          <w:p w14:paraId="016CFF2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369C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C0AA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119E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A9066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D399EF">
                  <w:r>
                    <w:rPr>
                      <w:rStyle w:val="11"/>
                      <w:rFonts w:hint="eastAsia"/>
                    </w:rPr>
                    <w:t>施用方式</w:t>
                  </w:r>
                </w:p>
              </w:tc>
            </w:tr>
            <w:tr w14:paraId="0EE4F2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B6418F">
                  <w:r>
                    <w:rPr>
                      <w:rStyle w:val="11"/>
                      <w:rFonts w:hint="eastAsia"/>
                    </w:rPr>
                    <w:t>香蕉(果实)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5C4792">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806AC6">
                  <w:r>
                    <w:rPr>
                      <w:rStyle w:val="11"/>
                      <w:rFonts w:hint="eastAsia"/>
                    </w:rPr>
                    <w:t>500-750倍液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049368">
                  <w:r>
                    <w:rPr>
                      <w:rStyle w:val="11"/>
                      <w:rFonts w:hint="eastAsia"/>
                    </w:rPr>
                    <w:t>浸果</w:t>
                  </w:r>
                </w:p>
              </w:tc>
            </w:tr>
          </w:tbl>
          <w:p w14:paraId="6AB0F78A">
            <w:pPr>
              <w:rPr>
                <w:rFonts w:ascii="Times New Roman" w:hAnsi="Times New Roman" w:cs="Times New Roman"/>
                <w:sz w:val="20"/>
                <w:szCs w:val="20"/>
              </w:rPr>
            </w:pPr>
          </w:p>
        </w:tc>
      </w:tr>
      <w:tr w14:paraId="6DDADF8B">
        <w:tblPrEx>
          <w:tblCellMar>
            <w:top w:w="0" w:type="dxa"/>
            <w:left w:w="0" w:type="dxa"/>
            <w:bottom w:w="0" w:type="dxa"/>
            <w:right w:w="0" w:type="dxa"/>
          </w:tblCellMar>
        </w:tblPrEx>
        <w:trPr>
          <w:wBefore w:w="0" w:type="auto"/>
          <w:tblCellSpacing w:w="0" w:type="dxa"/>
        </w:trPr>
        <w:tc>
          <w:tcPr>
            <w:tcW w:w="0" w:type="auto"/>
            <w:noWrap w:val="0"/>
            <w:vAlign w:val="center"/>
          </w:tcPr>
          <w:p w14:paraId="0E0D6705">
            <w:r>
              <w:rPr>
                <w:rStyle w:val="10"/>
                <w:rFonts w:hint="eastAsia"/>
              </w:rPr>
              <w:t>使用技术要求:</w:t>
            </w:r>
            <w:r>
              <w:rPr>
                <w:rFonts w:hint="eastAsia"/>
              </w:rPr>
              <w:br w:type="textWrapping"/>
            </w:r>
            <w:r>
              <w:rPr>
                <w:rStyle w:val="11"/>
                <w:rFonts w:hint="eastAsia"/>
              </w:rPr>
              <w:t>1、 施药方法为浸果，采收成熟度75%-80%的香蕉，去掉机械损伤果实，洗去尘土，在稀释的药液中浸果1~2分钟，捞出后自然晾干，常温储藏。 2、 浸果过程中，要不断搅拌药液，使药液均匀分布并与香蕉果实充分接触。 3、 本品在香蕉上的安全间隔期为7天，每批果实最多使用1次。</w:t>
            </w:r>
          </w:p>
        </w:tc>
      </w:tr>
      <w:tr w14:paraId="55E0427D">
        <w:tblPrEx>
          <w:tblCellMar>
            <w:top w:w="0" w:type="dxa"/>
            <w:left w:w="0" w:type="dxa"/>
            <w:bottom w:w="0" w:type="dxa"/>
            <w:right w:w="0" w:type="dxa"/>
          </w:tblCellMar>
        </w:tblPrEx>
        <w:trPr>
          <w:wBefore w:w="0" w:type="auto"/>
          <w:tblCellSpacing w:w="0" w:type="dxa"/>
        </w:trPr>
        <w:tc>
          <w:tcPr>
            <w:tcW w:w="0" w:type="auto"/>
            <w:noWrap w:val="0"/>
            <w:vAlign w:val="center"/>
          </w:tcPr>
          <w:p w14:paraId="646ED67B">
            <w:r>
              <w:rPr>
                <w:rStyle w:val="10"/>
                <w:rFonts w:hint="eastAsia"/>
              </w:rPr>
              <w:t>产品性能:</w:t>
            </w:r>
            <w:r>
              <w:rPr>
                <w:rFonts w:hint="eastAsia"/>
              </w:rPr>
              <w:br w:type="textWrapping"/>
            </w:r>
            <w:r>
              <w:rPr>
                <w:rStyle w:val="11"/>
                <w:rFonts w:hint="eastAsia"/>
              </w:rPr>
              <w:t>本品是一种咪唑类杀菌剂，可抑制病菌麦角甾醇的生物合成，具有传导、预防、保护、治疗等多重作用。可有效防治香蕉炭疽病。</w:t>
            </w:r>
          </w:p>
        </w:tc>
      </w:tr>
      <w:tr w14:paraId="53773C06">
        <w:tblPrEx>
          <w:tblCellMar>
            <w:top w:w="0" w:type="dxa"/>
            <w:left w:w="0" w:type="dxa"/>
            <w:bottom w:w="0" w:type="dxa"/>
            <w:right w:w="0" w:type="dxa"/>
          </w:tblCellMar>
        </w:tblPrEx>
        <w:trPr>
          <w:wBefore w:w="0" w:type="auto"/>
          <w:tblCellSpacing w:w="0" w:type="dxa"/>
        </w:trPr>
        <w:tc>
          <w:tcPr>
            <w:tcW w:w="0" w:type="auto"/>
            <w:noWrap w:val="0"/>
            <w:vAlign w:val="center"/>
          </w:tcPr>
          <w:p w14:paraId="6452E2D3">
            <w:r>
              <w:rPr>
                <w:rStyle w:val="10"/>
                <w:rFonts w:hint="eastAsia"/>
              </w:rPr>
              <w:t>注意事项：</w:t>
            </w:r>
            <w:r>
              <w:rPr>
                <w:rFonts w:hint="eastAsia"/>
              </w:rPr>
              <w:br w:type="textWrapping"/>
            </w:r>
            <w:r>
              <w:rPr>
                <w:rStyle w:val="11"/>
                <w:rFonts w:hint="eastAsia"/>
              </w:rPr>
              <w:t>1、使用时穿戴长衣、长裤、帽子、口罩、手套等防护措施，避免吸入药液，施药期间不可吃东西和饮水，施药后应及时洗手和洗脸。 2、本品使用时应注意远离水产养殖区、河塘等水体附近施药，禁止在河塘等水体中清洗施药器具，浸果后的药液及其废液不得污染河流和水源等各类水域。3、用过的容器应妥善处理，不可作他用，也不可随意丢弃。4建议与其他作用机制不同的杀菌剂交替使用，以延缓抗性的产生。5、孕妇及哺乳期妇女不得接触本品。6、该产品为易燃液体。7、仅限室内使用。</w:t>
            </w:r>
          </w:p>
        </w:tc>
      </w:tr>
      <w:tr w14:paraId="016435C1">
        <w:tblPrEx>
          <w:tblCellMar>
            <w:top w:w="0" w:type="dxa"/>
            <w:left w:w="0" w:type="dxa"/>
            <w:bottom w:w="0" w:type="dxa"/>
            <w:right w:w="0" w:type="dxa"/>
          </w:tblCellMar>
        </w:tblPrEx>
        <w:trPr>
          <w:wBefore w:w="0" w:type="auto"/>
          <w:tblCellSpacing w:w="0" w:type="dxa"/>
        </w:trPr>
        <w:tc>
          <w:tcPr>
            <w:tcW w:w="0" w:type="auto"/>
            <w:noWrap w:val="0"/>
            <w:vAlign w:val="center"/>
          </w:tcPr>
          <w:p w14:paraId="152A77E1">
            <w:r>
              <w:rPr>
                <w:rStyle w:val="10"/>
                <w:rFonts w:hint="eastAsia"/>
              </w:rPr>
              <w:t>中毒急救措施：</w:t>
            </w:r>
            <w:r>
              <w:rPr>
                <w:rFonts w:hint="eastAsia"/>
              </w:rPr>
              <w:br w:type="textWrapping"/>
            </w:r>
            <w:r>
              <w:rPr>
                <w:rStyle w:val="11"/>
                <w:rFonts w:hint="eastAsia"/>
              </w:rPr>
              <w:t>该产品对眼睛、皮肤有刺激性，使用时避免接触眼睛、皮肤。 使用中或使用后若感觉不适，应立即停止工作，采取急救措施。本品对眼睛、皮肤有刺激作用，不慎接触皮肤或溅入眼睛，应用大量清水冲洗至少15分钟，如有刺激发生立即送医就诊；不慎吸入，应将病人移至空气流通处；无特殊解毒剂，如误服则应立即携此标签将病人送医院对症治疗。</w:t>
            </w:r>
          </w:p>
        </w:tc>
      </w:tr>
      <w:tr w14:paraId="4B77B435">
        <w:tblPrEx>
          <w:tblCellMar>
            <w:top w:w="0" w:type="dxa"/>
            <w:left w:w="0" w:type="dxa"/>
            <w:bottom w:w="0" w:type="dxa"/>
            <w:right w:w="0" w:type="dxa"/>
          </w:tblCellMar>
        </w:tblPrEx>
        <w:trPr>
          <w:wBefore w:w="0" w:type="auto"/>
          <w:tblCellSpacing w:w="0" w:type="dxa"/>
        </w:trPr>
        <w:tc>
          <w:tcPr>
            <w:tcW w:w="0" w:type="auto"/>
            <w:noWrap w:val="0"/>
            <w:vAlign w:val="center"/>
          </w:tcPr>
          <w:p w14:paraId="3E046C26">
            <w:r>
              <w:rPr>
                <w:rStyle w:val="10"/>
                <w:rFonts w:hint="eastAsia"/>
              </w:rPr>
              <w:t>储存和运输方法：</w:t>
            </w:r>
            <w:r>
              <w:rPr>
                <w:rFonts w:hint="eastAsia"/>
              </w:rPr>
              <w:br w:type="textWrapping"/>
            </w:r>
            <w:r>
              <w:rPr>
                <w:rStyle w:val="11"/>
                <w:rFonts w:hint="eastAsia"/>
              </w:rPr>
              <w:t>本品应贮存在通风、干燥、阴凉、防雨处，远离火源和热源。贮运时，严防潮湿、日晒和雨淋，不能与食物、粮食、饮料、种子、饲料等商品同贮同运，避免与皮肤、眼睛接触，防止由口鼻吸入。置于儿童触及不到之处，并加锁。</w:t>
            </w:r>
          </w:p>
        </w:tc>
      </w:tr>
      <w:tr w14:paraId="338FCE5D">
        <w:tblPrEx>
          <w:tblCellMar>
            <w:top w:w="0" w:type="dxa"/>
            <w:left w:w="0" w:type="dxa"/>
            <w:bottom w:w="0" w:type="dxa"/>
            <w:right w:w="0" w:type="dxa"/>
          </w:tblCellMar>
        </w:tblPrEx>
        <w:trPr>
          <w:wBefore w:w="0" w:type="auto"/>
          <w:tblCellSpacing w:w="0" w:type="dxa"/>
        </w:trPr>
        <w:tc>
          <w:tcPr>
            <w:tcW w:w="0" w:type="auto"/>
            <w:noWrap w:val="0"/>
            <w:vAlign w:val="center"/>
          </w:tcPr>
          <w:p w14:paraId="0712D562">
            <w:r>
              <w:rPr>
                <w:rStyle w:val="10"/>
                <w:rFonts w:hint="eastAsia"/>
              </w:rPr>
              <w:t>质量保证期：</w:t>
            </w:r>
            <w:r>
              <w:rPr>
                <w:rStyle w:val="11"/>
                <w:rFonts w:hint="eastAsia"/>
              </w:rPr>
              <w:t>2年</w:t>
            </w:r>
          </w:p>
        </w:tc>
      </w:tr>
      <w:tr w14:paraId="49273CBC">
        <w:tblPrEx>
          <w:tblCellMar>
            <w:top w:w="0" w:type="dxa"/>
            <w:left w:w="0" w:type="dxa"/>
            <w:bottom w:w="0" w:type="dxa"/>
            <w:right w:w="0" w:type="dxa"/>
          </w:tblCellMar>
        </w:tblPrEx>
        <w:trPr>
          <w:wBefore w:w="0" w:type="auto"/>
          <w:tblCellSpacing w:w="0" w:type="dxa"/>
        </w:trPr>
        <w:tc>
          <w:tcPr>
            <w:tcW w:w="0" w:type="auto"/>
            <w:noWrap w:val="0"/>
            <w:vAlign w:val="center"/>
          </w:tcPr>
          <w:p w14:paraId="0F96A02C">
            <w:r>
              <w:rPr>
                <w:rStyle w:val="10"/>
                <w:rFonts w:hint="eastAsia"/>
              </w:rPr>
              <w:t>备注：</w:t>
            </w:r>
          </w:p>
        </w:tc>
      </w:tr>
    </w:tbl>
    <w:p w14:paraId="283DB0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7C4217">
        <w:tblPrEx>
          <w:tblCellMar>
            <w:top w:w="0" w:type="dxa"/>
            <w:left w:w="0" w:type="dxa"/>
            <w:bottom w:w="0" w:type="dxa"/>
            <w:right w:w="0" w:type="dxa"/>
          </w:tblCellMar>
        </w:tblPrEx>
        <w:trPr>
          <w:wBefore w:w="0" w:type="auto"/>
          <w:tblCellSpacing w:w="0" w:type="dxa"/>
        </w:trPr>
        <w:tc>
          <w:tcPr>
            <w:tcW w:w="0" w:type="auto"/>
            <w:noWrap w:val="0"/>
            <w:vAlign w:val="center"/>
          </w:tcPr>
          <w:p w14:paraId="33D9FDD5">
            <w:r>
              <w:rPr>
                <w:rStyle w:val="10"/>
                <w:rFonts w:hint="eastAsia"/>
              </w:rPr>
              <w:t>登记证号：</w:t>
            </w:r>
            <w:r>
              <w:rPr>
                <w:rFonts w:hint="eastAsia"/>
              </w:rPr>
              <w:t>PD20212598</w:t>
            </w:r>
          </w:p>
        </w:tc>
      </w:tr>
      <w:tr w14:paraId="4598A4EE">
        <w:tblPrEx>
          <w:tblCellMar>
            <w:top w:w="0" w:type="dxa"/>
            <w:left w:w="0" w:type="dxa"/>
            <w:bottom w:w="0" w:type="dxa"/>
            <w:right w:w="0" w:type="dxa"/>
          </w:tblCellMar>
        </w:tblPrEx>
        <w:trPr>
          <w:wBefore w:w="0" w:type="auto"/>
          <w:tblCellSpacing w:w="0" w:type="dxa"/>
        </w:trPr>
        <w:tc>
          <w:tcPr>
            <w:tcW w:w="0" w:type="auto"/>
            <w:noWrap w:val="0"/>
            <w:vAlign w:val="center"/>
          </w:tcPr>
          <w:p w14:paraId="062E48ED">
            <w:r>
              <w:rPr>
                <w:rStyle w:val="10"/>
                <w:rFonts w:hint="eastAsia"/>
              </w:rPr>
              <w:t>登记证持有人：</w:t>
            </w:r>
            <w:r>
              <w:rPr>
                <w:rFonts w:hint="eastAsia"/>
              </w:rPr>
              <w:t>河南常见生物科技有限公司</w:t>
            </w:r>
          </w:p>
        </w:tc>
      </w:tr>
      <w:tr w14:paraId="25FC23EB">
        <w:tblPrEx>
          <w:tblCellMar>
            <w:top w:w="0" w:type="dxa"/>
            <w:left w:w="0" w:type="dxa"/>
            <w:bottom w:w="0" w:type="dxa"/>
            <w:right w:w="0" w:type="dxa"/>
          </w:tblCellMar>
        </w:tblPrEx>
        <w:trPr>
          <w:wBefore w:w="0" w:type="auto"/>
          <w:tblCellSpacing w:w="0" w:type="dxa"/>
        </w:trPr>
        <w:tc>
          <w:tcPr>
            <w:tcW w:w="0" w:type="auto"/>
            <w:noWrap w:val="0"/>
            <w:vAlign w:val="center"/>
          </w:tcPr>
          <w:p w14:paraId="10E49792">
            <w:r>
              <w:rPr>
                <w:rStyle w:val="10"/>
                <w:rFonts w:hint="eastAsia"/>
              </w:rPr>
              <w:t>农药名称：</w:t>
            </w:r>
            <w:r>
              <w:rPr>
                <w:rFonts w:hint="eastAsia"/>
              </w:rPr>
              <w:t>滴酸·草甘膦</w:t>
            </w:r>
          </w:p>
        </w:tc>
      </w:tr>
      <w:tr w14:paraId="6789116A">
        <w:tblPrEx>
          <w:tblCellMar>
            <w:top w:w="0" w:type="dxa"/>
            <w:left w:w="0" w:type="dxa"/>
            <w:bottom w:w="0" w:type="dxa"/>
            <w:right w:w="0" w:type="dxa"/>
          </w:tblCellMar>
        </w:tblPrEx>
        <w:trPr>
          <w:wBefore w:w="0" w:type="auto"/>
          <w:tblCellSpacing w:w="0" w:type="dxa"/>
        </w:trPr>
        <w:tc>
          <w:tcPr>
            <w:tcW w:w="0" w:type="auto"/>
            <w:noWrap w:val="0"/>
            <w:vAlign w:val="center"/>
          </w:tcPr>
          <w:p w14:paraId="35A6E4E6">
            <w:r>
              <w:rPr>
                <w:rStyle w:val="10"/>
                <w:rFonts w:hint="eastAsia"/>
              </w:rPr>
              <w:t>剂型：</w:t>
            </w:r>
            <w:r>
              <w:rPr>
                <w:rFonts w:hint="eastAsia"/>
              </w:rPr>
              <w:t>可溶液剂</w:t>
            </w:r>
          </w:p>
        </w:tc>
      </w:tr>
      <w:tr w14:paraId="0BC03372">
        <w:tblPrEx>
          <w:tblCellMar>
            <w:top w:w="0" w:type="dxa"/>
            <w:left w:w="0" w:type="dxa"/>
            <w:bottom w:w="0" w:type="dxa"/>
            <w:right w:w="0" w:type="dxa"/>
          </w:tblCellMar>
        </w:tblPrEx>
        <w:trPr>
          <w:wBefore w:w="0" w:type="auto"/>
          <w:tblCellSpacing w:w="0" w:type="dxa"/>
        </w:trPr>
        <w:tc>
          <w:tcPr>
            <w:tcW w:w="0" w:type="auto"/>
            <w:noWrap w:val="0"/>
            <w:vAlign w:val="center"/>
          </w:tcPr>
          <w:p w14:paraId="6D18DAB1">
            <w:r>
              <w:rPr>
                <w:rStyle w:val="10"/>
                <w:rFonts w:hint="eastAsia"/>
              </w:rPr>
              <w:t>毒性及其标识：</w:t>
            </w:r>
            <w:r>
              <w:rPr>
                <w:rFonts w:hint="eastAsia"/>
              </w:rPr>
              <w:t xml:space="preserve"> </w:t>
            </w:r>
            <w:r>
              <w:rPr>
                <w:lang/>
              </w:rPr>
              <w:drawing>
                <wp:inline distT="0" distB="0" distL="114300" distR="114300">
                  <wp:extent cx="476250" cy="323850"/>
                  <wp:effectExtent l="0" t="0" r="0" b="0"/>
                  <wp:docPr id="221" name="图片 2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6AC88A">
        <w:tblPrEx>
          <w:tblCellMar>
            <w:top w:w="0" w:type="dxa"/>
            <w:left w:w="0" w:type="dxa"/>
            <w:bottom w:w="0" w:type="dxa"/>
            <w:right w:w="0" w:type="dxa"/>
          </w:tblCellMar>
        </w:tblPrEx>
        <w:trPr>
          <w:wBefore w:w="0" w:type="auto"/>
          <w:tblCellSpacing w:w="0" w:type="dxa"/>
        </w:trPr>
        <w:tc>
          <w:tcPr>
            <w:tcW w:w="0" w:type="auto"/>
            <w:noWrap w:val="0"/>
            <w:vAlign w:val="center"/>
          </w:tcPr>
          <w:p w14:paraId="73095FBB">
            <w:r>
              <w:rPr>
                <w:rStyle w:val="10"/>
                <w:rFonts w:hint="eastAsia"/>
              </w:rPr>
              <w:t>总有效成分含量：</w:t>
            </w:r>
            <w:r>
              <w:rPr>
                <w:rFonts w:hint="eastAsia"/>
              </w:rPr>
              <w:t>32.4%</w:t>
            </w:r>
          </w:p>
        </w:tc>
      </w:tr>
      <w:tr w14:paraId="4CFC6CC1">
        <w:tblPrEx>
          <w:tblCellMar>
            <w:top w:w="0" w:type="dxa"/>
            <w:left w:w="0" w:type="dxa"/>
            <w:bottom w:w="0" w:type="dxa"/>
            <w:right w:w="0" w:type="dxa"/>
          </w:tblCellMar>
        </w:tblPrEx>
        <w:trPr>
          <w:wBefore w:w="0" w:type="auto"/>
          <w:tblCellSpacing w:w="0" w:type="dxa"/>
        </w:trPr>
        <w:tc>
          <w:tcPr>
            <w:tcW w:w="0" w:type="auto"/>
            <w:noWrap w:val="0"/>
            <w:vAlign w:val="center"/>
          </w:tcPr>
          <w:p w14:paraId="1C3348F5">
            <w:r>
              <w:rPr>
                <w:rFonts w:hint="eastAsia"/>
              </w:rPr>
              <w:t xml:space="preserve">有效成分及其含量： </w:t>
            </w:r>
          </w:p>
          <w:p w14:paraId="1E75D692">
            <w:r>
              <w:rPr>
                <w:rFonts w:hint="eastAsia"/>
              </w:rPr>
              <w:t xml:space="preserve">    草甘膦30%    2,4-滴2.4%    </w:t>
            </w:r>
          </w:p>
        </w:tc>
      </w:tr>
      <w:tr w14:paraId="22482DC6">
        <w:tblPrEx>
          <w:tblCellMar>
            <w:top w:w="0" w:type="dxa"/>
            <w:left w:w="0" w:type="dxa"/>
            <w:bottom w:w="0" w:type="dxa"/>
            <w:right w:w="0" w:type="dxa"/>
          </w:tblCellMar>
        </w:tblPrEx>
        <w:trPr>
          <w:wBefore w:w="0" w:type="auto"/>
          <w:tblCellSpacing w:w="0" w:type="dxa"/>
        </w:trPr>
        <w:tc>
          <w:tcPr>
            <w:tcW w:w="0" w:type="auto"/>
            <w:noWrap w:val="0"/>
            <w:vAlign w:val="center"/>
          </w:tcPr>
          <w:p w14:paraId="4429339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423A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836C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A9547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50C93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C3A8BF">
                  <w:r>
                    <w:rPr>
                      <w:rStyle w:val="11"/>
                      <w:rFonts w:hint="eastAsia"/>
                    </w:rPr>
                    <w:t>施用方式</w:t>
                  </w:r>
                </w:p>
              </w:tc>
            </w:tr>
            <w:tr w14:paraId="0B9187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A567A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2652C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8DA8B5">
                  <w:r>
                    <w:rPr>
                      <w:rStyle w:val="11"/>
                      <w:rFonts w:hint="eastAsia"/>
                    </w:rPr>
                    <w:t>250-450毫升/亩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27CA0B">
                  <w:r>
                    <w:rPr>
                      <w:rStyle w:val="11"/>
                      <w:rFonts w:hint="eastAsia"/>
                    </w:rPr>
                    <w:t>茎叶喷雾</w:t>
                  </w:r>
                </w:p>
              </w:tc>
            </w:tr>
          </w:tbl>
          <w:p w14:paraId="7FAA987D">
            <w:pPr>
              <w:rPr>
                <w:rFonts w:ascii="Times New Roman" w:hAnsi="Times New Roman" w:cs="Times New Roman"/>
                <w:sz w:val="20"/>
                <w:szCs w:val="20"/>
              </w:rPr>
            </w:pPr>
          </w:p>
        </w:tc>
      </w:tr>
      <w:tr w14:paraId="4C0BD016">
        <w:tblPrEx>
          <w:tblCellMar>
            <w:top w:w="0" w:type="dxa"/>
            <w:left w:w="0" w:type="dxa"/>
            <w:bottom w:w="0" w:type="dxa"/>
            <w:right w:w="0" w:type="dxa"/>
          </w:tblCellMar>
        </w:tblPrEx>
        <w:trPr>
          <w:wBefore w:w="0" w:type="auto"/>
          <w:tblCellSpacing w:w="0" w:type="dxa"/>
        </w:trPr>
        <w:tc>
          <w:tcPr>
            <w:tcW w:w="0" w:type="auto"/>
            <w:noWrap w:val="0"/>
            <w:vAlign w:val="center"/>
          </w:tcPr>
          <w:p w14:paraId="36D1226E">
            <w:r>
              <w:rPr>
                <w:rStyle w:val="10"/>
                <w:rFonts w:hint="eastAsia"/>
              </w:rPr>
              <w:t>使用技术要求:</w:t>
            </w:r>
            <w:r>
              <w:rPr>
                <w:rFonts w:hint="eastAsia"/>
              </w:rPr>
              <w:br w:type="textWrapping"/>
            </w:r>
            <w:r>
              <w:rPr>
                <w:rStyle w:val="11"/>
                <w:rFonts w:hint="eastAsia"/>
              </w:rPr>
              <w:t>1.在非耕地杂草生长旺盛期茎叶喷雾，施药1次。2.大风天或预计1小时内有雨，请勿施药。3.避免飘移药害；禁止在田间道路、田埂、果树行间、休耕地、林场林地等农林业区域使用。</w:t>
            </w:r>
          </w:p>
        </w:tc>
      </w:tr>
      <w:tr w14:paraId="64DE2EC7">
        <w:tblPrEx>
          <w:tblCellMar>
            <w:top w:w="0" w:type="dxa"/>
            <w:left w:w="0" w:type="dxa"/>
            <w:bottom w:w="0" w:type="dxa"/>
            <w:right w:w="0" w:type="dxa"/>
          </w:tblCellMar>
        </w:tblPrEx>
        <w:trPr>
          <w:wBefore w:w="0" w:type="auto"/>
          <w:tblCellSpacing w:w="0" w:type="dxa"/>
        </w:trPr>
        <w:tc>
          <w:tcPr>
            <w:tcW w:w="0" w:type="auto"/>
            <w:noWrap w:val="0"/>
            <w:vAlign w:val="center"/>
          </w:tcPr>
          <w:p w14:paraId="353CE9C3">
            <w:r>
              <w:rPr>
                <w:rStyle w:val="10"/>
                <w:rFonts w:hint="eastAsia"/>
              </w:rPr>
              <w:t>产品性能:</w:t>
            </w:r>
            <w:r>
              <w:rPr>
                <w:rFonts w:hint="eastAsia"/>
              </w:rPr>
              <w:br w:type="textWrapping"/>
            </w:r>
            <w:r>
              <w:rPr>
                <w:rStyle w:val="11"/>
                <w:rFonts w:hint="eastAsia"/>
              </w:rPr>
              <w:t>本品是灭生性除草剂，具有杀草谱较广、除草效果较好等特点。能有效地防除非耕地一年生杂草及多年生杂草。</w:t>
            </w:r>
          </w:p>
        </w:tc>
      </w:tr>
      <w:tr w14:paraId="4C519898">
        <w:tblPrEx>
          <w:tblCellMar>
            <w:top w:w="0" w:type="dxa"/>
            <w:left w:w="0" w:type="dxa"/>
            <w:bottom w:w="0" w:type="dxa"/>
            <w:right w:w="0" w:type="dxa"/>
          </w:tblCellMar>
        </w:tblPrEx>
        <w:trPr>
          <w:wBefore w:w="0" w:type="auto"/>
          <w:tblCellSpacing w:w="0" w:type="dxa"/>
        </w:trPr>
        <w:tc>
          <w:tcPr>
            <w:tcW w:w="0" w:type="auto"/>
            <w:noWrap w:val="0"/>
            <w:vAlign w:val="center"/>
          </w:tcPr>
          <w:p w14:paraId="73D3BFD9">
            <w:r>
              <w:rPr>
                <w:rStyle w:val="10"/>
                <w:rFonts w:hint="eastAsia"/>
              </w:rPr>
              <w:t>注意事项：</w:t>
            </w:r>
            <w:r>
              <w:rPr>
                <w:rFonts w:hint="eastAsia"/>
              </w:rPr>
              <w:br w:type="textWrapping"/>
            </w:r>
            <w:r>
              <w:rPr>
                <w:rStyle w:val="11"/>
                <w:rFonts w:hint="eastAsia"/>
              </w:rPr>
              <w:t>1. 本品灭生性除草剂，严防雾滴飘移到果木和邻近作物田。2.使用时穿戴长衣、长裤、帽子、口罩、手套等安全防护措施。避免皮肤接触及口鼻吸入药液。施药期间不可吃东西和饮水，施药后应及时洗手和洗脸。3.本品对蜜蜂、鱼等水生生物、家蚕有毒，施药期间避免对周围蜂群的影响、蜜源/粉源植物花期、蚕室和桑园附近禁用。鸟类保护区附近禁用。 远离水产养殖区、河塘等水体附近施药，避免药液污染水源，禁止在河塘等水域中清洗施药器具。赤眼蜂等天敌放飞区域禁用。4.用过的容器应妥善处理，不可做他用，也不可随意丢弃。5.孕妇及哺乳期妇女应避免接触本品。</w:t>
            </w:r>
          </w:p>
        </w:tc>
      </w:tr>
      <w:tr w14:paraId="194B0299">
        <w:tblPrEx>
          <w:tblCellMar>
            <w:top w:w="0" w:type="dxa"/>
            <w:left w:w="0" w:type="dxa"/>
            <w:bottom w:w="0" w:type="dxa"/>
            <w:right w:w="0" w:type="dxa"/>
          </w:tblCellMar>
        </w:tblPrEx>
        <w:trPr>
          <w:wBefore w:w="0" w:type="auto"/>
          <w:tblCellSpacing w:w="0" w:type="dxa"/>
        </w:trPr>
        <w:tc>
          <w:tcPr>
            <w:tcW w:w="0" w:type="auto"/>
            <w:noWrap w:val="0"/>
            <w:vAlign w:val="center"/>
          </w:tcPr>
          <w:p w14:paraId="5937FA8A">
            <w:r>
              <w:rPr>
                <w:rStyle w:val="10"/>
                <w:rFonts w:hint="eastAsia"/>
              </w:rPr>
              <w:t>中毒急救措施：</w:t>
            </w:r>
            <w:r>
              <w:rPr>
                <w:rFonts w:hint="eastAsia"/>
              </w:rPr>
              <w:br w:type="textWrapping"/>
            </w:r>
            <w:r>
              <w:rPr>
                <w:rStyle w:val="11"/>
                <w:rFonts w:hint="eastAsia"/>
              </w:rPr>
              <w:t>中毒症状：恶心、呕吐、头痛。按标签推荐方法使用，一旦发生中毒，请对症治疗。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3B5AAFB5">
        <w:tblPrEx>
          <w:tblCellMar>
            <w:top w:w="0" w:type="dxa"/>
            <w:left w:w="0" w:type="dxa"/>
            <w:bottom w:w="0" w:type="dxa"/>
            <w:right w:w="0" w:type="dxa"/>
          </w:tblCellMar>
        </w:tblPrEx>
        <w:trPr>
          <w:wBefore w:w="0" w:type="auto"/>
          <w:tblCellSpacing w:w="0" w:type="dxa"/>
        </w:trPr>
        <w:tc>
          <w:tcPr>
            <w:tcW w:w="0" w:type="auto"/>
            <w:noWrap w:val="0"/>
            <w:vAlign w:val="center"/>
          </w:tcPr>
          <w:p w14:paraId="2EFF8D63">
            <w:r>
              <w:rPr>
                <w:rStyle w:val="10"/>
                <w:rFonts w:hint="eastAsia"/>
              </w:rPr>
              <w:t>储存和运输方法：</w:t>
            </w:r>
            <w:r>
              <w:rPr>
                <w:rFonts w:hint="eastAsia"/>
              </w:rPr>
              <w:br w:type="textWrapping"/>
            </w:r>
            <w:r>
              <w:rPr>
                <w:rStyle w:val="11"/>
                <w:rFonts w:hint="eastAsia"/>
              </w:rPr>
              <w:t>1、本品应贮存于通风、阴凉、干燥处。远离火源或热源。置于儿童触及不到之处，并加锁。2、运输时，严防雨淋、日晒，不能与食品、饮料、粮食、饲料等物品同贮同运，避免与皮肤接触，防止由口鼻吸入。</w:t>
            </w:r>
          </w:p>
        </w:tc>
      </w:tr>
      <w:tr w14:paraId="46AC1E0B">
        <w:tblPrEx>
          <w:tblCellMar>
            <w:top w:w="0" w:type="dxa"/>
            <w:left w:w="0" w:type="dxa"/>
            <w:bottom w:w="0" w:type="dxa"/>
            <w:right w:w="0" w:type="dxa"/>
          </w:tblCellMar>
        </w:tblPrEx>
        <w:trPr>
          <w:wBefore w:w="0" w:type="auto"/>
          <w:tblCellSpacing w:w="0" w:type="dxa"/>
        </w:trPr>
        <w:tc>
          <w:tcPr>
            <w:tcW w:w="0" w:type="auto"/>
            <w:noWrap w:val="0"/>
            <w:vAlign w:val="center"/>
          </w:tcPr>
          <w:p w14:paraId="220B006A">
            <w:r>
              <w:rPr>
                <w:rStyle w:val="10"/>
                <w:rFonts w:hint="eastAsia"/>
              </w:rPr>
              <w:t>质量保证期：</w:t>
            </w:r>
            <w:r>
              <w:rPr>
                <w:rStyle w:val="11"/>
                <w:rFonts w:hint="eastAsia"/>
              </w:rPr>
              <w:t>2年</w:t>
            </w:r>
          </w:p>
        </w:tc>
      </w:tr>
      <w:tr w14:paraId="33A84608">
        <w:tblPrEx>
          <w:tblCellMar>
            <w:top w:w="0" w:type="dxa"/>
            <w:left w:w="0" w:type="dxa"/>
            <w:bottom w:w="0" w:type="dxa"/>
            <w:right w:w="0" w:type="dxa"/>
          </w:tblCellMar>
        </w:tblPrEx>
        <w:trPr>
          <w:wBefore w:w="0" w:type="auto"/>
          <w:tblCellSpacing w:w="0" w:type="dxa"/>
        </w:trPr>
        <w:tc>
          <w:tcPr>
            <w:tcW w:w="0" w:type="auto"/>
            <w:noWrap w:val="0"/>
            <w:vAlign w:val="center"/>
          </w:tcPr>
          <w:p w14:paraId="7F54CA8C">
            <w:r>
              <w:rPr>
                <w:rStyle w:val="10"/>
                <w:rFonts w:hint="eastAsia"/>
              </w:rPr>
              <w:t>备注：</w:t>
            </w:r>
          </w:p>
        </w:tc>
      </w:tr>
    </w:tbl>
    <w:p w14:paraId="35C26D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BE11FD">
        <w:tblPrEx>
          <w:tblCellMar>
            <w:top w:w="0" w:type="dxa"/>
            <w:left w:w="0" w:type="dxa"/>
            <w:bottom w:w="0" w:type="dxa"/>
            <w:right w:w="0" w:type="dxa"/>
          </w:tblCellMar>
        </w:tblPrEx>
        <w:trPr>
          <w:wBefore w:w="0" w:type="auto"/>
          <w:tblCellSpacing w:w="0" w:type="dxa"/>
        </w:trPr>
        <w:tc>
          <w:tcPr>
            <w:tcW w:w="0" w:type="auto"/>
            <w:noWrap w:val="0"/>
            <w:vAlign w:val="center"/>
          </w:tcPr>
          <w:p w14:paraId="2417430F">
            <w:r>
              <w:rPr>
                <w:rStyle w:val="10"/>
                <w:rFonts w:hint="eastAsia"/>
              </w:rPr>
              <w:t>登记证号：</w:t>
            </w:r>
            <w:r>
              <w:rPr>
                <w:rFonts w:hint="eastAsia"/>
              </w:rPr>
              <w:t>PD20212358</w:t>
            </w:r>
          </w:p>
        </w:tc>
      </w:tr>
      <w:tr w14:paraId="7366B4D7">
        <w:tblPrEx>
          <w:tblCellMar>
            <w:top w:w="0" w:type="dxa"/>
            <w:left w:w="0" w:type="dxa"/>
            <w:bottom w:w="0" w:type="dxa"/>
            <w:right w:w="0" w:type="dxa"/>
          </w:tblCellMar>
        </w:tblPrEx>
        <w:trPr>
          <w:wBefore w:w="0" w:type="auto"/>
          <w:tblCellSpacing w:w="0" w:type="dxa"/>
        </w:trPr>
        <w:tc>
          <w:tcPr>
            <w:tcW w:w="0" w:type="auto"/>
            <w:noWrap w:val="0"/>
            <w:vAlign w:val="center"/>
          </w:tcPr>
          <w:p w14:paraId="1B9E95D5">
            <w:r>
              <w:rPr>
                <w:rStyle w:val="10"/>
                <w:rFonts w:hint="eastAsia"/>
              </w:rPr>
              <w:t>登记证持有人：</w:t>
            </w:r>
            <w:r>
              <w:rPr>
                <w:rFonts w:hint="eastAsia"/>
              </w:rPr>
              <w:t>广西金裕隆农药化工有限公司</w:t>
            </w:r>
          </w:p>
        </w:tc>
      </w:tr>
      <w:tr w14:paraId="40857C77">
        <w:tblPrEx>
          <w:tblCellMar>
            <w:top w:w="0" w:type="dxa"/>
            <w:left w:w="0" w:type="dxa"/>
            <w:bottom w:w="0" w:type="dxa"/>
            <w:right w:w="0" w:type="dxa"/>
          </w:tblCellMar>
        </w:tblPrEx>
        <w:trPr>
          <w:wBefore w:w="0" w:type="auto"/>
          <w:tblCellSpacing w:w="0" w:type="dxa"/>
        </w:trPr>
        <w:tc>
          <w:tcPr>
            <w:tcW w:w="0" w:type="auto"/>
            <w:noWrap w:val="0"/>
            <w:vAlign w:val="center"/>
          </w:tcPr>
          <w:p w14:paraId="2A0E98F4">
            <w:r>
              <w:rPr>
                <w:rStyle w:val="10"/>
                <w:rFonts w:hint="eastAsia"/>
              </w:rPr>
              <w:t>农药名称：</w:t>
            </w:r>
            <w:r>
              <w:rPr>
                <w:rFonts w:hint="eastAsia"/>
              </w:rPr>
              <w:t>杀单·噻虫胺</w:t>
            </w:r>
          </w:p>
        </w:tc>
      </w:tr>
      <w:tr w14:paraId="5720EC5C">
        <w:tblPrEx>
          <w:tblCellMar>
            <w:top w:w="0" w:type="dxa"/>
            <w:left w:w="0" w:type="dxa"/>
            <w:bottom w:w="0" w:type="dxa"/>
            <w:right w:w="0" w:type="dxa"/>
          </w:tblCellMar>
        </w:tblPrEx>
        <w:trPr>
          <w:wBefore w:w="0" w:type="auto"/>
          <w:tblCellSpacing w:w="0" w:type="dxa"/>
        </w:trPr>
        <w:tc>
          <w:tcPr>
            <w:tcW w:w="0" w:type="auto"/>
            <w:noWrap w:val="0"/>
            <w:vAlign w:val="center"/>
          </w:tcPr>
          <w:p w14:paraId="691F7634">
            <w:r>
              <w:rPr>
                <w:rStyle w:val="10"/>
                <w:rFonts w:hint="eastAsia"/>
              </w:rPr>
              <w:t>剂型：</w:t>
            </w:r>
            <w:r>
              <w:rPr>
                <w:rFonts w:hint="eastAsia"/>
              </w:rPr>
              <w:t>颗粒剂</w:t>
            </w:r>
          </w:p>
        </w:tc>
      </w:tr>
      <w:tr w14:paraId="4E05B9E3">
        <w:tblPrEx>
          <w:tblCellMar>
            <w:top w:w="0" w:type="dxa"/>
            <w:left w:w="0" w:type="dxa"/>
            <w:bottom w:w="0" w:type="dxa"/>
            <w:right w:w="0" w:type="dxa"/>
          </w:tblCellMar>
        </w:tblPrEx>
        <w:trPr>
          <w:wBefore w:w="0" w:type="auto"/>
          <w:tblCellSpacing w:w="0" w:type="dxa"/>
        </w:trPr>
        <w:tc>
          <w:tcPr>
            <w:tcW w:w="0" w:type="auto"/>
            <w:noWrap w:val="0"/>
            <w:vAlign w:val="center"/>
          </w:tcPr>
          <w:p w14:paraId="24AE36DE">
            <w:r>
              <w:rPr>
                <w:rStyle w:val="10"/>
                <w:rFonts w:hint="eastAsia"/>
              </w:rPr>
              <w:t>毒性及其标识：</w:t>
            </w:r>
            <w:r>
              <w:rPr>
                <w:rFonts w:hint="eastAsia"/>
              </w:rPr>
              <w:t xml:space="preserve"> </w:t>
            </w:r>
            <w:r>
              <w:rPr>
                <w:lang/>
              </w:rPr>
              <w:drawing>
                <wp:inline distT="0" distB="0" distL="114300" distR="114300">
                  <wp:extent cx="476250" cy="323850"/>
                  <wp:effectExtent l="0" t="0" r="0" b="0"/>
                  <wp:docPr id="222" name="图片 2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337959">
        <w:tblPrEx>
          <w:tblCellMar>
            <w:top w:w="0" w:type="dxa"/>
            <w:left w:w="0" w:type="dxa"/>
            <w:bottom w:w="0" w:type="dxa"/>
            <w:right w:w="0" w:type="dxa"/>
          </w:tblCellMar>
        </w:tblPrEx>
        <w:trPr>
          <w:wBefore w:w="0" w:type="auto"/>
          <w:tblCellSpacing w:w="0" w:type="dxa"/>
        </w:trPr>
        <w:tc>
          <w:tcPr>
            <w:tcW w:w="0" w:type="auto"/>
            <w:noWrap w:val="0"/>
            <w:vAlign w:val="center"/>
          </w:tcPr>
          <w:p w14:paraId="0D0D29FF">
            <w:r>
              <w:rPr>
                <w:rStyle w:val="10"/>
                <w:rFonts w:hint="eastAsia"/>
              </w:rPr>
              <w:t>总有效成分含量：</w:t>
            </w:r>
            <w:r>
              <w:rPr>
                <w:rFonts w:hint="eastAsia"/>
              </w:rPr>
              <w:t>0.5%</w:t>
            </w:r>
          </w:p>
        </w:tc>
      </w:tr>
      <w:tr w14:paraId="27C59648">
        <w:tblPrEx>
          <w:tblCellMar>
            <w:top w:w="0" w:type="dxa"/>
            <w:left w:w="0" w:type="dxa"/>
            <w:bottom w:w="0" w:type="dxa"/>
            <w:right w:w="0" w:type="dxa"/>
          </w:tblCellMar>
        </w:tblPrEx>
        <w:trPr>
          <w:wBefore w:w="0" w:type="auto"/>
          <w:tblCellSpacing w:w="0" w:type="dxa"/>
        </w:trPr>
        <w:tc>
          <w:tcPr>
            <w:tcW w:w="0" w:type="auto"/>
            <w:noWrap w:val="0"/>
            <w:vAlign w:val="center"/>
          </w:tcPr>
          <w:p w14:paraId="05DDE083">
            <w:r>
              <w:rPr>
                <w:rFonts w:hint="eastAsia"/>
              </w:rPr>
              <w:t xml:space="preserve">有效成分及其含量： </w:t>
            </w:r>
          </w:p>
          <w:p w14:paraId="4E16A59E">
            <w:r>
              <w:rPr>
                <w:rFonts w:hint="eastAsia"/>
              </w:rPr>
              <w:t xml:space="preserve">    杀虫单0.45%    噻虫胺0.05%    </w:t>
            </w:r>
          </w:p>
        </w:tc>
      </w:tr>
      <w:tr w14:paraId="225D7C98">
        <w:tblPrEx>
          <w:tblCellMar>
            <w:top w:w="0" w:type="dxa"/>
            <w:left w:w="0" w:type="dxa"/>
            <w:bottom w:w="0" w:type="dxa"/>
            <w:right w:w="0" w:type="dxa"/>
          </w:tblCellMar>
        </w:tblPrEx>
        <w:trPr>
          <w:wBefore w:w="0" w:type="auto"/>
          <w:tblCellSpacing w:w="0" w:type="dxa"/>
        </w:trPr>
        <w:tc>
          <w:tcPr>
            <w:tcW w:w="0" w:type="auto"/>
            <w:noWrap w:val="0"/>
            <w:vAlign w:val="center"/>
          </w:tcPr>
          <w:p w14:paraId="5EE980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E675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6D67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4BD2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CF21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656EB8">
                  <w:r>
                    <w:rPr>
                      <w:rStyle w:val="11"/>
                      <w:rFonts w:hint="eastAsia"/>
                    </w:rPr>
                    <w:t>施用方式</w:t>
                  </w:r>
                </w:p>
              </w:tc>
            </w:tr>
            <w:tr w14:paraId="337137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A66E2C">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35A2DE">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94410A">
                  <w:r>
                    <w:rPr>
                      <w:rStyle w:val="11"/>
                      <w:rFonts w:hint="eastAsia"/>
                    </w:rPr>
                    <w:t>30-50千克/亩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79433B">
                  <w:r>
                    <w:rPr>
                      <w:rStyle w:val="11"/>
                      <w:rFonts w:hint="eastAsia"/>
                    </w:rPr>
                    <w:t>沟施</w:t>
                  </w:r>
                </w:p>
              </w:tc>
            </w:tr>
          </w:tbl>
          <w:p w14:paraId="09895D19">
            <w:pPr>
              <w:rPr>
                <w:rFonts w:ascii="Times New Roman" w:hAnsi="Times New Roman" w:cs="Times New Roman"/>
                <w:sz w:val="20"/>
                <w:szCs w:val="20"/>
              </w:rPr>
            </w:pPr>
          </w:p>
        </w:tc>
      </w:tr>
      <w:tr w14:paraId="61D113C8">
        <w:tblPrEx>
          <w:tblCellMar>
            <w:top w:w="0" w:type="dxa"/>
            <w:left w:w="0" w:type="dxa"/>
            <w:bottom w:w="0" w:type="dxa"/>
            <w:right w:w="0" w:type="dxa"/>
          </w:tblCellMar>
        </w:tblPrEx>
        <w:trPr>
          <w:wBefore w:w="0" w:type="auto"/>
          <w:tblCellSpacing w:w="0" w:type="dxa"/>
        </w:trPr>
        <w:tc>
          <w:tcPr>
            <w:tcW w:w="0" w:type="auto"/>
            <w:noWrap w:val="0"/>
            <w:vAlign w:val="center"/>
          </w:tcPr>
          <w:p w14:paraId="07F11EEA">
            <w:r>
              <w:rPr>
                <w:rStyle w:val="10"/>
                <w:rFonts w:hint="eastAsia"/>
              </w:rPr>
              <w:t>使用技术要求:</w:t>
            </w:r>
            <w:r>
              <w:rPr>
                <w:rFonts w:hint="eastAsia"/>
              </w:rPr>
              <w:br w:type="textWrapping"/>
            </w:r>
            <w:r>
              <w:rPr>
                <w:rStyle w:val="11"/>
                <w:rFonts w:hint="eastAsia"/>
              </w:rPr>
              <w:t>1.甘蔗新种时，将本品均匀撒施在甘蔗垄沟内，然后覆土，在宿根蔗培土时，将本品均匀撒施在甘蔗垄旁，然后覆土。 2. 在甘蔗上每季最多使用1次。 3. 施药后须保持一定的土壤湿度，以利于有效成分的释放和均匀分布。</w:t>
            </w:r>
          </w:p>
        </w:tc>
      </w:tr>
      <w:tr w14:paraId="18F164F6">
        <w:tblPrEx>
          <w:tblCellMar>
            <w:top w:w="0" w:type="dxa"/>
            <w:left w:w="0" w:type="dxa"/>
            <w:bottom w:w="0" w:type="dxa"/>
            <w:right w:w="0" w:type="dxa"/>
          </w:tblCellMar>
        </w:tblPrEx>
        <w:trPr>
          <w:wBefore w:w="0" w:type="auto"/>
          <w:tblCellSpacing w:w="0" w:type="dxa"/>
        </w:trPr>
        <w:tc>
          <w:tcPr>
            <w:tcW w:w="0" w:type="auto"/>
            <w:noWrap w:val="0"/>
            <w:vAlign w:val="center"/>
          </w:tcPr>
          <w:p w14:paraId="7049C807">
            <w:r>
              <w:rPr>
                <w:rStyle w:val="10"/>
                <w:rFonts w:hint="eastAsia"/>
              </w:rPr>
              <w:t>产品性能:</w:t>
            </w:r>
            <w:r>
              <w:rPr>
                <w:rFonts w:hint="eastAsia"/>
              </w:rPr>
              <w:br w:type="textWrapping"/>
            </w:r>
            <w:r>
              <w:rPr>
                <w:rStyle w:val="11"/>
                <w:rFonts w:hint="eastAsia"/>
              </w:rPr>
              <w:t>本品由杀虫单和噻虫胺加工而成，具有内吸、触杀和胃毒作用，施药后可迅速被作物吸收传导，对甘蔗蔗螟具有较好防治效果。</w:t>
            </w:r>
          </w:p>
        </w:tc>
      </w:tr>
      <w:tr w14:paraId="00286DE9">
        <w:tblPrEx>
          <w:tblCellMar>
            <w:top w:w="0" w:type="dxa"/>
            <w:left w:w="0" w:type="dxa"/>
            <w:bottom w:w="0" w:type="dxa"/>
            <w:right w:w="0" w:type="dxa"/>
          </w:tblCellMar>
        </w:tblPrEx>
        <w:trPr>
          <w:wBefore w:w="0" w:type="auto"/>
          <w:tblCellSpacing w:w="0" w:type="dxa"/>
        </w:trPr>
        <w:tc>
          <w:tcPr>
            <w:tcW w:w="0" w:type="auto"/>
            <w:noWrap w:val="0"/>
            <w:vAlign w:val="center"/>
          </w:tcPr>
          <w:p w14:paraId="656C90D2">
            <w:r>
              <w:rPr>
                <w:rStyle w:val="10"/>
                <w:rFonts w:hint="eastAsia"/>
              </w:rPr>
              <w:t>注意事项：</w:t>
            </w:r>
            <w:r>
              <w:rPr>
                <w:rFonts w:hint="eastAsia"/>
              </w:rPr>
              <w:br w:type="textWrapping"/>
            </w:r>
            <w:r>
              <w:rPr>
                <w:rStyle w:val="11"/>
                <w:rFonts w:hint="eastAsia"/>
              </w:rPr>
              <w:t>1. 使用本品时严格按照《农药安全操作规程》作业，做好安全防护，严禁吸烟、进食，施药完毕及时清洗手、脸及其它裸露部位。2. 不得污染各类水域，不得在水域附近使用，勿将药品或空包装弃于水中或在河塘中洗涤器械，避免影响鱼类和污染水源。3. 水产养殖区、河塘等水体附近禁用，禁止在河塘等水域清洗施药器具； （周围）开花植物花期禁用，使用时应密切关注对附近蜂群的影响； 鸟类保护区附近禁用；播种后立即覆土。4. 本品在土壤渗透性好或地下水位较浅地方慎用。5. 勿与碱性物质混合使用。6. 建议与不同作用机理的杀虫剂交替使用。7. 用过的容器应妥善处理，不可做他用，也不可随意丢弃。8. 禁止儿童、孕妇及哺乳期妇女接触本品。</w:t>
            </w:r>
          </w:p>
        </w:tc>
      </w:tr>
      <w:tr w14:paraId="340374AA">
        <w:tblPrEx>
          <w:tblCellMar>
            <w:top w:w="0" w:type="dxa"/>
            <w:left w:w="0" w:type="dxa"/>
            <w:bottom w:w="0" w:type="dxa"/>
            <w:right w:w="0" w:type="dxa"/>
          </w:tblCellMar>
        </w:tblPrEx>
        <w:trPr>
          <w:wBefore w:w="0" w:type="auto"/>
          <w:tblCellSpacing w:w="0" w:type="dxa"/>
        </w:trPr>
        <w:tc>
          <w:tcPr>
            <w:tcW w:w="0" w:type="auto"/>
            <w:noWrap w:val="0"/>
            <w:vAlign w:val="center"/>
          </w:tcPr>
          <w:p w14:paraId="4CB4E2AD">
            <w:r>
              <w:rPr>
                <w:rStyle w:val="10"/>
                <w:rFonts w:hint="eastAsia"/>
              </w:rPr>
              <w:t>中毒急救措施：</w:t>
            </w:r>
            <w:r>
              <w:rPr>
                <w:rFonts w:hint="eastAsia"/>
              </w:rPr>
              <w:br w:type="textWrapping"/>
            </w:r>
            <w:r>
              <w:rPr>
                <w:rStyle w:val="11"/>
                <w:rFonts w:hint="eastAsia"/>
              </w:rPr>
              <w:t>中毒症状：头痛、恶心、呕吐、胸闷等。中毒急救：皮肤接触：立即脱去被污染的衣物，用肥皂和大量清水冲洗皮肤暴露部位。眼睛溅入：立即翻开眼睑，用清水冲洗至少15分钟，再请医生诊治。吸入：立即将吸入者转移到空气清新处。请医生诊治。误服：请用清水充分漱口后，立即携带标签，送医就诊，误服后未经医生允许，切勿催吐。解毒剂：无特效解毒剂，对症治疗。</w:t>
            </w:r>
          </w:p>
        </w:tc>
      </w:tr>
      <w:tr w14:paraId="32140EDD">
        <w:tblPrEx>
          <w:tblCellMar>
            <w:top w:w="0" w:type="dxa"/>
            <w:left w:w="0" w:type="dxa"/>
            <w:bottom w:w="0" w:type="dxa"/>
            <w:right w:w="0" w:type="dxa"/>
          </w:tblCellMar>
        </w:tblPrEx>
        <w:trPr>
          <w:wBefore w:w="0" w:type="auto"/>
          <w:tblCellSpacing w:w="0" w:type="dxa"/>
        </w:trPr>
        <w:tc>
          <w:tcPr>
            <w:tcW w:w="0" w:type="auto"/>
            <w:noWrap w:val="0"/>
            <w:vAlign w:val="center"/>
          </w:tcPr>
          <w:p w14:paraId="50CA508B">
            <w:r>
              <w:rPr>
                <w:rStyle w:val="10"/>
                <w:rFonts w:hint="eastAsia"/>
              </w:rPr>
              <w:t>储存和运输方法：</w:t>
            </w:r>
            <w:r>
              <w:rPr>
                <w:rFonts w:hint="eastAsia"/>
              </w:rPr>
              <w:br w:type="textWrapping"/>
            </w:r>
            <w:r>
              <w:rPr>
                <w:rStyle w:val="11"/>
                <w:rFonts w:hint="eastAsia"/>
              </w:rPr>
              <w:t>1.本品应贮存在阴凉、干燥、通风、防雨处，远离火源或热源；2.置于儿童、无关人员及动物接触不到的地方，并加锁；3.不得与食物、饮料、种子、饲料等同贮同运，运输时要防潮防晒；4.装卸时，注意检查包装是否密封完整。</w:t>
            </w:r>
          </w:p>
        </w:tc>
      </w:tr>
      <w:tr w14:paraId="27601266">
        <w:tblPrEx>
          <w:tblCellMar>
            <w:top w:w="0" w:type="dxa"/>
            <w:left w:w="0" w:type="dxa"/>
            <w:bottom w:w="0" w:type="dxa"/>
            <w:right w:w="0" w:type="dxa"/>
          </w:tblCellMar>
        </w:tblPrEx>
        <w:trPr>
          <w:wBefore w:w="0" w:type="auto"/>
          <w:tblCellSpacing w:w="0" w:type="dxa"/>
        </w:trPr>
        <w:tc>
          <w:tcPr>
            <w:tcW w:w="0" w:type="auto"/>
            <w:noWrap w:val="0"/>
            <w:vAlign w:val="center"/>
          </w:tcPr>
          <w:p w14:paraId="731A3606">
            <w:r>
              <w:rPr>
                <w:rStyle w:val="10"/>
                <w:rFonts w:hint="eastAsia"/>
              </w:rPr>
              <w:t>质量保证期：</w:t>
            </w:r>
            <w:r>
              <w:rPr>
                <w:rStyle w:val="11"/>
                <w:rFonts w:hint="eastAsia"/>
              </w:rPr>
              <w:t>2年</w:t>
            </w:r>
          </w:p>
        </w:tc>
      </w:tr>
      <w:tr w14:paraId="39BAEC8E">
        <w:tblPrEx>
          <w:tblCellMar>
            <w:top w:w="0" w:type="dxa"/>
            <w:left w:w="0" w:type="dxa"/>
            <w:bottom w:w="0" w:type="dxa"/>
            <w:right w:w="0" w:type="dxa"/>
          </w:tblCellMar>
        </w:tblPrEx>
        <w:trPr>
          <w:wBefore w:w="0" w:type="auto"/>
          <w:tblCellSpacing w:w="0" w:type="dxa"/>
        </w:trPr>
        <w:tc>
          <w:tcPr>
            <w:tcW w:w="0" w:type="auto"/>
            <w:noWrap w:val="0"/>
            <w:vAlign w:val="center"/>
          </w:tcPr>
          <w:p w14:paraId="0BB1A7DF">
            <w:r>
              <w:rPr>
                <w:rStyle w:val="10"/>
                <w:rFonts w:hint="eastAsia"/>
              </w:rPr>
              <w:t>备注：</w:t>
            </w:r>
          </w:p>
        </w:tc>
      </w:tr>
    </w:tbl>
    <w:p w14:paraId="21778FC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D351D9">
        <w:tblPrEx>
          <w:tblCellMar>
            <w:top w:w="0" w:type="dxa"/>
            <w:left w:w="0" w:type="dxa"/>
            <w:bottom w:w="0" w:type="dxa"/>
            <w:right w:w="0" w:type="dxa"/>
          </w:tblCellMar>
        </w:tblPrEx>
        <w:trPr>
          <w:wBefore w:w="0" w:type="auto"/>
          <w:tblCellSpacing w:w="0" w:type="dxa"/>
        </w:trPr>
        <w:tc>
          <w:tcPr>
            <w:tcW w:w="0" w:type="auto"/>
            <w:noWrap w:val="0"/>
            <w:vAlign w:val="center"/>
          </w:tcPr>
          <w:p w14:paraId="73ACFB50">
            <w:r>
              <w:rPr>
                <w:rStyle w:val="10"/>
                <w:rFonts w:hint="eastAsia"/>
              </w:rPr>
              <w:t>登记证号：</w:t>
            </w:r>
            <w:r>
              <w:rPr>
                <w:rFonts w:hint="eastAsia"/>
              </w:rPr>
              <w:t>PD20212686</w:t>
            </w:r>
          </w:p>
        </w:tc>
      </w:tr>
      <w:tr w14:paraId="190CD54A">
        <w:tblPrEx>
          <w:tblCellMar>
            <w:top w:w="0" w:type="dxa"/>
            <w:left w:w="0" w:type="dxa"/>
            <w:bottom w:w="0" w:type="dxa"/>
            <w:right w:w="0" w:type="dxa"/>
          </w:tblCellMar>
        </w:tblPrEx>
        <w:trPr>
          <w:wBefore w:w="0" w:type="auto"/>
          <w:tblCellSpacing w:w="0" w:type="dxa"/>
        </w:trPr>
        <w:tc>
          <w:tcPr>
            <w:tcW w:w="0" w:type="auto"/>
            <w:noWrap w:val="0"/>
            <w:vAlign w:val="center"/>
          </w:tcPr>
          <w:p w14:paraId="5CCEC3D3">
            <w:r>
              <w:rPr>
                <w:rStyle w:val="10"/>
                <w:rFonts w:hint="eastAsia"/>
              </w:rPr>
              <w:t>登记证持有人：</w:t>
            </w:r>
            <w:r>
              <w:rPr>
                <w:rFonts w:hint="eastAsia"/>
              </w:rPr>
              <w:t>广东省佛山市盈辉作物科学有限公司</w:t>
            </w:r>
          </w:p>
        </w:tc>
      </w:tr>
      <w:tr w14:paraId="3BEFED9E">
        <w:tblPrEx>
          <w:tblCellMar>
            <w:top w:w="0" w:type="dxa"/>
            <w:left w:w="0" w:type="dxa"/>
            <w:bottom w:w="0" w:type="dxa"/>
            <w:right w:w="0" w:type="dxa"/>
          </w:tblCellMar>
        </w:tblPrEx>
        <w:trPr>
          <w:wBefore w:w="0" w:type="auto"/>
          <w:tblCellSpacing w:w="0" w:type="dxa"/>
        </w:trPr>
        <w:tc>
          <w:tcPr>
            <w:tcW w:w="0" w:type="auto"/>
            <w:noWrap w:val="0"/>
            <w:vAlign w:val="center"/>
          </w:tcPr>
          <w:p w14:paraId="5D8CA4E3">
            <w:r>
              <w:rPr>
                <w:rStyle w:val="10"/>
                <w:rFonts w:hint="eastAsia"/>
              </w:rPr>
              <w:t>农药名称：</w:t>
            </w:r>
            <w:r>
              <w:rPr>
                <w:rFonts w:hint="eastAsia"/>
              </w:rPr>
              <w:t>氨基寡糖素</w:t>
            </w:r>
          </w:p>
        </w:tc>
      </w:tr>
      <w:tr w14:paraId="7EAA4544">
        <w:tblPrEx>
          <w:tblCellMar>
            <w:top w:w="0" w:type="dxa"/>
            <w:left w:w="0" w:type="dxa"/>
            <w:bottom w:w="0" w:type="dxa"/>
            <w:right w:w="0" w:type="dxa"/>
          </w:tblCellMar>
        </w:tblPrEx>
        <w:trPr>
          <w:wBefore w:w="0" w:type="auto"/>
          <w:tblCellSpacing w:w="0" w:type="dxa"/>
        </w:trPr>
        <w:tc>
          <w:tcPr>
            <w:tcW w:w="0" w:type="auto"/>
            <w:noWrap w:val="0"/>
            <w:vAlign w:val="center"/>
          </w:tcPr>
          <w:p w14:paraId="38D8BB85">
            <w:r>
              <w:rPr>
                <w:rStyle w:val="10"/>
                <w:rFonts w:hint="eastAsia"/>
              </w:rPr>
              <w:t>剂型：</w:t>
            </w:r>
            <w:r>
              <w:rPr>
                <w:rFonts w:hint="eastAsia"/>
              </w:rPr>
              <w:t>可溶液剂</w:t>
            </w:r>
          </w:p>
        </w:tc>
      </w:tr>
      <w:tr w14:paraId="271178FC">
        <w:tblPrEx>
          <w:tblCellMar>
            <w:top w:w="0" w:type="dxa"/>
            <w:left w:w="0" w:type="dxa"/>
            <w:bottom w:w="0" w:type="dxa"/>
            <w:right w:w="0" w:type="dxa"/>
          </w:tblCellMar>
        </w:tblPrEx>
        <w:trPr>
          <w:wBefore w:w="0" w:type="auto"/>
          <w:tblCellSpacing w:w="0" w:type="dxa"/>
        </w:trPr>
        <w:tc>
          <w:tcPr>
            <w:tcW w:w="0" w:type="auto"/>
            <w:noWrap w:val="0"/>
            <w:vAlign w:val="center"/>
          </w:tcPr>
          <w:p w14:paraId="113ECA4A">
            <w:r>
              <w:rPr>
                <w:rStyle w:val="10"/>
                <w:rFonts w:hint="eastAsia"/>
              </w:rPr>
              <w:t>毒性及其标识：</w:t>
            </w:r>
            <w:r>
              <w:rPr>
                <w:rFonts w:hint="eastAsia"/>
              </w:rPr>
              <w:t xml:space="preserve"> </w:t>
            </w:r>
            <w:r>
              <w:rPr>
                <w:lang/>
              </w:rPr>
              <w:drawing>
                <wp:inline distT="0" distB="0" distL="114300" distR="114300">
                  <wp:extent cx="476250" cy="323850"/>
                  <wp:effectExtent l="0" t="0" r="0" b="0"/>
                  <wp:docPr id="223" name="图片 2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F8A55E">
        <w:tblPrEx>
          <w:tblCellMar>
            <w:top w:w="0" w:type="dxa"/>
            <w:left w:w="0" w:type="dxa"/>
            <w:bottom w:w="0" w:type="dxa"/>
            <w:right w:w="0" w:type="dxa"/>
          </w:tblCellMar>
        </w:tblPrEx>
        <w:trPr>
          <w:wBefore w:w="0" w:type="auto"/>
          <w:tblCellSpacing w:w="0" w:type="dxa"/>
        </w:trPr>
        <w:tc>
          <w:tcPr>
            <w:tcW w:w="0" w:type="auto"/>
            <w:noWrap w:val="0"/>
            <w:vAlign w:val="center"/>
          </w:tcPr>
          <w:p w14:paraId="6304EA8D">
            <w:r>
              <w:rPr>
                <w:rStyle w:val="10"/>
                <w:rFonts w:hint="eastAsia"/>
              </w:rPr>
              <w:t>总有效成分含量：</w:t>
            </w:r>
            <w:r>
              <w:rPr>
                <w:rFonts w:hint="eastAsia"/>
              </w:rPr>
              <w:t>5%</w:t>
            </w:r>
          </w:p>
        </w:tc>
      </w:tr>
      <w:tr w14:paraId="56CDE44C">
        <w:tblPrEx>
          <w:tblCellMar>
            <w:top w:w="0" w:type="dxa"/>
            <w:left w:w="0" w:type="dxa"/>
            <w:bottom w:w="0" w:type="dxa"/>
            <w:right w:w="0" w:type="dxa"/>
          </w:tblCellMar>
        </w:tblPrEx>
        <w:trPr>
          <w:wBefore w:w="0" w:type="auto"/>
          <w:tblCellSpacing w:w="0" w:type="dxa"/>
        </w:trPr>
        <w:tc>
          <w:tcPr>
            <w:tcW w:w="0" w:type="auto"/>
            <w:noWrap w:val="0"/>
            <w:vAlign w:val="center"/>
          </w:tcPr>
          <w:p w14:paraId="5F44D0D7">
            <w:r>
              <w:rPr>
                <w:rFonts w:hint="eastAsia"/>
              </w:rPr>
              <w:t xml:space="preserve">有效成分及其含量： </w:t>
            </w:r>
          </w:p>
          <w:p w14:paraId="0D4EDD99">
            <w:r>
              <w:rPr>
                <w:rFonts w:hint="eastAsia"/>
              </w:rPr>
              <w:t xml:space="preserve">    氨基寡糖素5%    </w:t>
            </w:r>
          </w:p>
        </w:tc>
      </w:tr>
      <w:tr w14:paraId="3A7318A3">
        <w:tblPrEx>
          <w:tblCellMar>
            <w:top w:w="0" w:type="dxa"/>
            <w:left w:w="0" w:type="dxa"/>
            <w:bottom w:w="0" w:type="dxa"/>
            <w:right w:w="0" w:type="dxa"/>
          </w:tblCellMar>
        </w:tblPrEx>
        <w:trPr>
          <w:wBefore w:w="0" w:type="auto"/>
          <w:tblCellSpacing w:w="0" w:type="dxa"/>
        </w:trPr>
        <w:tc>
          <w:tcPr>
            <w:tcW w:w="0" w:type="auto"/>
            <w:noWrap w:val="0"/>
            <w:vAlign w:val="center"/>
          </w:tcPr>
          <w:p w14:paraId="525019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0DCB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D7A4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85248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292F8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4DE943">
                  <w:r>
                    <w:rPr>
                      <w:rStyle w:val="11"/>
                      <w:rFonts w:hint="eastAsia"/>
                    </w:rPr>
                    <w:t>施用方式</w:t>
                  </w:r>
                </w:p>
              </w:tc>
            </w:tr>
            <w:tr w14:paraId="1D9A5B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525EF2">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C83E9F">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15709E">
                  <w:r>
                    <w:rPr>
                      <w:rStyle w:val="11"/>
                      <w:rFonts w:hint="eastAsia"/>
                    </w:rPr>
                    <w:t>87.5-100毫升/亩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009C0A">
                  <w:r>
                    <w:rPr>
                      <w:rStyle w:val="11"/>
                      <w:rFonts w:hint="eastAsia"/>
                    </w:rPr>
                    <w:t>喷雾</w:t>
                  </w:r>
                </w:p>
              </w:tc>
            </w:tr>
          </w:tbl>
          <w:p w14:paraId="2E73C133">
            <w:pPr>
              <w:rPr>
                <w:rFonts w:ascii="Times New Roman" w:hAnsi="Times New Roman" w:cs="Times New Roman"/>
                <w:sz w:val="20"/>
                <w:szCs w:val="20"/>
              </w:rPr>
            </w:pPr>
          </w:p>
        </w:tc>
      </w:tr>
      <w:tr w14:paraId="547D6E3F">
        <w:tblPrEx>
          <w:tblCellMar>
            <w:top w:w="0" w:type="dxa"/>
            <w:left w:w="0" w:type="dxa"/>
            <w:bottom w:w="0" w:type="dxa"/>
            <w:right w:w="0" w:type="dxa"/>
          </w:tblCellMar>
        </w:tblPrEx>
        <w:trPr>
          <w:wBefore w:w="0" w:type="auto"/>
          <w:tblCellSpacing w:w="0" w:type="dxa"/>
        </w:trPr>
        <w:tc>
          <w:tcPr>
            <w:tcW w:w="0" w:type="auto"/>
            <w:noWrap w:val="0"/>
            <w:vAlign w:val="center"/>
          </w:tcPr>
          <w:p w14:paraId="24E0E066">
            <w:r>
              <w:rPr>
                <w:rStyle w:val="10"/>
                <w:rFonts w:hint="eastAsia"/>
              </w:rPr>
              <w:t>使用技术要求:</w:t>
            </w:r>
            <w:r>
              <w:rPr>
                <w:rFonts w:hint="eastAsia"/>
              </w:rPr>
              <w:br w:type="textWrapping"/>
            </w:r>
            <w:r>
              <w:rPr>
                <w:rStyle w:val="11"/>
                <w:rFonts w:hint="eastAsia"/>
              </w:rPr>
              <w:t>1.在烟草移栽后，烟草病毒病发病前施药，药2-3次，间隔7-10天。注意喷雾均匀。2. 大风或预计1小时内有雨，请勿施药。</w:t>
            </w:r>
          </w:p>
        </w:tc>
      </w:tr>
      <w:tr w14:paraId="2EDD9C31">
        <w:tblPrEx>
          <w:tblCellMar>
            <w:top w:w="0" w:type="dxa"/>
            <w:left w:w="0" w:type="dxa"/>
            <w:bottom w:w="0" w:type="dxa"/>
            <w:right w:w="0" w:type="dxa"/>
          </w:tblCellMar>
        </w:tblPrEx>
        <w:trPr>
          <w:wBefore w:w="0" w:type="auto"/>
          <w:tblCellSpacing w:w="0" w:type="dxa"/>
        </w:trPr>
        <w:tc>
          <w:tcPr>
            <w:tcW w:w="0" w:type="auto"/>
            <w:noWrap w:val="0"/>
            <w:vAlign w:val="center"/>
          </w:tcPr>
          <w:p w14:paraId="4EB0D243">
            <w:r>
              <w:rPr>
                <w:rStyle w:val="10"/>
                <w:rFonts w:hint="eastAsia"/>
              </w:rPr>
              <w:t>产品性能:</w:t>
            </w:r>
            <w:r>
              <w:rPr>
                <w:rFonts w:hint="eastAsia"/>
              </w:rPr>
              <w:br w:type="textWrapping"/>
            </w:r>
            <w:r>
              <w:rPr>
                <w:rStyle w:val="11"/>
                <w:rFonts w:hint="eastAsia"/>
              </w:rPr>
              <w:t>氨基寡糖素属植物诱导抗病剂，能抵御病原菌侵蚀的过程中，能诱导激发植物产生一系列的防御反应，直接抑制病原物生长或释放一些寡聚糖素，在细胞表面并参与对病原物的限制。</w:t>
            </w:r>
          </w:p>
        </w:tc>
      </w:tr>
      <w:tr w14:paraId="7F1BCB55">
        <w:tblPrEx>
          <w:tblCellMar>
            <w:top w:w="0" w:type="dxa"/>
            <w:left w:w="0" w:type="dxa"/>
            <w:bottom w:w="0" w:type="dxa"/>
            <w:right w:w="0" w:type="dxa"/>
          </w:tblCellMar>
        </w:tblPrEx>
        <w:trPr>
          <w:wBefore w:w="0" w:type="auto"/>
          <w:tblCellSpacing w:w="0" w:type="dxa"/>
        </w:trPr>
        <w:tc>
          <w:tcPr>
            <w:tcW w:w="0" w:type="auto"/>
            <w:noWrap w:val="0"/>
            <w:vAlign w:val="center"/>
          </w:tcPr>
          <w:p w14:paraId="7184BB2D">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域施药，禁止河塘等水体清洗施药器械。3.避免与氧化剂接触。4.废弃物应妥善处理，不可做他用，也不可随意丢弃。5.孕妇及哺乳期妇女应避免接触本品。</w:t>
            </w:r>
          </w:p>
        </w:tc>
      </w:tr>
      <w:tr w14:paraId="6F586B57">
        <w:tblPrEx>
          <w:tblCellMar>
            <w:top w:w="0" w:type="dxa"/>
            <w:left w:w="0" w:type="dxa"/>
            <w:bottom w:w="0" w:type="dxa"/>
            <w:right w:w="0" w:type="dxa"/>
          </w:tblCellMar>
        </w:tblPrEx>
        <w:trPr>
          <w:wBefore w:w="0" w:type="auto"/>
          <w:tblCellSpacing w:w="0" w:type="dxa"/>
        </w:trPr>
        <w:tc>
          <w:tcPr>
            <w:tcW w:w="0" w:type="auto"/>
            <w:noWrap w:val="0"/>
            <w:vAlign w:val="center"/>
          </w:tcPr>
          <w:p w14:paraId="36517166">
            <w:r>
              <w:rPr>
                <w:rStyle w:val="10"/>
                <w:rFonts w:hint="eastAsia"/>
              </w:rPr>
              <w:t>中毒急救措施：</w:t>
            </w:r>
            <w:r>
              <w:rPr>
                <w:rFonts w:hint="eastAsia"/>
              </w:rPr>
              <w:br w:type="textWrapping"/>
            </w:r>
            <w:r>
              <w:rPr>
                <w:rStyle w:val="11"/>
                <w:rFonts w:hint="eastAsia"/>
              </w:rPr>
              <w:t>本品对眼睛有刺激性。皮肤接触：立即脱掉被污染的衣物，用大量清水彻底冲洗受污染皮肤，如皮肤刺激感持续，请医生诊治。 眼睛溅药：立即将眼睑翻开，用清水冲洗至少15分钟，再请医生诊治。 发生吸入：立即将吸入者转移到空气清新处，注意保暖和休息。请医生诊治。 误服：请勿引吐，及时去医院检查治疗。</w:t>
            </w:r>
          </w:p>
        </w:tc>
      </w:tr>
      <w:tr w14:paraId="751EB088">
        <w:tblPrEx>
          <w:tblCellMar>
            <w:top w:w="0" w:type="dxa"/>
            <w:left w:w="0" w:type="dxa"/>
            <w:bottom w:w="0" w:type="dxa"/>
            <w:right w:w="0" w:type="dxa"/>
          </w:tblCellMar>
        </w:tblPrEx>
        <w:trPr>
          <w:wBefore w:w="0" w:type="auto"/>
          <w:tblCellSpacing w:w="0" w:type="dxa"/>
        </w:trPr>
        <w:tc>
          <w:tcPr>
            <w:tcW w:w="0" w:type="auto"/>
            <w:noWrap w:val="0"/>
            <w:vAlign w:val="center"/>
          </w:tcPr>
          <w:p w14:paraId="05DEE598">
            <w:r>
              <w:rPr>
                <w:rStyle w:val="10"/>
                <w:rFonts w:hint="eastAsia"/>
              </w:rPr>
              <w:t>储存和运输方法：</w:t>
            </w:r>
            <w:r>
              <w:rPr>
                <w:rFonts w:hint="eastAsia"/>
              </w:rPr>
              <w:br w:type="textWrapping"/>
            </w:r>
            <w:r>
              <w:rPr>
                <w:rStyle w:val="11"/>
                <w:rFonts w:hint="eastAsia"/>
              </w:rPr>
              <w:t>贮运时应严防潮湿和日晒，保持良好通风，远离人员互殴火源。置于儿童、无关人员及动物接触不到的地方，并加锁保存；避免与食物、种子、粮食、饮料、饲料等混放混运。</w:t>
            </w:r>
          </w:p>
        </w:tc>
      </w:tr>
      <w:tr w14:paraId="3D7E3BD2">
        <w:tblPrEx>
          <w:tblCellMar>
            <w:top w:w="0" w:type="dxa"/>
            <w:left w:w="0" w:type="dxa"/>
            <w:bottom w:w="0" w:type="dxa"/>
            <w:right w:w="0" w:type="dxa"/>
          </w:tblCellMar>
        </w:tblPrEx>
        <w:trPr>
          <w:wBefore w:w="0" w:type="auto"/>
          <w:tblCellSpacing w:w="0" w:type="dxa"/>
        </w:trPr>
        <w:tc>
          <w:tcPr>
            <w:tcW w:w="0" w:type="auto"/>
            <w:noWrap w:val="0"/>
            <w:vAlign w:val="center"/>
          </w:tcPr>
          <w:p w14:paraId="5AA3AA1A">
            <w:r>
              <w:rPr>
                <w:rStyle w:val="10"/>
                <w:rFonts w:hint="eastAsia"/>
              </w:rPr>
              <w:t>质量保证期：</w:t>
            </w:r>
            <w:r>
              <w:rPr>
                <w:rStyle w:val="11"/>
                <w:rFonts w:hint="eastAsia"/>
              </w:rPr>
              <w:t>2年</w:t>
            </w:r>
          </w:p>
        </w:tc>
      </w:tr>
      <w:tr w14:paraId="025D6271">
        <w:tblPrEx>
          <w:tblCellMar>
            <w:top w:w="0" w:type="dxa"/>
            <w:left w:w="0" w:type="dxa"/>
            <w:bottom w:w="0" w:type="dxa"/>
            <w:right w:w="0" w:type="dxa"/>
          </w:tblCellMar>
        </w:tblPrEx>
        <w:trPr>
          <w:wBefore w:w="0" w:type="auto"/>
          <w:tblCellSpacing w:w="0" w:type="dxa"/>
        </w:trPr>
        <w:tc>
          <w:tcPr>
            <w:tcW w:w="0" w:type="auto"/>
            <w:noWrap w:val="0"/>
            <w:vAlign w:val="center"/>
          </w:tcPr>
          <w:p w14:paraId="66233684">
            <w:r>
              <w:rPr>
                <w:rStyle w:val="10"/>
                <w:rFonts w:hint="eastAsia"/>
              </w:rPr>
              <w:t>备注：</w:t>
            </w:r>
          </w:p>
        </w:tc>
      </w:tr>
    </w:tbl>
    <w:p w14:paraId="5E131C0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94548F">
        <w:tblPrEx>
          <w:tblCellMar>
            <w:top w:w="0" w:type="dxa"/>
            <w:left w:w="0" w:type="dxa"/>
            <w:bottom w:w="0" w:type="dxa"/>
            <w:right w:w="0" w:type="dxa"/>
          </w:tblCellMar>
        </w:tblPrEx>
        <w:trPr>
          <w:wBefore w:w="0" w:type="auto"/>
          <w:tblCellSpacing w:w="0" w:type="dxa"/>
        </w:trPr>
        <w:tc>
          <w:tcPr>
            <w:tcW w:w="0" w:type="auto"/>
            <w:noWrap w:val="0"/>
            <w:vAlign w:val="center"/>
          </w:tcPr>
          <w:p w14:paraId="28CCDB19">
            <w:r>
              <w:rPr>
                <w:rStyle w:val="10"/>
                <w:rFonts w:hint="eastAsia"/>
              </w:rPr>
              <w:t>登记证号：</w:t>
            </w:r>
            <w:r>
              <w:rPr>
                <w:rFonts w:hint="eastAsia"/>
              </w:rPr>
              <w:t>PD20212511</w:t>
            </w:r>
          </w:p>
        </w:tc>
      </w:tr>
      <w:tr w14:paraId="0E8C4E31">
        <w:tblPrEx>
          <w:tblCellMar>
            <w:top w:w="0" w:type="dxa"/>
            <w:left w:w="0" w:type="dxa"/>
            <w:bottom w:w="0" w:type="dxa"/>
            <w:right w:w="0" w:type="dxa"/>
          </w:tblCellMar>
        </w:tblPrEx>
        <w:trPr>
          <w:wBefore w:w="0" w:type="auto"/>
          <w:tblCellSpacing w:w="0" w:type="dxa"/>
        </w:trPr>
        <w:tc>
          <w:tcPr>
            <w:tcW w:w="0" w:type="auto"/>
            <w:noWrap w:val="0"/>
            <w:vAlign w:val="center"/>
          </w:tcPr>
          <w:p w14:paraId="6F1DCCCF">
            <w:r>
              <w:rPr>
                <w:rStyle w:val="10"/>
                <w:rFonts w:hint="eastAsia"/>
              </w:rPr>
              <w:t>登记证持有人：</w:t>
            </w:r>
            <w:r>
              <w:rPr>
                <w:rFonts w:hint="eastAsia"/>
              </w:rPr>
              <w:t>江西田友生化有限公司</w:t>
            </w:r>
          </w:p>
        </w:tc>
      </w:tr>
      <w:tr w14:paraId="1C82C73F">
        <w:tblPrEx>
          <w:tblCellMar>
            <w:top w:w="0" w:type="dxa"/>
            <w:left w:w="0" w:type="dxa"/>
            <w:bottom w:w="0" w:type="dxa"/>
            <w:right w:w="0" w:type="dxa"/>
          </w:tblCellMar>
        </w:tblPrEx>
        <w:trPr>
          <w:wBefore w:w="0" w:type="auto"/>
          <w:tblCellSpacing w:w="0" w:type="dxa"/>
        </w:trPr>
        <w:tc>
          <w:tcPr>
            <w:tcW w:w="0" w:type="auto"/>
            <w:noWrap w:val="0"/>
            <w:vAlign w:val="center"/>
          </w:tcPr>
          <w:p w14:paraId="3A918A90">
            <w:r>
              <w:rPr>
                <w:rStyle w:val="10"/>
                <w:rFonts w:hint="eastAsia"/>
              </w:rPr>
              <w:t>农药名称：</w:t>
            </w:r>
            <w:r>
              <w:rPr>
                <w:rFonts w:hint="eastAsia"/>
              </w:rPr>
              <w:t>噁唑·氰氟</w:t>
            </w:r>
          </w:p>
        </w:tc>
      </w:tr>
      <w:tr w14:paraId="408E27D8">
        <w:tblPrEx>
          <w:tblCellMar>
            <w:top w:w="0" w:type="dxa"/>
            <w:left w:w="0" w:type="dxa"/>
            <w:bottom w:w="0" w:type="dxa"/>
            <w:right w:w="0" w:type="dxa"/>
          </w:tblCellMar>
        </w:tblPrEx>
        <w:trPr>
          <w:wBefore w:w="0" w:type="auto"/>
          <w:tblCellSpacing w:w="0" w:type="dxa"/>
        </w:trPr>
        <w:tc>
          <w:tcPr>
            <w:tcW w:w="0" w:type="auto"/>
            <w:noWrap w:val="0"/>
            <w:vAlign w:val="center"/>
          </w:tcPr>
          <w:p w14:paraId="776982B2">
            <w:r>
              <w:rPr>
                <w:rStyle w:val="10"/>
                <w:rFonts w:hint="eastAsia"/>
              </w:rPr>
              <w:t>剂型：</w:t>
            </w:r>
            <w:r>
              <w:rPr>
                <w:rFonts w:hint="eastAsia"/>
              </w:rPr>
              <w:t>乳油</w:t>
            </w:r>
          </w:p>
        </w:tc>
      </w:tr>
      <w:tr w14:paraId="2ECED448">
        <w:tblPrEx>
          <w:tblCellMar>
            <w:top w:w="0" w:type="dxa"/>
            <w:left w:w="0" w:type="dxa"/>
            <w:bottom w:w="0" w:type="dxa"/>
            <w:right w:w="0" w:type="dxa"/>
          </w:tblCellMar>
        </w:tblPrEx>
        <w:trPr>
          <w:wBefore w:w="0" w:type="auto"/>
          <w:tblCellSpacing w:w="0" w:type="dxa"/>
        </w:trPr>
        <w:tc>
          <w:tcPr>
            <w:tcW w:w="0" w:type="auto"/>
            <w:noWrap w:val="0"/>
            <w:vAlign w:val="center"/>
          </w:tcPr>
          <w:p w14:paraId="7F78C3F2">
            <w:r>
              <w:rPr>
                <w:rStyle w:val="10"/>
                <w:rFonts w:hint="eastAsia"/>
              </w:rPr>
              <w:t>毒性及其标识：</w:t>
            </w:r>
            <w:r>
              <w:rPr>
                <w:rFonts w:hint="eastAsia"/>
              </w:rPr>
              <w:t xml:space="preserve"> </w:t>
            </w:r>
            <w:r>
              <w:rPr>
                <w:lang/>
              </w:rPr>
              <w:drawing>
                <wp:inline distT="0" distB="0" distL="114300" distR="114300">
                  <wp:extent cx="476250" cy="323850"/>
                  <wp:effectExtent l="0" t="0" r="0" b="0"/>
                  <wp:docPr id="224" name="图片 2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F27179">
        <w:tblPrEx>
          <w:tblCellMar>
            <w:top w:w="0" w:type="dxa"/>
            <w:left w:w="0" w:type="dxa"/>
            <w:bottom w:w="0" w:type="dxa"/>
            <w:right w:w="0" w:type="dxa"/>
          </w:tblCellMar>
        </w:tblPrEx>
        <w:trPr>
          <w:wBefore w:w="0" w:type="auto"/>
          <w:tblCellSpacing w:w="0" w:type="dxa"/>
        </w:trPr>
        <w:tc>
          <w:tcPr>
            <w:tcW w:w="0" w:type="auto"/>
            <w:noWrap w:val="0"/>
            <w:vAlign w:val="center"/>
          </w:tcPr>
          <w:p w14:paraId="5C2C77E5">
            <w:r>
              <w:rPr>
                <w:rStyle w:val="10"/>
                <w:rFonts w:hint="eastAsia"/>
              </w:rPr>
              <w:t>总有效成分含量：</w:t>
            </w:r>
            <w:r>
              <w:rPr>
                <w:rFonts w:hint="eastAsia"/>
              </w:rPr>
              <w:t>25%</w:t>
            </w:r>
          </w:p>
        </w:tc>
      </w:tr>
      <w:tr w14:paraId="030B1B0F">
        <w:tblPrEx>
          <w:tblCellMar>
            <w:top w:w="0" w:type="dxa"/>
            <w:left w:w="0" w:type="dxa"/>
            <w:bottom w:w="0" w:type="dxa"/>
            <w:right w:w="0" w:type="dxa"/>
          </w:tblCellMar>
        </w:tblPrEx>
        <w:trPr>
          <w:wBefore w:w="0" w:type="auto"/>
          <w:tblCellSpacing w:w="0" w:type="dxa"/>
        </w:trPr>
        <w:tc>
          <w:tcPr>
            <w:tcW w:w="0" w:type="auto"/>
            <w:noWrap w:val="0"/>
            <w:vAlign w:val="center"/>
          </w:tcPr>
          <w:p w14:paraId="55E66692">
            <w:r>
              <w:rPr>
                <w:rFonts w:hint="eastAsia"/>
              </w:rPr>
              <w:t xml:space="preserve">有效成分及其含量： </w:t>
            </w:r>
          </w:p>
          <w:p w14:paraId="796BEDC0">
            <w:r>
              <w:rPr>
                <w:rFonts w:hint="eastAsia"/>
              </w:rPr>
              <w:t xml:space="preserve">    噁唑酰草胺10%    氰氟草酯15%    </w:t>
            </w:r>
          </w:p>
        </w:tc>
      </w:tr>
      <w:tr w14:paraId="41E91A5E">
        <w:tblPrEx>
          <w:tblCellMar>
            <w:top w:w="0" w:type="dxa"/>
            <w:left w:w="0" w:type="dxa"/>
            <w:bottom w:w="0" w:type="dxa"/>
            <w:right w:w="0" w:type="dxa"/>
          </w:tblCellMar>
        </w:tblPrEx>
        <w:trPr>
          <w:wBefore w:w="0" w:type="auto"/>
          <w:tblCellSpacing w:w="0" w:type="dxa"/>
        </w:trPr>
        <w:tc>
          <w:tcPr>
            <w:tcW w:w="0" w:type="auto"/>
            <w:noWrap w:val="0"/>
            <w:vAlign w:val="center"/>
          </w:tcPr>
          <w:p w14:paraId="1B600A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ED7E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A3EB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4C16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20CF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223B9A">
                  <w:r>
                    <w:rPr>
                      <w:rStyle w:val="11"/>
                      <w:rFonts w:hint="eastAsia"/>
                    </w:rPr>
                    <w:t>施用方式</w:t>
                  </w:r>
                </w:p>
              </w:tc>
            </w:tr>
            <w:tr w14:paraId="2CDC8C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487CED">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032DD7">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90DBF8">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44D10">
                  <w:r>
                    <w:rPr>
                      <w:rStyle w:val="11"/>
                      <w:rFonts w:hint="eastAsia"/>
                    </w:rPr>
                    <w:t>茎叶喷雾</w:t>
                  </w:r>
                </w:p>
              </w:tc>
            </w:tr>
          </w:tbl>
          <w:p w14:paraId="5809A1B5">
            <w:pPr>
              <w:rPr>
                <w:rFonts w:ascii="Times New Roman" w:hAnsi="Times New Roman" w:cs="Times New Roman"/>
                <w:sz w:val="20"/>
                <w:szCs w:val="20"/>
              </w:rPr>
            </w:pPr>
          </w:p>
        </w:tc>
      </w:tr>
      <w:tr w14:paraId="7F97A11C">
        <w:tblPrEx>
          <w:tblCellMar>
            <w:top w:w="0" w:type="dxa"/>
            <w:left w:w="0" w:type="dxa"/>
            <w:bottom w:w="0" w:type="dxa"/>
            <w:right w:w="0" w:type="dxa"/>
          </w:tblCellMar>
        </w:tblPrEx>
        <w:trPr>
          <w:wBefore w:w="0" w:type="auto"/>
          <w:tblCellSpacing w:w="0" w:type="dxa"/>
        </w:trPr>
        <w:tc>
          <w:tcPr>
            <w:tcW w:w="0" w:type="auto"/>
            <w:noWrap w:val="0"/>
            <w:vAlign w:val="center"/>
          </w:tcPr>
          <w:p w14:paraId="6F11051C">
            <w:r>
              <w:rPr>
                <w:rStyle w:val="10"/>
                <w:rFonts w:hint="eastAsia"/>
              </w:rPr>
              <w:t>使用技术要求:</w:t>
            </w:r>
            <w:r>
              <w:rPr>
                <w:rFonts w:hint="eastAsia"/>
              </w:rPr>
              <w:br w:type="textWrapping"/>
            </w:r>
            <w:r>
              <w:rPr>
                <w:rStyle w:val="11"/>
                <w:rFonts w:hint="eastAsia"/>
              </w:rPr>
              <w:t>1. 在直播稻田一年生禾本科杂草2-4叶期茎叶喷雾施药一次，施药前排干田间水,药后1-2天灌水，保水7天,注意水层勿淹没水稻心叶避免药害。 2. 每季作物最多使用1次。</w:t>
            </w:r>
          </w:p>
        </w:tc>
      </w:tr>
      <w:tr w14:paraId="73275CBE">
        <w:tblPrEx>
          <w:tblCellMar>
            <w:top w:w="0" w:type="dxa"/>
            <w:left w:w="0" w:type="dxa"/>
            <w:bottom w:w="0" w:type="dxa"/>
            <w:right w:w="0" w:type="dxa"/>
          </w:tblCellMar>
        </w:tblPrEx>
        <w:trPr>
          <w:wBefore w:w="0" w:type="auto"/>
          <w:tblCellSpacing w:w="0" w:type="dxa"/>
        </w:trPr>
        <w:tc>
          <w:tcPr>
            <w:tcW w:w="0" w:type="auto"/>
            <w:noWrap w:val="0"/>
            <w:vAlign w:val="center"/>
          </w:tcPr>
          <w:p w14:paraId="58BF35D0">
            <w:r>
              <w:rPr>
                <w:rStyle w:val="10"/>
                <w:rFonts w:hint="eastAsia"/>
              </w:rPr>
              <w:t>产品性能:</w:t>
            </w:r>
            <w:r>
              <w:rPr>
                <w:rFonts w:hint="eastAsia"/>
              </w:rPr>
              <w:br w:type="textWrapping"/>
            </w:r>
            <w:r>
              <w:rPr>
                <w:rStyle w:val="11"/>
                <w:rFonts w:hint="eastAsia"/>
              </w:rPr>
              <w:t>本品是二元复配的除草剂，噁唑酰草胺和氰氟草酯均是芳氧苯氧丙酸类内吸传导型除草剂，属乙酰辅酶A羧化酶（ACCase）抑制剂，能抑制植物脂肪酸的合成。经茎叶吸收，通过维管束传导至生长点，达到除草效果。推荐剂量下使用，对水稻安全，二者混用能够有效防除水稻田(直播)一年生禾本科杂草。</w:t>
            </w:r>
          </w:p>
        </w:tc>
      </w:tr>
      <w:tr w14:paraId="645FF47E">
        <w:tblPrEx>
          <w:tblCellMar>
            <w:top w:w="0" w:type="dxa"/>
            <w:left w:w="0" w:type="dxa"/>
            <w:bottom w:w="0" w:type="dxa"/>
            <w:right w:w="0" w:type="dxa"/>
          </w:tblCellMar>
        </w:tblPrEx>
        <w:trPr>
          <w:wBefore w:w="0" w:type="auto"/>
          <w:tblCellSpacing w:w="0" w:type="dxa"/>
        </w:trPr>
        <w:tc>
          <w:tcPr>
            <w:tcW w:w="0" w:type="auto"/>
            <w:noWrap w:val="0"/>
            <w:vAlign w:val="center"/>
          </w:tcPr>
          <w:p w14:paraId="24EF7551">
            <w:r>
              <w:rPr>
                <w:rStyle w:val="10"/>
                <w:rFonts w:hint="eastAsia"/>
              </w:rPr>
              <w:t>注意事项：</w:t>
            </w:r>
            <w:r>
              <w:rPr>
                <w:rFonts w:hint="eastAsia"/>
              </w:rPr>
              <w:br w:type="textWrapping"/>
            </w:r>
            <w:r>
              <w:rPr>
                <w:rStyle w:val="11"/>
                <w:rFonts w:hint="eastAsia"/>
              </w:rPr>
              <w:t>1. 正常使用技术条件下对后茬作物安全。2. 本品对眼睛有刺激性，使用时避免接触眼睛，穿戴长衣、长裤、帽子、口罩、手套等防护措施，避免吸入药液；施药期间不可吃东西、饮水等。施药后应及时洗手、洗脸等。3. 水产养殖区、河塘等水体附近禁用，禁止在河塘等水域清洗施药器具；鱼或虾蟹套养稻田禁用、施药后的田水不得直接排入水体。清洗施药器具的废水不能排入河流、池塘等水源。4. 用过的容器应妥善处理，不可做他用，也不可随意丢弃。5. 若附近有桑园，将最外围桑树设置为隔离带。6. 孕妇及哺乳期妇女应避免接触本品。</w:t>
            </w:r>
          </w:p>
        </w:tc>
      </w:tr>
      <w:tr w14:paraId="3D222527">
        <w:tblPrEx>
          <w:tblCellMar>
            <w:top w:w="0" w:type="dxa"/>
            <w:left w:w="0" w:type="dxa"/>
            <w:bottom w:w="0" w:type="dxa"/>
            <w:right w:w="0" w:type="dxa"/>
          </w:tblCellMar>
        </w:tblPrEx>
        <w:trPr>
          <w:wBefore w:w="0" w:type="auto"/>
          <w:tblCellSpacing w:w="0" w:type="dxa"/>
        </w:trPr>
        <w:tc>
          <w:tcPr>
            <w:tcW w:w="0" w:type="auto"/>
            <w:noWrap w:val="0"/>
            <w:vAlign w:val="center"/>
          </w:tcPr>
          <w:p w14:paraId="7CB86BED">
            <w:r>
              <w:rPr>
                <w:rStyle w:val="10"/>
                <w:rFonts w:hint="eastAsia"/>
              </w:rPr>
              <w:t>中毒急救措施：</w:t>
            </w:r>
            <w:r>
              <w:rPr>
                <w:rFonts w:hint="eastAsia"/>
              </w:rPr>
              <w:br w:type="textWrapping"/>
            </w:r>
            <w:r>
              <w:rPr>
                <w:rStyle w:val="11"/>
                <w:rFonts w:hint="eastAsia"/>
              </w:rPr>
              <w:t>本品对眼睛、皮肤有刺激性，使用时要注意避免药液与眼睛、粘膜、皮肤和伤口等接触。急救措施：使用中或使用后如果感觉不适，应立即停止工作，采取急救措施，并携带标签送医院就诊。1. 眼睛溅入∶立刻用大量清水冲洗15-20分钟，如配戴隐形眼镜，冲洗5分钟后摘掉眼镜再冲洗15分钟。携此标签去医院诊治。2. 误食∶立即饮用一杯或两杯水，用一只手指按住咽喉的后面部位，引吐。任何时候，不要试图让失去知觉的人呕吐或通过口部为其喂食。并请立即带标签就医。3. 皮肤沾附∶脱去被溅到衣服。立即用大量清水冲洗皮肤。衣服彻底清洗后方可再穿。 4. 误吸∶转移至空气清新处，如症状持续，向医生咨询。 5. 给医护人员的提示：无特效解毒药，请医生根据症状治疗。</w:t>
            </w:r>
          </w:p>
        </w:tc>
      </w:tr>
      <w:tr w14:paraId="5CC3AA45">
        <w:tblPrEx>
          <w:tblCellMar>
            <w:top w:w="0" w:type="dxa"/>
            <w:left w:w="0" w:type="dxa"/>
            <w:bottom w:w="0" w:type="dxa"/>
            <w:right w:w="0" w:type="dxa"/>
          </w:tblCellMar>
        </w:tblPrEx>
        <w:trPr>
          <w:wBefore w:w="0" w:type="auto"/>
          <w:tblCellSpacing w:w="0" w:type="dxa"/>
        </w:trPr>
        <w:tc>
          <w:tcPr>
            <w:tcW w:w="0" w:type="auto"/>
            <w:noWrap w:val="0"/>
            <w:vAlign w:val="center"/>
          </w:tcPr>
          <w:p w14:paraId="202317A0">
            <w:r>
              <w:rPr>
                <w:rStyle w:val="10"/>
                <w:rFonts w:hint="eastAsia"/>
              </w:rPr>
              <w:t>储存和运输方法：</w:t>
            </w:r>
            <w:r>
              <w:rPr>
                <w:rFonts w:hint="eastAsia"/>
              </w:rPr>
              <w:br w:type="textWrapping"/>
            </w:r>
            <w:r>
              <w:rPr>
                <w:rStyle w:val="11"/>
                <w:rFonts w:hint="eastAsia"/>
              </w:rPr>
              <w:t>1. 本品应贮存在干燥、阴凉、通风、防雨处，远离火源或热源。2.置于儿童、无关人员触及不到之处，并加锁。勿与食品、饮料、饲料、粮食等同贮同运。</w:t>
            </w:r>
          </w:p>
        </w:tc>
      </w:tr>
      <w:tr w14:paraId="2EB29448">
        <w:tblPrEx>
          <w:tblCellMar>
            <w:top w:w="0" w:type="dxa"/>
            <w:left w:w="0" w:type="dxa"/>
            <w:bottom w:w="0" w:type="dxa"/>
            <w:right w:w="0" w:type="dxa"/>
          </w:tblCellMar>
        </w:tblPrEx>
        <w:trPr>
          <w:wBefore w:w="0" w:type="auto"/>
          <w:tblCellSpacing w:w="0" w:type="dxa"/>
        </w:trPr>
        <w:tc>
          <w:tcPr>
            <w:tcW w:w="0" w:type="auto"/>
            <w:noWrap w:val="0"/>
            <w:vAlign w:val="center"/>
          </w:tcPr>
          <w:p w14:paraId="28B61C4C">
            <w:r>
              <w:rPr>
                <w:rStyle w:val="10"/>
                <w:rFonts w:hint="eastAsia"/>
              </w:rPr>
              <w:t>质量保证期：</w:t>
            </w:r>
            <w:r>
              <w:rPr>
                <w:rStyle w:val="11"/>
                <w:rFonts w:hint="eastAsia"/>
              </w:rPr>
              <w:t>2年</w:t>
            </w:r>
          </w:p>
        </w:tc>
      </w:tr>
      <w:tr w14:paraId="79C6DB0A">
        <w:tblPrEx>
          <w:tblCellMar>
            <w:top w:w="0" w:type="dxa"/>
            <w:left w:w="0" w:type="dxa"/>
            <w:bottom w:w="0" w:type="dxa"/>
            <w:right w:w="0" w:type="dxa"/>
          </w:tblCellMar>
        </w:tblPrEx>
        <w:trPr>
          <w:wBefore w:w="0" w:type="auto"/>
          <w:tblCellSpacing w:w="0" w:type="dxa"/>
        </w:trPr>
        <w:tc>
          <w:tcPr>
            <w:tcW w:w="0" w:type="auto"/>
            <w:noWrap w:val="0"/>
            <w:vAlign w:val="center"/>
          </w:tcPr>
          <w:p w14:paraId="6E2ED233">
            <w:r>
              <w:rPr>
                <w:rStyle w:val="10"/>
                <w:rFonts w:hint="eastAsia"/>
              </w:rPr>
              <w:t>备注：</w:t>
            </w:r>
          </w:p>
        </w:tc>
      </w:tr>
    </w:tbl>
    <w:p w14:paraId="21F581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15EEAC">
        <w:tblPrEx>
          <w:tblCellMar>
            <w:top w:w="0" w:type="dxa"/>
            <w:left w:w="0" w:type="dxa"/>
            <w:bottom w:w="0" w:type="dxa"/>
            <w:right w:w="0" w:type="dxa"/>
          </w:tblCellMar>
        </w:tblPrEx>
        <w:trPr>
          <w:wBefore w:w="0" w:type="auto"/>
          <w:tblCellSpacing w:w="0" w:type="dxa"/>
        </w:trPr>
        <w:tc>
          <w:tcPr>
            <w:tcW w:w="0" w:type="auto"/>
            <w:noWrap w:val="0"/>
            <w:vAlign w:val="center"/>
          </w:tcPr>
          <w:p w14:paraId="763F2CD9">
            <w:r>
              <w:rPr>
                <w:rStyle w:val="10"/>
                <w:rFonts w:hint="eastAsia"/>
              </w:rPr>
              <w:t>登记证号：</w:t>
            </w:r>
            <w:r>
              <w:rPr>
                <w:rFonts w:hint="eastAsia"/>
              </w:rPr>
              <w:t>PD20212512</w:t>
            </w:r>
          </w:p>
        </w:tc>
      </w:tr>
      <w:tr w14:paraId="581C5A51">
        <w:tblPrEx>
          <w:tblCellMar>
            <w:top w:w="0" w:type="dxa"/>
            <w:left w:w="0" w:type="dxa"/>
            <w:bottom w:w="0" w:type="dxa"/>
            <w:right w:w="0" w:type="dxa"/>
          </w:tblCellMar>
        </w:tblPrEx>
        <w:trPr>
          <w:wBefore w:w="0" w:type="auto"/>
          <w:tblCellSpacing w:w="0" w:type="dxa"/>
        </w:trPr>
        <w:tc>
          <w:tcPr>
            <w:tcW w:w="0" w:type="auto"/>
            <w:noWrap w:val="0"/>
            <w:vAlign w:val="center"/>
          </w:tcPr>
          <w:p w14:paraId="7690968B">
            <w:r>
              <w:rPr>
                <w:rStyle w:val="10"/>
                <w:rFonts w:hint="eastAsia"/>
              </w:rPr>
              <w:t>登记证持有人：</w:t>
            </w:r>
            <w:r>
              <w:rPr>
                <w:rFonts w:hint="eastAsia"/>
              </w:rPr>
              <w:t>辽宁先达农业科学有限公司</w:t>
            </w:r>
          </w:p>
        </w:tc>
      </w:tr>
      <w:tr w14:paraId="27279163">
        <w:tblPrEx>
          <w:tblCellMar>
            <w:top w:w="0" w:type="dxa"/>
            <w:left w:w="0" w:type="dxa"/>
            <w:bottom w:w="0" w:type="dxa"/>
            <w:right w:w="0" w:type="dxa"/>
          </w:tblCellMar>
        </w:tblPrEx>
        <w:trPr>
          <w:wBefore w:w="0" w:type="auto"/>
          <w:tblCellSpacing w:w="0" w:type="dxa"/>
        </w:trPr>
        <w:tc>
          <w:tcPr>
            <w:tcW w:w="0" w:type="auto"/>
            <w:noWrap w:val="0"/>
            <w:vAlign w:val="center"/>
          </w:tcPr>
          <w:p w14:paraId="214C858E">
            <w:r>
              <w:rPr>
                <w:rStyle w:val="10"/>
                <w:rFonts w:hint="eastAsia"/>
              </w:rPr>
              <w:t>农药名称：</w:t>
            </w:r>
            <w:r>
              <w:rPr>
                <w:rFonts w:hint="eastAsia"/>
              </w:rPr>
              <w:t>二氯·莠去津</w:t>
            </w:r>
          </w:p>
        </w:tc>
      </w:tr>
      <w:tr w14:paraId="6587A6B7">
        <w:tblPrEx>
          <w:tblCellMar>
            <w:top w:w="0" w:type="dxa"/>
            <w:left w:w="0" w:type="dxa"/>
            <w:bottom w:w="0" w:type="dxa"/>
            <w:right w:w="0" w:type="dxa"/>
          </w:tblCellMar>
        </w:tblPrEx>
        <w:trPr>
          <w:wBefore w:w="0" w:type="auto"/>
          <w:tblCellSpacing w:w="0" w:type="dxa"/>
        </w:trPr>
        <w:tc>
          <w:tcPr>
            <w:tcW w:w="0" w:type="auto"/>
            <w:noWrap w:val="0"/>
            <w:vAlign w:val="center"/>
          </w:tcPr>
          <w:p w14:paraId="1491C3E4">
            <w:r>
              <w:rPr>
                <w:rStyle w:val="10"/>
                <w:rFonts w:hint="eastAsia"/>
              </w:rPr>
              <w:t>剂型：</w:t>
            </w:r>
            <w:r>
              <w:rPr>
                <w:rFonts w:hint="eastAsia"/>
              </w:rPr>
              <w:t>可分散油悬浮剂</w:t>
            </w:r>
          </w:p>
        </w:tc>
      </w:tr>
      <w:tr w14:paraId="1775879F">
        <w:tblPrEx>
          <w:tblCellMar>
            <w:top w:w="0" w:type="dxa"/>
            <w:left w:w="0" w:type="dxa"/>
            <w:bottom w:w="0" w:type="dxa"/>
            <w:right w:w="0" w:type="dxa"/>
          </w:tblCellMar>
        </w:tblPrEx>
        <w:trPr>
          <w:wBefore w:w="0" w:type="auto"/>
          <w:tblCellSpacing w:w="0" w:type="dxa"/>
        </w:trPr>
        <w:tc>
          <w:tcPr>
            <w:tcW w:w="0" w:type="auto"/>
            <w:noWrap w:val="0"/>
            <w:vAlign w:val="center"/>
          </w:tcPr>
          <w:p w14:paraId="67672E05">
            <w:r>
              <w:rPr>
                <w:rStyle w:val="10"/>
                <w:rFonts w:hint="eastAsia"/>
              </w:rPr>
              <w:t>毒性及其标识：</w:t>
            </w:r>
            <w:r>
              <w:rPr>
                <w:rFonts w:hint="eastAsia"/>
              </w:rPr>
              <w:t xml:space="preserve"> </w:t>
            </w:r>
            <w:r>
              <w:rPr>
                <w:lang/>
              </w:rPr>
              <w:drawing>
                <wp:inline distT="0" distB="0" distL="114300" distR="114300">
                  <wp:extent cx="476250" cy="323850"/>
                  <wp:effectExtent l="0" t="0" r="0" b="0"/>
                  <wp:docPr id="225" name="图片 2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5565BD">
        <w:tblPrEx>
          <w:tblCellMar>
            <w:top w:w="0" w:type="dxa"/>
            <w:left w:w="0" w:type="dxa"/>
            <w:bottom w:w="0" w:type="dxa"/>
            <w:right w:w="0" w:type="dxa"/>
          </w:tblCellMar>
        </w:tblPrEx>
        <w:trPr>
          <w:wBefore w:w="0" w:type="auto"/>
          <w:tblCellSpacing w:w="0" w:type="dxa"/>
        </w:trPr>
        <w:tc>
          <w:tcPr>
            <w:tcW w:w="0" w:type="auto"/>
            <w:noWrap w:val="0"/>
            <w:vAlign w:val="center"/>
          </w:tcPr>
          <w:p w14:paraId="1B067698">
            <w:r>
              <w:rPr>
                <w:rStyle w:val="10"/>
                <w:rFonts w:hint="eastAsia"/>
              </w:rPr>
              <w:t>总有效成分含量：</w:t>
            </w:r>
            <w:r>
              <w:rPr>
                <w:rFonts w:hint="eastAsia"/>
              </w:rPr>
              <w:t>37%</w:t>
            </w:r>
          </w:p>
        </w:tc>
      </w:tr>
      <w:tr w14:paraId="470D5C31">
        <w:tblPrEx>
          <w:tblCellMar>
            <w:top w:w="0" w:type="dxa"/>
            <w:left w:w="0" w:type="dxa"/>
            <w:bottom w:w="0" w:type="dxa"/>
            <w:right w:w="0" w:type="dxa"/>
          </w:tblCellMar>
        </w:tblPrEx>
        <w:trPr>
          <w:wBefore w:w="0" w:type="auto"/>
          <w:tblCellSpacing w:w="0" w:type="dxa"/>
        </w:trPr>
        <w:tc>
          <w:tcPr>
            <w:tcW w:w="0" w:type="auto"/>
            <w:noWrap w:val="0"/>
            <w:vAlign w:val="center"/>
          </w:tcPr>
          <w:p w14:paraId="44EA59CC">
            <w:r>
              <w:rPr>
                <w:rFonts w:hint="eastAsia"/>
              </w:rPr>
              <w:t xml:space="preserve">有效成分及其含量： </w:t>
            </w:r>
          </w:p>
          <w:p w14:paraId="03DA302A">
            <w:r>
              <w:rPr>
                <w:rFonts w:hint="eastAsia"/>
              </w:rPr>
              <w:t xml:space="preserve">    二氯喹啉酸14%    莠去津23%    </w:t>
            </w:r>
          </w:p>
        </w:tc>
      </w:tr>
      <w:tr w14:paraId="10A8AE47">
        <w:tblPrEx>
          <w:tblCellMar>
            <w:top w:w="0" w:type="dxa"/>
            <w:left w:w="0" w:type="dxa"/>
            <w:bottom w:w="0" w:type="dxa"/>
            <w:right w:w="0" w:type="dxa"/>
          </w:tblCellMar>
        </w:tblPrEx>
        <w:trPr>
          <w:wBefore w:w="0" w:type="auto"/>
          <w:tblCellSpacing w:w="0" w:type="dxa"/>
        </w:trPr>
        <w:tc>
          <w:tcPr>
            <w:tcW w:w="0" w:type="auto"/>
            <w:noWrap w:val="0"/>
            <w:vAlign w:val="center"/>
          </w:tcPr>
          <w:p w14:paraId="5BFA3FE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672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061C1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EC2D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24112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130355">
                  <w:r>
                    <w:rPr>
                      <w:rStyle w:val="11"/>
                      <w:rFonts w:hint="eastAsia"/>
                    </w:rPr>
                    <w:t>施用方式</w:t>
                  </w:r>
                </w:p>
              </w:tc>
            </w:tr>
            <w:tr w14:paraId="648EE3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9A5C1F">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5BA86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57D163">
                  <w:r>
                    <w:rPr>
                      <w:rStyle w:val="11"/>
                      <w:rFonts w:hint="eastAsia"/>
                    </w:rPr>
                    <w:t>140-200毫升/亩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27D4B3">
                  <w:r>
                    <w:rPr>
                      <w:rStyle w:val="11"/>
                      <w:rFonts w:hint="eastAsia"/>
                    </w:rPr>
                    <w:t>茎叶喷雾</w:t>
                  </w:r>
                </w:p>
              </w:tc>
            </w:tr>
          </w:tbl>
          <w:p w14:paraId="462B30DE">
            <w:pPr>
              <w:rPr>
                <w:rFonts w:ascii="Times New Roman" w:hAnsi="Times New Roman" w:cs="Times New Roman"/>
                <w:sz w:val="20"/>
                <w:szCs w:val="20"/>
              </w:rPr>
            </w:pPr>
          </w:p>
        </w:tc>
      </w:tr>
      <w:tr w14:paraId="38DE7C25">
        <w:tblPrEx>
          <w:tblCellMar>
            <w:top w:w="0" w:type="dxa"/>
            <w:left w:w="0" w:type="dxa"/>
            <w:bottom w:w="0" w:type="dxa"/>
            <w:right w:w="0" w:type="dxa"/>
          </w:tblCellMar>
        </w:tblPrEx>
        <w:trPr>
          <w:wBefore w:w="0" w:type="auto"/>
          <w:tblCellSpacing w:w="0" w:type="dxa"/>
        </w:trPr>
        <w:tc>
          <w:tcPr>
            <w:tcW w:w="0" w:type="auto"/>
            <w:noWrap w:val="0"/>
            <w:vAlign w:val="center"/>
          </w:tcPr>
          <w:p w14:paraId="2E5DE58C">
            <w:r>
              <w:rPr>
                <w:rStyle w:val="10"/>
                <w:rFonts w:hint="eastAsia"/>
              </w:rPr>
              <w:t>使用技术要求:</w:t>
            </w:r>
            <w:r>
              <w:rPr>
                <w:rFonts w:hint="eastAsia"/>
              </w:rPr>
              <w:br w:type="textWrapping"/>
            </w:r>
            <w:r>
              <w:rPr>
                <w:rStyle w:val="11"/>
                <w:rFonts w:hint="eastAsia"/>
              </w:rPr>
              <w:t>1、使用前充分摇匀，先加入少量水配成母液，然后按每亩25-30公斤兑水，充分搅拌。 2、本品应在高粱3-5叶期，一年生杂草2-4叶期用药。3、大风天或预计1小时内降雨，请勿施药。 4、每季作物最多使用1次。5、勿超剂量使用；合理安排后茬作物，保证安全间隔期。</w:t>
            </w:r>
          </w:p>
        </w:tc>
      </w:tr>
      <w:tr w14:paraId="4929CE91">
        <w:tblPrEx>
          <w:tblCellMar>
            <w:top w:w="0" w:type="dxa"/>
            <w:left w:w="0" w:type="dxa"/>
            <w:bottom w:w="0" w:type="dxa"/>
            <w:right w:w="0" w:type="dxa"/>
          </w:tblCellMar>
        </w:tblPrEx>
        <w:trPr>
          <w:wBefore w:w="0" w:type="auto"/>
          <w:tblCellSpacing w:w="0" w:type="dxa"/>
        </w:trPr>
        <w:tc>
          <w:tcPr>
            <w:tcW w:w="0" w:type="auto"/>
            <w:noWrap w:val="0"/>
            <w:vAlign w:val="center"/>
          </w:tcPr>
          <w:p w14:paraId="49333F0A">
            <w:r>
              <w:rPr>
                <w:rStyle w:val="10"/>
                <w:rFonts w:hint="eastAsia"/>
              </w:rPr>
              <w:t>产品性能:</w:t>
            </w:r>
            <w:r>
              <w:rPr>
                <w:rFonts w:hint="eastAsia"/>
              </w:rPr>
              <w:br w:type="textWrapping"/>
            </w:r>
            <w:r>
              <w:rPr>
                <w:rStyle w:val="11"/>
                <w:rFonts w:hint="eastAsia"/>
              </w:rPr>
              <w:t>本品为二氯喹啉酸和莠去津复配的选择性内吸传导型除草剂，用于防除高粱一年生杂草。</w:t>
            </w:r>
          </w:p>
        </w:tc>
      </w:tr>
      <w:tr w14:paraId="15714741">
        <w:tblPrEx>
          <w:tblCellMar>
            <w:top w:w="0" w:type="dxa"/>
            <w:left w:w="0" w:type="dxa"/>
            <w:bottom w:w="0" w:type="dxa"/>
            <w:right w:w="0" w:type="dxa"/>
          </w:tblCellMar>
        </w:tblPrEx>
        <w:trPr>
          <w:wBefore w:w="0" w:type="auto"/>
          <w:tblCellSpacing w:w="0" w:type="dxa"/>
        </w:trPr>
        <w:tc>
          <w:tcPr>
            <w:tcW w:w="0" w:type="auto"/>
            <w:noWrap w:val="0"/>
            <w:vAlign w:val="center"/>
          </w:tcPr>
          <w:p w14:paraId="69668892">
            <w:r>
              <w:rPr>
                <w:rStyle w:val="10"/>
                <w:rFonts w:hint="eastAsia"/>
              </w:rPr>
              <w:t>注意事项：</w:t>
            </w:r>
            <w:r>
              <w:rPr>
                <w:rFonts w:hint="eastAsia"/>
              </w:rPr>
              <w:br w:type="textWrapping"/>
            </w:r>
            <w:r>
              <w:rPr>
                <w:rStyle w:val="11"/>
                <w:rFonts w:hint="eastAsia"/>
              </w:rPr>
              <w:t>1.严格按照施药量、施药方法等进行施药，建议在专业植保人员的指导下施药，不要随意增加施药量和施药次数，勿超剂量使用；在不同地区大面积推广前建议开展小范围试验研究，明确对不同高粱品种的安全性。2.本品残效期较长，豆类、麦类、棉花、水稻、蔬菜、桃树等对该药敏感。3.使用本品时做好相关器械的定期检修和维护，避免施药器械的故障；务必穿戴好帽子、口罩、长衣、长裤、手套和鞋，建议佩戴防护眼镜或防护面罩，施药期间不可吃东西和饮水，施药后应及时洗手和洗脸。4.禁止在下雨、高温、刮风、沿海地区遇到有海雾时施药，每次施药时间最好控制在4h以内。5.本品对蜜蜂、鱼类等水生生物、家蚕有毒，施药期间应避免对周围蜂群的影响，蜜源作物花期、蚕室和桑园附近禁用。赤眼蜂、瓢虫等天敌放飞区禁用。远离水产养殖区、河塘等水体施药，禁止在河塘等水体中清洗施药器具。6.禁止老、弱、病、残、孕、小孩和哺乳期妇女接触和使用。7.用过的容器应妥善处理，不可做他用，也不可随意丢弃。</w:t>
            </w:r>
          </w:p>
        </w:tc>
      </w:tr>
      <w:tr w14:paraId="4C50A314">
        <w:tblPrEx>
          <w:tblCellMar>
            <w:top w:w="0" w:type="dxa"/>
            <w:left w:w="0" w:type="dxa"/>
            <w:bottom w:w="0" w:type="dxa"/>
            <w:right w:w="0" w:type="dxa"/>
          </w:tblCellMar>
        </w:tblPrEx>
        <w:trPr>
          <w:wBefore w:w="0" w:type="auto"/>
          <w:tblCellSpacing w:w="0" w:type="dxa"/>
        </w:trPr>
        <w:tc>
          <w:tcPr>
            <w:tcW w:w="0" w:type="auto"/>
            <w:noWrap w:val="0"/>
            <w:vAlign w:val="center"/>
          </w:tcPr>
          <w:p w14:paraId="344D0170">
            <w:r>
              <w:rPr>
                <w:rStyle w:val="10"/>
                <w:rFonts w:hint="eastAsia"/>
              </w:rPr>
              <w:t>中毒急救措施：</w:t>
            </w:r>
            <w:r>
              <w:rPr>
                <w:rFonts w:hint="eastAsia"/>
              </w:rPr>
              <w:br w:type="textWrapping"/>
            </w:r>
            <w:r>
              <w:rPr>
                <w:rStyle w:val="11"/>
                <w:rFonts w:hint="eastAsia"/>
              </w:rPr>
              <w:t>如不慎吸入，应立即将病人移至空气流通处；如不慎接触皮肤或溅入眼内，立即用大量清水冲洗至少15分钟，并就医；如误服，携此标签迅速将误服者送医院急救，无特殊解毒剂，对症治疗。</w:t>
            </w:r>
          </w:p>
        </w:tc>
      </w:tr>
      <w:tr w14:paraId="7996A7A5">
        <w:tblPrEx>
          <w:tblCellMar>
            <w:top w:w="0" w:type="dxa"/>
            <w:left w:w="0" w:type="dxa"/>
            <w:bottom w:w="0" w:type="dxa"/>
            <w:right w:w="0" w:type="dxa"/>
          </w:tblCellMar>
        </w:tblPrEx>
        <w:trPr>
          <w:wBefore w:w="0" w:type="auto"/>
          <w:tblCellSpacing w:w="0" w:type="dxa"/>
        </w:trPr>
        <w:tc>
          <w:tcPr>
            <w:tcW w:w="0" w:type="auto"/>
            <w:noWrap w:val="0"/>
            <w:vAlign w:val="center"/>
          </w:tcPr>
          <w:p w14:paraId="5A2CAAFC">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本品应贮存在阴凉、干燥、通风、防雨处。远离火源或热源。置于儿童、无关人员触及不到之处，并加锁保存。勿与食品、饮料、饲料、粮食等同贮同运。</w:t>
            </w:r>
          </w:p>
        </w:tc>
      </w:tr>
      <w:tr w14:paraId="4724B4A8">
        <w:tblPrEx>
          <w:tblCellMar>
            <w:top w:w="0" w:type="dxa"/>
            <w:left w:w="0" w:type="dxa"/>
            <w:bottom w:w="0" w:type="dxa"/>
            <w:right w:w="0" w:type="dxa"/>
          </w:tblCellMar>
        </w:tblPrEx>
        <w:trPr>
          <w:wBefore w:w="0" w:type="auto"/>
          <w:tblCellSpacing w:w="0" w:type="dxa"/>
        </w:trPr>
        <w:tc>
          <w:tcPr>
            <w:tcW w:w="0" w:type="auto"/>
            <w:noWrap w:val="0"/>
            <w:vAlign w:val="center"/>
          </w:tcPr>
          <w:p w14:paraId="41AFD5CE">
            <w:r>
              <w:rPr>
                <w:rStyle w:val="10"/>
                <w:rFonts w:hint="eastAsia"/>
              </w:rPr>
              <w:t>质量保证期：</w:t>
            </w:r>
            <w:r>
              <w:rPr>
                <w:rStyle w:val="11"/>
                <w:rFonts w:hint="eastAsia"/>
              </w:rPr>
              <w:t>2年</w:t>
            </w:r>
          </w:p>
        </w:tc>
      </w:tr>
      <w:tr w14:paraId="3AF27413">
        <w:tblPrEx>
          <w:tblCellMar>
            <w:top w:w="0" w:type="dxa"/>
            <w:left w:w="0" w:type="dxa"/>
            <w:bottom w:w="0" w:type="dxa"/>
            <w:right w:w="0" w:type="dxa"/>
          </w:tblCellMar>
        </w:tblPrEx>
        <w:trPr>
          <w:wBefore w:w="0" w:type="auto"/>
          <w:tblCellSpacing w:w="0" w:type="dxa"/>
        </w:trPr>
        <w:tc>
          <w:tcPr>
            <w:tcW w:w="0" w:type="auto"/>
            <w:noWrap w:val="0"/>
            <w:vAlign w:val="center"/>
          </w:tcPr>
          <w:p w14:paraId="022A3DFB">
            <w:r>
              <w:rPr>
                <w:rStyle w:val="10"/>
                <w:rFonts w:hint="eastAsia"/>
              </w:rPr>
              <w:t>备注：</w:t>
            </w:r>
          </w:p>
        </w:tc>
      </w:tr>
    </w:tbl>
    <w:p w14:paraId="57DB05A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6383D8">
        <w:trPr>
          <w:wBefore w:w="0" w:type="auto"/>
          <w:tblCellSpacing w:w="0" w:type="dxa"/>
        </w:trPr>
        <w:tc>
          <w:tcPr>
            <w:tcW w:w="0" w:type="auto"/>
            <w:noWrap w:val="0"/>
            <w:vAlign w:val="center"/>
          </w:tcPr>
          <w:p w14:paraId="7ECD1876">
            <w:r>
              <w:rPr>
                <w:rStyle w:val="10"/>
                <w:rFonts w:hint="eastAsia"/>
              </w:rPr>
              <w:t>登记证号：</w:t>
            </w:r>
            <w:r>
              <w:rPr>
                <w:rFonts w:hint="eastAsia"/>
              </w:rPr>
              <w:t>PD20212387</w:t>
            </w:r>
          </w:p>
        </w:tc>
      </w:tr>
      <w:tr w14:paraId="08AA06C5">
        <w:tblPrEx>
          <w:tblCellMar>
            <w:top w:w="0" w:type="dxa"/>
            <w:left w:w="0" w:type="dxa"/>
            <w:bottom w:w="0" w:type="dxa"/>
            <w:right w:w="0" w:type="dxa"/>
          </w:tblCellMar>
        </w:tblPrEx>
        <w:trPr>
          <w:wBefore w:w="0" w:type="auto"/>
          <w:tblCellSpacing w:w="0" w:type="dxa"/>
        </w:trPr>
        <w:tc>
          <w:tcPr>
            <w:tcW w:w="0" w:type="auto"/>
            <w:noWrap w:val="0"/>
            <w:vAlign w:val="center"/>
          </w:tcPr>
          <w:p w14:paraId="45844104">
            <w:r>
              <w:rPr>
                <w:rStyle w:val="10"/>
                <w:rFonts w:hint="eastAsia"/>
              </w:rPr>
              <w:t>登记证持有人：</w:t>
            </w:r>
            <w:r>
              <w:rPr>
                <w:rFonts w:hint="eastAsia"/>
              </w:rPr>
              <w:t>河南三浦百草生物工程有限公司</w:t>
            </w:r>
          </w:p>
        </w:tc>
      </w:tr>
      <w:tr w14:paraId="4975D228">
        <w:tblPrEx>
          <w:tblCellMar>
            <w:top w:w="0" w:type="dxa"/>
            <w:left w:w="0" w:type="dxa"/>
            <w:bottom w:w="0" w:type="dxa"/>
            <w:right w:w="0" w:type="dxa"/>
          </w:tblCellMar>
        </w:tblPrEx>
        <w:trPr>
          <w:wBefore w:w="0" w:type="auto"/>
          <w:tblCellSpacing w:w="0" w:type="dxa"/>
        </w:trPr>
        <w:tc>
          <w:tcPr>
            <w:tcW w:w="0" w:type="auto"/>
            <w:noWrap w:val="0"/>
            <w:vAlign w:val="center"/>
          </w:tcPr>
          <w:p w14:paraId="6183413E">
            <w:r>
              <w:rPr>
                <w:rStyle w:val="10"/>
                <w:rFonts w:hint="eastAsia"/>
              </w:rPr>
              <w:t>农药名称：</w:t>
            </w:r>
            <w:r>
              <w:rPr>
                <w:rFonts w:hint="eastAsia"/>
              </w:rPr>
              <w:t>苏云金杆菌</w:t>
            </w:r>
          </w:p>
        </w:tc>
      </w:tr>
      <w:tr w14:paraId="566C82F3">
        <w:tblPrEx>
          <w:tblCellMar>
            <w:top w:w="0" w:type="dxa"/>
            <w:left w:w="0" w:type="dxa"/>
            <w:bottom w:w="0" w:type="dxa"/>
            <w:right w:w="0" w:type="dxa"/>
          </w:tblCellMar>
        </w:tblPrEx>
        <w:trPr>
          <w:wBefore w:w="0" w:type="auto"/>
          <w:tblCellSpacing w:w="0" w:type="dxa"/>
        </w:trPr>
        <w:tc>
          <w:tcPr>
            <w:tcW w:w="0" w:type="auto"/>
            <w:noWrap w:val="0"/>
            <w:vAlign w:val="center"/>
          </w:tcPr>
          <w:p w14:paraId="66387946">
            <w:r>
              <w:rPr>
                <w:rStyle w:val="10"/>
                <w:rFonts w:hint="eastAsia"/>
              </w:rPr>
              <w:t>剂型：</w:t>
            </w:r>
            <w:r>
              <w:rPr>
                <w:rFonts w:hint="eastAsia"/>
              </w:rPr>
              <w:t>可湿性粉剂</w:t>
            </w:r>
          </w:p>
        </w:tc>
      </w:tr>
      <w:tr w14:paraId="763ACB77">
        <w:tblPrEx>
          <w:tblCellMar>
            <w:top w:w="0" w:type="dxa"/>
            <w:left w:w="0" w:type="dxa"/>
            <w:bottom w:w="0" w:type="dxa"/>
            <w:right w:w="0" w:type="dxa"/>
          </w:tblCellMar>
        </w:tblPrEx>
        <w:trPr>
          <w:wBefore w:w="0" w:type="auto"/>
          <w:tblCellSpacing w:w="0" w:type="dxa"/>
        </w:trPr>
        <w:tc>
          <w:tcPr>
            <w:tcW w:w="0" w:type="auto"/>
            <w:noWrap w:val="0"/>
            <w:vAlign w:val="center"/>
          </w:tcPr>
          <w:p w14:paraId="433D0B07">
            <w:r>
              <w:rPr>
                <w:rStyle w:val="10"/>
                <w:rFonts w:hint="eastAsia"/>
              </w:rPr>
              <w:t>毒性及其标识：</w:t>
            </w:r>
            <w:r>
              <w:rPr>
                <w:rFonts w:hint="eastAsia"/>
              </w:rPr>
              <w:t xml:space="preserve"> </w:t>
            </w:r>
            <w:r>
              <w:rPr>
                <w:lang/>
              </w:rPr>
              <w:drawing>
                <wp:inline distT="0" distB="0" distL="114300" distR="114300">
                  <wp:extent cx="476250" cy="323850"/>
                  <wp:effectExtent l="0" t="0" r="0" b="0"/>
                  <wp:docPr id="226" name="图片 2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F9C367C">
        <w:tblPrEx>
          <w:tblCellMar>
            <w:top w:w="0" w:type="dxa"/>
            <w:left w:w="0" w:type="dxa"/>
            <w:bottom w:w="0" w:type="dxa"/>
            <w:right w:w="0" w:type="dxa"/>
          </w:tblCellMar>
        </w:tblPrEx>
        <w:trPr>
          <w:wBefore w:w="0" w:type="auto"/>
          <w:tblCellSpacing w:w="0" w:type="dxa"/>
        </w:trPr>
        <w:tc>
          <w:tcPr>
            <w:tcW w:w="0" w:type="auto"/>
            <w:noWrap w:val="0"/>
            <w:vAlign w:val="center"/>
          </w:tcPr>
          <w:p w14:paraId="3DB93DEA">
            <w:r>
              <w:rPr>
                <w:rStyle w:val="10"/>
                <w:rFonts w:hint="eastAsia"/>
              </w:rPr>
              <w:t>总有效成分含量：</w:t>
            </w:r>
            <w:r>
              <w:rPr>
                <w:rFonts w:hint="eastAsia"/>
              </w:rPr>
              <w:t>32000IU/毫克</w:t>
            </w:r>
          </w:p>
        </w:tc>
      </w:tr>
      <w:tr w14:paraId="72E93E20">
        <w:tblPrEx>
          <w:tblCellMar>
            <w:top w:w="0" w:type="dxa"/>
            <w:left w:w="0" w:type="dxa"/>
            <w:bottom w:w="0" w:type="dxa"/>
            <w:right w:w="0" w:type="dxa"/>
          </w:tblCellMar>
        </w:tblPrEx>
        <w:trPr>
          <w:wBefore w:w="0" w:type="auto"/>
          <w:tblCellSpacing w:w="0" w:type="dxa"/>
        </w:trPr>
        <w:tc>
          <w:tcPr>
            <w:tcW w:w="0" w:type="auto"/>
            <w:noWrap w:val="0"/>
            <w:vAlign w:val="center"/>
          </w:tcPr>
          <w:p w14:paraId="4A1D4F13">
            <w:r>
              <w:rPr>
                <w:rFonts w:hint="eastAsia"/>
              </w:rPr>
              <w:t xml:space="preserve">有效成分及其含量： </w:t>
            </w:r>
          </w:p>
          <w:p w14:paraId="5A878BCE">
            <w:r>
              <w:rPr>
                <w:rFonts w:hint="eastAsia"/>
              </w:rPr>
              <w:t xml:space="preserve">    苏云金杆菌32000IU/毫克    </w:t>
            </w:r>
          </w:p>
        </w:tc>
      </w:tr>
      <w:tr w14:paraId="286DA61A">
        <w:tblPrEx>
          <w:tblCellMar>
            <w:top w:w="0" w:type="dxa"/>
            <w:left w:w="0" w:type="dxa"/>
            <w:bottom w:w="0" w:type="dxa"/>
            <w:right w:w="0" w:type="dxa"/>
          </w:tblCellMar>
        </w:tblPrEx>
        <w:trPr>
          <w:wBefore w:w="0" w:type="auto"/>
          <w:tblCellSpacing w:w="0" w:type="dxa"/>
        </w:trPr>
        <w:tc>
          <w:tcPr>
            <w:tcW w:w="0" w:type="auto"/>
            <w:noWrap w:val="0"/>
            <w:vAlign w:val="center"/>
          </w:tcPr>
          <w:p w14:paraId="38BA55F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1620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5E568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2F816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EC0EB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3A8153">
                  <w:r>
                    <w:rPr>
                      <w:rStyle w:val="11"/>
                      <w:rFonts w:hint="eastAsia"/>
                    </w:rPr>
                    <w:t>施用方式</w:t>
                  </w:r>
                </w:p>
              </w:tc>
            </w:tr>
            <w:tr w14:paraId="4D0975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CD1415">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F9EF4D">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116D32">
                  <w:r>
                    <w:rPr>
                      <w:rStyle w:val="11"/>
                      <w:rFonts w:hint="eastAsia"/>
                    </w:rPr>
                    <w:t>75-100克/亩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E5D74A">
                  <w:r>
                    <w:rPr>
                      <w:rStyle w:val="11"/>
                      <w:rFonts w:hint="eastAsia"/>
                    </w:rPr>
                    <w:t>喷雾</w:t>
                  </w:r>
                </w:p>
              </w:tc>
            </w:tr>
          </w:tbl>
          <w:p w14:paraId="4C7D8407">
            <w:pPr>
              <w:rPr>
                <w:rFonts w:ascii="Times New Roman" w:hAnsi="Times New Roman" w:cs="Times New Roman"/>
                <w:sz w:val="20"/>
                <w:szCs w:val="20"/>
              </w:rPr>
            </w:pPr>
          </w:p>
        </w:tc>
      </w:tr>
      <w:tr w14:paraId="28180423">
        <w:tblPrEx>
          <w:tblCellMar>
            <w:top w:w="0" w:type="dxa"/>
            <w:left w:w="0" w:type="dxa"/>
            <w:bottom w:w="0" w:type="dxa"/>
            <w:right w:w="0" w:type="dxa"/>
          </w:tblCellMar>
        </w:tblPrEx>
        <w:trPr>
          <w:wBefore w:w="0" w:type="auto"/>
          <w:tblCellSpacing w:w="0" w:type="dxa"/>
        </w:trPr>
        <w:tc>
          <w:tcPr>
            <w:tcW w:w="0" w:type="auto"/>
            <w:noWrap w:val="0"/>
            <w:vAlign w:val="center"/>
          </w:tcPr>
          <w:p w14:paraId="21D0C762">
            <w:r>
              <w:rPr>
                <w:rStyle w:val="10"/>
                <w:rFonts w:hint="eastAsia"/>
              </w:rPr>
              <w:t>使用技术要求:</w:t>
            </w:r>
            <w:r>
              <w:rPr>
                <w:rFonts w:hint="eastAsia"/>
              </w:rPr>
              <w:br w:type="textWrapping"/>
            </w:r>
            <w:r>
              <w:rPr>
                <w:rStyle w:val="11"/>
                <w:rFonts w:hint="eastAsia"/>
              </w:rPr>
              <w:t>1. 于甘蓝小菜蛾低龄幼虫始发期喷雾施药1次。2.大风天或预计1小时内降雨，请勿施药。</w:t>
            </w:r>
          </w:p>
        </w:tc>
      </w:tr>
      <w:tr w14:paraId="61403672">
        <w:tblPrEx>
          <w:tblCellMar>
            <w:top w:w="0" w:type="dxa"/>
            <w:left w:w="0" w:type="dxa"/>
            <w:bottom w:w="0" w:type="dxa"/>
            <w:right w:w="0" w:type="dxa"/>
          </w:tblCellMar>
        </w:tblPrEx>
        <w:trPr>
          <w:wBefore w:w="0" w:type="auto"/>
          <w:tblCellSpacing w:w="0" w:type="dxa"/>
        </w:trPr>
        <w:tc>
          <w:tcPr>
            <w:tcW w:w="0" w:type="auto"/>
            <w:noWrap w:val="0"/>
            <w:vAlign w:val="center"/>
          </w:tcPr>
          <w:p w14:paraId="4BB6EE61">
            <w:r>
              <w:rPr>
                <w:rStyle w:val="10"/>
                <w:rFonts w:hint="eastAsia"/>
              </w:rPr>
              <w:t>产品性能:</w:t>
            </w:r>
            <w:r>
              <w:rPr>
                <w:rFonts w:hint="eastAsia"/>
              </w:rPr>
              <w:br w:type="textWrapping"/>
            </w:r>
            <w:r>
              <w:rPr>
                <w:rStyle w:val="11"/>
                <w:rFonts w:hint="eastAsia"/>
              </w:rPr>
              <w:t>本品是一种微生物杀虫剂，具有胃毒作用，无触杀和内吸作用。本品可使昆虫的肠道在几分钟内麻痹，昆虫停止取食，并很快破坏肠道内膜，造成细菌的营养细胞易于侵袭和穿透肠道底膜进入血淋巴，最后昆虫因饥饿和败血症而死亡。</w:t>
            </w:r>
          </w:p>
        </w:tc>
      </w:tr>
      <w:tr w14:paraId="46270550">
        <w:tblPrEx>
          <w:tblCellMar>
            <w:top w:w="0" w:type="dxa"/>
            <w:left w:w="0" w:type="dxa"/>
            <w:bottom w:w="0" w:type="dxa"/>
            <w:right w:w="0" w:type="dxa"/>
          </w:tblCellMar>
        </w:tblPrEx>
        <w:trPr>
          <w:wBefore w:w="0" w:type="auto"/>
          <w:tblCellSpacing w:w="0" w:type="dxa"/>
        </w:trPr>
        <w:tc>
          <w:tcPr>
            <w:tcW w:w="0" w:type="auto"/>
            <w:noWrap w:val="0"/>
            <w:vAlign w:val="center"/>
          </w:tcPr>
          <w:p w14:paraId="6C785072">
            <w:r>
              <w:rPr>
                <w:rStyle w:val="10"/>
                <w:rFonts w:hint="eastAsia"/>
              </w:rPr>
              <w:t>注意事项：</w:t>
            </w:r>
            <w:r>
              <w:rPr>
                <w:rFonts w:hint="eastAsia"/>
              </w:rPr>
              <w:br w:type="textWrapping"/>
            </w:r>
            <w:r>
              <w:rPr>
                <w:rStyle w:val="11"/>
                <w:rFonts w:hint="eastAsia"/>
              </w:rPr>
              <w:t>1、本品不能与内吸性有机磷杀虫剂或杀菌剂混合使用。2、本品对蚕有毒，桑园和养蚕场所及附近禁用。 3、不能与碱性农药混用。 4、施药时穿戴防护服和手套，避免与药剂直接接触。施药期间不可吃东西和饮水。施药后应及时洗手和洗脸。 5、用过的容器应妥善处理，不可做他用，也不可随意丢弃。 6、孕妇及哺乳期妇女避免接触。</w:t>
            </w:r>
          </w:p>
        </w:tc>
      </w:tr>
      <w:tr w14:paraId="2086C529">
        <w:tblPrEx>
          <w:tblCellMar>
            <w:top w:w="0" w:type="dxa"/>
            <w:left w:w="0" w:type="dxa"/>
            <w:bottom w:w="0" w:type="dxa"/>
            <w:right w:w="0" w:type="dxa"/>
          </w:tblCellMar>
        </w:tblPrEx>
        <w:trPr>
          <w:wBefore w:w="0" w:type="auto"/>
          <w:tblCellSpacing w:w="0" w:type="dxa"/>
        </w:trPr>
        <w:tc>
          <w:tcPr>
            <w:tcW w:w="0" w:type="auto"/>
            <w:noWrap w:val="0"/>
            <w:vAlign w:val="center"/>
          </w:tcPr>
          <w:p w14:paraId="3CB1CDDD">
            <w:r>
              <w:rPr>
                <w:rStyle w:val="10"/>
                <w:rFonts w:hint="eastAsia"/>
              </w:rPr>
              <w:t>中毒急救措施：</w:t>
            </w:r>
            <w:r>
              <w:rPr>
                <w:rFonts w:hint="eastAsia"/>
              </w:rPr>
              <w:br w:type="textWrapping"/>
            </w:r>
            <w:r>
              <w:rPr>
                <w:rStyle w:val="11"/>
                <w:rFonts w:hint="eastAsia"/>
              </w:rPr>
              <w:t>该产品对眼睛有刺激性，使用时避免接触眼睛。 接触皮肤，用肥皂和清水彻底清洗受污的皮肤。如溅入眼睛，用清水冲洗眼睛至少10分钟。无人体中毒报道。如果误服，立即送医治疗。如果误吸，迅速远离现场至空气新鲜处，保持呼吸道通畅。若呼吸困难时，给输氧，就医。</w:t>
            </w:r>
          </w:p>
        </w:tc>
      </w:tr>
      <w:tr w14:paraId="294E9CF4">
        <w:tblPrEx>
          <w:tblCellMar>
            <w:top w:w="0" w:type="dxa"/>
            <w:left w:w="0" w:type="dxa"/>
            <w:bottom w:w="0" w:type="dxa"/>
            <w:right w:w="0" w:type="dxa"/>
          </w:tblCellMar>
        </w:tblPrEx>
        <w:trPr>
          <w:wBefore w:w="0" w:type="auto"/>
          <w:tblCellSpacing w:w="0" w:type="dxa"/>
        </w:trPr>
        <w:tc>
          <w:tcPr>
            <w:tcW w:w="0" w:type="auto"/>
            <w:noWrap w:val="0"/>
            <w:vAlign w:val="center"/>
          </w:tcPr>
          <w:p w14:paraId="41539D45">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本品应贮存在干燥、阴凉、通风、防雨处，远离火源或热源。置于儿童触及不到之处，并加锁。勿与食品、饮料、粮食、饲料、种子等其他商品。</w:t>
            </w:r>
          </w:p>
        </w:tc>
      </w:tr>
      <w:tr w14:paraId="569008C6">
        <w:tblPrEx>
          <w:tblCellMar>
            <w:top w:w="0" w:type="dxa"/>
            <w:left w:w="0" w:type="dxa"/>
            <w:bottom w:w="0" w:type="dxa"/>
            <w:right w:w="0" w:type="dxa"/>
          </w:tblCellMar>
        </w:tblPrEx>
        <w:trPr>
          <w:wBefore w:w="0" w:type="auto"/>
          <w:tblCellSpacing w:w="0" w:type="dxa"/>
        </w:trPr>
        <w:tc>
          <w:tcPr>
            <w:tcW w:w="0" w:type="auto"/>
            <w:noWrap w:val="0"/>
            <w:vAlign w:val="center"/>
          </w:tcPr>
          <w:p w14:paraId="12AF4051">
            <w:r>
              <w:rPr>
                <w:rStyle w:val="10"/>
                <w:rFonts w:hint="eastAsia"/>
              </w:rPr>
              <w:t>质量保证期：</w:t>
            </w:r>
            <w:r>
              <w:rPr>
                <w:rStyle w:val="11"/>
                <w:rFonts w:hint="eastAsia"/>
              </w:rPr>
              <w:t>2年</w:t>
            </w:r>
          </w:p>
        </w:tc>
      </w:tr>
      <w:tr w14:paraId="4A2CD21C">
        <w:tblPrEx>
          <w:tblCellMar>
            <w:top w:w="0" w:type="dxa"/>
            <w:left w:w="0" w:type="dxa"/>
            <w:bottom w:w="0" w:type="dxa"/>
            <w:right w:w="0" w:type="dxa"/>
          </w:tblCellMar>
        </w:tblPrEx>
        <w:trPr>
          <w:wBefore w:w="0" w:type="auto"/>
          <w:tblCellSpacing w:w="0" w:type="dxa"/>
        </w:trPr>
        <w:tc>
          <w:tcPr>
            <w:tcW w:w="0" w:type="auto"/>
            <w:noWrap w:val="0"/>
            <w:vAlign w:val="center"/>
          </w:tcPr>
          <w:p w14:paraId="0BF7302C">
            <w:r>
              <w:rPr>
                <w:rStyle w:val="10"/>
                <w:rFonts w:hint="eastAsia"/>
              </w:rPr>
              <w:t>备注：</w:t>
            </w:r>
          </w:p>
        </w:tc>
      </w:tr>
    </w:tbl>
    <w:p w14:paraId="640618F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85EE53">
        <w:tblPrEx>
          <w:tblCellMar>
            <w:top w:w="0" w:type="dxa"/>
            <w:left w:w="0" w:type="dxa"/>
            <w:bottom w:w="0" w:type="dxa"/>
            <w:right w:w="0" w:type="dxa"/>
          </w:tblCellMar>
        </w:tblPrEx>
        <w:trPr>
          <w:wBefore w:w="0" w:type="auto"/>
          <w:tblCellSpacing w:w="0" w:type="dxa"/>
        </w:trPr>
        <w:tc>
          <w:tcPr>
            <w:tcW w:w="0" w:type="auto"/>
            <w:noWrap w:val="0"/>
            <w:vAlign w:val="center"/>
          </w:tcPr>
          <w:p w14:paraId="22F2ADB5">
            <w:r>
              <w:rPr>
                <w:rStyle w:val="10"/>
                <w:rFonts w:hint="eastAsia"/>
              </w:rPr>
              <w:t>登记证号：</w:t>
            </w:r>
            <w:r>
              <w:rPr>
                <w:rFonts w:hint="eastAsia"/>
              </w:rPr>
              <w:t>PD20212746</w:t>
            </w:r>
          </w:p>
        </w:tc>
      </w:tr>
      <w:tr w14:paraId="44FC6BF1">
        <w:tblPrEx>
          <w:tblCellMar>
            <w:top w:w="0" w:type="dxa"/>
            <w:left w:w="0" w:type="dxa"/>
            <w:bottom w:w="0" w:type="dxa"/>
            <w:right w:w="0" w:type="dxa"/>
          </w:tblCellMar>
        </w:tblPrEx>
        <w:trPr>
          <w:wBefore w:w="0" w:type="auto"/>
          <w:tblCellSpacing w:w="0" w:type="dxa"/>
        </w:trPr>
        <w:tc>
          <w:tcPr>
            <w:tcW w:w="0" w:type="auto"/>
            <w:noWrap w:val="0"/>
            <w:vAlign w:val="center"/>
          </w:tcPr>
          <w:p w14:paraId="020B8D84">
            <w:r>
              <w:rPr>
                <w:rStyle w:val="10"/>
                <w:rFonts w:hint="eastAsia"/>
              </w:rPr>
              <w:t>登记证持有人：</w:t>
            </w:r>
            <w:r>
              <w:rPr>
                <w:rFonts w:hint="eastAsia"/>
              </w:rPr>
              <w:t>柳州市惠农化工有限公司</w:t>
            </w:r>
          </w:p>
        </w:tc>
      </w:tr>
      <w:tr w14:paraId="18F46849">
        <w:tblPrEx>
          <w:tblCellMar>
            <w:top w:w="0" w:type="dxa"/>
            <w:left w:w="0" w:type="dxa"/>
            <w:bottom w:w="0" w:type="dxa"/>
            <w:right w:w="0" w:type="dxa"/>
          </w:tblCellMar>
        </w:tblPrEx>
        <w:trPr>
          <w:wBefore w:w="0" w:type="auto"/>
          <w:tblCellSpacing w:w="0" w:type="dxa"/>
        </w:trPr>
        <w:tc>
          <w:tcPr>
            <w:tcW w:w="0" w:type="auto"/>
            <w:noWrap w:val="0"/>
            <w:vAlign w:val="center"/>
          </w:tcPr>
          <w:p w14:paraId="1CB5A1F4">
            <w:r>
              <w:rPr>
                <w:rStyle w:val="10"/>
                <w:rFonts w:hint="eastAsia"/>
              </w:rPr>
              <w:t>农药名称：</w:t>
            </w:r>
            <w:r>
              <w:rPr>
                <w:rFonts w:hint="eastAsia"/>
              </w:rPr>
              <w:t>赤霉酸</w:t>
            </w:r>
          </w:p>
        </w:tc>
      </w:tr>
      <w:tr w14:paraId="4E6DB2A0">
        <w:tblPrEx>
          <w:tblCellMar>
            <w:top w:w="0" w:type="dxa"/>
            <w:left w:w="0" w:type="dxa"/>
            <w:bottom w:w="0" w:type="dxa"/>
            <w:right w:w="0" w:type="dxa"/>
          </w:tblCellMar>
        </w:tblPrEx>
        <w:trPr>
          <w:wBefore w:w="0" w:type="auto"/>
          <w:tblCellSpacing w:w="0" w:type="dxa"/>
        </w:trPr>
        <w:tc>
          <w:tcPr>
            <w:tcW w:w="0" w:type="auto"/>
            <w:noWrap w:val="0"/>
            <w:vAlign w:val="center"/>
          </w:tcPr>
          <w:p w14:paraId="547264CC">
            <w:r>
              <w:rPr>
                <w:rStyle w:val="10"/>
                <w:rFonts w:hint="eastAsia"/>
              </w:rPr>
              <w:t>剂型：</w:t>
            </w:r>
            <w:r>
              <w:rPr>
                <w:rFonts w:hint="eastAsia"/>
              </w:rPr>
              <w:t>可溶粉剂</w:t>
            </w:r>
          </w:p>
        </w:tc>
      </w:tr>
      <w:tr w14:paraId="634E01E9">
        <w:tblPrEx>
          <w:tblCellMar>
            <w:top w:w="0" w:type="dxa"/>
            <w:left w:w="0" w:type="dxa"/>
            <w:bottom w:w="0" w:type="dxa"/>
            <w:right w:w="0" w:type="dxa"/>
          </w:tblCellMar>
        </w:tblPrEx>
        <w:trPr>
          <w:wBefore w:w="0" w:type="auto"/>
          <w:tblCellSpacing w:w="0" w:type="dxa"/>
        </w:trPr>
        <w:tc>
          <w:tcPr>
            <w:tcW w:w="0" w:type="auto"/>
            <w:noWrap w:val="0"/>
            <w:vAlign w:val="center"/>
          </w:tcPr>
          <w:p w14:paraId="217EF2D9">
            <w:r>
              <w:rPr>
                <w:rStyle w:val="10"/>
                <w:rFonts w:hint="eastAsia"/>
              </w:rPr>
              <w:t>毒性及其标识：</w:t>
            </w:r>
            <w:r>
              <w:rPr>
                <w:rFonts w:hint="eastAsia"/>
              </w:rPr>
              <w:t xml:space="preserve"> </w:t>
            </w:r>
            <w:r>
              <w:rPr>
                <w:lang/>
              </w:rPr>
              <w:drawing>
                <wp:inline distT="0" distB="0" distL="114300" distR="114300">
                  <wp:extent cx="476250" cy="323850"/>
                  <wp:effectExtent l="0" t="0" r="0" b="0"/>
                  <wp:docPr id="227" name="图片 2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87F5F7">
        <w:tblPrEx>
          <w:tblCellMar>
            <w:top w:w="0" w:type="dxa"/>
            <w:left w:w="0" w:type="dxa"/>
            <w:bottom w:w="0" w:type="dxa"/>
            <w:right w:w="0" w:type="dxa"/>
          </w:tblCellMar>
        </w:tblPrEx>
        <w:trPr>
          <w:wBefore w:w="0" w:type="auto"/>
          <w:tblCellSpacing w:w="0" w:type="dxa"/>
        </w:trPr>
        <w:tc>
          <w:tcPr>
            <w:tcW w:w="0" w:type="auto"/>
            <w:noWrap w:val="0"/>
            <w:vAlign w:val="center"/>
          </w:tcPr>
          <w:p w14:paraId="18E2E869">
            <w:r>
              <w:rPr>
                <w:rStyle w:val="10"/>
                <w:rFonts w:hint="eastAsia"/>
              </w:rPr>
              <w:t>总有效成分含量：</w:t>
            </w:r>
            <w:r>
              <w:rPr>
                <w:rFonts w:hint="eastAsia"/>
              </w:rPr>
              <w:t>40%</w:t>
            </w:r>
          </w:p>
        </w:tc>
      </w:tr>
      <w:tr w14:paraId="59051D31">
        <w:tblPrEx>
          <w:tblCellMar>
            <w:top w:w="0" w:type="dxa"/>
            <w:left w:w="0" w:type="dxa"/>
            <w:bottom w:w="0" w:type="dxa"/>
            <w:right w:w="0" w:type="dxa"/>
          </w:tblCellMar>
        </w:tblPrEx>
        <w:trPr>
          <w:wBefore w:w="0" w:type="auto"/>
          <w:tblCellSpacing w:w="0" w:type="dxa"/>
        </w:trPr>
        <w:tc>
          <w:tcPr>
            <w:tcW w:w="0" w:type="auto"/>
            <w:noWrap w:val="0"/>
            <w:vAlign w:val="center"/>
          </w:tcPr>
          <w:p w14:paraId="68B5EE66">
            <w:r>
              <w:rPr>
                <w:rFonts w:hint="eastAsia"/>
              </w:rPr>
              <w:t xml:space="preserve">有效成分及其含量： </w:t>
            </w:r>
          </w:p>
          <w:p w14:paraId="730EDADF">
            <w:r>
              <w:rPr>
                <w:rFonts w:hint="eastAsia"/>
              </w:rPr>
              <w:t xml:space="preserve">    赤霉酸40%    </w:t>
            </w:r>
          </w:p>
        </w:tc>
      </w:tr>
      <w:tr w14:paraId="7C8D851E">
        <w:tblPrEx>
          <w:tblCellMar>
            <w:top w:w="0" w:type="dxa"/>
            <w:left w:w="0" w:type="dxa"/>
            <w:bottom w:w="0" w:type="dxa"/>
            <w:right w:w="0" w:type="dxa"/>
          </w:tblCellMar>
        </w:tblPrEx>
        <w:trPr>
          <w:wBefore w:w="0" w:type="auto"/>
          <w:tblCellSpacing w:w="0" w:type="dxa"/>
        </w:trPr>
        <w:tc>
          <w:tcPr>
            <w:tcW w:w="0" w:type="auto"/>
            <w:noWrap w:val="0"/>
            <w:vAlign w:val="center"/>
          </w:tcPr>
          <w:p w14:paraId="0A4255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E6F2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4C58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569E3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5558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063BA9">
                  <w:r>
                    <w:rPr>
                      <w:rStyle w:val="11"/>
                      <w:rFonts w:hint="eastAsia"/>
                    </w:rPr>
                    <w:t>施用方式</w:t>
                  </w:r>
                </w:p>
              </w:tc>
            </w:tr>
            <w:tr w14:paraId="2C8FB4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137A6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5FA37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510A94">
                  <w:r>
                    <w:rPr>
                      <w:rStyle w:val="11"/>
                      <w:rFonts w:hint="eastAsia"/>
                    </w:rPr>
                    <w:t>10000-16000倍液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EB3805">
                  <w:r>
                    <w:rPr>
                      <w:rStyle w:val="11"/>
                      <w:rFonts w:hint="eastAsia"/>
                    </w:rPr>
                    <w:t>喷雾</w:t>
                  </w:r>
                </w:p>
              </w:tc>
            </w:tr>
          </w:tbl>
          <w:p w14:paraId="7165FE31">
            <w:pPr>
              <w:rPr>
                <w:rFonts w:ascii="Times New Roman" w:hAnsi="Times New Roman" w:cs="Times New Roman"/>
                <w:sz w:val="20"/>
                <w:szCs w:val="20"/>
              </w:rPr>
            </w:pPr>
          </w:p>
        </w:tc>
      </w:tr>
      <w:tr w14:paraId="373248DF">
        <w:tblPrEx>
          <w:tblCellMar>
            <w:top w:w="0" w:type="dxa"/>
            <w:left w:w="0" w:type="dxa"/>
            <w:bottom w:w="0" w:type="dxa"/>
            <w:right w:w="0" w:type="dxa"/>
          </w:tblCellMar>
        </w:tblPrEx>
        <w:trPr>
          <w:wBefore w:w="0" w:type="auto"/>
          <w:tblCellSpacing w:w="0" w:type="dxa"/>
        </w:trPr>
        <w:tc>
          <w:tcPr>
            <w:tcW w:w="0" w:type="auto"/>
            <w:noWrap w:val="0"/>
            <w:vAlign w:val="center"/>
          </w:tcPr>
          <w:p w14:paraId="1FCF07D1">
            <w:r>
              <w:rPr>
                <w:rStyle w:val="10"/>
                <w:rFonts w:hint="eastAsia"/>
              </w:rPr>
              <w:t>使用技术要求:</w:t>
            </w:r>
            <w:r>
              <w:rPr>
                <w:rFonts w:hint="eastAsia"/>
              </w:rPr>
              <w:br w:type="textWrapping"/>
            </w:r>
            <w:r>
              <w:rPr>
                <w:rStyle w:val="11"/>
                <w:rFonts w:hint="eastAsia"/>
              </w:rPr>
              <w:t>1. 本品可直接溶于水，加水充分搅拌，于柑橘谢花2/3 左右时开始施药，间隔10-15天再施药，根据花量树冠 喷雾1-2次，常规方法喷雾，喷至叶片近滴水为宜。 2. 本品应现配现用，不可用热水，水温超过50℃会失 去活性。 3. 施用时气温在18℃以上为好，大风天或预计1小时 内降雨，请勿施药。 4. 施药后应设立警示标志，24小时内禁止人畜进入。</w:t>
            </w:r>
          </w:p>
        </w:tc>
      </w:tr>
      <w:tr w14:paraId="75BB588A">
        <w:tblPrEx>
          <w:tblCellMar>
            <w:top w:w="0" w:type="dxa"/>
            <w:left w:w="0" w:type="dxa"/>
            <w:bottom w:w="0" w:type="dxa"/>
            <w:right w:w="0" w:type="dxa"/>
          </w:tblCellMar>
        </w:tblPrEx>
        <w:trPr>
          <w:wBefore w:w="0" w:type="auto"/>
          <w:tblCellSpacing w:w="0" w:type="dxa"/>
        </w:trPr>
        <w:tc>
          <w:tcPr>
            <w:tcW w:w="0" w:type="auto"/>
            <w:noWrap w:val="0"/>
            <w:vAlign w:val="center"/>
          </w:tcPr>
          <w:p w14:paraId="6B748A3D">
            <w:r>
              <w:rPr>
                <w:rStyle w:val="10"/>
                <w:rFonts w:hint="eastAsia"/>
              </w:rPr>
              <w:t>产品性能:</w:t>
            </w:r>
            <w:r>
              <w:rPr>
                <w:rFonts w:hint="eastAsia"/>
              </w:rPr>
              <w:br w:type="textWrapping"/>
            </w:r>
            <w:r>
              <w:rPr>
                <w:rStyle w:val="11"/>
                <w:rFonts w:hint="eastAsia"/>
              </w:rPr>
              <w:t>本产品有效成分赤霉酸是一个广谱性植物生长调节剂，俗称“九二0”，可促进作物生长发育，使之提早成熟、提高产量、改进品质；能迅速打破种子、块茎和鳞茎等器官的休眠，促进发芽提高果实结果率或形成无籽果实。此产品主要用于调节柑橘生长。</w:t>
            </w:r>
          </w:p>
        </w:tc>
      </w:tr>
      <w:tr w14:paraId="59C0E8BF">
        <w:tblPrEx>
          <w:tblCellMar>
            <w:top w:w="0" w:type="dxa"/>
            <w:left w:w="0" w:type="dxa"/>
            <w:bottom w:w="0" w:type="dxa"/>
            <w:right w:w="0" w:type="dxa"/>
          </w:tblCellMar>
        </w:tblPrEx>
        <w:trPr>
          <w:wBefore w:w="0" w:type="auto"/>
          <w:tblCellSpacing w:w="0" w:type="dxa"/>
        </w:trPr>
        <w:tc>
          <w:tcPr>
            <w:tcW w:w="0" w:type="auto"/>
            <w:noWrap w:val="0"/>
            <w:vAlign w:val="center"/>
          </w:tcPr>
          <w:p w14:paraId="017DF5D9">
            <w:r>
              <w:rPr>
                <w:rStyle w:val="10"/>
                <w:rFonts w:hint="eastAsia"/>
              </w:rPr>
              <w:t>注意事项：</w:t>
            </w:r>
            <w:r>
              <w:rPr>
                <w:rFonts w:hint="eastAsia"/>
              </w:rPr>
              <w:br w:type="textWrapping"/>
            </w:r>
            <w:r>
              <w:rPr>
                <w:rStyle w:val="11"/>
                <w:rFonts w:hint="eastAsia"/>
              </w:rPr>
              <w:t>1. 本品对蜜蜂低毒，但使用期间建议不要放养蜜蜂。2. 本品使用时远离水产养殖区、河塘等水体施药，施药后的水不得直接排入水体。禁止在河塘等水体中清洗施药器具。3. 本品对眼睛有刺激性，使用时避免接触眼睛，穿戴长衣、长裤、帽子、口罩、手套等防护措施，避免皮肤接触及口鼻吸入。使用中不可吸烟、饮水及吃东西，使用后及时清洗手、脸等暴露部位皮肤并更换衣物。 4. 用过的容器应妥善处理，不可作他用，也不可随意丢弃。 5. 孕妇及哺乳期妇女避免接触。6. 本品不可与呈碱性的农药等物质混合使用。</w:t>
            </w:r>
          </w:p>
        </w:tc>
      </w:tr>
      <w:tr w14:paraId="4AB9A679">
        <w:tblPrEx>
          <w:tblCellMar>
            <w:top w:w="0" w:type="dxa"/>
            <w:left w:w="0" w:type="dxa"/>
            <w:bottom w:w="0" w:type="dxa"/>
            <w:right w:w="0" w:type="dxa"/>
          </w:tblCellMar>
        </w:tblPrEx>
        <w:trPr>
          <w:wBefore w:w="0" w:type="auto"/>
          <w:tblCellSpacing w:w="0" w:type="dxa"/>
        </w:trPr>
        <w:tc>
          <w:tcPr>
            <w:tcW w:w="0" w:type="auto"/>
            <w:noWrap w:val="0"/>
            <w:vAlign w:val="center"/>
          </w:tcPr>
          <w:p w14:paraId="30DCC8AE">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1. 皮肤接触:脱去污染的衣物,用软布去除沾染农药,立即用大量清水和肥皂冲洗。 2. 眼睛溅入:立即用流动清水冲洗不少于15分钟。 3. 吸入:立即离开施药现场,转移到空气清新处。 4. 误食:立即停止服用,用清水充分漱口后,立即携带农药标签到医院就诊。</w:t>
            </w:r>
          </w:p>
        </w:tc>
      </w:tr>
      <w:tr w14:paraId="20D34C34">
        <w:tblPrEx>
          <w:tblCellMar>
            <w:top w:w="0" w:type="dxa"/>
            <w:left w:w="0" w:type="dxa"/>
            <w:bottom w:w="0" w:type="dxa"/>
            <w:right w:w="0" w:type="dxa"/>
          </w:tblCellMar>
        </w:tblPrEx>
        <w:trPr>
          <w:wBefore w:w="0" w:type="auto"/>
          <w:tblCellSpacing w:w="0" w:type="dxa"/>
        </w:trPr>
        <w:tc>
          <w:tcPr>
            <w:tcW w:w="0" w:type="auto"/>
            <w:noWrap w:val="0"/>
            <w:vAlign w:val="center"/>
          </w:tcPr>
          <w:p w14:paraId="24CA1AC8">
            <w:r>
              <w:rPr>
                <w:rStyle w:val="10"/>
                <w:rFonts w:hint="eastAsia"/>
              </w:rPr>
              <w:t>储存和运输方法：</w:t>
            </w:r>
            <w:r>
              <w:rPr>
                <w:rFonts w:hint="eastAsia"/>
              </w:rPr>
              <w:br w:type="textWrapping"/>
            </w:r>
            <w:r>
              <w:rPr>
                <w:rStyle w:val="11"/>
                <w:rFonts w:hint="eastAsia"/>
              </w:rPr>
              <w:t>1. 本品应储存在干燥、阴凉、通风、防雨的库房中，远离火源或热源。2. 本品应当置于儿童、无关人员及动物接触不到的地方，并加锁保管。3. 不能与食品、饮料、粮食、饲料等混合储运。</w:t>
            </w:r>
          </w:p>
        </w:tc>
      </w:tr>
      <w:tr w14:paraId="5858E026">
        <w:tblPrEx>
          <w:tblCellMar>
            <w:top w:w="0" w:type="dxa"/>
            <w:left w:w="0" w:type="dxa"/>
            <w:bottom w:w="0" w:type="dxa"/>
            <w:right w:w="0" w:type="dxa"/>
          </w:tblCellMar>
        </w:tblPrEx>
        <w:trPr>
          <w:wBefore w:w="0" w:type="auto"/>
          <w:tblCellSpacing w:w="0" w:type="dxa"/>
        </w:trPr>
        <w:tc>
          <w:tcPr>
            <w:tcW w:w="0" w:type="auto"/>
            <w:noWrap w:val="0"/>
            <w:vAlign w:val="center"/>
          </w:tcPr>
          <w:p w14:paraId="39B4E2FE">
            <w:r>
              <w:rPr>
                <w:rStyle w:val="10"/>
                <w:rFonts w:hint="eastAsia"/>
              </w:rPr>
              <w:t>质量保证期：</w:t>
            </w:r>
            <w:r>
              <w:rPr>
                <w:rStyle w:val="11"/>
                <w:rFonts w:hint="eastAsia"/>
              </w:rPr>
              <w:t>2年</w:t>
            </w:r>
          </w:p>
        </w:tc>
      </w:tr>
      <w:tr w14:paraId="450CBF0F">
        <w:tblPrEx>
          <w:tblCellMar>
            <w:top w:w="0" w:type="dxa"/>
            <w:left w:w="0" w:type="dxa"/>
            <w:bottom w:w="0" w:type="dxa"/>
            <w:right w:w="0" w:type="dxa"/>
          </w:tblCellMar>
        </w:tblPrEx>
        <w:trPr>
          <w:wBefore w:w="0" w:type="auto"/>
          <w:tblCellSpacing w:w="0" w:type="dxa"/>
        </w:trPr>
        <w:tc>
          <w:tcPr>
            <w:tcW w:w="0" w:type="auto"/>
            <w:noWrap w:val="0"/>
            <w:vAlign w:val="center"/>
          </w:tcPr>
          <w:p w14:paraId="73632753">
            <w:r>
              <w:rPr>
                <w:rStyle w:val="10"/>
                <w:rFonts w:hint="eastAsia"/>
              </w:rPr>
              <w:t>备注：</w:t>
            </w:r>
          </w:p>
        </w:tc>
      </w:tr>
    </w:tbl>
    <w:p w14:paraId="1A9EE56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AFEBA3">
        <w:tblPrEx>
          <w:tblCellMar>
            <w:top w:w="0" w:type="dxa"/>
            <w:left w:w="0" w:type="dxa"/>
            <w:bottom w:w="0" w:type="dxa"/>
            <w:right w:w="0" w:type="dxa"/>
          </w:tblCellMar>
        </w:tblPrEx>
        <w:trPr>
          <w:wBefore w:w="0" w:type="auto"/>
          <w:tblCellSpacing w:w="0" w:type="dxa"/>
        </w:trPr>
        <w:tc>
          <w:tcPr>
            <w:tcW w:w="0" w:type="auto"/>
            <w:noWrap w:val="0"/>
            <w:vAlign w:val="center"/>
          </w:tcPr>
          <w:p w14:paraId="711D1820">
            <w:r>
              <w:rPr>
                <w:rStyle w:val="10"/>
                <w:rFonts w:hint="eastAsia"/>
              </w:rPr>
              <w:t>登记证号：</w:t>
            </w:r>
            <w:r>
              <w:rPr>
                <w:rFonts w:hint="eastAsia"/>
              </w:rPr>
              <w:t>PD20212517</w:t>
            </w:r>
          </w:p>
        </w:tc>
      </w:tr>
      <w:tr w14:paraId="24B429CC">
        <w:tblPrEx>
          <w:tblCellMar>
            <w:top w:w="0" w:type="dxa"/>
            <w:left w:w="0" w:type="dxa"/>
            <w:bottom w:w="0" w:type="dxa"/>
            <w:right w:w="0" w:type="dxa"/>
          </w:tblCellMar>
        </w:tblPrEx>
        <w:trPr>
          <w:wBefore w:w="0" w:type="auto"/>
          <w:tblCellSpacing w:w="0" w:type="dxa"/>
        </w:trPr>
        <w:tc>
          <w:tcPr>
            <w:tcW w:w="0" w:type="auto"/>
            <w:noWrap w:val="0"/>
            <w:vAlign w:val="center"/>
          </w:tcPr>
          <w:p w14:paraId="10BBC0F4">
            <w:r>
              <w:rPr>
                <w:rStyle w:val="10"/>
                <w:rFonts w:hint="eastAsia"/>
              </w:rPr>
              <w:t>登记证持有人：</w:t>
            </w:r>
            <w:r>
              <w:rPr>
                <w:rFonts w:hint="eastAsia"/>
              </w:rPr>
              <w:t>山东玥鸣生物科技有限公司</w:t>
            </w:r>
          </w:p>
        </w:tc>
      </w:tr>
      <w:tr w14:paraId="16961E4D">
        <w:tblPrEx>
          <w:tblCellMar>
            <w:top w:w="0" w:type="dxa"/>
            <w:left w:w="0" w:type="dxa"/>
            <w:bottom w:w="0" w:type="dxa"/>
            <w:right w:w="0" w:type="dxa"/>
          </w:tblCellMar>
        </w:tblPrEx>
        <w:trPr>
          <w:wBefore w:w="0" w:type="auto"/>
          <w:tblCellSpacing w:w="0" w:type="dxa"/>
        </w:trPr>
        <w:tc>
          <w:tcPr>
            <w:tcW w:w="0" w:type="auto"/>
            <w:noWrap w:val="0"/>
            <w:vAlign w:val="center"/>
          </w:tcPr>
          <w:p w14:paraId="49641CCD">
            <w:r>
              <w:rPr>
                <w:rStyle w:val="10"/>
                <w:rFonts w:hint="eastAsia"/>
              </w:rPr>
              <w:t>农药名称：</w:t>
            </w:r>
            <w:r>
              <w:rPr>
                <w:rFonts w:hint="eastAsia"/>
              </w:rPr>
              <w:t>氟草·草甘膦</w:t>
            </w:r>
          </w:p>
        </w:tc>
      </w:tr>
      <w:tr w14:paraId="43F64342">
        <w:tblPrEx>
          <w:tblCellMar>
            <w:top w:w="0" w:type="dxa"/>
            <w:left w:w="0" w:type="dxa"/>
            <w:bottom w:w="0" w:type="dxa"/>
            <w:right w:w="0" w:type="dxa"/>
          </w:tblCellMar>
        </w:tblPrEx>
        <w:trPr>
          <w:wBefore w:w="0" w:type="auto"/>
          <w:tblCellSpacing w:w="0" w:type="dxa"/>
        </w:trPr>
        <w:tc>
          <w:tcPr>
            <w:tcW w:w="0" w:type="auto"/>
            <w:noWrap w:val="0"/>
            <w:vAlign w:val="center"/>
          </w:tcPr>
          <w:p w14:paraId="38939369">
            <w:r>
              <w:rPr>
                <w:rStyle w:val="10"/>
                <w:rFonts w:hint="eastAsia"/>
              </w:rPr>
              <w:t>剂型：</w:t>
            </w:r>
            <w:r>
              <w:rPr>
                <w:rFonts w:hint="eastAsia"/>
              </w:rPr>
              <w:t>可分散油悬浮剂</w:t>
            </w:r>
          </w:p>
        </w:tc>
      </w:tr>
      <w:tr w14:paraId="11C2788C">
        <w:tblPrEx>
          <w:tblCellMar>
            <w:top w:w="0" w:type="dxa"/>
            <w:left w:w="0" w:type="dxa"/>
            <w:bottom w:w="0" w:type="dxa"/>
            <w:right w:w="0" w:type="dxa"/>
          </w:tblCellMar>
        </w:tblPrEx>
        <w:trPr>
          <w:wBefore w:w="0" w:type="auto"/>
          <w:tblCellSpacing w:w="0" w:type="dxa"/>
        </w:trPr>
        <w:tc>
          <w:tcPr>
            <w:tcW w:w="0" w:type="auto"/>
            <w:noWrap w:val="0"/>
            <w:vAlign w:val="center"/>
          </w:tcPr>
          <w:p w14:paraId="382EBBBA">
            <w:r>
              <w:rPr>
                <w:rStyle w:val="10"/>
                <w:rFonts w:hint="eastAsia"/>
              </w:rPr>
              <w:t>毒性及其标识：</w:t>
            </w:r>
            <w:r>
              <w:rPr>
                <w:rFonts w:hint="eastAsia"/>
              </w:rPr>
              <w:t xml:space="preserve"> 微毒 </w:t>
            </w:r>
          </w:p>
        </w:tc>
      </w:tr>
      <w:tr w14:paraId="041DD49C">
        <w:tblPrEx>
          <w:tblCellMar>
            <w:top w:w="0" w:type="dxa"/>
            <w:left w:w="0" w:type="dxa"/>
            <w:bottom w:w="0" w:type="dxa"/>
            <w:right w:w="0" w:type="dxa"/>
          </w:tblCellMar>
        </w:tblPrEx>
        <w:trPr>
          <w:wBefore w:w="0" w:type="auto"/>
          <w:tblCellSpacing w:w="0" w:type="dxa"/>
        </w:trPr>
        <w:tc>
          <w:tcPr>
            <w:tcW w:w="0" w:type="auto"/>
            <w:noWrap w:val="0"/>
            <w:vAlign w:val="center"/>
          </w:tcPr>
          <w:p w14:paraId="1CAA7269">
            <w:r>
              <w:rPr>
                <w:rStyle w:val="10"/>
                <w:rFonts w:hint="eastAsia"/>
              </w:rPr>
              <w:t>总有效成分含量：</w:t>
            </w:r>
            <w:r>
              <w:rPr>
                <w:rFonts w:hint="eastAsia"/>
              </w:rPr>
              <w:t>31%</w:t>
            </w:r>
          </w:p>
        </w:tc>
      </w:tr>
      <w:tr w14:paraId="55156DA7">
        <w:tblPrEx>
          <w:tblCellMar>
            <w:top w:w="0" w:type="dxa"/>
            <w:left w:w="0" w:type="dxa"/>
            <w:bottom w:w="0" w:type="dxa"/>
            <w:right w:w="0" w:type="dxa"/>
          </w:tblCellMar>
        </w:tblPrEx>
        <w:trPr>
          <w:wBefore w:w="0" w:type="auto"/>
          <w:tblCellSpacing w:w="0" w:type="dxa"/>
        </w:trPr>
        <w:tc>
          <w:tcPr>
            <w:tcW w:w="0" w:type="auto"/>
            <w:noWrap w:val="0"/>
            <w:vAlign w:val="center"/>
          </w:tcPr>
          <w:p w14:paraId="0FE1761E">
            <w:r>
              <w:rPr>
                <w:rFonts w:hint="eastAsia"/>
              </w:rPr>
              <w:t xml:space="preserve">有效成分及其含量： </w:t>
            </w:r>
          </w:p>
          <w:p w14:paraId="22ED3022">
            <w:r>
              <w:rPr>
                <w:rFonts w:hint="eastAsia"/>
              </w:rPr>
              <w:t xml:space="preserve">    丙炔氟草胺1%    草甘膦30%    </w:t>
            </w:r>
          </w:p>
        </w:tc>
      </w:tr>
      <w:tr w14:paraId="4A24E99C">
        <w:tblPrEx>
          <w:tblCellMar>
            <w:top w:w="0" w:type="dxa"/>
            <w:left w:w="0" w:type="dxa"/>
            <w:bottom w:w="0" w:type="dxa"/>
            <w:right w:w="0" w:type="dxa"/>
          </w:tblCellMar>
        </w:tblPrEx>
        <w:trPr>
          <w:wBefore w:w="0" w:type="auto"/>
          <w:tblCellSpacing w:w="0" w:type="dxa"/>
        </w:trPr>
        <w:tc>
          <w:tcPr>
            <w:tcW w:w="0" w:type="auto"/>
            <w:noWrap w:val="0"/>
            <w:vAlign w:val="center"/>
          </w:tcPr>
          <w:p w14:paraId="06A1F9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B255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8437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853E1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9B30B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D84D498">
                  <w:r>
                    <w:rPr>
                      <w:rStyle w:val="11"/>
                      <w:rFonts w:hint="eastAsia"/>
                    </w:rPr>
                    <w:t>施用方式</w:t>
                  </w:r>
                </w:p>
              </w:tc>
            </w:tr>
            <w:tr w14:paraId="0213F3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16A14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41C4F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BE3644">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B64149">
                  <w:r>
                    <w:rPr>
                      <w:rStyle w:val="11"/>
                      <w:rFonts w:hint="eastAsia"/>
                    </w:rPr>
                    <w:t>茎叶喷雾</w:t>
                  </w:r>
                </w:p>
              </w:tc>
            </w:tr>
          </w:tbl>
          <w:p w14:paraId="1F58EE0E">
            <w:pPr>
              <w:rPr>
                <w:rFonts w:ascii="Times New Roman" w:hAnsi="Times New Roman" w:cs="Times New Roman"/>
                <w:sz w:val="20"/>
                <w:szCs w:val="20"/>
              </w:rPr>
            </w:pPr>
          </w:p>
        </w:tc>
      </w:tr>
      <w:tr w14:paraId="046402AE">
        <w:tblPrEx>
          <w:tblCellMar>
            <w:top w:w="0" w:type="dxa"/>
            <w:left w:w="0" w:type="dxa"/>
            <w:bottom w:w="0" w:type="dxa"/>
            <w:right w:w="0" w:type="dxa"/>
          </w:tblCellMar>
        </w:tblPrEx>
        <w:trPr>
          <w:wBefore w:w="0" w:type="auto"/>
          <w:tblCellSpacing w:w="0" w:type="dxa"/>
        </w:trPr>
        <w:tc>
          <w:tcPr>
            <w:tcW w:w="0" w:type="auto"/>
            <w:noWrap w:val="0"/>
            <w:vAlign w:val="center"/>
          </w:tcPr>
          <w:p w14:paraId="21060B19">
            <w:r>
              <w:rPr>
                <w:rStyle w:val="10"/>
                <w:rFonts w:hint="eastAsia"/>
              </w:rPr>
              <w:t>使用技术要求:</w:t>
            </w:r>
            <w:r>
              <w:rPr>
                <w:rFonts w:hint="eastAsia"/>
              </w:rPr>
              <w:br w:type="textWrapping"/>
            </w:r>
            <w:r>
              <w:rPr>
                <w:rStyle w:val="11"/>
                <w:rFonts w:hint="eastAsia"/>
              </w:rPr>
              <w:t>1、本品于非耕地杂草生长旺盛期茎叶均匀喷雾。2、施药时，如遇草龄较大或持续干旱，请酌情增加喷药量。3、大风天或预计1小时内降雨，勿施药。4、避免飘移药害；禁止在田间道路、田埂、果树行间、休耕地、林场林地等农林业区域使用。</w:t>
            </w:r>
          </w:p>
        </w:tc>
      </w:tr>
      <w:tr w14:paraId="5F37178F">
        <w:tblPrEx>
          <w:tblCellMar>
            <w:top w:w="0" w:type="dxa"/>
            <w:left w:w="0" w:type="dxa"/>
            <w:bottom w:w="0" w:type="dxa"/>
            <w:right w:w="0" w:type="dxa"/>
          </w:tblCellMar>
        </w:tblPrEx>
        <w:trPr>
          <w:wBefore w:w="0" w:type="auto"/>
          <w:tblCellSpacing w:w="0" w:type="dxa"/>
        </w:trPr>
        <w:tc>
          <w:tcPr>
            <w:tcW w:w="0" w:type="auto"/>
            <w:noWrap w:val="0"/>
            <w:vAlign w:val="center"/>
          </w:tcPr>
          <w:p w14:paraId="08A513D8">
            <w:r>
              <w:rPr>
                <w:rStyle w:val="10"/>
                <w:rFonts w:hint="eastAsia"/>
              </w:rPr>
              <w:t>产品性能:</w:t>
            </w:r>
            <w:r>
              <w:rPr>
                <w:rFonts w:hint="eastAsia"/>
              </w:rPr>
              <w:br w:type="textWrapping"/>
            </w:r>
            <w:r>
              <w:rPr>
                <w:rStyle w:val="11"/>
                <w:rFonts w:hint="eastAsia"/>
              </w:rPr>
              <w:t>本品是由丙炔氟草胺和草甘膦铵盐复配而成的除草剂，对非耕地杂草有较好的防效。</w:t>
            </w:r>
          </w:p>
        </w:tc>
      </w:tr>
      <w:tr w14:paraId="2E25833D">
        <w:tblPrEx>
          <w:tblCellMar>
            <w:top w:w="0" w:type="dxa"/>
            <w:left w:w="0" w:type="dxa"/>
            <w:bottom w:w="0" w:type="dxa"/>
            <w:right w:w="0" w:type="dxa"/>
          </w:tblCellMar>
        </w:tblPrEx>
        <w:trPr>
          <w:wBefore w:w="0" w:type="auto"/>
          <w:tblCellSpacing w:w="0" w:type="dxa"/>
        </w:trPr>
        <w:tc>
          <w:tcPr>
            <w:tcW w:w="0" w:type="auto"/>
            <w:noWrap w:val="0"/>
            <w:vAlign w:val="center"/>
          </w:tcPr>
          <w:p w14:paraId="6848C643">
            <w:r>
              <w:rPr>
                <w:rStyle w:val="10"/>
                <w:rFonts w:hint="eastAsia"/>
              </w:rPr>
              <w:t>注意事项：</w:t>
            </w:r>
            <w:r>
              <w:rPr>
                <w:rFonts w:hint="eastAsia"/>
              </w:rPr>
              <w:br w:type="textWrapping"/>
            </w:r>
            <w:r>
              <w:rPr>
                <w:rStyle w:val="11"/>
                <w:rFonts w:hint="eastAsia"/>
              </w:rPr>
              <w:t>1、喷药时喷头尽量要低，并带防护罩，避免药液飘移到作物茎叶上，以免产生药害。 2、喷药均匀，杂草草龄和密度较大，需喷匀喷透。用于大面积灭草时，药后杂草成片干枯，应注意火灾发生。 3、应远离水产养殖区施药，禁止在河塘等水体中清洗施药器具。蚕室及桑园附近禁用。赤眼蜂等天敌放飞区域禁用。 4、使用本品时应穿戴穿戴长衣、长裤、帽子、口罩、手套等防护措施，避免吸入药液。施药期间不可吃东西和饮水。施药后应及时洗手和洗脸。 7、孕妇和哺乳期妇女避免接触。 8、用过的容器应妥善处理，不可做他用，也不可随意丢弃。</w:t>
            </w:r>
          </w:p>
        </w:tc>
      </w:tr>
      <w:tr w14:paraId="3D81DBA9">
        <w:tblPrEx>
          <w:tblCellMar>
            <w:top w:w="0" w:type="dxa"/>
            <w:left w:w="0" w:type="dxa"/>
            <w:bottom w:w="0" w:type="dxa"/>
            <w:right w:w="0" w:type="dxa"/>
          </w:tblCellMar>
        </w:tblPrEx>
        <w:trPr>
          <w:wBefore w:w="0" w:type="auto"/>
          <w:tblCellSpacing w:w="0" w:type="dxa"/>
        </w:trPr>
        <w:tc>
          <w:tcPr>
            <w:tcW w:w="0" w:type="auto"/>
            <w:noWrap w:val="0"/>
            <w:vAlign w:val="center"/>
          </w:tcPr>
          <w:p w14:paraId="29AF9966">
            <w:r>
              <w:rPr>
                <w:rStyle w:val="10"/>
                <w:rFonts w:hint="eastAsia"/>
              </w:rPr>
              <w:t>中毒急救措施：</w:t>
            </w:r>
            <w:r>
              <w:rPr>
                <w:rFonts w:hint="eastAsia"/>
              </w:rPr>
              <w:br w:type="textWrapping"/>
            </w:r>
            <w:r>
              <w:rPr>
                <w:rStyle w:val="11"/>
                <w:rFonts w:hint="eastAsia"/>
              </w:rPr>
              <w:t>本品无专用解毒剂。 不慎误服：用清水将嘴清洗干净，不要自行引吐，携此标签送医诊治。医生洗胃时，应注意保护气管和食管；不慎吸入：应将病人移至空气流通处；不慎眼睛溅入或接触皮肤：用大量清水冲洗至少15分钟。</w:t>
            </w:r>
          </w:p>
        </w:tc>
      </w:tr>
      <w:tr w14:paraId="127E30AB">
        <w:tblPrEx>
          <w:tblCellMar>
            <w:top w:w="0" w:type="dxa"/>
            <w:left w:w="0" w:type="dxa"/>
            <w:bottom w:w="0" w:type="dxa"/>
            <w:right w:w="0" w:type="dxa"/>
          </w:tblCellMar>
        </w:tblPrEx>
        <w:trPr>
          <w:wBefore w:w="0" w:type="auto"/>
          <w:tblCellSpacing w:w="0" w:type="dxa"/>
        </w:trPr>
        <w:tc>
          <w:tcPr>
            <w:tcW w:w="0" w:type="auto"/>
            <w:noWrap w:val="0"/>
            <w:vAlign w:val="center"/>
          </w:tcPr>
          <w:p w14:paraId="20C1CD21">
            <w:r>
              <w:rPr>
                <w:rStyle w:val="10"/>
                <w:rFonts w:hint="eastAsia"/>
              </w:rPr>
              <w:t>储存和运输方法：</w:t>
            </w:r>
            <w:r>
              <w:rPr>
                <w:rFonts w:hint="eastAsia"/>
              </w:rPr>
              <w:br w:type="textWrapping"/>
            </w:r>
            <w:r>
              <w:rPr>
                <w:rStyle w:val="11"/>
                <w:rFonts w:hint="eastAsia"/>
              </w:rPr>
              <w:t>本品应贮存在干燥、阴凉、通风、防雨处，远离火源或热源。远离儿童及其他无关人员，并加锁保存。不能与食品、饮料、粮食、饲料等混合贮存。</w:t>
            </w:r>
          </w:p>
        </w:tc>
      </w:tr>
      <w:tr w14:paraId="3129727D">
        <w:tblPrEx>
          <w:tblCellMar>
            <w:top w:w="0" w:type="dxa"/>
            <w:left w:w="0" w:type="dxa"/>
            <w:bottom w:w="0" w:type="dxa"/>
            <w:right w:w="0" w:type="dxa"/>
          </w:tblCellMar>
        </w:tblPrEx>
        <w:trPr>
          <w:wBefore w:w="0" w:type="auto"/>
          <w:tblCellSpacing w:w="0" w:type="dxa"/>
        </w:trPr>
        <w:tc>
          <w:tcPr>
            <w:tcW w:w="0" w:type="auto"/>
            <w:noWrap w:val="0"/>
            <w:vAlign w:val="center"/>
          </w:tcPr>
          <w:p w14:paraId="1C39E0BB">
            <w:r>
              <w:rPr>
                <w:rStyle w:val="10"/>
                <w:rFonts w:hint="eastAsia"/>
              </w:rPr>
              <w:t>质量保证期：</w:t>
            </w:r>
            <w:r>
              <w:rPr>
                <w:rStyle w:val="11"/>
                <w:rFonts w:hint="eastAsia"/>
              </w:rPr>
              <w:t>2年</w:t>
            </w:r>
          </w:p>
        </w:tc>
      </w:tr>
      <w:tr w14:paraId="7CE31515">
        <w:tblPrEx>
          <w:tblCellMar>
            <w:top w:w="0" w:type="dxa"/>
            <w:left w:w="0" w:type="dxa"/>
            <w:bottom w:w="0" w:type="dxa"/>
            <w:right w:w="0" w:type="dxa"/>
          </w:tblCellMar>
        </w:tblPrEx>
        <w:trPr>
          <w:wBefore w:w="0" w:type="auto"/>
          <w:tblCellSpacing w:w="0" w:type="dxa"/>
        </w:trPr>
        <w:tc>
          <w:tcPr>
            <w:tcW w:w="0" w:type="auto"/>
            <w:noWrap w:val="0"/>
            <w:vAlign w:val="center"/>
          </w:tcPr>
          <w:p w14:paraId="37FC1A87">
            <w:r>
              <w:rPr>
                <w:rStyle w:val="10"/>
                <w:rFonts w:hint="eastAsia"/>
              </w:rPr>
              <w:t>备注：</w:t>
            </w:r>
            <w:r>
              <w:rPr>
                <w:rFonts w:hint="eastAsia"/>
              </w:rPr>
              <w:br w:type="textWrapping"/>
            </w:r>
            <w:r>
              <w:rPr>
                <w:rStyle w:val="11"/>
                <w:rFonts w:hint="eastAsia"/>
              </w:rPr>
              <w:t>草甘膦铵盐33%。</w:t>
            </w:r>
          </w:p>
        </w:tc>
      </w:tr>
    </w:tbl>
    <w:p w14:paraId="7E2E58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CFD9B9">
        <w:tblPrEx>
          <w:tblCellMar>
            <w:top w:w="0" w:type="dxa"/>
            <w:left w:w="0" w:type="dxa"/>
            <w:bottom w:w="0" w:type="dxa"/>
            <w:right w:w="0" w:type="dxa"/>
          </w:tblCellMar>
        </w:tblPrEx>
        <w:trPr>
          <w:wBefore w:w="0" w:type="auto"/>
          <w:tblCellSpacing w:w="0" w:type="dxa"/>
        </w:trPr>
        <w:tc>
          <w:tcPr>
            <w:tcW w:w="0" w:type="auto"/>
            <w:noWrap w:val="0"/>
            <w:vAlign w:val="center"/>
          </w:tcPr>
          <w:p w14:paraId="1D4C1608">
            <w:r>
              <w:rPr>
                <w:rStyle w:val="10"/>
                <w:rFonts w:hint="eastAsia"/>
              </w:rPr>
              <w:t>登记证号：</w:t>
            </w:r>
            <w:r>
              <w:rPr>
                <w:rFonts w:hint="eastAsia"/>
              </w:rPr>
              <w:t>PD20212518</w:t>
            </w:r>
          </w:p>
        </w:tc>
      </w:tr>
      <w:tr w14:paraId="05F74979">
        <w:tblPrEx>
          <w:tblCellMar>
            <w:top w:w="0" w:type="dxa"/>
            <w:left w:w="0" w:type="dxa"/>
            <w:bottom w:w="0" w:type="dxa"/>
            <w:right w:w="0" w:type="dxa"/>
          </w:tblCellMar>
        </w:tblPrEx>
        <w:trPr>
          <w:wBefore w:w="0" w:type="auto"/>
          <w:tblCellSpacing w:w="0" w:type="dxa"/>
        </w:trPr>
        <w:tc>
          <w:tcPr>
            <w:tcW w:w="0" w:type="auto"/>
            <w:noWrap w:val="0"/>
            <w:vAlign w:val="center"/>
          </w:tcPr>
          <w:p w14:paraId="0685EC65">
            <w:r>
              <w:rPr>
                <w:rStyle w:val="10"/>
                <w:rFonts w:hint="eastAsia"/>
              </w:rPr>
              <w:t>登记证持有人：</w:t>
            </w:r>
            <w:r>
              <w:rPr>
                <w:rFonts w:hint="eastAsia"/>
              </w:rPr>
              <w:t>山东奥坤作物科学股份有限公司</w:t>
            </w:r>
          </w:p>
        </w:tc>
      </w:tr>
      <w:tr w14:paraId="57F89F3C">
        <w:tblPrEx>
          <w:tblCellMar>
            <w:top w:w="0" w:type="dxa"/>
            <w:left w:w="0" w:type="dxa"/>
            <w:bottom w:w="0" w:type="dxa"/>
            <w:right w:w="0" w:type="dxa"/>
          </w:tblCellMar>
        </w:tblPrEx>
        <w:trPr>
          <w:wBefore w:w="0" w:type="auto"/>
          <w:tblCellSpacing w:w="0" w:type="dxa"/>
        </w:trPr>
        <w:tc>
          <w:tcPr>
            <w:tcW w:w="0" w:type="auto"/>
            <w:noWrap w:val="0"/>
            <w:vAlign w:val="center"/>
          </w:tcPr>
          <w:p w14:paraId="5CDC1B99">
            <w:r>
              <w:rPr>
                <w:rStyle w:val="10"/>
                <w:rFonts w:hint="eastAsia"/>
              </w:rPr>
              <w:t>农药名称：</w:t>
            </w:r>
            <w:r>
              <w:rPr>
                <w:rFonts w:hint="eastAsia"/>
              </w:rPr>
              <w:t>精喹·氟羧草</w:t>
            </w:r>
          </w:p>
        </w:tc>
      </w:tr>
      <w:tr w14:paraId="520D4983">
        <w:tblPrEx>
          <w:tblCellMar>
            <w:top w:w="0" w:type="dxa"/>
            <w:left w:w="0" w:type="dxa"/>
            <w:bottom w:w="0" w:type="dxa"/>
            <w:right w:w="0" w:type="dxa"/>
          </w:tblCellMar>
        </w:tblPrEx>
        <w:trPr>
          <w:wBefore w:w="0" w:type="auto"/>
          <w:tblCellSpacing w:w="0" w:type="dxa"/>
        </w:trPr>
        <w:tc>
          <w:tcPr>
            <w:tcW w:w="0" w:type="auto"/>
            <w:noWrap w:val="0"/>
            <w:vAlign w:val="center"/>
          </w:tcPr>
          <w:p w14:paraId="0E8C3041">
            <w:r>
              <w:rPr>
                <w:rStyle w:val="10"/>
                <w:rFonts w:hint="eastAsia"/>
              </w:rPr>
              <w:t>剂型：</w:t>
            </w:r>
            <w:r>
              <w:rPr>
                <w:rFonts w:hint="eastAsia"/>
              </w:rPr>
              <w:t>乳油</w:t>
            </w:r>
          </w:p>
        </w:tc>
      </w:tr>
      <w:tr w14:paraId="7236CE66">
        <w:tblPrEx>
          <w:tblCellMar>
            <w:top w:w="0" w:type="dxa"/>
            <w:left w:w="0" w:type="dxa"/>
            <w:bottom w:w="0" w:type="dxa"/>
            <w:right w:w="0" w:type="dxa"/>
          </w:tblCellMar>
        </w:tblPrEx>
        <w:trPr>
          <w:wBefore w:w="0" w:type="auto"/>
          <w:tblCellSpacing w:w="0" w:type="dxa"/>
        </w:trPr>
        <w:tc>
          <w:tcPr>
            <w:tcW w:w="0" w:type="auto"/>
            <w:noWrap w:val="0"/>
            <w:vAlign w:val="center"/>
          </w:tcPr>
          <w:p w14:paraId="52B6AB2A">
            <w:r>
              <w:rPr>
                <w:rStyle w:val="10"/>
                <w:rFonts w:hint="eastAsia"/>
              </w:rPr>
              <w:t>毒性及其标识：</w:t>
            </w:r>
            <w:r>
              <w:rPr>
                <w:rFonts w:hint="eastAsia"/>
              </w:rPr>
              <w:t xml:space="preserve"> </w:t>
            </w:r>
            <w:r>
              <w:rPr>
                <w:lang/>
              </w:rPr>
              <w:drawing>
                <wp:inline distT="0" distB="0" distL="114300" distR="114300">
                  <wp:extent cx="476250" cy="323850"/>
                  <wp:effectExtent l="0" t="0" r="0" b="0"/>
                  <wp:docPr id="228" name="图片 2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46F06C">
        <w:tblPrEx>
          <w:tblCellMar>
            <w:top w:w="0" w:type="dxa"/>
            <w:left w:w="0" w:type="dxa"/>
            <w:bottom w:w="0" w:type="dxa"/>
            <w:right w:w="0" w:type="dxa"/>
          </w:tblCellMar>
        </w:tblPrEx>
        <w:trPr>
          <w:wBefore w:w="0" w:type="auto"/>
          <w:tblCellSpacing w:w="0" w:type="dxa"/>
        </w:trPr>
        <w:tc>
          <w:tcPr>
            <w:tcW w:w="0" w:type="auto"/>
            <w:noWrap w:val="0"/>
            <w:vAlign w:val="center"/>
          </w:tcPr>
          <w:p w14:paraId="5C7A9A0E">
            <w:r>
              <w:rPr>
                <w:rStyle w:val="10"/>
                <w:rFonts w:hint="eastAsia"/>
              </w:rPr>
              <w:t>总有效成分含量：</w:t>
            </w:r>
            <w:r>
              <w:rPr>
                <w:rFonts w:hint="eastAsia"/>
              </w:rPr>
              <w:t>28%</w:t>
            </w:r>
          </w:p>
        </w:tc>
      </w:tr>
      <w:tr w14:paraId="23768ED9">
        <w:tblPrEx>
          <w:tblCellMar>
            <w:top w:w="0" w:type="dxa"/>
            <w:left w:w="0" w:type="dxa"/>
            <w:bottom w:w="0" w:type="dxa"/>
            <w:right w:w="0" w:type="dxa"/>
          </w:tblCellMar>
        </w:tblPrEx>
        <w:trPr>
          <w:wBefore w:w="0" w:type="auto"/>
          <w:tblCellSpacing w:w="0" w:type="dxa"/>
        </w:trPr>
        <w:tc>
          <w:tcPr>
            <w:tcW w:w="0" w:type="auto"/>
            <w:noWrap w:val="0"/>
            <w:vAlign w:val="center"/>
          </w:tcPr>
          <w:p w14:paraId="3F3732A0">
            <w:r>
              <w:rPr>
                <w:rFonts w:hint="eastAsia"/>
              </w:rPr>
              <w:t xml:space="preserve">有效成分及其含量： </w:t>
            </w:r>
          </w:p>
          <w:p w14:paraId="087DB5AF">
            <w:r>
              <w:rPr>
                <w:rFonts w:hint="eastAsia"/>
              </w:rPr>
              <w:t xml:space="preserve">    精喹禾灵10%    三氟羧草醚18%    </w:t>
            </w:r>
          </w:p>
        </w:tc>
      </w:tr>
      <w:tr w14:paraId="7F5C8D68">
        <w:tblPrEx>
          <w:tblCellMar>
            <w:top w:w="0" w:type="dxa"/>
            <w:left w:w="0" w:type="dxa"/>
            <w:bottom w:w="0" w:type="dxa"/>
            <w:right w:w="0" w:type="dxa"/>
          </w:tblCellMar>
        </w:tblPrEx>
        <w:trPr>
          <w:wBefore w:w="0" w:type="auto"/>
          <w:tblCellSpacing w:w="0" w:type="dxa"/>
        </w:trPr>
        <w:tc>
          <w:tcPr>
            <w:tcW w:w="0" w:type="auto"/>
            <w:noWrap w:val="0"/>
            <w:vAlign w:val="center"/>
          </w:tcPr>
          <w:p w14:paraId="19EA19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0429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B262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AC1D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17F70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700853">
                  <w:r>
                    <w:rPr>
                      <w:rStyle w:val="11"/>
                      <w:rFonts w:hint="eastAsia"/>
                    </w:rPr>
                    <w:t>施用方式</w:t>
                  </w:r>
                </w:p>
              </w:tc>
            </w:tr>
            <w:tr w14:paraId="5293C7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8B42BE">
                  <w:r>
                    <w:rPr>
                      <w:rStyle w:val="11"/>
                      <w:rFonts w:hint="eastAsia"/>
                    </w:rPr>
                    <w:t>花生田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6EC36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AA72A2">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70E2FB">
                  <w:r>
                    <w:rPr>
                      <w:rStyle w:val="11"/>
                      <w:rFonts w:hint="eastAsia"/>
                    </w:rPr>
                    <w:t>茎叶喷雾</w:t>
                  </w:r>
                </w:p>
              </w:tc>
            </w:tr>
          </w:tbl>
          <w:p w14:paraId="332A8600">
            <w:pPr>
              <w:rPr>
                <w:rFonts w:ascii="Times New Roman" w:hAnsi="Times New Roman" w:cs="Times New Roman"/>
                <w:sz w:val="20"/>
                <w:szCs w:val="20"/>
              </w:rPr>
            </w:pPr>
          </w:p>
        </w:tc>
      </w:tr>
      <w:tr w14:paraId="570BC779">
        <w:tblPrEx>
          <w:tblCellMar>
            <w:top w:w="0" w:type="dxa"/>
            <w:left w:w="0" w:type="dxa"/>
            <w:bottom w:w="0" w:type="dxa"/>
            <w:right w:w="0" w:type="dxa"/>
          </w:tblCellMar>
        </w:tblPrEx>
        <w:trPr>
          <w:wBefore w:w="0" w:type="auto"/>
          <w:tblCellSpacing w:w="0" w:type="dxa"/>
        </w:trPr>
        <w:tc>
          <w:tcPr>
            <w:tcW w:w="0" w:type="auto"/>
            <w:noWrap w:val="0"/>
            <w:vAlign w:val="center"/>
          </w:tcPr>
          <w:p w14:paraId="6BCC20E1">
            <w:r>
              <w:rPr>
                <w:rStyle w:val="10"/>
                <w:rFonts w:hint="eastAsia"/>
              </w:rPr>
              <w:t>使用技术要求:</w:t>
            </w:r>
            <w:r>
              <w:rPr>
                <w:rFonts w:hint="eastAsia"/>
              </w:rPr>
              <w:br w:type="textWrapping"/>
            </w:r>
            <w:r>
              <w:rPr>
                <w:rStyle w:val="11"/>
                <w:rFonts w:hint="eastAsia"/>
              </w:rPr>
              <w:t>1、花生1-2片复叶期，杂草2-5叶期，茎叶均匀喷雾。每季作物最多使用1次。2、喷药时防止药液飘移临近小麦、玉米、水稻、甘蔗等禾本科作物田及阔叶作物田。3、应避免在6小时内可能下雨的情况下施药。</w:t>
            </w:r>
          </w:p>
        </w:tc>
      </w:tr>
      <w:tr w14:paraId="795BC4A5">
        <w:tblPrEx>
          <w:tblCellMar>
            <w:top w:w="0" w:type="dxa"/>
            <w:left w:w="0" w:type="dxa"/>
            <w:bottom w:w="0" w:type="dxa"/>
            <w:right w:w="0" w:type="dxa"/>
          </w:tblCellMar>
        </w:tblPrEx>
        <w:trPr>
          <w:wBefore w:w="0" w:type="auto"/>
          <w:tblCellSpacing w:w="0" w:type="dxa"/>
        </w:trPr>
        <w:tc>
          <w:tcPr>
            <w:tcW w:w="0" w:type="auto"/>
            <w:noWrap w:val="0"/>
            <w:vAlign w:val="center"/>
          </w:tcPr>
          <w:p w14:paraId="36EC9F40">
            <w:r>
              <w:rPr>
                <w:rStyle w:val="10"/>
                <w:rFonts w:hint="eastAsia"/>
              </w:rPr>
              <w:t>产品性能:</w:t>
            </w:r>
            <w:r>
              <w:rPr>
                <w:rFonts w:hint="eastAsia"/>
              </w:rPr>
              <w:br w:type="textWrapping"/>
            </w:r>
            <w:r>
              <w:rPr>
                <w:rStyle w:val="11"/>
                <w:rFonts w:hint="eastAsia"/>
              </w:rPr>
              <w:t>本品为二苯醚类和芳氧苯氧丙酸类混配除草剂。一次性施药可同时防治阔叶与禾本科杂草。用于防除花生田一年生杂草。</w:t>
            </w:r>
          </w:p>
        </w:tc>
      </w:tr>
      <w:tr w14:paraId="7CAC0BE0">
        <w:tblPrEx>
          <w:tblCellMar>
            <w:top w:w="0" w:type="dxa"/>
            <w:left w:w="0" w:type="dxa"/>
            <w:bottom w:w="0" w:type="dxa"/>
            <w:right w:w="0" w:type="dxa"/>
          </w:tblCellMar>
        </w:tblPrEx>
        <w:trPr>
          <w:wBefore w:w="0" w:type="auto"/>
          <w:tblCellSpacing w:w="0" w:type="dxa"/>
        </w:trPr>
        <w:tc>
          <w:tcPr>
            <w:tcW w:w="0" w:type="auto"/>
            <w:noWrap w:val="0"/>
            <w:vAlign w:val="center"/>
          </w:tcPr>
          <w:p w14:paraId="266C1C7D">
            <w:r>
              <w:rPr>
                <w:rStyle w:val="10"/>
                <w:rFonts w:hint="eastAsia"/>
              </w:rPr>
              <w:t>注意事项：</w:t>
            </w:r>
            <w:r>
              <w:rPr>
                <w:rFonts w:hint="eastAsia"/>
              </w:rPr>
              <w:br w:type="textWrapping"/>
            </w:r>
            <w:r>
              <w:rPr>
                <w:rStyle w:val="11"/>
                <w:rFonts w:hint="eastAsia"/>
              </w:rPr>
              <w:t>1、本品不可与其他呈碱性的农药等物质混合使用。本品与激素类除草剂有拮抗作用，不能混用。2、孕妇和哺乳期的妇女禁止接触。3、使用本品时应佩戴口罩，穿防护衣帽、防护鞋、手套，避免直接接触眼睛与皮肤，此间不能饮水、抽烟等；施药后用肥皂水洗脸、洗手等，并很好地清洗施药器械。 4、对鱼类有毒，水产养殖区、河塘等水体附近禁用，禁止在河塘等水体中清洗施药器具，避免药液进入地表水体；施药后的田水不得直接排入河塘等水域。5、用过的容器应妥善处理，不可做他用，也不可随意丢弃。</w:t>
            </w:r>
          </w:p>
        </w:tc>
      </w:tr>
      <w:tr w14:paraId="17C6EB4B">
        <w:tblPrEx>
          <w:tblCellMar>
            <w:top w:w="0" w:type="dxa"/>
            <w:left w:w="0" w:type="dxa"/>
            <w:bottom w:w="0" w:type="dxa"/>
            <w:right w:w="0" w:type="dxa"/>
          </w:tblCellMar>
        </w:tblPrEx>
        <w:trPr>
          <w:wBefore w:w="0" w:type="auto"/>
          <w:tblCellSpacing w:w="0" w:type="dxa"/>
        </w:trPr>
        <w:tc>
          <w:tcPr>
            <w:tcW w:w="0" w:type="auto"/>
            <w:noWrap w:val="0"/>
            <w:vAlign w:val="center"/>
          </w:tcPr>
          <w:p w14:paraId="3ED403B1">
            <w:r>
              <w:rPr>
                <w:rStyle w:val="10"/>
                <w:rFonts w:hint="eastAsia"/>
              </w:rPr>
              <w:t>中毒急救措施：</w:t>
            </w:r>
            <w:r>
              <w:rPr>
                <w:rFonts w:hint="eastAsia"/>
              </w:rPr>
              <w:br w:type="textWrapping"/>
            </w:r>
            <w:r>
              <w:rPr>
                <w:rStyle w:val="11"/>
                <w:rFonts w:hint="eastAsia"/>
              </w:rPr>
              <w:t>对眼睛有刺激性，进入眼睛，立即用大量水清洗眼睛15分钟，仍有不适时，就医。接触皮肤，用水和肥皂彻底清洗。如吸入肺中，应立即到通风处。如误食，请勿引吐，立即携带标签，送医就诊。紧急医疗措施：使用医用活性炭洗胃，注意防止胃容物进入呼吸道。对症治疗，无特效解毒剂。</w:t>
            </w:r>
          </w:p>
        </w:tc>
      </w:tr>
      <w:tr w14:paraId="1C3446A0">
        <w:tblPrEx>
          <w:tblCellMar>
            <w:top w:w="0" w:type="dxa"/>
            <w:left w:w="0" w:type="dxa"/>
            <w:bottom w:w="0" w:type="dxa"/>
            <w:right w:w="0" w:type="dxa"/>
          </w:tblCellMar>
        </w:tblPrEx>
        <w:trPr>
          <w:wBefore w:w="0" w:type="auto"/>
          <w:tblCellSpacing w:w="0" w:type="dxa"/>
        </w:trPr>
        <w:tc>
          <w:tcPr>
            <w:tcW w:w="0" w:type="auto"/>
            <w:noWrap w:val="0"/>
            <w:vAlign w:val="center"/>
          </w:tcPr>
          <w:p w14:paraId="76B18E79">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06AF5434">
        <w:tblPrEx>
          <w:tblCellMar>
            <w:top w:w="0" w:type="dxa"/>
            <w:left w:w="0" w:type="dxa"/>
            <w:bottom w:w="0" w:type="dxa"/>
            <w:right w:w="0" w:type="dxa"/>
          </w:tblCellMar>
        </w:tblPrEx>
        <w:trPr>
          <w:wBefore w:w="0" w:type="auto"/>
          <w:tblCellSpacing w:w="0" w:type="dxa"/>
        </w:trPr>
        <w:tc>
          <w:tcPr>
            <w:tcW w:w="0" w:type="auto"/>
            <w:noWrap w:val="0"/>
            <w:vAlign w:val="center"/>
          </w:tcPr>
          <w:p w14:paraId="04AA5722">
            <w:r>
              <w:rPr>
                <w:rStyle w:val="10"/>
                <w:rFonts w:hint="eastAsia"/>
              </w:rPr>
              <w:t>质量保证期：</w:t>
            </w:r>
            <w:r>
              <w:rPr>
                <w:rStyle w:val="11"/>
                <w:rFonts w:hint="eastAsia"/>
              </w:rPr>
              <w:t>2年</w:t>
            </w:r>
          </w:p>
        </w:tc>
      </w:tr>
      <w:tr w14:paraId="4CE6C6B4">
        <w:tblPrEx>
          <w:tblCellMar>
            <w:top w:w="0" w:type="dxa"/>
            <w:left w:w="0" w:type="dxa"/>
            <w:bottom w:w="0" w:type="dxa"/>
            <w:right w:w="0" w:type="dxa"/>
          </w:tblCellMar>
        </w:tblPrEx>
        <w:trPr>
          <w:wBefore w:w="0" w:type="auto"/>
          <w:tblCellSpacing w:w="0" w:type="dxa"/>
        </w:trPr>
        <w:tc>
          <w:tcPr>
            <w:tcW w:w="0" w:type="auto"/>
            <w:noWrap w:val="0"/>
            <w:vAlign w:val="center"/>
          </w:tcPr>
          <w:p w14:paraId="00614842">
            <w:r>
              <w:rPr>
                <w:rStyle w:val="10"/>
                <w:rFonts w:hint="eastAsia"/>
              </w:rPr>
              <w:t>备注：</w:t>
            </w:r>
          </w:p>
        </w:tc>
      </w:tr>
    </w:tbl>
    <w:p w14:paraId="65719E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2FF71B">
        <w:tblPrEx>
          <w:tblCellMar>
            <w:top w:w="0" w:type="dxa"/>
            <w:left w:w="0" w:type="dxa"/>
            <w:bottom w:w="0" w:type="dxa"/>
            <w:right w:w="0" w:type="dxa"/>
          </w:tblCellMar>
        </w:tblPrEx>
        <w:trPr>
          <w:wBefore w:w="0" w:type="auto"/>
          <w:tblCellSpacing w:w="0" w:type="dxa"/>
        </w:trPr>
        <w:tc>
          <w:tcPr>
            <w:tcW w:w="0" w:type="auto"/>
            <w:noWrap w:val="0"/>
            <w:vAlign w:val="center"/>
          </w:tcPr>
          <w:p w14:paraId="3F03B4C7">
            <w:r>
              <w:rPr>
                <w:rStyle w:val="10"/>
                <w:rFonts w:hint="eastAsia"/>
              </w:rPr>
              <w:t>登记证号：</w:t>
            </w:r>
            <w:r>
              <w:rPr>
                <w:rFonts w:hint="eastAsia"/>
              </w:rPr>
              <w:t>PD20212536</w:t>
            </w:r>
          </w:p>
        </w:tc>
      </w:tr>
      <w:tr w14:paraId="1461FFA7">
        <w:tblPrEx>
          <w:tblCellMar>
            <w:top w:w="0" w:type="dxa"/>
            <w:left w:w="0" w:type="dxa"/>
            <w:bottom w:w="0" w:type="dxa"/>
            <w:right w:w="0" w:type="dxa"/>
          </w:tblCellMar>
        </w:tblPrEx>
        <w:trPr>
          <w:wBefore w:w="0" w:type="auto"/>
          <w:tblCellSpacing w:w="0" w:type="dxa"/>
        </w:trPr>
        <w:tc>
          <w:tcPr>
            <w:tcW w:w="0" w:type="auto"/>
            <w:noWrap w:val="0"/>
            <w:vAlign w:val="center"/>
          </w:tcPr>
          <w:p w14:paraId="3CB79CA9">
            <w:r>
              <w:rPr>
                <w:rStyle w:val="10"/>
                <w:rFonts w:hint="eastAsia"/>
              </w:rPr>
              <w:t>登记证持有人：</w:t>
            </w:r>
            <w:r>
              <w:rPr>
                <w:rFonts w:hint="eastAsia"/>
              </w:rPr>
              <w:t>山东奥坤作物科学股份有限公司</w:t>
            </w:r>
          </w:p>
        </w:tc>
      </w:tr>
      <w:tr w14:paraId="66F33E06">
        <w:tblPrEx>
          <w:tblCellMar>
            <w:top w:w="0" w:type="dxa"/>
            <w:left w:w="0" w:type="dxa"/>
            <w:bottom w:w="0" w:type="dxa"/>
            <w:right w:w="0" w:type="dxa"/>
          </w:tblCellMar>
        </w:tblPrEx>
        <w:trPr>
          <w:wBefore w:w="0" w:type="auto"/>
          <w:tblCellSpacing w:w="0" w:type="dxa"/>
        </w:trPr>
        <w:tc>
          <w:tcPr>
            <w:tcW w:w="0" w:type="auto"/>
            <w:noWrap w:val="0"/>
            <w:vAlign w:val="center"/>
          </w:tcPr>
          <w:p w14:paraId="3E51A7E1">
            <w:r>
              <w:rPr>
                <w:rStyle w:val="10"/>
                <w:rFonts w:hint="eastAsia"/>
              </w:rPr>
              <w:t>农药名称：</w:t>
            </w:r>
            <w:r>
              <w:rPr>
                <w:rFonts w:hint="eastAsia"/>
              </w:rPr>
              <w:t>草甘·三氯吡</w:t>
            </w:r>
          </w:p>
        </w:tc>
      </w:tr>
      <w:tr w14:paraId="62C87AFE">
        <w:tblPrEx>
          <w:tblCellMar>
            <w:top w:w="0" w:type="dxa"/>
            <w:left w:w="0" w:type="dxa"/>
            <w:bottom w:w="0" w:type="dxa"/>
            <w:right w:w="0" w:type="dxa"/>
          </w:tblCellMar>
        </w:tblPrEx>
        <w:trPr>
          <w:wBefore w:w="0" w:type="auto"/>
          <w:tblCellSpacing w:w="0" w:type="dxa"/>
        </w:trPr>
        <w:tc>
          <w:tcPr>
            <w:tcW w:w="0" w:type="auto"/>
            <w:noWrap w:val="0"/>
            <w:vAlign w:val="center"/>
          </w:tcPr>
          <w:p w14:paraId="17A73473">
            <w:r>
              <w:rPr>
                <w:rStyle w:val="10"/>
                <w:rFonts w:hint="eastAsia"/>
              </w:rPr>
              <w:t>剂型：</w:t>
            </w:r>
            <w:r>
              <w:rPr>
                <w:rFonts w:hint="eastAsia"/>
              </w:rPr>
              <w:t>可湿性粉剂</w:t>
            </w:r>
          </w:p>
        </w:tc>
      </w:tr>
      <w:tr w14:paraId="7E2A61C9">
        <w:tblPrEx>
          <w:tblCellMar>
            <w:top w:w="0" w:type="dxa"/>
            <w:left w:w="0" w:type="dxa"/>
            <w:bottom w:w="0" w:type="dxa"/>
            <w:right w:w="0" w:type="dxa"/>
          </w:tblCellMar>
        </w:tblPrEx>
        <w:trPr>
          <w:wBefore w:w="0" w:type="auto"/>
          <w:tblCellSpacing w:w="0" w:type="dxa"/>
        </w:trPr>
        <w:tc>
          <w:tcPr>
            <w:tcW w:w="0" w:type="auto"/>
            <w:noWrap w:val="0"/>
            <w:vAlign w:val="center"/>
          </w:tcPr>
          <w:p w14:paraId="66E10DF6">
            <w:r>
              <w:rPr>
                <w:rStyle w:val="10"/>
                <w:rFonts w:hint="eastAsia"/>
              </w:rPr>
              <w:t>毒性及其标识：</w:t>
            </w:r>
            <w:r>
              <w:rPr>
                <w:rFonts w:hint="eastAsia"/>
              </w:rPr>
              <w:t xml:space="preserve"> 微毒 </w:t>
            </w:r>
          </w:p>
        </w:tc>
      </w:tr>
      <w:tr w14:paraId="3FDBD337">
        <w:tblPrEx>
          <w:tblCellMar>
            <w:top w:w="0" w:type="dxa"/>
            <w:left w:w="0" w:type="dxa"/>
            <w:bottom w:w="0" w:type="dxa"/>
            <w:right w:w="0" w:type="dxa"/>
          </w:tblCellMar>
        </w:tblPrEx>
        <w:trPr>
          <w:wBefore w:w="0" w:type="auto"/>
          <w:tblCellSpacing w:w="0" w:type="dxa"/>
        </w:trPr>
        <w:tc>
          <w:tcPr>
            <w:tcW w:w="0" w:type="auto"/>
            <w:noWrap w:val="0"/>
            <w:vAlign w:val="center"/>
          </w:tcPr>
          <w:p w14:paraId="2494A153">
            <w:r>
              <w:rPr>
                <w:rStyle w:val="10"/>
                <w:rFonts w:hint="eastAsia"/>
              </w:rPr>
              <w:t>总有效成分含量：</w:t>
            </w:r>
            <w:r>
              <w:rPr>
                <w:rFonts w:hint="eastAsia"/>
              </w:rPr>
              <w:t>60%</w:t>
            </w:r>
          </w:p>
        </w:tc>
      </w:tr>
      <w:tr w14:paraId="2130C73E">
        <w:tblPrEx>
          <w:tblCellMar>
            <w:top w:w="0" w:type="dxa"/>
            <w:left w:w="0" w:type="dxa"/>
            <w:bottom w:w="0" w:type="dxa"/>
            <w:right w:w="0" w:type="dxa"/>
          </w:tblCellMar>
        </w:tblPrEx>
        <w:trPr>
          <w:wBefore w:w="0" w:type="auto"/>
          <w:tblCellSpacing w:w="0" w:type="dxa"/>
        </w:trPr>
        <w:tc>
          <w:tcPr>
            <w:tcW w:w="0" w:type="auto"/>
            <w:noWrap w:val="0"/>
            <w:vAlign w:val="center"/>
          </w:tcPr>
          <w:p w14:paraId="31AC1E47">
            <w:r>
              <w:rPr>
                <w:rFonts w:hint="eastAsia"/>
              </w:rPr>
              <w:t xml:space="preserve">有效成分及其含量： </w:t>
            </w:r>
          </w:p>
          <w:p w14:paraId="1D9C9859">
            <w:r>
              <w:rPr>
                <w:rFonts w:hint="eastAsia"/>
              </w:rPr>
              <w:t xml:space="preserve">    三氯吡氧乙酸8%    草甘膦52%    </w:t>
            </w:r>
          </w:p>
        </w:tc>
      </w:tr>
      <w:tr w14:paraId="4DF324DE">
        <w:tblPrEx>
          <w:tblCellMar>
            <w:top w:w="0" w:type="dxa"/>
            <w:left w:w="0" w:type="dxa"/>
            <w:bottom w:w="0" w:type="dxa"/>
            <w:right w:w="0" w:type="dxa"/>
          </w:tblCellMar>
        </w:tblPrEx>
        <w:trPr>
          <w:wBefore w:w="0" w:type="auto"/>
          <w:tblCellSpacing w:w="0" w:type="dxa"/>
        </w:trPr>
        <w:tc>
          <w:tcPr>
            <w:tcW w:w="0" w:type="auto"/>
            <w:noWrap w:val="0"/>
            <w:vAlign w:val="center"/>
          </w:tcPr>
          <w:p w14:paraId="53FEE6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0B60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FE74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802E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1C8BB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214793">
                  <w:r>
                    <w:rPr>
                      <w:rStyle w:val="11"/>
                      <w:rFonts w:hint="eastAsia"/>
                    </w:rPr>
                    <w:t>施用方式</w:t>
                  </w:r>
                </w:p>
              </w:tc>
            </w:tr>
            <w:tr w14:paraId="151D5B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B9DC0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9D4D9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58E493">
                  <w:r>
                    <w:rPr>
                      <w:rStyle w:val="11"/>
                      <w:rFonts w:hint="eastAsia"/>
                    </w:rPr>
                    <w:t>60-120克/亩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0CF034">
                  <w:r>
                    <w:rPr>
                      <w:rStyle w:val="11"/>
                      <w:rFonts w:hint="eastAsia"/>
                    </w:rPr>
                    <w:t>茎叶喷雾</w:t>
                  </w:r>
                </w:p>
              </w:tc>
            </w:tr>
          </w:tbl>
          <w:p w14:paraId="7008B8D6">
            <w:pPr>
              <w:rPr>
                <w:rFonts w:ascii="Times New Roman" w:hAnsi="Times New Roman" w:cs="Times New Roman"/>
                <w:sz w:val="20"/>
                <w:szCs w:val="20"/>
              </w:rPr>
            </w:pPr>
          </w:p>
        </w:tc>
      </w:tr>
      <w:tr w14:paraId="5B736E53">
        <w:tblPrEx>
          <w:tblCellMar>
            <w:top w:w="0" w:type="dxa"/>
            <w:left w:w="0" w:type="dxa"/>
            <w:bottom w:w="0" w:type="dxa"/>
            <w:right w:w="0" w:type="dxa"/>
          </w:tblCellMar>
        </w:tblPrEx>
        <w:trPr>
          <w:wBefore w:w="0" w:type="auto"/>
          <w:tblCellSpacing w:w="0" w:type="dxa"/>
        </w:trPr>
        <w:tc>
          <w:tcPr>
            <w:tcW w:w="0" w:type="auto"/>
            <w:noWrap w:val="0"/>
            <w:vAlign w:val="center"/>
          </w:tcPr>
          <w:p w14:paraId="433D254E">
            <w:r>
              <w:rPr>
                <w:rStyle w:val="10"/>
                <w:rFonts w:hint="eastAsia"/>
              </w:rPr>
              <w:t>使用技术要求:</w:t>
            </w:r>
            <w:r>
              <w:rPr>
                <w:rFonts w:hint="eastAsia"/>
              </w:rPr>
              <w:br w:type="textWrapping"/>
            </w:r>
            <w:r>
              <w:rPr>
                <w:rStyle w:val="11"/>
                <w:rFonts w:hint="eastAsia"/>
              </w:rPr>
              <w:t>1.本品于非耕地杂草生长旺盛期，定向茎叶喷雾施药。预计4小时内降雨，请勿施药。.每季作物最多使用1次。2.禁止在田间道路、田埂、果树行间、休耕地、林场林地等农林业区域使用。</w:t>
            </w:r>
          </w:p>
        </w:tc>
      </w:tr>
      <w:tr w14:paraId="0F1DDA7D">
        <w:tblPrEx>
          <w:tblCellMar>
            <w:top w:w="0" w:type="dxa"/>
            <w:left w:w="0" w:type="dxa"/>
            <w:bottom w:w="0" w:type="dxa"/>
            <w:right w:w="0" w:type="dxa"/>
          </w:tblCellMar>
        </w:tblPrEx>
        <w:trPr>
          <w:wBefore w:w="0" w:type="auto"/>
          <w:tblCellSpacing w:w="0" w:type="dxa"/>
        </w:trPr>
        <w:tc>
          <w:tcPr>
            <w:tcW w:w="0" w:type="auto"/>
            <w:noWrap w:val="0"/>
            <w:vAlign w:val="center"/>
          </w:tcPr>
          <w:p w14:paraId="06AF2B45">
            <w:r>
              <w:rPr>
                <w:rStyle w:val="10"/>
                <w:rFonts w:hint="eastAsia"/>
              </w:rPr>
              <w:t>产品性能:</w:t>
            </w:r>
            <w:r>
              <w:rPr>
                <w:rFonts w:hint="eastAsia"/>
              </w:rPr>
              <w:br w:type="textWrapping"/>
            </w:r>
            <w:r>
              <w:rPr>
                <w:rStyle w:val="11"/>
                <w:rFonts w:hint="eastAsia"/>
              </w:rPr>
              <w:t>本品为苗后茎叶处理内吸传导型除草剂，可应用于非耕地防除阔叶杂草、禾本科杂草和灌木。</w:t>
            </w:r>
          </w:p>
        </w:tc>
      </w:tr>
      <w:tr w14:paraId="164EB45D">
        <w:tblPrEx>
          <w:tblCellMar>
            <w:top w:w="0" w:type="dxa"/>
            <w:left w:w="0" w:type="dxa"/>
            <w:bottom w:w="0" w:type="dxa"/>
            <w:right w:w="0" w:type="dxa"/>
          </w:tblCellMar>
        </w:tblPrEx>
        <w:trPr>
          <w:wBefore w:w="0" w:type="auto"/>
          <w:tblCellSpacing w:w="0" w:type="dxa"/>
        </w:trPr>
        <w:tc>
          <w:tcPr>
            <w:tcW w:w="0" w:type="auto"/>
            <w:noWrap w:val="0"/>
            <w:vAlign w:val="center"/>
          </w:tcPr>
          <w:p w14:paraId="72511AC3">
            <w:r>
              <w:rPr>
                <w:rStyle w:val="10"/>
                <w:rFonts w:hint="eastAsia"/>
              </w:rPr>
              <w:t>注意事项：</w:t>
            </w:r>
            <w:r>
              <w:rPr>
                <w:rFonts w:hint="eastAsia"/>
              </w:rPr>
              <w:br w:type="textWrapping"/>
            </w:r>
            <w:r>
              <w:rPr>
                <w:rStyle w:val="11"/>
                <w:rFonts w:hint="eastAsia"/>
              </w:rPr>
              <w:t>1、使用前请仔细阅读此标签,并严格按照标签说明使用。2、施药时应避免药液飘移到作物茎叶上，以免产生药害。3、用清洁软水稀释药剂，否则会降低药效。4、远离水产养殖区施药，赤眼蜂等天敌放飞区域禁用，禁止在河塘等水体中清洗施药器具。用过的容器应妥善处理，不可做他用，也不可随意丢弃。5、使用本品时应穿戴长衣、长裤、帽子、口罩、手套等安全防护措施，避免吸入药液。施药时不可吃东西和饮水。施药后，彻底清洗器械，并立即用肥皂洗手和洗脸。6、施药后5天内勿割草、放牧和翻地。7、避免孕妇及哺乳期的妇女接触本品。8、赤眼蜂等天敌放飞区域禁用。</w:t>
            </w:r>
          </w:p>
        </w:tc>
      </w:tr>
      <w:tr w14:paraId="26BC49A3">
        <w:tblPrEx>
          <w:tblCellMar>
            <w:top w:w="0" w:type="dxa"/>
            <w:left w:w="0" w:type="dxa"/>
            <w:bottom w:w="0" w:type="dxa"/>
            <w:right w:w="0" w:type="dxa"/>
          </w:tblCellMar>
        </w:tblPrEx>
        <w:trPr>
          <w:wBefore w:w="0" w:type="auto"/>
          <w:tblCellSpacing w:w="0" w:type="dxa"/>
        </w:trPr>
        <w:tc>
          <w:tcPr>
            <w:tcW w:w="0" w:type="auto"/>
            <w:noWrap w:val="0"/>
            <w:vAlign w:val="center"/>
          </w:tcPr>
          <w:p w14:paraId="67C38C80">
            <w:r>
              <w:rPr>
                <w:rStyle w:val="10"/>
                <w:rFonts w:hint="eastAsia"/>
              </w:rPr>
              <w:t>中毒急救措施：</w:t>
            </w:r>
            <w:r>
              <w:rPr>
                <w:rFonts w:hint="eastAsia"/>
              </w:rPr>
              <w:br w:type="textWrapping"/>
            </w:r>
            <w:r>
              <w:rPr>
                <w:rStyle w:val="11"/>
                <w:rFonts w:hint="eastAsia"/>
              </w:rPr>
              <w:t>对眼睛有刺激性，使用时避免接触眼睛。不慎误服：用清水将嘴清洗干净，不要自行引吐，携此标签送医诊治。医生洗胃时，应注意保护气管和食管，无特殊解毒剂，对症治疗。不慎吸入：应将病人移至空气流通处。不慎眼睛溅入或接触皮肤：用大量清水冲洗至少15分钟。</w:t>
            </w:r>
          </w:p>
        </w:tc>
      </w:tr>
      <w:tr w14:paraId="7C123ED9">
        <w:tblPrEx>
          <w:tblCellMar>
            <w:top w:w="0" w:type="dxa"/>
            <w:left w:w="0" w:type="dxa"/>
            <w:bottom w:w="0" w:type="dxa"/>
            <w:right w:w="0" w:type="dxa"/>
          </w:tblCellMar>
        </w:tblPrEx>
        <w:trPr>
          <w:wBefore w:w="0" w:type="auto"/>
          <w:tblCellSpacing w:w="0" w:type="dxa"/>
        </w:trPr>
        <w:tc>
          <w:tcPr>
            <w:tcW w:w="0" w:type="auto"/>
            <w:noWrap w:val="0"/>
            <w:vAlign w:val="center"/>
          </w:tcPr>
          <w:p w14:paraId="1319A63F">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w:t>
            </w:r>
          </w:p>
        </w:tc>
      </w:tr>
      <w:tr w14:paraId="4C7C78BB">
        <w:tblPrEx>
          <w:tblCellMar>
            <w:top w:w="0" w:type="dxa"/>
            <w:left w:w="0" w:type="dxa"/>
            <w:bottom w:w="0" w:type="dxa"/>
            <w:right w:w="0" w:type="dxa"/>
          </w:tblCellMar>
        </w:tblPrEx>
        <w:trPr>
          <w:wBefore w:w="0" w:type="auto"/>
          <w:tblCellSpacing w:w="0" w:type="dxa"/>
        </w:trPr>
        <w:tc>
          <w:tcPr>
            <w:tcW w:w="0" w:type="auto"/>
            <w:noWrap w:val="0"/>
            <w:vAlign w:val="center"/>
          </w:tcPr>
          <w:p w14:paraId="2BCE3F0E">
            <w:r>
              <w:rPr>
                <w:rStyle w:val="10"/>
                <w:rFonts w:hint="eastAsia"/>
              </w:rPr>
              <w:t>质量保证期：</w:t>
            </w:r>
            <w:r>
              <w:rPr>
                <w:rStyle w:val="11"/>
                <w:rFonts w:hint="eastAsia"/>
              </w:rPr>
              <w:t>2年</w:t>
            </w:r>
          </w:p>
        </w:tc>
      </w:tr>
      <w:tr w14:paraId="5022B8E6">
        <w:tblPrEx>
          <w:tblCellMar>
            <w:top w:w="0" w:type="dxa"/>
            <w:left w:w="0" w:type="dxa"/>
            <w:bottom w:w="0" w:type="dxa"/>
            <w:right w:w="0" w:type="dxa"/>
          </w:tblCellMar>
        </w:tblPrEx>
        <w:trPr>
          <w:wBefore w:w="0" w:type="auto"/>
          <w:tblCellSpacing w:w="0" w:type="dxa"/>
        </w:trPr>
        <w:tc>
          <w:tcPr>
            <w:tcW w:w="0" w:type="auto"/>
            <w:noWrap w:val="0"/>
            <w:vAlign w:val="center"/>
          </w:tcPr>
          <w:p w14:paraId="088691A0">
            <w:r>
              <w:rPr>
                <w:rStyle w:val="10"/>
                <w:rFonts w:hint="eastAsia"/>
              </w:rPr>
              <w:t>备注：</w:t>
            </w:r>
          </w:p>
        </w:tc>
      </w:tr>
    </w:tbl>
    <w:p w14:paraId="24B67A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E385C0">
        <w:tblPrEx>
          <w:tblCellMar>
            <w:top w:w="0" w:type="dxa"/>
            <w:left w:w="0" w:type="dxa"/>
            <w:bottom w:w="0" w:type="dxa"/>
            <w:right w:w="0" w:type="dxa"/>
          </w:tblCellMar>
        </w:tblPrEx>
        <w:trPr>
          <w:wBefore w:w="0" w:type="auto"/>
          <w:tblCellSpacing w:w="0" w:type="dxa"/>
        </w:trPr>
        <w:tc>
          <w:tcPr>
            <w:tcW w:w="0" w:type="auto"/>
            <w:noWrap w:val="0"/>
            <w:vAlign w:val="center"/>
          </w:tcPr>
          <w:p w14:paraId="55A6E2F8">
            <w:r>
              <w:rPr>
                <w:rStyle w:val="10"/>
                <w:rFonts w:hint="eastAsia"/>
              </w:rPr>
              <w:t>登记证号：</w:t>
            </w:r>
            <w:r>
              <w:rPr>
                <w:rFonts w:hint="eastAsia"/>
              </w:rPr>
              <w:t>PD20212541</w:t>
            </w:r>
          </w:p>
        </w:tc>
      </w:tr>
      <w:tr w14:paraId="48A5E860">
        <w:tblPrEx>
          <w:tblCellMar>
            <w:top w:w="0" w:type="dxa"/>
            <w:left w:w="0" w:type="dxa"/>
            <w:bottom w:w="0" w:type="dxa"/>
            <w:right w:w="0" w:type="dxa"/>
          </w:tblCellMar>
        </w:tblPrEx>
        <w:trPr>
          <w:wBefore w:w="0" w:type="auto"/>
          <w:tblCellSpacing w:w="0" w:type="dxa"/>
        </w:trPr>
        <w:tc>
          <w:tcPr>
            <w:tcW w:w="0" w:type="auto"/>
            <w:noWrap w:val="0"/>
            <w:vAlign w:val="center"/>
          </w:tcPr>
          <w:p w14:paraId="24EB62D1">
            <w:r>
              <w:rPr>
                <w:rStyle w:val="10"/>
                <w:rFonts w:hint="eastAsia"/>
              </w:rPr>
              <w:t>登记证持有人：</w:t>
            </w:r>
            <w:r>
              <w:rPr>
                <w:rFonts w:hint="eastAsia"/>
              </w:rPr>
              <w:t>山东奥坤作物科学股份有限公司</w:t>
            </w:r>
          </w:p>
        </w:tc>
      </w:tr>
      <w:tr w14:paraId="2852886E">
        <w:tblPrEx>
          <w:tblCellMar>
            <w:top w:w="0" w:type="dxa"/>
            <w:left w:w="0" w:type="dxa"/>
            <w:bottom w:w="0" w:type="dxa"/>
            <w:right w:w="0" w:type="dxa"/>
          </w:tblCellMar>
        </w:tblPrEx>
        <w:trPr>
          <w:wBefore w:w="0" w:type="auto"/>
          <w:tblCellSpacing w:w="0" w:type="dxa"/>
        </w:trPr>
        <w:tc>
          <w:tcPr>
            <w:tcW w:w="0" w:type="auto"/>
            <w:noWrap w:val="0"/>
            <w:vAlign w:val="center"/>
          </w:tcPr>
          <w:p w14:paraId="13886244">
            <w:r>
              <w:rPr>
                <w:rStyle w:val="10"/>
                <w:rFonts w:hint="eastAsia"/>
              </w:rPr>
              <w:t>农药名称：</w:t>
            </w:r>
            <w:r>
              <w:rPr>
                <w:rFonts w:hint="eastAsia"/>
              </w:rPr>
              <w:t>草铵膦·精喹禾·乙羧氟</w:t>
            </w:r>
          </w:p>
        </w:tc>
      </w:tr>
      <w:tr w14:paraId="2AFF8A1E">
        <w:tblPrEx>
          <w:tblCellMar>
            <w:top w:w="0" w:type="dxa"/>
            <w:left w:w="0" w:type="dxa"/>
            <w:bottom w:w="0" w:type="dxa"/>
            <w:right w:w="0" w:type="dxa"/>
          </w:tblCellMar>
        </w:tblPrEx>
        <w:trPr>
          <w:wBefore w:w="0" w:type="auto"/>
          <w:tblCellSpacing w:w="0" w:type="dxa"/>
        </w:trPr>
        <w:tc>
          <w:tcPr>
            <w:tcW w:w="0" w:type="auto"/>
            <w:noWrap w:val="0"/>
            <w:vAlign w:val="center"/>
          </w:tcPr>
          <w:p w14:paraId="40663749">
            <w:r>
              <w:rPr>
                <w:rStyle w:val="10"/>
                <w:rFonts w:hint="eastAsia"/>
              </w:rPr>
              <w:t>剂型：</w:t>
            </w:r>
            <w:r>
              <w:rPr>
                <w:rFonts w:hint="eastAsia"/>
              </w:rPr>
              <w:t>微乳剂</w:t>
            </w:r>
          </w:p>
        </w:tc>
      </w:tr>
      <w:tr w14:paraId="35289B76">
        <w:tblPrEx>
          <w:tblCellMar>
            <w:top w:w="0" w:type="dxa"/>
            <w:left w:w="0" w:type="dxa"/>
            <w:bottom w:w="0" w:type="dxa"/>
            <w:right w:w="0" w:type="dxa"/>
          </w:tblCellMar>
        </w:tblPrEx>
        <w:trPr>
          <w:wBefore w:w="0" w:type="auto"/>
          <w:tblCellSpacing w:w="0" w:type="dxa"/>
        </w:trPr>
        <w:tc>
          <w:tcPr>
            <w:tcW w:w="0" w:type="auto"/>
            <w:noWrap w:val="0"/>
            <w:vAlign w:val="center"/>
          </w:tcPr>
          <w:p w14:paraId="28D2E5C5">
            <w:r>
              <w:rPr>
                <w:rStyle w:val="10"/>
                <w:rFonts w:hint="eastAsia"/>
              </w:rPr>
              <w:t>毒性及其标识：</w:t>
            </w:r>
            <w:r>
              <w:rPr>
                <w:rFonts w:hint="eastAsia"/>
              </w:rPr>
              <w:t xml:space="preserve"> 微毒 </w:t>
            </w:r>
          </w:p>
        </w:tc>
      </w:tr>
      <w:tr w14:paraId="2F0010D4">
        <w:tblPrEx>
          <w:tblCellMar>
            <w:top w:w="0" w:type="dxa"/>
            <w:left w:w="0" w:type="dxa"/>
            <w:bottom w:w="0" w:type="dxa"/>
            <w:right w:w="0" w:type="dxa"/>
          </w:tblCellMar>
        </w:tblPrEx>
        <w:trPr>
          <w:wBefore w:w="0" w:type="auto"/>
          <w:tblCellSpacing w:w="0" w:type="dxa"/>
        </w:trPr>
        <w:tc>
          <w:tcPr>
            <w:tcW w:w="0" w:type="auto"/>
            <w:noWrap w:val="0"/>
            <w:vAlign w:val="center"/>
          </w:tcPr>
          <w:p w14:paraId="06098395">
            <w:r>
              <w:rPr>
                <w:rStyle w:val="10"/>
                <w:rFonts w:hint="eastAsia"/>
              </w:rPr>
              <w:t>总有效成分含量：</w:t>
            </w:r>
            <w:r>
              <w:rPr>
                <w:rFonts w:hint="eastAsia"/>
              </w:rPr>
              <w:t>23%</w:t>
            </w:r>
          </w:p>
        </w:tc>
      </w:tr>
      <w:tr w14:paraId="4B6740CC">
        <w:tblPrEx>
          <w:tblCellMar>
            <w:top w:w="0" w:type="dxa"/>
            <w:left w:w="0" w:type="dxa"/>
            <w:bottom w:w="0" w:type="dxa"/>
            <w:right w:w="0" w:type="dxa"/>
          </w:tblCellMar>
        </w:tblPrEx>
        <w:trPr>
          <w:wBefore w:w="0" w:type="auto"/>
          <w:tblCellSpacing w:w="0" w:type="dxa"/>
        </w:trPr>
        <w:tc>
          <w:tcPr>
            <w:tcW w:w="0" w:type="auto"/>
            <w:noWrap w:val="0"/>
            <w:vAlign w:val="center"/>
          </w:tcPr>
          <w:p w14:paraId="4479569D">
            <w:r>
              <w:rPr>
                <w:rFonts w:hint="eastAsia"/>
              </w:rPr>
              <w:t xml:space="preserve">有效成分及其含量： </w:t>
            </w:r>
          </w:p>
          <w:p w14:paraId="44F72746">
            <w:r>
              <w:rPr>
                <w:rFonts w:hint="eastAsia"/>
              </w:rPr>
              <w:t xml:space="preserve">    精喹禾灵2.1%    乙羧氟草醚0.9%    草铵膦20%    </w:t>
            </w:r>
          </w:p>
        </w:tc>
      </w:tr>
      <w:tr w14:paraId="2B7E76C7">
        <w:tblPrEx>
          <w:tblCellMar>
            <w:top w:w="0" w:type="dxa"/>
            <w:left w:w="0" w:type="dxa"/>
            <w:bottom w:w="0" w:type="dxa"/>
            <w:right w:w="0" w:type="dxa"/>
          </w:tblCellMar>
        </w:tblPrEx>
        <w:trPr>
          <w:wBefore w:w="0" w:type="auto"/>
          <w:tblCellSpacing w:w="0" w:type="dxa"/>
        </w:trPr>
        <w:tc>
          <w:tcPr>
            <w:tcW w:w="0" w:type="auto"/>
            <w:noWrap w:val="0"/>
            <w:vAlign w:val="center"/>
          </w:tcPr>
          <w:p w14:paraId="2D14AC8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FA10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C06B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DB61F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90BF15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4F5D34">
                  <w:r>
                    <w:rPr>
                      <w:rStyle w:val="11"/>
                      <w:rFonts w:hint="eastAsia"/>
                    </w:rPr>
                    <w:t>施用方式</w:t>
                  </w:r>
                </w:p>
              </w:tc>
            </w:tr>
            <w:tr w14:paraId="1C4259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F0DCB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7CC16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7C745">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038E2D">
                  <w:r>
                    <w:rPr>
                      <w:rStyle w:val="11"/>
                      <w:rFonts w:hint="eastAsia"/>
                    </w:rPr>
                    <w:t>茎叶喷雾</w:t>
                  </w:r>
                </w:p>
              </w:tc>
            </w:tr>
          </w:tbl>
          <w:p w14:paraId="61648452">
            <w:pPr>
              <w:rPr>
                <w:rFonts w:ascii="Times New Roman" w:hAnsi="Times New Roman" w:cs="Times New Roman"/>
                <w:sz w:val="20"/>
                <w:szCs w:val="20"/>
              </w:rPr>
            </w:pPr>
          </w:p>
        </w:tc>
      </w:tr>
      <w:tr w14:paraId="1D739651">
        <w:tblPrEx>
          <w:tblCellMar>
            <w:top w:w="0" w:type="dxa"/>
            <w:left w:w="0" w:type="dxa"/>
            <w:bottom w:w="0" w:type="dxa"/>
            <w:right w:w="0" w:type="dxa"/>
          </w:tblCellMar>
        </w:tblPrEx>
        <w:trPr>
          <w:wBefore w:w="0" w:type="auto"/>
          <w:tblCellSpacing w:w="0" w:type="dxa"/>
        </w:trPr>
        <w:tc>
          <w:tcPr>
            <w:tcW w:w="0" w:type="auto"/>
            <w:noWrap w:val="0"/>
            <w:vAlign w:val="center"/>
          </w:tcPr>
          <w:p w14:paraId="5459A7B6">
            <w:r>
              <w:rPr>
                <w:rStyle w:val="10"/>
                <w:rFonts w:hint="eastAsia"/>
              </w:rPr>
              <w:t>使用技术要求:</w:t>
            </w:r>
            <w:r>
              <w:rPr>
                <w:rFonts w:hint="eastAsia"/>
              </w:rPr>
              <w:br w:type="textWrapping"/>
            </w:r>
            <w:r>
              <w:rPr>
                <w:rStyle w:val="11"/>
                <w:rFonts w:hint="eastAsia"/>
              </w:rPr>
              <w:t>1.杂草生长期施药，每亩兑水量30-40公斤；茎叶喷雾。2.禁止在田间道路、田埂、果树行间、休耕地、林场林地等农林业区域使用。</w:t>
            </w:r>
          </w:p>
        </w:tc>
      </w:tr>
      <w:tr w14:paraId="60D06D93">
        <w:tblPrEx>
          <w:tblCellMar>
            <w:top w:w="0" w:type="dxa"/>
            <w:left w:w="0" w:type="dxa"/>
            <w:bottom w:w="0" w:type="dxa"/>
            <w:right w:w="0" w:type="dxa"/>
          </w:tblCellMar>
        </w:tblPrEx>
        <w:trPr>
          <w:wBefore w:w="0" w:type="auto"/>
          <w:tblCellSpacing w:w="0" w:type="dxa"/>
        </w:trPr>
        <w:tc>
          <w:tcPr>
            <w:tcW w:w="0" w:type="auto"/>
            <w:noWrap w:val="0"/>
            <w:vAlign w:val="center"/>
          </w:tcPr>
          <w:p w14:paraId="111363D3">
            <w:r>
              <w:rPr>
                <w:rStyle w:val="10"/>
                <w:rFonts w:hint="eastAsia"/>
              </w:rPr>
              <w:t>产品性能:</w:t>
            </w:r>
            <w:r>
              <w:rPr>
                <w:rFonts w:hint="eastAsia"/>
              </w:rPr>
              <w:br w:type="textWrapping"/>
            </w:r>
            <w:r>
              <w:rPr>
                <w:rStyle w:val="11"/>
                <w:rFonts w:hint="eastAsia"/>
              </w:rPr>
              <w:t>本品为乙羧氟草醚、精喹禾灵和草铵膦复配制剂，乙羧氟草醚为激素类型选择性除草剂，可防除马唐、苋等阔叶杂草及萌芽期禾本科杂草。精喹禾灵为苯氧脂肪酸类除草剂，在禾本科杂草与双子叶作物间有高度选择性。草铵膦属于有机磷类非传导性灭生除草剂。该产品对非耕地杂草有较好的防效。</w:t>
            </w:r>
          </w:p>
        </w:tc>
      </w:tr>
      <w:tr w14:paraId="3F2A6369">
        <w:tblPrEx>
          <w:tblCellMar>
            <w:top w:w="0" w:type="dxa"/>
            <w:left w:w="0" w:type="dxa"/>
            <w:bottom w:w="0" w:type="dxa"/>
            <w:right w:w="0" w:type="dxa"/>
          </w:tblCellMar>
        </w:tblPrEx>
        <w:trPr>
          <w:wBefore w:w="0" w:type="auto"/>
          <w:tblCellSpacing w:w="0" w:type="dxa"/>
        </w:trPr>
        <w:tc>
          <w:tcPr>
            <w:tcW w:w="0" w:type="auto"/>
            <w:noWrap w:val="0"/>
            <w:vAlign w:val="center"/>
          </w:tcPr>
          <w:p w14:paraId="78D186A1">
            <w:r>
              <w:rPr>
                <w:rStyle w:val="10"/>
                <w:rFonts w:hint="eastAsia"/>
              </w:rPr>
              <w:t>注意事项：</w:t>
            </w:r>
            <w:r>
              <w:rPr>
                <w:rFonts w:hint="eastAsia"/>
              </w:rPr>
              <w:br w:type="textWrapping"/>
            </w:r>
            <w:r>
              <w:rPr>
                <w:rStyle w:val="11"/>
                <w:rFonts w:hint="eastAsia"/>
              </w:rPr>
              <w:t>1、喷雾时需定向均匀全面喷在杂草上，勿使药液漂移或接触到作物上，以免产生药害。2.避免药液接触皮肤、眼睛和污染衣物，避免吸入雾滴。切勿在施药现场抽烟或饮食。3、使用时穿戴长衣、长裤、帽子、口罩、手套等安全防护措施。 使用后应及时清洗皮肤及所穿衣物。4.本品对鸟类、蜜蜂、鱼类等水生生物、家蚕有毒，施药期间应避免对周围蜂群的影响，禁止在开花植物花期、蚕室和桑园附近使用。鸟类保护区附近禁用。5、远离水产养殖区、河塘等水域施药。禁止在河塘等水域清洗施药器具。6、赤眼蜂、瓢虫等天敌放飞区域禁用。 7、避免孕妇和哺乳期的妇女接触本品。8、用过的容器应妥善处理，不可随意丢弃或作他用。8、避免与氧化剂接触。9、该产品为易燃液体。</w:t>
            </w:r>
          </w:p>
        </w:tc>
      </w:tr>
      <w:tr w14:paraId="631BA68D">
        <w:tblPrEx>
          <w:tblCellMar>
            <w:top w:w="0" w:type="dxa"/>
            <w:left w:w="0" w:type="dxa"/>
            <w:bottom w:w="0" w:type="dxa"/>
            <w:right w:w="0" w:type="dxa"/>
          </w:tblCellMar>
        </w:tblPrEx>
        <w:trPr>
          <w:wBefore w:w="0" w:type="auto"/>
          <w:tblCellSpacing w:w="0" w:type="dxa"/>
        </w:trPr>
        <w:tc>
          <w:tcPr>
            <w:tcW w:w="0" w:type="auto"/>
            <w:noWrap w:val="0"/>
            <w:vAlign w:val="center"/>
          </w:tcPr>
          <w:p w14:paraId="0DD81BD2">
            <w:r>
              <w:rPr>
                <w:rStyle w:val="10"/>
                <w:rFonts w:hint="eastAsia"/>
              </w:rPr>
              <w:t>中毒急救措施：</w:t>
            </w:r>
            <w:r>
              <w:rPr>
                <w:rFonts w:hint="eastAsia"/>
              </w:rPr>
              <w:br w:type="textWrapping"/>
            </w:r>
            <w:r>
              <w:rPr>
                <w:rStyle w:val="11"/>
                <w:rFonts w:hint="eastAsia"/>
              </w:rPr>
              <w:t>1、若溅到皮肤上，应立即用大量清水冲洗，如皮肤疼痛感持续，请医生诊治。 2、不慎溅入眼中，要立即用清水冲洗15分钟以上，并请医生诊治。 3、不慎吸入，应将病人移至空气流通处。4、若误服，立即携此标签将病人送医院救治，可对症治疗，无特殊解毒药。</w:t>
            </w:r>
          </w:p>
        </w:tc>
      </w:tr>
      <w:tr w14:paraId="0F4205B8">
        <w:tblPrEx>
          <w:tblCellMar>
            <w:top w:w="0" w:type="dxa"/>
            <w:left w:w="0" w:type="dxa"/>
            <w:bottom w:w="0" w:type="dxa"/>
            <w:right w:w="0" w:type="dxa"/>
          </w:tblCellMar>
        </w:tblPrEx>
        <w:trPr>
          <w:wBefore w:w="0" w:type="auto"/>
          <w:tblCellSpacing w:w="0" w:type="dxa"/>
        </w:trPr>
        <w:tc>
          <w:tcPr>
            <w:tcW w:w="0" w:type="auto"/>
            <w:noWrap w:val="0"/>
            <w:vAlign w:val="center"/>
          </w:tcPr>
          <w:p w14:paraId="0377401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20A184FF">
        <w:tblPrEx>
          <w:tblCellMar>
            <w:top w:w="0" w:type="dxa"/>
            <w:left w:w="0" w:type="dxa"/>
            <w:bottom w:w="0" w:type="dxa"/>
            <w:right w:w="0" w:type="dxa"/>
          </w:tblCellMar>
        </w:tblPrEx>
        <w:trPr>
          <w:wBefore w:w="0" w:type="auto"/>
          <w:tblCellSpacing w:w="0" w:type="dxa"/>
        </w:trPr>
        <w:tc>
          <w:tcPr>
            <w:tcW w:w="0" w:type="auto"/>
            <w:noWrap w:val="0"/>
            <w:vAlign w:val="center"/>
          </w:tcPr>
          <w:p w14:paraId="598658AB">
            <w:r>
              <w:rPr>
                <w:rStyle w:val="10"/>
                <w:rFonts w:hint="eastAsia"/>
              </w:rPr>
              <w:t>质量保证期：</w:t>
            </w:r>
            <w:r>
              <w:rPr>
                <w:rStyle w:val="11"/>
                <w:rFonts w:hint="eastAsia"/>
              </w:rPr>
              <w:t>2年</w:t>
            </w:r>
          </w:p>
        </w:tc>
      </w:tr>
      <w:tr w14:paraId="00F5BD51">
        <w:tblPrEx>
          <w:tblCellMar>
            <w:top w:w="0" w:type="dxa"/>
            <w:left w:w="0" w:type="dxa"/>
            <w:bottom w:w="0" w:type="dxa"/>
            <w:right w:w="0" w:type="dxa"/>
          </w:tblCellMar>
        </w:tblPrEx>
        <w:trPr>
          <w:wBefore w:w="0" w:type="auto"/>
          <w:tblCellSpacing w:w="0" w:type="dxa"/>
        </w:trPr>
        <w:tc>
          <w:tcPr>
            <w:tcW w:w="0" w:type="auto"/>
            <w:noWrap w:val="0"/>
            <w:vAlign w:val="center"/>
          </w:tcPr>
          <w:p w14:paraId="0EA036FF">
            <w:r>
              <w:rPr>
                <w:rStyle w:val="10"/>
                <w:rFonts w:hint="eastAsia"/>
              </w:rPr>
              <w:t>备注：</w:t>
            </w:r>
          </w:p>
        </w:tc>
      </w:tr>
    </w:tbl>
    <w:p w14:paraId="34EB931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EAB76D">
        <w:tblPrEx>
          <w:tblCellMar>
            <w:top w:w="0" w:type="dxa"/>
            <w:left w:w="0" w:type="dxa"/>
            <w:bottom w:w="0" w:type="dxa"/>
            <w:right w:w="0" w:type="dxa"/>
          </w:tblCellMar>
        </w:tblPrEx>
        <w:trPr>
          <w:wBefore w:w="0" w:type="auto"/>
          <w:tblCellSpacing w:w="0" w:type="dxa"/>
        </w:trPr>
        <w:tc>
          <w:tcPr>
            <w:tcW w:w="0" w:type="auto"/>
            <w:noWrap w:val="0"/>
            <w:vAlign w:val="center"/>
          </w:tcPr>
          <w:p w14:paraId="3E7FF354">
            <w:r>
              <w:rPr>
                <w:rStyle w:val="10"/>
                <w:rFonts w:hint="eastAsia"/>
              </w:rPr>
              <w:t>登记证号：</w:t>
            </w:r>
            <w:r>
              <w:rPr>
                <w:rFonts w:hint="eastAsia"/>
              </w:rPr>
              <w:t>PD20212543</w:t>
            </w:r>
          </w:p>
        </w:tc>
      </w:tr>
      <w:tr w14:paraId="04A80C3D">
        <w:tblPrEx>
          <w:tblCellMar>
            <w:top w:w="0" w:type="dxa"/>
            <w:left w:w="0" w:type="dxa"/>
            <w:bottom w:w="0" w:type="dxa"/>
            <w:right w:w="0" w:type="dxa"/>
          </w:tblCellMar>
        </w:tblPrEx>
        <w:trPr>
          <w:wBefore w:w="0" w:type="auto"/>
          <w:tblCellSpacing w:w="0" w:type="dxa"/>
        </w:trPr>
        <w:tc>
          <w:tcPr>
            <w:tcW w:w="0" w:type="auto"/>
            <w:noWrap w:val="0"/>
            <w:vAlign w:val="center"/>
          </w:tcPr>
          <w:p w14:paraId="78F6ADE4">
            <w:r>
              <w:rPr>
                <w:rStyle w:val="10"/>
                <w:rFonts w:hint="eastAsia"/>
              </w:rPr>
              <w:t>登记证持有人：</w:t>
            </w:r>
            <w:r>
              <w:rPr>
                <w:rFonts w:hint="eastAsia"/>
              </w:rPr>
              <w:t>广西鑫金泰化工有限公司</w:t>
            </w:r>
          </w:p>
        </w:tc>
      </w:tr>
      <w:tr w14:paraId="6F02B86D">
        <w:tblPrEx>
          <w:tblCellMar>
            <w:top w:w="0" w:type="dxa"/>
            <w:left w:w="0" w:type="dxa"/>
            <w:bottom w:w="0" w:type="dxa"/>
            <w:right w:w="0" w:type="dxa"/>
          </w:tblCellMar>
        </w:tblPrEx>
        <w:trPr>
          <w:wBefore w:w="0" w:type="auto"/>
          <w:tblCellSpacing w:w="0" w:type="dxa"/>
        </w:trPr>
        <w:tc>
          <w:tcPr>
            <w:tcW w:w="0" w:type="auto"/>
            <w:noWrap w:val="0"/>
            <w:vAlign w:val="center"/>
          </w:tcPr>
          <w:p w14:paraId="1B2CE322">
            <w:r>
              <w:rPr>
                <w:rStyle w:val="10"/>
                <w:rFonts w:hint="eastAsia"/>
              </w:rPr>
              <w:t>农药名称：</w:t>
            </w:r>
            <w:r>
              <w:rPr>
                <w:rFonts w:hint="eastAsia"/>
              </w:rPr>
              <w:t>噁唑酰草胺</w:t>
            </w:r>
          </w:p>
        </w:tc>
      </w:tr>
      <w:tr w14:paraId="06A156B3">
        <w:tblPrEx>
          <w:tblCellMar>
            <w:top w:w="0" w:type="dxa"/>
            <w:left w:w="0" w:type="dxa"/>
            <w:bottom w:w="0" w:type="dxa"/>
            <w:right w:w="0" w:type="dxa"/>
          </w:tblCellMar>
        </w:tblPrEx>
        <w:trPr>
          <w:wBefore w:w="0" w:type="auto"/>
          <w:tblCellSpacing w:w="0" w:type="dxa"/>
        </w:trPr>
        <w:tc>
          <w:tcPr>
            <w:tcW w:w="0" w:type="auto"/>
            <w:noWrap w:val="0"/>
            <w:vAlign w:val="center"/>
          </w:tcPr>
          <w:p w14:paraId="72B3238B">
            <w:r>
              <w:rPr>
                <w:rStyle w:val="10"/>
                <w:rFonts w:hint="eastAsia"/>
              </w:rPr>
              <w:t>剂型：</w:t>
            </w:r>
            <w:r>
              <w:rPr>
                <w:rFonts w:hint="eastAsia"/>
              </w:rPr>
              <w:t>可分散油悬浮剂</w:t>
            </w:r>
          </w:p>
        </w:tc>
      </w:tr>
      <w:tr w14:paraId="173CAFA7">
        <w:tblPrEx>
          <w:tblCellMar>
            <w:top w:w="0" w:type="dxa"/>
            <w:left w:w="0" w:type="dxa"/>
            <w:bottom w:w="0" w:type="dxa"/>
            <w:right w:w="0" w:type="dxa"/>
          </w:tblCellMar>
        </w:tblPrEx>
        <w:trPr>
          <w:wBefore w:w="0" w:type="auto"/>
          <w:tblCellSpacing w:w="0" w:type="dxa"/>
        </w:trPr>
        <w:tc>
          <w:tcPr>
            <w:tcW w:w="0" w:type="auto"/>
            <w:noWrap w:val="0"/>
            <w:vAlign w:val="center"/>
          </w:tcPr>
          <w:p w14:paraId="08129343">
            <w:r>
              <w:rPr>
                <w:rStyle w:val="10"/>
                <w:rFonts w:hint="eastAsia"/>
              </w:rPr>
              <w:t>毒性及其标识：</w:t>
            </w:r>
            <w:r>
              <w:rPr>
                <w:rFonts w:hint="eastAsia"/>
              </w:rPr>
              <w:t xml:space="preserve"> </w:t>
            </w:r>
            <w:r>
              <w:rPr>
                <w:lang/>
              </w:rPr>
              <w:drawing>
                <wp:inline distT="0" distB="0" distL="114300" distR="114300">
                  <wp:extent cx="476250" cy="323850"/>
                  <wp:effectExtent l="0" t="0" r="0" b="0"/>
                  <wp:docPr id="229" name="图片 2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24E54FE">
        <w:tblPrEx>
          <w:tblCellMar>
            <w:top w:w="0" w:type="dxa"/>
            <w:left w:w="0" w:type="dxa"/>
            <w:bottom w:w="0" w:type="dxa"/>
            <w:right w:w="0" w:type="dxa"/>
          </w:tblCellMar>
        </w:tblPrEx>
        <w:trPr>
          <w:wBefore w:w="0" w:type="auto"/>
          <w:tblCellSpacing w:w="0" w:type="dxa"/>
        </w:trPr>
        <w:tc>
          <w:tcPr>
            <w:tcW w:w="0" w:type="auto"/>
            <w:noWrap w:val="0"/>
            <w:vAlign w:val="center"/>
          </w:tcPr>
          <w:p w14:paraId="5E2C34C6">
            <w:r>
              <w:rPr>
                <w:rStyle w:val="10"/>
                <w:rFonts w:hint="eastAsia"/>
              </w:rPr>
              <w:t>总有效成分含量：</w:t>
            </w:r>
            <w:r>
              <w:rPr>
                <w:rFonts w:hint="eastAsia"/>
              </w:rPr>
              <w:t>20%</w:t>
            </w:r>
          </w:p>
        </w:tc>
      </w:tr>
      <w:tr w14:paraId="2B600FF7">
        <w:tblPrEx>
          <w:tblCellMar>
            <w:top w:w="0" w:type="dxa"/>
            <w:left w:w="0" w:type="dxa"/>
            <w:bottom w:w="0" w:type="dxa"/>
            <w:right w:w="0" w:type="dxa"/>
          </w:tblCellMar>
        </w:tblPrEx>
        <w:trPr>
          <w:wBefore w:w="0" w:type="auto"/>
          <w:tblCellSpacing w:w="0" w:type="dxa"/>
        </w:trPr>
        <w:tc>
          <w:tcPr>
            <w:tcW w:w="0" w:type="auto"/>
            <w:noWrap w:val="0"/>
            <w:vAlign w:val="center"/>
          </w:tcPr>
          <w:p w14:paraId="370DB172">
            <w:r>
              <w:rPr>
                <w:rFonts w:hint="eastAsia"/>
              </w:rPr>
              <w:t xml:space="preserve">有效成分及其含量： </w:t>
            </w:r>
          </w:p>
          <w:p w14:paraId="54984B69">
            <w:r>
              <w:rPr>
                <w:rFonts w:hint="eastAsia"/>
              </w:rPr>
              <w:t xml:space="preserve">    噁唑酰草胺20%    </w:t>
            </w:r>
          </w:p>
        </w:tc>
      </w:tr>
      <w:tr w14:paraId="14EDC4DA">
        <w:tblPrEx>
          <w:tblCellMar>
            <w:top w:w="0" w:type="dxa"/>
            <w:left w:w="0" w:type="dxa"/>
            <w:bottom w:w="0" w:type="dxa"/>
            <w:right w:w="0" w:type="dxa"/>
          </w:tblCellMar>
        </w:tblPrEx>
        <w:trPr>
          <w:wBefore w:w="0" w:type="auto"/>
          <w:tblCellSpacing w:w="0" w:type="dxa"/>
        </w:trPr>
        <w:tc>
          <w:tcPr>
            <w:tcW w:w="0" w:type="auto"/>
            <w:noWrap w:val="0"/>
            <w:vAlign w:val="center"/>
          </w:tcPr>
          <w:p w14:paraId="2F13D3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1F12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C0F5D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1737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FDD3C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9D2679">
                  <w:r>
                    <w:rPr>
                      <w:rStyle w:val="11"/>
                      <w:rFonts w:hint="eastAsia"/>
                    </w:rPr>
                    <w:t>施用方式</w:t>
                  </w:r>
                </w:p>
              </w:tc>
            </w:tr>
            <w:tr w14:paraId="7BE51E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033BA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7E904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5932FE">
                  <w:r>
                    <w:rPr>
                      <w:rStyle w:val="11"/>
                      <w:rFonts w:hint="eastAsia"/>
                    </w:rPr>
                    <w:t>35-40毫升/亩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6F059">
                  <w:r>
                    <w:rPr>
                      <w:rStyle w:val="11"/>
                      <w:rFonts w:hint="eastAsia"/>
                    </w:rPr>
                    <w:t>茎叶喷雾</w:t>
                  </w:r>
                </w:p>
              </w:tc>
            </w:tr>
          </w:tbl>
          <w:p w14:paraId="26F79D55">
            <w:pPr>
              <w:rPr>
                <w:rFonts w:ascii="Times New Roman" w:hAnsi="Times New Roman" w:cs="Times New Roman"/>
                <w:sz w:val="20"/>
                <w:szCs w:val="20"/>
              </w:rPr>
            </w:pPr>
          </w:p>
        </w:tc>
      </w:tr>
      <w:tr w14:paraId="6B092E22">
        <w:tblPrEx>
          <w:tblCellMar>
            <w:top w:w="0" w:type="dxa"/>
            <w:left w:w="0" w:type="dxa"/>
            <w:bottom w:w="0" w:type="dxa"/>
            <w:right w:w="0" w:type="dxa"/>
          </w:tblCellMar>
        </w:tblPrEx>
        <w:trPr>
          <w:wBefore w:w="0" w:type="auto"/>
          <w:tblCellSpacing w:w="0" w:type="dxa"/>
        </w:trPr>
        <w:tc>
          <w:tcPr>
            <w:tcW w:w="0" w:type="auto"/>
            <w:noWrap w:val="0"/>
            <w:vAlign w:val="center"/>
          </w:tcPr>
          <w:p w14:paraId="3AE26DAA">
            <w:r>
              <w:rPr>
                <w:rStyle w:val="10"/>
                <w:rFonts w:hint="eastAsia"/>
              </w:rPr>
              <w:t>使用技术要求:</w:t>
            </w:r>
            <w:r>
              <w:rPr>
                <w:rFonts w:hint="eastAsia"/>
              </w:rPr>
              <w:br w:type="textWrapping"/>
            </w:r>
            <w:r>
              <w:rPr>
                <w:rStyle w:val="11"/>
                <w:rFonts w:hint="eastAsia"/>
              </w:rPr>
              <w:t>1. 于直播水稻苗后，田间一年生禾本科杂草出齐后3-5叶期，茎叶喷雾施药，每亩用水30-40升。施药前排干田水，确保杂草2/3以上暴露在水面上，药后1-3天复水，田内保持3-5厘米水层，保水5-7天后恢复正常管理。2. 施药量按稗草密度和叶龄确定，稗草密度大、草龄大，使用上限用药量。3. 每季作物最多使用1次。4. 大风时停止施药，避免施药时飘移到临近敏感作物上。</w:t>
            </w:r>
          </w:p>
        </w:tc>
      </w:tr>
      <w:tr w14:paraId="13A40533">
        <w:tblPrEx>
          <w:tblCellMar>
            <w:top w:w="0" w:type="dxa"/>
            <w:left w:w="0" w:type="dxa"/>
            <w:bottom w:w="0" w:type="dxa"/>
            <w:right w:w="0" w:type="dxa"/>
          </w:tblCellMar>
        </w:tblPrEx>
        <w:trPr>
          <w:wBefore w:w="0" w:type="auto"/>
          <w:tblCellSpacing w:w="0" w:type="dxa"/>
        </w:trPr>
        <w:tc>
          <w:tcPr>
            <w:tcW w:w="0" w:type="auto"/>
            <w:noWrap w:val="0"/>
            <w:vAlign w:val="center"/>
          </w:tcPr>
          <w:p w14:paraId="70818985">
            <w:r>
              <w:rPr>
                <w:rStyle w:val="10"/>
                <w:rFonts w:hint="eastAsia"/>
              </w:rPr>
              <w:t>产品性能:</w:t>
            </w:r>
            <w:r>
              <w:rPr>
                <w:rFonts w:hint="eastAsia"/>
              </w:rPr>
              <w:br w:type="textWrapping"/>
            </w:r>
            <w:r>
              <w:rPr>
                <w:rStyle w:val="11"/>
                <w:rFonts w:hint="eastAsia"/>
              </w:rPr>
              <w:t xml:space="preserve">本品是芳氧苯氧丙酸类内吸传导型防除一年生禾本科杂草除草剂，其作用机制为乙酰辅酶A羧化酶（ACCase）抑制剂，能抑制植物脂肪酸的合成。用于水稻田茎叶处理防除马唐、稗草、千金子等多种禾本科杂草。本品经茎叶吸收，通过维管束传导至生长点，达到除草效果。 </w:t>
            </w:r>
          </w:p>
        </w:tc>
      </w:tr>
      <w:tr w14:paraId="634A6F86">
        <w:tblPrEx>
          <w:tblCellMar>
            <w:top w:w="0" w:type="dxa"/>
            <w:left w:w="0" w:type="dxa"/>
            <w:bottom w:w="0" w:type="dxa"/>
            <w:right w:w="0" w:type="dxa"/>
          </w:tblCellMar>
        </w:tblPrEx>
        <w:trPr>
          <w:wBefore w:w="0" w:type="auto"/>
          <w:tblCellSpacing w:w="0" w:type="dxa"/>
        </w:trPr>
        <w:tc>
          <w:tcPr>
            <w:tcW w:w="0" w:type="auto"/>
            <w:noWrap w:val="0"/>
            <w:vAlign w:val="center"/>
          </w:tcPr>
          <w:p w14:paraId="60680238">
            <w:r>
              <w:rPr>
                <w:rStyle w:val="10"/>
                <w:rFonts w:hint="eastAsia"/>
              </w:rPr>
              <w:t>注意事项：</w:t>
            </w:r>
            <w:r>
              <w:rPr>
                <w:rFonts w:hint="eastAsia"/>
              </w:rPr>
              <w:br w:type="textWrapping"/>
            </w:r>
            <w:r>
              <w:rPr>
                <w:rStyle w:val="11"/>
                <w:rFonts w:hint="eastAsia"/>
              </w:rPr>
              <w:t>1. 正常使用技术条件下对后茬作物安全。2. 水产养殖区、河塘等水体附近禁用。禁止在河塘等水体中清洗施药器具，施药后的田水不得直接排入水体。鱼或虾蟹套养稻田禁用，施药后的田水不得直接排入水体。3. .蚕室及桑园附近禁用，在最外围桑树作为隔离带，不可使用最外围桑树上的叶片饲喂家蚕。4. 本品对眼睛、皮肤有刺激性，使用时避免接触眼睛、皮肤，穿戴长衣、长裤、帽子、口罩、手套等防护措施。避免吸入药液。施药期间不可吃东西、饮水和吸烟。施药后应及时洗手和洗脸。5. 废弃物、用过的容器应妥善处理，不可做他用，也不可随意丢弃。6. 孕妇及哺乳期妇女应避免接触。</w:t>
            </w:r>
          </w:p>
        </w:tc>
      </w:tr>
      <w:tr w14:paraId="288A6329">
        <w:tblPrEx>
          <w:tblCellMar>
            <w:top w:w="0" w:type="dxa"/>
            <w:left w:w="0" w:type="dxa"/>
            <w:bottom w:w="0" w:type="dxa"/>
            <w:right w:w="0" w:type="dxa"/>
          </w:tblCellMar>
        </w:tblPrEx>
        <w:trPr>
          <w:wBefore w:w="0" w:type="auto"/>
          <w:tblCellSpacing w:w="0" w:type="dxa"/>
        </w:trPr>
        <w:tc>
          <w:tcPr>
            <w:tcW w:w="0" w:type="auto"/>
            <w:noWrap w:val="0"/>
            <w:vAlign w:val="center"/>
          </w:tcPr>
          <w:p w14:paraId="1C23BC1F">
            <w:r>
              <w:rPr>
                <w:rStyle w:val="10"/>
                <w:rFonts w:hint="eastAsia"/>
              </w:rPr>
              <w:t>中毒急救措施：</w:t>
            </w:r>
            <w:r>
              <w:rPr>
                <w:rFonts w:hint="eastAsia"/>
              </w:rPr>
              <w:br w:type="textWrapping"/>
            </w:r>
            <w:r>
              <w:rPr>
                <w:rStyle w:val="11"/>
                <w:rFonts w:hint="eastAsia"/>
              </w:rPr>
              <w:t xml:space="preserve">急救措施：1. 眼睛溅入∶立刻用大量清水冲洗15-20分钟，如配戴隐形眼镜，冲洗5分钟后摘掉眼镜再冲洗15分钟。携此标签去医院诊治。 2. 误食∶立即饮用一杯或两杯水，用一只手指按住咽喉的后面部位，引吐。任何时候，不要试图让失去知觉的人呕吐或通过口部为其喂食。并请立即带标签就医。 3. 皮肤沾附∶脱去被溅到衣服。立即用大量清水冲洗皮肤。衣服彻底清洗后方可再穿。 4. 误吸∶转移至空气清新处，如症状持续，向医生咨询。 5. 给医护人员的提示：无特效解毒药，请医生根据症状治疗。 </w:t>
            </w:r>
          </w:p>
        </w:tc>
      </w:tr>
      <w:tr w14:paraId="72A50764">
        <w:tblPrEx>
          <w:tblCellMar>
            <w:top w:w="0" w:type="dxa"/>
            <w:left w:w="0" w:type="dxa"/>
            <w:bottom w:w="0" w:type="dxa"/>
            <w:right w:w="0" w:type="dxa"/>
          </w:tblCellMar>
        </w:tblPrEx>
        <w:trPr>
          <w:wBefore w:w="0" w:type="auto"/>
          <w:tblCellSpacing w:w="0" w:type="dxa"/>
        </w:trPr>
        <w:tc>
          <w:tcPr>
            <w:tcW w:w="0" w:type="auto"/>
            <w:noWrap w:val="0"/>
            <w:vAlign w:val="center"/>
          </w:tcPr>
          <w:p w14:paraId="66464023">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本品应贮存在干燥、阴凉、通风、防雨处，远离火源或热源。置于儿童、无关人员触及不到之处，并加锁。勿与食品、饮料、粮食、饲料等其他商品同贮同运。 </w:t>
            </w:r>
          </w:p>
        </w:tc>
      </w:tr>
      <w:tr w14:paraId="0571EAC8">
        <w:tblPrEx>
          <w:tblCellMar>
            <w:top w:w="0" w:type="dxa"/>
            <w:left w:w="0" w:type="dxa"/>
            <w:bottom w:w="0" w:type="dxa"/>
            <w:right w:w="0" w:type="dxa"/>
          </w:tblCellMar>
        </w:tblPrEx>
        <w:trPr>
          <w:wBefore w:w="0" w:type="auto"/>
          <w:tblCellSpacing w:w="0" w:type="dxa"/>
        </w:trPr>
        <w:tc>
          <w:tcPr>
            <w:tcW w:w="0" w:type="auto"/>
            <w:noWrap w:val="0"/>
            <w:vAlign w:val="center"/>
          </w:tcPr>
          <w:p w14:paraId="7BC28FBE">
            <w:r>
              <w:rPr>
                <w:rStyle w:val="10"/>
                <w:rFonts w:hint="eastAsia"/>
              </w:rPr>
              <w:t>质量保证期：</w:t>
            </w:r>
            <w:r>
              <w:rPr>
                <w:rStyle w:val="11"/>
                <w:rFonts w:hint="eastAsia"/>
              </w:rPr>
              <w:t>2年</w:t>
            </w:r>
          </w:p>
        </w:tc>
      </w:tr>
      <w:tr w14:paraId="50B783FB">
        <w:tblPrEx>
          <w:tblCellMar>
            <w:top w:w="0" w:type="dxa"/>
            <w:left w:w="0" w:type="dxa"/>
            <w:bottom w:w="0" w:type="dxa"/>
            <w:right w:w="0" w:type="dxa"/>
          </w:tblCellMar>
        </w:tblPrEx>
        <w:trPr>
          <w:wBefore w:w="0" w:type="auto"/>
          <w:tblCellSpacing w:w="0" w:type="dxa"/>
        </w:trPr>
        <w:tc>
          <w:tcPr>
            <w:tcW w:w="0" w:type="auto"/>
            <w:noWrap w:val="0"/>
            <w:vAlign w:val="center"/>
          </w:tcPr>
          <w:p w14:paraId="61C3C0B4">
            <w:r>
              <w:rPr>
                <w:rStyle w:val="10"/>
                <w:rFonts w:hint="eastAsia"/>
              </w:rPr>
              <w:t>备注：</w:t>
            </w:r>
          </w:p>
        </w:tc>
      </w:tr>
    </w:tbl>
    <w:p w14:paraId="108475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C70A44">
        <w:tblPrEx>
          <w:tblCellMar>
            <w:top w:w="0" w:type="dxa"/>
            <w:left w:w="0" w:type="dxa"/>
            <w:bottom w:w="0" w:type="dxa"/>
            <w:right w:w="0" w:type="dxa"/>
          </w:tblCellMar>
        </w:tblPrEx>
        <w:trPr>
          <w:wBefore w:w="0" w:type="auto"/>
          <w:tblCellSpacing w:w="0" w:type="dxa"/>
        </w:trPr>
        <w:tc>
          <w:tcPr>
            <w:tcW w:w="0" w:type="auto"/>
            <w:noWrap w:val="0"/>
            <w:vAlign w:val="center"/>
          </w:tcPr>
          <w:p w14:paraId="55E51B60">
            <w:r>
              <w:rPr>
                <w:rStyle w:val="10"/>
                <w:rFonts w:hint="eastAsia"/>
              </w:rPr>
              <w:t>登记证号：</w:t>
            </w:r>
            <w:r>
              <w:rPr>
                <w:rFonts w:hint="eastAsia"/>
              </w:rPr>
              <w:t>PD20212750</w:t>
            </w:r>
          </w:p>
        </w:tc>
      </w:tr>
      <w:tr w14:paraId="4E77FA73">
        <w:tblPrEx>
          <w:tblCellMar>
            <w:top w:w="0" w:type="dxa"/>
            <w:left w:w="0" w:type="dxa"/>
            <w:bottom w:w="0" w:type="dxa"/>
            <w:right w:w="0" w:type="dxa"/>
          </w:tblCellMar>
        </w:tblPrEx>
        <w:trPr>
          <w:wBefore w:w="0" w:type="auto"/>
          <w:tblCellSpacing w:w="0" w:type="dxa"/>
        </w:trPr>
        <w:tc>
          <w:tcPr>
            <w:tcW w:w="0" w:type="auto"/>
            <w:noWrap w:val="0"/>
            <w:vAlign w:val="center"/>
          </w:tcPr>
          <w:p w14:paraId="4C5E6BCF">
            <w:r>
              <w:rPr>
                <w:rStyle w:val="10"/>
                <w:rFonts w:hint="eastAsia"/>
              </w:rPr>
              <w:t>登记证持有人：</w:t>
            </w:r>
            <w:r>
              <w:rPr>
                <w:rFonts w:hint="eastAsia"/>
              </w:rPr>
              <w:t>河南小龙人农业科技有限公司</w:t>
            </w:r>
          </w:p>
        </w:tc>
      </w:tr>
      <w:tr w14:paraId="2B5905A0">
        <w:tblPrEx>
          <w:tblCellMar>
            <w:top w:w="0" w:type="dxa"/>
            <w:left w:w="0" w:type="dxa"/>
            <w:bottom w:w="0" w:type="dxa"/>
            <w:right w:w="0" w:type="dxa"/>
          </w:tblCellMar>
        </w:tblPrEx>
        <w:trPr>
          <w:wBefore w:w="0" w:type="auto"/>
          <w:tblCellSpacing w:w="0" w:type="dxa"/>
        </w:trPr>
        <w:tc>
          <w:tcPr>
            <w:tcW w:w="0" w:type="auto"/>
            <w:noWrap w:val="0"/>
            <w:vAlign w:val="center"/>
          </w:tcPr>
          <w:p w14:paraId="717277B7">
            <w:r>
              <w:rPr>
                <w:rStyle w:val="10"/>
                <w:rFonts w:hint="eastAsia"/>
              </w:rPr>
              <w:t>农药名称：</w:t>
            </w:r>
            <w:r>
              <w:rPr>
                <w:rFonts w:hint="eastAsia"/>
              </w:rPr>
              <w:t>24-表芸苔素内酯·S-诱抗素</w:t>
            </w:r>
          </w:p>
        </w:tc>
      </w:tr>
      <w:tr w14:paraId="6F7E9B8C">
        <w:tblPrEx>
          <w:tblCellMar>
            <w:top w:w="0" w:type="dxa"/>
            <w:left w:w="0" w:type="dxa"/>
            <w:bottom w:w="0" w:type="dxa"/>
            <w:right w:w="0" w:type="dxa"/>
          </w:tblCellMar>
        </w:tblPrEx>
        <w:trPr>
          <w:wBefore w:w="0" w:type="auto"/>
          <w:tblCellSpacing w:w="0" w:type="dxa"/>
        </w:trPr>
        <w:tc>
          <w:tcPr>
            <w:tcW w:w="0" w:type="auto"/>
            <w:noWrap w:val="0"/>
            <w:vAlign w:val="center"/>
          </w:tcPr>
          <w:p w14:paraId="620262B7">
            <w:r>
              <w:rPr>
                <w:rStyle w:val="10"/>
                <w:rFonts w:hint="eastAsia"/>
              </w:rPr>
              <w:t>剂型：</w:t>
            </w:r>
            <w:r>
              <w:rPr>
                <w:rFonts w:hint="eastAsia"/>
              </w:rPr>
              <w:t>可溶液剂</w:t>
            </w:r>
          </w:p>
        </w:tc>
      </w:tr>
      <w:tr w14:paraId="14AA7FEF">
        <w:tblPrEx>
          <w:tblCellMar>
            <w:top w:w="0" w:type="dxa"/>
            <w:left w:w="0" w:type="dxa"/>
            <w:bottom w:w="0" w:type="dxa"/>
            <w:right w:w="0" w:type="dxa"/>
          </w:tblCellMar>
        </w:tblPrEx>
        <w:trPr>
          <w:wBefore w:w="0" w:type="auto"/>
          <w:tblCellSpacing w:w="0" w:type="dxa"/>
        </w:trPr>
        <w:tc>
          <w:tcPr>
            <w:tcW w:w="0" w:type="auto"/>
            <w:noWrap w:val="0"/>
            <w:vAlign w:val="center"/>
          </w:tcPr>
          <w:p w14:paraId="4E8A8DFE">
            <w:r>
              <w:rPr>
                <w:rStyle w:val="10"/>
                <w:rFonts w:hint="eastAsia"/>
              </w:rPr>
              <w:t>毒性及其标识：</w:t>
            </w:r>
            <w:r>
              <w:rPr>
                <w:rFonts w:hint="eastAsia"/>
              </w:rPr>
              <w:t xml:space="preserve"> </w:t>
            </w:r>
            <w:r>
              <w:rPr>
                <w:lang/>
              </w:rPr>
              <w:drawing>
                <wp:inline distT="0" distB="0" distL="114300" distR="114300">
                  <wp:extent cx="476250" cy="323850"/>
                  <wp:effectExtent l="0" t="0" r="0" b="0"/>
                  <wp:docPr id="230" name="图片 2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FD3DE0">
        <w:tblPrEx>
          <w:tblCellMar>
            <w:top w:w="0" w:type="dxa"/>
            <w:left w:w="0" w:type="dxa"/>
            <w:bottom w:w="0" w:type="dxa"/>
            <w:right w:w="0" w:type="dxa"/>
          </w:tblCellMar>
        </w:tblPrEx>
        <w:trPr>
          <w:wBefore w:w="0" w:type="auto"/>
          <w:tblCellSpacing w:w="0" w:type="dxa"/>
        </w:trPr>
        <w:tc>
          <w:tcPr>
            <w:tcW w:w="0" w:type="auto"/>
            <w:noWrap w:val="0"/>
            <w:vAlign w:val="center"/>
          </w:tcPr>
          <w:p w14:paraId="2D6F33E3">
            <w:r>
              <w:rPr>
                <w:rStyle w:val="10"/>
                <w:rFonts w:hint="eastAsia"/>
              </w:rPr>
              <w:t>总有效成分含量：</w:t>
            </w:r>
            <w:r>
              <w:rPr>
                <w:rFonts w:hint="eastAsia"/>
              </w:rPr>
              <w:t>0.25%</w:t>
            </w:r>
          </w:p>
        </w:tc>
      </w:tr>
      <w:tr w14:paraId="18618BA4">
        <w:tblPrEx>
          <w:tblCellMar>
            <w:top w:w="0" w:type="dxa"/>
            <w:left w:w="0" w:type="dxa"/>
            <w:bottom w:w="0" w:type="dxa"/>
            <w:right w:w="0" w:type="dxa"/>
          </w:tblCellMar>
        </w:tblPrEx>
        <w:trPr>
          <w:wBefore w:w="0" w:type="auto"/>
          <w:tblCellSpacing w:w="0" w:type="dxa"/>
        </w:trPr>
        <w:tc>
          <w:tcPr>
            <w:tcW w:w="0" w:type="auto"/>
            <w:noWrap w:val="0"/>
            <w:vAlign w:val="center"/>
          </w:tcPr>
          <w:p w14:paraId="1D8354C3">
            <w:r>
              <w:rPr>
                <w:rFonts w:hint="eastAsia"/>
              </w:rPr>
              <w:t xml:space="preserve">有效成分及其含量： </w:t>
            </w:r>
          </w:p>
          <w:p w14:paraId="66D9F470">
            <w:r>
              <w:rPr>
                <w:rFonts w:hint="eastAsia"/>
              </w:rPr>
              <w:t xml:space="preserve">    24-表芸苔素内酯0.001%    S-诱抗素0.249%    </w:t>
            </w:r>
          </w:p>
        </w:tc>
      </w:tr>
      <w:tr w14:paraId="5C10901F">
        <w:tblPrEx>
          <w:tblCellMar>
            <w:top w:w="0" w:type="dxa"/>
            <w:left w:w="0" w:type="dxa"/>
            <w:bottom w:w="0" w:type="dxa"/>
            <w:right w:w="0" w:type="dxa"/>
          </w:tblCellMar>
        </w:tblPrEx>
        <w:trPr>
          <w:wBefore w:w="0" w:type="auto"/>
          <w:tblCellSpacing w:w="0" w:type="dxa"/>
        </w:trPr>
        <w:tc>
          <w:tcPr>
            <w:tcW w:w="0" w:type="auto"/>
            <w:noWrap w:val="0"/>
            <w:vAlign w:val="center"/>
          </w:tcPr>
          <w:p w14:paraId="43928B1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6C6C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249B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6317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5372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C5685E">
                  <w:r>
                    <w:rPr>
                      <w:rStyle w:val="11"/>
                      <w:rFonts w:hint="eastAsia"/>
                    </w:rPr>
                    <w:t>施用方式</w:t>
                  </w:r>
                </w:p>
              </w:tc>
            </w:tr>
            <w:tr w14:paraId="0319A8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64025D">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702E7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AD4C10">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AF3296">
                  <w:r>
                    <w:rPr>
                      <w:rStyle w:val="11"/>
                      <w:rFonts w:hint="eastAsia"/>
                    </w:rPr>
                    <w:t>喷雾</w:t>
                  </w:r>
                </w:p>
              </w:tc>
            </w:tr>
          </w:tbl>
          <w:p w14:paraId="0CE95930">
            <w:pPr>
              <w:rPr>
                <w:rFonts w:ascii="Times New Roman" w:hAnsi="Times New Roman" w:cs="Times New Roman"/>
                <w:sz w:val="20"/>
                <w:szCs w:val="20"/>
              </w:rPr>
            </w:pPr>
          </w:p>
        </w:tc>
      </w:tr>
      <w:tr w14:paraId="529FFA46">
        <w:tblPrEx>
          <w:tblCellMar>
            <w:top w:w="0" w:type="dxa"/>
            <w:left w:w="0" w:type="dxa"/>
            <w:bottom w:w="0" w:type="dxa"/>
            <w:right w:w="0" w:type="dxa"/>
          </w:tblCellMar>
        </w:tblPrEx>
        <w:trPr>
          <w:wBefore w:w="0" w:type="auto"/>
          <w:tblCellSpacing w:w="0" w:type="dxa"/>
        </w:trPr>
        <w:tc>
          <w:tcPr>
            <w:tcW w:w="0" w:type="auto"/>
            <w:noWrap w:val="0"/>
            <w:vAlign w:val="center"/>
          </w:tcPr>
          <w:p w14:paraId="4F39AEF6">
            <w:r>
              <w:rPr>
                <w:rStyle w:val="10"/>
                <w:rFonts w:hint="eastAsia"/>
              </w:rPr>
              <w:t>使用技术要求:</w:t>
            </w:r>
            <w:r>
              <w:rPr>
                <w:rFonts w:hint="eastAsia"/>
              </w:rPr>
              <w:br w:type="textWrapping"/>
            </w:r>
            <w:r>
              <w:rPr>
                <w:rStyle w:val="11"/>
                <w:rFonts w:hint="eastAsia"/>
              </w:rPr>
              <w:t>1、在水稻分蘖期、破口期各喷雾一次，施药时应周到、均匀，勿重喷或漏喷。2、使用时间选择在早、晚较凉爽时为宜，喷药4小时内遇雨需重喷。 3、大风天或下雨前后勿施药。 4、每季作物最多使用2次，安全间隔期为收获期。</w:t>
            </w:r>
          </w:p>
        </w:tc>
      </w:tr>
      <w:tr w14:paraId="670C572E">
        <w:tblPrEx>
          <w:tblCellMar>
            <w:top w:w="0" w:type="dxa"/>
            <w:left w:w="0" w:type="dxa"/>
            <w:bottom w:w="0" w:type="dxa"/>
            <w:right w:w="0" w:type="dxa"/>
          </w:tblCellMar>
        </w:tblPrEx>
        <w:trPr>
          <w:wBefore w:w="0" w:type="auto"/>
          <w:tblCellSpacing w:w="0" w:type="dxa"/>
        </w:trPr>
        <w:tc>
          <w:tcPr>
            <w:tcW w:w="0" w:type="auto"/>
            <w:noWrap w:val="0"/>
            <w:vAlign w:val="center"/>
          </w:tcPr>
          <w:p w14:paraId="6D6DC737">
            <w:r>
              <w:rPr>
                <w:rStyle w:val="10"/>
                <w:rFonts w:hint="eastAsia"/>
              </w:rPr>
              <w:t>产品性能:</w:t>
            </w:r>
            <w:r>
              <w:rPr>
                <w:rFonts w:hint="eastAsia"/>
              </w:rPr>
              <w:br w:type="textWrapping"/>
            </w:r>
            <w:r>
              <w:rPr>
                <w:rStyle w:val="11"/>
                <w:rFonts w:hint="eastAsia"/>
              </w:rPr>
              <w:t>本品是由24-表芸苔素内酯和S-诱抗素复配而成的植物生长调节剂，具有使植物细胞分裂和延长的双重作用，能平衡植物生长，增强光合作用，提高作物叶绿素含量，促进作物对肥料的有效吸收，辅助作物劣势部分良好的生长，有效增强植物抗逆能力。对水稻增产和改善品质有良好效果。</w:t>
            </w:r>
          </w:p>
        </w:tc>
      </w:tr>
      <w:tr w14:paraId="15D61104">
        <w:tblPrEx>
          <w:tblCellMar>
            <w:top w:w="0" w:type="dxa"/>
            <w:left w:w="0" w:type="dxa"/>
            <w:bottom w:w="0" w:type="dxa"/>
            <w:right w:w="0" w:type="dxa"/>
          </w:tblCellMar>
        </w:tblPrEx>
        <w:trPr>
          <w:wBefore w:w="0" w:type="auto"/>
          <w:tblCellSpacing w:w="0" w:type="dxa"/>
        </w:trPr>
        <w:tc>
          <w:tcPr>
            <w:tcW w:w="0" w:type="auto"/>
            <w:noWrap w:val="0"/>
            <w:vAlign w:val="center"/>
          </w:tcPr>
          <w:p w14:paraId="4FEC1F42">
            <w:r>
              <w:rPr>
                <w:rStyle w:val="10"/>
                <w:rFonts w:hint="eastAsia"/>
              </w:rPr>
              <w:t>注意事项：</w:t>
            </w:r>
            <w:r>
              <w:rPr>
                <w:rFonts w:hint="eastAsia"/>
              </w:rPr>
              <w:br w:type="textWrapping"/>
            </w:r>
            <w:r>
              <w:rPr>
                <w:rStyle w:val="11"/>
                <w:rFonts w:hint="eastAsia"/>
              </w:rPr>
              <w:t>1、本品不可与碱性物质混用。 2、注意避光保存，开启包装后最好一次性用完，配制好的水溶液不易久存，现配现用。 3、使用本品时应穿长衣长裤、戴手套、眼镜、口罩等，此时不可吃东西、喝水和吸烟；施药后应及时清洗干净手脸等。 4、远离水产养殖区，禁止在河塘等水域内清洗施药器具或将清洗施药器具的废水倒入河流、池塘等水源。 5、孕妇及哺乳期女禁止接触本品。 6、用过的包装应妥善处理，不可做他用，也不可随意丢弃。</w:t>
            </w:r>
          </w:p>
        </w:tc>
      </w:tr>
      <w:tr w14:paraId="1974B34F">
        <w:tblPrEx>
          <w:tblCellMar>
            <w:top w:w="0" w:type="dxa"/>
            <w:left w:w="0" w:type="dxa"/>
            <w:bottom w:w="0" w:type="dxa"/>
            <w:right w:w="0" w:type="dxa"/>
          </w:tblCellMar>
        </w:tblPrEx>
        <w:trPr>
          <w:wBefore w:w="0" w:type="auto"/>
          <w:tblCellSpacing w:w="0" w:type="dxa"/>
        </w:trPr>
        <w:tc>
          <w:tcPr>
            <w:tcW w:w="0" w:type="auto"/>
            <w:noWrap w:val="0"/>
            <w:vAlign w:val="center"/>
          </w:tcPr>
          <w:p w14:paraId="00FAF733">
            <w:r>
              <w:rPr>
                <w:rStyle w:val="10"/>
                <w:rFonts w:hint="eastAsia"/>
              </w:rPr>
              <w:t>中毒急救措施：</w:t>
            </w:r>
            <w:r>
              <w:rPr>
                <w:rFonts w:hint="eastAsia"/>
              </w:rPr>
              <w:br w:type="textWrapping"/>
            </w:r>
            <w:r>
              <w:rPr>
                <w:rStyle w:val="11"/>
                <w:rFonts w:hint="eastAsia"/>
              </w:rPr>
              <w:t xml:space="preserve">急救措施：如接触皮肤应除去被溅及衣物，并立刻用肥皂和大量清水冲洗皮肤。被溅及衣物须彻底清洗后方可再穿；如溅入眼睛，应立即用大量清水冲洗干净，仍有不适应就医；如不慎吸入，应立即转移至空气流通处；如不慎误服，立即携此标签送医治疗。本品无特殊解毒剂，可对症治疗。 </w:t>
            </w:r>
          </w:p>
        </w:tc>
      </w:tr>
      <w:tr w14:paraId="556D1DFD">
        <w:tblPrEx>
          <w:tblCellMar>
            <w:top w:w="0" w:type="dxa"/>
            <w:left w:w="0" w:type="dxa"/>
            <w:bottom w:w="0" w:type="dxa"/>
            <w:right w:w="0" w:type="dxa"/>
          </w:tblCellMar>
        </w:tblPrEx>
        <w:trPr>
          <w:wBefore w:w="0" w:type="auto"/>
          <w:tblCellSpacing w:w="0" w:type="dxa"/>
        </w:trPr>
        <w:tc>
          <w:tcPr>
            <w:tcW w:w="0" w:type="auto"/>
            <w:noWrap w:val="0"/>
            <w:vAlign w:val="center"/>
          </w:tcPr>
          <w:p w14:paraId="189B5921">
            <w:r>
              <w:rPr>
                <w:rStyle w:val="10"/>
                <w:rFonts w:hint="eastAsia"/>
              </w:rPr>
              <w:t>储存和运输方法：</w:t>
            </w:r>
            <w:r>
              <w:rPr>
                <w:rFonts w:hint="eastAsia"/>
              </w:rPr>
              <w:br w:type="textWrapping"/>
            </w:r>
            <w:r>
              <w:rPr>
                <w:rStyle w:val="11"/>
                <w:rFonts w:hint="eastAsia"/>
              </w:rPr>
              <w:t xml:space="preserve">本品应密封包装，置于阴凉避光、干燥通风处。远离火源和热源，与强氧化剂分开存放。置于儿童触及不到之处，并加锁。勿与食品、饮料、粮食、饲料等物品同贮同运。 </w:t>
            </w:r>
          </w:p>
        </w:tc>
      </w:tr>
      <w:tr w14:paraId="5B26F798">
        <w:tblPrEx>
          <w:tblCellMar>
            <w:top w:w="0" w:type="dxa"/>
            <w:left w:w="0" w:type="dxa"/>
            <w:bottom w:w="0" w:type="dxa"/>
            <w:right w:w="0" w:type="dxa"/>
          </w:tblCellMar>
        </w:tblPrEx>
        <w:trPr>
          <w:wBefore w:w="0" w:type="auto"/>
          <w:tblCellSpacing w:w="0" w:type="dxa"/>
        </w:trPr>
        <w:tc>
          <w:tcPr>
            <w:tcW w:w="0" w:type="auto"/>
            <w:noWrap w:val="0"/>
            <w:vAlign w:val="center"/>
          </w:tcPr>
          <w:p w14:paraId="667A8DEF">
            <w:r>
              <w:rPr>
                <w:rStyle w:val="10"/>
                <w:rFonts w:hint="eastAsia"/>
              </w:rPr>
              <w:t>质量保证期：</w:t>
            </w:r>
            <w:r>
              <w:rPr>
                <w:rStyle w:val="11"/>
                <w:rFonts w:hint="eastAsia"/>
              </w:rPr>
              <w:t>2年</w:t>
            </w:r>
          </w:p>
        </w:tc>
      </w:tr>
      <w:tr w14:paraId="783271C2">
        <w:tblPrEx>
          <w:tblCellMar>
            <w:top w:w="0" w:type="dxa"/>
            <w:left w:w="0" w:type="dxa"/>
            <w:bottom w:w="0" w:type="dxa"/>
            <w:right w:w="0" w:type="dxa"/>
          </w:tblCellMar>
        </w:tblPrEx>
        <w:trPr>
          <w:wBefore w:w="0" w:type="auto"/>
          <w:tblCellSpacing w:w="0" w:type="dxa"/>
        </w:trPr>
        <w:tc>
          <w:tcPr>
            <w:tcW w:w="0" w:type="auto"/>
            <w:noWrap w:val="0"/>
            <w:vAlign w:val="center"/>
          </w:tcPr>
          <w:p w14:paraId="6AC3CC86">
            <w:r>
              <w:rPr>
                <w:rStyle w:val="10"/>
                <w:rFonts w:hint="eastAsia"/>
              </w:rPr>
              <w:t>备注：</w:t>
            </w:r>
          </w:p>
        </w:tc>
      </w:tr>
    </w:tbl>
    <w:p w14:paraId="19A24D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306960">
        <w:tblPrEx>
          <w:tblCellMar>
            <w:top w:w="0" w:type="dxa"/>
            <w:left w:w="0" w:type="dxa"/>
            <w:bottom w:w="0" w:type="dxa"/>
            <w:right w:w="0" w:type="dxa"/>
          </w:tblCellMar>
        </w:tblPrEx>
        <w:trPr>
          <w:wBefore w:w="0" w:type="auto"/>
          <w:tblCellSpacing w:w="0" w:type="dxa"/>
        </w:trPr>
        <w:tc>
          <w:tcPr>
            <w:tcW w:w="0" w:type="auto"/>
            <w:noWrap w:val="0"/>
            <w:vAlign w:val="center"/>
          </w:tcPr>
          <w:p w14:paraId="1AC44E62">
            <w:r>
              <w:rPr>
                <w:rStyle w:val="10"/>
                <w:rFonts w:hint="eastAsia"/>
              </w:rPr>
              <w:t>登记证号：</w:t>
            </w:r>
            <w:r>
              <w:rPr>
                <w:rFonts w:hint="eastAsia"/>
              </w:rPr>
              <w:t>PD20212400</w:t>
            </w:r>
          </w:p>
        </w:tc>
      </w:tr>
      <w:tr w14:paraId="0B5C5B64">
        <w:tblPrEx>
          <w:tblCellMar>
            <w:top w:w="0" w:type="dxa"/>
            <w:left w:w="0" w:type="dxa"/>
            <w:bottom w:w="0" w:type="dxa"/>
            <w:right w:w="0" w:type="dxa"/>
          </w:tblCellMar>
        </w:tblPrEx>
        <w:trPr>
          <w:wBefore w:w="0" w:type="auto"/>
          <w:tblCellSpacing w:w="0" w:type="dxa"/>
        </w:trPr>
        <w:tc>
          <w:tcPr>
            <w:tcW w:w="0" w:type="auto"/>
            <w:noWrap w:val="0"/>
            <w:vAlign w:val="center"/>
          </w:tcPr>
          <w:p w14:paraId="7A5FC91E">
            <w:r>
              <w:rPr>
                <w:rStyle w:val="10"/>
                <w:rFonts w:hint="eastAsia"/>
              </w:rPr>
              <w:t>登记证持有人：</w:t>
            </w:r>
            <w:r>
              <w:rPr>
                <w:rFonts w:hint="eastAsia"/>
              </w:rPr>
              <w:t>河南比赛尔农业科技有限公司</w:t>
            </w:r>
          </w:p>
        </w:tc>
      </w:tr>
      <w:tr w14:paraId="495860BE">
        <w:tblPrEx>
          <w:tblCellMar>
            <w:top w:w="0" w:type="dxa"/>
            <w:left w:w="0" w:type="dxa"/>
            <w:bottom w:w="0" w:type="dxa"/>
            <w:right w:w="0" w:type="dxa"/>
          </w:tblCellMar>
        </w:tblPrEx>
        <w:trPr>
          <w:wBefore w:w="0" w:type="auto"/>
          <w:tblCellSpacing w:w="0" w:type="dxa"/>
        </w:trPr>
        <w:tc>
          <w:tcPr>
            <w:tcW w:w="0" w:type="auto"/>
            <w:noWrap w:val="0"/>
            <w:vAlign w:val="center"/>
          </w:tcPr>
          <w:p w14:paraId="65E14E6D">
            <w:r>
              <w:rPr>
                <w:rStyle w:val="10"/>
                <w:rFonts w:hint="eastAsia"/>
              </w:rPr>
              <w:t>农药名称：</w:t>
            </w:r>
            <w:r>
              <w:rPr>
                <w:rFonts w:hint="eastAsia"/>
              </w:rPr>
              <w:t>氟啶虫酰胺·联苯菊酯</w:t>
            </w:r>
          </w:p>
        </w:tc>
      </w:tr>
      <w:tr w14:paraId="648EFFEC">
        <w:tblPrEx>
          <w:tblCellMar>
            <w:top w:w="0" w:type="dxa"/>
            <w:left w:w="0" w:type="dxa"/>
            <w:bottom w:w="0" w:type="dxa"/>
            <w:right w:w="0" w:type="dxa"/>
          </w:tblCellMar>
        </w:tblPrEx>
        <w:trPr>
          <w:wBefore w:w="0" w:type="auto"/>
          <w:tblCellSpacing w:w="0" w:type="dxa"/>
        </w:trPr>
        <w:tc>
          <w:tcPr>
            <w:tcW w:w="0" w:type="auto"/>
            <w:noWrap w:val="0"/>
            <w:vAlign w:val="center"/>
          </w:tcPr>
          <w:p w14:paraId="5A100172">
            <w:r>
              <w:rPr>
                <w:rStyle w:val="10"/>
                <w:rFonts w:hint="eastAsia"/>
              </w:rPr>
              <w:t>剂型：</w:t>
            </w:r>
            <w:r>
              <w:rPr>
                <w:rFonts w:hint="eastAsia"/>
              </w:rPr>
              <w:t>悬浮剂</w:t>
            </w:r>
          </w:p>
        </w:tc>
      </w:tr>
      <w:tr w14:paraId="6211BD45">
        <w:tblPrEx>
          <w:tblCellMar>
            <w:top w:w="0" w:type="dxa"/>
            <w:left w:w="0" w:type="dxa"/>
            <w:bottom w:w="0" w:type="dxa"/>
            <w:right w:w="0" w:type="dxa"/>
          </w:tblCellMar>
        </w:tblPrEx>
        <w:trPr>
          <w:wBefore w:w="0" w:type="auto"/>
          <w:tblCellSpacing w:w="0" w:type="dxa"/>
        </w:trPr>
        <w:tc>
          <w:tcPr>
            <w:tcW w:w="0" w:type="auto"/>
            <w:noWrap w:val="0"/>
            <w:vAlign w:val="center"/>
          </w:tcPr>
          <w:p w14:paraId="68E48BC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1" name="图片 2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D4AB16">
        <w:tblPrEx>
          <w:tblCellMar>
            <w:top w:w="0" w:type="dxa"/>
            <w:left w:w="0" w:type="dxa"/>
            <w:bottom w:w="0" w:type="dxa"/>
            <w:right w:w="0" w:type="dxa"/>
          </w:tblCellMar>
        </w:tblPrEx>
        <w:trPr>
          <w:wBefore w:w="0" w:type="auto"/>
          <w:tblCellSpacing w:w="0" w:type="dxa"/>
        </w:trPr>
        <w:tc>
          <w:tcPr>
            <w:tcW w:w="0" w:type="auto"/>
            <w:noWrap w:val="0"/>
            <w:vAlign w:val="center"/>
          </w:tcPr>
          <w:p w14:paraId="2F1FD04C">
            <w:r>
              <w:rPr>
                <w:rStyle w:val="10"/>
                <w:rFonts w:hint="eastAsia"/>
              </w:rPr>
              <w:t>总有效成分含量：</w:t>
            </w:r>
            <w:r>
              <w:rPr>
                <w:rFonts w:hint="eastAsia"/>
              </w:rPr>
              <w:t>15%</w:t>
            </w:r>
          </w:p>
        </w:tc>
      </w:tr>
      <w:tr w14:paraId="1636886C">
        <w:tblPrEx>
          <w:tblCellMar>
            <w:top w:w="0" w:type="dxa"/>
            <w:left w:w="0" w:type="dxa"/>
            <w:bottom w:w="0" w:type="dxa"/>
            <w:right w:w="0" w:type="dxa"/>
          </w:tblCellMar>
        </w:tblPrEx>
        <w:trPr>
          <w:wBefore w:w="0" w:type="auto"/>
          <w:tblCellSpacing w:w="0" w:type="dxa"/>
        </w:trPr>
        <w:tc>
          <w:tcPr>
            <w:tcW w:w="0" w:type="auto"/>
            <w:noWrap w:val="0"/>
            <w:vAlign w:val="center"/>
          </w:tcPr>
          <w:p w14:paraId="020547C9">
            <w:r>
              <w:rPr>
                <w:rFonts w:hint="eastAsia"/>
              </w:rPr>
              <w:t xml:space="preserve">有效成分及其含量： </w:t>
            </w:r>
          </w:p>
          <w:p w14:paraId="0BAE4A9A">
            <w:r>
              <w:rPr>
                <w:rFonts w:hint="eastAsia"/>
              </w:rPr>
              <w:t xml:space="preserve">    氟啶虫酰胺10%    联苯菊酯5%    </w:t>
            </w:r>
          </w:p>
        </w:tc>
      </w:tr>
      <w:tr w14:paraId="4342BE80">
        <w:tblPrEx>
          <w:tblCellMar>
            <w:top w:w="0" w:type="dxa"/>
            <w:left w:w="0" w:type="dxa"/>
            <w:bottom w:w="0" w:type="dxa"/>
            <w:right w:w="0" w:type="dxa"/>
          </w:tblCellMar>
        </w:tblPrEx>
        <w:trPr>
          <w:wBefore w:w="0" w:type="auto"/>
          <w:tblCellSpacing w:w="0" w:type="dxa"/>
        </w:trPr>
        <w:tc>
          <w:tcPr>
            <w:tcW w:w="0" w:type="auto"/>
            <w:noWrap w:val="0"/>
            <w:vAlign w:val="center"/>
          </w:tcPr>
          <w:p w14:paraId="283267A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2F92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C771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0507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097E0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22A8A7">
                  <w:r>
                    <w:rPr>
                      <w:rStyle w:val="11"/>
                      <w:rFonts w:hint="eastAsia"/>
                    </w:rPr>
                    <w:t>施用方式</w:t>
                  </w:r>
                </w:p>
              </w:tc>
            </w:tr>
            <w:tr w14:paraId="1D5D23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C77396">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9B232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B1D665">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4EFD0D">
                  <w:r>
                    <w:rPr>
                      <w:rStyle w:val="11"/>
                      <w:rFonts w:hint="eastAsia"/>
                    </w:rPr>
                    <w:t>喷雾</w:t>
                  </w:r>
                </w:p>
              </w:tc>
            </w:tr>
          </w:tbl>
          <w:p w14:paraId="50ED85DE">
            <w:pPr>
              <w:rPr>
                <w:rFonts w:ascii="Times New Roman" w:hAnsi="Times New Roman" w:cs="Times New Roman"/>
                <w:sz w:val="20"/>
                <w:szCs w:val="20"/>
              </w:rPr>
            </w:pPr>
          </w:p>
        </w:tc>
      </w:tr>
      <w:tr w14:paraId="4387BC2F">
        <w:tblPrEx>
          <w:tblCellMar>
            <w:top w:w="0" w:type="dxa"/>
            <w:left w:w="0" w:type="dxa"/>
            <w:bottom w:w="0" w:type="dxa"/>
            <w:right w:w="0" w:type="dxa"/>
          </w:tblCellMar>
        </w:tblPrEx>
        <w:trPr>
          <w:wBefore w:w="0" w:type="auto"/>
          <w:tblCellSpacing w:w="0" w:type="dxa"/>
        </w:trPr>
        <w:tc>
          <w:tcPr>
            <w:tcW w:w="0" w:type="auto"/>
            <w:noWrap w:val="0"/>
            <w:vAlign w:val="center"/>
          </w:tcPr>
          <w:p w14:paraId="01952206">
            <w:r>
              <w:rPr>
                <w:rStyle w:val="10"/>
                <w:rFonts w:hint="eastAsia"/>
              </w:rPr>
              <w:t>使用技术要求:</w:t>
            </w:r>
            <w:r>
              <w:rPr>
                <w:rFonts w:hint="eastAsia"/>
              </w:rPr>
              <w:br w:type="textWrapping"/>
            </w:r>
            <w:r>
              <w:rPr>
                <w:rStyle w:val="11"/>
                <w:rFonts w:hint="eastAsia"/>
              </w:rPr>
              <w:t>1．本品应于桃树桃蚜发生前或始盛期施药，注意喷雾均匀、周到，以确保防效。 2．本品在桃树上使用时的安全间隔期为14天，每季作物最多使用1次。 3．大风天或预计1小时内降雨，请勿施药。</w:t>
            </w:r>
          </w:p>
        </w:tc>
      </w:tr>
      <w:tr w14:paraId="06AD7DB8">
        <w:tblPrEx>
          <w:tblCellMar>
            <w:top w:w="0" w:type="dxa"/>
            <w:left w:w="0" w:type="dxa"/>
            <w:bottom w:w="0" w:type="dxa"/>
            <w:right w:w="0" w:type="dxa"/>
          </w:tblCellMar>
        </w:tblPrEx>
        <w:trPr>
          <w:wBefore w:w="0" w:type="auto"/>
          <w:tblCellSpacing w:w="0" w:type="dxa"/>
        </w:trPr>
        <w:tc>
          <w:tcPr>
            <w:tcW w:w="0" w:type="auto"/>
            <w:noWrap w:val="0"/>
            <w:vAlign w:val="center"/>
          </w:tcPr>
          <w:p w14:paraId="70B7383E">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605D7AC6">
        <w:tblPrEx>
          <w:tblCellMar>
            <w:top w:w="0" w:type="dxa"/>
            <w:left w:w="0" w:type="dxa"/>
            <w:bottom w:w="0" w:type="dxa"/>
            <w:right w:w="0" w:type="dxa"/>
          </w:tblCellMar>
        </w:tblPrEx>
        <w:trPr>
          <w:wBefore w:w="0" w:type="auto"/>
          <w:tblCellSpacing w:w="0" w:type="dxa"/>
        </w:trPr>
        <w:tc>
          <w:tcPr>
            <w:tcW w:w="0" w:type="auto"/>
            <w:noWrap w:val="0"/>
            <w:vAlign w:val="center"/>
          </w:tcPr>
          <w:p w14:paraId="4F26F2B5">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等，避免皮肤接触及口鼻吸入药液。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7.避免与具有氧化性物质接触或混合。</w:t>
            </w:r>
          </w:p>
        </w:tc>
      </w:tr>
      <w:tr w14:paraId="4293B822">
        <w:tblPrEx>
          <w:tblCellMar>
            <w:top w:w="0" w:type="dxa"/>
            <w:left w:w="0" w:type="dxa"/>
            <w:bottom w:w="0" w:type="dxa"/>
            <w:right w:w="0" w:type="dxa"/>
          </w:tblCellMar>
        </w:tblPrEx>
        <w:trPr>
          <w:wBefore w:w="0" w:type="auto"/>
          <w:tblCellSpacing w:w="0" w:type="dxa"/>
        </w:trPr>
        <w:tc>
          <w:tcPr>
            <w:tcW w:w="0" w:type="auto"/>
            <w:noWrap w:val="0"/>
            <w:vAlign w:val="center"/>
          </w:tcPr>
          <w:p w14:paraId="5F7C659E">
            <w:r>
              <w:rPr>
                <w:rStyle w:val="10"/>
                <w:rFonts w:hint="eastAsia"/>
              </w:rPr>
              <w:t>中毒急救措施：</w:t>
            </w:r>
            <w:r>
              <w:rPr>
                <w:rFonts w:hint="eastAsia"/>
              </w:rPr>
              <w:br w:type="textWrapping"/>
            </w:r>
            <w:r>
              <w:rPr>
                <w:rStyle w:val="11"/>
                <w:rFonts w:hint="eastAsia"/>
              </w:rPr>
              <w:t>中毒症状：无明显中毒症状。 急救措施：1.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w:t>
            </w:r>
          </w:p>
        </w:tc>
      </w:tr>
      <w:tr w14:paraId="3AA5D693">
        <w:tblPrEx>
          <w:tblCellMar>
            <w:top w:w="0" w:type="dxa"/>
            <w:left w:w="0" w:type="dxa"/>
            <w:bottom w:w="0" w:type="dxa"/>
            <w:right w:w="0" w:type="dxa"/>
          </w:tblCellMar>
        </w:tblPrEx>
        <w:trPr>
          <w:wBefore w:w="0" w:type="auto"/>
          <w:tblCellSpacing w:w="0" w:type="dxa"/>
        </w:trPr>
        <w:tc>
          <w:tcPr>
            <w:tcW w:w="0" w:type="auto"/>
            <w:noWrap w:val="0"/>
            <w:vAlign w:val="center"/>
          </w:tcPr>
          <w:p w14:paraId="5E1D83A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066A4AB1">
        <w:tblPrEx>
          <w:tblCellMar>
            <w:top w:w="0" w:type="dxa"/>
            <w:left w:w="0" w:type="dxa"/>
            <w:bottom w:w="0" w:type="dxa"/>
            <w:right w:w="0" w:type="dxa"/>
          </w:tblCellMar>
        </w:tblPrEx>
        <w:trPr>
          <w:wBefore w:w="0" w:type="auto"/>
          <w:tblCellSpacing w:w="0" w:type="dxa"/>
        </w:trPr>
        <w:tc>
          <w:tcPr>
            <w:tcW w:w="0" w:type="auto"/>
            <w:noWrap w:val="0"/>
            <w:vAlign w:val="center"/>
          </w:tcPr>
          <w:p w14:paraId="69412356">
            <w:r>
              <w:rPr>
                <w:rStyle w:val="10"/>
                <w:rFonts w:hint="eastAsia"/>
              </w:rPr>
              <w:t>质量保证期：</w:t>
            </w:r>
            <w:r>
              <w:rPr>
                <w:rStyle w:val="11"/>
                <w:rFonts w:hint="eastAsia"/>
              </w:rPr>
              <w:t>2年</w:t>
            </w:r>
          </w:p>
        </w:tc>
      </w:tr>
      <w:tr w14:paraId="521EB25D">
        <w:tblPrEx>
          <w:tblCellMar>
            <w:top w:w="0" w:type="dxa"/>
            <w:left w:w="0" w:type="dxa"/>
            <w:bottom w:w="0" w:type="dxa"/>
            <w:right w:w="0" w:type="dxa"/>
          </w:tblCellMar>
        </w:tblPrEx>
        <w:trPr>
          <w:wBefore w:w="0" w:type="auto"/>
          <w:tblCellSpacing w:w="0" w:type="dxa"/>
        </w:trPr>
        <w:tc>
          <w:tcPr>
            <w:tcW w:w="0" w:type="auto"/>
            <w:noWrap w:val="0"/>
            <w:vAlign w:val="center"/>
          </w:tcPr>
          <w:p w14:paraId="3ADE6CB5">
            <w:r>
              <w:rPr>
                <w:rStyle w:val="10"/>
                <w:rFonts w:hint="eastAsia"/>
              </w:rPr>
              <w:t>备注：</w:t>
            </w:r>
          </w:p>
        </w:tc>
      </w:tr>
    </w:tbl>
    <w:p w14:paraId="38A4D2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D32C02">
        <w:tblPrEx>
          <w:tblCellMar>
            <w:top w:w="0" w:type="dxa"/>
            <w:left w:w="0" w:type="dxa"/>
            <w:bottom w:w="0" w:type="dxa"/>
            <w:right w:w="0" w:type="dxa"/>
          </w:tblCellMar>
        </w:tblPrEx>
        <w:trPr>
          <w:wBefore w:w="0" w:type="auto"/>
          <w:tblCellSpacing w:w="0" w:type="dxa"/>
        </w:trPr>
        <w:tc>
          <w:tcPr>
            <w:tcW w:w="0" w:type="auto"/>
            <w:noWrap w:val="0"/>
            <w:vAlign w:val="center"/>
          </w:tcPr>
          <w:p w14:paraId="7CEA6D96">
            <w:r>
              <w:rPr>
                <w:rStyle w:val="10"/>
                <w:rFonts w:hint="eastAsia"/>
              </w:rPr>
              <w:t>登记证号：</w:t>
            </w:r>
            <w:r>
              <w:rPr>
                <w:rFonts w:hint="eastAsia"/>
              </w:rPr>
              <w:t>PD20212313</w:t>
            </w:r>
          </w:p>
        </w:tc>
      </w:tr>
      <w:tr w14:paraId="627F6643">
        <w:tblPrEx>
          <w:tblCellMar>
            <w:top w:w="0" w:type="dxa"/>
            <w:left w:w="0" w:type="dxa"/>
            <w:bottom w:w="0" w:type="dxa"/>
            <w:right w:w="0" w:type="dxa"/>
          </w:tblCellMar>
        </w:tblPrEx>
        <w:trPr>
          <w:wBefore w:w="0" w:type="auto"/>
          <w:tblCellSpacing w:w="0" w:type="dxa"/>
        </w:trPr>
        <w:tc>
          <w:tcPr>
            <w:tcW w:w="0" w:type="auto"/>
            <w:noWrap w:val="0"/>
            <w:vAlign w:val="center"/>
          </w:tcPr>
          <w:p w14:paraId="661303BC">
            <w:r>
              <w:rPr>
                <w:rStyle w:val="10"/>
                <w:rFonts w:hint="eastAsia"/>
              </w:rPr>
              <w:t>登记证持有人：</w:t>
            </w:r>
            <w:r>
              <w:rPr>
                <w:rFonts w:hint="eastAsia"/>
              </w:rPr>
              <w:t>江西新瑞丰生化股份有限公司</w:t>
            </w:r>
          </w:p>
        </w:tc>
      </w:tr>
      <w:tr w14:paraId="7CDFBA1B">
        <w:tblPrEx>
          <w:tblCellMar>
            <w:top w:w="0" w:type="dxa"/>
            <w:left w:w="0" w:type="dxa"/>
            <w:bottom w:w="0" w:type="dxa"/>
            <w:right w:w="0" w:type="dxa"/>
          </w:tblCellMar>
        </w:tblPrEx>
        <w:trPr>
          <w:wBefore w:w="0" w:type="auto"/>
          <w:tblCellSpacing w:w="0" w:type="dxa"/>
        </w:trPr>
        <w:tc>
          <w:tcPr>
            <w:tcW w:w="0" w:type="auto"/>
            <w:noWrap w:val="0"/>
            <w:vAlign w:val="center"/>
          </w:tcPr>
          <w:p w14:paraId="373B715B">
            <w:r>
              <w:rPr>
                <w:rStyle w:val="10"/>
                <w:rFonts w:hint="eastAsia"/>
              </w:rPr>
              <w:t>农药名称：</w:t>
            </w:r>
            <w:r>
              <w:rPr>
                <w:rFonts w:hint="eastAsia"/>
              </w:rPr>
              <w:t>苄氨基嘌呤</w:t>
            </w:r>
          </w:p>
        </w:tc>
      </w:tr>
      <w:tr w14:paraId="48FFC07C">
        <w:tblPrEx>
          <w:tblCellMar>
            <w:top w:w="0" w:type="dxa"/>
            <w:left w:w="0" w:type="dxa"/>
            <w:bottom w:w="0" w:type="dxa"/>
            <w:right w:w="0" w:type="dxa"/>
          </w:tblCellMar>
        </w:tblPrEx>
        <w:trPr>
          <w:wBefore w:w="0" w:type="auto"/>
          <w:tblCellSpacing w:w="0" w:type="dxa"/>
        </w:trPr>
        <w:tc>
          <w:tcPr>
            <w:tcW w:w="0" w:type="auto"/>
            <w:noWrap w:val="0"/>
            <w:vAlign w:val="center"/>
          </w:tcPr>
          <w:p w14:paraId="3D15BDF6">
            <w:r>
              <w:rPr>
                <w:rStyle w:val="10"/>
                <w:rFonts w:hint="eastAsia"/>
              </w:rPr>
              <w:t>剂型：</w:t>
            </w:r>
            <w:r>
              <w:rPr>
                <w:rFonts w:hint="eastAsia"/>
              </w:rPr>
              <w:t>原药</w:t>
            </w:r>
          </w:p>
        </w:tc>
      </w:tr>
      <w:tr w14:paraId="76B26239">
        <w:tblPrEx>
          <w:tblCellMar>
            <w:top w:w="0" w:type="dxa"/>
            <w:left w:w="0" w:type="dxa"/>
            <w:bottom w:w="0" w:type="dxa"/>
            <w:right w:w="0" w:type="dxa"/>
          </w:tblCellMar>
        </w:tblPrEx>
        <w:trPr>
          <w:wBefore w:w="0" w:type="auto"/>
          <w:tblCellSpacing w:w="0" w:type="dxa"/>
        </w:trPr>
        <w:tc>
          <w:tcPr>
            <w:tcW w:w="0" w:type="auto"/>
            <w:noWrap w:val="0"/>
            <w:vAlign w:val="center"/>
          </w:tcPr>
          <w:p w14:paraId="0AF849D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2" name="图片 2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A0C4B7">
        <w:tblPrEx>
          <w:tblCellMar>
            <w:top w:w="0" w:type="dxa"/>
            <w:left w:w="0" w:type="dxa"/>
            <w:bottom w:w="0" w:type="dxa"/>
            <w:right w:w="0" w:type="dxa"/>
          </w:tblCellMar>
        </w:tblPrEx>
        <w:trPr>
          <w:wBefore w:w="0" w:type="auto"/>
          <w:tblCellSpacing w:w="0" w:type="dxa"/>
        </w:trPr>
        <w:tc>
          <w:tcPr>
            <w:tcW w:w="0" w:type="auto"/>
            <w:noWrap w:val="0"/>
            <w:vAlign w:val="center"/>
          </w:tcPr>
          <w:p w14:paraId="169F82B1">
            <w:r>
              <w:rPr>
                <w:rStyle w:val="10"/>
                <w:rFonts w:hint="eastAsia"/>
              </w:rPr>
              <w:t>总有效成分含量：</w:t>
            </w:r>
            <w:r>
              <w:rPr>
                <w:rFonts w:hint="eastAsia"/>
              </w:rPr>
              <w:t>98%</w:t>
            </w:r>
          </w:p>
        </w:tc>
      </w:tr>
      <w:tr w14:paraId="7621662C">
        <w:tblPrEx>
          <w:tblCellMar>
            <w:top w:w="0" w:type="dxa"/>
            <w:left w:w="0" w:type="dxa"/>
            <w:bottom w:w="0" w:type="dxa"/>
            <w:right w:w="0" w:type="dxa"/>
          </w:tblCellMar>
        </w:tblPrEx>
        <w:trPr>
          <w:wBefore w:w="0" w:type="auto"/>
          <w:tblCellSpacing w:w="0" w:type="dxa"/>
        </w:trPr>
        <w:tc>
          <w:tcPr>
            <w:tcW w:w="0" w:type="auto"/>
            <w:noWrap w:val="0"/>
            <w:vAlign w:val="center"/>
          </w:tcPr>
          <w:p w14:paraId="7E43D702">
            <w:r>
              <w:rPr>
                <w:rFonts w:hint="eastAsia"/>
              </w:rPr>
              <w:t xml:space="preserve">有效成分及其含量： </w:t>
            </w:r>
          </w:p>
          <w:p w14:paraId="55FB12AD">
            <w:r>
              <w:rPr>
                <w:rFonts w:hint="eastAsia"/>
              </w:rPr>
              <w:t xml:space="preserve">    苄氨基嘌呤98%    </w:t>
            </w:r>
          </w:p>
        </w:tc>
      </w:tr>
      <w:tr w14:paraId="782B6AF4">
        <w:tblPrEx>
          <w:tblCellMar>
            <w:top w:w="0" w:type="dxa"/>
            <w:left w:w="0" w:type="dxa"/>
            <w:bottom w:w="0" w:type="dxa"/>
            <w:right w:w="0" w:type="dxa"/>
          </w:tblCellMar>
        </w:tblPrEx>
        <w:trPr>
          <w:wBefore w:w="0" w:type="auto"/>
          <w:tblCellSpacing w:w="0" w:type="dxa"/>
        </w:trPr>
        <w:tc>
          <w:tcPr>
            <w:tcW w:w="0" w:type="auto"/>
            <w:noWrap w:val="0"/>
            <w:vAlign w:val="center"/>
          </w:tcPr>
          <w:p w14:paraId="5510BF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AC5CF5">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FA8F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2FDD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F19D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657B0EE">
                  <w:r>
                    <w:rPr>
                      <w:rStyle w:val="11"/>
                      <w:rFonts w:hint="eastAsia"/>
                    </w:rPr>
                    <w:t>施用方式</w:t>
                  </w:r>
                </w:p>
              </w:tc>
            </w:tr>
          </w:tbl>
          <w:p w14:paraId="4EF021BF">
            <w:pPr>
              <w:rPr>
                <w:rFonts w:ascii="Times New Roman" w:hAnsi="Times New Roman" w:cs="Times New Roman"/>
                <w:sz w:val="20"/>
                <w:szCs w:val="20"/>
              </w:rPr>
            </w:pPr>
          </w:p>
        </w:tc>
      </w:tr>
      <w:tr w14:paraId="7DE325A4">
        <w:tblPrEx>
          <w:tblCellMar>
            <w:top w:w="0" w:type="dxa"/>
            <w:left w:w="0" w:type="dxa"/>
            <w:bottom w:w="0" w:type="dxa"/>
            <w:right w:w="0" w:type="dxa"/>
          </w:tblCellMar>
        </w:tblPrEx>
        <w:trPr>
          <w:wBefore w:w="0" w:type="auto"/>
          <w:tblCellSpacing w:w="0" w:type="dxa"/>
        </w:trPr>
        <w:tc>
          <w:tcPr>
            <w:tcW w:w="0" w:type="auto"/>
            <w:noWrap w:val="0"/>
            <w:vAlign w:val="center"/>
          </w:tcPr>
          <w:p w14:paraId="696C0FD3">
            <w:r>
              <w:rPr>
                <w:rStyle w:val="10"/>
                <w:rFonts w:hint="eastAsia"/>
              </w:rPr>
              <w:t>使用技术要求:</w:t>
            </w:r>
            <w:r>
              <w:rPr>
                <w:rFonts w:hint="eastAsia"/>
              </w:rPr>
              <w:br w:type="textWrapping"/>
            </w:r>
            <w:r>
              <w:rPr>
                <w:rStyle w:val="11"/>
                <w:rFonts w:hint="eastAsia"/>
              </w:rPr>
              <w:t>/</w:t>
            </w:r>
          </w:p>
        </w:tc>
      </w:tr>
      <w:tr w14:paraId="5E86F528">
        <w:tblPrEx>
          <w:tblCellMar>
            <w:top w:w="0" w:type="dxa"/>
            <w:left w:w="0" w:type="dxa"/>
            <w:bottom w:w="0" w:type="dxa"/>
            <w:right w:w="0" w:type="dxa"/>
          </w:tblCellMar>
        </w:tblPrEx>
        <w:trPr>
          <w:wBefore w:w="0" w:type="auto"/>
          <w:tblCellSpacing w:w="0" w:type="dxa"/>
        </w:trPr>
        <w:tc>
          <w:tcPr>
            <w:tcW w:w="0" w:type="auto"/>
            <w:noWrap w:val="0"/>
            <w:vAlign w:val="center"/>
          </w:tcPr>
          <w:p w14:paraId="07478A9B">
            <w:r>
              <w:rPr>
                <w:rStyle w:val="10"/>
                <w:rFonts w:hint="eastAsia"/>
              </w:rPr>
              <w:t>产品性能:</w:t>
            </w:r>
            <w:r>
              <w:rPr>
                <w:rFonts w:hint="eastAsia"/>
              </w:rPr>
              <w:br w:type="textWrapping"/>
            </w:r>
            <w:r>
              <w:rPr>
                <w:rStyle w:val="11"/>
                <w:rFonts w:hint="eastAsia"/>
              </w:rPr>
              <w:t>本品是农药制剂加工的原材料，不得用于农作物或者其他场所。外观为白色粉末，无刺激性气味。本品属植物内源生长素，可经由叶片、树枝的嫩表皮、种子进入到植物体内，随营养流输导到起作用的部位。</w:t>
            </w:r>
          </w:p>
        </w:tc>
      </w:tr>
      <w:tr w14:paraId="22E0B388">
        <w:tblPrEx>
          <w:tblCellMar>
            <w:top w:w="0" w:type="dxa"/>
            <w:left w:w="0" w:type="dxa"/>
            <w:bottom w:w="0" w:type="dxa"/>
            <w:right w:w="0" w:type="dxa"/>
          </w:tblCellMar>
        </w:tblPrEx>
        <w:trPr>
          <w:wBefore w:w="0" w:type="auto"/>
          <w:tblCellSpacing w:w="0" w:type="dxa"/>
        </w:trPr>
        <w:tc>
          <w:tcPr>
            <w:tcW w:w="0" w:type="auto"/>
            <w:noWrap w:val="0"/>
            <w:vAlign w:val="center"/>
          </w:tcPr>
          <w:p w14:paraId="5CE0130F">
            <w:r>
              <w:rPr>
                <w:rStyle w:val="10"/>
                <w:rFonts w:hint="eastAsia"/>
              </w:rPr>
              <w:t>注意事项：</w:t>
            </w:r>
            <w:r>
              <w:rPr>
                <w:rFonts w:hint="eastAsia"/>
              </w:rPr>
              <w:br w:type="textWrapping"/>
            </w:r>
            <w:r>
              <w:rPr>
                <w:rStyle w:val="11"/>
                <w:rFonts w:hint="eastAsia"/>
              </w:rPr>
              <w:t>1.接触本品时应采取安全防护措施，穿胶鞋、长衣长裤和防护服，戴口罩、手套，避免刺激眼睛、皮肤接触及口鼻吸入，切勿吸烟、喝水或饮食。使用后立即清洗裸露部位的皮肤，更换并清洗工作服。 2. 发生泄漏时，应及时采取堵漏、关阀断源、围栏封堵、回收等措施。 3.发生火灾时，应采取关阀断源、堵漏、停产、围火隔离等措施，只能用干粉灭火器、沙土、淋湿的棉被、麻袋等灭火，不得用水灭火。 4.用过的容器或废弃包装应妥善处理，切勿他用或随意丢弃。 5. 禁止孕妇、哺乳期妇女及过敏者接触本品。</w:t>
            </w:r>
          </w:p>
        </w:tc>
      </w:tr>
      <w:tr w14:paraId="2203684D">
        <w:tblPrEx>
          <w:tblCellMar>
            <w:top w:w="0" w:type="dxa"/>
            <w:left w:w="0" w:type="dxa"/>
            <w:bottom w:w="0" w:type="dxa"/>
            <w:right w:w="0" w:type="dxa"/>
          </w:tblCellMar>
        </w:tblPrEx>
        <w:trPr>
          <w:wBefore w:w="0" w:type="auto"/>
          <w:tblCellSpacing w:w="0" w:type="dxa"/>
        </w:trPr>
        <w:tc>
          <w:tcPr>
            <w:tcW w:w="0" w:type="auto"/>
            <w:noWrap w:val="0"/>
            <w:vAlign w:val="center"/>
          </w:tcPr>
          <w:p w14:paraId="5195FA38">
            <w:r>
              <w:rPr>
                <w:rStyle w:val="10"/>
                <w:rFonts w:hint="eastAsia"/>
              </w:rPr>
              <w:t>中毒急救措施：</w:t>
            </w:r>
            <w:r>
              <w:rPr>
                <w:rFonts w:hint="eastAsia"/>
              </w:rPr>
              <w:br w:type="textWrapping"/>
            </w:r>
            <w:r>
              <w:rPr>
                <w:rStyle w:val="11"/>
                <w:rFonts w:hint="eastAsia"/>
              </w:rPr>
              <w:t>对眼睛有刺激性，使用中或使用后，如果感觉不适，应立即停止工作， 采取急救措施。不慎吸入，应将病人移至空气流通处。不慎接触皮肤或 溅入眼睛，应用大量清水冲洗干净。误服则应立即携此标签将病人送医 院诊治。无特殊解毒剂，由医生对症治疗。</w:t>
            </w:r>
          </w:p>
        </w:tc>
      </w:tr>
      <w:tr w14:paraId="100260D2">
        <w:tblPrEx>
          <w:tblCellMar>
            <w:top w:w="0" w:type="dxa"/>
            <w:left w:w="0" w:type="dxa"/>
            <w:bottom w:w="0" w:type="dxa"/>
            <w:right w:w="0" w:type="dxa"/>
          </w:tblCellMar>
        </w:tblPrEx>
        <w:trPr>
          <w:wBefore w:w="0" w:type="auto"/>
          <w:tblCellSpacing w:w="0" w:type="dxa"/>
        </w:trPr>
        <w:tc>
          <w:tcPr>
            <w:tcW w:w="0" w:type="auto"/>
            <w:noWrap w:val="0"/>
            <w:vAlign w:val="center"/>
          </w:tcPr>
          <w:p w14:paraId="1A0C2172">
            <w:r>
              <w:rPr>
                <w:rStyle w:val="10"/>
                <w:rFonts w:hint="eastAsia"/>
              </w:rPr>
              <w:t>储存和运输方法：</w:t>
            </w:r>
            <w:r>
              <w:rPr>
                <w:rFonts w:hint="eastAsia"/>
              </w:rPr>
              <w:br w:type="textWrapping"/>
            </w:r>
            <w:r>
              <w:rPr>
                <w:rStyle w:val="11"/>
                <w:rFonts w:hint="eastAsia"/>
              </w:rPr>
              <w:t>1. 本品应贮存于阴凉、干燥、通风、防雨处，远离火源及热源。 2. 本品应远离家禽，不能与食品、饮料、饲料和粮食等同贮同运。 3. 本品应贮存于儿童触及不到的地方并加锁保存。</w:t>
            </w:r>
          </w:p>
        </w:tc>
      </w:tr>
      <w:tr w14:paraId="6A722E28">
        <w:tblPrEx>
          <w:tblCellMar>
            <w:top w:w="0" w:type="dxa"/>
            <w:left w:w="0" w:type="dxa"/>
            <w:bottom w:w="0" w:type="dxa"/>
            <w:right w:w="0" w:type="dxa"/>
          </w:tblCellMar>
        </w:tblPrEx>
        <w:trPr>
          <w:wBefore w:w="0" w:type="auto"/>
          <w:tblCellSpacing w:w="0" w:type="dxa"/>
        </w:trPr>
        <w:tc>
          <w:tcPr>
            <w:tcW w:w="0" w:type="auto"/>
            <w:noWrap w:val="0"/>
            <w:vAlign w:val="center"/>
          </w:tcPr>
          <w:p w14:paraId="7E51E18E">
            <w:r>
              <w:rPr>
                <w:rStyle w:val="10"/>
                <w:rFonts w:hint="eastAsia"/>
              </w:rPr>
              <w:t>质量保证期：</w:t>
            </w:r>
            <w:r>
              <w:rPr>
                <w:rStyle w:val="11"/>
                <w:rFonts w:hint="eastAsia"/>
              </w:rPr>
              <w:t>2年</w:t>
            </w:r>
          </w:p>
        </w:tc>
      </w:tr>
      <w:tr w14:paraId="441DEFB8">
        <w:tblPrEx>
          <w:tblCellMar>
            <w:top w:w="0" w:type="dxa"/>
            <w:left w:w="0" w:type="dxa"/>
            <w:bottom w:w="0" w:type="dxa"/>
            <w:right w:w="0" w:type="dxa"/>
          </w:tblCellMar>
        </w:tblPrEx>
        <w:trPr>
          <w:wBefore w:w="0" w:type="auto"/>
          <w:tblCellSpacing w:w="0" w:type="dxa"/>
        </w:trPr>
        <w:tc>
          <w:tcPr>
            <w:tcW w:w="0" w:type="auto"/>
            <w:noWrap w:val="0"/>
            <w:vAlign w:val="center"/>
          </w:tcPr>
          <w:p w14:paraId="3D122ED6">
            <w:r>
              <w:rPr>
                <w:rStyle w:val="10"/>
                <w:rFonts w:hint="eastAsia"/>
              </w:rPr>
              <w:t>备注：</w:t>
            </w:r>
          </w:p>
        </w:tc>
      </w:tr>
    </w:tbl>
    <w:p w14:paraId="1D0050B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72EAFB">
        <w:tblPrEx>
          <w:tblCellMar>
            <w:top w:w="0" w:type="dxa"/>
            <w:left w:w="0" w:type="dxa"/>
            <w:bottom w:w="0" w:type="dxa"/>
            <w:right w:w="0" w:type="dxa"/>
          </w:tblCellMar>
        </w:tblPrEx>
        <w:trPr>
          <w:wBefore w:w="0" w:type="auto"/>
          <w:tblCellSpacing w:w="0" w:type="dxa"/>
        </w:trPr>
        <w:tc>
          <w:tcPr>
            <w:tcW w:w="0" w:type="auto"/>
            <w:noWrap w:val="0"/>
            <w:vAlign w:val="center"/>
          </w:tcPr>
          <w:p w14:paraId="634CF486">
            <w:r>
              <w:rPr>
                <w:rStyle w:val="10"/>
                <w:rFonts w:hint="eastAsia"/>
              </w:rPr>
              <w:t>登记证号：</w:t>
            </w:r>
            <w:r>
              <w:rPr>
                <w:rFonts w:hint="eastAsia"/>
              </w:rPr>
              <w:t>PD20212555</w:t>
            </w:r>
          </w:p>
        </w:tc>
      </w:tr>
      <w:tr w14:paraId="5F3721EB">
        <w:tblPrEx>
          <w:tblCellMar>
            <w:top w:w="0" w:type="dxa"/>
            <w:left w:w="0" w:type="dxa"/>
            <w:bottom w:w="0" w:type="dxa"/>
            <w:right w:w="0" w:type="dxa"/>
          </w:tblCellMar>
        </w:tblPrEx>
        <w:trPr>
          <w:wBefore w:w="0" w:type="auto"/>
          <w:tblCellSpacing w:w="0" w:type="dxa"/>
        </w:trPr>
        <w:tc>
          <w:tcPr>
            <w:tcW w:w="0" w:type="auto"/>
            <w:noWrap w:val="0"/>
            <w:vAlign w:val="center"/>
          </w:tcPr>
          <w:p w14:paraId="519DF539">
            <w:r>
              <w:rPr>
                <w:rStyle w:val="10"/>
                <w:rFonts w:hint="eastAsia"/>
              </w:rPr>
              <w:t>登记证持有人：</w:t>
            </w:r>
            <w:r>
              <w:rPr>
                <w:rFonts w:hint="eastAsia"/>
              </w:rPr>
              <w:t>安徽金土地生物科技有限公司</w:t>
            </w:r>
          </w:p>
        </w:tc>
      </w:tr>
      <w:tr w14:paraId="59BB076B">
        <w:tblPrEx>
          <w:tblCellMar>
            <w:top w:w="0" w:type="dxa"/>
            <w:left w:w="0" w:type="dxa"/>
            <w:bottom w:w="0" w:type="dxa"/>
            <w:right w:w="0" w:type="dxa"/>
          </w:tblCellMar>
        </w:tblPrEx>
        <w:trPr>
          <w:wBefore w:w="0" w:type="auto"/>
          <w:tblCellSpacing w:w="0" w:type="dxa"/>
        </w:trPr>
        <w:tc>
          <w:tcPr>
            <w:tcW w:w="0" w:type="auto"/>
            <w:noWrap w:val="0"/>
            <w:vAlign w:val="center"/>
          </w:tcPr>
          <w:p w14:paraId="32ECE308">
            <w:r>
              <w:rPr>
                <w:rStyle w:val="10"/>
                <w:rFonts w:hint="eastAsia"/>
              </w:rPr>
              <w:t>农药名称：</w:t>
            </w:r>
            <w:r>
              <w:rPr>
                <w:rFonts w:hint="eastAsia"/>
              </w:rPr>
              <w:t>氰氟草酯</w:t>
            </w:r>
          </w:p>
        </w:tc>
      </w:tr>
      <w:tr w14:paraId="395563C2">
        <w:tblPrEx>
          <w:tblCellMar>
            <w:top w:w="0" w:type="dxa"/>
            <w:left w:w="0" w:type="dxa"/>
            <w:bottom w:w="0" w:type="dxa"/>
            <w:right w:w="0" w:type="dxa"/>
          </w:tblCellMar>
        </w:tblPrEx>
        <w:trPr>
          <w:wBefore w:w="0" w:type="auto"/>
          <w:tblCellSpacing w:w="0" w:type="dxa"/>
        </w:trPr>
        <w:tc>
          <w:tcPr>
            <w:tcW w:w="0" w:type="auto"/>
            <w:noWrap w:val="0"/>
            <w:vAlign w:val="center"/>
          </w:tcPr>
          <w:p w14:paraId="0CE09783">
            <w:r>
              <w:rPr>
                <w:rStyle w:val="10"/>
                <w:rFonts w:hint="eastAsia"/>
              </w:rPr>
              <w:t>剂型：</w:t>
            </w:r>
            <w:r>
              <w:rPr>
                <w:rFonts w:hint="eastAsia"/>
              </w:rPr>
              <w:t>乳油</w:t>
            </w:r>
          </w:p>
        </w:tc>
      </w:tr>
      <w:tr w14:paraId="2DB51645">
        <w:trPr>
          <w:wBefore w:w="0" w:type="auto"/>
          <w:tblCellSpacing w:w="0" w:type="dxa"/>
        </w:trPr>
        <w:tc>
          <w:tcPr>
            <w:tcW w:w="0" w:type="auto"/>
            <w:noWrap w:val="0"/>
            <w:vAlign w:val="center"/>
          </w:tcPr>
          <w:p w14:paraId="7D5A0499">
            <w:r>
              <w:rPr>
                <w:rStyle w:val="10"/>
                <w:rFonts w:hint="eastAsia"/>
              </w:rPr>
              <w:t>毒性及其标识：</w:t>
            </w:r>
            <w:r>
              <w:rPr>
                <w:rFonts w:hint="eastAsia"/>
              </w:rPr>
              <w:t xml:space="preserve"> </w:t>
            </w:r>
            <w:r>
              <w:rPr>
                <w:lang/>
              </w:rPr>
              <w:drawing>
                <wp:inline distT="0" distB="0" distL="114300" distR="114300">
                  <wp:extent cx="476250" cy="323850"/>
                  <wp:effectExtent l="0" t="0" r="0" b="0"/>
                  <wp:docPr id="233" name="图片 2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E62712">
        <w:tblPrEx>
          <w:tblCellMar>
            <w:top w:w="0" w:type="dxa"/>
            <w:left w:w="0" w:type="dxa"/>
            <w:bottom w:w="0" w:type="dxa"/>
            <w:right w:w="0" w:type="dxa"/>
          </w:tblCellMar>
        </w:tblPrEx>
        <w:trPr>
          <w:wBefore w:w="0" w:type="auto"/>
          <w:tblCellSpacing w:w="0" w:type="dxa"/>
        </w:trPr>
        <w:tc>
          <w:tcPr>
            <w:tcW w:w="0" w:type="auto"/>
            <w:noWrap w:val="0"/>
            <w:vAlign w:val="center"/>
          </w:tcPr>
          <w:p w14:paraId="4015F4B9">
            <w:r>
              <w:rPr>
                <w:rStyle w:val="10"/>
                <w:rFonts w:hint="eastAsia"/>
              </w:rPr>
              <w:t>总有效成分含量：</w:t>
            </w:r>
            <w:r>
              <w:rPr>
                <w:rFonts w:hint="eastAsia"/>
              </w:rPr>
              <w:t>35%</w:t>
            </w:r>
          </w:p>
        </w:tc>
      </w:tr>
      <w:tr w14:paraId="7238C823">
        <w:tblPrEx>
          <w:tblCellMar>
            <w:top w:w="0" w:type="dxa"/>
            <w:left w:w="0" w:type="dxa"/>
            <w:bottom w:w="0" w:type="dxa"/>
            <w:right w:w="0" w:type="dxa"/>
          </w:tblCellMar>
        </w:tblPrEx>
        <w:trPr>
          <w:wBefore w:w="0" w:type="auto"/>
          <w:tblCellSpacing w:w="0" w:type="dxa"/>
        </w:trPr>
        <w:tc>
          <w:tcPr>
            <w:tcW w:w="0" w:type="auto"/>
            <w:noWrap w:val="0"/>
            <w:vAlign w:val="center"/>
          </w:tcPr>
          <w:p w14:paraId="419DDCB2">
            <w:r>
              <w:rPr>
                <w:rFonts w:hint="eastAsia"/>
              </w:rPr>
              <w:t xml:space="preserve">有效成分及其含量： </w:t>
            </w:r>
          </w:p>
          <w:p w14:paraId="62D54957">
            <w:r>
              <w:rPr>
                <w:rFonts w:hint="eastAsia"/>
              </w:rPr>
              <w:t xml:space="preserve">    氰氟草酯35%    </w:t>
            </w:r>
          </w:p>
        </w:tc>
      </w:tr>
      <w:tr w14:paraId="348E5C82">
        <w:tblPrEx>
          <w:tblCellMar>
            <w:top w:w="0" w:type="dxa"/>
            <w:left w:w="0" w:type="dxa"/>
            <w:bottom w:w="0" w:type="dxa"/>
            <w:right w:w="0" w:type="dxa"/>
          </w:tblCellMar>
        </w:tblPrEx>
        <w:trPr>
          <w:wBefore w:w="0" w:type="auto"/>
          <w:tblCellSpacing w:w="0" w:type="dxa"/>
        </w:trPr>
        <w:tc>
          <w:tcPr>
            <w:tcW w:w="0" w:type="auto"/>
            <w:noWrap w:val="0"/>
            <w:vAlign w:val="center"/>
          </w:tcPr>
          <w:p w14:paraId="26C0803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F38D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8B29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D45B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78BDB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5354AF">
                  <w:r>
                    <w:rPr>
                      <w:rStyle w:val="11"/>
                      <w:rFonts w:hint="eastAsia"/>
                    </w:rPr>
                    <w:t>施用方式</w:t>
                  </w:r>
                </w:p>
              </w:tc>
            </w:tr>
            <w:tr w14:paraId="45E4B3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A42EFF">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476F8F">
                  <w:r>
                    <w:rPr>
                      <w:rStyle w:val="11"/>
                      <w:rFonts w:hint="eastAsia"/>
                    </w:rPr>
                    <w:t>稗草、千金子等禾本科杂草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F6EC47">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318142">
                  <w:r>
                    <w:rPr>
                      <w:rStyle w:val="11"/>
                      <w:rFonts w:hint="eastAsia"/>
                    </w:rPr>
                    <w:t>茎叶喷雾</w:t>
                  </w:r>
                </w:p>
              </w:tc>
            </w:tr>
          </w:tbl>
          <w:p w14:paraId="530E5AE9">
            <w:pPr>
              <w:rPr>
                <w:rFonts w:ascii="Times New Roman" w:hAnsi="Times New Roman" w:cs="Times New Roman"/>
                <w:sz w:val="20"/>
                <w:szCs w:val="20"/>
              </w:rPr>
            </w:pPr>
          </w:p>
        </w:tc>
      </w:tr>
      <w:tr w14:paraId="350D5AC8">
        <w:tblPrEx>
          <w:tblCellMar>
            <w:top w:w="0" w:type="dxa"/>
            <w:left w:w="0" w:type="dxa"/>
            <w:bottom w:w="0" w:type="dxa"/>
            <w:right w:w="0" w:type="dxa"/>
          </w:tblCellMar>
        </w:tblPrEx>
        <w:trPr>
          <w:wBefore w:w="0" w:type="auto"/>
          <w:tblCellSpacing w:w="0" w:type="dxa"/>
        </w:trPr>
        <w:tc>
          <w:tcPr>
            <w:tcW w:w="0" w:type="auto"/>
            <w:noWrap w:val="0"/>
            <w:vAlign w:val="center"/>
          </w:tcPr>
          <w:p w14:paraId="54ABCA34">
            <w:r>
              <w:rPr>
                <w:rStyle w:val="10"/>
                <w:rFonts w:hint="eastAsia"/>
              </w:rPr>
              <w:t>使用技术要求:</w:t>
            </w:r>
            <w:r>
              <w:rPr>
                <w:rFonts w:hint="eastAsia"/>
              </w:rPr>
              <w:br w:type="textWrapping"/>
            </w:r>
            <w:r>
              <w:rPr>
                <w:rStyle w:val="11"/>
                <w:rFonts w:hint="eastAsia"/>
              </w:rPr>
              <w:t>1. 于直播稻3-5叶期，杂草2-4叶期，兑水30-40公斤/亩，茎叶喷雾处理1次。2. 施药前排干田水，保持土壤湿润，药后2天正常栽培管理，但水深不淹没稻苗心叶。3. 、每季最多施药1次，尽量避免过早或过晚施药。4. 避免大风天气施药，以免漂移药害，禁止重复喷洒、超量施药，以免药害发生。</w:t>
            </w:r>
          </w:p>
        </w:tc>
      </w:tr>
      <w:tr w14:paraId="7BC7B018">
        <w:tblPrEx>
          <w:tblCellMar>
            <w:top w:w="0" w:type="dxa"/>
            <w:left w:w="0" w:type="dxa"/>
            <w:bottom w:w="0" w:type="dxa"/>
            <w:right w:w="0" w:type="dxa"/>
          </w:tblCellMar>
        </w:tblPrEx>
        <w:trPr>
          <w:wBefore w:w="0" w:type="auto"/>
          <w:tblCellSpacing w:w="0" w:type="dxa"/>
        </w:trPr>
        <w:tc>
          <w:tcPr>
            <w:tcW w:w="0" w:type="auto"/>
            <w:noWrap w:val="0"/>
            <w:vAlign w:val="center"/>
          </w:tcPr>
          <w:p w14:paraId="156D1CC8">
            <w:r>
              <w:rPr>
                <w:rStyle w:val="10"/>
                <w:rFonts w:hint="eastAsia"/>
              </w:rPr>
              <w:t>产品性能:</w:t>
            </w:r>
            <w:r>
              <w:rPr>
                <w:rFonts w:hint="eastAsia"/>
              </w:rPr>
              <w:br w:type="textWrapping"/>
            </w:r>
            <w:r>
              <w:rPr>
                <w:rStyle w:val="11"/>
                <w:rFonts w:hint="eastAsia"/>
              </w:rPr>
              <w:t>本品是芳氧苯氧丙酸类除草剂中唯一对水稻具有高度安全性的品种，也是内吸传导性除草剂，主要由植物的叶片和叶鞘吸收，韧皮部传导，积累于植物体的分生组织区，通过抑制乙酰辅酶A羧化酶，使脂肪酸合成停止，细胞的生长分裂不能正常进行，膜系统等含脂结构破坏，最后导致杂草死亡。</w:t>
            </w:r>
          </w:p>
        </w:tc>
      </w:tr>
      <w:tr w14:paraId="74226A31">
        <w:tblPrEx>
          <w:tblCellMar>
            <w:top w:w="0" w:type="dxa"/>
            <w:left w:w="0" w:type="dxa"/>
            <w:bottom w:w="0" w:type="dxa"/>
            <w:right w:w="0" w:type="dxa"/>
          </w:tblCellMar>
        </w:tblPrEx>
        <w:trPr>
          <w:wBefore w:w="0" w:type="auto"/>
          <w:tblCellSpacing w:w="0" w:type="dxa"/>
        </w:trPr>
        <w:tc>
          <w:tcPr>
            <w:tcW w:w="0" w:type="auto"/>
            <w:noWrap w:val="0"/>
            <w:vAlign w:val="center"/>
          </w:tcPr>
          <w:p w14:paraId="40E95154">
            <w:r>
              <w:rPr>
                <w:rStyle w:val="10"/>
                <w:rFonts w:hint="eastAsia"/>
              </w:rPr>
              <w:t>注意事项：</w:t>
            </w:r>
            <w:r>
              <w:rPr>
                <w:rFonts w:hint="eastAsia"/>
              </w:rPr>
              <w:br w:type="textWrapping"/>
            </w:r>
            <w:r>
              <w:rPr>
                <w:rStyle w:val="11"/>
                <w:rFonts w:hint="eastAsia"/>
              </w:rPr>
              <w:t>1. 本品对眼睛、皮肤有刺激性，使用时要注意避免药液与眼睛、皮肤接触，穿戴长衣、长裤、帽子、口罩、手套等防护措施，避免吸入药液；施药期间不可吃东西、饮水等。施药后应及时洗手、洗脸等。 2. 清洗施药器具的废水不能排入河流、池塘等水源。 3. 远离水产养殖区、河塘等水域施药，禁止在河塘等水体清洗施药器械；鱼或虾蟹套养稻田禁用，施药后的田水不得直接排入水体。 4. 用过的容器应妥善处理，不可做他用，也不可随意丢弃。 5. 避免孕妇及哺乳期的妇女接触本品。</w:t>
            </w:r>
          </w:p>
        </w:tc>
      </w:tr>
      <w:tr w14:paraId="409A574B">
        <w:tblPrEx>
          <w:tblCellMar>
            <w:top w:w="0" w:type="dxa"/>
            <w:left w:w="0" w:type="dxa"/>
            <w:bottom w:w="0" w:type="dxa"/>
            <w:right w:w="0" w:type="dxa"/>
          </w:tblCellMar>
        </w:tblPrEx>
        <w:trPr>
          <w:wBefore w:w="0" w:type="auto"/>
          <w:tblCellSpacing w:w="0" w:type="dxa"/>
        </w:trPr>
        <w:tc>
          <w:tcPr>
            <w:tcW w:w="0" w:type="auto"/>
            <w:noWrap w:val="0"/>
            <w:vAlign w:val="center"/>
          </w:tcPr>
          <w:p w14:paraId="1CAE483B">
            <w:r>
              <w:rPr>
                <w:rStyle w:val="10"/>
                <w:rFonts w:hint="eastAsia"/>
              </w:rPr>
              <w:t>中毒急救措施：</w:t>
            </w:r>
            <w:r>
              <w:rPr>
                <w:rFonts w:hint="eastAsia"/>
              </w:rPr>
              <w:br w:type="textWrapping"/>
            </w:r>
            <w:r>
              <w:rPr>
                <w:rStyle w:val="11"/>
                <w:rFonts w:hint="eastAsia"/>
              </w:rPr>
              <w:t>1. 皮肤接触：立即脱掉污染的衣物，用肥皂和大量清水彻底清洗污染的皮肤。 2. 、眼睛接触：立即分开眼睑，用清水冲洗眼至少15分钟，再请医生诊治。 3. 吸入：立即将患者转移到空气新鲜处，再请医生诊治。 4. 误服：充分漱口后立即携带标签，送医院就诊，对症治疗。 5. 、本品无特效解毒剂，应对症治疗。</w:t>
            </w:r>
          </w:p>
        </w:tc>
      </w:tr>
      <w:tr w14:paraId="34386754">
        <w:tblPrEx>
          <w:tblCellMar>
            <w:top w:w="0" w:type="dxa"/>
            <w:left w:w="0" w:type="dxa"/>
            <w:bottom w:w="0" w:type="dxa"/>
            <w:right w:w="0" w:type="dxa"/>
          </w:tblCellMar>
        </w:tblPrEx>
        <w:trPr>
          <w:wBefore w:w="0" w:type="auto"/>
          <w:tblCellSpacing w:w="0" w:type="dxa"/>
        </w:trPr>
        <w:tc>
          <w:tcPr>
            <w:tcW w:w="0" w:type="auto"/>
            <w:noWrap w:val="0"/>
            <w:vAlign w:val="center"/>
          </w:tcPr>
          <w:p w14:paraId="168C0002">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 4. 运输前应先检查包装容器是否完整、密封，运输过程中应防曝晒、雨淋、高温，要确保容器不泄漏、不倒塌、不坠落、不损坏。</w:t>
            </w:r>
          </w:p>
        </w:tc>
      </w:tr>
      <w:tr w14:paraId="596A52C9">
        <w:tblPrEx>
          <w:tblCellMar>
            <w:top w:w="0" w:type="dxa"/>
            <w:left w:w="0" w:type="dxa"/>
            <w:bottom w:w="0" w:type="dxa"/>
            <w:right w:w="0" w:type="dxa"/>
          </w:tblCellMar>
        </w:tblPrEx>
        <w:trPr>
          <w:wBefore w:w="0" w:type="auto"/>
          <w:tblCellSpacing w:w="0" w:type="dxa"/>
        </w:trPr>
        <w:tc>
          <w:tcPr>
            <w:tcW w:w="0" w:type="auto"/>
            <w:noWrap w:val="0"/>
            <w:vAlign w:val="center"/>
          </w:tcPr>
          <w:p w14:paraId="20AD66DB">
            <w:r>
              <w:rPr>
                <w:rStyle w:val="10"/>
                <w:rFonts w:hint="eastAsia"/>
              </w:rPr>
              <w:t>质量保证期：</w:t>
            </w:r>
            <w:r>
              <w:rPr>
                <w:rStyle w:val="11"/>
                <w:rFonts w:hint="eastAsia"/>
              </w:rPr>
              <w:t>2年</w:t>
            </w:r>
          </w:p>
        </w:tc>
      </w:tr>
      <w:tr w14:paraId="6DEF8265">
        <w:tblPrEx>
          <w:tblCellMar>
            <w:top w:w="0" w:type="dxa"/>
            <w:left w:w="0" w:type="dxa"/>
            <w:bottom w:w="0" w:type="dxa"/>
            <w:right w:w="0" w:type="dxa"/>
          </w:tblCellMar>
        </w:tblPrEx>
        <w:trPr>
          <w:wBefore w:w="0" w:type="auto"/>
          <w:tblCellSpacing w:w="0" w:type="dxa"/>
        </w:trPr>
        <w:tc>
          <w:tcPr>
            <w:tcW w:w="0" w:type="auto"/>
            <w:noWrap w:val="0"/>
            <w:vAlign w:val="center"/>
          </w:tcPr>
          <w:p w14:paraId="4C9AD502">
            <w:r>
              <w:rPr>
                <w:rStyle w:val="10"/>
                <w:rFonts w:hint="eastAsia"/>
              </w:rPr>
              <w:t>备注：</w:t>
            </w:r>
          </w:p>
        </w:tc>
      </w:tr>
    </w:tbl>
    <w:p w14:paraId="5C9B483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8DDB5C">
        <w:tblPrEx>
          <w:tblCellMar>
            <w:top w:w="0" w:type="dxa"/>
            <w:left w:w="0" w:type="dxa"/>
            <w:bottom w:w="0" w:type="dxa"/>
            <w:right w:w="0" w:type="dxa"/>
          </w:tblCellMar>
        </w:tblPrEx>
        <w:trPr>
          <w:wBefore w:w="0" w:type="auto"/>
          <w:tblCellSpacing w:w="0" w:type="dxa"/>
        </w:trPr>
        <w:tc>
          <w:tcPr>
            <w:tcW w:w="0" w:type="auto"/>
            <w:noWrap w:val="0"/>
            <w:vAlign w:val="center"/>
          </w:tcPr>
          <w:p w14:paraId="6985D9E8">
            <w:r>
              <w:rPr>
                <w:rStyle w:val="10"/>
                <w:rFonts w:hint="eastAsia"/>
              </w:rPr>
              <w:t>登记证号：</w:t>
            </w:r>
            <w:r>
              <w:rPr>
                <w:rFonts w:hint="eastAsia"/>
              </w:rPr>
              <w:t>PD20212591</w:t>
            </w:r>
          </w:p>
        </w:tc>
      </w:tr>
      <w:tr w14:paraId="596E37A7">
        <w:tblPrEx>
          <w:tblCellMar>
            <w:top w:w="0" w:type="dxa"/>
            <w:left w:w="0" w:type="dxa"/>
            <w:bottom w:w="0" w:type="dxa"/>
            <w:right w:w="0" w:type="dxa"/>
          </w:tblCellMar>
        </w:tblPrEx>
        <w:trPr>
          <w:wBefore w:w="0" w:type="auto"/>
          <w:tblCellSpacing w:w="0" w:type="dxa"/>
        </w:trPr>
        <w:tc>
          <w:tcPr>
            <w:tcW w:w="0" w:type="auto"/>
            <w:noWrap w:val="0"/>
            <w:vAlign w:val="center"/>
          </w:tcPr>
          <w:p w14:paraId="490E2A70">
            <w:r>
              <w:rPr>
                <w:rStyle w:val="10"/>
                <w:rFonts w:hint="eastAsia"/>
              </w:rPr>
              <w:t>登记证持有人：</w:t>
            </w:r>
            <w:r>
              <w:rPr>
                <w:rFonts w:hint="eastAsia"/>
              </w:rPr>
              <w:t>重庆树荣作物科学有限公司</w:t>
            </w:r>
          </w:p>
        </w:tc>
      </w:tr>
      <w:tr w14:paraId="5EFC4109">
        <w:tblPrEx>
          <w:tblCellMar>
            <w:top w:w="0" w:type="dxa"/>
            <w:left w:w="0" w:type="dxa"/>
            <w:bottom w:w="0" w:type="dxa"/>
            <w:right w:w="0" w:type="dxa"/>
          </w:tblCellMar>
        </w:tblPrEx>
        <w:trPr>
          <w:wBefore w:w="0" w:type="auto"/>
          <w:tblCellSpacing w:w="0" w:type="dxa"/>
        </w:trPr>
        <w:tc>
          <w:tcPr>
            <w:tcW w:w="0" w:type="auto"/>
            <w:noWrap w:val="0"/>
            <w:vAlign w:val="center"/>
          </w:tcPr>
          <w:p w14:paraId="73F998DB">
            <w:r>
              <w:rPr>
                <w:rStyle w:val="10"/>
                <w:rFonts w:hint="eastAsia"/>
              </w:rPr>
              <w:t>农药名称：</w:t>
            </w:r>
            <w:r>
              <w:rPr>
                <w:rFonts w:hint="eastAsia"/>
              </w:rPr>
              <w:t>三氯吡氧乙酸三乙胺盐</w:t>
            </w:r>
          </w:p>
        </w:tc>
      </w:tr>
      <w:tr w14:paraId="09C455D7">
        <w:tblPrEx>
          <w:tblCellMar>
            <w:top w:w="0" w:type="dxa"/>
            <w:left w:w="0" w:type="dxa"/>
            <w:bottom w:w="0" w:type="dxa"/>
            <w:right w:w="0" w:type="dxa"/>
          </w:tblCellMar>
        </w:tblPrEx>
        <w:trPr>
          <w:wBefore w:w="0" w:type="auto"/>
          <w:tblCellSpacing w:w="0" w:type="dxa"/>
        </w:trPr>
        <w:tc>
          <w:tcPr>
            <w:tcW w:w="0" w:type="auto"/>
            <w:noWrap w:val="0"/>
            <w:vAlign w:val="center"/>
          </w:tcPr>
          <w:p w14:paraId="28850388">
            <w:r>
              <w:rPr>
                <w:rStyle w:val="10"/>
                <w:rFonts w:hint="eastAsia"/>
              </w:rPr>
              <w:t>剂型：</w:t>
            </w:r>
            <w:r>
              <w:rPr>
                <w:rFonts w:hint="eastAsia"/>
              </w:rPr>
              <w:t>可溶液剂</w:t>
            </w:r>
          </w:p>
        </w:tc>
      </w:tr>
      <w:tr w14:paraId="672D0085">
        <w:tblPrEx>
          <w:tblCellMar>
            <w:top w:w="0" w:type="dxa"/>
            <w:left w:w="0" w:type="dxa"/>
            <w:bottom w:w="0" w:type="dxa"/>
            <w:right w:w="0" w:type="dxa"/>
          </w:tblCellMar>
        </w:tblPrEx>
        <w:trPr>
          <w:wBefore w:w="0" w:type="auto"/>
          <w:tblCellSpacing w:w="0" w:type="dxa"/>
        </w:trPr>
        <w:tc>
          <w:tcPr>
            <w:tcW w:w="0" w:type="auto"/>
            <w:noWrap w:val="0"/>
            <w:vAlign w:val="center"/>
          </w:tcPr>
          <w:p w14:paraId="4E20417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4" name="图片 2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F4A9F1">
        <w:tblPrEx>
          <w:tblCellMar>
            <w:top w:w="0" w:type="dxa"/>
            <w:left w:w="0" w:type="dxa"/>
            <w:bottom w:w="0" w:type="dxa"/>
            <w:right w:w="0" w:type="dxa"/>
          </w:tblCellMar>
        </w:tblPrEx>
        <w:trPr>
          <w:wBefore w:w="0" w:type="auto"/>
          <w:tblCellSpacing w:w="0" w:type="dxa"/>
        </w:trPr>
        <w:tc>
          <w:tcPr>
            <w:tcW w:w="0" w:type="auto"/>
            <w:noWrap w:val="0"/>
            <w:vAlign w:val="center"/>
          </w:tcPr>
          <w:p w14:paraId="62FC8E62">
            <w:r>
              <w:rPr>
                <w:rStyle w:val="10"/>
                <w:rFonts w:hint="eastAsia"/>
              </w:rPr>
              <w:t>总有效成分含量：</w:t>
            </w:r>
            <w:r>
              <w:rPr>
                <w:rFonts w:hint="eastAsia"/>
              </w:rPr>
              <w:t>480克/升</w:t>
            </w:r>
          </w:p>
        </w:tc>
      </w:tr>
      <w:tr w14:paraId="2DEECF07">
        <w:tblPrEx>
          <w:tblCellMar>
            <w:top w:w="0" w:type="dxa"/>
            <w:left w:w="0" w:type="dxa"/>
            <w:bottom w:w="0" w:type="dxa"/>
            <w:right w:w="0" w:type="dxa"/>
          </w:tblCellMar>
        </w:tblPrEx>
        <w:trPr>
          <w:wBefore w:w="0" w:type="auto"/>
          <w:tblCellSpacing w:w="0" w:type="dxa"/>
        </w:trPr>
        <w:tc>
          <w:tcPr>
            <w:tcW w:w="0" w:type="auto"/>
            <w:noWrap w:val="0"/>
            <w:vAlign w:val="center"/>
          </w:tcPr>
          <w:p w14:paraId="158EE158">
            <w:r>
              <w:rPr>
                <w:rFonts w:hint="eastAsia"/>
              </w:rPr>
              <w:t xml:space="preserve">有效成分及其含量： </w:t>
            </w:r>
          </w:p>
          <w:p w14:paraId="5B6976C4">
            <w:r>
              <w:rPr>
                <w:rFonts w:hint="eastAsia"/>
              </w:rPr>
              <w:t xml:space="preserve">    三氯吡氧乙酸480克/升    </w:t>
            </w:r>
          </w:p>
        </w:tc>
      </w:tr>
      <w:tr w14:paraId="553EA93A">
        <w:tblPrEx>
          <w:tblCellMar>
            <w:top w:w="0" w:type="dxa"/>
            <w:left w:w="0" w:type="dxa"/>
            <w:bottom w:w="0" w:type="dxa"/>
            <w:right w:w="0" w:type="dxa"/>
          </w:tblCellMar>
        </w:tblPrEx>
        <w:trPr>
          <w:wBefore w:w="0" w:type="auto"/>
          <w:tblCellSpacing w:w="0" w:type="dxa"/>
        </w:trPr>
        <w:tc>
          <w:tcPr>
            <w:tcW w:w="0" w:type="auto"/>
            <w:noWrap w:val="0"/>
            <w:vAlign w:val="center"/>
          </w:tcPr>
          <w:p w14:paraId="260817C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6236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7A45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63F3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A712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8968DF">
                  <w:r>
                    <w:rPr>
                      <w:rStyle w:val="11"/>
                      <w:rFonts w:hint="eastAsia"/>
                    </w:rPr>
                    <w:t>施用方式</w:t>
                  </w:r>
                </w:p>
              </w:tc>
            </w:tr>
            <w:tr w14:paraId="201329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7DD82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03E7D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7664F8">
                  <w:r>
                    <w:rPr>
                      <w:rStyle w:val="11"/>
                      <w:rFonts w:hint="eastAsia"/>
                    </w:rPr>
                    <w:t>300-400毫升/亩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0E1138">
                  <w:r>
                    <w:rPr>
                      <w:rStyle w:val="11"/>
                      <w:rFonts w:hint="eastAsia"/>
                    </w:rPr>
                    <w:t>茎叶喷雾</w:t>
                  </w:r>
                </w:p>
              </w:tc>
            </w:tr>
          </w:tbl>
          <w:p w14:paraId="159122EE">
            <w:pPr>
              <w:rPr>
                <w:rFonts w:ascii="Times New Roman" w:hAnsi="Times New Roman" w:cs="Times New Roman"/>
                <w:sz w:val="20"/>
                <w:szCs w:val="20"/>
              </w:rPr>
            </w:pPr>
          </w:p>
        </w:tc>
      </w:tr>
      <w:tr w14:paraId="5FAC15DC">
        <w:tblPrEx>
          <w:tblCellMar>
            <w:top w:w="0" w:type="dxa"/>
            <w:left w:w="0" w:type="dxa"/>
            <w:bottom w:w="0" w:type="dxa"/>
            <w:right w:w="0" w:type="dxa"/>
          </w:tblCellMar>
        </w:tblPrEx>
        <w:trPr>
          <w:wBefore w:w="0" w:type="auto"/>
          <w:tblCellSpacing w:w="0" w:type="dxa"/>
        </w:trPr>
        <w:tc>
          <w:tcPr>
            <w:tcW w:w="0" w:type="auto"/>
            <w:noWrap w:val="0"/>
            <w:vAlign w:val="center"/>
          </w:tcPr>
          <w:p w14:paraId="51A269F1">
            <w:r>
              <w:rPr>
                <w:rStyle w:val="10"/>
                <w:rFonts w:hint="eastAsia"/>
              </w:rPr>
              <w:t>使用技术要求:</w:t>
            </w:r>
            <w:r>
              <w:rPr>
                <w:rFonts w:hint="eastAsia"/>
              </w:rPr>
              <w:br w:type="textWrapping"/>
            </w:r>
            <w:r>
              <w:rPr>
                <w:rStyle w:val="11"/>
                <w:rFonts w:hint="eastAsia"/>
              </w:rPr>
              <w:t>1. 于杂草生长旺盛期茎叶喷雾，注意均匀喷雾到杂草茎叶上，以保证除草效果。 2.施药时应防止药液漂移到临近作物上，以免产生药害。 3.大风天或预计施药后4小时内降雨，请勿施药，如施药后4-8小时内降雨，应补喷。 4.施药后5天内勿割草、放牧、翻地等。</w:t>
            </w:r>
          </w:p>
        </w:tc>
      </w:tr>
      <w:tr w14:paraId="616C5E44">
        <w:tblPrEx>
          <w:tblCellMar>
            <w:top w:w="0" w:type="dxa"/>
            <w:left w:w="0" w:type="dxa"/>
            <w:bottom w:w="0" w:type="dxa"/>
            <w:right w:w="0" w:type="dxa"/>
          </w:tblCellMar>
        </w:tblPrEx>
        <w:trPr>
          <w:wBefore w:w="0" w:type="auto"/>
          <w:tblCellSpacing w:w="0" w:type="dxa"/>
        </w:trPr>
        <w:tc>
          <w:tcPr>
            <w:tcW w:w="0" w:type="auto"/>
            <w:noWrap w:val="0"/>
            <w:vAlign w:val="center"/>
          </w:tcPr>
          <w:p w14:paraId="24DFB0FC">
            <w:r>
              <w:rPr>
                <w:rStyle w:val="10"/>
                <w:rFonts w:hint="eastAsia"/>
              </w:rPr>
              <w:t>产品性能:</w:t>
            </w:r>
            <w:r>
              <w:rPr>
                <w:rFonts w:hint="eastAsia"/>
              </w:rPr>
              <w:br w:type="textWrapping"/>
            </w:r>
            <w:r>
              <w:rPr>
                <w:rStyle w:val="11"/>
                <w:rFonts w:hint="eastAsia"/>
              </w:rPr>
              <w:t>内吸性除草剂，能迅速被叶和根吸收，并在植物体内传导。作用于核酸代谢，使植物产生过量的核酸，使一些组织转变成分生组织，造成叶片、茎和根生长畸形，贮藏物质耗尽，维管束组织被栓塞或破裂，植株逐渐死亡。</w:t>
            </w:r>
          </w:p>
        </w:tc>
      </w:tr>
      <w:tr w14:paraId="1592BCF8">
        <w:tblPrEx>
          <w:tblCellMar>
            <w:top w:w="0" w:type="dxa"/>
            <w:left w:w="0" w:type="dxa"/>
            <w:bottom w:w="0" w:type="dxa"/>
            <w:right w:w="0" w:type="dxa"/>
          </w:tblCellMar>
        </w:tblPrEx>
        <w:trPr>
          <w:wBefore w:w="0" w:type="auto"/>
          <w:tblCellSpacing w:w="0" w:type="dxa"/>
        </w:trPr>
        <w:tc>
          <w:tcPr>
            <w:tcW w:w="0" w:type="auto"/>
            <w:noWrap w:val="0"/>
            <w:vAlign w:val="center"/>
          </w:tcPr>
          <w:p w14:paraId="17DAF36C">
            <w:r>
              <w:rPr>
                <w:rStyle w:val="10"/>
                <w:rFonts w:hint="eastAsia"/>
              </w:rPr>
              <w:t>注意事项：</w:t>
            </w:r>
            <w:r>
              <w:rPr>
                <w:rFonts w:hint="eastAsia"/>
              </w:rPr>
              <w:br w:type="textWrapping"/>
            </w:r>
            <w:r>
              <w:rPr>
                <w:rStyle w:val="11"/>
                <w:rFonts w:hint="eastAsia"/>
              </w:rPr>
              <w:t>1.本品用于防治非耕地杂草，不可随意扩大适用范围或加大用药量。禁止在田间道路、田埂、果树行间、休耕地、林场地等农林区域使用。2.宜在晴天露水干后喷药，用清水将本剂稀释后定向均匀喷雾在杂草叶面上，不得用污水、硬水，以免影响药效。 3.兑水稀释时要充分搅拌均匀，喷雾时不可使用弥雾器械，应避免对环境生物造成影响。喷雾器具使用后要反复清洗干净，洗涤水不得乱倒，不能排入河流、池塘等水源。4.使用本品应采取相应的安全防护措施，长衣、长裤、长靴、帽子、口罩、手套等，避免皮肤接触及口鼻吸入，使用中不可吸烟、饮水及吃东西，使用后及时用大量清水和肥皂洗手、脸等暴露部位皮肤并更换衣物。5.禁止在河塘等水体中清洗施药器具；蚕室及桑园附近禁用；鸟类保护区附近禁用。6.用过的容器应妥善处理，不可作它用，也不可随意丢弃。7.禁止儿童、孕妇及哺乳期的妇女接触。过敏者禁用，使用中有任何不良反应请及时就医。8.避免与氧化剂接触。</w:t>
            </w:r>
          </w:p>
        </w:tc>
      </w:tr>
      <w:tr w14:paraId="638021A4">
        <w:tblPrEx>
          <w:tblCellMar>
            <w:top w:w="0" w:type="dxa"/>
            <w:left w:w="0" w:type="dxa"/>
            <w:bottom w:w="0" w:type="dxa"/>
            <w:right w:w="0" w:type="dxa"/>
          </w:tblCellMar>
        </w:tblPrEx>
        <w:trPr>
          <w:wBefore w:w="0" w:type="auto"/>
          <w:tblCellSpacing w:w="0" w:type="dxa"/>
        </w:trPr>
        <w:tc>
          <w:tcPr>
            <w:tcW w:w="0" w:type="auto"/>
            <w:noWrap w:val="0"/>
            <w:vAlign w:val="center"/>
          </w:tcPr>
          <w:p w14:paraId="3AD41F20">
            <w:r>
              <w:rPr>
                <w:rStyle w:val="10"/>
                <w:rFonts w:hint="eastAsia"/>
              </w:rPr>
              <w:t>中毒急救措施：</w:t>
            </w:r>
            <w:r>
              <w:rPr>
                <w:rFonts w:hint="eastAsia"/>
              </w:rPr>
              <w:br w:type="textWrapping"/>
            </w:r>
            <w:r>
              <w:rPr>
                <w:rStyle w:val="11"/>
                <w:rFonts w:hint="eastAsia"/>
              </w:rPr>
              <w:t xml:space="preserve">中毒症状：对眼睛有刺激作用。急救措施：使用中或使用后如果感觉不适，应立即停止工作，采取急救措施，并携带标签送医院就诊。皮肤接触：脱去污染的衣物，用软布去除污染农药，立即用大量清水和肥皂冲洗。眼睛溅入：立即用流动清水冲洗不少于15分钟。吸入：立即离开施药现场，转移到空气清新处。误食：立即停止服用，用清水充分漱口后。立即携带农药标签到医院就诊。本品尚无特效解毒剂，请医生对症治疗。 </w:t>
            </w:r>
          </w:p>
        </w:tc>
      </w:tr>
      <w:tr w14:paraId="46225E25">
        <w:tblPrEx>
          <w:tblCellMar>
            <w:top w:w="0" w:type="dxa"/>
            <w:left w:w="0" w:type="dxa"/>
            <w:bottom w:w="0" w:type="dxa"/>
            <w:right w:w="0" w:type="dxa"/>
          </w:tblCellMar>
        </w:tblPrEx>
        <w:trPr>
          <w:wBefore w:w="0" w:type="auto"/>
          <w:tblCellSpacing w:w="0" w:type="dxa"/>
        </w:trPr>
        <w:tc>
          <w:tcPr>
            <w:tcW w:w="0" w:type="auto"/>
            <w:noWrap w:val="0"/>
            <w:vAlign w:val="center"/>
          </w:tcPr>
          <w:p w14:paraId="45A8A8B7">
            <w:r>
              <w:rPr>
                <w:rStyle w:val="10"/>
                <w:rFonts w:hint="eastAsia"/>
              </w:rPr>
              <w:t>储存和运输方法：</w:t>
            </w:r>
            <w:r>
              <w:rPr>
                <w:rFonts w:hint="eastAsia"/>
              </w:rPr>
              <w:br w:type="textWrapping"/>
            </w:r>
            <w:r>
              <w:rPr>
                <w:rStyle w:val="11"/>
                <w:rFonts w:hint="eastAsia"/>
              </w:rPr>
              <w:t xml:space="preserve">本品为易燃液体。应贮存在干燥、阴凉、通风、防雨处，远离火源或热源。置于儿童、无关人员及动物接触不到的地方，并加锁保存。勿与食品、饮料、种子、饲料等同贮同运。 </w:t>
            </w:r>
          </w:p>
        </w:tc>
      </w:tr>
      <w:tr w14:paraId="3CC27DB9">
        <w:tblPrEx>
          <w:tblCellMar>
            <w:top w:w="0" w:type="dxa"/>
            <w:left w:w="0" w:type="dxa"/>
            <w:bottom w:w="0" w:type="dxa"/>
            <w:right w:w="0" w:type="dxa"/>
          </w:tblCellMar>
        </w:tblPrEx>
        <w:trPr>
          <w:wBefore w:w="0" w:type="auto"/>
          <w:tblCellSpacing w:w="0" w:type="dxa"/>
        </w:trPr>
        <w:tc>
          <w:tcPr>
            <w:tcW w:w="0" w:type="auto"/>
            <w:noWrap w:val="0"/>
            <w:vAlign w:val="center"/>
          </w:tcPr>
          <w:p w14:paraId="159784B7">
            <w:r>
              <w:rPr>
                <w:rStyle w:val="10"/>
                <w:rFonts w:hint="eastAsia"/>
              </w:rPr>
              <w:t>质量保证期：</w:t>
            </w:r>
            <w:r>
              <w:rPr>
                <w:rStyle w:val="11"/>
                <w:rFonts w:hint="eastAsia"/>
              </w:rPr>
              <w:t>2年</w:t>
            </w:r>
          </w:p>
        </w:tc>
      </w:tr>
      <w:tr w14:paraId="4576EE0E">
        <w:tblPrEx>
          <w:tblCellMar>
            <w:top w:w="0" w:type="dxa"/>
            <w:left w:w="0" w:type="dxa"/>
            <w:bottom w:w="0" w:type="dxa"/>
            <w:right w:w="0" w:type="dxa"/>
          </w:tblCellMar>
        </w:tblPrEx>
        <w:trPr>
          <w:wBefore w:w="0" w:type="auto"/>
          <w:tblCellSpacing w:w="0" w:type="dxa"/>
        </w:trPr>
        <w:tc>
          <w:tcPr>
            <w:tcW w:w="0" w:type="auto"/>
            <w:noWrap w:val="0"/>
            <w:vAlign w:val="center"/>
          </w:tcPr>
          <w:p w14:paraId="18ED6F4B">
            <w:r>
              <w:rPr>
                <w:rStyle w:val="10"/>
                <w:rFonts w:hint="eastAsia"/>
              </w:rPr>
              <w:t>备注：</w:t>
            </w:r>
            <w:r>
              <w:rPr>
                <w:rFonts w:hint="eastAsia"/>
              </w:rPr>
              <w:br w:type="textWrapping"/>
            </w:r>
            <w:r>
              <w:rPr>
                <w:rStyle w:val="11"/>
                <w:rFonts w:hint="eastAsia"/>
              </w:rPr>
              <w:t>三氯吡氧乙酸质量分数40%；三氯吡氧乙酸三乙胺盐质量分数56%；三氯吡氧乙酸三乙胺盐质量浓度672克/升。</w:t>
            </w:r>
          </w:p>
        </w:tc>
      </w:tr>
    </w:tbl>
    <w:p w14:paraId="0BEEBBB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4D6AF0">
        <w:tblPrEx>
          <w:tblCellMar>
            <w:top w:w="0" w:type="dxa"/>
            <w:left w:w="0" w:type="dxa"/>
            <w:bottom w:w="0" w:type="dxa"/>
            <w:right w:w="0" w:type="dxa"/>
          </w:tblCellMar>
        </w:tblPrEx>
        <w:trPr>
          <w:wBefore w:w="0" w:type="auto"/>
          <w:tblCellSpacing w:w="0" w:type="dxa"/>
        </w:trPr>
        <w:tc>
          <w:tcPr>
            <w:tcW w:w="0" w:type="auto"/>
            <w:noWrap w:val="0"/>
            <w:vAlign w:val="center"/>
          </w:tcPr>
          <w:p w14:paraId="0FBF719A">
            <w:r>
              <w:rPr>
                <w:rStyle w:val="10"/>
                <w:rFonts w:hint="eastAsia"/>
              </w:rPr>
              <w:t>登记证号：</w:t>
            </w:r>
            <w:r>
              <w:rPr>
                <w:rFonts w:hint="eastAsia"/>
              </w:rPr>
              <w:t>EX20210138</w:t>
            </w:r>
          </w:p>
        </w:tc>
      </w:tr>
      <w:tr w14:paraId="5E981066">
        <w:tblPrEx>
          <w:tblCellMar>
            <w:top w:w="0" w:type="dxa"/>
            <w:left w:w="0" w:type="dxa"/>
            <w:bottom w:w="0" w:type="dxa"/>
            <w:right w:w="0" w:type="dxa"/>
          </w:tblCellMar>
        </w:tblPrEx>
        <w:trPr>
          <w:wBefore w:w="0" w:type="auto"/>
          <w:tblCellSpacing w:w="0" w:type="dxa"/>
        </w:trPr>
        <w:tc>
          <w:tcPr>
            <w:tcW w:w="0" w:type="auto"/>
            <w:noWrap w:val="0"/>
            <w:vAlign w:val="center"/>
          </w:tcPr>
          <w:p w14:paraId="07B91437">
            <w:r>
              <w:rPr>
                <w:rStyle w:val="10"/>
                <w:rFonts w:hint="eastAsia"/>
              </w:rPr>
              <w:t>登记证持有人：</w:t>
            </w:r>
            <w:r>
              <w:rPr>
                <w:rFonts w:hint="eastAsia"/>
              </w:rPr>
              <w:t>兴农药业(中国)有限公司</w:t>
            </w:r>
          </w:p>
        </w:tc>
      </w:tr>
      <w:tr w14:paraId="3271F17F">
        <w:tblPrEx>
          <w:tblCellMar>
            <w:top w:w="0" w:type="dxa"/>
            <w:left w:w="0" w:type="dxa"/>
            <w:bottom w:w="0" w:type="dxa"/>
            <w:right w:w="0" w:type="dxa"/>
          </w:tblCellMar>
        </w:tblPrEx>
        <w:trPr>
          <w:wBefore w:w="0" w:type="auto"/>
          <w:tblCellSpacing w:w="0" w:type="dxa"/>
        </w:trPr>
        <w:tc>
          <w:tcPr>
            <w:tcW w:w="0" w:type="auto"/>
            <w:noWrap w:val="0"/>
            <w:vAlign w:val="center"/>
          </w:tcPr>
          <w:p w14:paraId="0EEBEC83">
            <w:r>
              <w:rPr>
                <w:rStyle w:val="10"/>
                <w:rFonts w:hint="eastAsia"/>
              </w:rPr>
              <w:t>农药名称：</w:t>
            </w:r>
            <w:r>
              <w:rPr>
                <w:rFonts w:hint="eastAsia"/>
              </w:rPr>
              <w:t>草甘膦铵盐</w:t>
            </w:r>
          </w:p>
        </w:tc>
      </w:tr>
      <w:tr w14:paraId="113DF4DD">
        <w:tblPrEx>
          <w:tblCellMar>
            <w:top w:w="0" w:type="dxa"/>
            <w:left w:w="0" w:type="dxa"/>
            <w:bottom w:w="0" w:type="dxa"/>
            <w:right w:w="0" w:type="dxa"/>
          </w:tblCellMar>
        </w:tblPrEx>
        <w:trPr>
          <w:wBefore w:w="0" w:type="auto"/>
          <w:tblCellSpacing w:w="0" w:type="dxa"/>
        </w:trPr>
        <w:tc>
          <w:tcPr>
            <w:tcW w:w="0" w:type="auto"/>
            <w:noWrap w:val="0"/>
            <w:vAlign w:val="center"/>
          </w:tcPr>
          <w:p w14:paraId="56A6E0BE">
            <w:r>
              <w:rPr>
                <w:rStyle w:val="10"/>
                <w:rFonts w:hint="eastAsia"/>
              </w:rPr>
              <w:t>剂型：</w:t>
            </w:r>
            <w:r>
              <w:rPr>
                <w:rFonts w:hint="eastAsia"/>
              </w:rPr>
              <w:t>可溶液剂</w:t>
            </w:r>
          </w:p>
        </w:tc>
      </w:tr>
      <w:tr w14:paraId="56112B2A">
        <w:tblPrEx>
          <w:tblCellMar>
            <w:top w:w="0" w:type="dxa"/>
            <w:left w:w="0" w:type="dxa"/>
            <w:bottom w:w="0" w:type="dxa"/>
            <w:right w:w="0" w:type="dxa"/>
          </w:tblCellMar>
        </w:tblPrEx>
        <w:trPr>
          <w:wBefore w:w="0" w:type="auto"/>
          <w:tblCellSpacing w:w="0" w:type="dxa"/>
        </w:trPr>
        <w:tc>
          <w:tcPr>
            <w:tcW w:w="0" w:type="auto"/>
            <w:noWrap w:val="0"/>
            <w:vAlign w:val="center"/>
          </w:tcPr>
          <w:p w14:paraId="2899B3F8">
            <w:r>
              <w:rPr>
                <w:rStyle w:val="10"/>
                <w:rFonts w:hint="eastAsia"/>
              </w:rPr>
              <w:t>毒性及其标识：</w:t>
            </w:r>
            <w:r>
              <w:rPr>
                <w:rFonts w:hint="eastAsia"/>
              </w:rPr>
              <w:t xml:space="preserve"> </w:t>
            </w:r>
            <w:r>
              <w:rPr>
                <w:lang/>
              </w:rPr>
              <w:drawing>
                <wp:inline distT="0" distB="0" distL="114300" distR="114300">
                  <wp:extent cx="476250" cy="323850"/>
                  <wp:effectExtent l="0" t="0" r="0" b="0"/>
                  <wp:docPr id="235" name="图片 2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7DF281">
        <w:tblPrEx>
          <w:tblCellMar>
            <w:top w:w="0" w:type="dxa"/>
            <w:left w:w="0" w:type="dxa"/>
            <w:bottom w:w="0" w:type="dxa"/>
            <w:right w:w="0" w:type="dxa"/>
          </w:tblCellMar>
        </w:tblPrEx>
        <w:trPr>
          <w:wBefore w:w="0" w:type="auto"/>
          <w:tblCellSpacing w:w="0" w:type="dxa"/>
        </w:trPr>
        <w:tc>
          <w:tcPr>
            <w:tcW w:w="0" w:type="auto"/>
            <w:noWrap w:val="0"/>
            <w:vAlign w:val="center"/>
          </w:tcPr>
          <w:p w14:paraId="48858680">
            <w:r>
              <w:rPr>
                <w:rStyle w:val="10"/>
                <w:rFonts w:hint="eastAsia"/>
              </w:rPr>
              <w:t>总有效成分含量：</w:t>
            </w:r>
            <w:r>
              <w:rPr>
                <w:rFonts w:hint="eastAsia"/>
              </w:rPr>
              <w:t>37%</w:t>
            </w:r>
          </w:p>
        </w:tc>
      </w:tr>
      <w:tr w14:paraId="1B728DDC">
        <w:tblPrEx>
          <w:tblCellMar>
            <w:top w:w="0" w:type="dxa"/>
            <w:left w:w="0" w:type="dxa"/>
            <w:bottom w:w="0" w:type="dxa"/>
            <w:right w:w="0" w:type="dxa"/>
          </w:tblCellMar>
        </w:tblPrEx>
        <w:trPr>
          <w:wBefore w:w="0" w:type="auto"/>
          <w:tblCellSpacing w:w="0" w:type="dxa"/>
        </w:trPr>
        <w:tc>
          <w:tcPr>
            <w:tcW w:w="0" w:type="auto"/>
            <w:noWrap w:val="0"/>
            <w:vAlign w:val="center"/>
          </w:tcPr>
          <w:p w14:paraId="54262A4B">
            <w:r>
              <w:rPr>
                <w:rFonts w:hint="eastAsia"/>
              </w:rPr>
              <w:t xml:space="preserve">有效成分及其含量： </w:t>
            </w:r>
          </w:p>
          <w:p w14:paraId="149911F0">
            <w:r>
              <w:rPr>
                <w:rFonts w:hint="eastAsia"/>
              </w:rPr>
              <w:t xml:space="preserve">    </w:t>
            </w:r>
          </w:p>
        </w:tc>
      </w:tr>
      <w:tr w14:paraId="59BF41A0">
        <w:tblPrEx>
          <w:tblCellMar>
            <w:top w:w="0" w:type="dxa"/>
            <w:left w:w="0" w:type="dxa"/>
            <w:bottom w:w="0" w:type="dxa"/>
            <w:right w:w="0" w:type="dxa"/>
          </w:tblCellMar>
        </w:tblPrEx>
        <w:trPr>
          <w:wBefore w:w="0" w:type="auto"/>
          <w:tblCellSpacing w:w="0" w:type="dxa"/>
        </w:trPr>
        <w:tc>
          <w:tcPr>
            <w:tcW w:w="0" w:type="auto"/>
            <w:noWrap w:val="0"/>
            <w:vAlign w:val="center"/>
          </w:tcPr>
          <w:p w14:paraId="58B0C1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C3F3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95D3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5DEA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28276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CB006D">
                  <w:r>
                    <w:rPr>
                      <w:rStyle w:val="11"/>
                      <w:rFonts w:hint="eastAsia"/>
                    </w:rPr>
                    <w:t>施用方式</w:t>
                  </w:r>
                </w:p>
              </w:tc>
            </w:tr>
          </w:tbl>
          <w:p w14:paraId="1B699DFB">
            <w:pPr>
              <w:rPr>
                <w:rFonts w:ascii="Times New Roman" w:hAnsi="Times New Roman" w:cs="Times New Roman"/>
                <w:sz w:val="20"/>
                <w:szCs w:val="20"/>
              </w:rPr>
            </w:pPr>
          </w:p>
        </w:tc>
      </w:tr>
      <w:tr w14:paraId="2C95F98E">
        <w:tblPrEx>
          <w:tblCellMar>
            <w:top w:w="0" w:type="dxa"/>
            <w:left w:w="0" w:type="dxa"/>
            <w:bottom w:w="0" w:type="dxa"/>
            <w:right w:w="0" w:type="dxa"/>
          </w:tblCellMar>
        </w:tblPrEx>
        <w:trPr>
          <w:wBefore w:w="0" w:type="auto"/>
          <w:tblCellSpacing w:w="0" w:type="dxa"/>
        </w:trPr>
        <w:tc>
          <w:tcPr>
            <w:tcW w:w="0" w:type="auto"/>
            <w:noWrap w:val="0"/>
            <w:vAlign w:val="center"/>
          </w:tcPr>
          <w:p w14:paraId="64ACDEA6">
            <w:r>
              <w:rPr>
                <w:rStyle w:val="10"/>
                <w:rFonts w:hint="eastAsia"/>
              </w:rPr>
              <w:t>使用技术要求:</w:t>
            </w:r>
            <w:r>
              <w:rPr>
                <w:rFonts w:hint="eastAsia"/>
              </w:rPr>
              <w:br w:type="textWrapping"/>
            </w:r>
          </w:p>
        </w:tc>
      </w:tr>
      <w:tr w14:paraId="65F119EE">
        <w:tblPrEx>
          <w:tblCellMar>
            <w:top w:w="0" w:type="dxa"/>
            <w:left w:w="0" w:type="dxa"/>
            <w:bottom w:w="0" w:type="dxa"/>
            <w:right w:w="0" w:type="dxa"/>
          </w:tblCellMar>
        </w:tblPrEx>
        <w:trPr>
          <w:wBefore w:w="0" w:type="auto"/>
          <w:tblCellSpacing w:w="0" w:type="dxa"/>
        </w:trPr>
        <w:tc>
          <w:tcPr>
            <w:tcW w:w="0" w:type="auto"/>
            <w:noWrap w:val="0"/>
            <w:vAlign w:val="center"/>
          </w:tcPr>
          <w:p w14:paraId="60348888">
            <w:r>
              <w:rPr>
                <w:rStyle w:val="10"/>
                <w:rFonts w:hint="eastAsia"/>
              </w:rPr>
              <w:t>产品性能:</w:t>
            </w:r>
          </w:p>
        </w:tc>
      </w:tr>
      <w:tr w14:paraId="6F797AA3">
        <w:tblPrEx>
          <w:tblCellMar>
            <w:top w:w="0" w:type="dxa"/>
            <w:left w:w="0" w:type="dxa"/>
            <w:bottom w:w="0" w:type="dxa"/>
            <w:right w:w="0" w:type="dxa"/>
          </w:tblCellMar>
        </w:tblPrEx>
        <w:trPr>
          <w:wBefore w:w="0" w:type="auto"/>
          <w:tblCellSpacing w:w="0" w:type="dxa"/>
        </w:trPr>
        <w:tc>
          <w:tcPr>
            <w:tcW w:w="0" w:type="auto"/>
            <w:noWrap w:val="0"/>
            <w:vAlign w:val="center"/>
          </w:tcPr>
          <w:p w14:paraId="614B6925">
            <w:r>
              <w:rPr>
                <w:rStyle w:val="10"/>
                <w:rFonts w:hint="eastAsia"/>
              </w:rPr>
              <w:t>注意事项：</w:t>
            </w:r>
          </w:p>
        </w:tc>
      </w:tr>
      <w:tr w14:paraId="086ACF49">
        <w:tblPrEx>
          <w:tblCellMar>
            <w:top w:w="0" w:type="dxa"/>
            <w:left w:w="0" w:type="dxa"/>
            <w:bottom w:w="0" w:type="dxa"/>
            <w:right w:w="0" w:type="dxa"/>
          </w:tblCellMar>
        </w:tblPrEx>
        <w:trPr>
          <w:wBefore w:w="0" w:type="auto"/>
          <w:tblCellSpacing w:w="0" w:type="dxa"/>
        </w:trPr>
        <w:tc>
          <w:tcPr>
            <w:tcW w:w="0" w:type="auto"/>
            <w:noWrap w:val="0"/>
            <w:vAlign w:val="center"/>
          </w:tcPr>
          <w:p w14:paraId="5B1040B8">
            <w:r>
              <w:rPr>
                <w:rStyle w:val="10"/>
                <w:rFonts w:hint="eastAsia"/>
              </w:rPr>
              <w:t>中毒急救措施：</w:t>
            </w:r>
          </w:p>
        </w:tc>
      </w:tr>
      <w:tr w14:paraId="58F43E83">
        <w:tblPrEx>
          <w:tblCellMar>
            <w:top w:w="0" w:type="dxa"/>
            <w:left w:w="0" w:type="dxa"/>
            <w:bottom w:w="0" w:type="dxa"/>
            <w:right w:w="0" w:type="dxa"/>
          </w:tblCellMar>
        </w:tblPrEx>
        <w:trPr>
          <w:wBefore w:w="0" w:type="auto"/>
          <w:tblCellSpacing w:w="0" w:type="dxa"/>
        </w:trPr>
        <w:tc>
          <w:tcPr>
            <w:tcW w:w="0" w:type="auto"/>
            <w:noWrap w:val="0"/>
            <w:vAlign w:val="center"/>
          </w:tcPr>
          <w:p w14:paraId="03B81ECC">
            <w:r>
              <w:rPr>
                <w:rStyle w:val="10"/>
                <w:rFonts w:hint="eastAsia"/>
              </w:rPr>
              <w:t>储存和运输方法：</w:t>
            </w:r>
          </w:p>
        </w:tc>
      </w:tr>
      <w:tr w14:paraId="1CF0D42A">
        <w:tblPrEx>
          <w:tblCellMar>
            <w:top w:w="0" w:type="dxa"/>
            <w:left w:w="0" w:type="dxa"/>
            <w:bottom w:w="0" w:type="dxa"/>
            <w:right w:w="0" w:type="dxa"/>
          </w:tblCellMar>
        </w:tblPrEx>
        <w:trPr>
          <w:wBefore w:w="0" w:type="auto"/>
          <w:tblCellSpacing w:w="0" w:type="dxa"/>
        </w:trPr>
        <w:tc>
          <w:tcPr>
            <w:tcW w:w="0" w:type="auto"/>
            <w:noWrap w:val="0"/>
            <w:vAlign w:val="center"/>
          </w:tcPr>
          <w:p w14:paraId="2B8CEF45">
            <w:r>
              <w:rPr>
                <w:rStyle w:val="10"/>
                <w:rFonts w:hint="eastAsia"/>
              </w:rPr>
              <w:t>质量保证期：</w:t>
            </w:r>
          </w:p>
        </w:tc>
      </w:tr>
      <w:tr w14:paraId="7989254E">
        <w:tblPrEx>
          <w:tblCellMar>
            <w:top w:w="0" w:type="dxa"/>
            <w:left w:w="0" w:type="dxa"/>
            <w:bottom w:w="0" w:type="dxa"/>
            <w:right w:w="0" w:type="dxa"/>
          </w:tblCellMar>
        </w:tblPrEx>
        <w:trPr>
          <w:wBefore w:w="0" w:type="auto"/>
          <w:tblCellSpacing w:w="0" w:type="dxa"/>
        </w:trPr>
        <w:tc>
          <w:tcPr>
            <w:tcW w:w="0" w:type="auto"/>
            <w:noWrap w:val="0"/>
            <w:vAlign w:val="center"/>
          </w:tcPr>
          <w:p w14:paraId="00B1156F">
            <w:r>
              <w:rPr>
                <w:rStyle w:val="10"/>
                <w:rFonts w:hint="eastAsia"/>
              </w:rPr>
              <w:t>备注：</w:t>
            </w:r>
          </w:p>
        </w:tc>
      </w:tr>
    </w:tbl>
    <w:p w14:paraId="755D1B5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590548">
        <w:tblPrEx>
          <w:tblCellMar>
            <w:top w:w="0" w:type="dxa"/>
            <w:left w:w="0" w:type="dxa"/>
            <w:bottom w:w="0" w:type="dxa"/>
            <w:right w:w="0" w:type="dxa"/>
          </w:tblCellMar>
        </w:tblPrEx>
        <w:trPr>
          <w:wBefore w:w="0" w:type="auto"/>
          <w:tblCellSpacing w:w="0" w:type="dxa"/>
        </w:trPr>
        <w:tc>
          <w:tcPr>
            <w:tcW w:w="0" w:type="auto"/>
            <w:noWrap w:val="0"/>
            <w:vAlign w:val="center"/>
          </w:tcPr>
          <w:p w14:paraId="5410001E">
            <w:r>
              <w:rPr>
                <w:rStyle w:val="10"/>
                <w:rFonts w:hint="eastAsia"/>
              </w:rPr>
              <w:t>登记证号：</w:t>
            </w:r>
            <w:r>
              <w:rPr>
                <w:rFonts w:hint="eastAsia"/>
              </w:rPr>
              <w:t>EX20210135</w:t>
            </w:r>
          </w:p>
        </w:tc>
      </w:tr>
      <w:tr w14:paraId="457CCD04">
        <w:tblPrEx>
          <w:tblCellMar>
            <w:top w:w="0" w:type="dxa"/>
            <w:left w:w="0" w:type="dxa"/>
            <w:bottom w:w="0" w:type="dxa"/>
            <w:right w:w="0" w:type="dxa"/>
          </w:tblCellMar>
        </w:tblPrEx>
        <w:trPr>
          <w:wBefore w:w="0" w:type="auto"/>
          <w:tblCellSpacing w:w="0" w:type="dxa"/>
        </w:trPr>
        <w:tc>
          <w:tcPr>
            <w:tcW w:w="0" w:type="auto"/>
            <w:noWrap w:val="0"/>
            <w:vAlign w:val="center"/>
          </w:tcPr>
          <w:p w14:paraId="201C5E7B">
            <w:r>
              <w:rPr>
                <w:rStyle w:val="10"/>
                <w:rFonts w:hint="eastAsia"/>
              </w:rPr>
              <w:t>登记证持有人：</w:t>
            </w:r>
            <w:r>
              <w:rPr>
                <w:rFonts w:hint="eastAsia"/>
              </w:rPr>
              <w:t>泸州东方农化有限公司</w:t>
            </w:r>
          </w:p>
        </w:tc>
      </w:tr>
      <w:tr w14:paraId="45284B49">
        <w:tblPrEx>
          <w:tblCellMar>
            <w:top w:w="0" w:type="dxa"/>
            <w:left w:w="0" w:type="dxa"/>
            <w:bottom w:w="0" w:type="dxa"/>
            <w:right w:w="0" w:type="dxa"/>
          </w:tblCellMar>
        </w:tblPrEx>
        <w:trPr>
          <w:wBefore w:w="0" w:type="auto"/>
          <w:tblCellSpacing w:w="0" w:type="dxa"/>
        </w:trPr>
        <w:tc>
          <w:tcPr>
            <w:tcW w:w="0" w:type="auto"/>
            <w:noWrap w:val="0"/>
            <w:vAlign w:val="center"/>
          </w:tcPr>
          <w:p w14:paraId="40983568">
            <w:r>
              <w:rPr>
                <w:rStyle w:val="10"/>
                <w:rFonts w:hint="eastAsia"/>
              </w:rPr>
              <w:t>农药名称：</w:t>
            </w:r>
            <w:r>
              <w:rPr>
                <w:rFonts w:hint="eastAsia"/>
              </w:rPr>
              <w:t>甲磺草胺</w:t>
            </w:r>
          </w:p>
        </w:tc>
      </w:tr>
      <w:tr w14:paraId="5CC580A7">
        <w:tblPrEx>
          <w:tblCellMar>
            <w:top w:w="0" w:type="dxa"/>
            <w:left w:w="0" w:type="dxa"/>
            <w:bottom w:w="0" w:type="dxa"/>
            <w:right w:w="0" w:type="dxa"/>
          </w:tblCellMar>
        </w:tblPrEx>
        <w:trPr>
          <w:wBefore w:w="0" w:type="auto"/>
          <w:tblCellSpacing w:w="0" w:type="dxa"/>
        </w:trPr>
        <w:tc>
          <w:tcPr>
            <w:tcW w:w="0" w:type="auto"/>
            <w:noWrap w:val="0"/>
            <w:vAlign w:val="center"/>
          </w:tcPr>
          <w:p w14:paraId="355D1956">
            <w:r>
              <w:rPr>
                <w:rStyle w:val="10"/>
                <w:rFonts w:hint="eastAsia"/>
              </w:rPr>
              <w:t>剂型：</w:t>
            </w:r>
            <w:r>
              <w:rPr>
                <w:rFonts w:hint="eastAsia"/>
              </w:rPr>
              <w:t>悬浮剂</w:t>
            </w:r>
          </w:p>
        </w:tc>
      </w:tr>
      <w:tr w14:paraId="666AD99C">
        <w:tblPrEx>
          <w:tblCellMar>
            <w:top w:w="0" w:type="dxa"/>
            <w:left w:w="0" w:type="dxa"/>
            <w:bottom w:w="0" w:type="dxa"/>
            <w:right w:w="0" w:type="dxa"/>
          </w:tblCellMar>
        </w:tblPrEx>
        <w:trPr>
          <w:wBefore w:w="0" w:type="auto"/>
          <w:tblCellSpacing w:w="0" w:type="dxa"/>
        </w:trPr>
        <w:tc>
          <w:tcPr>
            <w:tcW w:w="0" w:type="auto"/>
            <w:noWrap w:val="0"/>
            <w:vAlign w:val="center"/>
          </w:tcPr>
          <w:p w14:paraId="16ABD2D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6" name="图片 2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C9657C">
        <w:tblPrEx>
          <w:tblCellMar>
            <w:top w:w="0" w:type="dxa"/>
            <w:left w:w="0" w:type="dxa"/>
            <w:bottom w:w="0" w:type="dxa"/>
            <w:right w:w="0" w:type="dxa"/>
          </w:tblCellMar>
        </w:tblPrEx>
        <w:trPr>
          <w:wBefore w:w="0" w:type="auto"/>
          <w:tblCellSpacing w:w="0" w:type="dxa"/>
        </w:trPr>
        <w:tc>
          <w:tcPr>
            <w:tcW w:w="0" w:type="auto"/>
            <w:noWrap w:val="0"/>
            <w:vAlign w:val="center"/>
          </w:tcPr>
          <w:p w14:paraId="42638762">
            <w:r>
              <w:rPr>
                <w:rStyle w:val="10"/>
                <w:rFonts w:hint="eastAsia"/>
              </w:rPr>
              <w:t>总有效成分含量：</w:t>
            </w:r>
            <w:r>
              <w:rPr>
                <w:rFonts w:hint="eastAsia"/>
              </w:rPr>
              <w:t>500克/升</w:t>
            </w:r>
          </w:p>
        </w:tc>
      </w:tr>
      <w:tr w14:paraId="27C375E5">
        <w:tblPrEx>
          <w:tblCellMar>
            <w:top w:w="0" w:type="dxa"/>
            <w:left w:w="0" w:type="dxa"/>
            <w:bottom w:w="0" w:type="dxa"/>
            <w:right w:w="0" w:type="dxa"/>
          </w:tblCellMar>
        </w:tblPrEx>
        <w:trPr>
          <w:wBefore w:w="0" w:type="auto"/>
          <w:tblCellSpacing w:w="0" w:type="dxa"/>
        </w:trPr>
        <w:tc>
          <w:tcPr>
            <w:tcW w:w="0" w:type="auto"/>
            <w:noWrap w:val="0"/>
            <w:vAlign w:val="center"/>
          </w:tcPr>
          <w:p w14:paraId="7E289EC7">
            <w:r>
              <w:rPr>
                <w:rFonts w:hint="eastAsia"/>
              </w:rPr>
              <w:t xml:space="preserve">有效成分及其含量： </w:t>
            </w:r>
          </w:p>
          <w:p w14:paraId="338FE778">
            <w:r>
              <w:rPr>
                <w:rFonts w:hint="eastAsia"/>
              </w:rPr>
              <w:t xml:space="preserve">    </w:t>
            </w:r>
          </w:p>
        </w:tc>
      </w:tr>
      <w:tr w14:paraId="3B711D58">
        <w:tblPrEx>
          <w:tblCellMar>
            <w:top w:w="0" w:type="dxa"/>
            <w:left w:w="0" w:type="dxa"/>
            <w:bottom w:w="0" w:type="dxa"/>
            <w:right w:w="0" w:type="dxa"/>
          </w:tblCellMar>
        </w:tblPrEx>
        <w:trPr>
          <w:wBefore w:w="0" w:type="auto"/>
          <w:tblCellSpacing w:w="0" w:type="dxa"/>
        </w:trPr>
        <w:tc>
          <w:tcPr>
            <w:tcW w:w="0" w:type="auto"/>
            <w:noWrap w:val="0"/>
            <w:vAlign w:val="center"/>
          </w:tcPr>
          <w:p w14:paraId="4ECFDCD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FDBE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6F593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2B917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FE9EF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708F22">
                  <w:r>
                    <w:rPr>
                      <w:rStyle w:val="11"/>
                      <w:rFonts w:hint="eastAsia"/>
                    </w:rPr>
                    <w:t>施用方式</w:t>
                  </w:r>
                </w:p>
              </w:tc>
            </w:tr>
          </w:tbl>
          <w:p w14:paraId="267E513E">
            <w:pPr>
              <w:rPr>
                <w:rFonts w:ascii="Times New Roman" w:hAnsi="Times New Roman" w:cs="Times New Roman"/>
                <w:sz w:val="20"/>
                <w:szCs w:val="20"/>
              </w:rPr>
            </w:pPr>
          </w:p>
        </w:tc>
      </w:tr>
      <w:tr w14:paraId="3EE05CA0">
        <w:tblPrEx>
          <w:tblCellMar>
            <w:top w:w="0" w:type="dxa"/>
            <w:left w:w="0" w:type="dxa"/>
            <w:bottom w:w="0" w:type="dxa"/>
            <w:right w:w="0" w:type="dxa"/>
          </w:tblCellMar>
        </w:tblPrEx>
        <w:trPr>
          <w:wBefore w:w="0" w:type="auto"/>
          <w:tblCellSpacing w:w="0" w:type="dxa"/>
        </w:trPr>
        <w:tc>
          <w:tcPr>
            <w:tcW w:w="0" w:type="auto"/>
            <w:noWrap w:val="0"/>
            <w:vAlign w:val="center"/>
          </w:tcPr>
          <w:p w14:paraId="71E674EB">
            <w:r>
              <w:rPr>
                <w:rStyle w:val="10"/>
                <w:rFonts w:hint="eastAsia"/>
              </w:rPr>
              <w:t>使用技术要求:</w:t>
            </w:r>
            <w:r>
              <w:rPr>
                <w:rFonts w:hint="eastAsia"/>
              </w:rPr>
              <w:br w:type="textWrapping"/>
            </w:r>
          </w:p>
        </w:tc>
      </w:tr>
      <w:tr w14:paraId="4E89A682">
        <w:tblPrEx>
          <w:tblCellMar>
            <w:top w:w="0" w:type="dxa"/>
            <w:left w:w="0" w:type="dxa"/>
            <w:bottom w:w="0" w:type="dxa"/>
            <w:right w:w="0" w:type="dxa"/>
          </w:tblCellMar>
        </w:tblPrEx>
        <w:trPr>
          <w:wBefore w:w="0" w:type="auto"/>
          <w:tblCellSpacing w:w="0" w:type="dxa"/>
        </w:trPr>
        <w:tc>
          <w:tcPr>
            <w:tcW w:w="0" w:type="auto"/>
            <w:noWrap w:val="0"/>
            <w:vAlign w:val="center"/>
          </w:tcPr>
          <w:p w14:paraId="3E7CB04D">
            <w:r>
              <w:rPr>
                <w:rStyle w:val="10"/>
                <w:rFonts w:hint="eastAsia"/>
              </w:rPr>
              <w:t>产品性能:</w:t>
            </w:r>
          </w:p>
        </w:tc>
      </w:tr>
      <w:tr w14:paraId="5F4243AB">
        <w:tblPrEx>
          <w:tblCellMar>
            <w:top w:w="0" w:type="dxa"/>
            <w:left w:w="0" w:type="dxa"/>
            <w:bottom w:w="0" w:type="dxa"/>
            <w:right w:w="0" w:type="dxa"/>
          </w:tblCellMar>
        </w:tblPrEx>
        <w:trPr>
          <w:wBefore w:w="0" w:type="auto"/>
          <w:tblCellSpacing w:w="0" w:type="dxa"/>
        </w:trPr>
        <w:tc>
          <w:tcPr>
            <w:tcW w:w="0" w:type="auto"/>
            <w:noWrap w:val="0"/>
            <w:vAlign w:val="center"/>
          </w:tcPr>
          <w:p w14:paraId="6429BB49">
            <w:r>
              <w:rPr>
                <w:rStyle w:val="10"/>
                <w:rFonts w:hint="eastAsia"/>
              </w:rPr>
              <w:t>注意事项：</w:t>
            </w:r>
          </w:p>
        </w:tc>
      </w:tr>
      <w:tr w14:paraId="2A4B21EB">
        <w:tblPrEx>
          <w:tblCellMar>
            <w:top w:w="0" w:type="dxa"/>
            <w:left w:w="0" w:type="dxa"/>
            <w:bottom w:w="0" w:type="dxa"/>
            <w:right w:w="0" w:type="dxa"/>
          </w:tblCellMar>
        </w:tblPrEx>
        <w:trPr>
          <w:wBefore w:w="0" w:type="auto"/>
          <w:tblCellSpacing w:w="0" w:type="dxa"/>
        </w:trPr>
        <w:tc>
          <w:tcPr>
            <w:tcW w:w="0" w:type="auto"/>
            <w:noWrap w:val="0"/>
            <w:vAlign w:val="center"/>
          </w:tcPr>
          <w:p w14:paraId="6F3F72B7">
            <w:r>
              <w:rPr>
                <w:rStyle w:val="10"/>
                <w:rFonts w:hint="eastAsia"/>
              </w:rPr>
              <w:t>中毒急救措施：</w:t>
            </w:r>
          </w:p>
        </w:tc>
      </w:tr>
      <w:tr w14:paraId="59FB2673">
        <w:tblPrEx>
          <w:tblCellMar>
            <w:top w:w="0" w:type="dxa"/>
            <w:left w:w="0" w:type="dxa"/>
            <w:bottom w:w="0" w:type="dxa"/>
            <w:right w:w="0" w:type="dxa"/>
          </w:tblCellMar>
        </w:tblPrEx>
        <w:trPr>
          <w:wBefore w:w="0" w:type="auto"/>
          <w:tblCellSpacing w:w="0" w:type="dxa"/>
        </w:trPr>
        <w:tc>
          <w:tcPr>
            <w:tcW w:w="0" w:type="auto"/>
            <w:noWrap w:val="0"/>
            <w:vAlign w:val="center"/>
          </w:tcPr>
          <w:p w14:paraId="00D16A55">
            <w:r>
              <w:rPr>
                <w:rStyle w:val="10"/>
                <w:rFonts w:hint="eastAsia"/>
              </w:rPr>
              <w:t>储存和运输方法：</w:t>
            </w:r>
          </w:p>
        </w:tc>
      </w:tr>
      <w:tr w14:paraId="55286E16">
        <w:tblPrEx>
          <w:tblCellMar>
            <w:top w:w="0" w:type="dxa"/>
            <w:left w:w="0" w:type="dxa"/>
            <w:bottom w:w="0" w:type="dxa"/>
            <w:right w:w="0" w:type="dxa"/>
          </w:tblCellMar>
        </w:tblPrEx>
        <w:trPr>
          <w:wBefore w:w="0" w:type="auto"/>
          <w:tblCellSpacing w:w="0" w:type="dxa"/>
        </w:trPr>
        <w:tc>
          <w:tcPr>
            <w:tcW w:w="0" w:type="auto"/>
            <w:noWrap w:val="0"/>
            <w:vAlign w:val="center"/>
          </w:tcPr>
          <w:p w14:paraId="77FA7D14">
            <w:r>
              <w:rPr>
                <w:rStyle w:val="10"/>
                <w:rFonts w:hint="eastAsia"/>
              </w:rPr>
              <w:t>质量保证期：</w:t>
            </w:r>
          </w:p>
        </w:tc>
      </w:tr>
      <w:tr w14:paraId="235FC296">
        <w:tblPrEx>
          <w:tblCellMar>
            <w:top w:w="0" w:type="dxa"/>
            <w:left w:w="0" w:type="dxa"/>
            <w:bottom w:w="0" w:type="dxa"/>
            <w:right w:w="0" w:type="dxa"/>
          </w:tblCellMar>
        </w:tblPrEx>
        <w:trPr>
          <w:wBefore w:w="0" w:type="auto"/>
          <w:tblCellSpacing w:w="0" w:type="dxa"/>
        </w:trPr>
        <w:tc>
          <w:tcPr>
            <w:tcW w:w="0" w:type="auto"/>
            <w:noWrap w:val="0"/>
            <w:vAlign w:val="center"/>
          </w:tcPr>
          <w:p w14:paraId="7FACB27E">
            <w:r>
              <w:rPr>
                <w:rStyle w:val="10"/>
                <w:rFonts w:hint="eastAsia"/>
              </w:rPr>
              <w:t>备注：</w:t>
            </w:r>
          </w:p>
        </w:tc>
      </w:tr>
    </w:tbl>
    <w:p w14:paraId="5C018A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A28FCA">
        <w:tblPrEx>
          <w:tblCellMar>
            <w:top w:w="0" w:type="dxa"/>
            <w:left w:w="0" w:type="dxa"/>
            <w:bottom w:w="0" w:type="dxa"/>
            <w:right w:w="0" w:type="dxa"/>
          </w:tblCellMar>
        </w:tblPrEx>
        <w:trPr>
          <w:wBefore w:w="0" w:type="auto"/>
          <w:tblCellSpacing w:w="0" w:type="dxa"/>
        </w:trPr>
        <w:tc>
          <w:tcPr>
            <w:tcW w:w="0" w:type="auto"/>
            <w:noWrap w:val="0"/>
            <w:vAlign w:val="center"/>
          </w:tcPr>
          <w:p w14:paraId="26F1BFA4">
            <w:r>
              <w:rPr>
                <w:rStyle w:val="10"/>
                <w:rFonts w:hint="eastAsia"/>
              </w:rPr>
              <w:t>登记证号：</w:t>
            </w:r>
            <w:r>
              <w:rPr>
                <w:rFonts w:hint="eastAsia"/>
              </w:rPr>
              <w:t>PD20212763</w:t>
            </w:r>
          </w:p>
        </w:tc>
      </w:tr>
      <w:tr w14:paraId="1D1DEB17">
        <w:tblPrEx>
          <w:tblCellMar>
            <w:top w:w="0" w:type="dxa"/>
            <w:left w:w="0" w:type="dxa"/>
            <w:bottom w:w="0" w:type="dxa"/>
            <w:right w:w="0" w:type="dxa"/>
          </w:tblCellMar>
        </w:tblPrEx>
        <w:trPr>
          <w:wBefore w:w="0" w:type="auto"/>
          <w:tblCellSpacing w:w="0" w:type="dxa"/>
        </w:trPr>
        <w:tc>
          <w:tcPr>
            <w:tcW w:w="0" w:type="auto"/>
            <w:noWrap w:val="0"/>
            <w:vAlign w:val="center"/>
          </w:tcPr>
          <w:p w14:paraId="54C89C35">
            <w:r>
              <w:rPr>
                <w:rStyle w:val="10"/>
                <w:rFonts w:hint="eastAsia"/>
              </w:rPr>
              <w:t>登记证持有人：</w:t>
            </w:r>
            <w:r>
              <w:rPr>
                <w:rFonts w:hint="eastAsia"/>
              </w:rPr>
              <w:t>上海华谊集团华原化工有限公司</w:t>
            </w:r>
          </w:p>
        </w:tc>
      </w:tr>
      <w:tr w14:paraId="010720D8">
        <w:tblPrEx>
          <w:tblCellMar>
            <w:top w:w="0" w:type="dxa"/>
            <w:left w:w="0" w:type="dxa"/>
            <w:bottom w:w="0" w:type="dxa"/>
            <w:right w:w="0" w:type="dxa"/>
          </w:tblCellMar>
        </w:tblPrEx>
        <w:trPr>
          <w:wBefore w:w="0" w:type="auto"/>
          <w:tblCellSpacing w:w="0" w:type="dxa"/>
        </w:trPr>
        <w:tc>
          <w:tcPr>
            <w:tcW w:w="0" w:type="auto"/>
            <w:noWrap w:val="0"/>
            <w:vAlign w:val="center"/>
          </w:tcPr>
          <w:p w14:paraId="3061DA55">
            <w:r>
              <w:rPr>
                <w:rStyle w:val="10"/>
                <w:rFonts w:hint="eastAsia"/>
              </w:rPr>
              <w:t>农药名称：</w:t>
            </w:r>
            <w:r>
              <w:rPr>
                <w:rFonts w:hint="eastAsia"/>
              </w:rPr>
              <w:t>乙烯利</w:t>
            </w:r>
          </w:p>
        </w:tc>
      </w:tr>
      <w:tr w14:paraId="53705BE9">
        <w:tblPrEx>
          <w:tblCellMar>
            <w:top w:w="0" w:type="dxa"/>
            <w:left w:w="0" w:type="dxa"/>
            <w:bottom w:w="0" w:type="dxa"/>
            <w:right w:w="0" w:type="dxa"/>
          </w:tblCellMar>
        </w:tblPrEx>
        <w:trPr>
          <w:wBefore w:w="0" w:type="auto"/>
          <w:tblCellSpacing w:w="0" w:type="dxa"/>
        </w:trPr>
        <w:tc>
          <w:tcPr>
            <w:tcW w:w="0" w:type="auto"/>
            <w:noWrap w:val="0"/>
            <w:vAlign w:val="center"/>
          </w:tcPr>
          <w:p w14:paraId="5D2B1B3B">
            <w:r>
              <w:rPr>
                <w:rStyle w:val="10"/>
                <w:rFonts w:hint="eastAsia"/>
              </w:rPr>
              <w:t>剂型：</w:t>
            </w:r>
            <w:r>
              <w:rPr>
                <w:rFonts w:hint="eastAsia"/>
              </w:rPr>
              <w:t>颗粒剂</w:t>
            </w:r>
          </w:p>
        </w:tc>
      </w:tr>
      <w:tr w14:paraId="6BEB8930">
        <w:tblPrEx>
          <w:tblCellMar>
            <w:top w:w="0" w:type="dxa"/>
            <w:left w:w="0" w:type="dxa"/>
            <w:bottom w:w="0" w:type="dxa"/>
            <w:right w:w="0" w:type="dxa"/>
          </w:tblCellMar>
        </w:tblPrEx>
        <w:trPr>
          <w:wBefore w:w="0" w:type="auto"/>
          <w:tblCellSpacing w:w="0" w:type="dxa"/>
        </w:trPr>
        <w:tc>
          <w:tcPr>
            <w:tcW w:w="0" w:type="auto"/>
            <w:noWrap w:val="0"/>
            <w:vAlign w:val="center"/>
          </w:tcPr>
          <w:p w14:paraId="3D6658C8">
            <w:r>
              <w:rPr>
                <w:rStyle w:val="10"/>
                <w:rFonts w:hint="eastAsia"/>
              </w:rPr>
              <w:t>毒性及其标识：</w:t>
            </w:r>
            <w:r>
              <w:rPr>
                <w:rFonts w:hint="eastAsia"/>
              </w:rPr>
              <w:t xml:space="preserve"> </w:t>
            </w:r>
            <w:r>
              <w:rPr>
                <w:lang/>
              </w:rPr>
              <w:drawing>
                <wp:inline distT="0" distB="0" distL="114300" distR="114300">
                  <wp:extent cx="476250" cy="323850"/>
                  <wp:effectExtent l="0" t="0" r="0" b="0"/>
                  <wp:docPr id="237" name="图片 2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EF94F78">
        <w:tblPrEx>
          <w:tblCellMar>
            <w:top w:w="0" w:type="dxa"/>
            <w:left w:w="0" w:type="dxa"/>
            <w:bottom w:w="0" w:type="dxa"/>
            <w:right w:w="0" w:type="dxa"/>
          </w:tblCellMar>
        </w:tblPrEx>
        <w:trPr>
          <w:wBefore w:w="0" w:type="auto"/>
          <w:tblCellSpacing w:w="0" w:type="dxa"/>
        </w:trPr>
        <w:tc>
          <w:tcPr>
            <w:tcW w:w="0" w:type="auto"/>
            <w:noWrap w:val="0"/>
            <w:vAlign w:val="center"/>
          </w:tcPr>
          <w:p w14:paraId="73B16E60">
            <w:r>
              <w:rPr>
                <w:rStyle w:val="10"/>
                <w:rFonts w:hint="eastAsia"/>
              </w:rPr>
              <w:t>总有效成分含量：</w:t>
            </w:r>
            <w:r>
              <w:rPr>
                <w:rFonts w:hint="eastAsia"/>
              </w:rPr>
              <w:t>20%</w:t>
            </w:r>
          </w:p>
        </w:tc>
      </w:tr>
      <w:tr w14:paraId="63993791">
        <w:tblPrEx>
          <w:tblCellMar>
            <w:top w:w="0" w:type="dxa"/>
            <w:left w:w="0" w:type="dxa"/>
            <w:bottom w:w="0" w:type="dxa"/>
            <w:right w:w="0" w:type="dxa"/>
          </w:tblCellMar>
        </w:tblPrEx>
        <w:trPr>
          <w:wBefore w:w="0" w:type="auto"/>
          <w:tblCellSpacing w:w="0" w:type="dxa"/>
        </w:trPr>
        <w:tc>
          <w:tcPr>
            <w:tcW w:w="0" w:type="auto"/>
            <w:noWrap w:val="0"/>
            <w:vAlign w:val="center"/>
          </w:tcPr>
          <w:p w14:paraId="719A3C89">
            <w:r>
              <w:rPr>
                <w:rFonts w:hint="eastAsia"/>
              </w:rPr>
              <w:t xml:space="preserve">有效成分及其含量： </w:t>
            </w:r>
          </w:p>
          <w:p w14:paraId="4638B631">
            <w:r>
              <w:rPr>
                <w:rFonts w:hint="eastAsia"/>
              </w:rPr>
              <w:t xml:space="preserve">    乙烯利20%    </w:t>
            </w:r>
          </w:p>
        </w:tc>
      </w:tr>
      <w:tr w14:paraId="70D22F52">
        <w:tblPrEx>
          <w:tblCellMar>
            <w:top w:w="0" w:type="dxa"/>
            <w:left w:w="0" w:type="dxa"/>
            <w:bottom w:w="0" w:type="dxa"/>
            <w:right w:w="0" w:type="dxa"/>
          </w:tblCellMar>
        </w:tblPrEx>
        <w:trPr>
          <w:wBefore w:w="0" w:type="auto"/>
          <w:tblCellSpacing w:w="0" w:type="dxa"/>
        </w:trPr>
        <w:tc>
          <w:tcPr>
            <w:tcW w:w="0" w:type="auto"/>
            <w:noWrap w:val="0"/>
            <w:vAlign w:val="center"/>
          </w:tcPr>
          <w:p w14:paraId="7A72A73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9F3A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4E05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A24F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4DFE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9A9F46">
                  <w:r>
                    <w:rPr>
                      <w:rStyle w:val="11"/>
                      <w:rFonts w:hint="eastAsia"/>
                    </w:rPr>
                    <w:t>施用方式</w:t>
                  </w:r>
                </w:p>
              </w:tc>
            </w:tr>
            <w:tr w14:paraId="5AD249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DC81B3">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8D326E">
                  <w:r>
                    <w:rPr>
                      <w:rStyle w:val="11"/>
                      <w:rFonts w:hint="eastAsia"/>
                    </w:rPr>
                    <w:t>催熟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BAD1D4">
                  <w:r>
                    <w:rPr>
                      <w:rStyle w:val="11"/>
                      <w:rFonts w:hint="eastAsia"/>
                    </w:rPr>
                    <w:t>50-70毫克/千克果实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AF5489">
                  <w:r>
                    <w:rPr>
                      <w:rStyle w:val="11"/>
                      <w:rFonts w:hint="eastAsia"/>
                    </w:rPr>
                    <w:t>密闭熏蒸</w:t>
                  </w:r>
                </w:p>
              </w:tc>
            </w:tr>
          </w:tbl>
          <w:p w14:paraId="4B70E630">
            <w:pPr>
              <w:rPr>
                <w:rFonts w:ascii="Times New Roman" w:hAnsi="Times New Roman" w:cs="Times New Roman"/>
                <w:sz w:val="20"/>
                <w:szCs w:val="20"/>
              </w:rPr>
            </w:pPr>
          </w:p>
        </w:tc>
      </w:tr>
      <w:tr w14:paraId="05BC931A">
        <w:tblPrEx>
          <w:tblCellMar>
            <w:top w:w="0" w:type="dxa"/>
            <w:left w:w="0" w:type="dxa"/>
            <w:bottom w:w="0" w:type="dxa"/>
            <w:right w:w="0" w:type="dxa"/>
          </w:tblCellMar>
        </w:tblPrEx>
        <w:trPr>
          <w:wBefore w:w="0" w:type="auto"/>
          <w:tblCellSpacing w:w="0" w:type="dxa"/>
        </w:trPr>
        <w:tc>
          <w:tcPr>
            <w:tcW w:w="0" w:type="auto"/>
            <w:noWrap w:val="0"/>
            <w:vAlign w:val="center"/>
          </w:tcPr>
          <w:p w14:paraId="33AD0454">
            <w:r>
              <w:rPr>
                <w:rStyle w:val="10"/>
                <w:rFonts w:hint="eastAsia"/>
              </w:rPr>
              <w:t>使用技术要求:</w:t>
            </w:r>
            <w:r>
              <w:rPr>
                <w:rFonts w:hint="eastAsia"/>
              </w:rPr>
              <w:br w:type="textWrapping"/>
            </w:r>
            <w:r>
              <w:rPr>
                <w:rStyle w:val="11"/>
                <w:rFonts w:hint="eastAsia"/>
              </w:rPr>
              <w:t>1. 在香蕉采收后密闭熏蒸处理一次，采用药包熏蒸法，在晴天采收果实成熟度为70%-80%的无机械损伤的香蕉，去轴分梳，去除有伤的蕉指，用水将药包浸湿，然后将其放在装有香蕉的塑料袋中，注意塑料袋不可扎紧，应有少许空气进入袋中，并保证过多的二氧化碳释放出来，处理好的香蕉置于室内贮存。2.使用本品后的香蕉应当贮存3天以后才能上市销售，每季最多使用1次。</w:t>
            </w:r>
          </w:p>
        </w:tc>
      </w:tr>
      <w:tr w14:paraId="11A42F0E">
        <w:tblPrEx>
          <w:tblCellMar>
            <w:top w:w="0" w:type="dxa"/>
            <w:left w:w="0" w:type="dxa"/>
            <w:bottom w:w="0" w:type="dxa"/>
            <w:right w:w="0" w:type="dxa"/>
          </w:tblCellMar>
        </w:tblPrEx>
        <w:trPr>
          <w:wBefore w:w="0" w:type="auto"/>
          <w:tblCellSpacing w:w="0" w:type="dxa"/>
        </w:trPr>
        <w:tc>
          <w:tcPr>
            <w:tcW w:w="0" w:type="auto"/>
            <w:noWrap w:val="0"/>
            <w:vAlign w:val="center"/>
          </w:tcPr>
          <w:p w14:paraId="6ED72F5D">
            <w:r>
              <w:rPr>
                <w:rStyle w:val="10"/>
                <w:rFonts w:hint="eastAsia"/>
              </w:rPr>
              <w:t>产品性能:</w:t>
            </w:r>
            <w:r>
              <w:rPr>
                <w:rFonts w:hint="eastAsia"/>
              </w:rPr>
              <w:br w:type="textWrapping"/>
            </w:r>
            <w:r>
              <w:rPr>
                <w:rStyle w:val="11"/>
                <w:rFonts w:hint="eastAsia"/>
              </w:rPr>
              <w:t>乙烯利是促进植物成熟和衰老的植物生长调节剂。乙烯利遇水便分解生成乙烯，乙烯主要作用是促进果实成熟，可以使没有完全成熟的果实加速成熟。可用于香蕉催熟。</w:t>
            </w:r>
          </w:p>
        </w:tc>
      </w:tr>
      <w:tr w14:paraId="679F89EA">
        <w:tblPrEx>
          <w:tblCellMar>
            <w:top w:w="0" w:type="dxa"/>
            <w:left w:w="0" w:type="dxa"/>
            <w:bottom w:w="0" w:type="dxa"/>
            <w:right w:w="0" w:type="dxa"/>
          </w:tblCellMar>
        </w:tblPrEx>
        <w:trPr>
          <w:wBefore w:w="0" w:type="auto"/>
          <w:tblCellSpacing w:w="0" w:type="dxa"/>
        </w:trPr>
        <w:tc>
          <w:tcPr>
            <w:tcW w:w="0" w:type="auto"/>
            <w:noWrap w:val="0"/>
            <w:vAlign w:val="center"/>
          </w:tcPr>
          <w:p w14:paraId="4C2BC1D0">
            <w:r>
              <w:rPr>
                <w:rStyle w:val="10"/>
                <w:rFonts w:hint="eastAsia"/>
              </w:rPr>
              <w:t>注意事项：</w:t>
            </w:r>
            <w:r>
              <w:rPr>
                <w:rFonts w:hint="eastAsia"/>
              </w:rPr>
              <w:br w:type="textWrapping"/>
            </w:r>
            <w:r>
              <w:rPr>
                <w:rStyle w:val="11"/>
                <w:rFonts w:hint="eastAsia"/>
              </w:rPr>
              <w:t>1. 本品不得与其它产品混用，以免分解失效。仅限室内使用。 2. 禁止在河塘等水体中清洗施药器具。清洗施药器具的水也不能排入河塘等水体。 3. 使用本品应采取相应的安全防护措施，穿靴子、长袖衣和长裤，戴防护手套、眼罩、口罩等，避免与皮肤、眼睛直接接触防止口、鼻吸入。使用中不可吸烟、饮水及吃东西，使用后及时用大量清水和肥皂清洗手、脸等暴露部位皮肤并更换衣物。 4. 用过的容器应妥善处理，不可做他用，也不可随意丢弃。 5. 禁止儿童、孕妇及哺乳期的妇女接触。过敏者禁用，使用中有任何不良反应请及时就医。</w:t>
            </w:r>
          </w:p>
        </w:tc>
      </w:tr>
      <w:tr w14:paraId="18D9BDA0">
        <w:tblPrEx>
          <w:tblCellMar>
            <w:top w:w="0" w:type="dxa"/>
            <w:left w:w="0" w:type="dxa"/>
            <w:bottom w:w="0" w:type="dxa"/>
            <w:right w:w="0" w:type="dxa"/>
          </w:tblCellMar>
        </w:tblPrEx>
        <w:trPr>
          <w:wBefore w:w="0" w:type="auto"/>
          <w:tblCellSpacing w:w="0" w:type="dxa"/>
        </w:trPr>
        <w:tc>
          <w:tcPr>
            <w:tcW w:w="0" w:type="auto"/>
            <w:noWrap w:val="0"/>
            <w:vAlign w:val="center"/>
          </w:tcPr>
          <w:p w14:paraId="51A57549">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皮肤接触：脱去污染的衣物，用软布去除污染农药，立即用大量清水和肥皂冲洗。 眼睛溅入：立即用流动清水冲洗不少于15分钟。 吸 入：立即离开施药现场，转移到空气清新处。 误 食：立即停止服用，用清水充分漱口后，立即携带农药标签到医院就诊。无专用解毒剂，对症治疗。 </w:t>
            </w:r>
          </w:p>
        </w:tc>
      </w:tr>
      <w:tr w14:paraId="45B4923B">
        <w:tblPrEx>
          <w:tblCellMar>
            <w:top w:w="0" w:type="dxa"/>
            <w:left w:w="0" w:type="dxa"/>
            <w:bottom w:w="0" w:type="dxa"/>
            <w:right w:w="0" w:type="dxa"/>
          </w:tblCellMar>
        </w:tblPrEx>
        <w:trPr>
          <w:wBefore w:w="0" w:type="auto"/>
          <w:tblCellSpacing w:w="0" w:type="dxa"/>
        </w:trPr>
        <w:tc>
          <w:tcPr>
            <w:tcW w:w="0" w:type="auto"/>
            <w:noWrap w:val="0"/>
            <w:vAlign w:val="center"/>
          </w:tcPr>
          <w:p w14:paraId="3C56129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本品应贮存在干燥、阴凉、通风、防雨处，远离火源或热源。置于儿童、无关人员及动物接触不到的地方，并加锁保存。勿与食品、饮料、粮食、饲料等同贮同运。</w:t>
            </w:r>
          </w:p>
        </w:tc>
      </w:tr>
      <w:tr w14:paraId="7CA1D733">
        <w:tblPrEx>
          <w:tblCellMar>
            <w:top w:w="0" w:type="dxa"/>
            <w:left w:w="0" w:type="dxa"/>
            <w:bottom w:w="0" w:type="dxa"/>
            <w:right w:w="0" w:type="dxa"/>
          </w:tblCellMar>
        </w:tblPrEx>
        <w:trPr>
          <w:wBefore w:w="0" w:type="auto"/>
          <w:tblCellSpacing w:w="0" w:type="dxa"/>
        </w:trPr>
        <w:tc>
          <w:tcPr>
            <w:tcW w:w="0" w:type="auto"/>
            <w:noWrap w:val="0"/>
            <w:vAlign w:val="center"/>
          </w:tcPr>
          <w:p w14:paraId="3D555330">
            <w:r>
              <w:rPr>
                <w:rStyle w:val="10"/>
                <w:rFonts w:hint="eastAsia"/>
              </w:rPr>
              <w:t>质量保证期：</w:t>
            </w:r>
            <w:r>
              <w:rPr>
                <w:rStyle w:val="11"/>
                <w:rFonts w:hint="eastAsia"/>
              </w:rPr>
              <w:t>2年</w:t>
            </w:r>
          </w:p>
        </w:tc>
      </w:tr>
      <w:tr w14:paraId="2B878B7C">
        <w:tblPrEx>
          <w:tblCellMar>
            <w:top w:w="0" w:type="dxa"/>
            <w:left w:w="0" w:type="dxa"/>
            <w:bottom w:w="0" w:type="dxa"/>
            <w:right w:w="0" w:type="dxa"/>
          </w:tblCellMar>
        </w:tblPrEx>
        <w:trPr>
          <w:wBefore w:w="0" w:type="auto"/>
          <w:tblCellSpacing w:w="0" w:type="dxa"/>
        </w:trPr>
        <w:tc>
          <w:tcPr>
            <w:tcW w:w="0" w:type="auto"/>
            <w:noWrap w:val="0"/>
            <w:vAlign w:val="center"/>
          </w:tcPr>
          <w:p w14:paraId="37BB7372">
            <w:r>
              <w:rPr>
                <w:rStyle w:val="10"/>
                <w:rFonts w:hint="eastAsia"/>
              </w:rPr>
              <w:t>备注：</w:t>
            </w:r>
          </w:p>
        </w:tc>
      </w:tr>
    </w:tbl>
    <w:p w14:paraId="1B0107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CCDC22">
        <w:tblPrEx>
          <w:tblCellMar>
            <w:top w:w="0" w:type="dxa"/>
            <w:left w:w="0" w:type="dxa"/>
            <w:bottom w:w="0" w:type="dxa"/>
            <w:right w:w="0" w:type="dxa"/>
          </w:tblCellMar>
        </w:tblPrEx>
        <w:trPr>
          <w:wBefore w:w="0" w:type="auto"/>
          <w:tblCellSpacing w:w="0" w:type="dxa"/>
        </w:trPr>
        <w:tc>
          <w:tcPr>
            <w:tcW w:w="0" w:type="auto"/>
            <w:noWrap w:val="0"/>
            <w:vAlign w:val="center"/>
          </w:tcPr>
          <w:p w14:paraId="2E9A2B97">
            <w:r>
              <w:rPr>
                <w:rStyle w:val="10"/>
                <w:rFonts w:hint="eastAsia"/>
              </w:rPr>
              <w:t>登记证号：</w:t>
            </w:r>
            <w:r>
              <w:rPr>
                <w:rFonts w:hint="eastAsia"/>
              </w:rPr>
              <w:t>PD20212603</w:t>
            </w:r>
          </w:p>
        </w:tc>
      </w:tr>
      <w:tr w14:paraId="7325A504">
        <w:tblPrEx>
          <w:tblCellMar>
            <w:top w:w="0" w:type="dxa"/>
            <w:left w:w="0" w:type="dxa"/>
            <w:bottom w:w="0" w:type="dxa"/>
            <w:right w:w="0" w:type="dxa"/>
          </w:tblCellMar>
        </w:tblPrEx>
        <w:trPr>
          <w:wBefore w:w="0" w:type="auto"/>
          <w:tblCellSpacing w:w="0" w:type="dxa"/>
        </w:trPr>
        <w:tc>
          <w:tcPr>
            <w:tcW w:w="0" w:type="auto"/>
            <w:noWrap w:val="0"/>
            <w:vAlign w:val="center"/>
          </w:tcPr>
          <w:p w14:paraId="453856CB">
            <w:r>
              <w:rPr>
                <w:rStyle w:val="10"/>
                <w:rFonts w:hint="eastAsia"/>
              </w:rPr>
              <w:t>登记证持有人：</w:t>
            </w:r>
            <w:r>
              <w:rPr>
                <w:rFonts w:hint="eastAsia"/>
              </w:rPr>
              <w:t>安徽省锦江农化有限公司</w:t>
            </w:r>
          </w:p>
        </w:tc>
      </w:tr>
      <w:tr w14:paraId="54184DB8">
        <w:tblPrEx>
          <w:tblCellMar>
            <w:top w:w="0" w:type="dxa"/>
            <w:left w:w="0" w:type="dxa"/>
            <w:bottom w:w="0" w:type="dxa"/>
            <w:right w:w="0" w:type="dxa"/>
          </w:tblCellMar>
        </w:tblPrEx>
        <w:trPr>
          <w:wBefore w:w="0" w:type="auto"/>
          <w:tblCellSpacing w:w="0" w:type="dxa"/>
        </w:trPr>
        <w:tc>
          <w:tcPr>
            <w:tcW w:w="0" w:type="auto"/>
            <w:noWrap w:val="0"/>
            <w:vAlign w:val="center"/>
          </w:tcPr>
          <w:p w14:paraId="11344542">
            <w:r>
              <w:rPr>
                <w:rStyle w:val="10"/>
                <w:rFonts w:hint="eastAsia"/>
              </w:rPr>
              <w:t>农药名称：</w:t>
            </w:r>
            <w:r>
              <w:rPr>
                <w:rFonts w:hint="eastAsia"/>
              </w:rPr>
              <w:t>氨氯酸·草除灵·二氯吡</w:t>
            </w:r>
          </w:p>
        </w:tc>
      </w:tr>
      <w:tr w14:paraId="294824C0">
        <w:tblPrEx>
          <w:tblCellMar>
            <w:top w:w="0" w:type="dxa"/>
            <w:left w:w="0" w:type="dxa"/>
            <w:bottom w:w="0" w:type="dxa"/>
            <w:right w:w="0" w:type="dxa"/>
          </w:tblCellMar>
        </w:tblPrEx>
        <w:trPr>
          <w:wBefore w:w="0" w:type="auto"/>
          <w:tblCellSpacing w:w="0" w:type="dxa"/>
        </w:trPr>
        <w:tc>
          <w:tcPr>
            <w:tcW w:w="0" w:type="auto"/>
            <w:noWrap w:val="0"/>
            <w:vAlign w:val="center"/>
          </w:tcPr>
          <w:p w14:paraId="4DEA2E5A">
            <w:r>
              <w:rPr>
                <w:rStyle w:val="10"/>
                <w:rFonts w:hint="eastAsia"/>
              </w:rPr>
              <w:t>剂型：</w:t>
            </w:r>
            <w:r>
              <w:rPr>
                <w:rFonts w:hint="eastAsia"/>
              </w:rPr>
              <w:t>悬浮剂</w:t>
            </w:r>
          </w:p>
        </w:tc>
      </w:tr>
      <w:tr w14:paraId="6BC63E52">
        <w:tblPrEx>
          <w:tblCellMar>
            <w:top w:w="0" w:type="dxa"/>
            <w:left w:w="0" w:type="dxa"/>
            <w:bottom w:w="0" w:type="dxa"/>
            <w:right w:w="0" w:type="dxa"/>
          </w:tblCellMar>
        </w:tblPrEx>
        <w:trPr>
          <w:wBefore w:w="0" w:type="auto"/>
          <w:tblCellSpacing w:w="0" w:type="dxa"/>
        </w:trPr>
        <w:tc>
          <w:tcPr>
            <w:tcW w:w="0" w:type="auto"/>
            <w:noWrap w:val="0"/>
            <w:vAlign w:val="center"/>
          </w:tcPr>
          <w:p w14:paraId="65B6FC75">
            <w:r>
              <w:rPr>
                <w:rStyle w:val="10"/>
                <w:rFonts w:hint="eastAsia"/>
              </w:rPr>
              <w:t>毒性及其标识：</w:t>
            </w:r>
            <w:r>
              <w:rPr>
                <w:rFonts w:hint="eastAsia"/>
              </w:rPr>
              <w:t xml:space="preserve"> </w:t>
            </w:r>
            <w:r>
              <w:rPr>
                <w:lang/>
              </w:rPr>
              <w:drawing>
                <wp:inline distT="0" distB="0" distL="114300" distR="114300">
                  <wp:extent cx="476250" cy="323850"/>
                  <wp:effectExtent l="0" t="0" r="0" b="0"/>
                  <wp:docPr id="238" name="图片 2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13AFC0">
        <w:tblPrEx>
          <w:tblCellMar>
            <w:top w:w="0" w:type="dxa"/>
            <w:left w:w="0" w:type="dxa"/>
            <w:bottom w:w="0" w:type="dxa"/>
            <w:right w:w="0" w:type="dxa"/>
          </w:tblCellMar>
        </w:tblPrEx>
        <w:trPr>
          <w:wBefore w:w="0" w:type="auto"/>
          <w:tblCellSpacing w:w="0" w:type="dxa"/>
        </w:trPr>
        <w:tc>
          <w:tcPr>
            <w:tcW w:w="0" w:type="auto"/>
            <w:noWrap w:val="0"/>
            <w:vAlign w:val="center"/>
          </w:tcPr>
          <w:p w14:paraId="11B940E3">
            <w:r>
              <w:rPr>
                <w:rStyle w:val="10"/>
                <w:rFonts w:hint="eastAsia"/>
              </w:rPr>
              <w:t>总有效成分含量：</w:t>
            </w:r>
            <w:r>
              <w:rPr>
                <w:rFonts w:hint="eastAsia"/>
              </w:rPr>
              <w:t>35%</w:t>
            </w:r>
          </w:p>
        </w:tc>
      </w:tr>
      <w:tr w14:paraId="53D82195">
        <w:tblPrEx>
          <w:tblCellMar>
            <w:top w:w="0" w:type="dxa"/>
            <w:left w:w="0" w:type="dxa"/>
            <w:bottom w:w="0" w:type="dxa"/>
            <w:right w:w="0" w:type="dxa"/>
          </w:tblCellMar>
        </w:tblPrEx>
        <w:trPr>
          <w:wBefore w:w="0" w:type="auto"/>
          <w:tblCellSpacing w:w="0" w:type="dxa"/>
        </w:trPr>
        <w:tc>
          <w:tcPr>
            <w:tcW w:w="0" w:type="auto"/>
            <w:noWrap w:val="0"/>
            <w:vAlign w:val="center"/>
          </w:tcPr>
          <w:p w14:paraId="727EA9BF">
            <w:r>
              <w:rPr>
                <w:rFonts w:hint="eastAsia"/>
              </w:rPr>
              <w:t xml:space="preserve">有效成分及其含量： </w:t>
            </w:r>
          </w:p>
          <w:p w14:paraId="0114AC60">
            <w:r>
              <w:rPr>
                <w:rFonts w:hint="eastAsia"/>
              </w:rPr>
              <w:t xml:space="preserve">    二氯吡啶酸8%    氨氯吡啶酸2%    草除灵25%    </w:t>
            </w:r>
          </w:p>
        </w:tc>
      </w:tr>
      <w:tr w14:paraId="7954B09B">
        <w:tblPrEx>
          <w:tblCellMar>
            <w:top w:w="0" w:type="dxa"/>
            <w:left w:w="0" w:type="dxa"/>
            <w:bottom w:w="0" w:type="dxa"/>
            <w:right w:w="0" w:type="dxa"/>
          </w:tblCellMar>
        </w:tblPrEx>
        <w:trPr>
          <w:wBefore w:w="0" w:type="auto"/>
          <w:tblCellSpacing w:w="0" w:type="dxa"/>
        </w:trPr>
        <w:tc>
          <w:tcPr>
            <w:tcW w:w="0" w:type="auto"/>
            <w:noWrap w:val="0"/>
            <w:vAlign w:val="center"/>
          </w:tcPr>
          <w:p w14:paraId="11D85BC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42C8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DDE5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12F3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A1B6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607EB4">
                  <w:r>
                    <w:rPr>
                      <w:rStyle w:val="11"/>
                      <w:rFonts w:hint="eastAsia"/>
                    </w:rPr>
                    <w:t>施用方式</w:t>
                  </w:r>
                </w:p>
              </w:tc>
            </w:tr>
            <w:tr w14:paraId="31ED48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F41A92">
                  <w:r>
                    <w:rPr>
                      <w:rStyle w:val="11"/>
                      <w:rFonts w:hint="eastAsia"/>
                    </w:rPr>
                    <w:t>油菜田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1C9992">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606442">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B02D0A">
                  <w:r>
                    <w:rPr>
                      <w:rStyle w:val="11"/>
                      <w:rFonts w:hint="eastAsia"/>
                    </w:rPr>
                    <w:t>茎叶喷雾</w:t>
                  </w:r>
                </w:p>
              </w:tc>
            </w:tr>
          </w:tbl>
          <w:p w14:paraId="371B323B">
            <w:pPr>
              <w:rPr>
                <w:rFonts w:ascii="Times New Roman" w:hAnsi="Times New Roman" w:cs="Times New Roman"/>
                <w:sz w:val="20"/>
                <w:szCs w:val="20"/>
              </w:rPr>
            </w:pPr>
          </w:p>
        </w:tc>
      </w:tr>
      <w:tr w14:paraId="3DF4D4E7">
        <w:tblPrEx>
          <w:tblCellMar>
            <w:top w:w="0" w:type="dxa"/>
            <w:left w:w="0" w:type="dxa"/>
            <w:bottom w:w="0" w:type="dxa"/>
            <w:right w:w="0" w:type="dxa"/>
          </w:tblCellMar>
        </w:tblPrEx>
        <w:trPr>
          <w:wBefore w:w="0" w:type="auto"/>
          <w:tblCellSpacing w:w="0" w:type="dxa"/>
        </w:trPr>
        <w:tc>
          <w:tcPr>
            <w:tcW w:w="0" w:type="auto"/>
            <w:noWrap w:val="0"/>
            <w:vAlign w:val="center"/>
          </w:tcPr>
          <w:p w14:paraId="7D9604CA">
            <w:r>
              <w:rPr>
                <w:rStyle w:val="10"/>
                <w:rFonts w:hint="eastAsia"/>
              </w:rPr>
              <w:t>使用技术要求:</w:t>
            </w:r>
            <w:r>
              <w:rPr>
                <w:rFonts w:hint="eastAsia"/>
              </w:rPr>
              <w:br w:type="textWrapping"/>
            </w:r>
            <w:r>
              <w:rPr>
                <w:rStyle w:val="11"/>
                <w:rFonts w:hint="eastAsia"/>
              </w:rPr>
              <w:t>1. 在油菜苗后4-6叶期，杂草2-5叶期，以推荐剂量兑水均匀茎叶喷雾施药1次，每亩用水量30-50公升，注意喷雾均匀。 2. 严格按照推荐剂量施用，避免重喷、漏喷、误喷。3. 大风天或预计1小时内降雨，请勿施药。尽量选择无风的天气施药，避免飘移药害。5. 严禁用于荠菜型、白菜型油菜田，避免药害。勿在低温及干旱等不良气候条件下施药，避免药害。6. 每季最多使用1次。</w:t>
            </w:r>
          </w:p>
        </w:tc>
      </w:tr>
      <w:tr w14:paraId="3B393573">
        <w:tblPrEx>
          <w:tblCellMar>
            <w:top w:w="0" w:type="dxa"/>
            <w:left w:w="0" w:type="dxa"/>
            <w:bottom w:w="0" w:type="dxa"/>
            <w:right w:w="0" w:type="dxa"/>
          </w:tblCellMar>
        </w:tblPrEx>
        <w:trPr>
          <w:wBefore w:w="0" w:type="auto"/>
          <w:tblCellSpacing w:w="0" w:type="dxa"/>
        </w:trPr>
        <w:tc>
          <w:tcPr>
            <w:tcW w:w="0" w:type="auto"/>
            <w:noWrap w:val="0"/>
            <w:vAlign w:val="center"/>
          </w:tcPr>
          <w:p w14:paraId="32D82D3E">
            <w:r>
              <w:rPr>
                <w:rStyle w:val="10"/>
                <w:rFonts w:hint="eastAsia"/>
              </w:rPr>
              <w:t>产品性能:</w:t>
            </w:r>
            <w:r>
              <w:rPr>
                <w:rFonts w:hint="eastAsia"/>
              </w:rPr>
              <w:br w:type="textWrapping"/>
            </w:r>
            <w:r>
              <w:rPr>
                <w:rStyle w:val="11"/>
                <w:rFonts w:hint="eastAsia"/>
              </w:rPr>
              <w:t>本品是油菜田三元除草剂,可有效防除油菜田牛繁缕、猪殃殃、碎米荠和播娘蒿等阔叶杂草</w:t>
            </w:r>
          </w:p>
        </w:tc>
      </w:tr>
      <w:tr w14:paraId="290609B7">
        <w:tblPrEx>
          <w:tblCellMar>
            <w:top w:w="0" w:type="dxa"/>
            <w:left w:w="0" w:type="dxa"/>
            <w:bottom w:w="0" w:type="dxa"/>
            <w:right w:w="0" w:type="dxa"/>
          </w:tblCellMar>
        </w:tblPrEx>
        <w:trPr>
          <w:wBefore w:w="0" w:type="auto"/>
          <w:tblCellSpacing w:w="0" w:type="dxa"/>
        </w:trPr>
        <w:tc>
          <w:tcPr>
            <w:tcW w:w="0" w:type="auto"/>
            <w:noWrap w:val="0"/>
            <w:vAlign w:val="center"/>
          </w:tcPr>
          <w:p w14:paraId="0027E845">
            <w:r>
              <w:rPr>
                <w:rStyle w:val="10"/>
                <w:rFonts w:hint="eastAsia"/>
              </w:rPr>
              <w:t>注意事项：</w:t>
            </w:r>
            <w:r>
              <w:rPr>
                <w:rFonts w:hint="eastAsia"/>
              </w:rPr>
              <w:br w:type="textWrapping"/>
            </w:r>
            <w:r>
              <w:rPr>
                <w:rStyle w:val="11"/>
                <w:rFonts w:hint="eastAsia"/>
              </w:rPr>
              <w:t>1. 使用时应先摇匀。2. 本品对眼睛有刺激性，使用时避免接触眼睛，穿戴长衣、长裤、帽子、口罩、手套等防护措施，避免吸入药液；施药期间不可吃东西、饮水等。施药后应及时洗手、洗脸等。3. 清洗施药器具的废水不能排入河流、池塘等水源。废弃物、用过的容器应妥善处理，不可做他用，也不可随意丢弃。4. 本品对鱼类等水生生物有毒，远离水产养殖区施药，禁止在河塘等水体清洗施药器械。5. 采用最外围桑树作为隔离带。6. 禁止老、弱、病、残、孕、小孩和哺乳期妇女接触和使用。7. 避免与具有氧化性物质接触或混合。</w:t>
            </w:r>
          </w:p>
        </w:tc>
      </w:tr>
      <w:tr w14:paraId="4A0DA598">
        <w:tblPrEx>
          <w:tblCellMar>
            <w:top w:w="0" w:type="dxa"/>
            <w:left w:w="0" w:type="dxa"/>
            <w:bottom w:w="0" w:type="dxa"/>
            <w:right w:w="0" w:type="dxa"/>
          </w:tblCellMar>
        </w:tblPrEx>
        <w:trPr>
          <w:wBefore w:w="0" w:type="auto"/>
          <w:tblCellSpacing w:w="0" w:type="dxa"/>
        </w:trPr>
        <w:tc>
          <w:tcPr>
            <w:tcW w:w="0" w:type="auto"/>
            <w:noWrap w:val="0"/>
            <w:vAlign w:val="center"/>
          </w:tcPr>
          <w:p w14:paraId="26DA4B55">
            <w:r>
              <w:rPr>
                <w:rStyle w:val="10"/>
                <w:rFonts w:hint="eastAsia"/>
              </w:rPr>
              <w:t>中毒急救措施：</w:t>
            </w:r>
            <w:r>
              <w:rPr>
                <w:rFonts w:hint="eastAsia"/>
              </w:rPr>
              <w:br w:type="textWrapping"/>
            </w:r>
            <w:r>
              <w:rPr>
                <w:rStyle w:val="11"/>
                <w:rFonts w:hint="eastAsia"/>
              </w:rPr>
              <w:t>1. 皮肤接触：立即脱掉污染的衣物，用肥皂和大量清水彻底清洗污染的皮肤。 2. 眼睛接触：立即分开眼睑，用清水冲洗眼至少15分钟，再请医生诊治。 3. 吸入：立即将患者转移到空气新鲜处，再请医生诊治。 4. 误服：立即携带标签，送医院就诊，对症治疗。 5. 本品无特效解毒剂，应对症治疗。</w:t>
            </w:r>
          </w:p>
        </w:tc>
      </w:tr>
      <w:tr w14:paraId="52468681">
        <w:tblPrEx>
          <w:tblCellMar>
            <w:top w:w="0" w:type="dxa"/>
            <w:left w:w="0" w:type="dxa"/>
            <w:bottom w:w="0" w:type="dxa"/>
            <w:right w:w="0" w:type="dxa"/>
          </w:tblCellMar>
        </w:tblPrEx>
        <w:trPr>
          <w:wBefore w:w="0" w:type="auto"/>
          <w:tblCellSpacing w:w="0" w:type="dxa"/>
        </w:trPr>
        <w:tc>
          <w:tcPr>
            <w:tcW w:w="0" w:type="auto"/>
            <w:noWrap w:val="0"/>
            <w:vAlign w:val="center"/>
          </w:tcPr>
          <w:p w14:paraId="2F2376C0">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w:t>
            </w:r>
          </w:p>
        </w:tc>
      </w:tr>
      <w:tr w14:paraId="13B88882">
        <w:tblPrEx>
          <w:tblCellMar>
            <w:top w:w="0" w:type="dxa"/>
            <w:left w:w="0" w:type="dxa"/>
            <w:bottom w:w="0" w:type="dxa"/>
            <w:right w:w="0" w:type="dxa"/>
          </w:tblCellMar>
        </w:tblPrEx>
        <w:trPr>
          <w:wBefore w:w="0" w:type="auto"/>
          <w:tblCellSpacing w:w="0" w:type="dxa"/>
        </w:trPr>
        <w:tc>
          <w:tcPr>
            <w:tcW w:w="0" w:type="auto"/>
            <w:noWrap w:val="0"/>
            <w:vAlign w:val="center"/>
          </w:tcPr>
          <w:p w14:paraId="1E62DA24">
            <w:r>
              <w:rPr>
                <w:rStyle w:val="10"/>
                <w:rFonts w:hint="eastAsia"/>
              </w:rPr>
              <w:t>质量保证期：</w:t>
            </w:r>
            <w:r>
              <w:rPr>
                <w:rStyle w:val="11"/>
                <w:rFonts w:hint="eastAsia"/>
              </w:rPr>
              <w:t>2年</w:t>
            </w:r>
          </w:p>
        </w:tc>
      </w:tr>
      <w:tr w14:paraId="1AF04EDA">
        <w:tblPrEx>
          <w:tblCellMar>
            <w:top w:w="0" w:type="dxa"/>
            <w:left w:w="0" w:type="dxa"/>
            <w:bottom w:w="0" w:type="dxa"/>
            <w:right w:w="0" w:type="dxa"/>
          </w:tblCellMar>
        </w:tblPrEx>
        <w:trPr>
          <w:wBefore w:w="0" w:type="auto"/>
          <w:tblCellSpacing w:w="0" w:type="dxa"/>
        </w:trPr>
        <w:tc>
          <w:tcPr>
            <w:tcW w:w="0" w:type="auto"/>
            <w:noWrap w:val="0"/>
            <w:vAlign w:val="center"/>
          </w:tcPr>
          <w:p w14:paraId="566AC0A5">
            <w:r>
              <w:rPr>
                <w:rStyle w:val="10"/>
                <w:rFonts w:hint="eastAsia"/>
              </w:rPr>
              <w:t>备注：</w:t>
            </w:r>
          </w:p>
        </w:tc>
      </w:tr>
    </w:tbl>
    <w:p w14:paraId="0DCCC45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8C012F">
        <w:tblPrEx>
          <w:tblCellMar>
            <w:top w:w="0" w:type="dxa"/>
            <w:left w:w="0" w:type="dxa"/>
            <w:bottom w:w="0" w:type="dxa"/>
            <w:right w:w="0" w:type="dxa"/>
          </w:tblCellMar>
        </w:tblPrEx>
        <w:trPr>
          <w:wBefore w:w="0" w:type="auto"/>
          <w:tblCellSpacing w:w="0" w:type="dxa"/>
        </w:trPr>
        <w:tc>
          <w:tcPr>
            <w:tcW w:w="0" w:type="auto"/>
            <w:noWrap w:val="0"/>
            <w:vAlign w:val="center"/>
          </w:tcPr>
          <w:p w14:paraId="7536672F">
            <w:r>
              <w:rPr>
                <w:rStyle w:val="10"/>
                <w:rFonts w:hint="eastAsia"/>
              </w:rPr>
              <w:t>登记证号：</w:t>
            </w:r>
            <w:r>
              <w:rPr>
                <w:rFonts w:hint="eastAsia"/>
              </w:rPr>
              <w:t>PD20212584</w:t>
            </w:r>
          </w:p>
        </w:tc>
      </w:tr>
      <w:tr w14:paraId="17272468">
        <w:tblPrEx>
          <w:tblCellMar>
            <w:top w:w="0" w:type="dxa"/>
            <w:left w:w="0" w:type="dxa"/>
            <w:bottom w:w="0" w:type="dxa"/>
            <w:right w:w="0" w:type="dxa"/>
          </w:tblCellMar>
        </w:tblPrEx>
        <w:trPr>
          <w:wBefore w:w="0" w:type="auto"/>
          <w:tblCellSpacing w:w="0" w:type="dxa"/>
        </w:trPr>
        <w:tc>
          <w:tcPr>
            <w:tcW w:w="0" w:type="auto"/>
            <w:noWrap w:val="0"/>
            <w:vAlign w:val="center"/>
          </w:tcPr>
          <w:p w14:paraId="74686ABE">
            <w:r>
              <w:rPr>
                <w:rStyle w:val="10"/>
                <w:rFonts w:hint="eastAsia"/>
              </w:rPr>
              <w:t>登记证持有人：</w:t>
            </w:r>
            <w:r>
              <w:rPr>
                <w:rFonts w:hint="eastAsia"/>
              </w:rPr>
              <w:t>山东奥坤作物科学股份有限公司</w:t>
            </w:r>
          </w:p>
        </w:tc>
      </w:tr>
      <w:tr w14:paraId="42CBB45B">
        <w:tblPrEx>
          <w:tblCellMar>
            <w:top w:w="0" w:type="dxa"/>
            <w:left w:w="0" w:type="dxa"/>
            <w:bottom w:w="0" w:type="dxa"/>
            <w:right w:w="0" w:type="dxa"/>
          </w:tblCellMar>
        </w:tblPrEx>
        <w:trPr>
          <w:wBefore w:w="0" w:type="auto"/>
          <w:tblCellSpacing w:w="0" w:type="dxa"/>
        </w:trPr>
        <w:tc>
          <w:tcPr>
            <w:tcW w:w="0" w:type="auto"/>
            <w:noWrap w:val="0"/>
            <w:vAlign w:val="center"/>
          </w:tcPr>
          <w:p w14:paraId="25554378">
            <w:r>
              <w:rPr>
                <w:rStyle w:val="10"/>
                <w:rFonts w:hint="eastAsia"/>
              </w:rPr>
              <w:t>农药名称：</w:t>
            </w:r>
            <w:r>
              <w:rPr>
                <w:rFonts w:hint="eastAsia"/>
              </w:rPr>
              <w:t>氯吡嘧·硝磺草·莠灭净</w:t>
            </w:r>
          </w:p>
        </w:tc>
      </w:tr>
      <w:tr w14:paraId="250ECA3D">
        <w:tblPrEx>
          <w:tblCellMar>
            <w:top w:w="0" w:type="dxa"/>
            <w:left w:w="0" w:type="dxa"/>
            <w:bottom w:w="0" w:type="dxa"/>
            <w:right w:w="0" w:type="dxa"/>
          </w:tblCellMar>
        </w:tblPrEx>
        <w:trPr>
          <w:wBefore w:w="0" w:type="auto"/>
          <w:tblCellSpacing w:w="0" w:type="dxa"/>
        </w:trPr>
        <w:tc>
          <w:tcPr>
            <w:tcW w:w="0" w:type="auto"/>
            <w:noWrap w:val="0"/>
            <w:vAlign w:val="center"/>
          </w:tcPr>
          <w:p w14:paraId="42AEDEE1">
            <w:r>
              <w:rPr>
                <w:rStyle w:val="10"/>
                <w:rFonts w:hint="eastAsia"/>
              </w:rPr>
              <w:t>剂型：</w:t>
            </w:r>
            <w:r>
              <w:rPr>
                <w:rFonts w:hint="eastAsia"/>
              </w:rPr>
              <w:t>可湿性粉剂</w:t>
            </w:r>
          </w:p>
        </w:tc>
      </w:tr>
      <w:tr w14:paraId="28822CA6">
        <w:tblPrEx>
          <w:tblCellMar>
            <w:top w:w="0" w:type="dxa"/>
            <w:left w:w="0" w:type="dxa"/>
            <w:bottom w:w="0" w:type="dxa"/>
            <w:right w:w="0" w:type="dxa"/>
          </w:tblCellMar>
        </w:tblPrEx>
        <w:trPr>
          <w:wBefore w:w="0" w:type="auto"/>
          <w:tblCellSpacing w:w="0" w:type="dxa"/>
        </w:trPr>
        <w:tc>
          <w:tcPr>
            <w:tcW w:w="0" w:type="auto"/>
            <w:noWrap w:val="0"/>
            <w:vAlign w:val="center"/>
          </w:tcPr>
          <w:p w14:paraId="4D702F62">
            <w:r>
              <w:rPr>
                <w:rStyle w:val="10"/>
                <w:rFonts w:hint="eastAsia"/>
              </w:rPr>
              <w:t>毒性及其标识：</w:t>
            </w:r>
            <w:r>
              <w:rPr>
                <w:rFonts w:hint="eastAsia"/>
              </w:rPr>
              <w:t xml:space="preserve"> </w:t>
            </w:r>
            <w:r>
              <w:rPr>
                <w:lang/>
              </w:rPr>
              <w:drawing>
                <wp:inline distT="0" distB="0" distL="114300" distR="114300">
                  <wp:extent cx="476250" cy="323850"/>
                  <wp:effectExtent l="0" t="0" r="0" b="0"/>
                  <wp:docPr id="239" name="图片 2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113CED">
        <w:tblPrEx>
          <w:tblCellMar>
            <w:top w:w="0" w:type="dxa"/>
            <w:left w:w="0" w:type="dxa"/>
            <w:bottom w:w="0" w:type="dxa"/>
            <w:right w:w="0" w:type="dxa"/>
          </w:tblCellMar>
        </w:tblPrEx>
        <w:trPr>
          <w:wBefore w:w="0" w:type="auto"/>
          <w:tblCellSpacing w:w="0" w:type="dxa"/>
        </w:trPr>
        <w:tc>
          <w:tcPr>
            <w:tcW w:w="0" w:type="auto"/>
            <w:noWrap w:val="0"/>
            <w:vAlign w:val="center"/>
          </w:tcPr>
          <w:p w14:paraId="1780B6DB">
            <w:r>
              <w:rPr>
                <w:rStyle w:val="10"/>
                <w:rFonts w:hint="eastAsia"/>
              </w:rPr>
              <w:t>总有效成分含量：</w:t>
            </w:r>
            <w:r>
              <w:rPr>
                <w:rFonts w:hint="eastAsia"/>
              </w:rPr>
              <w:t>81%</w:t>
            </w:r>
          </w:p>
        </w:tc>
      </w:tr>
      <w:tr w14:paraId="7001B740">
        <w:tblPrEx>
          <w:tblCellMar>
            <w:top w:w="0" w:type="dxa"/>
            <w:left w:w="0" w:type="dxa"/>
            <w:bottom w:w="0" w:type="dxa"/>
            <w:right w:w="0" w:type="dxa"/>
          </w:tblCellMar>
        </w:tblPrEx>
        <w:trPr>
          <w:wBefore w:w="0" w:type="auto"/>
          <w:tblCellSpacing w:w="0" w:type="dxa"/>
        </w:trPr>
        <w:tc>
          <w:tcPr>
            <w:tcW w:w="0" w:type="auto"/>
            <w:noWrap w:val="0"/>
            <w:vAlign w:val="center"/>
          </w:tcPr>
          <w:p w14:paraId="162F5A58">
            <w:r>
              <w:rPr>
                <w:rFonts w:hint="eastAsia"/>
              </w:rPr>
              <w:t xml:space="preserve">有效成分及其含量： </w:t>
            </w:r>
          </w:p>
          <w:p w14:paraId="2DE3665A">
            <w:r>
              <w:rPr>
                <w:rFonts w:hint="eastAsia"/>
              </w:rPr>
              <w:t xml:space="preserve">    硝磺草酮9%    莠灭净70%    氯吡嘧磺隆2%    </w:t>
            </w:r>
          </w:p>
        </w:tc>
      </w:tr>
      <w:tr w14:paraId="1D05232F">
        <w:tblPrEx>
          <w:tblCellMar>
            <w:top w:w="0" w:type="dxa"/>
            <w:left w:w="0" w:type="dxa"/>
            <w:bottom w:w="0" w:type="dxa"/>
            <w:right w:w="0" w:type="dxa"/>
          </w:tblCellMar>
        </w:tblPrEx>
        <w:trPr>
          <w:wBefore w:w="0" w:type="auto"/>
          <w:tblCellSpacing w:w="0" w:type="dxa"/>
        </w:trPr>
        <w:tc>
          <w:tcPr>
            <w:tcW w:w="0" w:type="auto"/>
            <w:noWrap w:val="0"/>
            <w:vAlign w:val="center"/>
          </w:tcPr>
          <w:p w14:paraId="35DB69C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CB60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30B65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2502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F618F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7F0E26">
                  <w:r>
                    <w:rPr>
                      <w:rStyle w:val="11"/>
                      <w:rFonts w:hint="eastAsia"/>
                    </w:rPr>
                    <w:t>施用方式</w:t>
                  </w:r>
                </w:p>
              </w:tc>
            </w:tr>
            <w:tr w14:paraId="17B5BB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25385D">
                  <w:r>
                    <w:rPr>
                      <w:rStyle w:val="11"/>
                      <w:rFonts w:hint="eastAsia"/>
                    </w:rPr>
                    <w:t>甘蔗田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7E22F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EC9039">
                  <w:r>
                    <w:rPr>
                      <w:rStyle w:val="11"/>
                      <w:rFonts w:hint="eastAsia"/>
                    </w:rPr>
                    <w:t>60-80克/亩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772A90">
                  <w:r>
                    <w:rPr>
                      <w:rStyle w:val="11"/>
                      <w:rFonts w:hint="eastAsia"/>
                    </w:rPr>
                    <w:t>定向茎叶喷雾</w:t>
                  </w:r>
                </w:p>
              </w:tc>
            </w:tr>
          </w:tbl>
          <w:p w14:paraId="0CF6F35E">
            <w:pPr>
              <w:rPr>
                <w:rFonts w:ascii="Times New Roman" w:hAnsi="Times New Roman" w:cs="Times New Roman"/>
                <w:sz w:val="20"/>
                <w:szCs w:val="20"/>
              </w:rPr>
            </w:pPr>
          </w:p>
        </w:tc>
      </w:tr>
      <w:tr w14:paraId="1B267AA2">
        <w:tblPrEx>
          <w:tblCellMar>
            <w:top w:w="0" w:type="dxa"/>
            <w:left w:w="0" w:type="dxa"/>
            <w:bottom w:w="0" w:type="dxa"/>
            <w:right w:w="0" w:type="dxa"/>
          </w:tblCellMar>
        </w:tblPrEx>
        <w:trPr>
          <w:wBefore w:w="0" w:type="auto"/>
          <w:tblCellSpacing w:w="0" w:type="dxa"/>
        </w:trPr>
        <w:tc>
          <w:tcPr>
            <w:tcW w:w="0" w:type="auto"/>
            <w:noWrap w:val="0"/>
            <w:vAlign w:val="center"/>
          </w:tcPr>
          <w:p w14:paraId="29E78F4F">
            <w:r>
              <w:rPr>
                <w:rStyle w:val="10"/>
                <w:rFonts w:hint="eastAsia"/>
              </w:rPr>
              <w:t>使用技术要求:</w:t>
            </w:r>
            <w:r>
              <w:rPr>
                <w:rFonts w:hint="eastAsia"/>
              </w:rPr>
              <w:br w:type="textWrapping"/>
            </w:r>
            <w:r>
              <w:rPr>
                <w:rStyle w:val="11"/>
                <w:rFonts w:hint="eastAsia"/>
              </w:rPr>
              <w:t>建议在甘蔗田杂草2-5叶期定向茎叶喷雾施药一次，每亩兑水20-30公斤。大风天或预计1小时内降雨，请勿施药。每季作物最多使用1次。</w:t>
            </w:r>
          </w:p>
        </w:tc>
      </w:tr>
      <w:tr w14:paraId="3C69A777">
        <w:tblPrEx>
          <w:tblCellMar>
            <w:top w:w="0" w:type="dxa"/>
            <w:left w:w="0" w:type="dxa"/>
            <w:bottom w:w="0" w:type="dxa"/>
            <w:right w:w="0" w:type="dxa"/>
          </w:tblCellMar>
        </w:tblPrEx>
        <w:trPr>
          <w:wBefore w:w="0" w:type="auto"/>
          <w:tblCellSpacing w:w="0" w:type="dxa"/>
        </w:trPr>
        <w:tc>
          <w:tcPr>
            <w:tcW w:w="0" w:type="auto"/>
            <w:noWrap w:val="0"/>
            <w:vAlign w:val="center"/>
          </w:tcPr>
          <w:p w14:paraId="3243AEE7">
            <w:r>
              <w:rPr>
                <w:rStyle w:val="10"/>
                <w:rFonts w:hint="eastAsia"/>
              </w:rPr>
              <w:t>产品性能:</w:t>
            </w:r>
            <w:r>
              <w:rPr>
                <w:rFonts w:hint="eastAsia"/>
              </w:rPr>
              <w:br w:type="textWrapping"/>
            </w:r>
            <w:r>
              <w:rPr>
                <w:rStyle w:val="11"/>
                <w:rFonts w:hint="eastAsia"/>
              </w:rPr>
              <w:t>本品是硝磺、莠灭净和氯吡嘧磺隆复配的除草剂。对甘蔗田一年生杂草有较好的防效。</w:t>
            </w:r>
          </w:p>
        </w:tc>
      </w:tr>
      <w:tr w14:paraId="11CAAF8C">
        <w:tblPrEx>
          <w:tblCellMar>
            <w:top w:w="0" w:type="dxa"/>
            <w:left w:w="0" w:type="dxa"/>
            <w:bottom w:w="0" w:type="dxa"/>
            <w:right w:w="0" w:type="dxa"/>
          </w:tblCellMar>
        </w:tblPrEx>
        <w:trPr>
          <w:wBefore w:w="0" w:type="auto"/>
          <w:tblCellSpacing w:w="0" w:type="dxa"/>
        </w:trPr>
        <w:tc>
          <w:tcPr>
            <w:tcW w:w="0" w:type="auto"/>
            <w:noWrap w:val="0"/>
            <w:vAlign w:val="center"/>
          </w:tcPr>
          <w:p w14:paraId="0F29496E">
            <w:r>
              <w:rPr>
                <w:rStyle w:val="10"/>
                <w:rFonts w:hint="eastAsia"/>
              </w:rPr>
              <w:t>注意事项：</w:t>
            </w:r>
            <w:r>
              <w:rPr>
                <w:rFonts w:hint="eastAsia"/>
              </w:rPr>
              <w:br w:type="textWrapping"/>
            </w:r>
            <w:r>
              <w:rPr>
                <w:rStyle w:val="11"/>
                <w:rFonts w:hint="eastAsia"/>
              </w:rPr>
              <w:t>1.使用本品应采取相应的安全防护措施，穿戴长衣、长裤、帽子、口罩、手套等防护措施，避免皮肤接触及口鼻吸入。使用中不可吸烟、饮水及吃东西，使用后及时清洗手、脸等暴露部位皮肤并更换衣物。 2.施药前、后要彻底清洗喷药器械，洗涤后的废水不能排入河流、池塘等水源。 3.废弃物妥善处理，不能随意丢弃，也不能做他用。 4.本品对藻类水生生物有毒；远离水产养殖区施药，禁止在河塘等水体中清洗施药器具。洗涤器具后的废水和未使用完得药液不应污染河流等水源，避免影响藻类和污染水源。 5.开启封口应小心药液溅出，废弃包装物应冲洗压扁后深埋或由生产企业回收处理。 6.避免孕妇及哺乳期的妇女接触本品。 7.严格按照推荐方法使用、操作和贮藏本品。桑园及蚕室附近禁用。 赤眼蜂等天敌放飞区域禁用。</w:t>
            </w:r>
          </w:p>
        </w:tc>
      </w:tr>
      <w:tr w14:paraId="1F26CC76">
        <w:tblPrEx>
          <w:tblCellMar>
            <w:top w:w="0" w:type="dxa"/>
            <w:left w:w="0" w:type="dxa"/>
            <w:bottom w:w="0" w:type="dxa"/>
            <w:right w:w="0" w:type="dxa"/>
          </w:tblCellMar>
        </w:tblPrEx>
        <w:trPr>
          <w:wBefore w:w="0" w:type="auto"/>
          <w:tblCellSpacing w:w="0" w:type="dxa"/>
        </w:trPr>
        <w:tc>
          <w:tcPr>
            <w:tcW w:w="0" w:type="auto"/>
            <w:noWrap w:val="0"/>
            <w:vAlign w:val="center"/>
          </w:tcPr>
          <w:p w14:paraId="61F00C1D">
            <w:r>
              <w:rPr>
                <w:rStyle w:val="10"/>
                <w:rFonts w:hint="eastAsia"/>
              </w:rPr>
              <w:t>中毒急救措施：</w:t>
            </w:r>
            <w:r>
              <w:rPr>
                <w:rFonts w:hint="eastAsia"/>
              </w:rPr>
              <w:br w:type="textWrapping"/>
            </w:r>
            <w:r>
              <w:rPr>
                <w:rStyle w:val="11"/>
                <w:rFonts w:hint="eastAsia"/>
              </w:rPr>
              <w:t>该产品对眼睛、皮肤有刺激性，使用时避免接触眼睛、皮肤。 急救措施：使用中或使用后如果感觉不适，应立即停止工作，采取急救措施，并携带标签送医院就诊。 1、皮肤接触：脱去污染的衣物，用软布去除沾染农药，立即用大量清水和肥皂冲洗； 2、眼睛接触：立即用流动的清水至少冲洗15分钟，仍有不适应立即就医； 3、吸入：立即离开施药现场，转移到空气清新处。 4、如误服，立即停止服用，用清水充分漱口后，立即携带标签到医院对症治疗。</w:t>
            </w:r>
          </w:p>
        </w:tc>
      </w:tr>
      <w:tr w14:paraId="214175BE">
        <w:tblPrEx>
          <w:tblCellMar>
            <w:top w:w="0" w:type="dxa"/>
            <w:left w:w="0" w:type="dxa"/>
            <w:bottom w:w="0" w:type="dxa"/>
            <w:right w:w="0" w:type="dxa"/>
          </w:tblCellMar>
        </w:tblPrEx>
        <w:trPr>
          <w:wBefore w:w="0" w:type="auto"/>
          <w:tblCellSpacing w:w="0" w:type="dxa"/>
        </w:trPr>
        <w:tc>
          <w:tcPr>
            <w:tcW w:w="0" w:type="auto"/>
            <w:noWrap w:val="0"/>
            <w:vAlign w:val="center"/>
          </w:tcPr>
          <w:p w14:paraId="54B5CE16">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371A9EBE">
        <w:tblPrEx>
          <w:tblCellMar>
            <w:top w:w="0" w:type="dxa"/>
            <w:left w:w="0" w:type="dxa"/>
            <w:bottom w:w="0" w:type="dxa"/>
            <w:right w:w="0" w:type="dxa"/>
          </w:tblCellMar>
        </w:tblPrEx>
        <w:trPr>
          <w:wBefore w:w="0" w:type="auto"/>
          <w:tblCellSpacing w:w="0" w:type="dxa"/>
        </w:trPr>
        <w:tc>
          <w:tcPr>
            <w:tcW w:w="0" w:type="auto"/>
            <w:noWrap w:val="0"/>
            <w:vAlign w:val="center"/>
          </w:tcPr>
          <w:p w14:paraId="47831D74">
            <w:r>
              <w:rPr>
                <w:rStyle w:val="10"/>
                <w:rFonts w:hint="eastAsia"/>
              </w:rPr>
              <w:t>质量保证期：</w:t>
            </w:r>
            <w:r>
              <w:rPr>
                <w:rStyle w:val="11"/>
                <w:rFonts w:hint="eastAsia"/>
              </w:rPr>
              <w:t>2年</w:t>
            </w:r>
          </w:p>
        </w:tc>
      </w:tr>
      <w:tr w14:paraId="74D0642A">
        <w:tblPrEx>
          <w:tblCellMar>
            <w:top w:w="0" w:type="dxa"/>
            <w:left w:w="0" w:type="dxa"/>
            <w:bottom w:w="0" w:type="dxa"/>
            <w:right w:w="0" w:type="dxa"/>
          </w:tblCellMar>
        </w:tblPrEx>
        <w:trPr>
          <w:wBefore w:w="0" w:type="auto"/>
          <w:tblCellSpacing w:w="0" w:type="dxa"/>
        </w:trPr>
        <w:tc>
          <w:tcPr>
            <w:tcW w:w="0" w:type="auto"/>
            <w:noWrap w:val="0"/>
            <w:vAlign w:val="center"/>
          </w:tcPr>
          <w:p w14:paraId="7FDFDDA7">
            <w:r>
              <w:rPr>
                <w:rStyle w:val="10"/>
                <w:rFonts w:hint="eastAsia"/>
              </w:rPr>
              <w:t>备注：</w:t>
            </w:r>
          </w:p>
        </w:tc>
      </w:tr>
    </w:tbl>
    <w:p w14:paraId="21C9217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5D1DAB">
        <w:tblPrEx>
          <w:tblCellMar>
            <w:top w:w="0" w:type="dxa"/>
            <w:left w:w="0" w:type="dxa"/>
            <w:bottom w:w="0" w:type="dxa"/>
            <w:right w:w="0" w:type="dxa"/>
          </w:tblCellMar>
        </w:tblPrEx>
        <w:trPr>
          <w:wBefore w:w="0" w:type="auto"/>
          <w:tblCellSpacing w:w="0" w:type="dxa"/>
        </w:trPr>
        <w:tc>
          <w:tcPr>
            <w:tcW w:w="0" w:type="auto"/>
            <w:noWrap w:val="0"/>
            <w:vAlign w:val="center"/>
          </w:tcPr>
          <w:p w14:paraId="0D2DA920">
            <w:r>
              <w:rPr>
                <w:rStyle w:val="10"/>
                <w:rFonts w:hint="eastAsia"/>
              </w:rPr>
              <w:t>登记证号：</w:t>
            </w:r>
            <w:r>
              <w:rPr>
                <w:rFonts w:hint="eastAsia"/>
              </w:rPr>
              <w:t>WP20210377</w:t>
            </w:r>
          </w:p>
        </w:tc>
      </w:tr>
      <w:tr w14:paraId="770925AB">
        <w:tblPrEx>
          <w:tblCellMar>
            <w:top w:w="0" w:type="dxa"/>
            <w:left w:w="0" w:type="dxa"/>
            <w:bottom w:w="0" w:type="dxa"/>
            <w:right w:w="0" w:type="dxa"/>
          </w:tblCellMar>
        </w:tblPrEx>
        <w:trPr>
          <w:wBefore w:w="0" w:type="auto"/>
          <w:tblCellSpacing w:w="0" w:type="dxa"/>
        </w:trPr>
        <w:tc>
          <w:tcPr>
            <w:tcW w:w="0" w:type="auto"/>
            <w:noWrap w:val="0"/>
            <w:vAlign w:val="center"/>
          </w:tcPr>
          <w:p w14:paraId="7C1F5500">
            <w:r>
              <w:rPr>
                <w:rStyle w:val="10"/>
                <w:rFonts w:hint="eastAsia"/>
              </w:rPr>
              <w:t>登记证持有人：</w:t>
            </w:r>
            <w:r>
              <w:rPr>
                <w:rFonts w:hint="eastAsia"/>
              </w:rPr>
              <w:t>浙江世佳科技股份有限公司</w:t>
            </w:r>
          </w:p>
        </w:tc>
      </w:tr>
      <w:tr w14:paraId="0016682D">
        <w:tblPrEx>
          <w:tblCellMar>
            <w:top w:w="0" w:type="dxa"/>
            <w:left w:w="0" w:type="dxa"/>
            <w:bottom w:w="0" w:type="dxa"/>
            <w:right w:w="0" w:type="dxa"/>
          </w:tblCellMar>
        </w:tblPrEx>
        <w:trPr>
          <w:wBefore w:w="0" w:type="auto"/>
          <w:tblCellSpacing w:w="0" w:type="dxa"/>
        </w:trPr>
        <w:tc>
          <w:tcPr>
            <w:tcW w:w="0" w:type="auto"/>
            <w:noWrap w:val="0"/>
            <w:vAlign w:val="center"/>
          </w:tcPr>
          <w:p w14:paraId="0EFED8AE">
            <w:r>
              <w:rPr>
                <w:rStyle w:val="10"/>
                <w:rFonts w:hint="eastAsia"/>
              </w:rPr>
              <w:t>农药名称：</w:t>
            </w:r>
            <w:r>
              <w:rPr>
                <w:rFonts w:hint="eastAsia"/>
              </w:rPr>
              <w:t>联苯·呋虫胺</w:t>
            </w:r>
          </w:p>
        </w:tc>
      </w:tr>
      <w:tr w14:paraId="4752065B">
        <w:tblPrEx>
          <w:tblCellMar>
            <w:top w:w="0" w:type="dxa"/>
            <w:left w:w="0" w:type="dxa"/>
            <w:bottom w:w="0" w:type="dxa"/>
            <w:right w:w="0" w:type="dxa"/>
          </w:tblCellMar>
        </w:tblPrEx>
        <w:trPr>
          <w:wBefore w:w="0" w:type="auto"/>
          <w:tblCellSpacing w:w="0" w:type="dxa"/>
        </w:trPr>
        <w:tc>
          <w:tcPr>
            <w:tcW w:w="0" w:type="auto"/>
            <w:noWrap w:val="0"/>
            <w:vAlign w:val="center"/>
          </w:tcPr>
          <w:p w14:paraId="44196B3F">
            <w:r>
              <w:rPr>
                <w:rStyle w:val="10"/>
                <w:rFonts w:hint="eastAsia"/>
              </w:rPr>
              <w:t>剂型：</w:t>
            </w:r>
            <w:r>
              <w:rPr>
                <w:rFonts w:hint="eastAsia"/>
              </w:rPr>
              <w:t>悬浮剂</w:t>
            </w:r>
          </w:p>
        </w:tc>
      </w:tr>
      <w:tr w14:paraId="134534EA">
        <w:tblPrEx>
          <w:tblCellMar>
            <w:top w:w="0" w:type="dxa"/>
            <w:left w:w="0" w:type="dxa"/>
            <w:bottom w:w="0" w:type="dxa"/>
            <w:right w:w="0" w:type="dxa"/>
          </w:tblCellMar>
        </w:tblPrEx>
        <w:trPr>
          <w:wBefore w:w="0" w:type="auto"/>
          <w:tblCellSpacing w:w="0" w:type="dxa"/>
        </w:trPr>
        <w:tc>
          <w:tcPr>
            <w:tcW w:w="0" w:type="auto"/>
            <w:noWrap w:val="0"/>
            <w:vAlign w:val="center"/>
          </w:tcPr>
          <w:p w14:paraId="638517E2">
            <w:r>
              <w:rPr>
                <w:rStyle w:val="10"/>
                <w:rFonts w:hint="eastAsia"/>
              </w:rPr>
              <w:t>毒性及其标识：</w:t>
            </w:r>
            <w:r>
              <w:rPr>
                <w:rFonts w:hint="eastAsia"/>
              </w:rPr>
              <w:t xml:space="preserve"> </w:t>
            </w:r>
            <w:r>
              <w:rPr>
                <w:lang/>
              </w:rPr>
              <w:drawing>
                <wp:inline distT="0" distB="0" distL="114300" distR="114300">
                  <wp:extent cx="476250" cy="323850"/>
                  <wp:effectExtent l="0" t="0" r="0" b="0"/>
                  <wp:docPr id="240" name="图片 2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3EC78FE">
        <w:tblPrEx>
          <w:tblCellMar>
            <w:top w:w="0" w:type="dxa"/>
            <w:left w:w="0" w:type="dxa"/>
            <w:bottom w:w="0" w:type="dxa"/>
            <w:right w:w="0" w:type="dxa"/>
          </w:tblCellMar>
        </w:tblPrEx>
        <w:trPr>
          <w:wBefore w:w="0" w:type="auto"/>
          <w:tblCellSpacing w:w="0" w:type="dxa"/>
        </w:trPr>
        <w:tc>
          <w:tcPr>
            <w:tcW w:w="0" w:type="auto"/>
            <w:noWrap w:val="0"/>
            <w:vAlign w:val="center"/>
          </w:tcPr>
          <w:p w14:paraId="4562A06F">
            <w:r>
              <w:rPr>
                <w:rStyle w:val="10"/>
                <w:rFonts w:hint="eastAsia"/>
              </w:rPr>
              <w:t>总有效成分含量：</w:t>
            </w:r>
            <w:r>
              <w:rPr>
                <w:rFonts w:hint="eastAsia"/>
              </w:rPr>
              <w:t>30%</w:t>
            </w:r>
          </w:p>
        </w:tc>
      </w:tr>
      <w:tr w14:paraId="155A3AF4">
        <w:tblPrEx>
          <w:tblCellMar>
            <w:top w:w="0" w:type="dxa"/>
            <w:left w:w="0" w:type="dxa"/>
            <w:bottom w:w="0" w:type="dxa"/>
            <w:right w:w="0" w:type="dxa"/>
          </w:tblCellMar>
        </w:tblPrEx>
        <w:trPr>
          <w:wBefore w:w="0" w:type="auto"/>
          <w:tblCellSpacing w:w="0" w:type="dxa"/>
        </w:trPr>
        <w:tc>
          <w:tcPr>
            <w:tcW w:w="0" w:type="auto"/>
            <w:noWrap w:val="0"/>
            <w:vAlign w:val="center"/>
          </w:tcPr>
          <w:p w14:paraId="7E29731C">
            <w:r>
              <w:rPr>
                <w:rFonts w:hint="eastAsia"/>
              </w:rPr>
              <w:t xml:space="preserve">有效成分及其含量： </w:t>
            </w:r>
          </w:p>
          <w:p w14:paraId="3C5ACE92">
            <w:r>
              <w:rPr>
                <w:rFonts w:hint="eastAsia"/>
              </w:rPr>
              <w:t xml:space="preserve">    呋虫胺12%    联苯菊酯18%    </w:t>
            </w:r>
          </w:p>
        </w:tc>
      </w:tr>
      <w:tr w14:paraId="4F1BFEB2">
        <w:tblPrEx>
          <w:tblCellMar>
            <w:top w:w="0" w:type="dxa"/>
            <w:left w:w="0" w:type="dxa"/>
            <w:bottom w:w="0" w:type="dxa"/>
            <w:right w:w="0" w:type="dxa"/>
          </w:tblCellMar>
        </w:tblPrEx>
        <w:trPr>
          <w:wBefore w:w="0" w:type="auto"/>
          <w:tblCellSpacing w:w="0" w:type="dxa"/>
        </w:trPr>
        <w:tc>
          <w:tcPr>
            <w:tcW w:w="0" w:type="auto"/>
            <w:noWrap w:val="0"/>
            <w:vAlign w:val="center"/>
          </w:tcPr>
          <w:p w14:paraId="133FBD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9E20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D6D9D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8E93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A966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9C1B8B">
                  <w:r>
                    <w:rPr>
                      <w:rStyle w:val="11"/>
                      <w:rFonts w:hint="eastAsia"/>
                    </w:rPr>
                    <w:t>施用方式</w:t>
                  </w:r>
                </w:p>
              </w:tc>
            </w:tr>
            <w:tr w14:paraId="548798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36933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F1BBF8">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72787D">
                  <w:r>
                    <w:rPr>
                      <w:rStyle w:val="11"/>
                      <w:rFonts w:hint="eastAsia"/>
                    </w:rPr>
                    <w:t>0.3毫升/立方米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CC1282">
                  <w:r>
                    <w:rPr>
                      <w:rStyle w:val="11"/>
                      <w:rFonts w:hint="eastAsia"/>
                    </w:rPr>
                    <w:t>空间喷雾</w:t>
                  </w:r>
                </w:p>
              </w:tc>
            </w:tr>
          </w:tbl>
          <w:p w14:paraId="2737D759">
            <w:pPr>
              <w:rPr>
                <w:rFonts w:ascii="Times New Roman" w:hAnsi="Times New Roman" w:cs="Times New Roman"/>
                <w:sz w:val="20"/>
                <w:szCs w:val="20"/>
              </w:rPr>
            </w:pPr>
          </w:p>
        </w:tc>
      </w:tr>
      <w:tr w14:paraId="50532149">
        <w:tblPrEx>
          <w:tblCellMar>
            <w:top w:w="0" w:type="dxa"/>
            <w:left w:w="0" w:type="dxa"/>
            <w:bottom w:w="0" w:type="dxa"/>
            <w:right w:w="0" w:type="dxa"/>
          </w:tblCellMar>
        </w:tblPrEx>
        <w:trPr>
          <w:wBefore w:w="0" w:type="auto"/>
          <w:tblCellSpacing w:w="0" w:type="dxa"/>
        </w:trPr>
        <w:tc>
          <w:tcPr>
            <w:tcW w:w="0" w:type="auto"/>
            <w:noWrap w:val="0"/>
            <w:vAlign w:val="center"/>
          </w:tcPr>
          <w:p w14:paraId="2764D6D5">
            <w:r>
              <w:rPr>
                <w:rStyle w:val="10"/>
                <w:rFonts w:hint="eastAsia"/>
              </w:rPr>
              <w:t>使用技术要求:</w:t>
            </w:r>
            <w:r>
              <w:rPr>
                <w:rFonts w:hint="eastAsia"/>
              </w:rPr>
              <w:br w:type="textWrapping"/>
            </w:r>
            <w:r>
              <w:rPr>
                <w:rStyle w:val="11"/>
                <w:rFonts w:hint="eastAsia"/>
              </w:rPr>
              <w:t>将本品按照1:20倍兑水稀释，使用喷洒器械对需处理区域进行喷洒，每立方米喷洒稀释药液20-30毫升。喷药后关闭门窗，人畜立即离开，再次进入前必须充分通风。</w:t>
            </w:r>
          </w:p>
        </w:tc>
      </w:tr>
      <w:tr w14:paraId="3D681D28">
        <w:tblPrEx>
          <w:tblCellMar>
            <w:top w:w="0" w:type="dxa"/>
            <w:left w:w="0" w:type="dxa"/>
            <w:bottom w:w="0" w:type="dxa"/>
            <w:right w:w="0" w:type="dxa"/>
          </w:tblCellMar>
        </w:tblPrEx>
        <w:trPr>
          <w:wBefore w:w="0" w:type="auto"/>
          <w:tblCellSpacing w:w="0" w:type="dxa"/>
        </w:trPr>
        <w:tc>
          <w:tcPr>
            <w:tcW w:w="0" w:type="auto"/>
            <w:noWrap w:val="0"/>
            <w:vAlign w:val="center"/>
          </w:tcPr>
          <w:p w14:paraId="667651EC">
            <w:r>
              <w:rPr>
                <w:rStyle w:val="10"/>
                <w:rFonts w:hint="eastAsia"/>
              </w:rPr>
              <w:t>产品性能:</w:t>
            </w:r>
            <w:r>
              <w:rPr>
                <w:rFonts w:hint="eastAsia"/>
              </w:rPr>
              <w:br w:type="textWrapping"/>
            </w:r>
            <w:r>
              <w:rPr>
                <w:rStyle w:val="11"/>
                <w:rFonts w:hint="eastAsia"/>
              </w:rPr>
              <w:t>本品为联苯菊酯和呋虫胺复配而成的制剂。联苯菊酯为拟除虫菊酯类杀虫剂，呋虫胺为第三代烟碱类杀虫剂，本品兼具触杀、胃毒和昆虫神经系统干扰作用。本品能有效杀灭蝇类卫生害虫，适用于酒店、写字楼、医院、学校、食品厂、餐馆等室内场所。</w:t>
            </w:r>
          </w:p>
        </w:tc>
      </w:tr>
      <w:tr w14:paraId="3F49B0A0">
        <w:tblPrEx>
          <w:tblCellMar>
            <w:top w:w="0" w:type="dxa"/>
            <w:left w:w="0" w:type="dxa"/>
            <w:bottom w:w="0" w:type="dxa"/>
            <w:right w:w="0" w:type="dxa"/>
          </w:tblCellMar>
        </w:tblPrEx>
        <w:trPr>
          <w:wBefore w:w="0" w:type="auto"/>
          <w:tblCellSpacing w:w="0" w:type="dxa"/>
        </w:trPr>
        <w:tc>
          <w:tcPr>
            <w:tcW w:w="0" w:type="auto"/>
            <w:noWrap w:val="0"/>
            <w:vAlign w:val="center"/>
          </w:tcPr>
          <w:p w14:paraId="7F6509DD">
            <w:r>
              <w:rPr>
                <w:rStyle w:val="10"/>
                <w:rFonts w:hint="eastAsia"/>
              </w:rPr>
              <w:t>注意事项：</w:t>
            </w:r>
            <w:r>
              <w:rPr>
                <w:rFonts w:hint="eastAsia"/>
              </w:rPr>
              <w:br w:type="textWrapping"/>
            </w:r>
            <w:r>
              <w:rPr>
                <w:rStyle w:val="11"/>
                <w:rFonts w:hint="eastAsia"/>
              </w:rPr>
              <w:t>1. 本品仅限室内使用，请按照农药安全使用准则使用本品。避免药液接触皮肤、眼睛和污染衣物，避免吸入雾滴。切勿在施药现场抽烟或饮食等。在施药区域施药时，请无关人员及宠物远离。2.配药和施药时，穿戴长衣、长裤、帽子、口罩、手套等防护措施。3.施药后，彻底清洗防护用具，洗澡并更换和清洗工作服。切勿向人体、食物、饲料等使用。4. 使用本品时，应避免接触食品、食品用具或食品加工及存放处的表面。切勿喷洒在食品加工及供应台面。5.勿将药液或空包装弃于水中或在河塘、湖泊等水域中洗涤喷雾器械，避免影响鱼类等水生生物和污染水源。蚕室及其附近禁用。6. 用过的容器应妥善处理，不可做他用，也不可随意丢弃。7.避免孕妇及哺乳期的妇女接触。过敏者禁用；使用中有任何不良反应请及时就医。8. 避免与氧化剂接触。</w:t>
            </w:r>
          </w:p>
        </w:tc>
      </w:tr>
      <w:tr w14:paraId="609E1921">
        <w:tblPrEx>
          <w:tblCellMar>
            <w:top w:w="0" w:type="dxa"/>
            <w:left w:w="0" w:type="dxa"/>
            <w:bottom w:w="0" w:type="dxa"/>
            <w:right w:w="0" w:type="dxa"/>
          </w:tblCellMar>
        </w:tblPrEx>
        <w:trPr>
          <w:wBefore w:w="0" w:type="auto"/>
          <w:tblCellSpacing w:w="0" w:type="dxa"/>
        </w:trPr>
        <w:tc>
          <w:tcPr>
            <w:tcW w:w="0" w:type="auto"/>
            <w:noWrap w:val="0"/>
            <w:vAlign w:val="center"/>
          </w:tcPr>
          <w:p w14:paraId="7D9D115C">
            <w:r>
              <w:rPr>
                <w:rStyle w:val="10"/>
                <w:rFonts w:hint="eastAsia"/>
              </w:rPr>
              <w:t>中毒急救措施：</w:t>
            </w:r>
            <w:r>
              <w:rPr>
                <w:rFonts w:hint="eastAsia"/>
              </w:rPr>
              <w:br w:type="textWrapping"/>
            </w:r>
            <w:r>
              <w:rPr>
                <w:rStyle w:val="11"/>
                <w:rFonts w:hint="eastAsia"/>
              </w:rPr>
              <w:t>中毒症状：一旦发生中毒，请对症治疗。 中毒急救： 1.用药时如果感觉不适，立即停止工作，采取急救措施，并携此标签送医就诊。 2.皮肤接触：立即脱掉被污染的衣物，用大量清水冲洗被污染的皮肤,如皮肤刺激感持续，请医生诊治。再次使用前需清洗被污染的衣物。 3.眼睛溅药：立即将眼睑翻开，用大量清水冲洗至少15分钟。4.发生吸入：立即将患者转移到空气新鲜处。如果呼吸不正常或停止，实施人工呼吸。注意患者保暖和休息。立即呼叫医生或毒物控制中心。 5.误服：如果误服，立即联系医生，并出示此容器或标签。请勿引吐。</w:t>
            </w:r>
          </w:p>
        </w:tc>
      </w:tr>
      <w:tr w14:paraId="288DFD9D">
        <w:tblPrEx>
          <w:tblCellMar>
            <w:top w:w="0" w:type="dxa"/>
            <w:left w:w="0" w:type="dxa"/>
            <w:bottom w:w="0" w:type="dxa"/>
            <w:right w:w="0" w:type="dxa"/>
          </w:tblCellMar>
        </w:tblPrEx>
        <w:trPr>
          <w:wBefore w:w="0" w:type="auto"/>
          <w:tblCellSpacing w:w="0" w:type="dxa"/>
        </w:trPr>
        <w:tc>
          <w:tcPr>
            <w:tcW w:w="0" w:type="auto"/>
            <w:noWrap w:val="0"/>
            <w:vAlign w:val="center"/>
          </w:tcPr>
          <w:p w14:paraId="12856E34">
            <w:r>
              <w:rPr>
                <w:rStyle w:val="10"/>
                <w:rFonts w:hint="eastAsia"/>
              </w:rPr>
              <w:t>储存和运输方法：</w:t>
            </w:r>
            <w:r>
              <w:rPr>
                <w:rFonts w:hint="eastAsia"/>
              </w:rPr>
              <w:br w:type="textWrapping"/>
            </w:r>
            <w:r>
              <w:rPr>
                <w:rStyle w:val="11"/>
                <w:rFonts w:hint="eastAsia"/>
              </w:rPr>
              <w:t>1. 本品应加锁保存，勿让儿童、无关人员和动物接触。勿与食物、饮料、粮食和动物饲料在一起存放或运输。 2. 本品应贮藏在避光、干燥、通风处。运输时应注意避光、防高温、雨淋。 3. 贮藏温度应避免低于-10℃或高于35℃。 4. 产品码放高度不宜超过2米，以免损坏包装。</w:t>
            </w:r>
          </w:p>
        </w:tc>
      </w:tr>
      <w:tr w14:paraId="2B97612C">
        <w:tblPrEx>
          <w:tblCellMar>
            <w:top w:w="0" w:type="dxa"/>
            <w:left w:w="0" w:type="dxa"/>
            <w:bottom w:w="0" w:type="dxa"/>
            <w:right w:w="0" w:type="dxa"/>
          </w:tblCellMar>
        </w:tblPrEx>
        <w:trPr>
          <w:wBefore w:w="0" w:type="auto"/>
          <w:tblCellSpacing w:w="0" w:type="dxa"/>
        </w:trPr>
        <w:tc>
          <w:tcPr>
            <w:tcW w:w="0" w:type="auto"/>
            <w:noWrap w:val="0"/>
            <w:vAlign w:val="center"/>
          </w:tcPr>
          <w:p w14:paraId="1591A3D6">
            <w:r>
              <w:rPr>
                <w:rStyle w:val="10"/>
                <w:rFonts w:hint="eastAsia"/>
              </w:rPr>
              <w:t>质量保证期：</w:t>
            </w:r>
            <w:r>
              <w:rPr>
                <w:rStyle w:val="11"/>
                <w:rFonts w:hint="eastAsia"/>
              </w:rPr>
              <w:t>2年</w:t>
            </w:r>
          </w:p>
        </w:tc>
      </w:tr>
      <w:tr w14:paraId="64A5840D">
        <w:tblPrEx>
          <w:tblCellMar>
            <w:top w:w="0" w:type="dxa"/>
            <w:left w:w="0" w:type="dxa"/>
            <w:bottom w:w="0" w:type="dxa"/>
            <w:right w:w="0" w:type="dxa"/>
          </w:tblCellMar>
        </w:tblPrEx>
        <w:trPr>
          <w:wBefore w:w="0" w:type="auto"/>
          <w:tblCellSpacing w:w="0" w:type="dxa"/>
        </w:trPr>
        <w:tc>
          <w:tcPr>
            <w:tcW w:w="0" w:type="auto"/>
            <w:noWrap w:val="0"/>
            <w:vAlign w:val="center"/>
          </w:tcPr>
          <w:p w14:paraId="592585D7">
            <w:r>
              <w:rPr>
                <w:rStyle w:val="10"/>
                <w:rFonts w:hint="eastAsia"/>
              </w:rPr>
              <w:t>备注：</w:t>
            </w:r>
          </w:p>
        </w:tc>
      </w:tr>
    </w:tbl>
    <w:p w14:paraId="69BD6EA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1ADA97">
        <w:tblPrEx>
          <w:tblCellMar>
            <w:top w:w="0" w:type="dxa"/>
            <w:left w:w="0" w:type="dxa"/>
            <w:bottom w:w="0" w:type="dxa"/>
            <w:right w:w="0" w:type="dxa"/>
          </w:tblCellMar>
        </w:tblPrEx>
        <w:trPr>
          <w:wBefore w:w="0" w:type="auto"/>
          <w:tblCellSpacing w:w="0" w:type="dxa"/>
        </w:trPr>
        <w:tc>
          <w:tcPr>
            <w:tcW w:w="0" w:type="auto"/>
            <w:noWrap w:val="0"/>
            <w:vAlign w:val="center"/>
          </w:tcPr>
          <w:p w14:paraId="355E8BD8">
            <w:r>
              <w:rPr>
                <w:rStyle w:val="10"/>
                <w:rFonts w:hint="eastAsia"/>
              </w:rPr>
              <w:t>登记证号：</w:t>
            </w:r>
            <w:r>
              <w:rPr>
                <w:rFonts w:hint="eastAsia"/>
              </w:rPr>
              <w:t>PD20212689</w:t>
            </w:r>
          </w:p>
        </w:tc>
      </w:tr>
      <w:tr w14:paraId="27F55ADB">
        <w:tblPrEx>
          <w:tblCellMar>
            <w:top w:w="0" w:type="dxa"/>
            <w:left w:w="0" w:type="dxa"/>
            <w:bottom w:w="0" w:type="dxa"/>
            <w:right w:w="0" w:type="dxa"/>
          </w:tblCellMar>
        </w:tblPrEx>
        <w:trPr>
          <w:wBefore w:w="0" w:type="auto"/>
          <w:tblCellSpacing w:w="0" w:type="dxa"/>
        </w:trPr>
        <w:tc>
          <w:tcPr>
            <w:tcW w:w="0" w:type="auto"/>
            <w:noWrap w:val="0"/>
            <w:vAlign w:val="center"/>
          </w:tcPr>
          <w:p w14:paraId="6B85C117">
            <w:r>
              <w:rPr>
                <w:rStyle w:val="10"/>
                <w:rFonts w:hint="eastAsia"/>
              </w:rPr>
              <w:t>登记证持有人：</w:t>
            </w:r>
            <w:r>
              <w:rPr>
                <w:rFonts w:hint="eastAsia"/>
              </w:rPr>
              <w:t>上海悦联化工有限公司</w:t>
            </w:r>
          </w:p>
        </w:tc>
      </w:tr>
      <w:tr w14:paraId="4E9E2B64">
        <w:tblPrEx>
          <w:tblCellMar>
            <w:top w:w="0" w:type="dxa"/>
            <w:left w:w="0" w:type="dxa"/>
            <w:bottom w:w="0" w:type="dxa"/>
            <w:right w:w="0" w:type="dxa"/>
          </w:tblCellMar>
        </w:tblPrEx>
        <w:trPr>
          <w:wBefore w:w="0" w:type="auto"/>
          <w:tblCellSpacing w:w="0" w:type="dxa"/>
        </w:trPr>
        <w:tc>
          <w:tcPr>
            <w:tcW w:w="0" w:type="auto"/>
            <w:noWrap w:val="0"/>
            <w:vAlign w:val="center"/>
          </w:tcPr>
          <w:p w14:paraId="325BEE5D">
            <w:r>
              <w:rPr>
                <w:rStyle w:val="10"/>
                <w:rFonts w:hint="eastAsia"/>
              </w:rPr>
              <w:t>农药名称：</w:t>
            </w:r>
            <w:r>
              <w:rPr>
                <w:rFonts w:hint="eastAsia"/>
              </w:rPr>
              <w:t>稻瘟灵·稻瘟酰胺</w:t>
            </w:r>
          </w:p>
        </w:tc>
      </w:tr>
      <w:tr w14:paraId="412049BE">
        <w:tblPrEx>
          <w:tblCellMar>
            <w:top w:w="0" w:type="dxa"/>
            <w:left w:w="0" w:type="dxa"/>
            <w:bottom w:w="0" w:type="dxa"/>
            <w:right w:w="0" w:type="dxa"/>
          </w:tblCellMar>
        </w:tblPrEx>
        <w:trPr>
          <w:wBefore w:w="0" w:type="auto"/>
          <w:tblCellSpacing w:w="0" w:type="dxa"/>
        </w:trPr>
        <w:tc>
          <w:tcPr>
            <w:tcW w:w="0" w:type="auto"/>
            <w:noWrap w:val="0"/>
            <w:vAlign w:val="center"/>
          </w:tcPr>
          <w:p w14:paraId="68D193E4">
            <w:r>
              <w:rPr>
                <w:rStyle w:val="10"/>
                <w:rFonts w:hint="eastAsia"/>
              </w:rPr>
              <w:t>剂型：</w:t>
            </w:r>
            <w:r>
              <w:rPr>
                <w:rFonts w:hint="eastAsia"/>
              </w:rPr>
              <w:t>乳油</w:t>
            </w:r>
          </w:p>
        </w:tc>
      </w:tr>
      <w:tr w14:paraId="2231B43C">
        <w:tblPrEx>
          <w:tblCellMar>
            <w:top w:w="0" w:type="dxa"/>
            <w:left w:w="0" w:type="dxa"/>
            <w:bottom w:w="0" w:type="dxa"/>
            <w:right w:w="0" w:type="dxa"/>
          </w:tblCellMar>
        </w:tblPrEx>
        <w:trPr>
          <w:wBefore w:w="0" w:type="auto"/>
          <w:tblCellSpacing w:w="0" w:type="dxa"/>
        </w:trPr>
        <w:tc>
          <w:tcPr>
            <w:tcW w:w="0" w:type="auto"/>
            <w:noWrap w:val="0"/>
            <w:vAlign w:val="center"/>
          </w:tcPr>
          <w:p w14:paraId="45460BC3">
            <w:r>
              <w:rPr>
                <w:rStyle w:val="10"/>
                <w:rFonts w:hint="eastAsia"/>
              </w:rPr>
              <w:t>毒性及其标识：</w:t>
            </w:r>
            <w:r>
              <w:rPr>
                <w:rFonts w:hint="eastAsia"/>
              </w:rPr>
              <w:t xml:space="preserve"> </w:t>
            </w:r>
            <w:r>
              <w:rPr>
                <w:lang/>
              </w:rPr>
              <w:drawing>
                <wp:inline distT="0" distB="0" distL="114300" distR="114300">
                  <wp:extent cx="476250" cy="323850"/>
                  <wp:effectExtent l="0" t="0" r="0" b="0"/>
                  <wp:docPr id="241" name="图片 2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4EA702">
        <w:tblPrEx>
          <w:tblCellMar>
            <w:top w:w="0" w:type="dxa"/>
            <w:left w:w="0" w:type="dxa"/>
            <w:bottom w:w="0" w:type="dxa"/>
            <w:right w:w="0" w:type="dxa"/>
          </w:tblCellMar>
        </w:tblPrEx>
        <w:trPr>
          <w:wBefore w:w="0" w:type="auto"/>
          <w:tblCellSpacing w:w="0" w:type="dxa"/>
        </w:trPr>
        <w:tc>
          <w:tcPr>
            <w:tcW w:w="0" w:type="auto"/>
            <w:noWrap w:val="0"/>
            <w:vAlign w:val="center"/>
          </w:tcPr>
          <w:p w14:paraId="0629FF1C">
            <w:r>
              <w:rPr>
                <w:rStyle w:val="10"/>
                <w:rFonts w:hint="eastAsia"/>
              </w:rPr>
              <w:t>总有效成分含量：</w:t>
            </w:r>
            <w:r>
              <w:rPr>
                <w:rFonts w:hint="eastAsia"/>
              </w:rPr>
              <w:t>50%</w:t>
            </w:r>
          </w:p>
        </w:tc>
      </w:tr>
      <w:tr w14:paraId="17467721">
        <w:tblPrEx>
          <w:tblCellMar>
            <w:top w:w="0" w:type="dxa"/>
            <w:left w:w="0" w:type="dxa"/>
            <w:bottom w:w="0" w:type="dxa"/>
            <w:right w:w="0" w:type="dxa"/>
          </w:tblCellMar>
        </w:tblPrEx>
        <w:trPr>
          <w:wBefore w:w="0" w:type="auto"/>
          <w:tblCellSpacing w:w="0" w:type="dxa"/>
        </w:trPr>
        <w:tc>
          <w:tcPr>
            <w:tcW w:w="0" w:type="auto"/>
            <w:noWrap w:val="0"/>
            <w:vAlign w:val="center"/>
          </w:tcPr>
          <w:p w14:paraId="42236EC1">
            <w:r>
              <w:rPr>
                <w:rFonts w:hint="eastAsia"/>
              </w:rPr>
              <w:t xml:space="preserve">有效成分及其含量： </w:t>
            </w:r>
          </w:p>
          <w:p w14:paraId="1B3FEC9B">
            <w:r>
              <w:rPr>
                <w:rFonts w:hint="eastAsia"/>
              </w:rPr>
              <w:t xml:space="preserve">    稻瘟灵33.3%    稻瘟酰胺16.7%    </w:t>
            </w:r>
          </w:p>
        </w:tc>
      </w:tr>
      <w:tr w14:paraId="74FD15AD">
        <w:tblPrEx>
          <w:tblCellMar>
            <w:top w:w="0" w:type="dxa"/>
            <w:left w:w="0" w:type="dxa"/>
            <w:bottom w:w="0" w:type="dxa"/>
            <w:right w:w="0" w:type="dxa"/>
          </w:tblCellMar>
        </w:tblPrEx>
        <w:trPr>
          <w:wBefore w:w="0" w:type="auto"/>
          <w:tblCellSpacing w:w="0" w:type="dxa"/>
        </w:trPr>
        <w:tc>
          <w:tcPr>
            <w:tcW w:w="0" w:type="auto"/>
            <w:noWrap w:val="0"/>
            <w:vAlign w:val="center"/>
          </w:tcPr>
          <w:p w14:paraId="5D272A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B1E1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7545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3B729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1EA53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CA94CA">
                  <w:r>
                    <w:rPr>
                      <w:rStyle w:val="11"/>
                      <w:rFonts w:hint="eastAsia"/>
                    </w:rPr>
                    <w:t>施用方式</w:t>
                  </w:r>
                </w:p>
              </w:tc>
            </w:tr>
            <w:tr w14:paraId="6885DF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5ACB8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1863CB">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910DEC">
                  <w:r>
                    <w:rPr>
                      <w:rStyle w:val="11"/>
                      <w:rFonts w:hint="eastAsia"/>
                    </w:rPr>
                    <w:t>64-80毫升/亩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59EAC5">
                  <w:r>
                    <w:rPr>
                      <w:rStyle w:val="11"/>
                      <w:rFonts w:hint="eastAsia"/>
                    </w:rPr>
                    <w:t>喷雾</w:t>
                  </w:r>
                </w:p>
              </w:tc>
            </w:tr>
          </w:tbl>
          <w:p w14:paraId="4A62C86D">
            <w:pPr>
              <w:rPr>
                <w:rFonts w:ascii="Times New Roman" w:hAnsi="Times New Roman" w:cs="Times New Roman"/>
                <w:sz w:val="20"/>
                <w:szCs w:val="20"/>
              </w:rPr>
            </w:pPr>
          </w:p>
        </w:tc>
      </w:tr>
      <w:tr w14:paraId="1CAA684C">
        <w:tblPrEx>
          <w:tblCellMar>
            <w:top w:w="0" w:type="dxa"/>
            <w:left w:w="0" w:type="dxa"/>
            <w:bottom w:w="0" w:type="dxa"/>
            <w:right w:w="0" w:type="dxa"/>
          </w:tblCellMar>
        </w:tblPrEx>
        <w:trPr>
          <w:wBefore w:w="0" w:type="auto"/>
          <w:tblCellSpacing w:w="0" w:type="dxa"/>
        </w:trPr>
        <w:tc>
          <w:tcPr>
            <w:tcW w:w="0" w:type="auto"/>
            <w:noWrap w:val="0"/>
            <w:vAlign w:val="center"/>
          </w:tcPr>
          <w:p w14:paraId="12FC3205">
            <w:r>
              <w:rPr>
                <w:rStyle w:val="10"/>
                <w:rFonts w:hint="eastAsia"/>
              </w:rPr>
              <w:t>使用技术要求:</w:t>
            </w:r>
            <w:r>
              <w:rPr>
                <w:rFonts w:hint="eastAsia"/>
              </w:rPr>
              <w:br w:type="textWrapping"/>
            </w:r>
            <w:r>
              <w:rPr>
                <w:rStyle w:val="11"/>
                <w:rFonts w:hint="eastAsia"/>
              </w:rPr>
              <w:t>1.本品应于水稻稻瘟病发病前或发病初期施药，施药2次，施药间隔期7-10天左右。注意喷雾均匀周到，以确保防效。 2.大风天或预计1小时内有雨，请勿施药。 3.在水稻上的安全间隔期21天，每季最多施用2次。</w:t>
            </w:r>
          </w:p>
        </w:tc>
      </w:tr>
      <w:tr w14:paraId="2FEBCD9A">
        <w:tblPrEx>
          <w:tblCellMar>
            <w:top w:w="0" w:type="dxa"/>
            <w:left w:w="0" w:type="dxa"/>
            <w:bottom w:w="0" w:type="dxa"/>
            <w:right w:w="0" w:type="dxa"/>
          </w:tblCellMar>
        </w:tblPrEx>
        <w:trPr>
          <w:wBefore w:w="0" w:type="auto"/>
          <w:tblCellSpacing w:w="0" w:type="dxa"/>
        </w:trPr>
        <w:tc>
          <w:tcPr>
            <w:tcW w:w="0" w:type="auto"/>
            <w:noWrap w:val="0"/>
            <w:vAlign w:val="center"/>
          </w:tcPr>
          <w:p w14:paraId="414B1772">
            <w:r>
              <w:rPr>
                <w:rStyle w:val="10"/>
                <w:rFonts w:hint="eastAsia"/>
              </w:rPr>
              <w:t>产品性能:</w:t>
            </w:r>
            <w:r>
              <w:rPr>
                <w:rFonts w:hint="eastAsia"/>
              </w:rPr>
              <w:br w:type="textWrapping"/>
            </w:r>
            <w:r>
              <w:rPr>
                <w:rStyle w:val="11"/>
                <w:rFonts w:hint="eastAsia"/>
              </w:rPr>
              <w:t>本品为稻瘟酰胺和稻瘟灵复配而成的杀菌剂。稻瘟酰胺属黑色素生物合成抑制剂，对稻瘟病菌活性高，具有保护和治疗作用，药效稳定，持效期长。稻瘟灵属于内吸性杀菌剂，植株吸收后，能抑制病菌侵入，尤其是抑制了磷酯N-甲基转移酶，从而抑制病菌生长，起到预防和治疗作用。两者混配，增效明显，在推荐施用剂量下，对水稻稻瘟病有较好的防治效果。</w:t>
            </w:r>
          </w:p>
        </w:tc>
      </w:tr>
      <w:tr w14:paraId="08E778CF">
        <w:tblPrEx>
          <w:tblCellMar>
            <w:top w:w="0" w:type="dxa"/>
            <w:left w:w="0" w:type="dxa"/>
            <w:bottom w:w="0" w:type="dxa"/>
            <w:right w:w="0" w:type="dxa"/>
          </w:tblCellMar>
        </w:tblPrEx>
        <w:trPr>
          <w:wBefore w:w="0" w:type="auto"/>
          <w:tblCellSpacing w:w="0" w:type="dxa"/>
        </w:trPr>
        <w:tc>
          <w:tcPr>
            <w:tcW w:w="0" w:type="auto"/>
            <w:noWrap w:val="0"/>
            <w:vAlign w:val="center"/>
          </w:tcPr>
          <w:p w14:paraId="72DFA4A0">
            <w:r>
              <w:rPr>
                <w:rStyle w:val="10"/>
                <w:rFonts w:hint="eastAsia"/>
              </w:rPr>
              <w:t>注意事项：</w:t>
            </w:r>
            <w:r>
              <w:rPr>
                <w:rFonts w:hint="eastAsia"/>
              </w:rPr>
              <w:br w:type="textWrapping"/>
            </w:r>
            <w:r>
              <w:rPr>
                <w:rStyle w:val="11"/>
                <w:rFonts w:hint="eastAsia"/>
              </w:rPr>
              <w:t>1.本品对眼睛、皮肤有刺激性，使用时穿戴长衣、长裤、帽子、口罩、手套等防护措施，避免皮肤、眼睛接触和口鼻吸入。使用中不可吸烟、饮水和吃东西，使用后及时清洗手、脸等暴露部位皮肤并更换衣物。 2.水产养殖区、河塘等水体附近禁用，禁止在河塘等水域清洗施药器具。药液及其废液不得污染各类水域、土壤等环境。鱼或虾蟹套养稻田禁用，施药后7天内不得把田水排入河、湖、水渠和池塘等水源。禁止在桑园、蚕室附近使用。瓢虫等天敌放飞区域禁用。 3.建议与其他作用机制不同的杀菌剂轮换使用，以延缓抗性产生。 4.不得与碱性农药等物质混用。 5.用过的容器应妥善处理，不可作他用，也不可随意丢弃。 6.避免孕妇及哺乳期妇女接触。</w:t>
            </w:r>
          </w:p>
        </w:tc>
      </w:tr>
      <w:tr w14:paraId="4FF3C660">
        <w:tblPrEx>
          <w:tblCellMar>
            <w:top w:w="0" w:type="dxa"/>
            <w:left w:w="0" w:type="dxa"/>
            <w:bottom w:w="0" w:type="dxa"/>
            <w:right w:w="0" w:type="dxa"/>
          </w:tblCellMar>
        </w:tblPrEx>
        <w:trPr>
          <w:wBefore w:w="0" w:type="auto"/>
          <w:tblCellSpacing w:w="0" w:type="dxa"/>
        </w:trPr>
        <w:tc>
          <w:tcPr>
            <w:tcW w:w="0" w:type="auto"/>
            <w:noWrap w:val="0"/>
            <w:vAlign w:val="center"/>
          </w:tcPr>
          <w:p w14:paraId="0C8B36A6">
            <w:r>
              <w:rPr>
                <w:rStyle w:val="10"/>
                <w:rFonts w:hint="eastAsia"/>
              </w:rPr>
              <w:t>中毒急救措施：</w:t>
            </w:r>
            <w:r>
              <w:rPr>
                <w:rFonts w:hint="eastAsia"/>
              </w:rPr>
              <w:br w:type="textWrapping"/>
            </w:r>
            <w:r>
              <w:rPr>
                <w:rStyle w:val="11"/>
                <w:rFonts w:hint="eastAsia"/>
              </w:rPr>
              <w:t>中毒症状：对眼睛有刺激性。急救措施：使用中或使用后如果感觉不适，应立即停止工作，采取急救措施，并携带标签送医院就诊。 1.皮肤接触：脱去污染衣物，立即用软布去除沾染农药，用大量清水和肥皂冲洗。 2.眼睛接触：如溅入眼睛立即用流动清水冲洗不少于15分钟，送医院就治。 3.吸入：立即离开施药现场，转移至空气新鲜处；呼吸有困难，可采用人工呼吸。 4.误服：立即携此农药标签到医院就诊。本品无特效解毒剂，对症治疗。</w:t>
            </w:r>
          </w:p>
        </w:tc>
      </w:tr>
      <w:tr w14:paraId="7802F3F9">
        <w:tblPrEx>
          <w:tblCellMar>
            <w:top w:w="0" w:type="dxa"/>
            <w:left w:w="0" w:type="dxa"/>
            <w:bottom w:w="0" w:type="dxa"/>
            <w:right w:w="0" w:type="dxa"/>
          </w:tblCellMar>
        </w:tblPrEx>
        <w:trPr>
          <w:wBefore w:w="0" w:type="auto"/>
          <w:tblCellSpacing w:w="0" w:type="dxa"/>
        </w:trPr>
        <w:tc>
          <w:tcPr>
            <w:tcW w:w="0" w:type="auto"/>
            <w:noWrap w:val="0"/>
            <w:vAlign w:val="center"/>
          </w:tcPr>
          <w:p w14:paraId="52ACB085">
            <w:r>
              <w:rPr>
                <w:rStyle w:val="10"/>
                <w:rFonts w:hint="eastAsia"/>
              </w:rPr>
              <w:t>储存和运输方法：</w:t>
            </w:r>
            <w:r>
              <w:rPr>
                <w:rFonts w:hint="eastAsia"/>
              </w:rPr>
              <w:br w:type="textWrapping"/>
            </w:r>
            <w:r>
              <w:rPr>
                <w:rStyle w:val="11"/>
                <w:rFonts w:hint="eastAsia"/>
              </w:rPr>
              <w:t>1.贮存在阴凉、通风仓库内；远离火源或热源。 2.本品应当置于儿童、无关人员及动物接触不到的地方，并加锁保存。 3.不能与食品、饮料、粮食、饲料等混合储运。</w:t>
            </w:r>
          </w:p>
        </w:tc>
      </w:tr>
      <w:tr w14:paraId="1F23E801">
        <w:tblPrEx>
          <w:tblCellMar>
            <w:top w:w="0" w:type="dxa"/>
            <w:left w:w="0" w:type="dxa"/>
            <w:bottom w:w="0" w:type="dxa"/>
            <w:right w:w="0" w:type="dxa"/>
          </w:tblCellMar>
        </w:tblPrEx>
        <w:trPr>
          <w:wBefore w:w="0" w:type="auto"/>
          <w:tblCellSpacing w:w="0" w:type="dxa"/>
        </w:trPr>
        <w:tc>
          <w:tcPr>
            <w:tcW w:w="0" w:type="auto"/>
            <w:noWrap w:val="0"/>
            <w:vAlign w:val="center"/>
          </w:tcPr>
          <w:p w14:paraId="50E2627E">
            <w:r>
              <w:rPr>
                <w:rStyle w:val="10"/>
                <w:rFonts w:hint="eastAsia"/>
              </w:rPr>
              <w:t>质量保证期：</w:t>
            </w:r>
            <w:r>
              <w:rPr>
                <w:rStyle w:val="11"/>
                <w:rFonts w:hint="eastAsia"/>
              </w:rPr>
              <w:t>2年</w:t>
            </w:r>
          </w:p>
        </w:tc>
      </w:tr>
      <w:tr w14:paraId="017A95CE">
        <w:tblPrEx>
          <w:tblCellMar>
            <w:top w:w="0" w:type="dxa"/>
            <w:left w:w="0" w:type="dxa"/>
            <w:bottom w:w="0" w:type="dxa"/>
            <w:right w:w="0" w:type="dxa"/>
          </w:tblCellMar>
        </w:tblPrEx>
        <w:trPr>
          <w:wBefore w:w="0" w:type="auto"/>
          <w:tblCellSpacing w:w="0" w:type="dxa"/>
        </w:trPr>
        <w:tc>
          <w:tcPr>
            <w:tcW w:w="0" w:type="auto"/>
            <w:noWrap w:val="0"/>
            <w:vAlign w:val="center"/>
          </w:tcPr>
          <w:p w14:paraId="3FB1DBBD">
            <w:r>
              <w:rPr>
                <w:rStyle w:val="10"/>
                <w:rFonts w:hint="eastAsia"/>
              </w:rPr>
              <w:t>备注：</w:t>
            </w:r>
          </w:p>
        </w:tc>
      </w:tr>
    </w:tbl>
    <w:p w14:paraId="1A8B18C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FF50AD">
        <w:tblPrEx>
          <w:tblCellMar>
            <w:top w:w="0" w:type="dxa"/>
            <w:left w:w="0" w:type="dxa"/>
            <w:bottom w:w="0" w:type="dxa"/>
            <w:right w:w="0" w:type="dxa"/>
          </w:tblCellMar>
        </w:tblPrEx>
        <w:trPr>
          <w:wBefore w:w="0" w:type="auto"/>
          <w:tblCellSpacing w:w="0" w:type="dxa"/>
        </w:trPr>
        <w:tc>
          <w:tcPr>
            <w:tcW w:w="0" w:type="auto"/>
            <w:noWrap w:val="0"/>
            <w:vAlign w:val="center"/>
          </w:tcPr>
          <w:p w14:paraId="54F5A1F9">
            <w:r>
              <w:rPr>
                <w:rStyle w:val="10"/>
                <w:rFonts w:hint="eastAsia"/>
              </w:rPr>
              <w:t>登记证号：</w:t>
            </w:r>
            <w:r>
              <w:rPr>
                <w:rFonts w:hint="eastAsia"/>
              </w:rPr>
              <w:t>PD20212454</w:t>
            </w:r>
          </w:p>
        </w:tc>
      </w:tr>
      <w:tr w14:paraId="3281069E">
        <w:tblPrEx>
          <w:tblCellMar>
            <w:top w:w="0" w:type="dxa"/>
            <w:left w:w="0" w:type="dxa"/>
            <w:bottom w:w="0" w:type="dxa"/>
            <w:right w:w="0" w:type="dxa"/>
          </w:tblCellMar>
        </w:tblPrEx>
        <w:trPr>
          <w:wBefore w:w="0" w:type="auto"/>
          <w:tblCellSpacing w:w="0" w:type="dxa"/>
        </w:trPr>
        <w:tc>
          <w:tcPr>
            <w:tcW w:w="0" w:type="auto"/>
            <w:noWrap w:val="0"/>
            <w:vAlign w:val="center"/>
          </w:tcPr>
          <w:p w14:paraId="1F99B92E">
            <w:r>
              <w:rPr>
                <w:rStyle w:val="10"/>
                <w:rFonts w:hint="eastAsia"/>
              </w:rPr>
              <w:t>登记证持有人：</w:t>
            </w:r>
            <w:r>
              <w:rPr>
                <w:rFonts w:hint="eastAsia"/>
              </w:rPr>
              <w:t>山东源丰生物科技有限公司</w:t>
            </w:r>
          </w:p>
        </w:tc>
      </w:tr>
      <w:tr w14:paraId="02391291">
        <w:tblPrEx>
          <w:tblCellMar>
            <w:top w:w="0" w:type="dxa"/>
            <w:left w:w="0" w:type="dxa"/>
            <w:bottom w:w="0" w:type="dxa"/>
            <w:right w:w="0" w:type="dxa"/>
          </w:tblCellMar>
        </w:tblPrEx>
        <w:trPr>
          <w:wBefore w:w="0" w:type="auto"/>
          <w:tblCellSpacing w:w="0" w:type="dxa"/>
        </w:trPr>
        <w:tc>
          <w:tcPr>
            <w:tcW w:w="0" w:type="auto"/>
            <w:noWrap w:val="0"/>
            <w:vAlign w:val="center"/>
          </w:tcPr>
          <w:p w14:paraId="4684E46B">
            <w:r>
              <w:rPr>
                <w:rStyle w:val="10"/>
                <w:rFonts w:hint="eastAsia"/>
              </w:rPr>
              <w:t>农药名称：</w:t>
            </w:r>
            <w:r>
              <w:rPr>
                <w:rFonts w:hint="eastAsia"/>
              </w:rPr>
              <w:t>啶虫·哒螨灵</w:t>
            </w:r>
          </w:p>
        </w:tc>
      </w:tr>
      <w:tr w14:paraId="51844CBD">
        <w:tblPrEx>
          <w:tblCellMar>
            <w:top w:w="0" w:type="dxa"/>
            <w:left w:w="0" w:type="dxa"/>
            <w:bottom w:w="0" w:type="dxa"/>
            <w:right w:w="0" w:type="dxa"/>
          </w:tblCellMar>
        </w:tblPrEx>
        <w:trPr>
          <w:wBefore w:w="0" w:type="auto"/>
          <w:tblCellSpacing w:w="0" w:type="dxa"/>
        </w:trPr>
        <w:tc>
          <w:tcPr>
            <w:tcW w:w="0" w:type="auto"/>
            <w:noWrap w:val="0"/>
            <w:vAlign w:val="center"/>
          </w:tcPr>
          <w:p w14:paraId="74508E90">
            <w:r>
              <w:rPr>
                <w:rStyle w:val="10"/>
                <w:rFonts w:hint="eastAsia"/>
              </w:rPr>
              <w:t>剂型：</w:t>
            </w:r>
            <w:r>
              <w:rPr>
                <w:rFonts w:hint="eastAsia"/>
              </w:rPr>
              <w:t>可湿性粉剂</w:t>
            </w:r>
          </w:p>
        </w:tc>
      </w:tr>
      <w:tr w14:paraId="70DEA6B9">
        <w:tblPrEx>
          <w:tblCellMar>
            <w:top w:w="0" w:type="dxa"/>
            <w:left w:w="0" w:type="dxa"/>
            <w:bottom w:w="0" w:type="dxa"/>
            <w:right w:w="0" w:type="dxa"/>
          </w:tblCellMar>
        </w:tblPrEx>
        <w:trPr>
          <w:wBefore w:w="0" w:type="auto"/>
          <w:tblCellSpacing w:w="0" w:type="dxa"/>
        </w:trPr>
        <w:tc>
          <w:tcPr>
            <w:tcW w:w="0" w:type="auto"/>
            <w:noWrap w:val="0"/>
            <w:vAlign w:val="center"/>
          </w:tcPr>
          <w:p w14:paraId="2CE8F06E">
            <w:r>
              <w:rPr>
                <w:rStyle w:val="10"/>
                <w:rFonts w:hint="eastAsia"/>
              </w:rPr>
              <w:t>毒性及其标识：</w:t>
            </w:r>
            <w:r>
              <w:rPr>
                <w:rFonts w:hint="eastAsia"/>
              </w:rPr>
              <w:t xml:space="preserve"> </w:t>
            </w:r>
            <w:r>
              <w:rPr>
                <w:lang/>
              </w:rPr>
              <w:drawing>
                <wp:inline distT="0" distB="0" distL="114300" distR="114300">
                  <wp:extent cx="476250" cy="323850"/>
                  <wp:effectExtent l="0" t="0" r="0" b="0"/>
                  <wp:docPr id="242" name="图片 2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C06FA0">
        <w:tblPrEx>
          <w:tblCellMar>
            <w:top w:w="0" w:type="dxa"/>
            <w:left w:w="0" w:type="dxa"/>
            <w:bottom w:w="0" w:type="dxa"/>
            <w:right w:w="0" w:type="dxa"/>
          </w:tblCellMar>
        </w:tblPrEx>
        <w:trPr>
          <w:wBefore w:w="0" w:type="auto"/>
          <w:tblCellSpacing w:w="0" w:type="dxa"/>
        </w:trPr>
        <w:tc>
          <w:tcPr>
            <w:tcW w:w="0" w:type="auto"/>
            <w:noWrap w:val="0"/>
            <w:vAlign w:val="center"/>
          </w:tcPr>
          <w:p w14:paraId="705FCE12">
            <w:r>
              <w:rPr>
                <w:rStyle w:val="10"/>
                <w:rFonts w:hint="eastAsia"/>
              </w:rPr>
              <w:t>总有效成分含量：</w:t>
            </w:r>
            <w:r>
              <w:rPr>
                <w:rFonts w:hint="eastAsia"/>
              </w:rPr>
              <w:t>60%</w:t>
            </w:r>
          </w:p>
        </w:tc>
      </w:tr>
      <w:tr w14:paraId="63B4EB63">
        <w:tblPrEx>
          <w:tblCellMar>
            <w:top w:w="0" w:type="dxa"/>
            <w:left w:w="0" w:type="dxa"/>
            <w:bottom w:w="0" w:type="dxa"/>
            <w:right w:w="0" w:type="dxa"/>
          </w:tblCellMar>
        </w:tblPrEx>
        <w:trPr>
          <w:wBefore w:w="0" w:type="auto"/>
          <w:tblCellSpacing w:w="0" w:type="dxa"/>
        </w:trPr>
        <w:tc>
          <w:tcPr>
            <w:tcW w:w="0" w:type="auto"/>
            <w:noWrap w:val="0"/>
            <w:vAlign w:val="center"/>
          </w:tcPr>
          <w:p w14:paraId="1A175D69">
            <w:r>
              <w:rPr>
                <w:rFonts w:hint="eastAsia"/>
              </w:rPr>
              <w:t xml:space="preserve">有效成分及其含量： </w:t>
            </w:r>
          </w:p>
          <w:p w14:paraId="685A3AEB">
            <w:r>
              <w:rPr>
                <w:rFonts w:hint="eastAsia"/>
              </w:rPr>
              <w:t xml:space="preserve">    哒螨灵40%    啶虫脒20%    </w:t>
            </w:r>
          </w:p>
        </w:tc>
      </w:tr>
      <w:tr w14:paraId="4EBB94FB">
        <w:tblPrEx>
          <w:tblCellMar>
            <w:top w:w="0" w:type="dxa"/>
            <w:left w:w="0" w:type="dxa"/>
            <w:bottom w:w="0" w:type="dxa"/>
            <w:right w:w="0" w:type="dxa"/>
          </w:tblCellMar>
        </w:tblPrEx>
        <w:trPr>
          <w:wBefore w:w="0" w:type="auto"/>
          <w:tblCellSpacing w:w="0" w:type="dxa"/>
        </w:trPr>
        <w:tc>
          <w:tcPr>
            <w:tcW w:w="0" w:type="auto"/>
            <w:noWrap w:val="0"/>
            <w:vAlign w:val="center"/>
          </w:tcPr>
          <w:p w14:paraId="1D25C29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3FD0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5D82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4483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8CE51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F27231">
                  <w:r>
                    <w:rPr>
                      <w:rStyle w:val="11"/>
                      <w:rFonts w:hint="eastAsia"/>
                    </w:rPr>
                    <w:t>施用方式</w:t>
                  </w:r>
                </w:p>
              </w:tc>
            </w:tr>
            <w:tr w14:paraId="61A792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435CB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C1090">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5A854D">
                  <w:r>
                    <w:rPr>
                      <w:rStyle w:val="11"/>
                      <w:rFonts w:hint="eastAsia"/>
                    </w:rPr>
                    <w:t>9-17克/亩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433A93">
                  <w:r>
                    <w:rPr>
                      <w:rStyle w:val="11"/>
                      <w:rFonts w:hint="eastAsia"/>
                    </w:rPr>
                    <w:t>喷雾</w:t>
                  </w:r>
                </w:p>
              </w:tc>
            </w:tr>
          </w:tbl>
          <w:p w14:paraId="268B592E">
            <w:pPr>
              <w:rPr>
                <w:rFonts w:ascii="Times New Roman" w:hAnsi="Times New Roman" w:cs="Times New Roman"/>
                <w:sz w:val="20"/>
                <w:szCs w:val="20"/>
              </w:rPr>
            </w:pPr>
          </w:p>
        </w:tc>
      </w:tr>
      <w:tr w14:paraId="2F3B7621">
        <w:tblPrEx>
          <w:tblCellMar>
            <w:top w:w="0" w:type="dxa"/>
            <w:left w:w="0" w:type="dxa"/>
            <w:bottom w:w="0" w:type="dxa"/>
            <w:right w:w="0" w:type="dxa"/>
          </w:tblCellMar>
        </w:tblPrEx>
        <w:trPr>
          <w:wBefore w:w="0" w:type="auto"/>
          <w:tblCellSpacing w:w="0" w:type="dxa"/>
        </w:trPr>
        <w:tc>
          <w:tcPr>
            <w:tcW w:w="0" w:type="auto"/>
            <w:noWrap w:val="0"/>
            <w:vAlign w:val="center"/>
          </w:tcPr>
          <w:p w14:paraId="718785AA">
            <w:r>
              <w:rPr>
                <w:rStyle w:val="10"/>
                <w:rFonts w:hint="eastAsia"/>
              </w:rPr>
              <w:t>使用技术要求:</w:t>
            </w:r>
            <w:r>
              <w:rPr>
                <w:rFonts w:hint="eastAsia"/>
              </w:rPr>
              <w:br w:type="textWrapping"/>
            </w:r>
            <w:r>
              <w:rPr>
                <w:rStyle w:val="11"/>
                <w:rFonts w:hint="eastAsia"/>
              </w:rPr>
              <w:t>1.本品应于甘蓝黄条跳甲卵孵盛期或幼虫1至2龄期使用。2.本品在甘蓝上使用的安全间隔期为7天，每季作物最多施药1次。3. 大风天或预计1小时有降雨，请勿施药。</w:t>
            </w:r>
          </w:p>
        </w:tc>
      </w:tr>
      <w:tr w14:paraId="6D058E28">
        <w:tblPrEx>
          <w:tblCellMar>
            <w:top w:w="0" w:type="dxa"/>
            <w:left w:w="0" w:type="dxa"/>
            <w:bottom w:w="0" w:type="dxa"/>
            <w:right w:w="0" w:type="dxa"/>
          </w:tblCellMar>
        </w:tblPrEx>
        <w:trPr>
          <w:wBefore w:w="0" w:type="auto"/>
          <w:tblCellSpacing w:w="0" w:type="dxa"/>
        </w:trPr>
        <w:tc>
          <w:tcPr>
            <w:tcW w:w="0" w:type="auto"/>
            <w:noWrap w:val="0"/>
            <w:vAlign w:val="center"/>
          </w:tcPr>
          <w:p w14:paraId="192129E2">
            <w:r>
              <w:rPr>
                <w:rStyle w:val="10"/>
                <w:rFonts w:hint="eastAsia"/>
              </w:rPr>
              <w:t>产品性能:</w:t>
            </w:r>
            <w:r>
              <w:rPr>
                <w:rFonts w:hint="eastAsia"/>
              </w:rPr>
              <w:br w:type="textWrapping"/>
            </w:r>
            <w:r>
              <w:rPr>
                <w:rStyle w:val="11"/>
                <w:rFonts w:hint="eastAsia"/>
              </w:rPr>
              <w:t>啶虫脒能干扰昆虫神经系统的刺激传导，具有内吸、触杀和胃毒三种毒杀功能；哒螨灵为一种触杀性杀螨剂，二者混配，防效增强。对甘蓝黄条跳甲有较好的防效。</w:t>
            </w:r>
          </w:p>
        </w:tc>
      </w:tr>
      <w:tr w14:paraId="2269F94E">
        <w:tblPrEx>
          <w:tblCellMar>
            <w:top w:w="0" w:type="dxa"/>
            <w:left w:w="0" w:type="dxa"/>
            <w:bottom w:w="0" w:type="dxa"/>
            <w:right w:w="0" w:type="dxa"/>
          </w:tblCellMar>
        </w:tblPrEx>
        <w:trPr>
          <w:wBefore w:w="0" w:type="auto"/>
          <w:tblCellSpacing w:w="0" w:type="dxa"/>
        </w:trPr>
        <w:tc>
          <w:tcPr>
            <w:tcW w:w="0" w:type="auto"/>
            <w:noWrap w:val="0"/>
            <w:vAlign w:val="center"/>
          </w:tcPr>
          <w:p w14:paraId="35DFB238">
            <w:r>
              <w:rPr>
                <w:rStyle w:val="10"/>
                <w:rFonts w:hint="eastAsia"/>
              </w:rPr>
              <w:t>注意事项：</w:t>
            </w:r>
            <w:r>
              <w:rPr>
                <w:rFonts w:hint="eastAsia"/>
              </w:rPr>
              <w:br w:type="textWrapping"/>
            </w:r>
            <w:r>
              <w:rPr>
                <w:rStyle w:val="11"/>
                <w:rFonts w:hint="eastAsia"/>
              </w:rPr>
              <w:t>1 . 建议与其他不同作用机制的杀虫剂轮换使用。2. 远离水产养殖区、河塘等水体附近施药，禁止在河塘等水体清洗施药器具，洗涤后的废水不应污染河流等水源。3.本品对蜜蜂、家蚕有毒，养蜂场所和周围开花植物开花期禁用，蚕室及桑园附近禁用。4.配药和施药时，应穿防护服，戴口罩或防毒面具以及胶皮手套，以避免污染皮肤和眼睛，施药完毕后应及时换洗衣物，洗净手、脸和被污染的皮肤。5. 孕妇及哺乳期妇女应避免接触。6.瓢虫等天敌放飞区域禁用。</w:t>
            </w:r>
          </w:p>
        </w:tc>
      </w:tr>
      <w:tr w14:paraId="7219C27C">
        <w:tblPrEx>
          <w:tblCellMar>
            <w:top w:w="0" w:type="dxa"/>
            <w:left w:w="0" w:type="dxa"/>
            <w:bottom w:w="0" w:type="dxa"/>
            <w:right w:w="0" w:type="dxa"/>
          </w:tblCellMar>
        </w:tblPrEx>
        <w:trPr>
          <w:wBefore w:w="0" w:type="auto"/>
          <w:tblCellSpacing w:w="0" w:type="dxa"/>
        </w:trPr>
        <w:tc>
          <w:tcPr>
            <w:tcW w:w="0" w:type="auto"/>
            <w:noWrap w:val="0"/>
            <w:vAlign w:val="center"/>
          </w:tcPr>
          <w:p w14:paraId="149A0D1E">
            <w:r>
              <w:rPr>
                <w:rStyle w:val="10"/>
                <w:rFonts w:hint="eastAsia"/>
              </w:rPr>
              <w:t>中毒急救措施：</w:t>
            </w:r>
            <w:r>
              <w:rPr>
                <w:rFonts w:hint="eastAsia"/>
              </w:rPr>
              <w:br w:type="textWrapping"/>
            </w:r>
            <w:r>
              <w:rPr>
                <w:rStyle w:val="11"/>
                <w:rFonts w:hint="eastAsia"/>
              </w:rPr>
              <w:t>使用中或使用后若感觉不适，应立即停止工作，采取急救措施。本品如误入眼睛，立即用清水至少冲洗15分钟，仍有不适应立即就医；如接触皮肤，立即用清水冲洗并换洗衣物；不慎吸入，身感不适后立即将病人移到通风处，然后视病情就医；如误服，立即携标签送医院，无特殊解毒药，对症治疗。</w:t>
            </w:r>
          </w:p>
        </w:tc>
      </w:tr>
      <w:tr w14:paraId="79CB8BA9">
        <w:tblPrEx>
          <w:tblCellMar>
            <w:top w:w="0" w:type="dxa"/>
            <w:left w:w="0" w:type="dxa"/>
            <w:bottom w:w="0" w:type="dxa"/>
            <w:right w:w="0" w:type="dxa"/>
          </w:tblCellMar>
        </w:tblPrEx>
        <w:trPr>
          <w:wBefore w:w="0" w:type="auto"/>
          <w:tblCellSpacing w:w="0" w:type="dxa"/>
        </w:trPr>
        <w:tc>
          <w:tcPr>
            <w:tcW w:w="0" w:type="auto"/>
            <w:noWrap w:val="0"/>
            <w:vAlign w:val="center"/>
          </w:tcPr>
          <w:p w14:paraId="4B331A7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0789BEEF">
        <w:tblPrEx>
          <w:tblCellMar>
            <w:top w:w="0" w:type="dxa"/>
            <w:left w:w="0" w:type="dxa"/>
            <w:bottom w:w="0" w:type="dxa"/>
            <w:right w:w="0" w:type="dxa"/>
          </w:tblCellMar>
        </w:tblPrEx>
        <w:trPr>
          <w:wBefore w:w="0" w:type="auto"/>
          <w:tblCellSpacing w:w="0" w:type="dxa"/>
        </w:trPr>
        <w:tc>
          <w:tcPr>
            <w:tcW w:w="0" w:type="auto"/>
            <w:noWrap w:val="0"/>
            <w:vAlign w:val="center"/>
          </w:tcPr>
          <w:p w14:paraId="67E8679A">
            <w:r>
              <w:rPr>
                <w:rStyle w:val="10"/>
                <w:rFonts w:hint="eastAsia"/>
              </w:rPr>
              <w:t>质量保证期：</w:t>
            </w:r>
            <w:r>
              <w:rPr>
                <w:rStyle w:val="11"/>
                <w:rFonts w:hint="eastAsia"/>
              </w:rPr>
              <w:t>2年</w:t>
            </w:r>
          </w:p>
        </w:tc>
      </w:tr>
      <w:tr w14:paraId="7E19CB9C">
        <w:tblPrEx>
          <w:tblCellMar>
            <w:top w:w="0" w:type="dxa"/>
            <w:left w:w="0" w:type="dxa"/>
            <w:bottom w:w="0" w:type="dxa"/>
            <w:right w:w="0" w:type="dxa"/>
          </w:tblCellMar>
        </w:tblPrEx>
        <w:trPr>
          <w:wBefore w:w="0" w:type="auto"/>
          <w:tblCellSpacing w:w="0" w:type="dxa"/>
        </w:trPr>
        <w:tc>
          <w:tcPr>
            <w:tcW w:w="0" w:type="auto"/>
            <w:noWrap w:val="0"/>
            <w:vAlign w:val="center"/>
          </w:tcPr>
          <w:p w14:paraId="30A6D55E">
            <w:r>
              <w:rPr>
                <w:rStyle w:val="10"/>
                <w:rFonts w:hint="eastAsia"/>
              </w:rPr>
              <w:t>备注：</w:t>
            </w:r>
          </w:p>
        </w:tc>
      </w:tr>
    </w:tbl>
    <w:p w14:paraId="1413188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5C148A">
        <w:tblPrEx>
          <w:tblCellMar>
            <w:top w:w="0" w:type="dxa"/>
            <w:left w:w="0" w:type="dxa"/>
            <w:bottom w:w="0" w:type="dxa"/>
            <w:right w:w="0" w:type="dxa"/>
          </w:tblCellMar>
        </w:tblPrEx>
        <w:trPr>
          <w:wBefore w:w="0" w:type="auto"/>
          <w:tblCellSpacing w:w="0" w:type="dxa"/>
        </w:trPr>
        <w:tc>
          <w:tcPr>
            <w:tcW w:w="0" w:type="auto"/>
            <w:noWrap w:val="0"/>
            <w:vAlign w:val="center"/>
          </w:tcPr>
          <w:p w14:paraId="47A26624">
            <w:r>
              <w:rPr>
                <w:rStyle w:val="10"/>
                <w:rFonts w:hint="eastAsia"/>
              </w:rPr>
              <w:t>登记证号：</w:t>
            </w:r>
            <w:r>
              <w:rPr>
                <w:rFonts w:hint="eastAsia"/>
              </w:rPr>
              <w:t>PD20212645</w:t>
            </w:r>
          </w:p>
        </w:tc>
      </w:tr>
      <w:tr w14:paraId="0C15FF44">
        <w:tblPrEx>
          <w:tblCellMar>
            <w:top w:w="0" w:type="dxa"/>
            <w:left w:w="0" w:type="dxa"/>
            <w:bottom w:w="0" w:type="dxa"/>
            <w:right w:w="0" w:type="dxa"/>
          </w:tblCellMar>
        </w:tblPrEx>
        <w:trPr>
          <w:wBefore w:w="0" w:type="auto"/>
          <w:tblCellSpacing w:w="0" w:type="dxa"/>
        </w:trPr>
        <w:tc>
          <w:tcPr>
            <w:tcW w:w="0" w:type="auto"/>
            <w:noWrap w:val="0"/>
            <w:vAlign w:val="center"/>
          </w:tcPr>
          <w:p w14:paraId="2B7F73E8">
            <w:r>
              <w:rPr>
                <w:rStyle w:val="10"/>
                <w:rFonts w:hint="eastAsia"/>
              </w:rPr>
              <w:t>登记证持有人：</w:t>
            </w:r>
            <w:r>
              <w:rPr>
                <w:rFonts w:hint="eastAsia"/>
              </w:rPr>
              <w:t>安徽华星化工有限公司</w:t>
            </w:r>
          </w:p>
        </w:tc>
      </w:tr>
      <w:tr w14:paraId="015D7628">
        <w:tblPrEx>
          <w:tblCellMar>
            <w:top w:w="0" w:type="dxa"/>
            <w:left w:w="0" w:type="dxa"/>
            <w:bottom w:w="0" w:type="dxa"/>
            <w:right w:w="0" w:type="dxa"/>
          </w:tblCellMar>
        </w:tblPrEx>
        <w:trPr>
          <w:wBefore w:w="0" w:type="auto"/>
          <w:tblCellSpacing w:w="0" w:type="dxa"/>
        </w:trPr>
        <w:tc>
          <w:tcPr>
            <w:tcW w:w="0" w:type="auto"/>
            <w:noWrap w:val="0"/>
            <w:vAlign w:val="center"/>
          </w:tcPr>
          <w:p w14:paraId="6AE3C7A2">
            <w:r>
              <w:rPr>
                <w:rStyle w:val="10"/>
                <w:rFonts w:hint="eastAsia"/>
              </w:rPr>
              <w:t>农药名称：</w:t>
            </w:r>
            <w:r>
              <w:rPr>
                <w:rFonts w:hint="eastAsia"/>
              </w:rPr>
              <w:t>二磺·炔草酯</w:t>
            </w:r>
          </w:p>
        </w:tc>
      </w:tr>
      <w:tr w14:paraId="5123D5F8">
        <w:tblPrEx>
          <w:tblCellMar>
            <w:top w:w="0" w:type="dxa"/>
            <w:left w:w="0" w:type="dxa"/>
            <w:bottom w:w="0" w:type="dxa"/>
            <w:right w:w="0" w:type="dxa"/>
          </w:tblCellMar>
        </w:tblPrEx>
        <w:trPr>
          <w:wBefore w:w="0" w:type="auto"/>
          <w:tblCellSpacing w:w="0" w:type="dxa"/>
        </w:trPr>
        <w:tc>
          <w:tcPr>
            <w:tcW w:w="0" w:type="auto"/>
            <w:noWrap w:val="0"/>
            <w:vAlign w:val="center"/>
          </w:tcPr>
          <w:p w14:paraId="439120A0">
            <w:r>
              <w:rPr>
                <w:rStyle w:val="10"/>
                <w:rFonts w:hint="eastAsia"/>
              </w:rPr>
              <w:t>剂型：</w:t>
            </w:r>
            <w:r>
              <w:rPr>
                <w:rFonts w:hint="eastAsia"/>
              </w:rPr>
              <w:t>可分散油悬浮剂</w:t>
            </w:r>
          </w:p>
        </w:tc>
      </w:tr>
      <w:tr w14:paraId="3AAA877D">
        <w:tblPrEx>
          <w:tblCellMar>
            <w:top w:w="0" w:type="dxa"/>
            <w:left w:w="0" w:type="dxa"/>
            <w:bottom w:w="0" w:type="dxa"/>
            <w:right w:w="0" w:type="dxa"/>
          </w:tblCellMar>
        </w:tblPrEx>
        <w:trPr>
          <w:wBefore w:w="0" w:type="auto"/>
          <w:tblCellSpacing w:w="0" w:type="dxa"/>
        </w:trPr>
        <w:tc>
          <w:tcPr>
            <w:tcW w:w="0" w:type="auto"/>
            <w:noWrap w:val="0"/>
            <w:vAlign w:val="center"/>
          </w:tcPr>
          <w:p w14:paraId="16A4F93E">
            <w:r>
              <w:rPr>
                <w:rStyle w:val="10"/>
                <w:rFonts w:hint="eastAsia"/>
              </w:rPr>
              <w:t>毒性及其标识：</w:t>
            </w:r>
            <w:r>
              <w:rPr>
                <w:rFonts w:hint="eastAsia"/>
              </w:rPr>
              <w:t xml:space="preserve"> </w:t>
            </w:r>
            <w:r>
              <w:rPr>
                <w:lang/>
              </w:rPr>
              <w:drawing>
                <wp:inline distT="0" distB="0" distL="114300" distR="114300">
                  <wp:extent cx="476250" cy="323850"/>
                  <wp:effectExtent l="0" t="0" r="0" b="0"/>
                  <wp:docPr id="243" name="图片 2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811DB7">
        <w:tblPrEx>
          <w:tblCellMar>
            <w:top w:w="0" w:type="dxa"/>
            <w:left w:w="0" w:type="dxa"/>
            <w:bottom w:w="0" w:type="dxa"/>
            <w:right w:w="0" w:type="dxa"/>
          </w:tblCellMar>
        </w:tblPrEx>
        <w:trPr>
          <w:wBefore w:w="0" w:type="auto"/>
          <w:tblCellSpacing w:w="0" w:type="dxa"/>
        </w:trPr>
        <w:tc>
          <w:tcPr>
            <w:tcW w:w="0" w:type="auto"/>
            <w:noWrap w:val="0"/>
            <w:vAlign w:val="center"/>
          </w:tcPr>
          <w:p w14:paraId="07506FAC">
            <w:r>
              <w:rPr>
                <w:rStyle w:val="10"/>
                <w:rFonts w:hint="eastAsia"/>
              </w:rPr>
              <w:t>总有效成分含量：</w:t>
            </w:r>
            <w:r>
              <w:rPr>
                <w:rFonts w:hint="eastAsia"/>
              </w:rPr>
              <w:t>22%</w:t>
            </w:r>
          </w:p>
        </w:tc>
      </w:tr>
      <w:tr w14:paraId="041C77EC">
        <w:tblPrEx>
          <w:tblCellMar>
            <w:top w:w="0" w:type="dxa"/>
            <w:left w:w="0" w:type="dxa"/>
            <w:bottom w:w="0" w:type="dxa"/>
            <w:right w:w="0" w:type="dxa"/>
          </w:tblCellMar>
        </w:tblPrEx>
        <w:trPr>
          <w:wBefore w:w="0" w:type="auto"/>
          <w:tblCellSpacing w:w="0" w:type="dxa"/>
        </w:trPr>
        <w:tc>
          <w:tcPr>
            <w:tcW w:w="0" w:type="auto"/>
            <w:noWrap w:val="0"/>
            <w:vAlign w:val="center"/>
          </w:tcPr>
          <w:p w14:paraId="0EBEFF82">
            <w:r>
              <w:rPr>
                <w:rFonts w:hint="eastAsia"/>
              </w:rPr>
              <w:t xml:space="preserve">有效成分及其含量： </w:t>
            </w:r>
          </w:p>
          <w:p w14:paraId="129804E0">
            <w:r>
              <w:rPr>
                <w:rFonts w:hint="eastAsia"/>
              </w:rPr>
              <w:t xml:space="preserve">    甲基二磺隆2%    炔草酯20%    </w:t>
            </w:r>
          </w:p>
        </w:tc>
      </w:tr>
      <w:tr w14:paraId="061DBF83">
        <w:tblPrEx>
          <w:tblCellMar>
            <w:top w:w="0" w:type="dxa"/>
            <w:left w:w="0" w:type="dxa"/>
            <w:bottom w:w="0" w:type="dxa"/>
            <w:right w:w="0" w:type="dxa"/>
          </w:tblCellMar>
        </w:tblPrEx>
        <w:trPr>
          <w:wBefore w:w="0" w:type="auto"/>
          <w:tblCellSpacing w:w="0" w:type="dxa"/>
        </w:trPr>
        <w:tc>
          <w:tcPr>
            <w:tcW w:w="0" w:type="auto"/>
            <w:noWrap w:val="0"/>
            <w:vAlign w:val="center"/>
          </w:tcPr>
          <w:p w14:paraId="704E51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EDE8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E603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46955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F727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625E95">
                  <w:r>
                    <w:rPr>
                      <w:rStyle w:val="11"/>
                      <w:rFonts w:hint="eastAsia"/>
                    </w:rPr>
                    <w:t>施用方式</w:t>
                  </w:r>
                </w:p>
              </w:tc>
            </w:tr>
            <w:tr w14:paraId="7252BE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C340F6">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90623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299D43">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02C9CE">
                  <w:r>
                    <w:rPr>
                      <w:rStyle w:val="11"/>
                      <w:rFonts w:hint="eastAsia"/>
                    </w:rPr>
                    <w:t>茎叶喷雾</w:t>
                  </w:r>
                </w:p>
              </w:tc>
            </w:tr>
          </w:tbl>
          <w:p w14:paraId="7CE2B23F">
            <w:pPr>
              <w:rPr>
                <w:rFonts w:ascii="Times New Roman" w:hAnsi="Times New Roman" w:cs="Times New Roman"/>
                <w:sz w:val="20"/>
                <w:szCs w:val="20"/>
              </w:rPr>
            </w:pPr>
          </w:p>
        </w:tc>
      </w:tr>
      <w:tr w14:paraId="55C20C83">
        <w:tblPrEx>
          <w:tblCellMar>
            <w:top w:w="0" w:type="dxa"/>
            <w:left w:w="0" w:type="dxa"/>
            <w:bottom w:w="0" w:type="dxa"/>
            <w:right w:w="0" w:type="dxa"/>
          </w:tblCellMar>
        </w:tblPrEx>
        <w:trPr>
          <w:wBefore w:w="0" w:type="auto"/>
          <w:tblCellSpacing w:w="0" w:type="dxa"/>
        </w:trPr>
        <w:tc>
          <w:tcPr>
            <w:tcW w:w="0" w:type="auto"/>
            <w:noWrap w:val="0"/>
            <w:vAlign w:val="center"/>
          </w:tcPr>
          <w:p w14:paraId="71C53DDD">
            <w:r>
              <w:rPr>
                <w:rStyle w:val="10"/>
                <w:rFonts w:hint="eastAsia"/>
              </w:rPr>
              <w:t>使用技术要求:</w:t>
            </w:r>
            <w:r>
              <w:rPr>
                <w:rFonts w:hint="eastAsia"/>
              </w:rPr>
              <w:br w:type="textWrapping"/>
            </w:r>
            <w:r>
              <w:rPr>
                <w:rStyle w:val="11"/>
                <w:rFonts w:hint="eastAsia"/>
              </w:rPr>
              <w:t>1、于冬小麦分蘖期、杂草2-4叶期施药，亩对水30-40公斤，均匀茎叶喷雾处理。2、大风天或预计1小时内降雨，请勿施药。3、寒流来临前3-5天慎用本品，施药后如遇大雨，请及时排干田间积水。4.小麦整个生育期最多使用1次。</w:t>
            </w:r>
          </w:p>
        </w:tc>
      </w:tr>
      <w:tr w14:paraId="245739D0">
        <w:tblPrEx>
          <w:tblCellMar>
            <w:top w:w="0" w:type="dxa"/>
            <w:left w:w="0" w:type="dxa"/>
            <w:bottom w:w="0" w:type="dxa"/>
            <w:right w:w="0" w:type="dxa"/>
          </w:tblCellMar>
        </w:tblPrEx>
        <w:trPr>
          <w:wBefore w:w="0" w:type="auto"/>
          <w:tblCellSpacing w:w="0" w:type="dxa"/>
        </w:trPr>
        <w:tc>
          <w:tcPr>
            <w:tcW w:w="0" w:type="auto"/>
            <w:noWrap w:val="0"/>
            <w:vAlign w:val="center"/>
          </w:tcPr>
          <w:p w14:paraId="496C0DBA">
            <w:r>
              <w:rPr>
                <w:rStyle w:val="10"/>
                <w:rFonts w:hint="eastAsia"/>
              </w:rPr>
              <w:t>产品性能:</w:t>
            </w:r>
            <w:r>
              <w:rPr>
                <w:rFonts w:hint="eastAsia"/>
              </w:rPr>
              <w:br w:type="textWrapping"/>
            </w:r>
            <w:r>
              <w:rPr>
                <w:rStyle w:val="11"/>
                <w:rFonts w:hint="eastAsia"/>
              </w:rPr>
              <w:t>本品由两种不同作用机制的除草剂混配而成，为冬小麦田苗后防除一年生禾本科及部分阔叶杂草的內吸选择性茎叶除草剂，可防除硬草、早熟禾、碱茅、棒头草、看麦娘、罔草、毒麦、多花黑麦草、野燕麦、蜡烛草、牛繁缕、荠菜等麦田多数杂草，对雀麦（野麦子）、节节麦。</w:t>
            </w:r>
          </w:p>
        </w:tc>
      </w:tr>
      <w:tr w14:paraId="57E44B5F">
        <w:tblPrEx>
          <w:tblCellMar>
            <w:top w:w="0" w:type="dxa"/>
            <w:left w:w="0" w:type="dxa"/>
            <w:bottom w:w="0" w:type="dxa"/>
            <w:right w:w="0" w:type="dxa"/>
          </w:tblCellMar>
        </w:tblPrEx>
        <w:trPr>
          <w:wBefore w:w="0" w:type="auto"/>
          <w:tblCellSpacing w:w="0" w:type="dxa"/>
        </w:trPr>
        <w:tc>
          <w:tcPr>
            <w:tcW w:w="0" w:type="auto"/>
            <w:noWrap w:val="0"/>
            <w:vAlign w:val="center"/>
          </w:tcPr>
          <w:p w14:paraId="03CCDC5E">
            <w:r>
              <w:rPr>
                <w:rStyle w:val="10"/>
                <w:rFonts w:hint="eastAsia"/>
              </w:rPr>
              <w:t>注意事项：</w:t>
            </w:r>
            <w:r>
              <w:rPr>
                <w:rFonts w:hint="eastAsia"/>
              </w:rPr>
              <w:br w:type="textWrapping"/>
            </w:r>
            <w:r>
              <w:rPr>
                <w:rStyle w:val="11"/>
                <w:rFonts w:hint="eastAsia"/>
              </w:rPr>
              <w:t>1、不宜与2，4-滴混用，以免药害。麦田处理4周内不可放牧或收割麦苗饲用。施药后2～4周杂草死亡。施用8小时后降雨一般不影响药效。2、本品施用后有蹲苗作用，某些小麦品种可能出现黄化或矮化现象，小麦返青起身后黄化自然消失，可抑制小麦徒长倒伏。3、本品对水生生物有毒。远离水产养殖区、河塘等水体施药，禁止在河塘等水体中清洗施药器具。桑园及蚕室附近施用本药后，最外围桑叶作为隔离带。4、硬草、罔草等所占比例高的田块或草龄较大时，使用推荐剂量的高剂量。5、使用过的包装物应妥善处理，不可再用，也不可随意丢弃。6、施用时应戴防护镜、口罩和手套，穿防护服等，并禁止饮食和吸烟等；使用后应用肥皂和清水彻底清洗暴露在外的皮肤。7、禁止儿童、孕妇及哺乳期的妇女接触本品。</w:t>
            </w:r>
          </w:p>
        </w:tc>
      </w:tr>
      <w:tr w14:paraId="16883B38">
        <w:tblPrEx>
          <w:tblCellMar>
            <w:top w:w="0" w:type="dxa"/>
            <w:left w:w="0" w:type="dxa"/>
            <w:bottom w:w="0" w:type="dxa"/>
            <w:right w:w="0" w:type="dxa"/>
          </w:tblCellMar>
        </w:tblPrEx>
        <w:trPr>
          <w:wBefore w:w="0" w:type="auto"/>
          <w:tblCellSpacing w:w="0" w:type="dxa"/>
        </w:trPr>
        <w:tc>
          <w:tcPr>
            <w:tcW w:w="0" w:type="auto"/>
            <w:noWrap w:val="0"/>
            <w:vAlign w:val="center"/>
          </w:tcPr>
          <w:p w14:paraId="3C15844F">
            <w:r>
              <w:rPr>
                <w:rStyle w:val="10"/>
                <w:rFonts w:hint="eastAsia"/>
              </w:rPr>
              <w:t>中毒急救措施：</w:t>
            </w:r>
            <w:r>
              <w:rPr>
                <w:rFonts w:hint="eastAsia"/>
              </w:rPr>
              <w:br w:type="textWrapping"/>
            </w:r>
            <w:r>
              <w:rPr>
                <w:rStyle w:val="11"/>
                <w:rFonts w:hint="eastAsia"/>
              </w:rPr>
              <w:t>1.如不慎溅入眼睛，立即用大量清水冲洗15分钟以上，并速携此标签就医。如药液溅到皮肤，应马上脱掉污染物，立即用肥皂和足量清水冲洗。如皮肤有持续刺激感觉，请速就医。如误吞服，应立即用清水漱口，严禁引吐，避免呕吐物吸入肺部，并携本标签把患者送医院诊治。 2.治疗：对症治疗。应先洗胃，再用活性炭和硫酸钠处理，监测肝、肾、血红球数及呼吸和心脏功能，透析消除（强制碱利尿）。注意：对昏迷病人，切勿经口喂入任何东西或引吐。尚无特效解毒剂，对症治疗。</w:t>
            </w:r>
          </w:p>
        </w:tc>
      </w:tr>
      <w:tr w14:paraId="220573D0">
        <w:tblPrEx>
          <w:tblCellMar>
            <w:top w:w="0" w:type="dxa"/>
            <w:left w:w="0" w:type="dxa"/>
            <w:bottom w:w="0" w:type="dxa"/>
            <w:right w:w="0" w:type="dxa"/>
          </w:tblCellMar>
        </w:tblPrEx>
        <w:trPr>
          <w:wBefore w:w="0" w:type="auto"/>
          <w:tblCellSpacing w:w="0" w:type="dxa"/>
        </w:trPr>
        <w:tc>
          <w:tcPr>
            <w:tcW w:w="0" w:type="auto"/>
            <w:noWrap w:val="0"/>
            <w:vAlign w:val="center"/>
          </w:tcPr>
          <w:p w14:paraId="14385600">
            <w:r>
              <w:rPr>
                <w:rStyle w:val="10"/>
                <w:rFonts w:hint="eastAsia"/>
              </w:rPr>
              <w:t>储存和运输方法：</w:t>
            </w:r>
            <w:r>
              <w:rPr>
                <w:rFonts w:hint="eastAsia"/>
              </w:rPr>
              <w:br w:type="textWrapping"/>
            </w:r>
            <w:r>
              <w:rPr>
                <w:rStyle w:val="11"/>
                <w:rFonts w:hint="eastAsia"/>
              </w:rPr>
              <w:t>应将原包装置于干燥、阴凉、通风处加锁保存，远离火源、热源及儿童存放。勿与食物、饮料、饲料、种子、肥料等其它产品同贮同运。</w:t>
            </w:r>
          </w:p>
        </w:tc>
      </w:tr>
      <w:tr w14:paraId="540A01C9">
        <w:tblPrEx>
          <w:tblCellMar>
            <w:top w:w="0" w:type="dxa"/>
            <w:left w:w="0" w:type="dxa"/>
            <w:bottom w:w="0" w:type="dxa"/>
            <w:right w:w="0" w:type="dxa"/>
          </w:tblCellMar>
        </w:tblPrEx>
        <w:trPr>
          <w:wBefore w:w="0" w:type="auto"/>
          <w:tblCellSpacing w:w="0" w:type="dxa"/>
        </w:trPr>
        <w:tc>
          <w:tcPr>
            <w:tcW w:w="0" w:type="auto"/>
            <w:noWrap w:val="0"/>
            <w:vAlign w:val="center"/>
          </w:tcPr>
          <w:p w14:paraId="5C837D3E">
            <w:r>
              <w:rPr>
                <w:rStyle w:val="10"/>
                <w:rFonts w:hint="eastAsia"/>
              </w:rPr>
              <w:t>质量保证期：</w:t>
            </w:r>
            <w:r>
              <w:rPr>
                <w:rStyle w:val="11"/>
                <w:rFonts w:hint="eastAsia"/>
              </w:rPr>
              <w:t>2年</w:t>
            </w:r>
          </w:p>
        </w:tc>
      </w:tr>
      <w:tr w14:paraId="6DEE083E">
        <w:tblPrEx>
          <w:tblCellMar>
            <w:top w:w="0" w:type="dxa"/>
            <w:left w:w="0" w:type="dxa"/>
            <w:bottom w:w="0" w:type="dxa"/>
            <w:right w:w="0" w:type="dxa"/>
          </w:tblCellMar>
        </w:tblPrEx>
        <w:trPr>
          <w:wBefore w:w="0" w:type="auto"/>
          <w:tblCellSpacing w:w="0" w:type="dxa"/>
        </w:trPr>
        <w:tc>
          <w:tcPr>
            <w:tcW w:w="0" w:type="auto"/>
            <w:noWrap w:val="0"/>
            <w:vAlign w:val="center"/>
          </w:tcPr>
          <w:p w14:paraId="5E67E7B2">
            <w:r>
              <w:rPr>
                <w:rStyle w:val="10"/>
                <w:rFonts w:hint="eastAsia"/>
              </w:rPr>
              <w:t>备注：</w:t>
            </w:r>
          </w:p>
        </w:tc>
      </w:tr>
    </w:tbl>
    <w:p w14:paraId="5020C9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3D06B4">
        <w:tblPrEx>
          <w:tblCellMar>
            <w:top w:w="0" w:type="dxa"/>
            <w:left w:w="0" w:type="dxa"/>
            <w:bottom w:w="0" w:type="dxa"/>
            <w:right w:w="0" w:type="dxa"/>
          </w:tblCellMar>
        </w:tblPrEx>
        <w:trPr>
          <w:wBefore w:w="0" w:type="auto"/>
          <w:tblCellSpacing w:w="0" w:type="dxa"/>
        </w:trPr>
        <w:tc>
          <w:tcPr>
            <w:tcW w:w="0" w:type="auto"/>
            <w:noWrap w:val="0"/>
            <w:vAlign w:val="center"/>
          </w:tcPr>
          <w:p w14:paraId="4ABAC1C4">
            <w:r>
              <w:rPr>
                <w:rStyle w:val="10"/>
                <w:rFonts w:hint="eastAsia"/>
              </w:rPr>
              <w:t>登记证号：</w:t>
            </w:r>
            <w:r>
              <w:rPr>
                <w:rFonts w:hint="eastAsia"/>
              </w:rPr>
              <w:t>PD20212677</w:t>
            </w:r>
          </w:p>
        </w:tc>
      </w:tr>
      <w:tr w14:paraId="54DDD293">
        <w:tblPrEx>
          <w:tblCellMar>
            <w:top w:w="0" w:type="dxa"/>
            <w:left w:w="0" w:type="dxa"/>
            <w:bottom w:w="0" w:type="dxa"/>
            <w:right w:w="0" w:type="dxa"/>
          </w:tblCellMar>
        </w:tblPrEx>
        <w:trPr>
          <w:wBefore w:w="0" w:type="auto"/>
          <w:tblCellSpacing w:w="0" w:type="dxa"/>
        </w:trPr>
        <w:tc>
          <w:tcPr>
            <w:tcW w:w="0" w:type="auto"/>
            <w:noWrap w:val="0"/>
            <w:vAlign w:val="center"/>
          </w:tcPr>
          <w:p w14:paraId="1BE53ABF">
            <w:r>
              <w:rPr>
                <w:rStyle w:val="10"/>
                <w:rFonts w:hint="eastAsia"/>
              </w:rPr>
              <w:t>登记证持有人：</w:t>
            </w:r>
            <w:r>
              <w:rPr>
                <w:rFonts w:hint="eastAsia"/>
              </w:rPr>
              <w:t>上海悦联生物科技有限公司</w:t>
            </w:r>
          </w:p>
        </w:tc>
      </w:tr>
      <w:tr w14:paraId="2AB426A1">
        <w:tblPrEx>
          <w:tblCellMar>
            <w:top w:w="0" w:type="dxa"/>
            <w:left w:w="0" w:type="dxa"/>
            <w:bottom w:w="0" w:type="dxa"/>
            <w:right w:w="0" w:type="dxa"/>
          </w:tblCellMar>
        </w:tblPrEx>
        <w:trPr>
          <w:wBefore w:w="0" w:type="auto"/>
          <w:tblCellSpacing w:w="0" w:type="dxa"/>
        </w:trPr>
        <w:tc>
          <w:tcPr>
            <w:tcW w:w="0" w:type="auto"/>
            <w:noWrap w:val="0"/>
            <w:vAlign w:val="center"/>
          </w:tcPr>
          <w:p w14:paraId="54ECCB37">
            <w:r>
              <w:rPr>
                <w:rStyle w:val="10"/>
                <w:rFonts w:hint="eastAsia"/>
              </w:rPr>
              <w:t>农药名称：</w:t>
            </w:r>
            <w:r>
              <w:rPr>
                <w:rFonts w:hint="eastAsia"/>
              </w:rPr>
              <w:t>唑醚·氟环唑</w:t>
            </w:r>
          </w:p>
        </w:tc>
      </w:tr>
      <w:tr w14:paraId="6E148C27">
        <w:tblPrEx>
          <w:tblCellMar>
            <w:top w:w="0" w:type="dxa"/>
            <w:left w:w="0" w:type="dxa"/>
            <w:bottom w:w="0" w:type="dxa"/>
            <w:right w:w="0" w:type="dxa"/>
          </w:tblCellMar>
        </w:tblPrEx>
        <w:trPr>
          <w:wBefore w:w="0" w:type="auto"/>
          <w:tblCellSpacing w:w="0" w:type="dxa"/>
        </w:trPr>
        <w:tc>
          <w:tcPr>
            <w:tcW w:w="0" w:type="auto"/>
            <w:noWrap w:val="0"/>
            <w:vAlign w:val="center"/>
          </w:tcPr>
          <w:p w14:paraId="41348D20">
            <w:r>
              <w:rPr>
                <w:rStyle w:val="10"/>
                <w:rFonts w:hint="eastAsia"/>
              </w:rPr>
              <w:t>剂型：</w:t>
            </w:r>
            <w:r>
              <w:rPr>
                <w:rFonts w:hint="eastAsia"/>
              </w:rPr>
              <w:t>微乳剂</w:t>
            </w:r>
          </w:p>
        </w:tc>
      </w:tr>
      <w:tr w14:paraId="314FB920">
        <w:tblPrEx>
          <w:tblCellMar>
            <w:top w:w="0" w:type="dxa"/>
            <w:left w:w="0" w:type="dxa"/>
            <w:bottom w:w="0" w:type="dxa"/>
            <w:right w:w="0" w:type="dxa"/>
          </w:tblCellMar>
        </w:tblPrEx>
        <w:trPr>
          <w:wBefore w:w="0" w:type="auto"/>
          <w:tblCellSpacing w:w="0" w:type="dxa"/>
        </w:trPr>
        <w:tc>
          <w:tcPr>
            <w:tcW w:w="0" w:type="auto"/>
            <w:noWrap w:val="0"/>
            <w:vAlign w:val="center"/>
          </w:tcPr>
          <w:p w14:paraId="5CB59E26">
            <w:r>
              <w:rPr>
                <w:rStyle w:val="10"/>
                <w:rFonts w:hint="eastAsia"/>
              </w:rPr>
              <w:t>毒性及其标识：</w:t>
            </w:r>
            <w:r>
              <w:rPr>
                <w:rFonts w:hint="eastAsia"/>
              </w:rPr>
              <w:t xml:space="preserve"> </w:t>
            </w:r>
            <w:r>
              <w:rPr>
                <w:lang/>
              </w:rPr>
              <w:drawing>
                <wp:inline distT="0" distB="0" distL="114300" distR="114300">
                  <wp:extent cx="476250" cy="323850"/>
                  <wp:effectExtent l="0" t="0" r="0" b="0"/>
                  <wp:docPr id="244" name="图片 2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906315">
        <w:tblPrEx>
          <w:tblCellMar>
            <w:top w:w="0" w:type="dxa"/>
            <w:left w:w="0" w:type="dxa"/>
            <w:bottom w:w="0" w:type="dxa"/>
            <w:right w:w="0" w:type="dxa"/>
          </w:tblCellMar>
        </w:tblPrEx>
        <w:trPr>
          <w:wBefore w:w="0" w:type="auto"/>
          <w:tblCellSpacing w:w="0" w:type="dxa"/>
        </w:trPr>
        <w:tc>
          <w:tcPr>
            <w:tcW w:w="0" w:type="auto"/>
            <w:noWrap w:val="0"/>
            <w:vAlign w:val="center"/>
          </w:tcPr>
          <w:p w14:paraId="563DFC15">
            <w:r>
              <w:rPr>
                <w:rStyle w:val="10"/>
                <w:rFonts w:hint="eastAsia"/>
              </w:rPr>
              <w:t>总有效成分含量：</w:t>
            </w:r>
            <w:r>
              <w:rPr>
                <w:rFonts w:hint="eastAsia"/>
              </w:rPr>
              <w:t>17%</w:t>
            </w:r>
          </w:p>
        </w:tc>
      </w:tr>
      <w:tr w14:paraId="315A39B0">
        <w:tblPrEx>
          <w:tblCellMar>
            <w:top w:w="0" w:type="dxa"/>
            <w:left w:w="0" w:type="dxa"/>
            <w:bottom w:w="0" w:type="dxa"/>
            <w:right w:w="0" w:type="dxa"/>
          </w:tblCellMar>
        </w:tblPrEx>
        <w:trPr>
          <w:wBefore w:w="0" w:type="auto"/>
          <w:tblCellSpacing w:w="0" w:type="dxa"/>
        </w:trPr>
        <w:tc>
          <w:tcPr>
            <w:tcW w:w="0" w:type="auto"/>
            <w:noWrap w:val="0"/>
            <w:vAlign w:val="center"/>
          </w:tcPr>
          <w:p w14:paraId="48D16E97">
            <w:r>
              <w:rPr>
                <w:rFonts w:hint="eastAsia"/>
              </w:rPr>
              <w:t xml:space="preserve">有效成分及其含量： </w:t>
            </w:r>
          </w:p>
          <w:p w14:paraId="64437F53">
            <w:r>
              <w:rPr>
                <w:rFonts w:hint="eastAsia"/>
              </w:rPr>
              <w:t xml:space="preserve">    吡唑醚菌酯12.3%    氟环唑4.7%    </w:t>
            </w:r>
          </w:p>
        </w:tc>
      </w:tr>
      <w:tr w14:paraId="09DBA174">
        <w:tblPrEx>
          <w:tblCellMar>
            <w:top w:w="0" w:type="dxa"/>
            <w:left w:w="0" w:type="dxa"/>
            <w:bottom w:w="0" w:type="dxa"/>
            <w:right w:w="0" w:type="dxa"/>
          </w:tblCellMar>
        </w:tblPrEx>
        <w:trPr>
          <w:wBefore w:w="0" w:type="auto"/>
          <w:tblCellSpacing w:w="0" w:type="dxa"/>
        </w:trPr>
        <w:tc>
          <w:tcPr>
            <w:tcW w:w="0" w:type="auto"/>
            <w:noWrap w:val="0"/>
            <w:vAlign w:val="center"/>
          </w:tcPr>
          <w:p w14:paraId="00C795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DDE3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3FB4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EADC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FA6E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3838B1">
                  <w:r>
                    <w:rPr>
                      <w:rStyle w:val="11"/>
                      <w:rFonts w:hint="eastAsia"/>
                    </w:rPr>
                    <w:t>施用方式</w:t>
                  </w:r>
                </w:p>
              </w:tc>
            </w:tr>
            <w:tr w14:paraId="6A082A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F98F26">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8E70A0">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AA8AA">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07BC41">
                  <w:r>
                    <w:rPr>
                      <w:rStyle w:val="11"/>
                      <w:rFonts w:hint="eastAsia"/>
                    </w:rPr>
                    <w:t>喷雾</w:t>
                  </w:r>
                </w:p>
              </w:tc>
            </w:tr>
          </w:tbl>
          <w:p w14:paraId="16541A0A">
            <w:pPr>
              <w:rPr>
                <w:rFonts w:ascii="Times New Roman" w:hAnsi="Times New Roman" w:cs="Times New Roman"/>
                <w:sz w:val="20"/>
                <w:szCs w:val="20"/>
              </w:rPr>
            </w:pPr>
          </w:p>
        </w:tc>
      </w:tr>
      <w:tr w14:paraId="33D2B3FA">
        <w:tblPrEx>
          <w:tblCellMar>
            <w:top w:w="0" w:type="dxa"/>
            <w:left w:w="0" w:type="dxa"/>
            <w:bottom w:w="0" w:type="dxa"/>
            <w:right w:w="0" w:type="dxa"/>
          </w:tblCellMar>
        </w:tblPrEx>
        <w:trPr>
          <w:wBefore w:w="0" w:type="auto"/>
          <w:tblCellSpacing w:w="0" w:type="dxa"/>
        </w:trPr>
        <w:tc>
          <w:tcPr>
            <w:tcW w:w="0" w:type="auto"/>
            <w:noWrap w:val="0"/>
            <w:vAlign w:val="center"/>
          </w:tcPr>
          <w:p w14:paraId="3EE7F98D">
            <w:r>
              <w:rPr>
                <w:rStyle w:val="10"/>
                <w:rFonts w:hint="eastAsia"/>
              </w:rPr>
              <w:t>使用技术要求:</w:t>
            </w:r>
            <w:r>
              <w:rPr>
                <w:rFonts w:hint="eastAsia"/>
              </w:rPr>
              <w:br w:type="textWrapping"/>
            </w:r>
            <w:r>
              <w:rPr>
                <w:rStyle w:val="11"/>
                <w:rFonts w:hint="eastAsia"/>
              </w:rPr>
              <w:t>1. 本品应于玉米大斑病发病前或发病初期用药，注意兑水均匀喷雾。每隔7-10天喷药一次，视病害发生情况，可连喷2-3次。 2. 大风天或预计1小时内有雨，请勿施药。 3. 本品在玉米上的安全间隔期为14天，每季最多施用3次。</w:t>
            </w:r>
          </w:p>
        </w:tc>
      </w:tr>
      <w:tr w14:paraId="274692D1">
        <w:tblPrEx>
          <w:tblCellMar>
            <w:top w:w="0" w:type="dxa"/>
            <w:left w:w="0" w:type="dxa"/>
            <w:bottom w:w="0" w:type="dxa"/>
            <w:right w:w="0" w:type="dxa"/>
          </w:tblCellMar>
        </w:tblPrEx>
        <w:trPr>
          <w:wBefore w:w="0" w:type="auto"/>
          <w:tblCellSpacing w:w="0" w:type="dxa"/>
        </w:trPr>
        <w:tc>
          <w:tcPr>
            <w:tcW w:w="0" w:type="auto"/>
            <w:noWrap w:val="0"/>
            <w:vAlign w:val="center"/>
          </w:tcPr>
          <w:p w14:paraId="7B60E2DB">
            <w:r>
              <w:rPr>
                <w:rStyle w:val="10"/>
                <w:rFonts w:hint="eastAsia"/>
              </w:rPr>
              <w:t>产品性能:</w:t>
            </w:r>
            <w:r>
              <w:rPr>
                <w:rFonts w:hint="eastAsia"/>
              </w:rPr>
              <w:br w:type="textWrapping"/>
            </w:r>
            <w:r>
              <w:rPr>
                <w:rStyle w:val="11"/>
                <w:rFonts w:hint="eastAsia"/>
              </w:rPr>
              <w:t>本品是由吡唑醚菌酯和氟环唑复配而成的杀菌剂。吡唑醚菌酯为醌外抑制剂，通过阻止细胞色素bc1复合体的电子传递，从而抑制线粒体呼吸，达到杀菌的作用。氟环唑能有效抑制病菌原真菌，提高作物的几丁质酶活性，导致真菌吸器的收缩，抑制病菌侵入。两者混配，增效明显，具有保护、治疗、叶片渗透传导作用，能较好的防治玉米大斑病。</w:t>
            </w:r>
          </w:p>
        </w:tc>
      </w:tr>
      <w:tr w14:paraId="09207336">
        <w:tblPrEx>
          <w:tblCellMar>
            <w:top w:w="0" w:type="dxa"/>
            <w:left w:w="0" w:type="dxa"/>
            <w:bottom w:w="0" w:type="dxa"/>
            <w:right w:w="0" w:type="dxa"/>
          </w:tblCellMar>
        </w:tblPrEx>
        <w:trPr>
          <w:wBefore w:w="0" w:type="auto"/>
          <w:tblCellSpacing w:w="0" w:type="dxa"/>
        </w:trPr>
        <w:tc>
          <w:tcPr>
            <w:tcW w:w="0" w:type="auto"/>
            <w:noWrap w:val="0"/>
            <w:vAlign w:val="center"/>
          </w:tcPr>
          <w:p w14:paraId="3832FFC8">
            <w:r>
              <w:rPr>
                <w:rStyle w:val="10"/>
                <w:rFonts w:hint="eastAsia"/>
              </w:rPr>
              <w:t>注意事项：</w:t>
            </w:r>
            <w:r>
              <w:rPr>
                <w:rFonts w:hint="eastAsia"/>
              </w:rPr>
              <w:br w:type="textWrapping"/>
            </w:r>
            <w:r>
              <w:rPr>
                <w:rStyle w:val="11"/>
                <w:rFonts w:hint="eastAsia"/>
              </w:rPr>
              <w:t>1. 本品对眼睛有刺激性，使用时穿戴长衣、长裤、帽子、口罩、手套等防护措施，避免皮肤、眼睛接触和口鼻吸入。使用中不可吸烟、饮水和吃东西，使用后及时清洗手、脸等暴露部位皮肤并更换衣物。 2. 本品对水生生物有毒，远离水产养殖区施药，禁止在池塘、河流、湖泊等水域中清洗施药器械。药液及其废液不得污染各类水域、土壤等环境。鸟类保护区、鸟类栖息地、养殖场及其附近禁用。桑园及蚕室附近禁用。 3. 建议与其他作用机制不同的杀菌剂轮换使用，以延缓抗性产生。 4. 不得与碱性农药等物质混用。 5. 用过的容器应妥善处理，不可做他用，也不可随意丢弃。 6. 避免孕妇及哺乳期妇女接触。</w:t>
            </w:r>
          </w:p>
        </w:tc>
      </w:tr>
      <w:tr w14:paraId="0680A116">
        <w:tblPrEx>
          <w:tblCellMar>
            <w:top w:w="0" w:type="dxa"/>
            <w:left w:w="0" w:type="dxa"/>
            <w:bottom w:w="0" w:type="dxa"/>
            <w:right w:w="0" w:type="dxa"/>
          </w:tblCellMar>
        </w:tblPrEx>
        <w:trPr>
          <w:wBefore w:w="0" w:type="auto"/>
          <w:tblCellSpacing w:w="0" w:type="dxa"/>
        </w:trPr>
        <w:tc>
          <w:tcPr>
            <w:tcW w:w="0" w:type="auto"/>
            <w:noWrap w:val="0"/>
            <w:vAlign w:val="center"/>
          </w:tcPr>
          <w:p w14:paraId="7F1E2CE1">
            <w:r>
              <w:rPr>
                <w:rStyle w:val="10"/>
                <w:rFonts w:hint="eastAsia"/>
              </w:rPr>
              <w:t>中毒急救措施：</w:t>
            </w:r>
            <w:r>
              <w:rPr>
                <w:rFonts w:hint="eastAsia"/>
              </w:rPr>
              <w:br w:type="textWrapping"/>
            </w:r>
            <w:r>
              <w:rPr>
                <w:rStyle w:val="11"/>
                <w:rFonts w:hint="eastAsia"/>
              </w:rPr>
              <w:t>中毒症状：对眼睛和皮肤有刺激性。 急救措施：使用中或使用后如果感觉不适，应立即停止工作，采取急救措施，并携带标签送医院就诊。 1. 皮肤接触：脱去污染衣物，立即用软布去除沾染农药，用大量清水和肥皂冲洗。 2. 眼睛接触：如溅入眼睛立即用流动清水冲洗不少于15分钟，送医院就治。 3. 吸入：立即离开施药现场，转移至空气新鲜处；呼吸有困难，可采用人工呼吸。 4. 误服：立即携此农药标签到医院就诊。本品无特效解毒剂。</w:t>
            </w:r>
          </w:p>
        </w:tc>
      </w:tr>
      <w:tr w14:paraId="571D3B0C">
        <w:tblPrEx>
          <w:tblCellMar>
            <w:top w:w="0" w:type="dxa"/>
            <w:left w:w="0" w:type="dxa"/>
            <w:bottom w:w="0" w:type="dxa"/>
            <w:right w:w="0" w:type="dxa"/>
          </w:tblCellMar>
        </w:tblPrEx>
        <w:trPr>
          <w:wBefore w:w="0" w:type="auto"/>
          <w:tblCellSpacing w:w="0" w:type="dxa"/>
        </w:trPr>
        <w:tc>
          <w:tcPr>
            <w:tcW w:w="0" w:type="auto"/>
            <w:noWrap w:val="0"/>
            <w:vAlign w:val="center"/>
          </w:tcPr>
          <w:p w14:paraId="1B5D5F5F">
            <w:r>
              <w:rPr>
                <w:rStyle w:val="10"/>
                <w:rFonts w:hint="eastAsia"/>
              </w:rPr>
              <w:t>储存和运输方法：</w:t>
            </w:r>
            <w:r>
              <w:rPr>
                <w:rFonts w:hint="eastAsia"/>
              </w:rPr>
              <w:br w:type="textWrapping"/>
            </w:r>
            <w:r>
              <w:rPr>
                <w:rStyle w:val="11"/>
                <w:rFonts w:hint="eastAsia"/>
              </w:rPr>
              <w:t>1. 贮存在阴凉、通风仓库内；本品属易燃液体，远离火源或热源。 2. 本品应当置于儿童、无关人员及动物接触不到的地方，并加锁保存。 3. 不能与食品、饮料、粮食、饲料等混合储存。</w:t>
            </w:r>
          </w:p>
        </w:tc>
      </w:tr>
      <w:tr w14:paraId="4BDA6C47">
        <w:tblPrEx>
          <w:tblCellMar>
            <w:top w:w="0" w:type="dxa"/>
            <w:left w:w="0" w:type="dxa"/>
            <w:bottom w:w="0" w:type="dxa"/>
            <w:right w:w="0" w:type="dxa"/>
          </w:tblCellMar>
        </w:tblPrEx>
        <w:trPr>
          <w:wBefore w:w="0" w:type="auto"/>
          <w:tblCellSpacing w:w="0" w:type="dxa"/>
        </w:trPr>
        <w:tc>
          <w:tcPr>
            <w:tcW w:w="0" w:type="auto"/>
            <w:noWrap w:val="0"/>
            <w:vAlign w:val="center"/>
          </w:tcPr>
          <w:p w14:paraId="0226CBD4">
            <w:r>
              <w:rPr>
                <w:rStyle w:val="10"/>
                <w:rFonts w:hint="eastAsia"/>
              </w:rPr>
              <w:t>质量保证期：</w:t>
            </w:r>
            <w:r>
              <w:rPr>
                <w:rStyle w:val="11"/>
                <w:rFonts w:hint="eastAsia"/>
              </w:rPr>
              <w:t>2年</w:t>
            </w:r>
          </w:p>
        </w:tc>
      </w:tr>
      <w:tr w14:paraId="3CC19561">
        <w:tblPrEx>
          <w:tblCellMar>
            <w:top w:w="0" w:type="dxa"/>
            <w:left w:w="0" w:type="dxa"/>
            <w:bottom w:w="0" w:type="dxa"/>
            <w:right w:w="0" w:type="dxa"/>
          </w:tblCellMar>
        </w:tblPrEx>
        <w:trPr>
          <w:wBefore w:w="0" w:type="auto"/>
          <w:tblCellSpacing w:w="0" w:type="dxa"/>
        </w:trPr>
        <w:tc>
          <w:tcPr>
            <w:tcW w:w="0" w:type="auto"/>
            <w:noWrap w:val="0"/>
            <w:vAlign w:val="center"/>
          </w:tcPr>
          <w:p w14:paraId="36DDC5B1">
            <w:r>
              <w:rPr>
                <w:rStyle w:val="10"/>
                <w:rFonts w:hint="eastAsia"/>
              </w:rPr>
              <w:t>备注：</w:t>
            </w:r>
          </w:p>
        </w:tc>
      </w:tr>
    </w:tbl>
    <w:p w14:paraId="34A1CD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1751B1">
        <w:tblPrEx>
          <w:tblCellMar>
            <w:top w:w="0" w:type="dxa"/>
            <w:left w:w="0" w:type="dxa"/>
            <w:bottom w:w="0" w:type="dxa"/>
            <w:right w:w="0" w:type="dxa"/>
          </w:tblCellMar>
        </w:tblPrEx>
        <w:trPr>
          <w:wBefore w:w="0" w:type="auto"/>
          <w:tblCellSpacing w:w="0" w:type="dxa"/>
        </w:trPr>
        <w:tc>
          <w:tcPr>
            <w:tcW w:w="0" w:type="auto"/>
            <w:noWrap w:val="0"/>
            <w:vAlign w:val="center"/>
          </w:tcPr>
          <w:p w14:paraId="702F2313">
            <w:r>
              <w:rPr>
                <w:rStyle w:val="10"/>
                <w:rFonts w:hint="eastAsia"/>
              </w:rPr>
              <w:t>登记证号：</w:t>
            </w:r>
            <w:r>
              <w:rPr>
                <w:rFonts w:hint="eastAsia"/>
              </w:rPr>
              <w:t>PD20212424</w:t>
            </w:r>
          </w:p>
        </w:tc>
      </w:tr>
      <w:tr w14:paraId="6D25691C">
        <w:tblPrEx>
          <w:tblCellMar>
            <w:top w:w="0" w:type="dxa"/>
            <w:left w:w="0" w:type="dxa"/>
            <w:bottom w:w="0" w:type="dxa"/>
            <w:right w:w="0" w:type="dxa"/>
          </w:tblCellMar>
        </w:tblPrEx>
        <w:trPr>
          <w:wBefore w:w="0" w:type="auto"/>
          <w:tblCellSpacing w:w="0" w:type="dxa"/>
        </w:trPr>
        <w:tc>
          <w:tcPr>
            <w:tcW w:w="0" w:type="auto"/>
            <w:noWrap w:val="0"/>
            <w:vAlign w:val="center"/>
          </w:tcPr>
          <w:p w14:paraId="08070282">
            <w:r>
              <w:rPr>
                <w:rStyle w:val="10"/>
                <w:rFonts w:hint="eastAsia"/>
              </w:rPr>
              <w:t>登记证持有人：</w:t>
            </w:r>
            <w:r>
              <w:rPr>
                <w:rFonts w:hint="eastAsia"/>
              </w:rPr>
              <w:t>南宁市德丰富化工有限责任公司</w:t>
            </w:r>
          </w:p>
        </w:tc>
      </w:tr>
      <w:tr w14:paraId="080D53C5">
        <w:tblPrEx>
          <w:tblCellMar>
            <w:top w:w="0" w:type="dxa"/>
            <w:left w:w="0" w:type="dxa"/>
            <w:bottom w:w="0" w:type="dxa"/>
            <w:right w:w="0" w:type="dxa"/>
          </w:tblCellMar>
        </w:tblPrEx>
        <w:trPr>
          <w:wBefore w:w="0" w:type="auto"/>
          <w:tblCellSpacing w:w="0" w:type="dxa"/>
        </w:trPr>
        <w:tc>
          <w:tcPr>
            <w:tcW w:w="0" w:type="auto"/>
            <w:noWrap w:val="0"/>
            <w:vAlign w:val="center"/>
          </w:tcPr>
          <w:p w14:paraId="17680C46">
            <w:r>
              <w:rPr>
                <w:rStyle w:val="10"/>
                <w:rFonts w:hint="eastAsia"/>
              </w:rPr>
              <w:t>农药名称：</w:t>
            </w:r>
            <w:r>
              <w:rPr>
                <w:rFonts w:hint="eastAsia"/>
              </w:rPr>
              <w:t>虫螨腈·唑虫酰胺</w:t>
            </w:r>
          </w:p>
        </w:tc>
      </w:tr>
      <w:tr w14:paraId="4D42F9E4">
        <w:tblPrEx>
          <w:tblCellMar>
            <w:top w:w="0" w:type="dxa"/>
            <w:left w:w="0" w:type="dxa"/>
            <w:bottom w:w="0" w:type="dxa"/>
            <w:right w:w="0" w:type="dxa"/>
          </w:tblCellMar>
        </w:tblPrEx>
        <w:trPr>
          <w:wBefore w:w="0" w:type="auto"/>
          <w:tblCellSpacing w:w="0" w:type="dxa"/>
        </w:trPr>
        <w:tc>
          <w:tcPr>
            <w:tcW w:w="0" w:type="auto"/>
            <w:noWrap w:val="0"/>
            <w:vAlign w:val="center"/>
          </w:tcPr>
          <w:p w14:paraId="2514FE23">
            <w:r>
              <w:rPr>
                <w:rStyle w:val="10"/>
                <w:rFonts w:hint="eastAsia"/>
              </w:rPr>
              <w:t>剂型：</w:t>
            </w:r>
            <w:r>
              <w:rPr>
                <w:rFonts w:hint="eastAsia"/>
              </w:rPr>
              <w:t>悬浮剂</w:t>
            </w:r>
          </w:p>
        </w:tc>
      </w:tr>
      <w:tr w14:paraId="077FF098">
        <w:tblPrEx>
          <w:tblCellMar>
            <w:top w:w="0" w:type="dxa"/>
            <w:left w:w="0" w:type="dxa"/>
            <w:bottom w:w="0" w:type="dxa"/>
            <w:right w:w="0" w:type="dxa"/>
          </w:tblCellMar>
        </w:tblPrEx>
        <w:trPr>
          <w:wBefore w:w="0" w:type="auto"/>
          <w:tblCellSpacing w:w="0" w:type="dxa"/>
        </w:trPr>
        <w:tc>
          <w:tcPr>
            <w:tcW w:w="0" w:type="auto"/>
            <w:noWrap w:val="0"/>
            <w:vAlign w:val="center"/>
          </w:tcPr>
          <w:p w14:paraId="7379DAE3">
            <w:r>
              <w:rPr>
                <w:rStyle w:val="10"/>
                <w:rFonts w:hint="eastAsia"/>
              </w:rPr>
              <w:t>毒性及其标识：</w:t>
            </w:r>
            <w:r>
              <w:rPr>
                <w:rFonts w:hint="eastAsia"/>
              </w:rPr>
              <w:t xml:space="preserve"> </w:t>
            </w:r>
            <w:r>
              <w:rPr>
                <w:lang/>
              </w:rPr>
              <w:drawing>
                <wp:inline distT="0" distB="0" distL="114300" distR="114300">
                  <wp:extent cx="476250" cy="323850"/>
                  <wp:effectExtent l="0" t="0" r="0" b="0"/>
                  <wp:docPr id="245" name="图片 245"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13A8DEF">
        <w:tblPrEx>
          <w:tblCellMar>
            <w:top w:w="0" w:type="dxa"/>
            <w:left w:w="0" w:type="dxa"/>
            <w:bottom w:w="0" w:type="dxa"/>
            <w:right w:w="0" w:type="dxa"/>
          </w:tblCellMar>
        </w:tblPrEx>
        <w:trPr>
          <w:wBefore w:w="0" w:type="auto"/>
          <w:tblCellSpacing w:w="0" w:type="dxa"/>
        </w:trPr>
        <w:tc>
          <w:tcPr>
            <w:tcW w:w="0" w:type="auto"/>
            <w:noWrap w:val="0"/>
            <w:vAlign w:val="center"/>
          </w:tcPr>
          <w:p w14:paraId="0932CB32">
            <w:r>
              <w:rPr>
                <w:rStyle w:val="10"/>
                <w:rFonts w:hint="eastAsia"/>
              </w:rPr>
              <w:t>总有效成分含量：</w:t>
            </w:r>
            <w:r>
              <w:rPr>
                <w:rFonts w:hint="eastAsia"/>
              </w:rPr>
              <w:t>30%</w:t>
            </w:r>
          </w:p>
        </w:tc>
      </w:tr>
      <w:tr w14:paraId="00C5A6B3">
        <w:tblPrEx>
          <w:tblCellMar>
            <w:top w:w="0" w:type="dxa"/>
            <w:left w:w="0" w:type="dxa"/>
            <w:bottom w:w="0" w:type="dxa"/>
            <w:right w:w="0" w:type="dxa"/>
          </w:tblCellMar>
        </w:tblPrEx>
        <w:trPr>
          <w:wBefore w:w="0" w:type="auto"/>
          <w:tblCellSpacing w:w="0" w:type="dxa"/>
        </w:trPr>
        <w:tc>
          <w:tcPr>
            <w:tcW w:w="0" w:type="auto"/>
            <w:noWrap w:val="0"/>
            <w:vAlign w:val="center"/>
          </w:tcPr>
          <w:p w14:paraId="558741A0">
            <w:r>
              <w:rPr>
                <w:rFonts w:hint="eastAsia"/>
              </w:rPr>
              <w:t xml:space="preserve">有效成分及其含量： </w:t>
            </w:r>
          </w:p>
          <w:p w14:paraId="0B420598">
            <w:r>
              <w:rPr>
                <w:rFonts w:hint="eastAsia"/>
              </w:rPr>
              <w:t xml:space="preserve">    唑虫酰胺15%    虫螨腈15%    </w:t>
            </w:r>
          </w:p>
        </w:tc>
      </w:tr>
      <w:tr w14:paraId="47D2C103">
        <w:tblPrEx>
          <w:tblCellMar>
            <w:top w:w="0" w:type="dxa"/>
            <w:left w:w="0" w:type="dxa"/>
            <w:bottom w:w="0" w:type="dxa"/>
            <w:right w:w="0" w:type="dxa"/>
          </w:tblCellMar>
        </w:tblPrEx>
        <w:trPr>
          <w:wBefore w:w="0" w:type="auto"/>
          <w:tblCellSpacing w:w="0" w:type="dxa"/>
        </w:trPr>
        <w:tc>
          <w:tcPr>
            <w:tcW w:w="0" w:type="auto"/>
            <w:noWrap w:val="0"/>
            <w:vAlign w:val="center"/>
          </w:tcPr>
          <w:p w14:paraId="2CAB95B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FF88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C379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8F2290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F7832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9CE3C4">
                  <w:r>
                    <w:rPr>
                      <w:rStyle w:val="11"/>
                      <w:rFonts w:hint="eastAsia"/>
                    </w:rPr>
                    <w:t>施用方式</w:t>
                  </w:r>
                </w:p>
              </w:tc>
            </w:tr>
            <w:tr w14:paraId="23E2D0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509F8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B7CE0A">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46C984">
                  <w:r>
                    <w:rPr>
                      <w:rStyle w:val="11"/>
                      <w:rFonts w:hint="eastAsia"/>
                    </w:rPr>
                    <w:t>24-32毫升/亩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15DE6A">
                  <w:r>
                    <w:rPr>
                      <w:rStyle w:val="11"/>
                      <w:rFonts w:hint="eastAsia"/>
                    </w:rPr>
                    <w:t>喷雾</w:t>
                  </w:r>
                </w:p>
              </w:tc>
            </w:tr>
          </w:tbl>
          <w:p w14:paraId="1A977BF8">
            <w:pPr>
              <w:rPr>
                <w:rFonts w:ascii="Times New Roman" w:hAnsi="Times New Roman" w:cs="Times New Roman"/>
                <w:sz w:val="20"/>
                <w:szCs w:val="20"/>
              </w:rPr>
            </w:pPr>
          </w:p>
        </w:tc>
      </w:tr>
      <w:tr w14:paraId="037D54DD">
        <w:tblPrEx>
          <w:tblCellMar>
            <w:top w:w="0" w:type="dxa"/>
            <w:left w:w="0" w:type="dxa"/>
            <w:bottom w:w="0" w:type="dxa"/>
            <w:right w:w="0" w:type="dxa"/>
          </w:tblCellMar>
        </w:tblPrEx>
        <w:trPr>
          <w:wBefore w:w="0" w:type="auto"/>
          <w:tblCellSpacing w:w="0" w:type="dxa"/>
        </w:trPr>
        <w:tc>
          <w:tcPr>
            <w:tcW w:w="0" w:type="auto"/>
            <w:noWrap w:val="0"/>
            <w:vAlign w:val="center"/>
          </w:tcPr>
          <w:p w14:paraId="4C338D8B">
            <w:r>
              <w:rPr>
                <w:rStyle w:val="10"/>
                <w:rFonts w:hint="eastAsia"/>
              </w:rPr>
              <w:t>使用技术要求:</w:t>
            </w:r>
            <w:r>
              <w:rPr>
                <w:rFonts w:hint="eastAsia"/>
              </w:rPr>
              <w:br w:type="textWrapping"/>
            </w:r>
            <w:r>
              <w:rPr>
                <w:rStyle w:val="11"/>
                <w:rFonts w:hint="eastAsia"/>
              </w:rPr>
              <w:t>1.使用本品应掌握在甘蓝黄条跳甲低龄幼虫期或成虫始盛期施药。于早上或傍晚施药效果最佳。 2.在甘蓝上的安全间隔为10天，每季作物最多使用1次。 3.大风天或预计1小时内有降雨，请勿用药。</w:t>
            </w:r>
          </w:p>
        </w:tc>
      </w:tr>
      <w:tr w14:paraId="429E0D41">
        <w:tblPrEx>
          <w:tblCellMar>
            <w:top w:w="0" w:type="dxa"/>
            <w:left w:w="0" w:type="dxa"/>
            <w:bottom w:w="0" w:type="dxa"/>
            <w:right w:w="0" w:type="dxa"/>
          </w:tblCellMar>
        </w:tblPrEx>
        <w:trPr>
          <w:wBefore w:w="0" w:type="auto"/>
          <w:tblCellSpacing w:w="0" w:type="dxa"/>
        </w:trPr>
        <w:tc>
          <w:tcPr>
            <w:tcW w:w="0" w:type="auto"/>
            <w:noWrap w:val="0"/>
            <w:vAlign w:val="center"/>
          </w:tcPr>
          <w:p w14:paraId="4D581380">
            <w:r>
              <w:rPr>
                <w:rStyle w:val="10"/>
                <w:rFonts w:hint="eastAsia"/>
              </w:rPr>
              <w:t>产品性能:</w:t>
            </w:r>
            <w:r>
              <w:rPr>
                <w:rFonts w:hint="eastAsia"/>
              </w:rPr>
              <w:br w:type="textWrapping"/>
            </w:r>
            <w:r>
              <w:rPr>
                <w:rStyle w:val="11"/>
                <w:rFonts w:hint="eastAsia"/>
              </w:rPr>
              <w:t>本品是唑虫酰胺和虫螨腈配制而成的杀虫剂，具有抑食、触杀、胃毒作用，对防治甘蓝黄条跳甲有较好的防治效果。</w:t>
            </w:r>
          </w:p>
        </w:tc>
      </w:tr>
      <w:tr w14:paraId="57AD9128">
        <w:tblPrEx>
          <w:tblCellMar>
            <w:top w:w="0" w:type="dxa"/>
            <w:left w:w="0" w:type="dxa"/>
            <w:bottom w:w="0" w:type="dxa"/>
            <w:right w:w="0" w:type="dxa"/>
          </w:tblCellMar>
        </w:tblPrEx>
        <w:trPr>
          <w:wBefore w:w="0" w:type="auto"/>
          <w:tblCellSpacing w:w="0" w:type="dxa"/>
        </w:trPr>
        <w:tc>
          <w:tcPr>
            <w:tcW w:w="0" w:type="auto"/>
            <w:noWrap w:val="0"/>
            <w:vAlign w:val="center"/>
          </w:tcPr>
          <w:p w14:paraId="743D29AA">
            <w:r>
              <w:rPr>
                <w:rStyle w:val="10"/>
                <w:rFonts w:hint="eastAsia"/>
              </w:rPr>
              <w:t>注意事项：</w:t>
            </w:r>
            <w:r>
              <w:rPr>
                <w:rFonts w:hint="eastAsia"/>
              </w:rPr>
              <w:br w:type="textWrapping"/>
            </w:r>
            <w:r>
              <w:rPr>
                <w:rStyle w:val="11"/>
                <w:rFonts w:hint="eastAsia"/>
              </w:rPr>
              <w:t>1.使用时应穿戴防护用品，避免药液溅入眼睛和接触皮肤。施药期间不可吃东西和饮水。施药后应及时洗手或洗脸。 2.本品对家蚕、蜜蜂、鱼类和溞类毒性较高，(周围)开花植物开花期间禁用，施用农药3日前告知所在地及邻近3000米以内的养蜂者，施药期间应密切注意对附近蜂群的影响；蚕室及桑园附近禁用；瓢虫、赤眼蜂等天敌放飞区域禁用此产品；鸟类保护区禁用。远离水产养殖区施药，避免药液流入河流、湖泊和鱼塘中，残液严禁倒入河中，禁止在江河、湖泊中清洗施药器械。 3.本品不能与碱性农药等物质混用。 4.建议与不同作用机制的杀虫剂轮换使用。 5.用过的容器应妥善处理，不要做他用，也不可随意丢弃。 6.孕妇及哺乳期妇女禁止接触本品。</w:t>
            </w:r>
          </w:p>
        </w:tc>
      </w:tr>
      <w:tr w14:paraId="495D0217">
        <w:tblPrEx>
          <w:tblCellMar>
            <w:top w:w="0" w:type="dxa"/>
            <w:left w:w="0" w:type="dxa"/>
            <w:bottom w:w="0" w:type="dxa"/>
            <w:right w:w="0" w:type="dxa"/>
          </w:tblCellMar>
        </w:tblPrEx>
        <w:trPr>
          <w:wBefore w:w="0" w:type="auto"/>
          <w:tblCellSpacing w:w="0" w:type="dxa"/>
        </w:trPr>
        <w:tc>
          <w:tcPr>
            <w:tcW w:w="0" w:type="auto"/>
            <w:noWrap w:val="0"/>
            <w:vAlign w:val="center"/>
          </w:tcPr>
          <w:p w14:paraId="1AD1C1C5">
            <w:r>
              <w:rPr>
                <w:rStyle w:val="10"/>
                <w:rFonts w:hint="eastAsia"/>
              </w:rPr>
              <w:t>中毒急救措施：</w:t>
            </w:r>
            <w:r>
              <w:rPr>
                <w:rFonts w:hint="eastAsia"/>
              </w:rPr>
              <w:br w:type="textWrapping"/>
            </w:r>
            <w:r>
              <w:rPr>
                <w:rStyle w:val="11"/>
                <w:rFonts w:hint="eastAsia"/>
              </w:rPr>
              <w:t>本品对眼睛有刺激性。使用中或使用后如果感觉不适，应立即停止工作，采取急救措施，并携带标签送医就诊。 1.如接触皮肤，用肥皂和大量清水彻底清洗受污的皮肤；如不慎吸入，应将病人移至空气流通处。 2.如溅及眼睛，用大量清水冲洗眼睛至少15分钟；严重者送医就诊； 3.如误服，立即携带标签，送医就诊，对症治疗。</w:t>
            </w:r>
          </w:p>
        </w:tc>
      </w:tr>
      <w:tr w14:paraId="32A9597F">
        <w:tblPrEx>
          <w:tblCellMar>
            <w:top w:w="0" w:type="dxa"/>
            <w:left w:w="0" w:type="dxa"/>
            <w:bottom w:w="0" w:type="dxa"/>
            <w:right w:w="0" w:type="dxa"/>
          </w:tblCellMar>
        </w:tblPrEx>
        <w:trPr>
          <w:wBefore w:w="0" w:type="auto"/>
          <w:tblCellSpacing w:w="0" w:type="dxa"/>
        </w:trPr>
        <w:tc>
          <w:tcPr>
            <w:tcW w:w="0" w:type="auto"/>
            <w:noWrap w:val="0"/>
            <w:vAlign w:val="center"/>
          </w:tcPr>
          <w:p w14:paraId="4C2A8F1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本品应贮存在干燥、阴凉、通风、防雨处，远离火源或热源。置于儿童触及不到之处，并加锁。勿与食品、饮料、粮食、种子、饲料等同贮同运。</w:t>
            </w:r>
          </w:p>
        </w:tc>
      </w:tr>
      <w:tr w14:paraId="5011DB79">
        <w:tblPrEx>
          <w:tblCellMar>
            <w:top w:w="0" w:type="dxa"/>
            <w:left w:w="0" w:type="dxa"/>
            <w:bottom w:w="0" w:type="dxa"/>
            <w:right w:w="0" w:type="dxa"/>
          </w:tblCellMar>
        </w:tblPrEx>
        <w:trPr>
          <w:wBefore w:w="0" w:type="auto"/>
          <w:tblCellSpacing w:w="0" w:type="dxa"/>
        </w:trPr>
        <w:tc>
          <w:tcPr>
            <w:tcW w:w="0" w:type="auto"/>
            <w:noWrap w:val="0"/>
            <w:vAlign w:val="center"/>
          </w:tcPr>
          <w:p w14:paraId="04C50A12">
            <w:r>
              <w:rPr>
                <w:rStyle w:val="10"/>
                <w:rFonts w:hint="eastAsia"/>
              </w:rPr>
              <w:t>质量保证期：</w:t>
            </w:r>
            <w:r>
              <w:rPr>
                <w:rStyle w:val="11"/>
                <w:rFonts w:hint="eastAsia"/>
              </w:rPr>
              <w:t>2年</w:t>
            </w:r>
          </w:p>
        </w:tc>
      </w:tr>
      <w:tr w14:paraId="717603FD">
        <w:tblPrEx>
          <w:tblCellMar>
            <w:top w:w="0" w:type="dxa"/>
            <w:left w:w="0" w:type="dxa"/>
            <w:bottom w:w="0" w:type="dxa"/>
            <w:right w:w="0" w:type="dxa"/>
          </w:tblCellMar>
        </w:tblPrEx>
        <w:trPr>
          <w:wBefore w:w="0" w:type="auto"/>
          <w:tblCellSpacing w:w="0" w:type="dxa"/>
        </w:trPr>
        <w:tc>
          <w:tcPr>
            <w:tcW w:w="0" w:type="auto"/>
            <w:noWrap w:val="0"/>
            <w:vAlign w:val="center"/>
          </w:tcPr>
          <w:p w14:paraId="2B122A74">
            <w:r>
              <w:rPr>
                <w:rStyle w:val="10"/>
                <w:rFonts w:hint="eastAsia"/>
              </w:rPr>
              <w:t>备注：</w:t>
            </w:r>
          </w:p>
        </w:tc>
      </w:tr>
    </w:tbl>
    <w:p w14:paraId="54A1299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7F40AD">
        <w:tblPrEx>
          <w:tblCellMar>
            <w:top w:w="0" w:type="dxa"/>
            <w:left w:w="0" w:type="dxa"/>
            <w:bottom w:w="0" w:type="dxa"/>
            <w:right w:w="0" w:type="dxa"/>
          </w:tblCellMar>
        </w:tblPrEx>
        <w:trPr>
          <w:wBefore w:w="0" w:type="auto"/>
          <w:tblCellSpacing w:w="0" w:type="dxa"/>
        </w:trPr>
        <w:tc>
          <w:tcPr>
            <w:tcW w:w="0" w:type="auto"/>
            <w:noWrap w:val="0"/>
            <w:vAlign w:val="center"/>
          </w:tcPr>
          <w:p w14:paraId="04DB8A8E">
            <w:r>
              <w:rPr>
                <w:rStyle w:val="10"/>
                <w:rFonts w:hint="eastAsia"/>
              </w:rPr>
              <w:t>登记证号：</w:t>
            </w:r>
            <w:r>
              <w:rPr>
                <w:rFonts w:hint="eastAsia"/>
              </w:rPr>
              <w:t>PD20212665</w:t>
            </w:r>
          </w:p>
        </w:tc>
      </w:tr>
      <w:tr w14:paraId="246747BE">
        <w:tblPrEx>
          <w:tblCellMar>
            <w:top w:w="0" w:type="dxa"/>
            <w:left w:w="0" w:type="dxa"/>
            <w:bottom w:w="0" w:type="dxa"/>
            <w:right w:w="0" w:type="dxa"/>
          </w:tblCellMar>
        </w:tblPrEx>
        <w:trPr>
          <w:wBefore w:w="0" w:type="auto"/>
          <w:tblCellSpacing w:w="0" w:type="dxa"/>
        </w:trPr>
        <w:tc>
          <w:tcPr>
            <w:tcW w:w="0" w:type="auto"/>
            <w:noWrap w:val="0"/>
            <w:vAlign w:val="center"/>
          </w:tcPr>
          <w:p w14:paraId="0C6A5194">
            <w:r>
              <w:rPr>
                <w:rStyle w:val="10"/>
                <w:rFonts w:hint="eastAsia"/>
              </w:rPr>
              <w:t>登记证持有人：</w:t>
            </w:r>
            <w:r>
              <w:rPr>
                <w:rFonts w:hint="eastAsia"/>
              </w:rPr>
              <w:t>浙江龙湾化工有限公司</w:t>
            </w:r>
          </w:p>
        </w:tc>
      </w:tr>
      <w:tr w14:paraId="1ADF2393">
        <w:tblPrEx>
          <w:tblCellMar>
            <w:top w:w="0" w:type="dxa"/>
            <w:left w:w="0" w:type="dxa"/>
            <w:bottom w:w="0" w:type="dxa"/>
            <w:right w:w="0" w:type="dxa"/>
          </w:tblCellMar>
        </w:tblPrEx>
        <w:trPr>
          <w:wBefore w:w="0" w:type="auto"/>
          <w:tblCellSpacing w:w="0" w:type="dxa"/>
        </w:trPr>
        <w:tc>
          <w:tcPr>
            <w:tcW w:w="0" w:type="auto"/>
            <w:noWrap w:val="0"/>
            <w:vAlign w:val="center"/>
          </w:tcPr>
          <w:p w14:paraId="3ECF059A">
            <w:r>
              <w:rPr>
                <w:rStyle w:val="10"/>
                <w:rFonts w:hint="eastAsia"/>
              </w:rPr>
              <w:t>农药名称：</w:t>
            </w:r>
            <w:r>
              <w:rPr>
                <w:rFonts w:hint="eastAsia"/>
              </w:rPr>
              <w:t>氟菌·霜霉威</w:t>
            </w:r>
          </w:p>
        </w:tc>
      </w:tr>
      <w:tr w14:paraId="1427D136">
        <w:tblPrEx>
          <w:tblCellMar>
            <w:top w:w="0" w:type="dxa"/>
            <w:left w:w="0" w:type="dxa"/>
            <w:bottom w:w="0" w:type="dxa"/>
            <w:right w:w="0" w:type="dxa"/>
          </w:tblCellMar>
        </w:tblPrEx>
        <w:trPr>
          <w:wBefore w:w="0" w:type="auto"/>
          <w:tblCellSpacing w:w="0" w:type="dxa"/>
        </w:trPr>
        <w:tc>
          <w:tcPr>
            <w:tcW w:w="0" w:type="auto"/>
            <w:noWrap w:val="0"/>
            <w:vAlign w:val="center"/>
          </w:tcPr>
          <w:p w14:paraId="19F0F9A1">
            <w:r>
              <w:rPr>
                <w:rStyle w:val="10"/>
                <w:rFonts w:hint="eastAsia"/>
              </w:rPr>
              <w:t>剂型：</w:t>
            </w:r>
            <w:r>
              <w:rPr>
                <w:rFonts w:hint="eastAsia"/>
              </w:rPr>
              <w:t>悬浮剂</w:t>
            </w:r>
          </w:p>
        </w:tc>
      </w:tr>
      <w:tr w14:paraId="3E28E355">
        <w:tblPrEx>
          <w:tblCellMar>
            <w:top w:w="0" w:type="dxa"/>
            <w:left w:w="0" w:type="dxa"/>
            <w:bottom w:w="0" w:type="dxa"/>
            <w:right w:w="0" w:type="dxa"/>
          </w:tblCellMar>
        </w:tblPrEx>
        <w:trPr>
          <w:wBefore w:w="0" w:type="auto"/>
          <w:tblCellSpacing w:w="0" w:type="dxa"/>
        </w:trPr>
        <w:tc>
          <w:tcPr>
            <w:tcW w:w="0" w:type="auto"/>
            <w:noWrap w:val="0"/>
            <w:vAlign w:val="center"/>
          </w:tcPr>
          <w:p w14:paraId="086CE223">
            <w:r>
              <w:rPr>
                <w:rStyle w:val="10"/>
                <w:rFonts w:hint="eastAsia"/>
              </w:rPr>
              <w:t>毒性及其标识：</w:t>
            </w:r>
            <w:r>
              <w:rPr>
                <w:rFonts w:hint="eastAsia"/>
              </w:rPr>
              <w:t xml:space="preserve"> 微毒 </w:t>
            </w:r>
          </w:p>
        </w:tc>
      </w:tr>
      <w:tr w14:paraId="04528D9E">
        <w:tblPrEx>
          <w:tblCellMar>
            <w:top w:w="0" w:type="dxa"/>
            <w:left w:w="0" w:type="dxa"/>
            <w:bottom w:w="0" w:type="dxa"/>
            <w:right w:w="0" w:type="dxa"/>
          </w:tblCellMar>
        </w:tblPrEx>
        <w:trPr>
          <w:wBefore w:w="0" w:type="auto"/>
          <w:tblCellSpacing w:w="0" w:type="dxa"/>
        </w:trPr>
        <w:tc>
          <w:tcPr>
            <w:tcW w:w="0" w:type="auto"/>
            <w:noWrap w:val="0"/>
            <w:vAlign w:val="center"/>
          </w:tcPr>
          <w:p w14:paraId="5EE5B63F">
            <w:r>
              <w:rPr>
                <w:rStyle w:val="10"/>
                <w:rFonts w:hint="eastAsia"/>
              </w:rPr>
              <w:t>总有效成分含量：</w:t>
            </w:r>
            <w:r>
              <w:rPr>
                <w:rFonts w:hint="eastAsia"/>
              </w:rPr>
              <w:t>586.5克/升</w:t>
            </w:r>
          </w:p>
        </w:tc>
      </w:tr>
      <w:tr w14:paraId="46DB4583">
        <w:tblPrEx>
          <w:tblCellMar>
            <w:top w:w="0" w:type="dxa"/>
            <w:left w:w="0" w:type="dxa"/>
            <w:bottom w:w="0" w:type="dxa"/>
            <w:right w:w="0" w:type="dxa"/>
          </w:tblCellMar>
        </w:tblPrEx>
        <w:trPr>
          <w:wBefore w:w="0" w:type="auto"/>
          <w:tblCellSpacing w:w="0" w:type="dxa"/>
        </w:trPr>
        <w:tc>
          <w:tcPr>
            <w:tcW w:w="0" w:type="auto"/>
            <w:noWrap w:val="0"/>
            <w:vAlign w:val="center"/>
          </w:tcPr>
          <w:p w14:paraId="2B8780FB">
            <w:r>
              <w:rPr>
                <w:rFonts w:hint="eastAsia"/>
              </w:rPr>
              <w:t xml:space="preserve">有效成分及其含量： </w:t>
            </w:r>
          </w:p>
          <w:p w14:paraId="63273FFC">
            <w:r>
              <w:rPr>
                <w:rFonts w:hint="eastAsia"/>
              </w:rPr>
              <w:t xml:space="preserve">    氟吡菌胺62.5克/升    霜霉威524克/升    </w:t>
            </w:r>
          </w:p>
        </w:tc>
      </w:tr>
      <w:tr w14:paraId="7A8BFF80">
        <w:tblPrEx>
          <w:tblCellMar>
            <w:top w:w="0" w:type="dxa"/>
            <w:left w:w="0" w:type="dxa"/>
            <w:bottom w:w="0" w:type="dxa"/>
            <w:right w:w="0" w:type="dxa"/>
          </w:tblCellMar>
        </w:tblPrEx>
        <w:trPr>
          <w:wBefore w:w="0" w:type="auto"/>
          <w:tblCellSpacing w:w="0" w:type="dxa"/>
        </w:trPr>
        <w:tc>
          <w:tcPr>
            <w:tcW w:w="0" w:type="auto"/>
            <w:noWrap w:val="0"/>
            <w:vAlign w:val="center"/>
          </w:tcPr>
          <w:p w14:paraId="4FE216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71D7B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60025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6F2B5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68F5A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D99266">
                  <w:r>
                    <w:rPr>
                      <w:rStyle w:val="11"/>
                      <w:rFonts w:hint="eastAsia"/>
                    </w:rPr>
                    <w:t>施用方式</w:t>
                  </w:r>
                </w:p>
              </w:tc>
            </w:tr>
            <w:tr w14:paraId="1B5DE0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8E30A8">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B0CB0D">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5E444F">
                  <w:r>
                    <w:rPr>
                      <w:rStyle w:val="11"/>
                      <w:rFonts w:hint="eastAsia"/>
                    </w:rPr>
                    <w:t>60-75毫升/亩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1D59BD">
                  <w:r>
                    <w:rPr>
                      <w:rStyle w:val="11"/>
                      <w:rFonts w:hint="eastAsia"/>
                    </w:rPr>
                    <w:t>喷雾</w:t>
                  </w:r>
                </w:p>
              </w:tc>
            </w:tr>
          </w:tbl>
          <w:p w14:paraId="69A4FA2E">
            <w:pPr>
              <w:rPr>
                <w:rFonts w:ascii="Times New Roman" w:hAnsi="Times New Roman" w:cs="Times New Roman"/>
                <w:sz w:val="20"/>
                <w:szCs w:val="20"/>
              </w:rPr>
            </w:pPr>
          </w:p>
        </w:tc>
      </w:tr>
      <w:tr w14:paraId="225A8C98">
        <w:tblPrEx>
          <w:tblCellMar>
            <w:top w:w="0" w:type="dxa"/>
            <w:left w:w="0" w:type="dxa"/>
            <w:bottom w:w="0" w:type="dxa"/>
            <w:right w:w="0" w:type="dxa"/>
          </w:tblCellMar>
        </w:tblPrEx>
        <w:trPr>
          <w:wBefore w:w="0" w:type="auto"/>
          <w:tblCellSpacing w:w="0" w:type="dxa"/>
        </w:trPr>
        <w:tc>
          <w:tcPr>
            <w:tcW w:w="0" w:type="auto"/>
            <w:noWrap w:val="0"/>
            <w:vAlign w:val="center"/>
          </w:tcPr>
          <w:p w14:paraId="652A9216">
            <w:r>
              <w:rPr>
                <w:rStyle w:val="10"/>
                <w:rFonts w:hint="eastAsia"/>
              </w:rPr>
              <w:t>使用技术要求:</w:t>
            </w:r>
            <w:r>
              <w:rPr>
                <w:rFonts w:hint="eastAsia"/>
              </w:rPr>
              <w:br w:type="textWrapping"/>
            </w:r>
            <w:r>
              <w:rPr>
                <w:rStyle w:val="11"/>
                <w:rFonts w:hint="eastAsia"/>
              </w:rPr>
              <w:t>1.于病害发生初期开始用药，连续2~3次，施药间隔7-10天。 2.大风天或预计1小时内降雨，请勿施药。 3.在马铃薯上使用的安全间隔期为7天，每季作物最多使用3次。</w:t>
            </w:r>
          </w:p>
        </w:tc>
      </w:tr>
      <w:tr w14:paraId="7C582BE8">
        <w:tblPrEx>
          <w:tblCellMar>
            <w:top w:w="0" w:type="dxa"/>
            <w:left w:w="0" w:type="dxa"/>
            <w:bottom w:w="0" w:type="dxa"/>
            <w:right w:w="0" w:type="dxa"/>
          </w:tblCellMar>
        </w:tblPrEx>
        <w:trPr>
          <w:wBefore w:w="0" w:type="auto"/>
          <w:tblCellSpacing w:w="0" w:type="dxa"/>
        </w:trPr>
        <w:tc>
          <w:tcPr>
            <w:tcW w:w="0" w:type="auto"/>
            <w:noWrap w:val="0"/>
            <w:vAlign w:val="center"/>
          </w:tcPr>
          <w:p w14:paraId="40C45E10">
            <w:r>
              <w:rPr>
                <w:rStyle w:val="10"/>
                <w:rFonts w:hint="eastAsia"/>
              </w:rPr>
              <w:t>产品性能:</w:t>
            </w:r>
            <w:r>
              <w:rPr>
                <w:rFonts w:hint="eastAsia"/>
              </w:rPr>
              <w:br w:type="textWrapping"/>
            </w:r>
            <w:r>
              <w:rPr>
                <w:rStyle w:val="11"/>
                <w:rFonts w:hint="eastAsia"/>
              </w:rPr>
              <w:t>本品为内吸性杀菌剂，由氟吡菌胺和霜霉威盐酸盐复配而成，既具有保护作用又具有治疗作用。对马铃薯晚疫病有较好的防治效果。</w:t>
            </w:r>
          </w:p>
        </w:tc>
      </w:tr>
      <w:tr w14:paraId="37965603">
        <w:tblPrEx>
          <w:tblCellMar>
            <w:top w:w="0" w:type="dxa"/>
            <w:left w:w="0" w:type="dxa"/>
            <w:bottom w:w="0" w:type="dxa"/>
            <w:right w:w="0" w:type="dxa"/>
          </w:tblCellMar>
        </w:tblPrEx>
        <w:trPr>
          <w:wBefore w:w="0" w:type="auto"/>
          <w:tblCellSpacing w:w="0" w:type="dxa"/>
        </w:trPr>
        <w:tc>
          <w:tcPr>
            <w:tcW w:w="0" w:type="auto"/>
            <w:noWrap w:val="0"/>
            <w:vAlign w:val="center"/>
          </w:tcPr>
          <w:p w14:paraId="59AA83C6">
            <w:r>
              <w:rPr>
                <w:rStyle w:val="10"/>
                <w:rFonts w:hint="eastAsia"/>
              </w:rPr>
              <w:t>注意事项：</w:t>
            </w:r>
            <w:r>
              <w:rPr>
                <w:rFonts w:hint="eastAsia"/>
              </w:rPr>
              <w:br w:type="textWrapping"/>
            </w:r>
            <w:r>
              <w:rPr>
                <w:rStyle w:val="11"/>
                <w:rFonts w:hint="eastAsia"/>
              </w:rPr>
              <w:t>1.农药施用人员在使用本品时应穿着长衣、长裤、鞋并佩戴帽子、手套和口罩等，避免皮肤接触及口鼻吸入药液；使用期间不可吸烟、饮水及吃东西等；施药后及时清洗手、脸等暴露部位皮肤并更换衣物。2.本品不能与强碱性农药等物质混用。3. 建议与其他作用机制不同的杀菌剂轮换使用。4.远离水产养殖区、河塘等水体施药；禁止在河塘等水域内清洗施药器具。5.用过的包装物和容器应妥善处理，不可做他用或随意丢弃。6. 孕妇及哺乳期妇女避免接触。</w:t>
            </w:r>
          </w:p>
        </w:tc>
      </w:tr>
      <w:tr w14:paraId="2CDBED95">
        <w:tblPrEx>
          <w:tblCellMar>
            <w:top w:w="0" w:type="dxa"/>
            <w:left w:w="0" w:type="dxa"/>
            <w:bottom w:w="0" w:type="dxa"/>
            <w:right w:w="0" w:type="dxa"/>
          </w:tblCellMar>
        </w:tblPrEx>
        <w:trPr>
          <w:wBefore w:w="0" w:type="auto"/>
          <w:tblCellSpacing w:w="0" w:type="dxa"/>
        </w:trPr>
        <w:tc>
          <w:tcPr>
            <w:tcW w:w="0" w:type="auto"/>
            <w:noWrap w:val="0"/>
            <w:vAlign w:val="center"/>
          </w:tcPr>
          <w:p w14:paraId="457E9DAA">
            <w:r>
              <w:rPr>
                <w:rStyle w:val="10"/>
                <w:rFonts w:hint="eastAsia"/>
              </w:rPr>
              <w:t>中毒急救措施：</w:t>
            </w:r>
            <w:r>
              <w:rPr>
                <w:rFonts w:hint="eastAsia"/>
              </w:rPr>
              <w:br w:type="textWrapping"/>
            </w:r>
            <w:r>
              <w:rPr>
                <w:rStyle w:val="11"/>
                <w:rFonts w:hint="eastAsia"/>
              </w:rPr>
              <w:t>使用中或使用后如感觉不适，应立即停止工作，采取急救措施，并携标签送医院就诊。皮肤接触：脱去污染的衣物，立即用软布去除沾染农药，用肥皂和大量清水冲洗。眼睛溅入：立即用流动清水温和冲洗至少15分钟。如不慎吸入：立即转移至空气新鲜处。如误食：立即停止服用，请勿自行引吐，用清水充分漱口并携带农药标签到医院就诊。</w:t>
            </w:r>
          </w:p>
        </w:tc>
      </w:tr>
      <w:tr w14:paraId="49328AD8">
        <w:tblPrEx>
          <w:tblCellMar>
            <w:top w:w="0" w:type="dxa"/>
            <w:left w:w="0" w:type="dxa"/>
            <w:bottom w:w="0" w:type="dxa"/>
            <w:right w:w="0" w:type="dxa"/>
          </w:tblCellMar>
        </w:tblPrEx>
        <w:trPr>
          <w:wBefore w:w="0" w:type="auto"/>
          <w:tblCellSpacing w:w="0" w:type="dxa"/>
        </w:trPr>
        <w:tc>
          <w:tcPr>
            <w:tcW w:w="0" w:type="auto"/>
            <w:noWrap w:val="0"/>
            <w:vAlign w:val="center"/>
          </w:tcPr>
          <w:p w14:paraId="7CBC7175">
            <w:r>
              <w:rPr>
                <w:rStyle w:val="10"/>
                <w:rFonts w:hint="eastAsia"/>
              </w:rPr>
              <w:t>储存和运输方法：</w:t>
            </w:r>
            <w:r>
              <w:rPr>
                <w:rFonts w:hint="eastAsia"/>
              </w:rPr>
              <w:br w:type="textWrapping"/>
            </w:r>
            <w:r>
              <w:rPr>
                <w:rStyle w:val="11"/>
                <w:rFonts w:hint="eastAsia"/>
              </w:rPr>
              <w:t>本品应储存在干燥、阴凉、通风、防雨处，保持容器密闭；远离热源或火源。置于儿童、无关人员及动物等接触不到的地方并加锁保存。不能与食品、饮料、粮食、饲料等同储同运。运输时注意防水防潮，避免日晒和雨淋；搬运时轻搬轻放，不可倒置。</w:t>
            </w:r>
          </w:p>
        </w:tc>
      </w:tr>
      <w:tr w14:paraId="201899D8">
        <w:tblPrEx>
          <w:tblCellMar>
            <w:top w:w="0" w:type="dxa"/>
            <w:left w:w="0" w:type="dxa"/>
            <w:bottom w:w="0" w:type="dxa"/>
            <w:right w:w="0" w:type="dxa"/>
          </w:tblCellMar>
        </w:tblPrEx>
        <w:trPr>
          <w:wBefore w:w="0" w:type="auto"/>
          <w:tblCellSpacing w:w="0" w:type="dxa"/>
        </w:trPr>
        <w:tc>
          <w:tcPr>
            <w:tcW w:w="0" w:type="auto"/>
            <w:noWrap w:val="0"/>
            <w:vAlign w:val="center"/>
          </w:tcPr>
          <w:p w14:paraId="71CE8899">
            <w:r>
              <w:rPr>
                <w:rStyle w:val="10"/>
                <w:rFonts w:hint="eastAsia"/>
              </w:rPr>
              <w:t>质量保证期：</w:t>
            </w:r>
            <w:r>
              <w:rPr>
                <w:rStyle w:val="11"/>
                <w:rFonts w:hint="eastAsia"/>
              </w:rPr>
              <w:t>2年</w:t>
            </w:r>
          </w:p>
        </w:tc>
      </w:tr>
      <w:tr w14:paraId="6C72C59E">
        <w:tblPrEx>
          <w:tblCellMar>
            <w:top w:w="0" w:type="dxa"/>
            <w:left w:w="0" w:type="dxa"/>
            <w:bottom w:w="0" w:type="dxa"/>
            <w:right w:w="0" w:type="dxa"/>
          </w:tblCellMar>
        </w:tblPrEx>
        <w:trPr>
          <w:wBefore w:w="0" w:type="auto"/>
          <w:tblCellSpacing w:w="0" w:type="dxa"/>
        </w:trPr>
        <w:tc>
          <w:tcPr>
            <w:tcW w:w="0" w:type="auto"/>
            <w:noWrap w:val="0"/>
            <w:vAlign w:val="center"/>
          </w:tcPr>
          <w:p w14:paraId="330CE74E">
            <w:r>
              <w:rPr>
                <w:rStyle w:val="10"/>
                <w:rFonts w:hint="eastAsia"/>
              </w:rPr>
              <w:t>备注：</w:t>
            </w:r>
          </w:p>
        </w:tc>
      </w:tr>
    </w:tbl>
    <w:p w14:paraId="282E4D1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7ED932">
        <w:tblPrEx>
          <w:tblCellMar>
            <w:top w:w="0" w:type="dxa"/>
            <w:left w:w="0" w:type="dxa"/>
            <w:bottom w:w="0" w:type="dxa"/>
            <w:right w:w="0" w:type="dxa"/>
          </w:tblCellMar>
        </w:tblPrEx>
        <w:trPr>
          <w:wBefore w:w="0" w:type="auto"/>
          <w:tblCellSpacing w:w="0" w:type="dxa"/>
        </w:trPr>
        <w:tc>
          <w:tcPr>
            <w:tcW w:w="0" w:type="auto"/>
            <w:noWrap w:val="0"/>
            <w:vAlign w:val="center"/>
          </w:tcPr>
          <w:p w14:paraId="4F9BE583">
            <w:r>
              <w:rPr>
                <w:rStyle w:val="10"/>
                <w:rFonts w:hint="eastAsia"/>
              </w:rPr>
              <w:t>登记证号：</w:t>
            </w:r>
            <w:r>
              <w:rPr>
                <w:rFonts w:hint="eastAsia"/>
              </w:rPr>
              <w:t>PD20212485</w:t>
            </w:r>
          </w:p>
        </w:tc>
      </w:tr>
      <w:tr w14:paraId="54219DC1">
        <w:tblPrEx>
          <w:tblCellMar>
            <w:top w:w="0" w:type="dxa"/>
            <w:left w:w="0" w:type="dxa"/>
            <w:bottom w:w="0" w:type="dxa"/>
            <w:right w:w="0" w:type="dxa"/>
          </w:tblCellMar>
        </w:tblPrEx>
        <w:trPr>
          <w:wBefore w:w="0" w:type="auto"/>
          <w:tblCellSpacing w:w="0" w:type="dxa"/>
        </w:trPr>
        <w:tc>
          <w:tcPr>
            <w:tcW w:w="0" w:type="auto"/>
            <w:noWrap w:val="0"/>
            <w:vAlign w:val="center"/>
          </w:tcPr>
          <w:p w14:paraId="61CFAF30">
            <w:r>
              <w:rPr>
                <w:rStyle w:val="10"/>
                <w:rFonts w:hint="eastAsia"/>
              </w:rPr>
              <w:t>登记证持有人：</w:t>
            </w:r>
            <w:r>
              <w:rPr>
                <w:rFonts w:hint="eastAsia"/>
              </w:rPr>
              <w:t>黑龙江绿丰源生物科技有限公司</w:t>
            </w:r>
          </w:p>
        </w:tc>
      </w:tr>
      <w:tr w14:paraId="3C6B25BE">
        <w:tblPrEx>
          <w:tblCellMar>
            <w:top w:w="0" w:type="dxa"/>
            <w:left w:w="0" w:type="dxa"/>
            <w:bottom w:w="0" w:type="dxa"/>
            <w:right w:w="0" w:type="dxa"/>
          </w:tblCellMar>
        </w:tblPrEx>
        <w:trPr>
          <w:wBefore w:w="0" w:type="auto"/>
          <w:tblCellSpacing w:w="0" w:type="dxa"/>
        </w:trPr>
        <w:tc>
          <w:tcPr>
            <w:tcW w:w="0" w:type="auto"/>
            <w:noWrap w:val="0"/>
            <w:vAlign w:val="center"/>
          </w:tcPr>
          <w:p w14:paraId="19E02973">
            <w:r>
              <w:rPr>
                <w:rStyle w:val="10"/>
                <w:rFonts w:hint="eastAsia"/>
              </w:rPr>
              <w:t>农药名称：</w:t>
            </w:r>
            <w:r>
              <w:rPr>
                <w:rFonts w:hint="eastAsia"/>
              </w:rPr>
              <w:t>丙草胺·丙噁酮·西草净</w:t>
            </w:r>
          </w:p>
        </w:tc>
      </w:tr>
      <w:tr w14:paraId="0F25581A">
        <w:tblPrEx>
          <w:tblCellMar>
            <w:top w:w="0" w:type="dxa"/>
            <w:left w:w="0" w:type="dxa"/>
            <w:bottom w:w="0" w:type="dxa"/>
            <w:right w:w="0" w:type="dxa"/>
          </w:tblCellMar>
        </w:tblPrEx>
        <w:trPr>
          <w:wBefore w:w="0" w:type="auto"/>
          <w:tblCellSpacing w:w="0" w:type="dxa"/>
        </w:trPr>
        <w:tc>
          <w:tcPr>
            <w:tcW w:w="0" w:type="auto"/>
            <w:noWrap w:val="0"/>
            <w:vAlign w:val="center"/>
          </w:tcPr>
          <w:p w14:paraId="04B226A9">
            <w:r>
              <w:rPr>
                <w:rStyle w:val="10"/>
                <w:rFonts w:hint="eastAsia"/>
              </w:rPr>
              <w:t>剂型：</w:t>
            </w:r>
            <w:r>
              <w:rPr>
                <w:rFonts w:hint="eastAsia"/>
              </w:rPr>
              <w:t>乳油</w:t>
            </w:r>
          </w:p>
        </w:tc>
      </w:tr>
      <w:tr w14:paraId="44CB0A39">
        <w:tblPrEx>
          <w:tblCellMar>
            <w:top w:w="0" w:type="dxa"/>
            <w:left w:w="0" w:type="dxa"/>
            <w:bottom w:w="0" w:type="dxa"/>
            <w:right w:w="0" w:type="dxa"/>
          </w:tblCellMar>
        </w:tblPrEx>
        <w:trPr>
          <w:wBefore w:w="0" w:type="auto"/>
          <w:tblCellSpacing w:w="0" w:type="dxa"/>
        </w:trPr>
        <w:tc>
          <w:tcPr>
            <w:tcW w:w="0" w:type="auto"/>
            <w:noWrap w:val="0"/>
            <w:vAlign w:val="center"/>
          </w:tcPr>
          <w:p w14:paraId="5876E8EF">
            <w:r>
              <w:rPr>
                <w:rStyle w:val="10"/>
                <w:rFonts w:hint="eastAsia"/>
              </w:rPr>
              <w:t>毒性及其标识：</w:t>
            </w:r>
            <w:r>
              <w:rPr>
                <w:rFonts w:hint="eastAsia"/>
              </w:rPr>
              <w:t xml:space="preserve"> </w:t>
            </w:r>
            <w:r>
              <w:rPr>
                <w:lang/>
              </w:rPr>
              <w:drawing>
                <wp:inline distT="0" distB="0" distL="114300" distR="114300">
                  <wp:extent cx="476250" cy="323850"/>
                  <wp:effectExtent l="0" t="0" r="0" b="0"/>
                  <wp:docPr id="246" name="图片 2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62A933">
        <w:tblPrEx>
          <w:tblCellMar>
            <w:top w:w="0" w:type="dxa"/>
            <w:left w:w="0" w:type="dxa"/>
            <w:bottom w:w="0" w:type="dxa"/>
            <w:right w:w="0" w:type="dxa"/>
          </w:tblCellMar>
        </w:tblPrEx>
        <w:trPr>
          <w:wBefore w:w="0" w:type="auto"/>
          <w:tblCellSpacing w:w="0" w:type="dxa"/>
        </w:trPr>
        <w:tc>
          <w:tcPr>
            <w:tcW w:w="0" w:type="auto"/>
            <w:noWrap w:val="0"/>
            <w:vAlign w:val="center"/>
          </w:tcPr>
          <w:p w14:paraId="71568B06">
            <w:r>
              <w:rPr>
                <w:rStyle w:val="10"/>
                <w:rFonts w:hint="eastAsia"/>
              </w:rPr>
              <w:t>总有效成分含量：</w:t>
            </w:r>
            <w:r>
              <w:rPr>
                <w:rFonts w:hint="eastAsia"/>
              </w:rPr>
              <w:t>48%</w:t>
            </w:r>
          </w:p>
        </w:tc>
      </w:tr>
      <w:tr w14:paraId="6B9A2B57">
        <w:tblPrEx>
          <w:tblCellMar>
            <w:top w:w="0" w:type="dxa"/>
            <w:left w:w="0" w:type="dxa"/>
            <w:bottom w:w="0" w:type="dxa"/>
            <w:right w:w="0" w:type="dxa"/>
          </w:tblCellMar>
        </w:tblPrEx>
        <w:trPr>
          <w:wBefore w:w="0" w:type="auto"/>
          <w:tblCellSpacing w:w="0" w:type="dxa"/>
        </w:trPr>
        <w:tc>
          <w:tcPr>
            <w:tcW w:w="0" w:type="auto"/>
            <w:noWrap w:val="0"/>
            <w:vAlign w:val="center"/>
          </w:tcPr>
          <w:p w14:paraId="0DA93CE8">
            <w:r>
              <w:rPr>
                <w:rFonts w:hint="eastAsia"/>
              </w:rPr>
              <w:t xml:space="preserve">有效成分及其含量： </w:t>
            </w:r>
          </w:p>
          <w:p w14:paraId="712316BE">
            <w:r>
              <w:rPr>
                <w:rFonts w:hint="eastAsia"/>
              </w:rPr>
              <w:t xml:space="preserve">    丙草胺30%    丙炔噁草酮5%    西草净13%    </w:t>
            </w:r>
          </w:p>
        </w:tc>
      </w:tr>
      <w:tr w14:paraId="5413FE56">
        <w:tblPrEx>
          <w:tblCellMar>
            <w:top w:w="0" w:type="dxa"/>
            <w:left w:w="0" w:type="dxa"/>
            <w:bottom w:w="0" w:type="dxa"/>
            <w:right w:w="0" w:type="dxa"/>
          </w:tblCellMar>
        </w:tblPrEx>
        <w:trPr>
          <w:wBefore w:w="0" w:type="auto"/>
          <w:tblCellSpacing w:w="0" w:type="dxa"/>
        </w:trPr>
        <w:tc>
          <w:tcPr>
            <w:tcW w:w="0" w:type="auto"/>
            <w:noWrap w:val="0"/>
            <w:vAlign w:val="center"/>
          </w:tcPr>
          <w:p w14:paraId="28EF8C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0751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5DB8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3D5BD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1EF4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34679F">
                  <w:r>
                    <w:rPr>
                      <w:rStyle w:val="11"/>
                      <w:rFonts w:hint="eastAsia"/>
                    </w:rPr>
                    <w:t>施用方式</w:t>
                  </w:r>
                </w:p>
              </w:tc>
            </w:tr>
            <w:tr w14:paraId="792579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1BAA6E">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EBCE0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095532">
                  <w:r>
                    <w:rPr>
                      <w:rStyle w:val="11"/>
                      <w:rFonts w:hint="eastAsia"/>
                    </w:rPr>
                    <w:t>80-110毫升/亩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9E22A6">
                  <w:r>
                    <w:rPr>
                      <w:rStyle w:val="11"/>
                      <w:rFonts w:hint="eastAsia"/>
                    </w:rPr>
                    <w:t>甩施</w:t>
                  </w:r>
                </w:p>
              </w:tc>
            </w:tr>
          </w:tbl>
          <w:p w14:paraId="68DA6513">
            <w:pPr>
              <w:rPr>
                <w:rFonts w:ascii="Times New Roman" w:hAnsi="Times New Roman" w:cs="Times New Roman"/>
                <w:sz w:val="20"/>
                <w:szCs w:val="20"/>
              </w:rPr>
            </w:pPr>
          </w:p>
        </w:tc>
      </w:tr>
      <w:tr w14:paraId="656D4E5E">
        <w:tblPrEx>
          <w:tblCellMar>
            <w:top w:w="0" w:type="dxa"/>
            <w:left w:w="0" w:type="dxa"/>
            <w:bottom w:w="0" w:type="dxa"/>
            <w:right w:w="0" w:type="dxa"/>
          </w:tblCellMar>
        </w:tblPrEx>
        <w:trPr>
          <w:wBefore w:w="0" w:type="auto"/>
          <w:tblCellSpacing w:w="0" w:type="dxa"/>
        </w:trPr>
        <w:tc>
          <w:tcPr>
            <w:tcW w:w="0" w:type="auto"/>
            <w:noWrap w:val="0"/>
            <w:vAlign w:val="center"/>
          </w:tcPr>
          <w:p w14:paraId="66359D02">
            <w:r>
              <w:rPr>
                <w:rStyle w:val="10"/>
                <w:rFonts w:hint="eastAsia"/>
              </w:rPr>
              <w:t>使用技术要求:</w:t>
            </w:r>
            <w:r>
              <w:rPr>
                <w:rFonts w:hint="eastAsia"/>
              </w:rPr>
              <w:br w:type="textWrapping"/>
            </w:r>
            <w:r>
              <w:rPr>
                <w:rStyle w:val="11"/>
                <w:rFonts w:hint="eastAsia"/>
              </w:rPr>
              <w:t>1. 在水稻移栽前灌水整地后甩施用药一次，施药时保持田内3-5厘米的水层，药后保水5-7天，避免淹没稻苗心叶。2.甩施，使用前摇匀，大风天或预计1小时内降雨，请勿施药。3.每季最多使用1次。4.秧后水层勿淹没水稻心叶避免药害。</w:t>
            </w:r>
          </w:p>
        </w:tc>
      </w:tr>
      <w:tr w14:paraId="0A12DDA0">
        <w:tblPrEx>
          <w:tblCellMar>
            <w:top w:w="0" w:type="dxa"/>
            <w:left w:w="0" w:type="dxa"/>
            <w:bottom w:w="0" w:type="dxa"/>
            <w:right w:w="0" w:type="dxa"/>
          </w:tblCellMar>
        </w:tblPrEx>
        <w:trPr>
          <w:wBefore w:w="0" w:type="auto"/>
          <w:tblCellSpacing w:w="0" w:type="dxa"/>
        </w:trPr>
        <w:tc>
          <w:tcPr>
            <w:tcW w:w="0" w:type="auto"/>
            <w:noWrap w:val="0"/>
            <w:vAlign w:val="center"/>
          </w:tcPr>
          <w:p w14:paraId="2549CEDA">
            <w:r>
              <w:rPr>
                <w:rStyle w:val="10"/>
                <w:rFonts w:hint="eastAsia"/>
              </w:rPr>
              <w:t>产品性能:</w:t>
            </w:r>
            <w:r>
              <w:rPr>
                <w:rFonts w:hint="eastAsia"/>
              </w:rPr>
              <w:br w:type="textWrapping"/>
            </w:r>
            <w:r>
              <w:rPr>
                <w:rStyle w:val="11"/>
                <w:rFonts w:hint="eastAsia"/>
              </w:rPr>
              <w:t>本品是由均三氮苯类和2-氯化乙酰替苯胺类以及恶二唑含氮杂环类除草混剂，用于防除移栽水稻田陌上菜、稗草、异型莎草等多种一年生杂草。本品经茎叶吸收，达到除草效果，推荐剂量下使用，对水稻安全。</w:t>
            </w:r>
          </w:p>
        </w:tc>
      </w:tr>
      <w:tr w14:paraId="0BD55F7B">
        <w:tblPrEx>
          <w:tblCellMar>
            <w:top w:w="0" w:type="dxa"/>
            <w:left w:w="0" w:type="dxa"/>
            <w:bottom w:w="0" w:type="dxa"/>
            <w:right w:w="0" w:type="dxa"/>
          </w:tblCellMar>
        </w:tblPrEx>
        <w:trPr>
          <w:wBefore w:w="0" w:type="auto"/>
          <w:tblCellSpacing w:w="0" w:type="dxa"/>
        </w:trPr>
        <w:tc>
          <w:tcPr>
            <w:tcW w:w="0" w:type="auto"/>
            <w:noWrap w:val="0"/>
            <w:vAlign w:val="center"/>
          </w:tcPr>
          <w:p w14:paraId="25F0488F">
            <w:r>
              <w:rPr>
                <w:rStyle w:val="10"/>
                <w:rFonts w:hint="eastAsia"/>
              </w:rPr>
              <w:t>注意事项：</w:t>
            </w:r>
            <w:r>
              <w:rPr>
                <w:rFonts w:hint="eastAsia"/>
              </w:rPr>
              <w:br w:type="textWrapping"/>
            </w:r>
            <w:r>
              <w:rPr>
                <w:rStyle w:val="11"/>
                <w:rFonts w:hint="eastAsia"/>
              </w:rPr>
              <w:t>1、施药时须穿戴长衣、长裤、帽子、口罩、手套等安全防护措施；施药时不能吃东西、吸烟、饮水等；施药后彻底清洗裸露部位。2、清洗器具的废水不能排入河流、池塘等水源。3、用过的容器和废弃物应妥善处理，不可做他用，也不可随意丢弃。4、避免孕妇及哺乳期妇女接触本品。5、赤眼蜂等天敌放飞区禁用。蚕室附近禁用，桑园附近使用时以最外围桑树作为隔离带。6、禁止在河塘等水体中清洗施药器具；远离水产养殖区、河塘等水体施药。7、鱼或虾蟹套养稻田禁用，施药后的田水不得直接排入水体。8、农药包装废弃物应当及时交回农药经营者。</w:t>
            </w:r>
          </w:p>
        </w:tc>
      </w:tr>
      <w:tr w14:paraId="44726C68">
        <w:tblPrEx>
          <w:tblCellMar>
            <w:top w:w="0" w:type="dxa"/>
            <w:left w:w="0" w:type="dxa"/>
            <w:bottom w:w="0" w:type="dxa"/>
            <w:right w:w="0" w:type="dxa"/>
          </w:tblCellMar>
        </w:tblPrEx>
        <w:trPr>
          <w:wBefore w:w="0" w:type="auto"/>
          <w:tblCellSpacing w:w="0" w:type="dxa"/>
        </w:trPr>
        <w:tc>
          <w:tcPr>
            <w:tcW w:w="0" w:type="auto"/>
            <w:noWrap w:val="0"/>
            <w:vAlign w:val="center"/>
          </w:tcPr>
          <w:p w14:paraId="0B7DE763">
            <w:r>
              <w:rPr>
                <w:rStyle w:val="10"/>
                <w:rFonts w:hint="eastAsia"/>
              </w:rPr>
              <w:t>中毒急救措施：</w:t>
            </w:r>
            <w:r>
              <w:rPr>
                <w:rFonts w:hint="eastAsia"/>
              </w:rPr>
              <w:br w:type="textWrapping"/>
            </w:r>
            <w:r>
              <w:rPr>
                <w:rStyle w:val="11"/>
                <w:rFonts w:hint="eastAsia"/>
              </w:rPr>
              <w:t>对眼睛和皮肤的刺激性，使用时避免接触眼睛和皮肤。根据中毒症状进行治疗，没有专门的解 毒药。如不慎溅入眼内，立即用大量清水冲洗至少15分钟，不慎吸入， 应将病人移至空气流通处，如触及皮肤可用肥皂洗净，若误食立即携此 标签送医院对症治疗，催吐、洗胃。</w:t>
            </w:r>
          </w:p>
        </w:tc>
      </w:tr>
      <w:tr w14:paraId="26AD13AF">
        <w:tblPrEx>
          <w:tblCellMar>
            <w:top w:w="0" w:type="dxa"/>
            <w:left w:w="0" w:type="dxa"/>
            <w:bottom w:w="0" w:type="dxa"/>
            <w:right w:w="0" w:type="dxa"/>
          </w:tblCellMar>
        </w:tblPrEx>
        <w:trPr>
          <w:wBefore w:w="0" w:type="auto"/>
          <w:tblCellSpacing w:w="0" w:type="dxa"/>
        </w:trPr>
        <w:tc>
          <w:tcPr>
            <w:tcW w:w="0" w:type="auto"/>
            <w:noWrap w:val="0"/>
            <w:vAlign w:val="center"/>
          </w:tcPr>
          <w:p w14:paraId="422CC67F">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3．勿与食品、饮料、粮食、饲料等其他商品同贮同运。贮存或运输时堆层不得超过规定，注意轻拿轻放，以免损坏包装，导致产品泄漏。</w:t>
            </w:r>
          </w:p>
        </w:tc>
      </w:tr>
      <w:tr w14:paraId="025C4F8D">
        <w:tblPrEx>
          <w:tblCellMar>
            <w:top w:w="0" w:type="dxa"/>
            <w:left w:w="0" w:type="dxa"/>
            <w:bottom w:w="0" w:type="dxa"/>
            <w:right w:w="0" w:type="dxa"/>
          </w:tblCellMar>
        </w:tblPrEx>
        <w:trPr>
          <w:wBefore w:w="0" w:type="auto"/>
          <w:tblCellSpacing w:w="0" w:type="dxa"/>
        </w:trPr>
        <w:tc>
          <w:tcPr>
            <w:tcW w:w="0" w:type="auto"/>
            <w:noWrap w:val="0"/>
            <w:vAlign w:val="center"/>
          </w:tcPr>
          <w:p w14:paraId="2C18E4DF">
            <w:r>
              <w:rPr>
                <w:rStyle w:val="10"/>
                <w:rFonts w:hint="eastAsia"/>
              </w:rPr>
              <w:t>质量保证期：</w:t>
            </w:r>
            <w:r>
              <w:rPr>
                <w:rStyle w:val="11"/>
                <w:rFonts w:hint="eastAsia"/>
              </w:rPr>
              <w:t>2年</w:t>
            </w:r>
          </w:p>
        </w:tc>
      </w:tr>
      <w:tr w14:paraId="15CE5829">
        <w:tblPrEx>
          <w:tblCellMar>
            <w:top w:w="0" w:type="dxa"/>
            <w:left w:w="0" w:type="dxa"/>
            <w:bottom w:w="0" w:type="dxa"/>
            <w:right w:w="0" w:type="dxa"/>
          </w:tblCellMar>
        </w:tblPrEx>
        <w:trPr>
          <w:wBefore w:w="0" w:type="auto"/>
          <w:tblCellSpacing w:w="0" w:type="dxa"/>
        </w:trPr>
        <w:tc>
          <w:tcPr>
            <w:tcW w:w="0" w:type="auto"/>
            <w:noWrap w:val="0"/>
            <w:vAlign w:val="center"/>
          </w:tcPr>
          <w:p w14:paraId="147B74FA">
            <w:r>
              <w:rPr>
                <w:rStyle w:val="10"/>
                <w:rFonts w:hint="eastAsia"/>
              </w:rPr>
              <w:t>备注：</w:t>
            </w:r>
          </w:p>
        </w:tc>
      </w:tr>
    </w:tbl>
    <w:p w14:paraId="1A21BA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3949AB">
        <w:tblPrEx>
          <w:tblCellMar>
            <w:top w:w="0" w:type="dxa"/>
            <w:left w:w="0" w:type="dxa"/>
            <w:bottom w:w="0" w:type="dxa"/>
            <w:right w:w="0" w:type="dxa"/>
          </w:tblCellMar>
        </w:tblPrEx>
        <w:trPr>
          <w:wBefore w:w="0" w:type="auto"/>
          <w:tblCellSpacing w:w="0" w:type="dxa"/>
        </w:trPr>
        <w:tc>
          <w:tcPr>
            <w:tcW w:w="0" w:type="auto"/>
            <w:noWrap w:val="0"/>
            <w:vAlign w:val="center"/>
          </w:tcPr>
          <w:p w14:paraId="0CF75A85">
            <w:r>
              <w:rPr>
                <w:rStyle w:val="10"/>
                <w:rFonts w:hint="eastAsia"/>
              </w:rPr>
              <w:t>登记证号：</w:t>
            </w:r>
            <w:r>
              <w:rPr>
                <w:rFonts w:hint="eastAsia"/>
              </w:rPr>
              <w:t>PD20212473</w:t>
            </w:r>
          </w:p>
        </w:tc>
      </w:tr>
      <w:tr w14:paraId="3AA23908">
        <w:tblPrEx>
          <w:tblCellMar>
            <w:top w:w="0" w:type="dxa"/>
            <w:left w:w="0" w:type="dxa"/>
            <w:bottom w:w="0" w:type="dxa"/>
            <w:right w:w="0" w:type="dxa"/>
          </w:tblCellMar>
        </w:tblPrEx>
        <w:trPr>
          <w:wBefore w:w="0" w:type="auto"/>
          <w:tblCellSpacing w:w="0" w:type="dxa"/>
        </w:trPr>
        <w:tc>
          <w:tcPr>
            <w:tcW w:w="0" w:type="auto"/>
            <w:noWrap w:val="0"/>
            <w:vAlign w:val="center"/>
          </w:tcPr>
          <w:p w14:paraId="1DB29DCE">
            <w:r>
              <w:rPr>
                <w:rStyle w:val="10"/>
                <w:rFonts w:hint="eastAsia"/>
              </w:rPr>
              <w:t>登记证持有人：</w:t>
            </w:r>
            <w:r>
              <w:rPr>
                <w:rFonts w:hint="eastAsia"/>
              </w:rPr>
              <w:t>哈尔滨理工化工科技有限公司</w:t>
            </w:r>
          </w:p>
        </w:tc>
      </w:tr>
      <w:tr w14:paraId="089AFB7D">
        <w:tblPrEx>
          <w:tblCellMar>
            <w:top w:w="0" w:type="dxa"/>
            <w:left w:w="0" w:type="dxa"/>
            <w:bottom w:w="0" w:type="dxa"/>
            <w:right w:w="0" w:type="dxa"/>
          </w:tblCellMar>
        </w:tblPrEx>
        <w:trPr>
          <w:wBefore w:w="0" w:type="auto"/>
          <w:tblCellSpacing w:w="0" w:type="dxa"/>
        </w:trPr>
        <w:tc>
          <w:tcPr>
            <w:tcW w:w="0" w:type="auto"/>
            <w:noWrap w:val="0"/>
            <w:vAlign w:val="center"/>
          </w:tcPr>
          <w:p w14:paraId="5ADC7A14">
            <w:r>
              <w:rPr>
                <w:rStyle w:val="10"/>
                <w:rFonts w:hint="eastAsia"/>
              </w:rPr>
              <w:t>农药名称：</w:t>
            </w:r>
            <w:r>
              <w:rPr>
                <w:rFonts w:hint="eastAsia"/>
              </w:rPr>
              <w:t>莎稗磷</w:t>
            </w:r>
          </w:p>
        </w:tc>
      </w:tr>
      <w:tr w14:paraId="7D2EA01E">
        <w:tblPrEx>
          <w:tblCellMar>
            <w:top w:w="0" w:type="dxa"/>
            <w:left w:w="0" w:type="dxa"/>
            <w:bottom w:w="0" w:type="dxa"/>
            <w:right w:w="0" w:type="dxa"/>
          </w:tblCellMar>
        </w:tblPrEx>
        <w:trPr>
          <w:wBefore w:w="0" w:type="auto"/>
          <w:tblCellSpacing w:w="0" w:type="dxa"/>
        </w:trPr>
        <w:tc>
          <w:tcPr>
            <w:tcW w:w="0" w:type="auto"/>
            <w:noWrap w:val="0"/>
            <w:vAlign w:val="center"/>
          </w:tcPr>
          <w:p w14:paraId="338825CB">
            <w:r>
              <w:rPr>
                <w:rStyle w:val="10"/>
                <w:rFonts w:hint="eastAsia"/>
              </w:rPr>
              <w:t>剂型：</w:t>
            </w:r>
            <w:r>
              <w:rPr>
                <w:rFonts w:hint="eastAsia"/>
              </w:rPr>
              <w:t>乳油</w:t>
            </w:r>
          </w:p>
        </w:tc>
      </w:tr>
      <w:tr w14:paraId="24C6C26A">
        <w:tblPrEx>
          <w:tblCellMar>
            <w:top w:w="0" w:type="dxa"/>
            <w:left w:w="0" w:type="dxa"/>
            <w:bottom w:w="0" w:type="dxa"/>
            <w:right w:w="0" w:type="dxa"/>
          </w:tblCellMar>
        </w:tblPrEx>
        <w:trPr>
          <w:wBefore w:w="0" w:type="auto"/>
          <w:tblCellSpacing w:w="0" w:type="dxa"/>
        </w:trPr>
        <w:tc>
          <w:tcPr>
            <w:tcW w:w="0" w:type="auto"/>
            <w:noWrap w:val="0"/>
            <w:vAlign w:val="center"/>
          </w:tcPr>
          <w:p w14:paraId="0300B241">
            <w:r>
              <w:rPr>
                <w:rStyle w:val="10"/>
                <w:rFonts w:hint="eastAsia"/>
              </w:rPr>
              <w:t>毒性及其标识：</w:t>
            </w:r>
            <w:r>
              <w:rPr>
                <w:rFonts w:hint="eastAsia"/>
              </w:rPr>
              <w:t xml:space="preserve"> </w:t>
            </w:r>
            <w:r>
              <w:rPr>
                <w:lang/>
              </w:rPr>
              <w:drawing>
                <wp:inline distT="0" distB="0" distL="114300" distR="114300">
                  <wp:extent cx="476250" cy="323850"/>
                  <wp:effectExtent l="0" t="0" r="0" b="0"/>
                  <wp:docPr id="247" name="图片 2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640D1C">
        <w:tblPrEx>
          <w:tblCellMar>
            <w:top w:w="0" w:type="dxa"/>
            <w:left w:w="0" w:type="dxa"/>
            <w:bottom w:w="0" w:type="dxa"/>
            <w:right w:w="0" w:type="dxa"/>
          </w:tblCellMar>
        </w:tblPrEx>
        <w:trPr>
          <w:wBefore w:w="0" w:type="auto"/>
          <w:tblCellSpacing w:w="0" w:type="dxa"/>
        </w:trPr>
        <w:tc>
          <w:tcPr>
            <w:tcW w:w="0" w:type="auto"/>
            <w:noWrap w:val="0"/>
            <w:vAlign w:val="center"/>
          </w:tcPr>
          <w:p w14:paraId="69D69F8D">
            <w:r>
              <w:rPr>
                <w:rStyle w:val="10"/>
                <w:rFonts w:hint="eastAsia"/>
              </w:rPr>
              <w:t>总有效成分含量：</w:t>
            </w:r>
            <w:r>
              <w:rPr>
                <w:rFonts w:hint="eastAsia"/>
              </w:rPr>
              <w:t>40%</w:t>
            </w:r>
          </w:p>
        </w:tc>
      </w:tr>
      <w:tr w14:paraId="6E92F43A">
        <w:tblPrEx>
          <w:tblCellMar>
            <w:top w:w="0" w:type="dxa"/>
            <w:left w:w="0" w:type="dxa"/>
            <w:bottom w:w="0" w:type="dxa"/>
            <w:right w:w="0" w:type="dxa"/>
          </w:tblCellMar>
        </w:tblPrEx>
        <w:trPr>
          <w:wBefore w:w="0" w:type="auto"/>
          <w:tblCellSpacing w:w="0" w:type="dxa"/>
        </w:trPr>
        <w:tc>
          <w:tcPr>
            <w:tcW w:w="0" w:type="auto"/>
            <w:noWrap w:val="0"/>
            <w:vAlign w:val="center"/>
          </w:tcPr>
          <w:p w14:paraId="4148C68E">
            <w:r>
              <w:rPr>
                <w:rFonts w:hint="eastAsia"/>
              </w:rPr>
              <w:t xml:space="preserve">有效成分及其含量： </w:t>
            </w:r>
          </w:p>
          <w:p w14:paraId="523AC03C">
            <w:r>
              <w:rPr>
                <w:rFonts w:hint="eastAsia"/>
              </w:rPr>
              <w:t xml:space="preserve">    莎稗磷40%    </w:t>
            </w:r>
          </w:p>
        </w:tc>
      </w:tr>
      <w:tr w14:paraId="2BB6ACE7">
        <w:tblPrEx>
          <w:tblCellMar>
            <w:top w:w="0" w:type="dxa"/>
            <w:left w:w="0" w:type="dxa"/>
            <w:bottom w:w="0" w:type="dxa"/>
            <w:right w:w="0" w:type="dxa"/>
          </w:tblCellMar>
        </w:tblPrEx>
        <w:trPr>
          <w:wBefore w:w="0" w:type="auto"/>
          <w:tblCellSpacing w:w="0" w:type="dxa"/>
        </w:trPr>
        <w:tc>
          <w:tcPr>
            <w:tcW w:w="0" w:type="auto"/>
            <w:noWrap w:val="0"/>
            <w:vAlign w:val="center"/>
          </w:tcPr>
          <w:p w14:paraId="1AFE355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8B36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8AADC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A061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98146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B76CB8">
                  <w:r>
                    <w:rPr>
                      <w:rStyle w:val="11"/>
                      <w:rFonts w:hint="eastAsia"/>
                    </w:rPr>
                    <w:t>施用方式</w:t>
                  </w:r>
                </w:p>
              </w:tc>
            </w:tr>
            <w:tr w14:paraId="7533B3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E97C68">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C2A58B">
                  <w:r>
                    <w:rPr>
                      <w:rStyle w:val="11"/>
                      <w:rFonts w:hint="eastAsia"/>
                    </w:rPr>
                    <w:t>一年生禾本科杂草、莎草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2375EC">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5F808D">
                  <w:r>
                    <w:rPr>
                      <w:rStyle w:val="11"/>
                      <w:rFonts w:hint="eastAsia"/>
                    </w:rPr>
                    <w:t>药土法</w:t>
                  </w:r>
                </w:p>
              </w:tc>
            </w:tr>
          </w:tbl>
          <w:p w14:paraId="11F2AA22">
            <w:pPr>
              <w:rPr>
                <w:rFonts w:ascii="Times New Roman" w:hAnsi="Times New Roman" w:cs="Times New Roman"/>
                <w:sz w:val="20"/>
                <w:szCs w:val="20"/>
              </w:rPr>
            </w:pPr>
          </w:p>
        </w:tc>
      </w:tr>
      <w:tr w14:paraId="3BB8DE05">
        <w:tblPrEx>
          <w:tblCellMar>
            <w:top w:w="0" w:type="dxa"/>
            <w:left w:w="0" w:type="dxa"/>
            <w:bottom w:w="0" w:type="dxa"/>
            <w:right w:w="0" w:type="dxa"/>
          </w:tblCellMar>
        </w:tblPrEx>
        <w:trPr>
          <w:wBefore w:w="0" w:type="auto"/>
          <w:tblCellSpacing w:w="0" w:type="dxa"/>
        </w:trPr>
        <w:tc>
          <w:tcPr>
            <w:tcW w:w="0" w:type="auto"/>
            <w:noWrap w:val="0"/>
            <w:vAlign w:val="center"/>
          </w:tcPr>
          <w:p w14:paraId="552ABE28">
            <w:r>
              <w:rPr>
                <w:rStyle w:val="10"/>
                <w:rFonts w:hint="eastAsia"/>
              </w:rPr>
              <w:t>使用技术要求:</w:t>
            </w:r>
            <w:r>
              <w:rPr>
                <w:rFonts w:hint="eastAsia"/>
              </w:rPr>
              <w:br w:type="textWrapping"/>
            </w:r>
            <w:r>
              <w:rPr>
                <w:rStyle w:val="11"/>
                <w:rFonts w:hint="eastAsia"/>
              </w:rPr>
              <w:t>1）于水稻移栽缓苗后（移栽后5-7天），田间禾本科杂草2叶前，药土法撒施施药，施药时田内保持3-5厘米水层，勿使田水淹没稻心叶，保水5-7天。 2）每季节最多使用1次。</w:t>
            </w:r>
          </w:p>
        </w:tc>
      </w:tr>
      <w:tr w14:paraId="0A3187ED">
        <w:tblPrEx>
          <w:tblCellMar>
            <w:top w:w="0" w:type="dxa"/>
            <w:left w:w="0" w:type="dxa"/>
            <w:bottom w:w="0" w:type="dxa"/>
            <w:right w:w="0" w:type="dxa"/>
          </w:tblCellMar>
        </w:tblPrEx>
        <w:trPr>
          <w:wBefore w:w="0" w:type="auto"/>
          <w:tblCellSpacing w:w="0" w:type="dxa"/>
        </w:trPr>
        <w:tc>
          <w:tcPr>
            <w:tcW w:w="0" w:type="auto"/>
            <w:noWrap w:val="0"/>
            <w:vAlign w:val="center"/>
          </w:tcPr>
          <w:p w14:paraId="4B214739">
            <w:r>
              <w:rPr>
                <w:rStyle w:val="10"/>
                <w:rFonts w:hint="eastAsia"/>
              </w:rPr>
              <w:t>产品性能:</w:t>
            </w:r>
            <w:r>
              <w:rPr>
                <w:rFonts w:hint="eastAsia"/>
              </w:rPr>
              <w:br w:type="textWrapping"/>
            </w:r>
            <w:r>
              <w:rPr>
                <w:rStyle w:val="11"/>
                <w:rFonts w:hint="eastAsia"/>
              </w:rPr>
              <w:t>本剂为水稻移栽田选择性芽期除草剂，施用后，其有效成分在水面迅速扩散后沉入土壤表层，形成封闭药膜，从而将靶标杂草消灭在萌芽状态，可有效防治稻田稗草、千金子、异型莎草、莎草、鸭舌草、雨久花、尖瓣花、草龙、飘拂草等一年生禾本科杂草、莎草。具有内吸性强，杀稗效果较好等特点。</w:t>
            </w:r>
          </w:p>
        </w:tc>
      </w:tr>
      <w:tr w14:paraId="41125E15">
        <w:tblPrEx>
          <w:tblCellMar>
            <w:top w:w="0" w:type="dxa"/>
            <w:left w:w="0" w:type="dxa"/>
            <w:bottom w:w="0" w:type="dxa"/>
            <w:right w:w="0" w:type="dxa"/>
          </w:tblCellMar>
        </w:tblPrEx>
        <w:trPr>
          <w:wBefore w:w="0" w:type="auto"/>
          <w:tblCellSpacing w:w="0" w:type="dxa"/>
        </w:trPr>
        <w:tc>
          <w:tcPr>
            <w:tcW w:w="0" w:type="auto"/>
            <w:noWrap w:val="0"/>
            <w:vAlign w:val="center"/>
          </w:tcPr>
          <w:p w14:paraId="58477E3A">
            <w:r>
              <w:rPr>
                <w:rStyle w:val="10"/>
                <w:rFonts w:hint="eastAsia"/>
              </w:rPr>
              <w:t>注意事项：</w:t>
            </w:r>
            <w:r>
              <w:rPr>
                <w:rFonts w:hint="eastAsia"/>
              </w:rPr>
              <w:br w:type="textWrapping"/>
            </w:r>
            <w:r>
              <w:rPr>
                <w:rStyle w:val="11"/>
                <w:rFonts w:hint="eastAsia"/>
              </w:rPr>
              <w:t>1）请按照农药安全使用规范使用本品。应根据田间杂草草相及抗性等具体情况，科学合理用药。2）避免药剂与其它作物接触。3）使用本品作业时应注意防护，使用时穿戴长衣长裤、帽子、口罩、手套、鞋等安全使用防护措施。避免吸入药液；施药期间不可吃东西、饮水、吸烟等；施药后应及时洗手、洗脸、更换衣物等。4）本品对水生生物毒性较高，水产养殖区、河塘等水体附近禁用。5）禁止在池塘等水域清洗施药器具，清洗药械的废水不能排入河流、池塘等。鱼或虾蟹套养稻田禁用、施药后的田水不得直接排入水体。6）用过的容器应妥善处理，不可做他用，也不可随意丢弃。7）避免孕妇及哺乳期妇女接触本品。</w:t>
            </w:r>
          </w:p>
        </w:tc>
      </w:tr>
      <w:tr w14:paraId="7681E0E3">
        <w:tblPrEx>
          <w:tblCellMar>
            <w:top w:w="0" w:type="dxa"/>
            <w:left w:w="0" w:type="dxa"/>
            <w:bottom w:w="0" w:type="dxa"/>
            <w:right w:w="0" w:type="dxa"/>
          </w:tblCellMar>
        </w:tblPrEx>
        <w:trPr>
          <w:wBefore w:w="0" w:type="auto"/>
          <w:tblCellSpacing w:w="0" w:type="dxa"/>
        </w:trPr>
        <w:tc>
          <w:tcPr>
            <w:tcW w:w="0" w:type="auto"/>
            <w:noWrap w:val="0"/>
            <w:vAlign w:val="center"/>
          </w:tcPr>
          <w:p w14:paraId="525B842E">
            <w:r>
              <w:rPr>
                <w:rStyle w:val="10"/>
                <w:rFonts w:hint="eastAsia"/>
              </w:rPr>
              <w:t>中毒急救措施：</w:t>
            </w:r>
            <w:r>
              <w:rPr>
                <w:rFonts w:hint="eastAsia"/>
              </w:rPr>
              <w:br w:type="textWrapping"/>
            </w:r>
            <w:r>
              <w:rPr>
                <w:rStyle w:val="11"/>
                <w:rFonts w:hint="eastAsia"/>
              </w:rPr>
              <w:t>①.对眼睛、皮肤有刺激性，使用时避免接触眼睛、皮肤。。若溅入眼睛中，用大量清水冲洗至少15分钟，仍有不适时，就医。②.如不慎接触皮肤，大量清水冲洗并换洗受污染的衣物。③.误吸:立即离开施药现场，移至空气清新地方。④.误服：立即停止服用，用清水充分漱口后立即携带农药标签到医院就诊。对症治疗，解毒剂为阿托品。</w:t>
            </w:r>
          </w:p>
        </w:tc>
      </w:tr>
      <w:tr w14:paraId="292424BF">
        <w:tblPrEx>
          <w:tblCellMar>
            <w:top w:w="0" w:type="dxa"/>
            <w:left w:w="0" w:type="dxa"/>
            <w:bottom w:w="0" w:type="dxa"/>
            <w:right w:w="0" w:type="dxa"/>
          </w:tblCellMar>
        </w:tblPrEx>
        <w:trPr>
          <w:wBefore w:w="0" w:type="auto"/>
          <w:tblCellSpacing w:w="0" w:type="dxa"/>
        </w:trPr>
        <w:tc>
          <w:tcPr>
            <w:tcW w:w="0" w:type="auto"/>
            <w:noWrap w:val="0"/>
            <w:vAlign w:val="center"/>
          </w:tcPr>
          <w:p w14:paraId="4F98CA7E">
            <w:r>
              <w:rPr>
                <w:rStyle w:val="10"/>
                <w:rFonts w:hint="eastAsia"/>
              </w:rPr>
              <w:t>储存和运输方法：</w:t>
            </w:r>
            <w:r>
              <w:rPr>
                <w:rFonts w:hint="eastAsia"/>
              </w:rPr>
              <w:br w:type="textWrapping"/>
            </w:r>
            <w:r>
              <w:rPr>
                <w:rStyle w:val="11"/>
                <w:rFonts w:hint="eastAsia"/>
              </w:rPr>
              <w:t>1）包装件应置于儿童触及不到之处，并加锁。贮存在避光、干燥、阴凉、通风、防雨处，远离火源或热源。2）运输时，注意避光防高温、雨淋，勿与食品、饮料、粮食、饲料等其他商品同贮同运。</w:t>
            </w:r>
          </w:p>
        </w:tc>
      </w:tr>
      <w:tr w14:paraId="4BD11866">
        <w:tblPrEx>
          <w:tblCellMar>
            <w:top w:w="0" w:type="dxa"/>
            <w:left w:w="0" w:type="dxa"/>
            <w:bottom w:w="0" w:type="dxa"/>
            <w:right w:w="0" w:type="dxa"/>
          </w:tblCellMar>
        </w:tblPrEx>
        <w:trPr>
          <w:wBefore w:w="0" w:type="auto"/>
          <w:tblCellSpacing w:w="0" w:type="dxa"/>
        </w:trPr>
        <w:tc>
          <w:tcPr>
            <w:tcW w:w="0" w:type="auto"/>
            <w:noWrap w:val="0"/>
            <w:vAlign w:val="center"/>
          </w:tcPr>
          <w:p w14:paraId="4A4D45CD">
            <w:r>
              <w:rPr>
                <w:rStyle w:val="10"/>
                <w:rFonts w:hint="eastAsia"/>
              </w:rPr>
              <w:t>质量保证期：</w:t>
            </w:r>
            <w:r>
              <w:rPr>
                <w:rStyle w:val="11"/>
                <w:rFonts w:hint="eastAsia"/>
              </w:rPr>
              <w:t>2年</w:t>
            </w:r>
          </w:p>
        </w:tc>
      </w:tr>
      <w:tr w14:paraId="4A4411DD">
        <w:tblPrEx>
          <w:tblCellMar>
            <w:top w:w="0" w:type="dxa"/>
            <w:left w:w="0" w:type="dxa"/>
            <w:bottom w:w="0" w:type="dxa"/>
            <w:right w:w="0" w:type="dxa"/>
          </w:tblCellMar>
        </w:tblPrEx>
        <w:trPr>
          <w:wBefore w:w="0" w:type="auto"/>
          <w:tblCellSpacing w:w="0" w:type="dxa"/>
        </w:trPr>
        <w:tc>
          <w:tcPr>
            <w:tcW w:w="0" w:type="auto"/>
            <w:noWrap w:val="0"/>
            <w:vAlign w:val="center"/>
          </w:tcPr>
          <w:p w14:paraId="1028F089">
            <w:r>
              <w:rPr>
                <w:rStyle w:val="10"/>
                <w:rFonts w:hint="eastAsia"/>
              </w:rPr>
              <w:t>备注：</w:t>
            </w:r>
          </w:p>
        </w:tc>
      </w:tr>
    </w:tbl>
    <w:p w14:paraId="5100F3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AF2F82">
        <w:tblPrEx>
          <w:tblCellMar>
            <w:top w:w="0" w:type="dxa"/>
            <w:left w:w="0" w:type="dxa"/>
            <w:bottom w:w="0" w:type="dxa"/>
            <w:right w:w="0" w:type="dxa"/>
          </w:tblCellMar>
        </w:tblPrEx>
        <w:trPr>
          <w:wBefore w:w="0" w:type="auto"/>
          <w:tblCellSpacing w:w="0" w:type="dxa"/>
        </w:trPr>
        <w:tc>
          <w:tcPr>
            <w:tcW w:w="0" w:type="auto"/>
            <w:noWrap w:val="0"/>
            <w:vAlign w:val="center"/>
          </w:tcPr>
          <w:p w14:paraId="46E52BC9">
            <w:r>
              <w:rPr>
                <w:rStyle w:val="10"/>
                <w:rFonts w:hint="eastAsia"/>
              </w:rPr>
              <w:t>登记证号：</w:t>
            </w:r>
            <w:r>
              <w:rPr>
                <w:rFonts w:hint="eastAsia"/>
              </w:rPr>
              <w:t>PD20212781</w:t>
            </w:r>
          </w:p>
        </w:tc>
      </w:tr>
      <w:tr w14:paraId="34B13AB7">
        <w:tblPrEx>
          <w:tblCellMar>
            <w:top w:w="0" w:type="dxa"/>
            <w:left w:w="0" w:type="dxa"/>
            <w:bottom w:w="0" w:type="dxa"/>
            <w:right w:w="0" w:type="dxa"/>
          </w:tblCellMar>
        </w:tblPrEx>
        <w:trPr>
          <w:wBefore w:w="0" w:type="auto"/>
          <w:tblCellSpacing w:w="0" w:type="dxa"/>
        </w:trPr>
        <w:tc>
          <w:tcPr>
            <w:tcW w:w="0" w:type="auto"/>
            <w:noWrap w:val="0"/>
            <w:vAlign w:val="center"/>
          </w:tcPr>
          <w:p w14:paraId="2D35F933">
            <w:r>
              <w:rPr>
                <w:rStyle w:val="10"/>
                <w:rFonts w:hint="eastAsia"/>
              </w:rPr>
              <w:t>登记证持有人：</w:t>
            </w:r>
            <w:r>
              <w:rPr>
                <w:rFonts w:hint="eastAsia"/>
              </w:rPr>
              <w:t>河南金田地农化有限责任公司</w:t>
            </w:r>
          </w:p>
        </w:tc>
      </w:tr>
      <w:tr w14:paraId="5BD48635">
        <w:tblPrEx>
          <w:tblCellMar>
            <w:top w:w="0" w:type="dxa"/>
            <w:left w:w="0" w:type="dxa"/>
            <w:bottom w:w="0" w:type="dxa"/>
            <w:right w:w="0" w:type="dxa"/>
          </w:tblCellMar>
        </w:tblPrEx>
        <w:trPr>
          <w:wBefore w:w="0" w:type="auto"/>
          <w:tblCellSpacing w:w="0" w:type="dxa"/>
        </w:trPr>
        <w:tc>
          <w:tcPr>
            <w:tcW w:w="0" w:type="auto"/>
            <w:noWrap w:val="0"/>
            <w:vAlign w:val="center"/>
          </w:tcPr>
          <w:p w14:paraId="51E8CD30">
            <w:r>
              <w:rPr>
                <w:rStyle w:val="10"/>
                <w:rFonts w:hint="eastAsia"/>
              </w:rPr>
              <w:t>农药名称：</w:t>
            </w:r>
            <w:r>
              <w:rPr>
                <w:rFonts w:hint="eastAsia"/>
              </w:rPr>
              <w:t>苯醚·咯·噻虫</w:t>
            </w:r>
          </w:p>
        </w:tc>
      </w:tr>
      <w:tr w14:paraId="25100AF6">
        <w:tblPrEx>
          <w:tblCellMar>
            <w:top w:w="0" w:type="dxa"/>
            <w:left w:w="0" w:type="dxa"/>
            <w:bottom w:w="0" w:type="dxa"/>
            <w:right w:w="0" w:type="dxa"/>
          </w:tblCellMar>
        </w:tblPrEx>
        <w:trPr>
          <w:wBefore w:w="0" w:type="auto"/>
          <w:tblCellSpacing w:w="0" w:type="dxa"/>
        </w:trPr>
        <w:tc>
          <w:tcPr>
            <w:tcW w:w="0" w:type="auto"/>
            <w:noWrap w:val="0"/>
            <w:vAlign w:val="center"/>
          </w:tcPr>
          <w:p w14:paraId="7D36C14A">
            <w:r>
              <w:rPr>
                <w:rStyle w:val="10"/>
                <w:rFonts w:hint="eastAsia"/>
              </w:rPr>
              <w:t>剂型：</w:t>
            </w:r>
            <w:r>
              <w:rPr>
                <w:rFonts w:hint="eastAsia"/>
              </w:rPr>
              <w:t>种子处理悬浮剂</w:t>
            </w:r>
          </w:p>
        </w:tc>
      </w:tr>
      <w:tr w14:paraId="6AB05D79">
        <w:tblPrEx>
          <w:tblCellMar>
            <w:top w:w="0" w:type="dxa"/>
            <w:left w:w="0" w:type="dxa"/>
            <w:bottom w:w="0" w:type="dxa"/>
            <w:right w:w="0" w:type="dxa"/>
          </w:tblCellMar>
        </w:tblPrEx>
        <w:trPr>
          <w:wBefore w:w="0" w:type="auto"/>
          <w:tblCellSpacing w:w="0" w:type="dxa"/>
        </w:trPr>
        <w:tc>
          <w:tcPr>
            <w:tcW w:w="0" w:type="auto"/>
            <w:noWrap w:val="0"/>
            <w:vAlign w:val="center"/>
          </w:tcPr>
          <w:p w14:paraId="2E11965D">
            <w:r>
              <w:rPr>
                <w:rStyle w:val="10"/>
                <w:rFonts w:hint="eastAsia"/>
              </w:rPr>
              <w:t>毒性及其标识：</w:t>
            </w:r>
            <w:r>
              <w:rPr>
                <w:rFonts w:hint="eastAsia"/>
              </w:rPr>
              <w:t xml:space="preserve"> </w:t>
            </w:r>
            <w:r>
              <w:rPr>
                <w:lang/>
              </w:rPr>
              <w:drawing>
                <wp:inline distT="0" distB="0" distL="114300" distR="114300">
                  <wp:extent cx="476250" cy="323850"/>
                  <wp:effectExtent l="0" t="0" r="0" b="0"/>
                  <wp:docPr id="248" name="图片 2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1121D5">
        <w:tblPrEx>
          <w:tblCellMar>
            <w:top w:w="0" w:type="dxa"/>
            <w:left w:w="0" w:type="dxa"/>
            <w:bottom w:w="0" w:type="dxa"/>
            <w:right w:w="0" w:type="dxa"/>
          </w:tblCellMar>
        </w:tblPrEx>
        <w:trPr>
          <w:wBefore w:w="0" w:type="auto"/>
          <w:tblCellSpacing w:w="0" w:type="dxa"/>
        </w:trPr>
        <w:tc>
          <w:tcPr>
            <w:tcW w:w="0" w:type="auto"/>
            <w:noWrap w:val="0"/>
            <w:vAlign w:val="center"/>
          </w:tcPr>
          <w:p w14:paraId="32BBC169">
            <w:r>
              <w:rPr>
                <w:rStyle w:val="10"/>
                <w:rFonts w:hint="eastAsia"/>
              </w:rPr>
              <w:t>总有效成分含量：</w:t>
            </w:r>
            <w:r>
              <w:rPr>
                <w:rFonts w:hint="eastAsia"/>
              </w:rPr>
              <w:t>27%</w:t>
            </w:r>
          </w:p>
        </w:tc>
      </w:tr>
      <w:tr w14:paraId="18DD91E5">
        <w:tblPrEx>
          <w:tblCellMar>
            <w:top w:w="0" w:type="dxa"/>
            <w:left w:w="0" w:type="dxa"/>
            <w:bottom w:w="0" w:type="dxa"/>
            <w:right w:w="0" w:type="dxa"/>
          </w:tblCellMar>
        </w:tblPrEx>
        <w:trPr>
          <w:wBefore w:w="0" w:type="auto"/>
          <w:tblCellSpacing w:w="0" w:type="dxa"/>
        </w:trPr>
        <w:tc>
          <w:tcPr>
            <w:tcW w:w="0" w:type="auto"/>
            <w:noWrap w:val="0"/>
            <w:vAlign w:val="center"/>
          </w:tcPr>
          <w:p w14:paraId="6E180BD6">
            <w:r>
              <w:rPr>
                <w:rFonts w:hint="eastAsia"/>
              </w:rPr>
              <w:t xml:space="preserve">有效成分及其含量： </w:t>
            </w:r>
          </w:p>
          <w:p w14:paraId="544341DA">
            <w:r>
              <w:rPr>
                <w:rFonts w:hint="eastAsia"/>
              </w:rPr>
              <w:t xml:space="preserve">    噻虫嗪22.6%    咯菌腈2.2%    苯醚甲环唑2.2%    </w:t>
            </w:r>
          </w:p>
        </w:tc>
      </w:tr>
      <w:tr w14:paraId="0EDE913A">
        <w:tblPrEx>
          <w:tblCellMar>
            <w:top w:w="0" w:type="dxa"/>
            <w:left w:w="0" w:type="dxa"/>
            <w:bottom w:w="0" w:type="dxa"/>
            <w:right w:w="0" w:type="dxa"/>
          </w:tblCellMar>
        </w:tblPrEx>
        <w:trPr>
          <w:wBefore w:w="0" w:type="auto"/>
          <w:tblCellSpacing w:w="0" w:type="dxa"/>
        </w:trPr>
        <w:tc>
          <w:tcPr>
            <w:tcW w:w="0" w:type="auto"/>
            <w:noWrap w:val="0"/>
            <w:vAlign w:val="center"/>
          </w:tcPr>
          <w:p w14:paraId="0C254E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75E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4B2D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9C376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AC1B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DFCFD4">
                  <w:r>
                    <w:rPr>
                      <w:rStyle w:val="11"/>
                      <w:rFonts w:hint="eastAsia"/>
                    </w:rPr>
                    <w:t>施用方式</w:t>
                  </w:r>
                </w:p>
              </w:tc>
            </w:tr>
            <w:tr w14:paraId="76077A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89F180">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A6B98D">
                  <w:r>
                    <w:rPr>
                      <w:rStyle w:val="11"/>
                      <w:rFonts w:hint="eastAsia"/>
                    </w:rPr>
                    <w:t>全蚀病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3A08DC">
                  <w:r>
                    <w:rPr>
                      <w:rStyle w:val="11"/>
                      <w:rFonts w:hint="eastAsia"/>
                    </w:rPr>
                    <w:t>400-600毫升/100千克种子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3C0B4E">
                  <w:r>
                    <w:rPr>
                      <w:rStyle w:val="11"/>
                      <w:rFonts w:hint="eastAsia"/>
                    </w:rPr>
                    <w:t>种子包衣</w:t>
                  </w:r>
                </w:p>
              </w:tc>
            </w:tr>
            <w:tr w14:paraId="062C1A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D65291">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0ADB0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5DCC8B">
                  <w:r>
                    <w:rPr>
                      <w:rStyle w:val="11"/>
                      <w:rFonts w:hint="eastAsia"/>
                    </w:rPr>
                    <w:t>400-600毫升/100千克种子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C5AE35">
                  <w:r>
                    <w:rPr>
                      <w:rStyle w:val="11"/>
                      <w:rFonts w:hint="eastAsia"/>
                    </w:rPr>
                    <w:t>种子包衣</w:t>
                  </w:r>
                </w:p>
              </w:tc>
            </w:tr>
          </w:tbl>
          <w:p w14:paraId="3F7DABEA">
            <w:pPr>
              <w:rPr>
                <w:rFonts w:ascii="Times New Roman" w:hAnsi="Times New Roman" w:cs="Times New Roman"/>
                <w:sz w:val="20"/>
                <w:szCs w:val="20"/>
              </w:rPr>
            </w:pPr>
          </w:p>
        </w:tc>
      </w:tr>
      <w:tr w14:paraId="3DC5CCFA">
        <w:tblPrEx>
          <w:tblCellMar>
            <w:top w:w="0" w:type="dxa"/>
            <w:left w:w="0" w:type="dxa"/>
            <w:bottom w:w="0" w:type="dxa"/>
            <w:right w:w="0" w:type="dxa"/>
          </w:tblCellMar>
        </w:tblPrEx>
        <w:trPr>
          <w:wBefore w:w="0" w:type="auto"/>
          <w:tblCellSpacing w:w="0" w:type="dxa"/>
        </w:trPr>
        <w:tc>
          <w:tcPr>
            <w:tcW w:w="0" w:type="auto"/>
            <w:noWrap w:val="0"/>
            <w:vAlign w:val="center"/>
          </w:tcPr>
          <w:p w14:paraId="7219F884">
            <w:r>
              <w:rPr>
                <w:rStyle w:val="10"/>
                <w:rFonts w:hint="eastAsia"/>
              </w:rPr>
              <w:t>使用技术要求:</w:t>
            </w:r>
            <w:r>
              <w:rPr>
                <w:rFonts w:hint="eastAsia"/>
              </w:rPr>
              <w:br w:type="textWrapping"/>
            </w:r>
            <w:r>
              <w:rPr>
                <w:rStyle w:val="11"/>
                <w:rFonts w:hint="eastAsia"/>
              </w:rPr>
              <w:t>1.本品于小麦播种前兑水均匀包衣，晾干后播种。2.包衣方法可采用机械包衣和人工包衣两种方法。3.用于包衣处理的种子应为符合国家标准的良种。4.每季作物最多使用一次。</w:t>
            </w:r>
          </w:p>
        </w:tc>
      </w:tr>
      <w:tr w14:paraId="0B1581FA">
        <w:tblPrEx>
          <w:tblCellMar>
            <w:top w:w="0" w:type="dxa"/>
            <w:left w:w="0" w:type="dxa"/>
            <w:bottom w:w="0" w:type="dxa"/>
            <w:right w:w="0" w:type="dxa"/>
          </w:tblCellMar>
        </w:tblPrEx>
        <w:trPr>
          <w:wBefore w:w="0" w:type="auto"/>
          <w:tblCellSpacing w:w="0" w:type="dxa"/>
        </w:trPr>
        <w:tc>
          <w:tcPr>
            <w:tcW w:w="0" w:type="auto"/>
            <w:noWrap w:val="0"/>
            <w:vAlign w:val="center"/>
          </w:tcPr>
          <w:p w14:paraId="2F764F5E">
            <w:r>
              <w:rPr>
                <w:rStyle w:val="10"/>
                <w:rFonts w:hint="eastAsia"/>
              </w:rPr>
              <w:t>产品性能:</w:t>
            </w:r>
            <w:r>
              <w:rPr>
                <w:rFonts w:hint="eastAsia"/>
              </w:rPr>
              <w:br w:type="textWrapping"/>
            </w:r>
            <w:r>
              <w:rPr>
                <w:rStyle w:val="11"/>
                <w:rFonts w:hint="eastAsia"/>
              </w:rPr>
              <w:t xml:space="preserve">本品为三元复配杀虫杀菌种衣剂，噻虫嗪是一种新烟碱类杀虫剂，具有触杀、胃毒和内吸活性，对小麦蚜虫具有较好防效；苯醚甲环唑对担子菌门和子囊菌门引起的病害有保护、治疗作用；咯菌腈为非内吸苯吡咯类化合物，对子囊菌、担子菌、半知菌等病原菌引起的种传和土传病害有很好的防效。三种成分混配能够有效防治小麦蚜虫和全蚀病。 </w:t>
            </w:r>
          </w:p>
        </w:tc>
      </w:tr>
      <w:tr w14:paraId="58CCC1B9">
        <w:tblPrEx>
          <w:tblCellMar>
            <w:top w:w="0" w:type="dxa"/>
            <w:left w:w="0" w:type="dxa"/>
            <w:bottom w:w="0" w:type="dxa"/>
            <w:right w:w="0" w:type="dxa"/>
          </w:tblCellMar>
        </w:tblPrEx>
        <w:trPr>
          <w:wBefore w:w="0" w:type="auto"/>
          <w:tblCellSpacing w:w="0" w:type="dxa"/>
        </w:trPr>
        <w:tc>
          <w:tcPr>
            <w:tcW w:w="0" w:type="auto"/>
            <w:noWrap w:val="0"/>
            <w:vAlign w:val="center"/>
          </w:tcPr>
          <w:p w14:paraId="2116BD12">
            <w:r>
              <w:rPr>
                <w:rStyle w:val="10"/>
                <w:rFonts w:hint="eastAsia"/>
              </w:rPr>
              <w:t>注意事项：</w:t>
            </w:r>
            <w:r>
              <w:rPr>
                <w:rFonts w:hint="eastAsia"/>
              </w:rPr>
              <w:br w:type="textWrapping"/>
            </w:r>
            <w:r>
              <w:rPr>
                <w:rStyle w:val="11"/>
                <w:rFonts w:hint="eastAsia"/>
              </w:rPr>
              <w:t>1.请按照农药安全使用准则使用本品，在种子处理过程中，避免药液接触皮肤、眼睛和污染衣物，避免吸入药液。2.配药和种子处理应在通风处进行，操作人员应戴防渗手套、口罩、穿长袖衣、长裤、靴子等。此时不可饮食、吸烟等。种子处理结束后，彻底清洗防护用具，洗澡，并更换和清洗工作服。3.处理后的种子严禁人畜食用，如需晾晒必须有专人看管。4.播种后应立即覆土，严禁畜禽进入。5.本品对鸟类、鱼、虾、蜜蜂、家蚕有毒，施药时应远离池塘、水源，水产养殖区、河塘等水体附近禁用，禁止在河塘等水域清洗施药器具。蚕室及桑园附近禁用，鸟类保护区禁用，周围开花植物花期禁用，施药期间密切关注对土壤生物的风险性和附近蜂群的影响。6.避免孕妇及哺乳期的妇女接触此药。</w:t>
            </w:r>
          </w:p>
        </w:tc>
      </w:tr>
      <w:tr w14:paraId="4A0DBF87">
        <w:tblPrEx>
          <w:tblCellMar>
            <w:top w:w="0" w:type="dxa"/>
            <w:left w:w="0" w:type="dxa"/>
            <w:bottom w:w="0" w:type="dxa"/>
            <w:right w:w="0" w:type="dxa"/>
          </w:tblCellMar>
        </w:tblPrEx>
        <w:trPr>
          <w:wBefore w:w="0" w:type="auto"/>
          <w:tblCellSpacing w:w="0" w:type="dxa"/>
        </w:trPr>
        <w:tc>
          <w:tcPr>
            <w:tcW w:w="0" w:type="auto"/>
            <w:noWrap w:val="0"/>
            <w:vAlign w:val="center"/>
          </w:tcPr>
          <w:p w14:paraId="22626E5A">
            <w:r>
              <w:rPr>
                <w:rStyle w:val="10"/>
                <w:rFonts w:hint="eastAsia"/>
              </w:rPr>
              <w:t>中毒急救措施：</w:t>
            </w:r>
            <w:r>
              <w:rPr>
                <w:rFonts w:hint="eastAsia"/>
              </w:rPr>
              <w:br w:type="textWrapping"/>
            </w:r>
            <w:r>
              <w:rPr>
                <w:rStyle w:val="11"/>
                <w:rFonts w:hint="eastAsia"/>
              </w:rPr>
              <w:t xml:space="preserve">中毒症状表现为皮肤刺痛、头痛、头昏、恶心呕吐，双手颤抖、抽搐、惊厥、昏迷等。用药时如感觉不适，立即停止工作，采取急救措施，并携此标签送医就诊；如溅入眼睛，立即用大量流动清水冲洗至少15分钟，再请医生诊治；如误服，立即停止，用大量的清水充分漱口后，应立即携此标签将病人送医院对症治疗；不慎吸入，立即将吸入者转移到空气新鲜处，严重者携标签就医；如药液沾染皮肤，立即用肥皂水彻底清洗。本品无特效解毒剂。可采取洗胃、活性碳吸附及稀释等办法救治，注意防止胃容物进入呼吸道。注意：切勿对昏迷病人经口喂入任何东西或引吐。 </w:t>
            </w:r>
          </w:p>
        </w:tc>
      </w:tr>
      <w:tr w14:paraId="01D50033">
        <w:tblPrEx>
          <w:tblCellMar>
            <w:top w:w="0" w:type="dxa"/>
            <w:left w:w="0" w:type="dxa"/>
            <w:bottom w:w="0" w:type="dxa"/>
            <w:right w:w="0" w:type="dxa"/>
          </w:tblCellMar>
        </w:tblPrEx>
        <w:trPr>
          <w:wBefore w:w="0" w:type="auto"/>
          <w:tblCellSpacing w:w="0" w:type="dxa"/>
        </w:trPr>
        <w:tc>
          <w:tcPr>
            <w:tcW w:w="0" w:type="auto"/>
            <w:noWrap w:val="0"/>
            <w:vAlign w:val="center"/>
          </w:tcPr>
          <w:p w14:paraId="1792FA90">
            <w:r>
              <w:rPr>
                <w:rStyle w:val="10"/>
                <w:rFonts w:hint="eastAsia"/>
              </w:rPr>
              <w:t>储存和运输方法：</w:t>
            </w:r>
            <w:r>
              <w:rPr>
                <w:rFonts w:hint="eastAsia"/>
              </w:rPr>
              <w:br w:type="textWrapping"/>
            </w:r>
            <w:r>
              <w:rPr>
                <w:rStyle w:val="11"/>
                <w:rFonts w:hint="eastAsia"/>
              </w:rPr>
              <w:t xml:space="preserve">本品应贮在于干燥、阴凉、通风、防雨处。远离火源或热源。置于儿童触及不到之处，并加锁。勿与食品、饮料、粮食、饲料等其他商品同贮同运。 </w:t>
            </w:r>
          </w:p>
        </w:tc>
      </w:tr>
      <w:tr w14:paraId="05E0AE72">
        <w:tblPrEx>
          <w:tblCellMar>
            <w:top w:w="0" w:type="dxa"/>
            <w:left w:w="0" w:type="dxa"/>
            <w:bottom w:w="0" w:type="dxa"/>
            <w:right w:w="0" w:type="dxa"/>
          </w:tblCellMar>
        </w:tblPrEx>
        <w:trPr>
          <w:wBefore w:w="0" w:type="auto"/>
          <w:tblCellSpacing w:w="0" w:type="dxa"/>
        </w:trPr>
        <w:tc>
          <w:tcPr>
            <w:tcW w:w="0" w:type="auto"/>
            <w:noWrap w:val="0"/>
            <w:vAlign w:val="center"/>
          </w:tcPr>
          <w:p w14:paraId="372EE9FA">
            <w:r>
              <w:rPr>
                <w:rStyle w:val="10"/>
                <w:rFonts w:hint="eastAsia"/>
              </w:rPr>
              <w:t>质量保证期：</w:t>
            </w:r>
            <w:r>
              <w:rPr>
                <w:rStyle w:val="11"/>
                <w:rFonts w:hint="eastAsia"/>
              </w:rPr>
              <w:t>2年</w:t>
            </w:r>
          </w:p>
        </w:tc>
      </w:tr>
      <w:tr w14:paraId="21C65EC3">
        <w:tblPrEx>
          <w:tblCellMar>
            <w:top w:w="0" w:type="dxa"/>
            <w:left w:w="0" w:type="dxa"/>
            <w:bottom w:w="0" w:type="dxa"/>
            <w:right w:w="0" w:type="dxa"/>
          </w:tblCellMar>
        </w:tblPrEx>
        <w:trPr>
          <w:wBefore w:w="0" w:type="auto"/>
          <w:tblCellSpacing w:w="0" w:type="dxa"/>
        </w:trPr>
        <w:tc>
          <w:tcPr>
            <w:tcW w:w="0" w:type="auto"/>
            <w:noWrap w:val="0"/>
            <w:vAlign w:val="center"/>
          </w:tcPr>
          <w:p w14:paraId="4410E5F5">
            <w:r>
              <w:rPr>
                <w:rStyle w:val="10"/>
                <w:rFonts w:hint="eastAsia"/>
              </w:rPr>
              <w:t>备注：</w:t>
            </w:r>
          </w:p>
        </w:tc>
      </w:tr>
    </w:tbl>
    <w:p w14:paraId="11C672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751C8E">
        <w:tblPrEx>
          <w:tblCellMar>
            <w:top w:w="0" w:type="dxa"/>
            <w:left w:w="0" w:type="dxa"/>
            <w:bottom w:w="0" w:type="dxa"/>
            <w:right w:w="0" w:type="dxa"/>
          </w:tblCellMar>
        </w:tblPrEx>
        <w:trPr>
          <w:wBefore w:w="0" w:type="auto"/>
          <w:tblCellSpacing w:w="0" w:type="dxa"/>
        </w:trPr>
        <w:tc>
          <w:tcPr>
            <w:tcW w:w="0" w:type="auto"/>
            <w:noWrap w:val="0"/>
            <w:vAlign w:val="center"/>
          </w:tcPr>
          <w:p w14:paraId="05C8D277">
            <w:r>
              <w:rPr>
                <w:rStyle w:val="10"/>
                <w:rFonts w:hint="eastAsia"/>
              </w:rPr>
              <w:t>登记证号：</w:t>
            </w:r>
            <w:r>
              <w:rPr>
                <w:rFonts w:hint="eastAsia"/>
              </w:rPr>
              <w:t>PD20212751</w:t>
            </w:r>
          </w:p>
        </w:tc>
      </w:tr>
      <w:tr w14:paraId="2CF05F5B">
        <w:tblPrEx>
          <w:tblCellMar>
            <w:top w:w="0" w:type="dxa"/>
            <w:left w:w="0" w:type="dxa"/>
            <w:bottom w:w="0" w:type="dxa"/>
            <w:right w:w="0" w:type="dxa"/>
          </w:tblCellMar>
        </w:tblPrEx>
        <w:trPr>
          <w:wBefore w:w="0" w:type="auto"/>
          <w:tblCellSpacing w:w="0" w:type="dxa"/>
        </w:trPr>
        <w:tc>
          <w:tcPr>
            <w:tcW w:w="0" w:type="auto"/>
            <w:noWrap w:val="0"/>
            <w:vAlign w:val="center"/>
          </w:tcPr>
          <w:p w14:paraId="3C100CBF">
            <w:r>
              <w:rPr>
                <w:rStyle w:val="10"/>
                <w:rFonts w:hint="eastAsia"/>
              </w:rPr>
              <w:t>登记证持有人：</w:t>
            </w:r>
            <w:r>
              <w:rPr>
                <w:rFonts w:hint="eastAsia"/>
              </w:rPr>
              <w:t>许昌市建安区昌盛日化实业有限公司</w:t>
            </w:r>
          </w:p>
        </w:tc>
      </w:tr>
      <w:tr w14:paraId="7C1920AE">
        <w:tblPrEx>
          <w:tblCellMar>
            <w:top w:w="0" w:type="dxa"/>
            <w:left w:w="0" w:type="dxa"/>
            <w:bottom w:w="0" w:type="dxa"/>
            <w:right w:w="0" w:type="dxa"/>
          </w:tblCellMar>
        </w:tblPrEx>
        <w:trPr>
          <w:wBefore w:w="0" w:type="auto"/>
          <w:tblCellSpacing w:w="0" w:type="dxa"/>
        </w:trPr>
        <w:tc>
          <w:tcPr>
            <w:tcW w:w="0" w:type="auto"/>
            <w:noWrap w:val="0"/>
            <w:vAlign w:val="center"/>
          </w:tcPr>
          <w:p w14:paraId="78A8C310">
            <w:r>
              <w:rPr>
                <w:rStyle w:val="10"/>
                <w:rFonts w:hint="eastAsia"/>
              </w:rPr>
              <w:t>农药名称：</w:t>
            </w:r>
            <w:r>
              <w:rPr>
                <w:rFonts w:hint="eastAsia"/>
              </w:rPr>
              <w:t>吲丁·萘乙酸</w:t>
            </w:r>
          </w:p>
        </w:tc>
      </w:tr>
      <w:tr w14:paraId="68010BA1">
        <w:tblPrEx>
          <w:tblCellMar>
            <w:top w:w="0" w:type="dxa"/>
            <w:left w:w="0" w:type="dxa"/>
            <w:bottom w:w="0" w:type="dxa"/>
            <w:right w:w="0" w:type="dxa"/>
          </w:tblCellMar>
        </w:tblPrEx>
        <w:trPr>
          <w:wBefore w:w="0" w:type="auto"/>
          <w:tblCellSpacing w:w="0" w:type="dxa"/>
        </w:trPr>
        <w:tc>
          <w:tcPr>
            <w:tcW w:w="0" w:type="auto"/>
            <w:noWrap w:val="0"/>
            <w:vAlign w:val="center"/>
          </w:tcPr>
          <w:p w14:paraId="54BB0C8A">
            <w:r>
              <w:rPr>
                <w:rStyle w:val="10"/>
                <w:rFonts w:hint="eastAsia"/>
              </w:rPr>
              <w:t>剂型：</w:t>
            </w:r>
            <w:r>
              <w:rPr>
                <w:rFonts w:hint="eastAsia"/>
              </w:rPr>
              <w:t>可溶液剂</w:t>
            </w:r>
          </w:p>
        </w:tc>
      </w:tr>
      <w:tr w14:paraId="136F1416">
        <w:tblPrEx>
          <w:tblCellMar>
            <w:top w:w="0" w:type="dxa"/>
            <w:left w:w="0" w:type="dxa"/>
            <w:bottom w:w="0" w:type="dxa"/>
            <w:right w:w="0" w:type="dxa"/>
          </w:tblCellMar>
        </w:tblPrEx>
        <w:trPr>
          <w:wBefore w:w="0" w:type="auto"/>
          <w:tblCellSpacing w:w="0" w:type="dxa"/>
        </w:trPr>
        <w:tc>
          <w:tcPr>
            <w:tcW w:w="0" w:type="auto"/>
            <w:noWrap w:val="0"/>
            <w:vAlign w:val="center"/>
          </w:tcPr>
          <w:p w14:paraId="14FDCB6B">
            <w:r>
              <w:rPr>
                <w:rStyle w:val="10"/>
                <w:rFonts w:hint="eastAsia"/>
              </w:rPr>
              <w:t>毒性及其标识：</w:t>
            </w:r>
            <w:r>
              <w:rPr>
                <w:rFonts w:hint="eastAsia"/>
              </w:rPr>
              <w:t xml:space="preserve"> </w:t>
            </w:r>
            <w:r>
              <w:rPr>
                <w:lang/>
              </w:rPr>
              <w:drawing>
                <wp:inline distT="0" distB="0" distL="114300" distR="114300">
                  <wp:extent cx="476250" cy="323850"/>
                  <wp:effectExtent l="0" t="0" r="0" b="0"/>
                  <wp:docPr id="249" name="图片 2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C0EF84">
        <w:tblPrEx>
          <w:tblCellMar>
            <w:top w:w="0" w:type="dxa"/>
            <w:left w:w="0" w:type="dxa"/>
            <w:bottom w:w="0" w:type="dxa"/>
            <w:right w:w="0" w:type="dxa"/>
          </w:tblCellMar>
        </w:tblPrEx>
        <w:trPr>
          <w:wBefore w:w="0" w:type="auto"/>
          <w:tblCellSpacing w:w="0" w:type="dxa"/>
        </w:trPr>
        <w:tc>
          <w:tcPr>
            <w:tcW w:w="0" w:type="auto"/>
            <w:noWrap w:val="0"/>
            <w:vAlign w:val="center"/>
          </w:tcPr>
          <w:p w14:paraId="14F0A833">
            <w:r>
              <w:rPr>
                <w:rStyle w:val="10"/>
                <w:rFonts w:hint="eastAsia"/>
              </w:rPr>
              <w:t>总有效成分含量：</w:t>
            </w:r>
            <w:r>
              <w:rPr>
                <w:rFonts w:hint="eastAsia"/>
              </w:rPr>
              <w:t>5%</w:t>
            </w:r>
          </w:p>
        </w:tc>
      </w:tr>
      <w:tr w14:paraId="1932A37C">
        <w:tblPrEx>
          <w:tblCellMar>
            <w:top w:w="0" w:type="dxa"/>
            <w:left w:w="0" w:type="dxa"/>
            <w:bottom w:w="0" w:type="dxa"/>
            <w:right w:w="0" w:type="dxa"/>
          </w:tblCellMar>
        </w:tblPrEx>
        <w:trPr>
          <w:wBefore w:w="0" w:type="auto"/>
          <w:tblCellSpacing w:w="0" w:type="dxa"/>
        </w:trPr>
        <w:tc>
          <w:tcPr>
            <w:tcW w:w="0" w:type="auto"/>
            <w:noWrap w:val="0"/>
            <w:vAlign w:val="center"/>
          </w:tcPr>
          <w:p w14:paraId="5A9D3E82">
            <w:r>
              <w:rPr>
                <w:rFonts w:hint="eastAsia"/>
              </w:rPr>
              <w:t xml:space="preserve">有效成分及其含量： </w:t>
            </w:r>
          </w:p>
          <w:p w14:paraId="17B7AB77">
            <w:r>
              <w:rPr>
                <w:rFonts w:hint="eastAsia"/>
              </w:rPr>
              <w:t xml:space="preserve">    吲哚丁酸2.5%    萘乙酸2.5%    </w:t>
            </w:r>
          </w:p>
        </w:tc>
      </w:tr>
      <w:tr w14:paraId="273F1C1B">
        <w:tblPrEx>
          <w:tblCellMar>
            <w:top w:w="0" w:type="dxa"/>
            <w:left w:w="0" w:type="dxa"/>
            <w:bottom w:w="0" w:type="dxa"/>
            <w:right w:w="0" w:type="dxa"/>
          </w:tblCellMar>
        </w:tblPrEx>
        <w:trPr>
          <w:wBefore w:w="0" w:type="auto"/>
          <w:tblCellSpacing w:w="0" w:type="dxa"/>
        </w:trPr>
        <w:tc>
          <w:tcPr>
            <w:tcW w:w="0" w:type="auto"/>
            <w:noWrap w:val="0"/>
            <w:vAlign w:val="center"/>
          </w:tcPr>
          <w:p w14:paraId="7575FD7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B67D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4BFA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1D36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449956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01C0C6">
                  <w:r>
                    <w:rPr>
                      <w:rStyle w:val="11"/>
                      <w:rFonts w:hint="eastAsia"/>
                    </w:rPr>
                    <w:t>施用方式</w:t>
                  </w:r>
                </w:p>
              </w:tc>
            </w:tr>
            <w:tr w14:paraId="2918D3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97B00B">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3014E1">
                  <w:r>
                    <w:rPr>
                      <w:rStyle w:val="11"/>
                      <w:rFonts w:hint="eastAsia"/>
                    </w:rPr>
                    <w:t>提高成活率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CCC60F">
                  <w:r>
                    <w:rPr>
                      <w:rStyle w:val="11"/>
                      <w:rFonts w:hint="eastAsia"/>
                    </w:rPr>
                    <w:t>250-500倍液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BD6E6">
                  <w:r>
                    <w:rPr>
                      <w:rStyle w:val="11"/>
                      <w:rFonts w:hint="eastAsia"/>
                    </w:rPr>
                    <w:t>浸泡插条基部</w:t>
                  </w:r>
                </w:p>
              </w:tc>
            </w:tr>
          </w:tbl>
          <w:p w14:paraId="606B49AC">
            <w:pPr>
              <w:rPr>
                <w:rFonts w:ascii="Times New Roman" w:hAnsi="Times New Roman" w:cs="Times New Roman"/>
                <w:sz w:val="20"/>
                <w:szCs w:val="20"/>
              </w:rPr>
            </w:pPr>
          </w:p>
        </w:tc>
      </w:tr>
      <w:tr w14:paraId="63946BDB">
        <w:tblPrEx>
          <w:tblCellMar>
            <w:top w:w="0" w:type="dxa"/>
            <w:left w:w="0" w:type="dxa"/>
            <w:bottom w:w="0" w:type="dxa"/>
            <w:right w:w="0" w:type="dxa"/>
          </w:tblCellMar>
        </w:tblPrEx>
        <w:trPr>
          <w:wBefore w:w="0" w:type="auto"/>
          <w:tblCellSpacing w:w="0" w:type="dxa"/>
        </w:trPr>
        <w:tc>
          <w:tcPr>
            <w:tcW w:w="0" w:type="auto"/>
            <w:noWrap w:val="0"/>
            <w:vAlign w:val="center"/>
          </w:tcPr>
          <w:p w14:paraId="33B76A44">
            <w:r>
              <w:rPr>
                <w:rStyle w:val="10"/>
                <w:rFonts w:hint="eastAsia"/>
              </w:rPr>
              <w:t>使用技术要求:</w:t>
            </w:r>
            <w:r>
              <w:rPr>
                <w:rFonts w:hint="eastAsia"/>
              </w:rPr>
              <w:br w:type="textWrapping"/>
            </w:r>
            <w:r>
              <w:rPr>
                <w:rStyle w:val="11"/>
                <w:rFonts w:hint="eastAsia"/>
              </w:rPr>
              <w:t>在葡萄插条扦插前浸泡插条基部用药一次。</w:t>
            </w:r>
          </w:p>
        </w:tc>
      </w:tr>
      <w:tr w14:paraId="65DEEFAC">
        <w:tblPrEx>
          <w:tblCellMar>
            <w:top w:w="0" w:type="dxa"/>
            <w:left w:w="0" w:type="dxa"/>
            <w:bottom w:w="0" w:type="dxa"/>
            <w:right w:w="0" w:type="dxa"/>
          </w:tblCellMar>
        </w:tblPrEx>
        <w:trPr>
          <w:wBefore w:w="0" w:type="auto"/>
          <w:tblCellSpacing w:w="0" w:type="dxa"/>
        </w:trPr>
        <w:tc>
          <w:tcPr>
            <w:tcW w:w="0" w:type="auto"/>
            <w:noWrap w:val="0"/>
            <w:vAlign w:val="center"/>
          </w:tcPr>
          <w:p w14:paraId="3B17A02E">
            <w:r>
              <w:rPr>
                <w:rStyle w:val="10"/>
                <w:rFonts w:hint="eastAsia"/>
              </w:rPr>
              <w:t>产品性能:</w:t>
            </w:r>
            <w:r>
              <w:rPr>
                <w:rFonts w:hint="eastAsia"/>
              </w:rPr>
              <w:br w:type="textWrapping"/>
            </w:r>
            <w:r>
              <w:rPr>
                <w:rStyle w:val="11"/>
                <w:rFonts w:hint="eastAsia"/>
              </w:rPr>
              <w:t xml:space="preserve">本品由萘乙酸和吲哚丁酸复配而成，具有促进细胞分裂与扩大，诱导形成不定根。可以明显促进葡萄插穗的萌发生长，促进植株的生长发育。 </w:t>
            </w:r>
          </w:p>
        </w:tc>
      </w:tr>
      <w:tr w14:paraId="0ACD1182">
        <w:tblPrEx>
          <w:tblCellMar>
            <w:top w:w="0" w:type="dxa"/>
            <w:left w:w="0" w:type="dxa"/>
            <w:bottom w:w="0" w:type="dxa"/>
            <w:right w:w="0" w:type="dxa"/>
          </w:tblCellMar>
        </w:tblPrEx>
        <w:trPr>
          <w:wBefore w:w="0" w:type="auto"/>
          <w:tblCellSpacing w:w="0" w:type="dxa"/>
        </w:trPr>
        <w:tc>
          <w:tcPr>
            <w:tcW w:w="0" w:type="auto"/>
            <w:noWrap w:val="0"/>
            <w:vAlign w:val="center"/>
          </w:tcPr>
          <w:p w14:paraId="5B9113E2">
            <w:r>
              <w:rPr>
                <w:rStyle w:val="10"/>
                <w:rFonts w:hint="eastAsia"/>
              </w:rPr>
              <w:t>注意事项：</w:t>
            </w:r>
            <w:r>
              <w:rPr>
                <w:rFonts w:hint="eastAsia"/>
              </w:rPr>
              <w:br w:type="textWrapping"/>
            </w:r>
            <w:r>
              <w:rPr>
                <w:rStyle w:val="11"/>
                <w:rFonts w:hint="eastAsia"/>
              </w:rPr>
              <w:t>1、使用本品时应采取安全防护措施，穿防护服，戴口罩、护目镜、手套，避免刺激眼睛、皮肤接触及口鼻吸入、切勿吸烟或饮食。2、施药后立即清洗裸露部位的皮肤，更换并清洗工作服。3、禁止在河塘等水体中清洗施药器具，避免药液污染水源地。4、用过的容器应妥善处理，勿他用或随意丢弃。5、孕妇、哺乳期妇女及过敏者禁用。</w:t>
            </w:r>
          </w:p>
        </w:tc>
      </w:tr>
      <w:tr w14:paraId="4F8E315D">
        <w:tblPrEx>
          <w:tblCellMar>
            <w:top w:w="0" w:type="dxa"/>
            <w:left w:w="0" w:type="dxa"/>
            <w:bottom w:w="0" w:type="dxa"/>
            <w:right w:w="0" w:type="dxa"/>
          </w:tblCellMar>
        </w:tblPrEx>
        <w:trPr>
          <w:wBefore w:w="0" w:type="auto"/>
          <w:tblCellSpacing w:w="0" w:type="dxa"/>
        </w:trPr>
        <w:tc>
          <w:tcPr>
            <w:tcW w:w="0" w:type="auto"/>
            <w:noWrap w:val="0"/>
            <w:vAlign w:val="center"/>
          </w:tcPr>
          <w:p w14:paraId="41DBE926">
            <w:r>
              <w:rPr>
                <w:rStyle w:val="10"/>
                <w:rFonts w:hint="eastAsia"/>
              </w:rPr>
              <w:t>中毒急救措施：</w:t>
            </w:r>
            <w:r>
              <w:rPr>
                <w:rFonts w:hint="eastAsia"/>
              </w:rPr>
              <w:br w:type="textWrapping"/>
            </w:r>
            <w:r>
              <w:rPr>
                <w:rStyle w:val="11"/>
                <w:rFonts w:hint="eastAsia"/>
              </w:rPr>
              <w:t xml:space="preserve">中毒症状：通过食道引起中毒，可见肝、肾损害。 急救措施：使用中或使用后如果感觉不适，应立即停止工作，采取急救措施，并携带标签送医院就诊。皮肤接触，脱去污染的衣物，用软布去除沾染农药，立即用大量清水和肥皂冲洗。眼睛溅入，立即用清水彻底冲洗干净。吸入，立即离开施药现场，转移到空气清新处。误食，立即停止服用，用清水充分漱口后，立即携带农药标签到医院就诊。本品无特效解毒剂，对症治疗。 </w:t>
            </w:r>
          </w:p>
        </w:tc>
      </w:tr>
      <w:tr w14:paraId="3E660628">
        <w:tblPrEx>
          <w:tblCellMar>
            <w:top w:w="0" w:type="dxa"/>
            <w:left w:w="0" w:type="dxa"/>
            <w:bottom w:w="0" w:type="dxa"/>
            <w:right w:w="0" w:type="dxa"/>
          </w:tblCellMar>
        </w:tblPrEx>
        <w:trPr>
          <w:wBefore w:w="0" w:type="auto"/>
          <w:tblCellSpacing w:w="0" w:type="dxa"/>
        </w:trPr>
        <w:tc>
          <w:tcPr>
            <w:tcW w:w="0" w:type="auto"/>
            <w:noWrap w:val="0"/>
            <w:vAlign w:val="center"/>
          </w:tcPr>
          <w:p w14:paraId="3F663E51">
            <w:r>
              <w:rPr>
                <w:rStyle w:val="10"/>
                <w:rFonts w:hint="eastAsia"/>
              </w:rPr>
              <w:t>储存和运输方法：</w:t>
            </w:r>
            <w:r>
              <w:rPr>
                <w:rFonts w:hint="eastAsia"/>
              </w:rPr>
              <w:br w:type="textWrapping"/>
            </w:r>
            <w:r>
              <w:rPr>
                <w:rStyle w:val="11"/>
                <w:rFonts w:hint="eastAsia"/>
              </w:rPr>
              <w:t xml:space="preserve">本品应贮存在干燥、阴凉、通风、防雨处，远离火源或热源。 置于儿童、无关人员及其他动物触及不到之处，并加锁保存。 禁止与食品、饮料、粮食、饲料等物品同贮同运。 </w:t>
            </w:r>
          </w:p>
        </w:tc>
      </w:tr>
      <w:tr w14:paraId="2D1914ED">
        <w:tblPrEx>
          <w:tblCellMar>
            <w:top w:w="0" w:type="dxa"/>
            <w:left w:w="0" w:type="dxa"/>
            <w:bottom w:w="0" w:type="dxa"/>
            <w:right w:w="0" w:type="dxa"/>
          </w:tblCellMar>
        </w:tblPrEx>
        <w:trPr>
          <w:wBefore w:w="0" w:type="auto"/>
          <w:tblCellSpacing w:w="0" w:type="dxa"/>
        </w:trPr>
        <w:tc>
          <w:tcPr>
            <w:tcW w:w="0" w:type="auto"/>
            <w:noWrap w:val="0"/>
            <w:vAlign w:val="center"/>
          </w:tcPr>
          <w:p w14:paraId="0E4AB883">
            <w:r>
              <w:rPr>
                <w:rStyle w:val="10"/>
                <w:rFonts w:hint="eastAsia"/>
              </w:rPr>
              <w:t>质量保证期：</w:t>
            </w:r>
            <w:r>
              <w:rPr>
                <w:rStyle w:val="11"/>
                <w:rFonts w:hint="eastAsia"/>
              </w:rPr>
              <w:t>2年</w:t>
            </w:r>
          </w:p>
        </w:tc>
      </w:tr>
      <w:tr w14:paraId="428AAE5D">
        <w:tblPrEx>
          <w:tblCellMar>
            <w:top w:w="0" w:type="dxa"/>
            <w:left w:w="0" w:type="dxa"/>
            <w:bottom w:w="0" w:type="dxa"/>
            <w:right w:w="0" w:type="dxa"/>
          </w:tblCellMar>
        </w:tblPrEx>
        <w:trPr>
          <w:wBefore w:w="0" w:type="auto"/>
          <w:tblCellSpacing w:w="0" w:type="dxa"/>
        </w:trPr>
        <w:tc>
          <w:tcPr>
            <w:tcW w:w="0" w:type="auto"/>
            <w:noWrap w:val="0"/>
            <w:vAlign w:val="center"/>
          </w:tcPr>
          <w:p w14:paraId="4935C427">
            <w:r>
              <w:rPr>
                <w:rStyle w:val="10"/>
                <w:rFonts w:hint="eastAsia"/>
              </w:rPr>
              <w:t>备注：</w:t>
            </w:r>
          </w:p>
        </w:tc>
      </w:tr>
    </w:tbl>
    <w:p w14:paraId="2BA02A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DFDA35">
        <w:tblPrEx>
          <w:tblCellMar>
            <w:top w:w="0" w:type="dxa"/>
            <w:left w:w="0" w:type="dxa"/>
            <w:bottom w:w="0" w:type="dxa"/>
            <w:right w:w="0" w:type="dxa"/>
          </w:tblCellMar>
        </w:tblPrEx>
        <w:trPr>
          <w:wBefore w:w="0" w:type="auto"/>
          <w:tblCellSpacing w:w="0" w:type="dxa"/>
        </w:trPr>
        <w:tc>
          <w:tcPr>
            <w:tcW w:w="0" w:type="auto"/>
            <w:noWrap w:val="0"/>
            <w:vAlign w:val="center"/>
          </w:tcPr>
          <w:p w14:paraId="58DDFFBE">
            <w:r>
              <w:rPr>
                <w:rStyle w:val="10"/>
                <w:rFonts w:hint="eastAsia"/>
              </w:rPr>
              <w:t>登记证号：</w:t>
            </w:r>
            <w:r>
              <w:rPr>
                <w:rFonts w:hint="eastAsia"/>
              </w:rPr>
              <w:t>PD20212395</w:t>
            </w:r>
          </w:p>
        </w:tc>
      </w:tr>
      <w:tr w14:paraId="552848B6">
        <w:tblPrEx>
          <w:tblCellMar>
            <w:top w:w="0" w:type="dxa"/>
            <w:left w:w="0" w:type="dxa"/>
            <w:bottom w:w="0" w:type="dxa"/>
            <w:right w:w="0" w:type="dxa"/>
          </w:tblCellMar>
        </w:tblPrEx>
        <w:trPr>
          <w:wBefore w:w="0" w:type="auto"/>
          <w:tblCellSpacing w:w="0" w:type="dxa"/>
        </w:trPr>
        <w:tc>
          <w:tcPr>
            <w:tcW w:w="0" w:type="auto"/>
            <w:noWrap w:val="0"/>
            <w:vAlign w:val="center"/>
          </w:tcPr>
          <w:p w14:paraId="5AE12AFC">
            <w:r>
              <w:rPr>
                <w:rStyle w:val="10"/>
                <w:rFonts w:hint="eastAsia"/>
              </w:rPr>
              <w:t>登记证持有人：</w:t>
            </w:r>
            <w:r>
              <w:rPr>
                <w:rFonts w:hint="eastAsia"/>
              </w:rPr>
              <w:t>河南省安阳市锐普农化有限责任公司</w:t>
            </w:r>
          </w:p>
        </w:tc>
      </w:tr>
      <w:tr w14:paraId="2C8776C0">
        <w:tblPrEx>
          <w:tblCellMar>
            <w:top w:w="0" w:type="dxa"/>
            <w:left w:w="0" w:type="dxa"/>
            <w:bottom w:w="0" w:type="dxa"/>
            <w:right w:w="0" w:type="dxa"/>
          </w:tblCellMar>
        </w:tblPrEx>
        <w:trPr>
          <w:wBefore w:w="0" w:type="auto"/>
          <w:tblCellSpacing w:w="0" w:type="dxa"/>
        </w:trPr>
        <w:tc>
          <w:tcPr>
            <w:tcW w:w="0" w:type="auto"/>
            <w:noWrap w:val="0"/>
            <w:vAlign w:val="center"/>
          </w:tcPr>
          <w:p w14:paraId="2DD47EF3">
            <w:r>
              <w:rPr>
                <w:rStyle w:val="10"/>
                <w:rFonts w:hint="eastAsia"/>
              </w:rPr>
              <w:t>农药名称：</w:t>
            </w:r>
            <w:r>
              <w:rPr>
                <w:rFonts w:hint="eastAsia"/>
              </w:rPr>
              <w:t>哒螨·异丙威</w:t>
            </w:r>
          </w:p>
        </w:tc>
      </w:tr>
      <w:tr w14:paraId="71CA36A7">
        <w:tblPrEx>
          <w:tblCellMar>
            <w:top w:w="0" w:type="dxa"/>
            <w:left w:w="0" w:type="dxa"/>
            <w:bottom w:w="0" w:type="dxa"/>
            <w:right w:w="0" w:type="dxa"/>
          </w:tblCellMar>
        </w:tblPrEx>
        <w:trPr>
          <w:wBefore w:w="0" w:type="auto"/>
          <w:tblCellSpacing w:w="0" w:type="dxa"/>
        </w:trPr>
        <w:tc>
          <w:tcPr>
            <w:tcW w:w="0" w:type="auto"/>
            <w:noWrap w:val="0"/>
            <w:vAlign w:val="center"/>
          </w:tcPr>
          <w:p w14:paraId="23A7CB32">
            <w:r>
              <w:rPr>
                <w:rStyle w:val="10"/>
                <w:rFonts w:hint="eastAsia"/>
              </w:rPr>
              <w:t>剂型：</w:t>
            </w:r>
            <w:r>
              <w:rPr>
                <w:rFonts w:hint="eastAsia"/>
              </w:rPr>
              <w:t>烟剂</w:t>
            </w:r>
          </w:p>
        </w:tc>
      </w:tr>
      <w:tr w14:paraId="438518F4">
        <w:tblPrEx>
          <w:tblCellMar>
            <w:top w:w="0" w:type="dxa"/>
            <w:left w:w="0" w:type="dxa"/>
            <w:bottom w:w="0" w:type="dxa"/>
            <w:right w:w="0" w:type="dxa"/>
          </w:tblCellMar>
        </w:tblPrEx>
        <w:trPr>
          <w:wBefore w:w="0" w:type="auto"/>
          <w:tblCellSpacing w:w="0" w:type="dxa"/>
        </w:trPr>
        <w:tc>
          <w:tcPr>
            <w:tcW w:w="0" w:type="auto"/>
            <w:noWrap w:val="0"/>
            <w:vAlign w:val="center"/>
          </w:tcPr>
          <w:p w14:paraId="21FA9EBE">
            <w:r>
              <w:rPr>
                <w:rStyle w:val="10"/>
                <w:rFonts w:hint="eastAsia"/>
              </w:rPr>
              <w:t>毒性及其标识：</w:t>
            </w:r>
            <w:r>
              <w:rPr>
                <w:rFonts w:hint="eastAsia"/>
              </w:rPr>
              <w:t xml:space="preserve"> </w:t>
            </w:r>
            <w:r>
              <w:rPr>
                <w:lang/>
              </w:rPr>
              <w:drawing>
                <wp:inline distT="0" distB="0" distL="114300" distR="114300">
                  <wp:extent cx="476250" cy="323850"/>
                  <wp:effectExtent l="0" t="0" r="0" b="0"/>
                  <wp:docPr id="250" name="图片 2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EB7483">
        <w:tblPrEx>
          <w:tblCellMar>
            <w:top w:w="0" w:type="dxa"/>
            <w:left w:w="0" w:type="dxa"/>
            <w:bottom w:w="0" w:type="dxa"/>
            <w:right w:w="0" w:type="dxa"/>
          </w:tblCellMar>
        </w:tblPrEx>
        <w:trPr>
          <w:wBefore w:w="0" w:type="auto"/>
          <w:tblCellSpacing w:w="0" w:type="dxa"/>
        </w:trPr>
        <w:tc>
          <w:tcPr>
            <w:tcW w:w="0" w:type="auto"/>
            <w:noWrap w:val="0"/>
            <w:vAlign w:val="center"/>
          </w:tcPr>
          <w:p w14:paraId="7BCAF8B5">
            <w:r>
              <w:rPr>
                <w:rStyle w:val="10"/>
                <w:rFonts w:hint="eastAsia"/>
              </w:rPr>
              <w:t>总有效成分含量：</w:t>
            </w:r>
            <w:r>
              <w:rPr>
                <w:rFonts w:hint="eastAsia"/>
              </w:rPr>
              <w:t>20%</w:t>
            </w:r>
          </w:p>
        </w:tc>
      </w:tr>
      <w:tr w14:paraId="6BEB6820">
        <w:tblPrEx>
          <w:tblCellMar>
            <w:top w:w="0" w:type="dxa"/>
            <w:left w:w="0" w:type="dxa"/>
            <w:bottom w:w="0" w:type="dxa"/>
            <w:right w:w="0" w:type="dxa"/>
          </w:tblCellMar>
        </w:tblPrEx>
        <w:trPr>
          <w:wBefore w:w="0" w:type="auto"/>
          <w:tblCellSpacing w:w="0" w:type="dxa"/>
        </w:trPr>
        <w:tc>
          <w:tcPr>
            <w:tcW w:w="0" w:type="auto"/>
            <w:noWrap w:val="0"/>
            <w:vAlign w:val="center"/>
          </w:tcPr>
          <w:p w14:paraId="507CCD47">
            <w:r>
              <w:rPr>
                <w:rFonts w:hint="eastAsia"/>
              </w:rPr>
              <w:t xml:space="preserve">有效成分及其含量： </w:t>
            </w:r>
          </w:p>
          <w:p w14:paraId="4AB3D22F">
            <w:r>
              <w:rPr>
                <w:rFonts w:hint="eastAsia"/>
              </w:rPr>
              <w:t xml:space="preserve">    哒螨灵5%    异丙威15%    </w:t>
            </w:r>
          </w:p>
        </w:tc>
      </w:tr>
      <w:tr w14:paraId="1447A7E4">
        <w:tblPrEx>
          <w:tblCellMar>
            <w:top w:w="0" w:type="dxa"/>
            <w:left w:w="0" w:type="dxa"/>
            <w:bottom w:w="0" w:type="dxa"/>
            <w:right w:w="0" w:type="dxa"/>
          </w:tblCellMar>
        </w:tblPrEx>
        <w:trPr>
          <w:wBefore w:w="0" w:type="auto"/>
          <w:tblCellSpacing w:w="0" w:type="dxa"/>
        </w:trPr>
        <w:tc>
          <w:tcPr>
            <w:tcW w:w="0" w:type="auto"/>
            <w:noWrap w:val="0"/>
            <w:vAlign w:val="center"/>
          </w:tcPr>
          <w:p w14:paraId="63F547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E077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8B57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BB867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24AE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D4FD8A">
                  <w:r>
                    <w:rPr>
                      <w:rStyle w:val="11"/>
                      <w:rFonts w:hint="eastAsia"/>
                    </w:rPr>
                    <w:t>施用方式</w:t>
                  </w:r>
                </w:p>
              </w:tc>
            </w:tr>
            <w:tr w14:paraId="32BB29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AAF0F9">
                  <w:r>
                    <w:rPr>
                      <w:rStyle w:val="11"/>
                      <w:rFonts w:hint="eastAsia"/>
                    </w:rPr>
                    <w:t>黄瓜(保护地)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80DE7A">
                  <w:r>
                    <w:rPr>
                      <w:rStyle w:val="11"/>
                      <w:rFonts w:hint="eastAsia"/>
                    </w:rPr>
                    <w:t>白粉虱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61F0E2">
                  <w:r>
                    <w:rPr>
                      <w:rStyle w:val="11"/>
                      <w:rFonts w:hint="eastAsia"/>
                    </w:rPr>
                    <w:t>160-240克/亩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ABEDB4">
                  <w:r>
                    <w:rPr>
                      <w:rStyle w:val="11"/>
                      <w:rFonts w:hint="eastAsia"/>
                    </w:rPr>
                    <w:t>点燃放烟</w:t>
                  </w:r>
                </w:p>
              </w:tc>
            </w:tr>
          </w:tbl>
          <w:p w14:paraId="7EEFF6B3">
            <w:pPr>
              <w:rPr>
                <w:rFonts w:ascii="Times New Roman" w:hAnsi="Times New Roman" w:cs="Times New Roman"/>
                <w:sz w:val="20"/>
                <w:szCs w:val="20"/>
              </w:rPr>
            </w:pPr>
          </w:p>
        </w:tc>
      </w:tr>
      <w:tr w14:paraId="768F1766">
        <w:tblPrEx>
          <w:tblCellMar>
            <w:top w:w="0" w:type="dxa"/>
            <w:left w:w="0" w:type="dxa"/>
            <w:bottom w:w="0" w:type="dxa"/>
            <w:right w:w="0" w:type="dxa"/>
          </w:tblCellMar>
        </w:tblPrEx>
        <w:trPr>
          <w:wBefore w:w="0" w:type="auto"/>
          <w:tblCellSpacing w:w="0" w:type="dxa"/>
        </w:trPr>
        <w:tc>
          <w:tcPr>
            <w:tcW w:w="0" w:type="auto"/>
            <w:noWrap w:val="0"/>
            <w:vAlign w:val="center"/>
          </w:tcPr>
          <w:p w14:paraId="1970C1AA">
            <w:r>
              <w:rPr>
                <w:rStyle w:val="10"/>
                <w:rFonts w:hint="eastAsia"/>
              </w:rPr>
              <w:t>使用技术要求:</w:t>
            </w:r>
            <w:r>
              <w:rPr>
                <w:rFonts w:hint="eastAsia"/>
              </w:rPr>
              <w:br w:type="textWrapping"/>
            </w:r>
            <w:r>
              <w:rPr>
                <w:rStyle w:val="11"/>
                <w:rFonts w:hint="eastAsia"/>
              </w:rPr>
              <w:t>1.于黄瓜（保护地）白粉虱发生初期，点燃放烟施药。2.使用本品，根据棚区大小，均匀布点，由内向外逐个点燃。小弓棚适当增加点燃点，每一点燃点药量应适当减少；3.药捻点燃后，插入药粉中，引燃药粉，然后密封棚室；4.点燃点应距离作物20厘米以上，以免产生药害；5.适宜在傍晚封棚后点燃本品，药粉点燃后人员应迅速撤离棚室并密闭棚室四小时以上，第二天注意通风换气。6.安全间隔期3天，每个生长季最多施用1次。</w:t>
            </w:r>
          </w:p>
        </w:tc>
      </w:tr>
      <w:tr w14:paraId="1771D5C1">
        <w:tblPrEx>
          <w:tblCellMar>
            <w:top w:w="0" w:type="dxa"/>
            <w:left w:w="0" w:type="dxa"/>
            <w:bottom w:w="0" w:type="dxa"/>
            <w:right w:w="0" w:type="dxa"/>
          </w:tblCellMar>
        </w:tblPrEx>
        <w:trPr>
          <w:wBefore w:w="0" w:type="auto"/>
          <w:tblCellSpacing w:w="0" w:type="dxa"/>
        </w:trPr>
        <w:tc>
          <w:tcPr>
            <w:tcW w:w="0" w:type="auto"/>
            <w:noWrap w:val="0"/>
            <w:vAlign w:val="center"/>
          </w:tcPr>
          <w:p w14:paraId="266BC776">
            <w:r>
              <w:rPr>
                <w:rStyle w:val="10"/>
                <w:rFonts w:hint="eastAsia"/>
              </w:rPr>
              <w:t>产品性能:</w:t>
            </w:r>
            <w:r>
              <w:rPr>
                <w:rFonts w:hint="eastAsia"/>
              </w:rPr>
              <w:br w:type="textWrapping"/>
            </w:r>
            <w:r>
              <w:rPr>
                <w:rStyle w:val="11"/>
                <w:rFonts w:hint="eastAsia"/>
              </w:rPr>
              <w:t>哒螨灵为杂环类杀螨剂，能有效抑制螨的变态，可使螨的密度很快下降。异丙威是氨基甲酸酯类杀虫剂，具有触杀和胃毒作用，主要是抑制乙酰胆碱酯酶，致使昆虫麻痹至死亡。</w:t>
            </w:r>
          </w:p>
        </w:tc>
      </w:tr>
      <w:tr w14:paraId="6F55ED6D">
        <w:tblPrEx>
          <w:tblCellMar>
            <w:top w:w="0" w:type="dxa"/>
            <w:left w:w="0" w:type="dxa"/>
            <w:bottom w:w="0" w:type="dxa"/>
            <w:right w:w="0" w:type="dxa"/>
          </w:tblCellMar>
        </w:tblPrEx>
        <w:trPr>
          <w:wBefore w:w="0" w:type="auto"/>
          <w:tblCellSpacing w:w="0" w:type="dxa"/>
        </w:trPr>
        <w:tc>
          <w:tcPr>
            <w:tcW w:w="0" w:type="auto"/>
            <w:noWrap w:val="0"/>
            <w:vAlign w:val="center"/>
          </w:tcPr>
          <w:p w14:paraId="620C1799">
            <w:r>
              <w:rPr>
                <w:rStyle w:val="10"/>
                <w:rFonts w:hint="eastAsia"/>
              </w:rPr>
              <w:t>注意事项：</w:t>
            </w:r>
            <w:r>
              <w:rPr>
                <w:rFonts w:hint="eastAsia"/>
              </w:rPr>
              <w:br w:type="textWrapping"/>
            </w:r>
            <w:r>
              <w:rPr>
                <w:rStyle w:val="11"/>
                <w:rFonts w:hint="eastAsia"/>
              </w:rPr>
              <w:t>1.避免和碱性强的农药混用。2.配药施药时要注意劳动保护，穿戴好防护服、防毒面具、手套等；操作时严禁饮食和吸烟；施药后用肥皂水洗净手脸和身体被污染部位。 3.药剂发烟迅速，老人、儿童及行动不便者禁施放烟剂，使用时大棚出入口应设置警示标志，避免人畜误入中毒。 4.勿将残余药物倒入河流、池塘等水域以免污染水源。用过的容器和废弃包装应妥善处理，不可随意丢弃或做他用。5.孕妇及哺乳期妇女及过敏者避免接触本品。</w:t>
            </w:r>
          </w:p>
        </w:tc>
      </w:tr>
      <w:tr w14:paraId="524523DA">
        <w:tblPrEx>
          <w:tblCellMar>
            <w:top w:w="0" w:type="dxa"/>
            <w:left w:w="0" w:type="dxa"/>
            <w:bottom w:w="0" w:type="dxa"/>
            <w:right w:w="0" w:type="dxa"/>
          </w:tblCellMar>
        </w:tblPrEx>
        <w:trPr>
          <w:wBefore w:w="0" w:type="auto"/>
          <w:tblCellSpacing w:w="0" w:type="dxa"/>
        </w:trPr>
        <w:tc>
          <w:tcPr>
            <w:tcW w:w="0" w:type="auto"/>
            <w:noWrap w:val="0"/>
            <w:vAlign w:val="center"/>
          </w:tcPr>
          <w:p w14:paraId="2845550A">
            <w:r>
              <w:rPr>
                <w:rStyle w:val="10"/>
                <w:rFonts w:hint="eastAsia"/>
              </w:rPr>
              <w:t>中毒急救措施：</w:t>
            </w:r>
            <w:r>
              <w:rPr>
                <w:rFonts w:hint="eastAsia"/>
              </w:rPr>
              <w:br w:type="textWrapping"/>
            </w:r>
            <w:r>
              <w:rPr>
                <w:rStyle w:val="11"/>
                <w:rFonts w:hint="eastAsia"/>
              </w:rPr>
              <w:t xml:space="preserve">中毒症状：中毒者会出现头痛、面色苍白、视力模糊。严重者出现血压下降、皮肤出现接触性皮炎、呼吸困难等中毒症状。 急救措施：与皮肤接触后，应立即用水清洗干净；误入眼睛，应用清水冲洗干净或就医；若不慎吸入中毒，应送至新鲜空气处，必要时送往医院。误服应送医治疗，患者应用阿托品0.5～2mg口服或肌肉注射，重者加用肾上腺素。禁用解磷定，氯磷定、双复磷、吗啡。 </w:t>
            </w:r>
          </w:p>
        </w:tc>
      </w:tr>
      <w:tr w14:paraId="5E470F33">
        <w:tblPrEx>
          <w:tblCellMar>
            <w:top w:w="0" w:type="dxa"/>
            <w:left w:w="0" w:type="dxa"/>
            <w:bottom w:w="0" w:type="dxa"/>
            <w:right w:w="0" w:type="dxa"/>
          </w:tblCellMar>
        </w:tblPrEx>
        <w:trPr>
          <w:wBefore w:w="0" w:type="auto"/>
          <w:tblCellSpacing w:w="0" w:type="dxa"/>
        </w:trPr>
        <w:tc>
          <w:tcPr>
            <w:tcW w:w="0" w:type="auto"/>
            <w:noWrap w:val="0"/>
            <w:vAlign w:val="center"/>
          </w:tcPr>
          <w:p w14:paraId="6C99592C">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本品应贮存在干燥、阴凉、通风、防雨处，远离火源或热源。置于儿童触及不到之处，并加锁。勿与食品、饮料、粮食、饲料等其它商品同贮同运。 </w:t>
            </w:r>
          </w:p>
        </w:tc>
      </w:tr>
      <w:tr w14:paraId="05638CAE">
        <w:tblPrEx>
          <w:tblCellMar>
            <w:top w:w="0" w:type="dxa"/>
            <w:left w:w="0" w:type="dxa"/>
            <w:bottom w:w="0" w:type="dxa"/>
            <w:right w:w="0" w:type="dxa"/>
          </w:tblCellMar>
        </w:tblPrEx>
        <w:trPr>
          <w:wBefore w:w="0" w:type="auto"/>
          <w:tblCellSpacing w:w="0" w:type="dxa"/>
        </w:trPr>
        <w:tc>
          <w:tcPr>
            <w:tcW w:w="0" w:type="auto"/>
            <w:noWrap w:val="0"/>
            <w:vAlign w:val="center"/>
          </w:tcPr>
          <w:p w14:paraId="5CBC78D6">
            <w:r>
              <w:rPr>
                <w:rStyle w:val="10"/>
                <w:rFonts w:hint="eastAsia"/>
              </w:rPr>
              <w:t>质量保证期：</w:t>
            </w:r>
            <w:r>
              <w:rPr>
                <w:rStyle w:val="11"/>
                <w:rFonts w:hint="eastAsia"/>
              </w:rPr>
              <w:t>2年</w:t>
            </w:r>
          </w:p>
        </w:tc>
      </w:tr>
      <w:tr w14:paraId="409C1AE7">
        <w:tblPrEx>
          <w:tblCellMar>
            <w:top w:w="0" w:type="dxa"/>
            <w:left w:w="0" w:type="dxa"/>
            <w:bottom w:w="0" w:type="dxa"/>
            <w:right w:w="0" w:type="dxa"/>
          </w:tblCellMar>
        </w:tblPrEx>
        <w:trPr>
          <w:wBefore w:w="0" w:type="auto"/>
          <w:tblCellSpacing w:w="0" w:type="dxa"/>
        </w:trPr>
        <w:tc>
          <w:tcPr>
            <w:tcW w:w="0" w:type="auto"/>
            <w:noWrap w:val="0"/>
            <w:vAlign w:val="center"/>
          </w:tcPr>
          <w:p w14:paraId="77ACC493">
            <w:r>
              <w:rPr>
                <w:rStyle w:val="10"/>
                <w:rFonts w:hint="eastAsia"/>
              </w:rPr>
              <w:t>备注：</w:t>
            </w:r>
          </w:p>
        </w:tc>
      </w:tr>
    </w:tbl>
    <w:p w14:paraId="6425E68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BF851E">
        <w:tblPrEx>
          <w:tblCellMar>
            <w:top w:w="0" w:type="dxa"/>
            <w:left w:w="0" w:type="dxa"/>
            <w:bottom w:w="0" w:type="dxa"/>
            <w:right w:w="0" w:type="dxa"/>
          </w:tblCellMar>
        </w:tblPrEx>
        <w:trPr>
          <w:wBefore w:w="0" w:type="auto"/>
          <w:tblCellSpacing w:w="0" w:type="dxa"/>
        </w:trPr>
        <w:tc>
          <w:tcPr>
            <w:tcW w:w="0" w:type="auto"/>
            <w:noWrap w:val="0"/>
            <w:vAlign w:val="center"/>
          </w:tcPr>
          <w:p w14:paraId="65AD7A37">
            <w:r>
              <w:rPr>
                <w:rStyle w:val="10"/>
                <w:rFonts w:hint="eastAsia"/>
              </w:rPr>
              <w:t>登记证号：</w:t>
            </w:r>
            <w:r>
              <w:rPr>
                <w:rFonts w:hint="eastAsia"/>
              </w:rPr>
              <w:t>PD20212748</w:t>
            </w:r>
          </w:p>
        </w:tc>
      </w:tr>
      <w:tr w14:paraId="5FBCF782">
        <w:tblPrEx>
          <w:tblCellMar>
            <w:top w:w="0" w:type="dxa"/>
            <w:left w:w="0" w:type="dxa"/>
            <w:bottom w:w="0" w:type="dxa"/>
            <w:right w:w="0" w:type="dxa"/>
          </w:tblCellMar>
        </w:tblPrEx>
        <w:trPr>
          <w:wBefore w:w="0" w:type="auto"/>
          <w:tblCellSpacing w:w="0" w:type="dxa"/>
        </w:trPr>
        <w:tc>
          <w:tcPr>
            <w:tcW w:w="0" w:type="auto"/>
            <w:noWrap w:val="0"/>
            <w:vAlign w:val="center"/>
          </w:tcPr>
          <w:p w14:paraId="187D2CDE">
            <w:r>
              <w:rPr>
                <w:rStyle w:val="10"/>
                <w:rFonts w:hint="eastAsia"/>
              </w:rPr>
              <w:t>登记证持有人：</w:t>
            </w:r>
            <w:r>
              <w:rPr>
                <w:rFonts w:hint="eastAsia"/>
              </w:rPr>
              <w:t>河南省安阳市锐普农化有限责任公司</w:t>
            </w:r>
          </w:p>
        </w:tc>
      </w:tr>
      <w:tr w14:paraId="6C6C56E4">
        <w:tblPrEx>
          <w:tblCellMar>
            <w:top w:w="0" w:type="dxa"/>
            <w:left w:w="0" w:type="dxa"/>
            <w:bottom w:w="0" w:type="dxa"/>
            <w:right w:w="0" w:type="dxa"/>
          </w:tblCellMar>
        </w:tblPrEx>
        <w:trPr>
          <w:wBefore w:w="0" w:type="auto"/>
          <w:tblCellSpacing w:w="0" w:type="dxa"/>
        </w:trPr>
        <w:tc>
          <w:tcPr>
            <w:tcW w:w="0" w:type="auto"/>
            <w:noWrap w:val="0"/>
            <w:vAlign w:val="center"/>
          </w:tcPr>
          <w:p w14:paraId="25CAED7A">
            <w:r>
              <w:rPr>
                <w:rStyle w:val="10"/>
                <w:rFonts w:hint="eastAsia"/>
              </w:rPr>
              <w:t>农药名称：</w:t>
            </w:r>
            <w:r>
              <w:rPr>
                <w:rFonts w:hint="eastAsia"/>
              </w:rPr>
              <w:t>矮壮·多效唑</w:t>
            </w:r>
          </w:p>
        </w:tc>
      </w:tr>
      <w:tr w14:paraId="15DD60F9">
        <w:tblPrEx>
          <w:tblCellMar>
            <w:top w:w="0" w:type="dxa"/>
            <w:left w:w="0" w:type="dxa"/>
            <w:bottom w:w="0" w:type="dxa"/>
            <w:right w:w="0" w:type="dxa"/>
          </w:tblCellMar>
        </w:tblPrEx>
        <w:trPr>
          <w:wBefore w:w="0" w:type="auto"/>
          <w:tblCellSpacing w:w="0" w:type="dxa"/>
        </w:trPr>
        <w:tc>
          <w:tcPr>
            <w:tcW w:w="0" w:type="auto"/>
            <w:noWrap w:val="0"/>
            <w:vAlign w:val="center"/>
          </w:tcPr>
          <w:p w14:paraId="371E985C">
            <w:r>
              <w:rPr>
                <w:rStyle w:val="10"/>
                <w:rFonts w:hint="eastAsia"/>
              </w:rPr>
              <w:t>剂型：</w:t>
            </w:r>
            <w:r>
              <w:rPr>
                <w:rFonts w:hint="eastAsia"/>
              </w:rPr>
              <w:t>悬浮剂</w:t>
            </w:r>
          </w:p>
        </w:tc>
      </w:tr>
      <w:tr w14:paraId="4A95CEAA">
        <w:tblPrEx>
          <w:tblCellMar>
            <w:top w:w="0" w:type="dxa"/>
            <w:left w:w="0" w:type="dxa"/>
            <w:bottom w:w="0" w:type="dxa"/>
            <w:right w:w="0" w:type="dxa"/>
          </w:tblCellMar>
        </w:tblPrEx>
        <w:trPr>
          <w:wBefore w:w="0" w:type="auto"/>
          <w:tblCellSpacing w:w="0" w:type="dxa"/>
        </w:trPr>
        <w:tc>
          <w:tcPr>
            <w:tcW w:w="0" w:type="auto"/>
            <w:noWrap w:val="0"/>
            <w:vAlign w:val="center"/>
          </w:tcPr>
          <w:p w14:paraId="2B5D1C91">
            <w:r>
              <w:rPr>
                <w:rStyle w:val="10"/>
                <w:rFonts w:hint="eastAsia"/>
              </w:rPr>
              <w:t>毒性及其标识：</w:t>
            </w:r>
            <w:r>
              <w:rPr>
                <w:rFonts w:hint="eastAsia"/>
              </w:rPr>
              <w:t xml:space="preserve"> </w:t>
            </w:r>
            <w:r>
              <w:rPr>
                <w:lang/>
              </w:rPr>
              <w:drawing>
                <wp:inline distT="0" distB="0" distL="114300" distR="114300">
                  <wp:extent cx="476250" cy="323850"/>
                  <wp:effectExtent l="0" t="0" r="0" b="0"/>
                  <wp:docPr id="251" name="图片 2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25465A">
        <w:tblPrEx>
          <w:tblCellMar>
            <w:top w:w="0" w:type="dxa"/>
            <w:left w:w="0" w:type="dxa"/>
            <w:bottom w:w="0" w:type="dxa"/>
            <w:right w:w="0" w:type="dxa"/>
          </w:tblCellMar>
        </w:tblPrEx>
        <w:trPr>
          <w:wBefore w:w="0" w:type="auto"/>
          <w:tblCellSpacing w:w="0" w:type="dxa"/>
        </w:trPr>
        <w:tc>
          <w:tcPr>
            <w:tcW w:w="0" w:type="auto"/>
            <w:noWrap w:val="0"/>
            <w:vAlign w:val="center"/>
          </w:tcPr>
          <w:p w14:paraId="0E29AFEC">
            <w:r>
              <w:rPr>
                <w:rStyle w:val="10"/>
                <w:rFonts w:hint="eastAsia"/>
              </w:rPr>
              <w:t>总有效成分含量：</w:t>
            </w:r>
            <w:r>
              <w:rPr>
                <w:rFonts w:hint="eastAsia"/>
              </w:rPr>
              <w:t>30%</w:t>
            </w:r>
          </w:p>
        </w:tc>
      </w:tr>
      <w:tr w14:paraId="2485A151">
        <w:tblPrEx>
          <w:tblCellMar>
            <w:top w:w="0" w:type="dxa"/>
            <w:left w:w="0" w:type="dxa"/>
            <w:bottom w:w="0" w:type="dxa"/>
            <w:right w:w="0" w:type="dxa"/>
          </w:tblCellMar>
        </w:tblPrEx>
        <w:trPr>
          <w:wBefore w:w="0" w:type="auto"/>
          <w:tblCellSpacing w:w="0" w:type="dxa"/>
        </w:trPr>
        <w:tc>
          <w:tcPr>
            <w:tcW w:w="0" w:type="auto"/>
            <w:noWrap w:val="0"/>
            <w:vAlign w:val="center"/>
          </w:tcPr>
          <w:p w14:paraId="13F017F0">
            <w:r>
              <w:rPr>
                <w:rFonts w:hint="eastAsia"/>
              </w:rPr>
              <w:t xml:space="preserve">有效成分及其含量： </w:t>
            </w:r>
          </w:p>
          <w:p w14:paraId="29339242">
            <w:r>
              <w:rPr>
                <w:rFonts w:hint="eastAsia"/>
              </w:rPr>
              <w:t xml:space="preserve">    矮壮素24%    多效唑6%    </w:t>
            </w:r>
          </w:p>
        </w:tc>
      </w:tr>
      <w:tr w14:paraId="3C5887DD">
        <w:tblPrEx>
          <w:tblCellMar>
            <w:top w:w="0" w:type="dxa"/>
            <w:left w:w="0" w:type="dxa"/>
            <w:bottom w:w="0" w:type="dxa"/>
            <w:right w:w="0" w:type="dxa"/>
          </w:tblCellMar>
        </w:tblPrEx>
        <w:trPr>
          <w:wBefore w:w="0" w:type="auto"/>
          <w:tblCellSpacing w:w="0" w:type="dxa"/>
        </w:trPr>
        <w:tc>
          <w:tcPr>
            <w:tcW w:w="0" w:type="auto"/>
            <w:noWrap w:val="0"/>
            <w:vAlign w:val="center"/>
          </w:tcPr>
          <w:p w14:paraId="71E25C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E05F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1B5C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FCC2A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FE461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51B7D1">
                  <w:r>
                    <w:rPr>
                      <w:rStyle w:val="11"/>
                      <w:rFonts w:hint="eastAsia"/>
                    </w:rPr>
                    <w:t>施用方式</w:t>
                  </w:r>
                </w:p>
              </w:tc>
            </w:tr>
            <w:tr w14:paraId="29D2FD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0D7705">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A65AB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0E897B">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ACA1A9">
                  <w:r>
                    <w:rPr>
                      <w:rStyle w:val="11"/>
                      <w:rFonts w:hint="eastAsia"/>
                    </w:rPr>
                    <w:t>喷雾</w:t>
                  </w:r>
                </w:p>
              </w:tc>
            </w:tr>
          </w:tbl>
          <w:p w14:paraId="496FDAA1">
            <w:pPr>
              <w:rPr>
                <w:rFonts w:ascii="Times New Roman" w:hAnsi="Times New Roman" w:cs="Times New Roman"/>
                <w:sz w:val="20"/>
                <w:szCs w:val="20"/>
              </w:rPr>
            </w:pPr>
          </w:p>
        </w:tc>
      </w:tr>
      <w:tr w14:paraId="0A002B4A">
        <w:tblPrEx>
          <w:tblCellMar>
            <w:top w:w="0" w:type="dxa"/>
            <w:left w:w="0" w:type="dxa"/>
            <w:bottom w:w="0" w:type="dxa"/>
            <w:right w:w="0" w:type="dxa"/>
          </w:tblCellMar>
        </w:tblPrEx>
        <w:trPr>
          <w:wBefore w:w="0" w:type="auto"/>
          <w:tblCellSpacing w:w="0" w:type="dxa"/>
        </w:trPr>
        <w:tc>
          <w:tcPr>
            <w:tcW w:w="0" w:type="auto"/>
            <w:noWrap w:val="0"/>
            <w:vAlign w:val="center"/>
          </w:tcPr>
          <w:p w14:paraId="05107D5D">
            <w:r>
              <w:rPr>
                <w:rStyle w:val="10"/>
                <w:rFonts w:hint="eastAsia"/>
              </w:rPr>
              <w:t>使用技术要求:</w:t>
            </w:r>
            <w:r>
              <w:rPr>
                <w:rFonts w:hint="eastAsia"/>
              </w:rPr>
              <w:br w:type="textWrapping"/>
            </w:r>
            <w:r>
              <w:rPr>
                <w:rStyle w:val="11"/>
                <w:rFonts w:hint="eastAsia"/>
              </w:rPr>
              <w:t>1、于花生盛花期全株均匀喷雾；2、大风天或预计6小时内有雨，请勿施药；3、多效唑在土壤中残留时间较长，田块收获后必须翻耕，以防对后茬作物有抑制作用。4、每个作物季节使用1次。</w:t>
            </w:r>
          </w:p>
        </w:tc>
      </w:tr>
      <w:tr w14:paraId="203D9D6E">
        <w:tblPrEx>
          <w:tblCellMar>
            <w:top w:w="0" w:type="dxa"/>
            <w:left w:w="0" w:type="dxa"/>
            <w:bottom w:w="0" w:type="dxa"/>
            <w:right w:w="0" w:type="dxa"/>
          </w:tblCellMar>
        </w:tblPrEx>
        <w:trPr>
          <w:wBefore w:w="0" w:type="auto"/>
          <w:tblCellSpacing w:w="0" w:type="dxa"/>
        </w:trPr>
        <w:tc>
          <w:tcPr>
            <w:tcW w:w="0" w:type="auto"/>
            <w:noWrap w:val="0"/>
            <w:vAlign w:val="center"/>
          </w:tcPr>
          <w:p w14:paraId="429621E2">
            <w:r>
              <w:rPr>
                <w:rStyle w:val="10"/>
                <w:rFonts w:hint="eastAsia"/>
              </w:rPr>
              <w:t>产品性能:</w:t>
            </w:r>
            <w:r>
              <w:rPr>
                <w:rFonts w:hint="eastAsia"/>
              </w:rPr>
              <w:br w:type="textWrapping"/>
            </w:r>
            <w:r>
              <w:rPr>
                <w:rStyle w:val="11"/>
                <w:rFonts w:hint="eastAsia"/>
              </w:rPr>
              <w:t xml:space="preserve">本产品由矮壮素与多效唑复配而成，是赤霉素生物合成抑制剂，具有控制植物徒长，促进生殖生长，使植物节间缩短、茎杆粗壮、根系发达、抗倒伏生理功能，同时还能够使叶色加深、叶片增厚、光合作用增强，提高座果率和产量。 </w:t>
            </w:r>
          </w:p>
        </w:tc>
      </w:tr>
      <w:tr w14:paraId="1E38A868">
        <w:tblPrEx>
          <w:tblCellMar>
            <w:top w:w="0" w:type="dxa"/>
            <w:left w:w="0" w:type="dxa"/>
            <w:bottom w:w="0" w:type="dxa"/>
            <w:right w:w="0" w:type="dxa"/>
          </w:tblCellMar>
        </w:tblPrEx>
        <w:trPr>
          <w:wBefore w:w="0" w:type="auto"/>
          <w:tblCellSpacing w:w="0" w:type="dxa"/>
        </w:trPr>
        <w:tc>
          <w:tcPr>
            <w:tcW w:w="0" w:type="auto"/>
            <w:noWrap w:val="0"/>
            <w:vAlign w:val="center"/>
          </w:tcPr>
          <w:p w14:paraId="7665DD49">
            <w:r>
              <w:rPr>
                <w:rStyle w:val="10"/>
                <w:rFonts w:hint="eastAsia"/>
              </w:rPr>
              <w:t>注意事项：</w:t>
            </w:r>
            <w:r>
              <w:rPr>
                <w:rFonts w:hint="eastAsia"/>
              </w:rPr>
              <w:br w:type="textWrapping"/>
            </w:r>
            <w:r>
              <w:rPr>
                <w:rStyle w:val="11"/>
                <w:rFonts w:hint="eastAsia"/>
              </w:rPr>
              <w:t>1、使用本品后不需要再喷其他调节剂。 2、蚕室及桑园禁用。 3、不能与碱性农药混用； 4、操作时应穿戴防护服、口罩和手套等防护用具，避免吸入药液。施药期间不可吃东西、喝水和吸烟等。施药后应及时洗手和洗脸等。 5、禁止河塘等水域内清洗施药器具或将清洗施药器具的废水倒入河流、池塘等水源，远离水产养殖区、河塘等水体施药。 6、孕妇及哺乳期妇女避免接触此药。 7、用过的容器应妥善处理，不可做他用，也不可随意丢弃。8、避免与氧化剂接触。</w:t>
            </w:r>
          </w:p>
        </w:tc>
      </w:tr>
      <w:tr w14:paraId="0F66AD37">
        <w:tblPrEx>
          <w:tblCellMar>
            <w:top w:w="0" w:type="dxa"/>
            <w:left w:w="0" w:type="dxa"/>
            <w:bottom w:w="0" w:type="dxa"/>
            <w:right w:w="0" w:type="dxa"/>
          </w:tblCellMar>
        </w:tblPrEx>
        <w:trPr>
          <w:wBefore w:w="0" w:type="auto"/>
          <w:tblCellSpacing w:w="0" w:type="dxa"/>
        </w:trPr>
        <w:tc>
          <w:tcPr>
            <w:tcW w:w="0" w:type="auto"/>
            <w:noWrap w:val="0"/>
            <w:vAlign w:val="center"/>
          </w:tcPr>
          <w:p w14:paraId="54DE0EEE">
            <w:r>
              <w:rPr>
                <w:rStyle w:val="10"/>
                <w:rFonts w:hint="eastAsia"/>
              </w:rPr>
              <w:t>中毒急救措施：</w:t>
            </w:r>
            <w:r>
              <w:rPr>
                <w:rFonts w:hint="eastAsia"/>
              </w:rPr>
              <w:br w:type="textWrapping"/>
            </w:r>
            <w:r>
              <w:rPr>
                <w:rStyle w:val="11"/>
                <w:rFonts w:hint="eastAsia"/>
              </w:rPr>
              <w:t>中毒症状：严重头晕、乏力、口唇及四肢麻木、瞳孔缩小、流涎、恶心、呕吐、重者出现抽搐和昏迷。 急救治疗：1.若溅入眼睛，应用大量清水冲洗。2.若皮肤沾染，应用肥皂水或清水冲洗。3.若不慎吸入，应将患者移至空气流通处。4.如误服中毒，立即停止服用，用清水充分漱口后，立即携带标签送医院就诊。</w:t>
            </w:r>
          </w:p>
        </w:tc>
      </w:tr>
      <w:tr w14:paraId="6767FB35">
        <w:tblPrEx>
          <w:tblCellMar>
            <w:top w:w="0" w:type="dxa"/>
            <w:left w:w="0" w:type="dxa"/>
            <w:bottom w:w="0" w:type="dxa"/>
            <w:right w:w="0" w:type="dxa"/>
          </w:tblCellMar>
        </w:tblPrEx>
        <w:trPr>
          <w:wBefore w:w="0" w:type="auto"/>
          <w:tblCellSpacing w:w="0" w:type="dxa"/>
        </w:trPr>
        <w:tc>
          <w:tcPr>
            <w:tcW w:w="0" w:type="auto"/>
            <w:noWrap w:val="0"/>
            <w:vAlign w:val="center"/>
          </w:tcPr>
          <w:p w14:paraId="6085470E">
            <w:r>
              <w:rPr>
                <w:rStyle w:val="10"/>
                <w:rFonts w:hint="eastAsia"/>
              </w:rPr>
              <w:t>储存和运输方法：</w:t>
            </w:r>
            <w:r>
              <w:rPr>
                <w:rFonts w:hint="eastAsia"/>
              </w:rPr>
              <w:br w:type="textWrapping"/>
            </w:r>
            <w:r>
              <w:rPr>
                <w:rStyle w:val="11"/>
                <w:rFonts w:hint="eastAsia"/>
              </w:rPr>
              <w:t>1、本品应贮存在干燥、阴凉、通风、防雨处，远离火源或热源。 2、置于儿童触及不到的地方，并加锁。勿与食品、饮料、粮食、饲料等其他商品同贮同运。</w:t>
            </w:r>
          </w:p>
        </w:tc>
      </w:tr>
      <w:tr w14:paraId="22D888B4">
        <w:tblPrEx>
          <w:tblCellMar>
            <w:top w:w="0" w:type="dxa"/>
            <w:left w:w="0" w:type="dxa"/>
            <w:bottom w:w="0" w:type="dxa"/>
            <w:right w:w="0" w:type="dxa"/>
          </w:tblCellMar>
        </w:tblPrEx>
        <w:trPr>
          <w:wBefore w:w="0" w:type="auto"/>
          <w:tblCellSpacing w:w="0" w:type="dxa"/>
        </w:trPr>
        <w:tc>
          <w:tcPr>
            <w:tcW w:w="0" w:type="auto"/>
            <w:noWrap w:val="0"/>
            <w:vAlign w:val="center"/>
          </w:tcPr>
          <w:p w14:paraId="7345574E">
            <w:r>
              <w:rPr>
                <w:rStyle w:val="10"/>
                <w:rFonts w:hint="eastAsia"/>
              </w:rPr>
              <w:t>质量保证期：</w:t>
            </w:r>
            <w:r>
              <w:rPr>
                <w:rStyle w:val="11"/>
                <w:rFonts w:hint="eastAsia"/>
              </w:rPr>
              <w:t>2年</w:t>
            </w:r>
          </w:p>
        </w:tc>
      </w:tr>
      <w:tr w14:paraId="06F50BF5">
        <w:tblPrEx>
          <w:tblCellMar>
            <w:top w:w="0" w:type="dxa"/>
            <w:left w:w="0" w:type="dxa"/>
            <w:bottom w:w="0" w:type="dxa"/>
            <w:right w:w="0" w:type="dxa"/>
          </w:tblCellMar>
        </w:tblPrEx>
        <w:trPr>
          <w:wBefore w:w="0" w:type="auto"/>
          <w:tblCellSpacing w:w="0" w:type="dxa"/>
        </w:trPr>
        <w:tc>
          <w:tcPr>
            <w:tcW w:w="0" w:type="auto"/>
            <w:noWrap w:val="0"/>
            <w:vAlign w:val="center"/>
          </w:tcPr>
          <w:p w14:paraId="5B5957D6">
            <w:r>
              <w:rPr>
                <w:rStyle w:val="10"/>
                <w:rFonts w:hint="eastAsia"/>
              </w:rPr>
              <w:t>备注：</w:t>
            </w:r>
          </w:p>
        </w:tc>
      </w:tr>
    </w:tbl>
    <w:p w14:paraId="72A6D0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AB1DC4">
        <w:tblPrEx>
          <w:tblCellMar>
            <w:top w:w="0" w:type="dxa"/>
            <w:left w:w="0" w:type="dxa"/>
            <w:bottom w:w="0" w:type="dxa"/>
            <w:right w:w="0" w:type="dxa"/>
          </w:tblCellMar>
        </w:tblPrEx>
        <w:trPr>
          <w:wBefore w:w="0" w:type="auto"/>
          <w:tblCellSpacing w:w="0" w:type="dxa"/>
        </w:trPr>
        <w:tc>
          <w:tcPr>
            <w:tcW w:w="0" w:type="auto"/>
            <w:noWrap w:val="0"/>
            <w:vAlign w:val="center"/>
          </w:tcPr>
          <w:p w14:paraId="4555E766">
            <w:r>
              <w:rPr>
                <w:rStyle w:val="10"/>
                <w:rFonts w:hint="eastAsia"/>
              </w:rPr>
              <w:t>登记证号：</w:t>
            </w:r>
            <w:r>
              <w:rPr>
                <w:rFonts w:hint="eastAsia"/>
              </w:rPr>
              <w:t>PD20212741</w:t>
            </w:r>
          </w:p>
        </w:tc>
      </w:tr>
      <w:tr w14:paraId="78BBF171">
        <w:tblPrEx>
          <w:tblCellMar>
            <w:top w:w="0" w:type="dxa"/>
            <w:left w:w="0" w:type="dxa"/>
            <w:bottom w:w="0" w:type="dxa"/>
            <w:right w:w="0" w:type="dxa"/>
          </w:tblCellMar>
        </w:tblPrEx>
        <w:trPr>
          <w:wBefore w:w="0" w:type="auto"/>
          <w:tblCellSpacing w:w="0" w:type="dxa"/>
        </w:trPr>
        <w:tc>
          <w:tcPr>
            <w:tcW w:w="0" w:type="auto"/>
            <w:noWrap w:val="0"/>
            <w:vAlign w:val="center"/>
          </w:tcPr>
          <w:p w14:paraId="5DAECD77">
            <w:r>
              <w:rPr>
                <w:rStyle w:val="10"/>
                <w:rFonts w:hint="eastAsia"/>
              </w:rPr>
              <w:t>登记证持有人：</w:t>
            </w:r>
            <w:r>
              <w:rPr>
                <w:rFonts w:hint="eastAsia"/>
              </w:rPr>
              <w:t>上海悦联生物科技有限公司</w:t>
            </w:r>
          </w:p>
        </w:tc>
      </w:tr>
      <w:tr w14:paraId="3EBFD506">
        <w:tblPrEx>
          <w:tblCellMar>
            <w:top w:w="0" w:type="dxa"/>
            <w:left w:w="0" w:type="dxa"/>
            <w:bottom w:w="0" w:type="dxa"/>
            <w:right w:w="0" w:type="dxa"/>
          </w:tblCellMar>
        </w:tblPrEx>
        <w:trPr>
          <w:wBefore w:w="0" w:type="auto"/>
          <w:tblCellSpacing w:w="0" w:type="dxa"/>
        </w:trPr>
        <w:tc>
          <w:tcPr>
            <w:tcW w:w="0" w:type="auto"/>
            <w:noWrap w:val="0"/>
            <w:vAlign w:val="center"/>
          </w:tcPr>
          <w:p w14:paraId="5780D778">
            <w:r>
              <w:rPr>
                <w:rStyle w:val="10"/>
                <w:rFonts w:hint="eastAsia"/>
              </w:rPr>
              <w:t>农药名称：</w:t>
            </w:r>
            <w:r>
              <w:rPr>
                <w:rFonts w:hint="eastAsia"/>
              </w:rPr>
              <w:t>24-表芸·赤霉酸</w:t>
            </w:r>
          </w:p>
        </w:tc>
      </w:tr>
      <w:tr w14:paraId="56C9C2A8">
        <w:tblPrEx>
          <w:tblCellMar>
            <w:top w:w="0" w:type="dxa"/>
            <w:left w:w="0" w:type="dxa"/>
            <w:bottom w:w="0" w:type="dxa"/>
            <w:right w:w="0" w:type="dxa"/>
          </w:tblCellMar>
        </w:tblPrEx>
        <w:trPr>
          <w:wBefore w:w="0" w:type="auto"/>
          <w:tblCellSpacing w:w="0" w:type="dxa"/>
        </w:trPr>
        <w:tc>
          <w:tcPr>
            <w:tcW w:w="0" w:type="auto"/>
            <w:noWrap w:val="0"/>
            <w:vAlign w:val="center"/>
          </w:tcPr>
          <w:p w14:paraId="1D8FFB62">
            <w:r>
              <w:rPr>
                <w:rStyle w:val="10"/>
                <w:rFonts w:hint="eastAsia"/>
              </w:rPr>
              <w:t>剂型：</w:t>
            </w:r>
            <w:r>
              <w:rPr>
                <w:rFonts w:hint="eastAsia"/>
              </w:rPr>
              <w:t>可溶液剂</w:t>
            </w:r>
          </w:p>
        </w:tc>
      </w:tr>
      <w:tr w14:paraId="1C43987D">
        <w:tblPrEx>
          <w:tblCellMar>
            <w:top w:w="0" w:type="dxa"/>
            <w:left w:w="0" w:type="dxa"/>
            <w:bottom w:w="0" w:type="dxa"/>
            <w:right w:w="0" w:type="dxa"/>
          </w:tblCellMar>
        </w:tblPrEx>
        <w:trPr>
          <w:wBefore w:w="0" w:type="auto"/>
          <w:tblCellSpacing w:w="0" w:type="dxa"/>
        </w:trPr>
        <w:tc>
          <w:tcPr>
            <w:tcW w:w="0" w:type="auto"/>
            <w:noWrap w:val="0"/>
            <w:vAlign w:val="center"/>
          </w:tcPr>
          <w:p w14:paraId="5B054141">
            <w:r>
              <w:rPr>
                <w:rStyle w:val="10"/>
                <w:rFonts w:hint="eastAsia"/>
              </w:rPr>
              <w:t>毒性及其标识：</w:t>
            </w:r>
            <w:r>
              <w:rPr>
                <w:rFonts w:hint="eastAsia"/>
              </w:rPr>
              <w:t xml:space="preserve"> </w:t>
            </w:r>
            <w:r>
              <w:rPr>
                <w:lang/>
              </w:rPr>
              <w:drawing>
                <wp:inline distT="0" distB="0" distL="114300" distR="114300">
                  <wp:extent cx="476250" cy="323850"/>
                  <wp:effectExtent l="0" t="0" r="0" b="0"/>
                  <wp:docPr id="252" name="图片 2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966AE41">
        <w:tblPrEx>
          <w:tblCellMar>
            <w:top w:w="0" w:type="dxa"/>
            <w:left w:w="0" w:type="dxa"/>
            <w:bottom w:w="0" w:type="dxa"/>
            <w:right w:w="0" w:type="dxa"/>
          </w:tblCellMar>
        </w:tblPrEx>
        <w:trPr>
          <w:wBefore w:w="0" w:type="auto"/>
          <w:tblCellSpacing w:w="0" w:type="dxa"/>
        </w:trPr>
        <w:tc>
          <w:tcPr>
            <w:tcW w:w="0" w:type="auto"/>
            <w:noWrap w:val="0"/>
            <w:vAlign w:val="center"/>
          </w:tcPr>
          <w:p w14:paraId="42701704">
            <w:r>
              <w:rPr>
                <w:rStyle w:val="10"/>
                <w:rFonts w:hint="eastAsia"/>
              </w:rPr>
              <w:t>总有效成分含量：</w:t>
            </w:r>
            <w:r>
              <w:rPr>
                <w:rFonts w:hint="eastAsia"/>
              </w:rPr>
              <w:t>4%</w:t>
            </w:r>
          </w:p>
        </w:tc>
      </w:tr>
      <w:tr w14:paraId="6C7FA48C">
        <w:tblPrEx>
          <w:tblCellMar>
            <w:top w:w="0" w:type="dxa"/>
            <w:left w:w="0" w:type="dxa"/>
            <w:bottom w:w="0" w:type="dxa"/>
            <w:right w:w="0" w:type="dxa"/>
          </w:tblCellMar>
        </w:tblPrEx>
        <w:trPr>
          <w:wBefore w:w="0" w:type="auto"/>
          <w:tblCellSpacing w:w="0" w:type="dxa"/>
        </w:trPr>
        <w:tc>
          <w:tcPr>
            <w:tcW w:w="0" w:type="auto"/>
            <w:noWrap w:val="0"/>
            <w:vAlign w:val="center"/>
          </w:tcPr>
          <w:p w14:paraId="719F3204">
            <w:r>
              <w:rPr>
                <w:rFonts w:hint="eastAsia"/>
              </w:rPr>
              <w:t xml:space="preserve">有效成分及其含量： </w:t>
            </w:r>
          </w:p>
          <w:p w14:paraId="72EB91EC">
            <w:r>
              <w:rPr>
                <w:rFonts w:hint="eastAsia"/>
              </w:rPr>
              <w:t xml:space="preserve">    24-表芸苔素内酯0.02%    赤霉酸3.98%    </w:t>
            </w:r>
          </w:p>
        </w:tc>
      </w:tr>
      <w:tr w14:paraId="3C40B5DF">
        <w:tblPrEx>
          <w:tblCellMar>
            <w:top w:w="0" w:type="dxa"/>
            <w:left w:w="0" w:type="dxa"/>
            <w:bottom w:w="0" w:type="dxa"/>
            <w:right w:w="0" w:type="dxa"/>
          </w:tblCellMar>
        </w:tblPrEx>
        <w:trPr>
          <w:wBefore w:w="0" w:type="auto"/>
          <w:tblCellSpacing w:w="0" w:type="dxa"/>
        </w:trPr>
        <w:tc>
          <w:tcPr>
            <w:tcW w:w="0" w:type="auto"/>
            <w:noWrap w:val="0"/>
            <w:vAlign w:val="center"/>
          </w:tcPr>
          <w:p w14:paraId="6FFA29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F050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09044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B7EFF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D41A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5A0A5B">
                  <w:r>
                    <w:rPr>
                      <w:rStyle w:val="11"/>
                      <w:rFonts w:hint="eastAsia"/>
                    </w:rPr>
                    <w:t>施用方式</w:t>
                  </w:r>
                </w:p>
              </w:tc>
            </w:tr>
            <w:tr w14:paraId="261C34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ABAA4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2B18D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0242FE">
                  <w:r>
                    <w:rPr>
                      <w:rStyle w:val="11"/>
                      <w:rFonts w:hint="eastAsia"/>
                    </w:rPr>
                    <w:t>8000-16000倍液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358E6">
                  <w:r>
                    <w:rPr>
                      <w:rStyle w:val="11"/>
                      <w:rFonts w:hint="eastAsia"/>
                    </w:rPr>
                    <w:t>喷雾</w:t>
                  </w:r>
                </w:p>
              </w:tc>
            </w:tr>
          </w:tbl>
          <w:p w14:paraId="4AEF58DA">
            <w:pPr>
              <w:rPr>
                <w:rFonts w:ascii="Times New Roman" w:hAnsi="Times New Roman" w:cs="Times New Roman"/>
                <w:sz w:val="20"/>
                <w:szCs w:val="20"/>
              </w:rPr>
            </w:pPr>
          </w:p>
        </w:tc>
      </w:tr>
      <w:tr w14:paraId="7D25DA35">
        <w:tblPrEx>
          <w:tblCellMar>
            <w:top w:w="0" w:type="dxa"/>
            <w:left w:w="0" w:type="dxa"/>
            <w:bottom w:w="0" w:type="dxa"/>
            <w:right w:w="0" w:type="dxa"/>
          </w:tblCellMar>
        </w:tblPrEx>
        <w:trPr>
          <w:wBefore w:w="0" w:type="auto"/>
          <w:tblCellSpacing w:w="0" w:type="dxa"/>
        </w:trPr>
        <w:tc>
          <w:tcPr>
            <w:tcW w:w="0" w:type="auto"/>
            <w:noWrap w:val="0"/>
            <w:vAlign w:val="center"/>
          </w:tcPr>
          <w:p w14:paraId="107AEBEC">
            <w:r>
              <w:rPr>
                <w:rStyle w:val="10"/>
                <w:rFonts w:hint="eastAsia"/>
              </w:rPr>
              <w:t>使用技术要求:</w:t>
            </w:r>
            <w:r>
              <w:rPr>
                <w:rFonts w:hint="eastAsia"/>
              </w:rPr>
              <w:br w:type="textWrapping"/>
            </w:r>
            <w:r>
              <w:rPr>
                <w:rStyle w:val="11"/>
                <w:rFonts w:hint="eastAsia"/>
              </w:rPr>
              <w:t>1. 在水稻在孕穗期、齐穗期各喷雾使用一次，注意喷雾均匀周到。2. 大风天或预计1小时内降雨，请勿施药。保证施药均匀，避免药害。3、该产品稀释倍数较高，配置药液应稀释均匀，避免药害。</w:t>
            </w:r>
          </w:p>
        </w:tc>
      </w:tr>
      <w:tr w14:paraId="535248E6">
        <w:tblPrEx>
          <w:tblCellMar>
            <w:top w:w="0" w:type="dxa"/>
            <w:left w:w="0" w:type="dxa"/>
            <w:bottom w:w="0" w:type="dxa"/>
            <w:right w:w="0" w:type="dxa"/>
          </w:tblCellMar>
        </w:tblPrEx>
        <w:trPr>
          <w:wBefore w:w="0" w:type="auto"/>
          <w:tblCellSpacing w:w="0" w:type="dxa"/>
        </w:trPr>
        <w:tc>
          <w:tcPr>
            <w:tcW w:w="0" w:type="auto"/>
            <w:noWrap w:val="0"/>
            <w:vAlign w:val="center"/>
          </w:tcPr>
          <w:p w14:paraId="417F07D7">
            <w:r>
              <w:rPr>
                <w:rStyle w:val="10"/>
                <w:rFonts w:hint="eastAsia"/>
              </w:rPr>
              <w:t>产品性能:</w:t>
            </w:r>
            <w:r>
              <w:rPr>
                <w:rFonts w:hint="eastAsia"/>
              </w:rPr>
              <w:br w:type="textWrapping"/>
            </w:r>
            <w:r>
              <w:rPr>
                <w:rStyle w:val="11"/>
                <w:rFonts w:hint="eastAsia"/>
              </w:rPr>
              <w:t>本品是由芸苔素内酯和赤霉酸混配而成。芸苔素内酯和赤霉素（赤霉酸属于赤霉素的一种）都是植物生长不可缺少的内源激素，它们分别调节着植物的不同生理功能。赤霉素的作用是加速细胞的伸长，促进细胞分裂，它可以促进细胞的扩大；芸苔素内酯对作物的各生长阶段都有调节作用，兼具赤霉素、细胞分裂素和生长素的综合功效；且其有着平衡植物体内上述这些内源激素的发展的功能，还能调节植物体内营养物质的分配，促进弱势植株的生长，芸苔素内酯还能影响核酸类物质的代谢、延缓植物离体细胞的衰老。将二者混配可充分发挥各自特点，更好地调节作物生长，促使作物早熟丰产。</w:t>
            </w:r>
          </w:p>
        </w:tc>
      </w:tr>
      <w:tr w14:paraId="7C07BD8D">
        <w:tblPrEx>
          <w:tblCellMar>
            <w:top w:w="0" w:type="dxa"/>
            <w:left w:w="0" w:type="dxa"/>
            <w:bottom w:w="0" w:type="dxa"/>
            <w:right w:w="0" w:type="dxa"/>
          </w:tblCellMar>
        </w:tblPrEx>
        <w:trPr>
          <w:wBefore w:w="0" w:type="auto"/>
          <w:tblCellSpacing w:w="0" w:type="dxa"/>
        </w:trPr>
        <w:tc>
          <w:tcPr>
            <w:tcW w:w="0" w:type="auto"/>
            <w:noWrap w:val="0"/>
            <w:vAlign w:val="center"/>
          </w:tcPr>
          <w:p w14:paraId="39F65FD6">
            <w:r>
              <w:rPr>
                <w:rStyle w:val="10"/>
                <w:rFonts w:hint="eastAsia"/>
              </w:rPr>
              <w:t>注意事项：</w:t>
            </w:r>
            <w:r>
              <w:rPr>
                <w:rFonts w:hint="eastAsia"/>
              </w:rPr>
              <w:br w:type="textWrapping"/>
            </w:r>
            <w:r>
              <w:rPr>
                <w:rStyle w:val="11"/>
                <w:rFonts w:hint="eastAsia"/>
              </w:rPr>
              <w:t>1. 本品要现配现用，禁止与碱性农药混配混用。 2. 本品对眼睛有刺激性，使用时避免接触眼睛，穿戴长衣、长裤、帽子、口罩、手套等防护措施。避免皮肤接触及口鼻吸入药液。使用中不可吸烟、饮水和吃东西等；使用后及时清洗手、脸等暴露部位皮肤并更换衣物。 3. 禁止在河塘等水域清洗施药器具。施药后的田水不得直接排入水体。 4. 使用后的包装物应遵照农药包装废弃物回收准则的相关规定处理，不可作他用，也不可随意丢弃。 5. 孕妇及哺乳期妇女禁止接触此药。</w:t>
            </w:r>
          </w:p>
        </w:tc>
      </w:tr>
      <w:tr w14:paraId="34DF60CE">
        <w:tblPrEx>
          <w:tblCellMar>
            <w:top w:w="0" w:type="dxa"/>
            <w:left w:w="0" w:type="dxa"/>
            <w:bottom w:w="0" w:type="dxa"/>
            <w:right w:w="0" w:type="dxa"/>
          </w:tblCellMar>
        </w:tblPrEx>
        <w:trPr>
          <w:wBefore w:w="0" w:type="auto"/>
          <w:tblCellSpacing w:w="0" w:type="dxa"/>
        </w:trPr>
        <w:tc>
          <w:tcPr>
            <w:tcW w:w="0" w:type="auto"/>
            <w:noWrap w:val="0"/>
            <w:vAlign w:val="center"/>
          </w:tcPr>
          <w:p w14:paraId="4B0CB515">
            <w:r>
              <w:rPr>
                <w:rStyle w:val="10"/>
                <w:rFonts w:hint="eastAsia"/>
              </w:rPr>
              <w:t>中毒急救措施：</w:t>
            </w:r>
            <w:r>
              <w:rPr>
                <w:rFonts w:hint="eastAsia"/>
              </w:rPr>
              <w:br w:type="textWrapping"/>
            </w:r>
            <w:r>
              <w:rPr>
                <w:rStyle w:val="11"/>
                <w:rFonts w:hint="eastAsia"/>
              </w:rPr>
              <w:t>急救措施：本品对眼睛有刺激性，使用中或使用后如果感觉不适，应立即停止工作，采取急救措施，并携带标签送医院就诊。 1. 皮肤接触：脱去污染的衣物，用软布去除沾染农药，立即用大量清水和肥皂冲洗。 2. 眼睛溅入：立即用流动清水冲洗不少于15分钟，携带标签到医院就诊。 3. 吸入：立即离开施药现场，转移到空气清新处。 4. 误食：立即停止服用，紧急医疗措施：使用医用活性炭洗胃，洗胃时注意防止胃容物进入呼吸道。注意：对昏迷病人，切勿经口喂入任何东西或引吐。 5. 无专用解毒剂、请对症治疗。</w:t>
            </w:r>
          </w:p>
        </w:tc>
      </w:tr>
      <w:tr w14:paraId="3FB92435">
        <w:tblPrEx>
          <w:tblCellMar>
            <w:top w:w="0" w:type="dxa"/>
            <w:left w:w="0" w:type="dxa"/>
            <w:bottom w:w="0" w:type="dxa"/>
            <w:right w:w="0" w:type="dxa"/>
          </w:tblCellMar>
        </w:tblPrEx>
        <w:trPr>
          <w:wBefore w:w="0" w:type="auto"/>
          <w:tblCellSpacing w:w="0" w:type="dxa"/>
        </w:trPr>
        <w:tc>
          <w:tcPr>
            <w:tcW w:w="0" w:type="auto"/>
            <w:noWrap w:val="0"/>
            <w:vAlign w:val="center"/>
          </w:tcPr>
          <w:p w14:paraId="3F62F94B">
            <w:r>
              <w:rPr>
                <w:rStyle w:val="10"/>
                <w:rFonts w:hint="eastAsia"/>
              </w:rPr>
              <w:t>储存和运输方法：</w:t>
            </w:r>
            <w:r>
              <w:rPr>
                <w:rFonts w:hint="eastAsia"/>
              </w:rPr>
              <w:br w:type="textWrapping"/>
            </w:r>
            <w:r>
              <w:rPr>
                <w:rStyle w:val="11"/>
                <w:rFonts w:hint="eastAsia"/>
              </w:rPr>
              <w:t>本品为易燃液体，应贮存在避光、通风、干燥防风雨处，远离火源和热源。置于儿童、无关人员及动物接触不到的地方，并加锁保存。勿与食物、饮料、种子、粮食和饲料同贮同运。</w:t>
            </w:r>
          </w:p>
        </w:tc>
      </w:tr>
      <w:tr w14:paraId="443C8B09">
        <w:tblPrEx>
          <w:tblCellMar>
            <w:top w:w="0" w:type="dxa"/>
            <w:left w:w="0" w:type="dxa"/>
            <w:bottom w:w="0" w:type="dxa"/>
            <w:right w:w="0" w:type="dxa"/>
          </w:tblCellMar>
        </w:tblPrEx>
        <w:trPr>
          <w:wBefore w:w="0" w:type="auto"/>
          <w:tblCellSpacing w:w="0" w:type="dxa"/>
        </w:trPr>
        <w:tc>
          <w:tcPr>
            <w:tcW w:w="0" w:type="auto"/>
            <w:noWrap w:val="0"/>
            <w:vAlign w:val="center"/>
          </w:tcPr>
          <w:p w14:paraId="32F56FB1">
            <w:r>
              <w:rPr>
                <w:rStyle w:val="10"/>
                <w:rFonts w:hint="eastAsia"/>
              </w:rPr>
              <w:t>质量保证期：</w:t>
            </w:r>
            <w:r>
              <w:rPr>
                <w:rStyle w:val="11"/>
                <w:rFonts w:hint="eastAsia"/>
              </w:rPr>
              <w:t>2年</w:t>
            </w:r>
          </w:p>
        </w:tc>
      </w:tr>
      <w:tr w14:paraId="2388CEA8">
        <w:tblPrEx>
          <w:tblCellMar>
            <w:top w:w="0" w:type="dxa"/>
            <w:left w:w="0" w:type="dxa"/>
            <w:bottom w:w="0" w:type="dxa"/>
            <w:right w:w="0" w:type="dxa"/>
          </w:tblCellMar>
        </w:tblPrEx>
        <w:trPr>
          <w:wBefore w:w="0" w:type="auto"/>
          <w:tblCellSpacing w:w="0" w:type="dxa"/>
        </w:trPr>
        <w:tc>
          <w:tcPr>
            <w:tcW w:w="0" w:type="auto"/>
            <w:noWrap w:val="0"/>
            <w:vAlign w:val="center"/>
          </w:tcPr>
          <w:p w14:paraId="671AC044">
            <w:r>
              <w:rPr>
                <w:rStyle w:val="10"/>
                <w:rFonts w:hint="eastAsia"/>
              </w:rPr>
              <w:t>备注：</w:t>
            </w:r>
          </w:p>
        </w:tc>
      </w:tr>
    </w:tbl>
    <w:p w14:paraId="4699F37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8AC65E">
        <w:tblPrEx>
          <w:tblCellMar>
            <w:top w:w="0" w:type="dxa"/>
            <w:left w:w="0" w:type="dxa"/>
            <w:bottom w:w="0" w:type="dxa"/>
            <w:right w:w="0" w:type="dxa"/>
          </w:tblCellMar>
        </w:tblPrEx>
        <w:trPr>
          <w:wBefore w:w="0" w:type="auto"/>
          <w:tblCellSpacing w:w="0" w:type="dxa"/>
        </w:trPr>
        <w:tc>
          <w:tcPr>
            <w:tcW w:w="0" w:type="auto"/>
            <w:noWrap w:val="0"/>
            <w:vAlign w:val="center"/>
          </w:tcPr>
          <w:p w14:paraId="4314659F">
            <w:r>
              <w:rPr>
                <w:rStyle w:val="10"/>
                <w:rFonts w:hint="eastAsia"/>
              </w:rPr>
              <w:t>登记证号：</w:t>
            </w:r>
            <w:r>
              <w:rPr>
                <w:rFonts w:hint="eastAsia"/>
              </w:rPr>
              <w:t>PD20212636</w:t>
            </w:r>
          </w:p>
        </w:tc>
      </w:tr>
      <w:tr w14:paraId="35AE8BA9">
        <w:tblPrEx>
          <w:tblCellMar>
            <w:top w:w="0" w:type="dxa"/>
            <w:left w:w="0" w:type="dxa"/>
            <w:bottom w:w="0" w:type="dxa"/>
            <w:right w:w="0" w:type="dxa"/>
          </w:tblCellMar>
        </w:tblPrEx>
        <w:trPr>
          <w:wBefore w:w="0" w:type="auto"/>
          <w:tblCellSpacing w:w="0" w:type="dxa"/>
        </w:trPr>
        <w:tc>
          <w:tcPr>
            <w:tcW w:w="0" w:type="auto"/>
            <w:noWrap w:val="0"/>
            <w:vAlign w:val="center"/>
          </w:tcPr>
          <w:p w14:paraId="54AC539D">
            <w:r>
              <w:rPr>
                <w:rStyle w:val="10"/>
                <w:rFonts w:hint="eastAsia"/>
              </w:rPr>
              <w:t>登记证持有人：</w:t>
            </w:r>
            <w:r>
              <w:rPr>
                <w:rFonts w:hint="eastAsia"/>
              </w:rPr>
              <w:t>河南丰收乐化学有限公司</w:t>
            </w:r>
          </w:p>
        </w:tc>
      </w:tr>
      <w:tr w14:paraId="13FBAA49">
        <w:tblPrEx>
          <w:tblCellMar>
            <w:top w:w="0" w:type="dxa"/>
            <w:left w:w="0" w:type="dxa"/>
            <w:bottom w:w="0" w:type="dxa"/>
            <w:right w:w="0" w:type="dxa"/>
          </w:tblCellMar>
        </w:tblPrEx>
        <w:trPr>
          <w:wBefore w:w="0" w:type="auto"/>
          <w:tblCellSpacing w:w="0" w:type="dxa"/>
        </w:trPr>
        <w:tc>
          <w:tcPr>
            <w:tcW w:w="0" w:type="auto"/>
            <w:noWrap w:val="0"/>
            <w:vAlign w:val="center"/>
          </w:tcPr>
          <w:p w14:paraId="38E7544E">
            <w:r>
              <w:rPr>
                <w:rStyle w:val="10"/>
                <w:rFonts w:hint="eastAsia"/>
              </w:rPr>
              <w:t>农药名称：</w:t>
            </w:r>
            <w:r>
              <w:rPr>
                <w:rFonts w:hint="eastAsia"/>
              </w:rPr>
              <w:t>三氯吡氧乙酸三乙胺盐</w:t>
            </w:r>
          </w:p>
        </w:tc>
      </w:tr>
      <w:tr w14:paraId="3127A538">
        <w:tblPrEx>
          <w:tblCellMar>
            <w:top w:w="0" w:type="dxa"/>
            <w:left w:w="0" w:type="dxa"/>
            <w:bottom w:w="0" w:type="dxa"/>
            <w:right w:w="0" w:type="dxa"/>
          </w:tblCellMar>
        </w:tblPrEx>
        <w:trPr>
          <w:wBefore w:w="0" w:type="auto"/>
          <w:tblCellSpacing w:w="0" w:type="dxa"/>
        </w:trPr>
        <w:tc>
          <w:tcPr>
            <w:tcW w:w="0" w:type="auto"/>
            <w:noWrap w:val="0"/>
            <w:vAlign w:val="center"/>
          </w:tcPr>
          <w:p w14:paraId="649BCE3A">
            <w:r>
              <w:rPr>
                <w:rStyle w:val="10"/>
                <w:rFonts w:hint="eastAsia"/>
              </w:rPr>
              <w:t>剂型：</w:t>
            </w:r>
            <w:r>
              <w:rPr>
                <w:rFonts w:hint="eastAsia"/>
              </w:rPr>
              <w:t>可溶液剂</w:t>
            </w:r>
          </w:p>
        </w:tc>
      </w:tr>
      <w:tr w14:paraId="21086F5F">
        <w:tblPrEx>
          <w:tblCellMar>
            <w:top w:w="0" w:type="dxa"/>
            <w:left w:w="0" w:type="dxa"/>
            <w:bottom w:w="0" w:type="dxa"/>
            <w:right w:w="0" w:type="dxa"/>
          </w:tblCellMar>
        </w:tblPrEx>
        <w:trPr>
          <w:wBefore w:w="0" w:type="auto"/>
          <w:tblCellSpacing w:w="0" w:type="dxa"/>
        </w:trPr>
        <w:tc>
          <w:tcPr>
            <w:tcW w:w="0" w:type="auto"/>
            <w:noWrap w:val="0"/>
            <w:vAlign w:val="center"/>
          </w:tcPr>
          <w:p w14:paraId="5C03659B">
            <w:r>
              <w:rPr>
                <w:rStyle w:val="10"/>
                <w:rFonts w:hint="eastAsia"/>
              </w:rPr>
              <w:t>毒性及其标识：</w:t>
            </w:r>
            <w:r>
              <w:rPr>
                <w:rFonts w:hint="eastAsia"/>
              </w:rPr>
              <w:t xml:space="preserve"> </w:t>
            </w:r>
            <w:r>
              <w:rPr>
                <w:lang/>
              </w:rPr>
              <w:drawing>
                <wp:inline distT="0" distB="0" distL="114300" distR="114300">
                  <wp:extent cx="476250" cy="323850"/>
                  <wp:effectExtent l="0" t="0" r="0" b="0"/>
                  <wp:docPr id="253" name="图片 2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A5A29B">
        <w:tblPrEx>
          <w:tblCellMar>
            <w:top w:w="0" w:type="dxa"/>
            <w:left w:w="0" w:type="dxa"/>
            <w:bottom w:w="0" w:type="dxa"/>
            <w:right w:w="0" w:type="dxa"/>
          </w:tblCellMar>
        </w:tblPrEx>
        <w:trPr>
          <w:wBefore w:w="0" w:type="auto"/>
          <w:tblCellSpacing w:w="0" w:type="dxa"/>
        </w:trPr>
        <w:tc>
          <w:tcPr>
            <w:tcW w:w="0" w:type="auto"/>
            <w:noWrap w:val="0"/>
            <w:vAlign w:val="center"/>
          </w:tcPr>
          <w:p w14:paraId="2DE35BD8">
            <w:r>
              <w:rPr>
                <w:rStyle w:val="10"/>
                <w:rFonts w:hint="eastAsia"/>
              </w:rPr>
              <w:t>总有效成分含量：</w:t>
            </w:r>
            <w:r>
              <w:rPr>
                <w:rFonts w:hint="eastAsia"/>
              </w:rPr>
              <w:t>44%</w:t>
            </w:r>
          </w:p>
        </w:tc>
      </w:tr>
      <w:tr w14:paraId="7A7D4011">
        <w:tblPrEx>
          <w:tblCellMar>
            <w:top w:w="0" w:type="dxa"/>
            <w:left w:w="0" w:type="dxa"/>
            <w:bottom w:w="0" w:type="dxa"/>
            <w:right w:w="0" w:type="dxa"/>
          </w:tblCellMar>
        </w:tblPrEx>
        <w:trPr>
          <w:wBefore w:w="0" w:type="auto"/>
          <w:tblCellSpacing w:w="0" w:type="dxa"/>
        </w:trPr>
        <w:tc>
          <w:tcPr>
            <w:tcW w:w="0" w:type="auto"/>
            <w:noWrap w:val="0"/>
            <w:vAlign w:val="center"/>
          </w:tcPr>
          <w:p w14:paraId="7969BD11">
            <w:r>
              <w:rPr>
                <w:rFonts w:hint="eastAsia"/>
              </w:rPr>
              <w:t xml:space="preserve">有效成分及其含量： </w:t>
            </w:r>
          </w:p>
          <w:p w14:paraId="2399AD0E">
            <w:r>
              <w:rPr>
                <w:rFonts w:hint="eastAsia"/>
              </w:rPr>
              <w:t xml:space="preserve">    三氯吡氧乙酸44%    </w:t>
            </w:r>
          </w:p>
        </w:tc>
      </w:tr>
      <w:tr w14:paraId="52799A96">
        <w:tblPrEx>
          <w:tblCellMar>
            <w:top w:w="0" w:type="dxa"/>
            <w:left w:w="0" w:type="dxa"/>
            <w:bottom w:w="0" w:type="dxa"/>
            <w:right w:w="0" w:type="dxa"/>
          </w:tblCellMar>
        </w:tblPrEx>
        <w:trPr>
          <w:wBefore w:w="0" w:type="auto"/>
          <w:tblCellSpacing w:w="0" w:type="dxa"/>
        </w:trPr>
        <w:tc>
          <w:tcPr>
            <w:tcW w:w="0" w:type="auto"/>
            <w:noWrap w:val="0"/>
            <w:vAlign w:val="center"/>
          </w:tcPr>
          <w:p w14:paraId="00D67C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DB9D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ED1A8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3B3B4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1609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AC9795">
                  <w:r>
                    <w:rPr>
                      <w:rStyle w:val="11"/>
                      <w:rFonts w:hint="eastAsia"/>
                    </w:rPr>
                    <w:t>施用方式</w:t>
                  </w:r>
                </w:p>
              </w:tc>
            </w:tr>
            <w:tr w14:paraId="48D562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14498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1A52D7">
                  <w:r>
                    <w:rPr>
                      <w:rStyle w:val="11"/>
                      <w:rFonts w:hint="eastAsia"/>
                    </w:rPr>
                    <w:t>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6AFD24">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E45420">
                  <w:r>
                    <w:rPr>
                      <w:rStyle w:val="11"/>
                      <w:rFonts w:hint="eastAsia"/>
                    </w:rPr>
                    <w:t>茎叶喷雾</w:t>
                  </w:r>
                </w:p>
              </w:tc>
            </w:tr>
          </w:tbl>
          <w:p w14:paraId="3C4B2B1A">
            <w:pPr>
              <w:rPr>
                <w:rFonts w:ascii="Times New Roman" w:hAnsi="Times New Roman" w:cs="Times New Roman"/>
                <w:sz w:val="20"/>
                <w:szCs w:val="20"/>
              </w:rPr>
            </w:pPr>
          </w:p>
        </w:tc>
      </w:tr>
      <w:tr w14:paraId="56D96B9D">
        <w:tblPrEx>
          <w:tblCellMar>
            <w:top w:w="0" w:type="dxa"/>
            <w:left w:w="0" w:type="dxa"/>
            <w:bottom w:w="0" w:type="dxa"/>
            <w:right w:w="0" w:type="dxa"/>
          </w:tblCellMar>
        </w:tblPrEx>
        <w:trPr>
          <w:wBefore w:w="0" w:type="auto"/>
          <w:tblCellSpacing w:w="0" w:type="dxa"/>
        </w:trPr>
        <w:tc>
          <w:tcPr>
            <w:tcW w:w="0" w:type="auto"/>
            <w:noWrap w:val="0"/>
            <w:vAlign w:val="center"/>
          </w:tcPr>
          <w:p w14:paraId="1E4BE33F">
            <w:r>
              <w:rPr>
                <w:rStyle w:val="10"/>
                <w:rFonts w:hint="eastAsia"/>
              </w:rPr>
              <w:t>使用技术要求:</w:t>
            </w:r>
            <w:r>
              <w:rPr>
                <w:rFonts w:hint="eastAsia"/>
              </w:rPr>
              <w:br w:type="textWrapping"/>
            </w:r>
            <w:r>
              <w:rPr>
                <w:rStyle w:val="11"/>
                <w:rFonts w:hint="eastAsia"/>
              </w:rPr>
              <w:t>1.本品用于防除非耕地阔叶杂草，应于杂草生长旺盛期茎叶喷雾1次，注意均匀喷雾到杂草茎叶上，以保证除草效果。2.施药时应防止药液漂移到临近作物上，以免产生药害。3.大风天或预计施药后4小时内降雨，请勿施药，如施药后4-8小时内降雨，应补喷。4.施药后5天内勿割草、放牧、翻地等。</w:t>
            </w:r>
          </w:p>
        </w:tc>
      </w:tr>
      <w:tr w14:paraId="53CA9A5B">
        <w:tblPrEx>
          <w:tblCellMar>
            <w:top w:w="0" w:type="dxa"/>
            <w:left w:w="0" w:type="dxa"/>
            <w:bottom w:w="0" w:type="dxa"/>
            <w:right w:w="0" w:type="dxa"/>
          </w:tblCellMar>
        </w:tblPrEx>
        <w:trPr>
          <w:wBefore w:w="0" w:type="auto"/>
          <w:tblCellSpacing w:w="0" w:type="dxa"/>
        </w:trPr>
        <w:tc>
          <w:tcPr>
            <w:tcW w:w="0" w:type="auto"/>
            <w:noWrap w:val="0"/>
            <w:vAlign w:val="center"/>
          </w:tcPr>
          <w:p w14:paraId="7C8516AB">
            <w:r>
              <w:rPr>
                <w:rStyle w:val="10"/>
                <w:rFonts w:hint="eastAsia"/>
              </w:rPr>
              <w:t>产品性能:</w:t>
            </w:r>
            <w:r>
              <w:rPr>
                <w:rFonts w:hint="eastAsia"/>
              </w:rPr>
              <w:br w:type="textWrapping"/>
            </w:r>
            <w:r>
              <w:rPr>
                <w:rStyle w:val="11"/>
                <w:rFonts w:hint="eastAsia"/>
              </w:rPr>
              <w:t>本品为茎叶处理传导型除草剂，可防除非耕地常见阔叶杂草。药后能迅速被叶片和根吸收并在植物体内传导，使叶片、茎和根生长畸形，维管束组被栓塞或破裂，导致植株死亡。</w:t>
            </w:r>
          </w:p>
        </w:tc>
      </w:tr>
      <w:tr w14:paraId="698547C8">
        <w:tblPrEx>
          <w:tblCellMar>
            <w:top w:w="0" w:type="dxa"/>
            <w:left w:w="0" w:type="dxa"/>
            <w:bottom w:w="0" w:type="dxa"/>
            <w:right w:w="0" w:type="dxa"/>
          </w:tblCellMar>
        </w:tblPrEx>
        <w:trPr>
          <w:wBefore w:w="0" w:type="auto"/>
          <w:tblCellSpacing w:w="0" w:type="dxa"/>
        </w:trPr>
        <w:tc>
          <w:tcPr>
            <w:tcW w:w="0" w:type="auto"/>
            <w:noWrap w:val="0"/>
            <w:vAlign w:val="center"/>
          </w:tcPr>
          <w:p w14:paraId="3CBE9635">
            <w:r>
              <w:rPr>
                <w:rStyle w:val="10"/>
                <w:rFonts w:hint="eastAsia"/>
              </w:rPr>
              <w:t>注意事项：</w:t>
            </w:r>
            <w:r>
              <w:rPr>
                <w:rFonts w:hint="eastAsia"/>
              </w:rPr>
              <w:br w:type="textWrapping"/>
            </w:r>
            <w:r>
              <w:rPr>
                <w:rStyle w:val="11"/>
                <w:rFonts w:hint="eastAsia"/>
              </w:rPr>
              <w:t>1.操作者应遵守《农药安全使用准则》，按要求做好劳动保护，穿戴防护服、手套、面罩或护目镜、口罩、靴子等，避免让人体直接接触药剂。工作后漱口、清洗裸露在外的身体部分并更换干净的衣服。2.禁止在河塘等水体中清洗施药器具；（周围）开花植物花期禁用，使用期间应密切关注对附近蜂群的影响；蚕室及桑园附近禁用；鸟类保护区附近禁用。</w:t>
            </w:r>
            <w:r>
              <w:rPr>
                <w:rStyle w:val="11"/>
                <w:rFonts w:hint="eastAsia"/>
              </w:rPr>
              <w:t> </w:t>
            </w:r>
            <w:r>
              <w:rPr>
                <w:rStyle w:val="11"/>
                <w:rFonts w:hint="eastAsia"/>
              </w:rPr>
              <w:t>3.用过的容器应妥善处理，不可做它用，也不可随意丢弃。4.如有遗漏，应以合适的惰性物质吸收，收集完全，置于适当容器中，用水和恰当的洗涤剂清洗受污染区域，收集污水送到相关废弃物处理单位进行相应处理。5.避免孕妇及哺乳期的妇女接触本品。6.禁止在田间道路、田埂、果树行间、休耕地、林场林地等农林业区域使用。</w:t>
            </w:r>
          </w:p>
        </w:tc>
      </w:tr>
      <w:tr w14:paraId="04207EBF">
        <w:tblPrEx>
          <w:tblCellMar>
            <w:top w:w="0" w:type="dxa"/>
            <w:left w:w="0" w:type="dxa"/>
            <w:bottom w:w="0" w:type="dxa"/>
            <w:right w:w="0" w:type="dxa"/>
          </w:tblCellMar>
        </w:tblPrEx>
        <w:trPr>
          <w:wBefore w:w="0" w:type="auto"/>
          <w:tblCellSpacing w:w="0" w:type="dxa"/>
        </w:trPr>
        <w:tc>
          <w:tcPr>
            <w:tcW w:w="0" w:type="auto"/>
            <w:noWrap w:val="0"/>
            <w:vAlign w:val="center"/>
          </w:tcPr>
          <w:p w14:paraId="2A1AFF76">
            <w:r>
              <w:rPr>
                <w:rStyle w:val="10"/>
                <w:rFonts w:hint="eastAsia"/>
              </w:rPr>
              <w:t>中毒急救措施：</w:t>
            </w:r>
            <w:r>
              <w:rPr>
                <w:rFonts w:hint="eastAsia"/>
              </w:rPr>
              <w:br w:type="textWrapping"/>
            </w:r>
            <w:r>
              <w:rPr>
                <w:rStyle w:val="11"/>
                <w:rFonts w:hint="eastAsia"/>
              </w:rPr>
              <w:t>该产品对眼睛有刺激性。1.皮肤接触：脱掉被污染衣物，用肥皂和清水清洗皮肤触药部位；如有发炎过敏症状，送医对症治疗。2.溅入眼睛：本品对眼睛有刺激性，如溅入眼睛，立即将眼睑翻开用大量清水冲洗15分钟，并送医就诊。3.不慎吸入：立即转移至空气新鲜处，并送医就诊，若停止呼吸，实施人工呼吸。4.误服：避免催吐洗胃，迅速就医。医生洗胃时，应注意保护气管和食管；对已昏迷病人，切勿经口喂入任何东西。5.本品目前没有中毒症状记录和专用解毒剂，请对症治疗。</w:t>
            </w:r>
          </w:p>
        </w:tc>
      </w:tr>
      <w:tr w14:paraId="0FEA1DFE">
        <w:tblPrEx>
          <w:tblCellMar>
            <w:top w:w="0" w:type="dxa"/>
            <w:left w:w="0" w:type="dxa"/>
            <w:bottom w:w="0" w:type="dxa"/>
            <w:right w:w="0" w:type="dxa"/>
          </w:tblCellMar>
        </w:tblPrEx>
        <w:trPr>
          <w:wBefore w:w="0" w:type="auto"/>
          <w:tblCellSpacing w:w="0" w:type="dxa"/>
        </w:trPr>
        <w:tc>
          <w:tcPr>
            <w:tcW w:w="0" w:type="auto"/>
            <w:noWrap w:val="0"/>
            <w:vAlign w:val="center"/>
          </w:tcPr>
          <w:p w14:paraId="442A37E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4DC680E5">
        <w:tblPrEx>
          <w:tblCellMar>
            <w:top w:w="0" w:type="dxa"/>
            <w:left w:w="0" w:type="dxa"/>
            <w:bottom w:w="0" w:type="dxa"/>
            <w:right w:w="0" w:type="dxa"/>
          </w:tblCellMar>
        </w:tblPrEx>
        <w:trPr>
          <w:wBefore w:w="0" w:type="auto"/>
          <w:tblCellSpacing w:w="0" w:type="dxa"/>
        </w:trPr>
        <w:tc>
          <w:tcPr>
            <w:tcW w:w="0" w:type="auto"/>
            <w:noWrap w:val="0"/>
            <w:vAlign w:val="center"/>
          </w:tcPr>
          <w:p w14:paraId="6D0F3528">
            <w:r>
              <w:rPr>
                <w:rStyle w:val="10"/>
                <w:rFonts w:hint="eastAsia"/>
              </w:rPr>
              <w:t>质量保证期：</w:t>
            </w:r>
            <w:r>
              <w:rPr>
                <w:rStyle w:val="11"/>
                <w:rFonts w:hint="eastAsia"/>
              </w:rPr>
              <w:t>2年</w:t>
            </w:r>
          </w:p>
        </w:tc>
      </w:tr>
      <w:tr w14:paraId="21C28A86">
        <w:tblPrEx>
          <w:tblCellMar>
            <w:top w:w="0" w:type="dxa"/>
            <w:left w:w="0" w:type="dxa"/>
            <w:bottom w:w="0" w:type="dxa"/>
            <w:right w:w="0" w:type="dxa"/>
          </w:tblCellMar>
        </w:tblPrEx>
        <w:trPr>
          <w:wBefore w:w="0" w:type="auto"/>
          <w:tblCellSpacing w:w="0" w:type="dxa"/>
        </w:trPr>
        <w:tc>
          <w:tcPr>
            <w:tcW w:w="0" w:type="auto"/>
            <w:noWrap w:val="0"/>
            <w:vAlign w:val="center"/>
          </w:tcPr>
          <w:p w14:paraId="52DF3ADA">
            <w:r>
              <w:rPr>
                <w:rStyle w:val="10"/>
                <w:rFonts w:hint="eastAsia"/>
              </w:rPr>
              <w:t>备注：</w:t>
            </w:r>
            <w:r>
              <w:rPr>
                <w:rFonts w:hint="eastAsia"/>
              </w:rPr>
              <w:br w:type="textWrapping"/>
            </w:r>
            <w:r>
              <w:rPr>
                <w:rStyle w:val="11"/>
                <w:rFonts w:hint="eastAsia"/>
              </w:rPr>
              <w:t>三氯吡氧乙酸三乙胺盐61%。</w:t>
            </w:r>
          </w:p>
        </w:tc>
      </w:tr>
    </w:tbl>
    <w:p w14:paraId="6EFBD8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971E87">
        <w:tblPrEx>
          <w:tblCellMar>
            <w:top w:w="0" w:type="dxa"/>
            <w:left w:w="0" w:type="dxa"/>
            <w:bottom w:w="0" w:type="dxa"/>
            <w:right w:w="0" w:type="dxa"/>
          </w:tblCellMar>
        </w:tblPrEx>
        <w:trPr>
          <w:wBefore w:w="0" w:type="auto"/>
          <w:tblCellSpacing w:w="0" w:type="dxa"/>
        </w:trPr>
        <w:tc>
          <w:tcPr>
            <w:tcW w:w="0" w:type="auto"/>
            <w:noWrap w:val="0"/>
            <w:vAlign w:val="center"/>
          </w:tcPr>
          <w:p w14:paraId="054EA03B">
            <w:r>
              <w:rPr>
                <w:rStyle w:val="10"/>
                <w:rFonts w:hint="eastAsia"/>
              </w:rPr>
              <w:t>登记证号：</w:t>
            </w:r>
            <w:r>
              <w:rPr>
                <w:rFonts w:hint="eastAsia"/>
              </w:rPr>
              <w:t>PD20212666</w:t>
            </w:r>
          </w:p>
        </w:tc>
      </w:tr>
      <w:tr w14:paraId="09F52FA8">
        <w:tblPrEx>
          <w:tblCellMar>
            <w:top w:w="0" w:type="dxa"/>
            <w:left w:w="0" w:type="dxa"/>
            <w:bottom w:w="0" w:type="dxa"/>
            <w:right w:w="0" w:type="dxa"/>
          </w:tblCellMar>
        </w:tblPrEx>
        <w:trPr>
          <w:wBefore w:w="0" w:type="auto"/>
          <w:tblCellSpacing w:w="0" w:type="dxa"/>
        </w:trPr>
        <w:tc>
          <w:tcPr>
            <w:tcW w:w="0" w:type="auto"/>
            <w:noWrap w:val="0"/>
            <w:vAlign w:val="center"/>
          </w:tcPr>
          <w:p w14:paraId="41B6A558">
            <w:r>
              <w:rPr>
                <w:rStyle w:val="10"/>
                <w:rFonts w:hint="eastAsia"/>
              </w:rPr>
              <w:t>登记证持有人：</w:t>
            </w:r>
            <w:r>
              <w:rPr>
                <w:rFonts w:hint="eastAsia"/>
              </w:rPr>
              <w:t>涿州拜奥威生物科技有限公司</w:t>
            </w:r>
          </w:p>
        </w:tc>
      </w:tr>
      <w:tr w14:paraId="2A77E5E0">
        <w:tblPrEx>
          <w:tblCellMar>
            <w:top w:w="0" w:type="dxa"/>
            <w:left w:w="0" w:type="dxa"/>
            <w:bottom w:w="0" w:type="dxa"/>
            <w:right w:w="0" w:type="dxa"/>
          </w:tblCellMar>
        </w:tblPrEx>
        <w:trPr>
          <w:wBefore w:w="0" w:type="auto"/>
          <w:tblCellSpacing w:w="0" w:type="dxa"/>
        </w:trPr>
        <w:tc>
          <w:tcPr>
            <w:tcW w:w="0" w:type="auto"/>
            <w:noWrap w:val="0"/>
            <w:vAlign w:val="center"/>
          </w:tcPr>
          <w:p w14:paraId="6EEEB9EF">
            <w:r>
              <w:rPr>
                <w:rStyle w:val="10"/>
                <w:rFonts w:hint="eastAsia"/>
              </w:rPr>
              <w:t>农药名称：</w:t>
            </w:r>
            <w:r>
              <w:rPr>
                <w:rFonts w:hint="eastAsia"/>
              </w:rPr>
              <w:t>霜霉·精甲霜</w:t>
            </w:r>
          </w:p>
        </w:tc>
      </w:tr>
      <w:tr w14:paraId="787C26C2">
        <w:tblPrEx>
          <w:tblCellMar>
            <w:top w:w="0" w:type="dxa"/>
            <w:left w:w="0" w:type="dxa"/>
            <w:bottom w:w="0" w:type="dxa"/>
            <w:right w:w="0" w:type="dxa"/>
          </w:tblCellMar>
        </w:tblPrEx>
        <w:trPr>
          <w:wBefore w:w="0" w:type="auto"/>
          <w:tblCellSpacing w:w="0" w:type="dxa"/>
        </w:trPr>
        <w:tc>
          <w:tcPr>
            <w:tcW w:w="0" w:type="auto"/>
            <w:noWrap w:val="0"/>
            <w:vAlign w:val="center"/>
          </w:tcPr>
          <w:p w14:paraId="382FCCAA">
            <w:r>
              <w:rPr>
                <w:rStyle w:val="10"/>
                <w:rFonts w:hint="eastAsia"/>
              </w:rPr>
              <w:t>剂型：</w:t>
            </w:r>
            <w:r>
              <w:rPr>
                <w:rFonts w:hint="eastAsia"/>
              </w:rPr>
              <w:t>可溶液剂</w:t>
            </w:r>
          </w:p>
        </w:tc>
      </w:tr>
      <w:tr w14:paraId="7DA63935">
        <w:tblPrEx>
          <w:tblCellMar>
            <w:top w:w="0" w:type="dxa"/>
            <w:left w:w="0" w:type="dxa"/>
            <w:bottom w:w="0" w:type="dxa"/>
            <w:right w:w="0" w:type="dxa"/>
          </w:tblCellMar>
        </w:tblPrEx>
        <w:trPr>
          <w:wBefore w:w="0" w:type="auto"/>
          <w:tblCellSpacing w:w="0" w:type="dxa"/>
        </w:trPr>
        <w:tc>
          <w:tcPr>
            <w:tcW w:w="0" w:type="auto"/>
            <w:noWrap w:val="0"/>
            <w:vAlign w:val="center"/>
          </w:tcPr>
          <w:p w14:paraId="346EBEC0">
            <w:r>
              <w:rPr>
                <w:rStyle w:val="10"/>
                <w:rFonts w:hint="eastAsia"/>
              </w:rPr>
              <w:t>毒性及其标识：</w:t>
            </w:r>
            <w:r>
              <w:rPr>
                <w:rFonts w:hint="eastAsia"/>
              </w:rPr>
              <w:t xml:space="preserve"> </w:t>
            </w:r>
            <w:r>
              <w:rPr>
                <w:lang/>
              </w:rPr>
              <w:drawing>
                <wp:inline distT="0" distB="0" distL="114300" distR="114300">
                  <wp:extent cx="476250" cy="323850"/>
                  <wp:effectExtent l="0" t="0" r="0" b="0"/>
                  <wp:docPr id="254" name="图片 2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08D9CD">
        <w:tblPrEx>
          <w:tblCellMar>
            <w:top w:w="0" w:type="dxa"/>
            <w:left w:w="0" w:type="dxa"/>
            <w:bottom w:w="0" w:type="dxa"/>
            <w:right w:w="0" w:type="dxa"/>
          </w:tblCellMar>
        </w:tblPrEx>
        <w:trPr>
          <w:wBefore w:w="0" w:type="auto"/>
          <w:tblCellSpacing w:w="0" w:type="dxa"/>
        </w:trPr>
        <w:tc>
          <w:tcPr>
            <w:tcW w:w="0" w:type="auto"/>
            <w:noWrap w:val="0"/>
            <w:vAlign w:val="center"/>
          </w:tcPr>
          <w:p w14:paraId="29DB4FA2">
            <w:r>
              <w:rPr>
                <w:rStyle w:val="10"/>
                <w:rFonts w:hint="eastAsia"/>
              </w:rPr>
              <w:t>总有效成分含量：</w:t>
            </w:r>
            <w:r>
              <w:rPr>
                <w:rFonts w:hint="eastAsia"/>
              </w:rPr>
              <w:t>51.9%</w:t>
            </w:r>
          </w:p>
        </w:tc>
      </w:tr>
      <w:tr w14:paraId="0F2C1D52">
        <w:tblPrEx>
          <w:tblCellMar>
            <w:top w:w="0" w:type="dxa"/>
            <w:left w:w="0" w:type="dxa"/>
            <w:bottom w:w="0" w:type="dxa"/>
            <w:right w:w="0" w:type="dxa"/>
          </w:tblCellMar>
        </w:tblPrEx>
        <w:trPr>
          <w:wBefore w:w="0" w:type="auto"/>
          <w:tblCellSpacing w:w="0" w:type="dxa"/>
        </w:trPr>
        <w:tc>
          <w:tcPr>
            <w:tcW w:w="0" w:type="auto"/>
            <w:noWrap w:val="0"/>
            <w:vAlign w:val="center"/>
          </w:tcPr>
          <w:p w14:paraId="645FDDDC">
            <w:r>
              <w:rPr>
                <w:rFonts w:hint="eastAsia"/>
              </w:rPr>
              <w:t xml:space="preserve">有效成分及其含量： </w:t>
            </w:r>
          </w:p>
          <w:p w14:paraId="74F6A49A">
            <w:r>
              <w:rPr>
                <w:rFonts w:hint="eastAsia"/>
              </w:rPr>
              <w:t xml:space="preserve">    霜霉威41.9%    精甲霜灵10%    </w:t>
            </w:r>
          </w:p>
        </w:tc>
      </w:tr>
      <w:tr w14:paraId="62FCAD03">
        <w:tblPrEx>
          <w:tblCellMar>
            <w:top w:w="0" w:type="dxa"/>
            <w:left w:w="0" w:type="dxa"/>
            <w:bottom w:w="0" w:type="dxa"/>
            <w:right w:w="0" w:type="dxa"/>
          </w:tblCellMar>
        </w:tblPrEx>
        <w:trPr>
          <w:wBefore w:w="0" w:type="auto"/>
          <w:tblCellSpacing w:w="0" w:type="dxa"/>
        </w:trPr>
        <w:tc>
          <w:tcPr>
            <w:tcW w:w="0" w:type="auto"/>
            <w:noWrap w:val="0"/>
            <w:vAlign w:val="center"/>
          </w:tcPr>
          <w:p w14:paraId="4107149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FC77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A7CBB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189BC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044B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9A40CF2">
                  <w:r>
                    <w:rPr>
                      <w:rStyle w:val="11"/>
                      <w:rFonts w:hint="eastAsia"/>
                    </w:rPr>
                    <w:t>施用方式</w:t>
                  </w:r>
                </w:p>
              </w:tc>
            </w:tr>
            <w:tr w14:paraId="5E9CCF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C28E26">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95E731">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79C1C4">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78D252">
                  <w:r>
                    <w:rPr>
                      <w:rStyle w:val="11"/>
                      <w:rFonts w:hint="eastAsia"/>
                    </w:rPr>
                    <w:t>喷雾</w:t>
                  </w:r>
                </w:p>
              </w:tc>
            </w:tr>
            <w:tr w14:paraId="49E278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C976CE">
                  <w:r>
                    <w:rPr>
                      <w:rStyle w:val="11"/>
                      <w:rFonts w:hint="eastAsia"/>
                    </w:rPr>
                    <w:t>草坪</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8407E6">
                  <w:r>
                    <w:rPr>
                      <w:rStyle w:val="11"/>
                      <w:rFonts w:hint="eastAsia"/>
                    </w:rPr>
                    <w:t>腐霉枯萎病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000239">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0AFB3E">
                  <w:r>
                    <w:rPr>
                      <w:rStyle w:val="11"/>
                      <w:rFonts w:hint="eastAsia"/>
                    </w:rPr>
                    <w:t>喷雾</w:t>
                  </w:r>
                </w:p>
              </w:tc>
            </w:tr>
          </w:tbl>
          <w:p w14:paraId="2491113C">
            <w:pPr>
              <w:rPr>
                <w:rFonts w:ascii="Times New Roman" w:hAnsi="Times New Roman" w:cs="Times New Roman"/>
                <w:sz w:val="20"/>
                <w:szCs w:val="20"/>
              </w:rPr>
            </w:pPr>
          </w:p>
        </w:tc>
      </w:tr>
      <w:tr w14:paraId="7F674534">
        <w:tblPrEx>
          <w:tblCellMar>
            <w:top w:w="0" w:type="dxa"/>
            <w:left w:w="0" w:type="dxa"/>
            <w:bottom w:w="0" w:type="dxa"/>
            <w:right w:w="0" w:type="dxa"/>
          </w:tblCellMar>
        </w:tblPrEx>
        <w:trPr>
          <w:wBefore w:w="0" w:type="auto"/>
          <w:tblCellSpacing w:w="0" w:type="dxa"/>
        </w:trPr>
        <w:tc>
          <w:tcPr>
            <w:tcW w:w="0" w:type="auto"/>
            <w:noWrap w:val="0"/>
            <w:vAlign w:val="center"/>
          </w:tcPr>
          <w:p w14:paraId="0E06722E">
            <w:r>
              <w:rPr>
                <w:rStyle w:val="10"/>
                <w:rFonts w:hint="eastAsia"/>
              </w:rPr>
              <w:t>使用技术要求:</w:t>
            </w:r>
            <w:r>
              <w:rPr>
                <w:rFonts w:hint="eastAsia"/>
              </w:rPr>
              <w:br w:type="textWrapping"/>
            </w:r>
            <w:r>
              <w:rPr>
                <w:rStyle w:val="11"/>
                <w:rFonts w:hint="eastAsia"/>
              </w:rPr>
              <w:t>1. 建议在作物生长的早期阶段使用本品，以保护持续生长的新生组织和叶片。2. 防治番茄晚疫病，按推荐剂量，于病害发生前或发病初期喷雾施药，连续施药2-3次，每次间隔7-10天。每季作物最多3次，安全间隔期5天。防治草坪腐霉枯萎病，按推荐剂量，防治草坪腐霉枯萎病，于病害发生前或发病初期喷雾施药，连续施药2次，间隔7-10天。</w:t>
            </w:r>
          </w:p>
        </w:tc>
      </w:tr>
      <w:tr w14:paraId="2DFB74EB">
        <w:tblPrEx>
          <w:tblCellMar>
            <w:top w:w="0" w:type="dxa"/>
            <w:left w:w="0" w:type="dxa"/>
            <w:bottom w:w="0" w:type="dxa"/>
            <w:right w:w="0" w:type="dxa"/>
          </w:tblCellMar>
        </w:tblPrEx>
        <w:trPr>
          <w:wBefore w:w="0" w:type="auto"/>
          <w:tblCellSpacing w:w="0" w:type="dxa"/>
        </w:trPr>
        <w:tc>
          <w:tcPr>
            <w:tcW w:w="0" w:type="auto"/>
            <w:noWrap w:val="0"/>
            <w:vAlign w:val="center"/>
          </w:tcPr>
          <w:p w14:paraId="50060D41">
            <w:r>
              <w:rPr>
                <w:rStyle w:val="10"/>
                <w:rFonts w:hint="eastAsia"/>
              </w:rPr>
              <w:t>产品性能:</w:t>
            </w:r>
            <w:r>
              <w:rPr>
                <w:rFonts w:hint="eastAsia"/>
              </w:rPr>
              <w:br w:type="textWrapping"/>
            </w:r>
            <w:r>
              <w:rPr>
                <w:rStyle w:val="11"/>
                <w:rFonts w:hint="eastAsia"/>
              </w:rPr>
              <w:t>本品是由两种具有不同作用机制的杀菌剂混配而成。精甲霜灵兼具保护性和治疗性的内吸杀菌剂，防治由低等真菌（如腐霉菌、疫霉菌）引起的多种土传和种传病害，而霜霉威盐酸盐为内吸性的卵菌纲杀菌剂，叶面喷雾防治番茄晚疫病与草坪腐霉枯萎病有较好的预防、保护和治疗效果。</w:t>
            </w:r>
          </w:p>
        </w:tc>
      </w:tr>
      <w:tr w14:paraId="0DCCCAA1">
        <w:tblPrEx>
          <w:tblCellMar>
            <w:top w:w="0" w:type="dxa"/>
            <w:left w:w="0" w:type="dxa"/>
            <w:bottom w:w="0" w:type="dxa"/>
            <w:right w:w="0" w:type="dxa"/>
          </w:tblCellMar>
        </w:tblPrEx>
        <w:trPr>
          <w:wBefore w:w="0" w:type="auto"/>
          <w:tblCellSpacing w:w="0" w:type="dxa"/>
        </w:trPr>
        <w:tc>
          <w:tcPr>
            <w:tcW w:w="0" w:type="auto"/>
            <w:noWrap w:val="0"/>
            <w:vAlign w:val="center"/>
          </w:tcPr>
          <w:p w14:paraId="09A61D98">
            <w:r>
              <w:rPr>
                <w:rStyle w:val="10"/>
                <w:rFonts w:hint="eastAsia"/>
              </w:rPr>
              <w:t>注意事项：</w:t>
            </w:r>
            <w:r>
              <w:rPr>
                <w:rFonts w:hint="eastAsia"/>
              </w:rPr>
              <w:br w:type="textWrapping"/>
            </w:r>
            <w:r>
              <w:rPr>
                <w:rStyle w:val="11"/>
                <w:rFonts w:hint="eastAsia"/>
              </w:rPr>
              <w:t>1. 本品对眼睛有刺激性，使用时避免接触眼睛、皮肤和污染衣物，避免吸入雾滴。切勿在施药现场抽烟或饮食。在饮水、进食和抽烟前，应先洗手、洗脸。2. 配药时，应带手套、面罩，穿长袖衣、长裤和靴子。3. 喷药时，应穿长袖衣、长裤和靴子。4. 施药后，彻底清洗防护用具，洗澡，并更换和清洗工作服。5. 使用过的空包装，用清水冲洗三次后妥善处理，切勿重复使用或改作其它用途。所有施药器具，用后应立即用清水或适当的洗涤剂清洗。6. 勿将药液或空包装弃于水中或在河塘中洗涤喷雾器械，避免影响鱼类和污染水源，赤眼蜂等天敌放飞区域禁用。 7. 未用完的制剂应放在原包装内密闭保存，切勿将本品置于饮、食容器中。8. 孕妇及哺乳期妇女禁止接触。</w:t>
            </w:r>
          </w:p>
        </w:tc>
      </w:tr>
      <w:tr w14:paraId="4D47A3CB">
        <w:tblPrEx>
          <w:tblCellMar>
            <w:top w:w="0" w:type="dxa"/>
            <w:left w:w="0" w:type="dxa"/>
            <w:bottom w:w="0" w:type="dxa"/>
            <w:right w:w="0" w:type="dxa"/>
          </w:tblCellMar>
        </w:tblPrEx>
        <w:trPr>
          <w:wBefore w:w="0" w:type="auto"/>
          <w:tblCellSpacing w:w="0" w:type="dxa"/>
        </w:trPr>
        <w:tc>
          <w:tcPr>
            <w:tcW w:w="0" w:type="auto"/>
            <w:noWrap w:val="0"/>
            <w:vAlign w:val="center"/>
          </w:tcPr>
          <w:p w14:paraId="5091568F">
            <w:r>
              <w:rPr>
                <w:rStyle w:val="10"/>
                <w:rFonts w:hint="eastAsia"/>
              </w:rPr>
              <w:t>中毒急救措施：</w:t>
            </w:r>
            <w:r>
              <w:rPr>
                <w:rFonts w:hint="eastAsia"/>
              </w:rPr>
              <w:br w:type="textWrapping"/>
            </w:r>
            <w:r>
              <w:rPr>
                <w:rStyle w:val="11"/>
                <w:rFonts w:hint="eastAsia"/>
              </w:rPr>
              <w:t>中毒症状：对眼睛有刺激作用。急救措施：使用中或使用后如果感觉不适，应立即停止工作，采取急救措施，并携带标签送医院就诊。皮肤接触：脱去污染的衣物，用软布去除污染农药，立即用大量清水和肥皂冲洗。眼睛溅入：立即用流动清水冲洗不少于15分钟。吸入：立即离开施药现场，转移到空气清新处。误食：立即停止服用，用清水充分漱口后，立即携带农药标签到医院就诊。无特效解毒剂，对症治疗。</w:t>
            </w:r>
          </w:p>
        </w:tc>
      </w:tr>
      <w:tr w14:paraId="16D1E1E1">
        <w:tblPrEx>
          <w:tblCellMar>
            <w:top w:w="0" w:type="dxa"/>
            <w:left w:w="0" w:type="dxa"/>
            <w:bottom w:w="0" w:type="dxa"/>
            <w:right w:w="0" w:type="dxa"/>
          </w:tblCellMar>
        </w:tblPrEx>
        <w:trPr>
          <w:wBefore w:w="0" w:type="auto"/>
          <w:tblCellSpacing w:w="0" w:type="dxa"/>
        </w:trPr>
        <w:tc>
          <w:tcPr>
            <w:tcW w:w="0" w:type="auto"/>
            <w:noWrap w:val="0"/>
            <w:vAlign w:val="center"/>
          </w:tcPr>
          <w:p w14:paraId="018F8D7F">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37AB31DE">
        <w:tblPrEx>
          <w:tblCellMar>
            <w:top w:w="0" w:type="dxa"/>
            <w:left w:w="0" w:type="dxa"/>
            <w:bottom w:w="0" w:type="dxa"/>
            <w:right w:w="0" w:type="dxa"/>
          </w:tblCellMar>
        </w:tblPrEx>
        <w:trPr>
          <w:wBefore w:w="0" w:type="auto"/>
          <w:tblCellSpacing w:w="0" w:type="dxa"/>
        </w:trPr>
        <w:tc>
          <w:tcPr>
            <w:tcW w:w="0" w:type="auto"/>
            <w:noWrap w:val="0"/>
            <w:vAlign w:val="center"/>
          </w:tcPr>
          <w:p w14:paraId="036FE6D4">
            <w:r>
              <w:rPr>
                <w:rStyle w:val="10"/>
                <w:rFonts w:hint="eastAsia"/>
              </w:rPr>
              <w:t>质量保证期：</w:t>
            </w:r>
            <w:r>
              <w:rPr>
                <w:rStyle w:val="11"/>
                <w:rFonts w:hint="eastAsia"/>
              </w:rPr>
              <w:t>2年</w:t>
            </w:r>
          </w:p>
        </w:tc>
      </w:tr>
      <w:tr w14:paraId="0361C31F">
        <w:tblPrEx>
          <w:tblCellMar>
            <w:top w:w="0" w:type="dxa"/>
            <w:left w:w="0" w:type="dxa"/>
            <w:bottom w:w="0" w:type="dxa"/>
            <w:right w:w="0" w:type="dxa"/>
          </w:tblCellMar>
        </w:tblPrEx>
        <w:trPr>
          <w:wBefore w:w="0" w:type="auto"/>
          <w:tblCellSpacing w:w="0" w:type="dxa"/>
        </w:trPr>
        <w:tc>
          <w:tcPr>
            <w:tcW w:w="0" w:type="auto"/>
            <w:noWrap w:val="0"/>
            <w:vAlign w:val="center"/>
          </w:tcPr>
          <w:p w14:paraId="0EFD1890">
            <w:r>
              <w:rPr>
                <w:rStyle w:val="10"/>
                <w:rFonts w:hint="eastAsia"/>
              </w:rPr>
              <w:t>备注：</w:t>
            </w:r>
            <w:r>
              <w:rPr>
                <w:rFonts w:hint="eastAsia"/>
              </w:rPr>
              <w:br w:type="textWrapping"/>
            </w:r>
            <w:r>
              <w:rPr>
                <w:rStyle w:val="11"/>
                <w:rFonts w:hint="eastAsia"/>
              </w:rPr>
              <w:t>霜霉威盐酸盐50%。</w:t>
            </w:r>
          </w:p>
        </w:tc>
      </w:tr>
    </w:tbl>
    <w:p w14:paraId="13717A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272C10">
        <w:tblPrEx>
          <w:tblCellMar>
            <w:top w:w="0" w:type="dxa"/>
            <w:left w:w="0" w:type="dxa"/>
            <w:bottom w:w="0" w:type="dxa"/>
            <w:right w:w="0" w:type="dxa"/>
          </w:tblCellMar>
        </w:tblPrEx>
        <w:trPr>
          <w:wBefore w:w="0" w:type="auto"/>
          <w:tblCellSpacing w:w="0" w:type="dxa"/>
        </w:trPr>
        <w:tc>
          <w:tcPr>
            <w:tcW w:w="0" w:type="auto"/>
            <w:noWrap w:val="0"/>
            <w:vAlign w:val="center"/>
          </w:tcPr>
          <w:p w14:paraId="1CE3D3BA">
            <w:r>
              <w:rPr>
                <w:rStyle w:val="10"/>
                <w:rFonts w:hint="eastAsia"/>
              </w:rPr>
              <w:t>登记证号：</w:t>
            </w:r>
            <w:r>
              <w:rPr>
                <w:rFonts w:hint="eastAsia"/>
              </w:rPr>
              <w:t>PD20212472</w:t>
            </w:r>
          </w:p>
        </w:tc>
      </w:tr>
      <w:tr w14:paraId="668DCF64">
        <w:tblPrEx>
          <w:tblCellMar>
            <w:top w:w="0" w:type="dxa"/>
            <w:left w:w="0" w:type="dxa"/>
            <w:bottom w:w="0" w:type="dxa"/>
            <w:right w:w="0" w:type="dxa"/>
          </w:tblCellMar>
        </w:tblPrEx>
        <w:trPr>
          <w:wBefore w:w="0" w:type="auto"/>
          <w:tblCellSpacing w:w="0" w:type="dxa"/>
        </w:trPr>
        <w:tc>
          <w:tcPr>
            <w:tcW w:w="0" w:type="auto"/>
            <w:noWrap w:val="0"/>
            <w:vAlign w:val="center"/>
          </w:tcPr>
          <w:p w14:paraId="2B36EE9D">
            <w:r>
              <w:rPr>
                <w:rStyle w:val="10"/>
                <w:rFonts w:hint="eastAsia"/>
              </w:rPr>
              <w:t>登记证持有人：</w:t>
            </w:r>
            <w:r>
              <w:rPr>
                <w:rFonts w:hint="eastAsia"/>
              </w:rPr>
              <w:t>韩农（黑龙江）化工有限公司</w:t>
            </w:r>
          </w:p>
        </w:tc>
      </w:tr>
      <w:tr w14:paraId="43614148">
        <w:tblPrEx>
          <w:tblCellMar>
            <w:top w:w="0" w:type="dxa"/>
            <w:left w:w="0" w:type="dxa"/>
            <w:bottom w:w="0" w:type="dxa"/>
            <w:right w:w="0" w:type="dxa"/>
          </w:tblCellMar>
        </w:tblPrEx>
        <w:trPr>
          <w:wBefore w:w="0" w:type="auto"/>
          <w:tblCellSpacing w:w="0" w:type="dxa"/>
        </w:trPr>
        <w:tc>
          <w:tcPr>
            <w:tcW w:w="0" w:type="auto"/>
            <w:noWrap w:val="0"/>
            <w:vAlign w:val="center"/>
          </w:tcPr>
          <w:p w14:paraId="5AC9F265">
            <w:r>
              <w:rPr>
                <w:rStyle w:val="10"/>
                <w:rFonts w:hint="eastAsia"/>
              </w:rPr>
              <w:t>农药名称：</w:t>
            </w:r>
            <w:r>
              <w:rPr>
                <w:rFonts w:hint="eastAsia"/>
              </w:rPr>
              <w:t>乙·嗪·滴辛酯</w:t>
            </w:r>
          </w:p>
        </w:tc>
      </w:tr>
      <w:tr w14:paraId="63589965">
        <w:tblPrEx>
          <w:tblCellMar>
            <w:top w:w="0" w:type="dxa"/>
            <w:left w:w="0" w:type="dxa"/>
            <w:bottom w:w="0" w:type="dxa"/>
            <w:right w:w="0" w:type="dxa"/>
          </w:tblCellMar>
        </w:tblPrEx>
        <w:trPr>
          <w:wBefore w:w="0" w:type="auto"/>
          <w:tblCellSpacing w:w="0" w:type="dxa"/>
        </w:trPr>
        <w:tc>
          <w:tcPr>
            <w:tcW w:w="0" w:type="auto"/>
            <w:noWrap w:val="0"/>
            <w:vAlign w:val="center"/>
          </w:tcPr>
          <w:p w14:paraId="722A8C30">
            <w:r>
              <w:rPr>
                <w:rStyle w:val="10"/>
                <w:rFonts w:hint="eastAsia"/>
              </w:rPr>
              <w:t>剂型：</w:t>
            </w:r>
            <w:r>
              <w:rPr>
                <w:rFonts w:hint="eastAsia"/>
              </w:rPr>
              <w:t>乳油</w:t>
            </w:r>
          </w:p>
        </w:tc>
      </w:tr>
      <w:tr w14:paraId="5E3078C8">
        <w:tblPrEx>
          <w:tblCellMar>
            <w:top w:w="0" w:type="dxa"/>
            <w:left w:w="0" w:type="dxa"/>
            <w:bottom w:w="0" w:type="dxa"/>
            <w:right w:w="0" w:type="dxa"/>
          </w:tblCellMar>
        </w:tblPrEx>
        <w:trPr>
          <w:wBefore w:w="0" w:type="auto"/>
          <w:tblCellSpacing w:w="0" w:type="dxa"/>
        </w:trPr>
        <w:tc>
          <w:tcPr>
            <w:tcW w:w="0" w:type="auto"/>
            <w:noWrap w:val="0"/>
            <w:vAlign w:val="center"/>
          </w:tcPr>
          <w:p w14:paraId="3A16FFF4">
            <w:r>
              <w:rPr>
                <w:rStyle w:val="10"/>
                <w:rFonts w:hint="eastAsia"/>
              </w:rPr>
              <w:t>毒性及其标识：</w:t>
            </w:r>
            <w:r>
              <w:rPr>
                <w:rFonts w:hint="eastAsia"/>
              </w:rPr>
              <w:t xml:space="preserve"> </w:t>
            </w:r>
            <w:r>
              <w:rPr>
                <w:lang/>
              </w:rPr>
              <w:drawing>
                <wp:inline distT="0" distB="0" distL="114300" distR="114300">
                  <wp:extent cx="476250" cy="323850"/>
                  <wp:effectExtent l="0" t="0" r="0" b="0"/>
                  <wp:docPr id="255" name="图片 2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00CCCB6">
        <w:tblPrEx>
          <w:tblCellMar>
            <w:top w:w="0" w:type="dxa"/>
            <w:left w:w="0" w:type="dxa"/>
            <w:bottom w:w="0" w:type="dxa"/>
            <w:right w:w="0" w:type="dxa"/>
          </w:tblCellMar>
        </w:tblPrEx>
        <w:trPr>
          <w:wBefore w:w="0" w:type="auto"/>
          <w:tblCellSpacing w:w="0" w:type="dxa"/>
        </w:trPr>
        <w:tc>
          <w:tcPr>
            <w:tcW w:w="0" w:type="auto"/>
            <w:noWrap w:val="0"/>
            <w:vAlign w:val="center"/>
          </w:tcPr>
          <w:p w14:paraId="0373812D">
            <w:r>
              <w:rPr>
                <w:rStyle w:val="10"/>
                <w:rFonts w:hint="eastAsia"/>
              </w:rPr>
              <w:t>总有效成分含量：</w:t>
            </w:r>
            <w:r>
              <w:rPr>
                <w:rFonts w:hint="eastAsia"/>
              </w:rPr>
              <w:t>82%</w:t>
            </w:r>
          </w:p>
        </w:tc>
      </w:tr>
      <w:tr w14:paraId="34631FAE">
        <w:tblPrEx>
          <w:tblCellMar>
            <w:top w:w="0" w:type="dxa"/>
            <w:left w:w="0" w:type="dxa"/>
            <w:bottom w:w="0" w:type="dxa"/>
            <w:right w:w="0" w:type="dxa"/>
          </w:tblCellMar>
        </w:tblPrEx>
        <w:trPr>
          <w:wBefore w:w="0" w:type="auto"/>
          <w:tblCellSpacing w:w="0" w:type="dxa"/>
        </w:trPr>
        <w:tc>
          <w:tcPr>
            <w:tcW w:w="0" w:type="auto"/>
            <w:noWrap w:val="0"/>
            <w:vAlign w:val="center"/>
          </w:tcPr>
          <w:p w14:paraId="2BF8E490">
            <w:r>
              <w:rPr>
                <w:rFonts w:hint="eastAsia"/>
              </w:rPr>
              <w:t xml:space="preserve">有效成分及其含量： </w:t>
            </w:r>
          </w:p>
          <w:p w14:paraId="6E82C516">
            <w:r>
              <w:rPr>
                <w:rFonts w:hint="eastAsia"/>
              </w:rPr>
              <w:t xml:space="preserve">    乙草胺55.3%    嗪草酮6.5%    2,4-滴异辛酯20.2%    </w:t>
            </w:r>
          </w:p>
        </w:tc>
      </w:tr>
      <w:tr w14:paraId="4FCF7808">
        <w:tblPrEx>
          <w:tblCellMar>
            <w:top w:w="0" w:type="dxa"/>
            <w:left w:w="0" w:type="dxa"/>
            <w:bottom w:w="0" w:type="dxa"/>
            <w:right w:w="0" w:type="dxa"/>
          </w:tblCellMar>
        </w:tblPrEx>
        <w:trPr>
          <w:wBefore w:w="0" w:type="auto"/>
          <w:tblCellSpacing w:w="0" w:type="dxa"/>
        </w:trPr>
        <w:tc>
          <w:tcPr>
            <w:tcW w:w="0" w:type="auto"/>
            <w:noWrap w:val="0"/>
            <w:vAlign w:val="center"/>
          </w:tcPr>
          <w:p w14:paraId="1FC1B6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6867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834D5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442F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163F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61C81A">
                  <w:r>
                    <w:rPr>
                      <w:rStyle w:val="11"/>
                      <w:rFonts w:hint="eastAsia"/>
                    </w:rPr>
                    <w:t>施用方式</w:t>
                  </w:r>
                </w:p>
              </w:tc>
            </w:tr>
            <w:tr w14:paraId="1A63A1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05A046">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09FA6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66671">
                  <w:r>
                    <w:rPr>
                      <w:rStyle w:val="11"/>
                      <w:rFonts w:hint="eastAsia"/>
                    </w:rPr>
                    <w:t>140-180毫升/亩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E4004E">
                  <w:r>
                    <w:rPr>
                      <w:rStyle w:val="11"/>
                      <w:rFonts w:hint="eastAsia"/>
                    </w:rPr>
                    <w:t>土壤喷雾</w:t>
                  </w:r>
                </w:p>
              </w:tc>
            </w:tr>
          </w:tbl>
          <w:p w14:paraId="1438036A">
            <w:pPr>
              <w:rPr>
                <w:rFonts w:ascii="Times New Roman" w:hAnsi="Times New Roman" w:cs="Times New Roman"/>
                <w:sz w:val="20"/>
                <w:szCs w:val="20"/>
              </w:rPr>
            </w:pPr>
          </w:p>
        </w:tc>
      </w:tr>
      <w:tr w14:paraId="3D924233">
        <w:tblPrEx>
          <w:tblCellMar>
            <w:top w:w="0" w:type="dxa"/>
            <w:left w:w="0" w:type="dxa"/>
            <w:bottom w:w="0" w:type="dxa"/>
            <w:right w:w="0" w:type="dxa"/>
          </w:tblCellMar>
        </w:tblPrEx>
        <w:trPr>
          <w:wBefore w:w="0" w:type="auto"/>
          <w:tblCellSpacing w:w="0" w:type="dxa"/>
        </w:trPr>
        <w:tc>
          <w:tcPr>
            <w:tcW w:w="0" w:type="auto"/>
            <w:noWrap w:val="0"/>
            <w:vAlign w:val="center"/>
          </w:tcPr>
          <w:p w14:paraId="250D84CC">
            <w:r>
              <w:rPr>
                <w:rStyle w:val="10"/>
                <w:rFonts w:hint="eastAsia"/>
              </w:rPr>
              <w:t>使用技术要求:</w:t>
            </w:r>
            <w:r>
              <w:rPr>
                <w:rFonts w:hint="eastAsia"/>
              </w:rPr>
              <w:br w:type="textWrapping"/>
            </w:r>
            <w:r>
              <w:rPr>
                <w:rStyle w:val="11"/>
                <w:rFonts w:hint="eastAsia"/>
              </w:rPr>
              <w:t>1）于春玉米播后苗前土壤喷雾处理，每亩用药量兑水30～50公斤。2）本品为土壤处理剂，必须在杂草出土前施药，为保证安全，作物拱土前两天停止用药。 3）本品每季作物最多使用一次。嗪草酮土壤残效期较长，注意合理安排后茬作物，保证安全间隔期。</w:t>
            </w:r>
          </w:p>
        </w:tc>
      </w:tr>
      <w:tr w14:paraId="7C864719">
        <w:tblPrEx>
          <w:tblCellMar>
            <w:top w:w="0" w:type="dxa"/>
            <w:left w:w="0" w:type="dxa"/>
            <w:bottom w:w="0" w:type="dxa"/>
            <w:right w:w="0" w:type="dxa"/>
          </w:tblCellMar>
        </w:tblPrEx>
        <w:trPr>
          <w:wBefore w:w="0" w:type="auto"/>
          <w:tblCellSpacing w:w="0" w:type="dxa"/>
        </w:trPr>
        <w:tc>
          <w:tcPr>
            <w:tcW w:w="0" w:type="auto"/>
            <w:noWrap w:val="0"/>
            <w:vAlign w:val="center"/>
          </w:tcPr>
          <w:p w14:paraId="737B663C">
            <w:r>
              <w:rPr>
                <w:rStyle w:val="10"/>
                <w:rFonts w:hint="eastAsia"/>
              </w:rPr>
              <w:t>产品性能:</w:t>
            </w:r>
            <w:r>
              <w:rPr>
                <w:rFonts w:hint="eastAsia"/>
              </w:rPr>
              <w:br w:type="textWrapping"/>
            </w:r>
            <w:r>
              <w:rPr>
                <w:rStyle w:val="11"/>
                <w:rFonts w:hint="eastAsia"/>
              </w:rPr>
              <w:t>本品为春玉米田苗前除草剂，由2,4-滴异辛酯、嗪草酮和乙草胺三元混配而成，主要用于土壤喷雾处理，有效成分在植物体内干扰核酸代谢及蛋白质合成，使幼根、幼芽停止生长，能有效防除稗草、狗尾草、野燕麦、看麦娘、马唐、早熟禾、牛筋草、藜、蓼、苋、龙葵、马齿苋、繁缕、香薷、鬼针草、水棘针、苍耳、鸭跖草、风花菜、猪毛菜、律草、苣荬菜、问荆、小蓟、地肤、肠草、萹蓄、茼麻等多种一年生杂草。对玉米安全。</w:t>
            </w:r>
          </w:p>
        </w:tc>
      </w:tr>
      <w:tr w14:paraId="424A197B">
        <w:tblPrEx>
          <w:tblCellMar>
            <w:top w:w="0" w:type="dxa"/>
            <w:left w:w="0" w:type="dxa"/>
            <w:bottom w:w="0" w:type="dxa"/>
            <w:right w:w="0" w:type="dxa"/>
          </w:tblCellMar>
        </w:tblPrEx>
        <w:trPr>
          <w:wBefore w:w="0" w:type="auto"/>
          <w:tblCellSpacing w:w="0" w:type="dxa"/>
        </w:trPr>
        <w:tc>
          <w:tcPr>
            <w:tcW w:w="0" w:type="auto"/>
            <w:noWrap w:val="0"/>
            <w:vAlign w:val="center"/>
          </w:tcPr>
          <w:p w14:paraId="0C2F71D0">
            <w:r>
              <w:rPr>
                <w:rStyle w:val="10"/>
                <w:rFonts w:hint="eastAsia"/>
              </w:rPr>
              <w:t>注意事项：</w:t>
            </w:r>
            <w:r>
              <w:rPr>
                <w:rFonts w:hint="eastAsia"/>
              </w:rPr>
              <w:br w:type="textWrapping"/>
            </w:r>
            <w:r>
              <w:rPr>
                <w:rStyle w:val="11"/>
                <w:rFonts w:hint="eastAsia"/>
              </w:rPr>
              <w:t>1）本品不可与呈碱性的农药等物质混和使用，以免降低除草效果。在专业植保人员的指导下施药，不能随意增加施药量。2）甜玉米、爆裂型玉米禁用。精细整地、保持土壤湿润、施药后浅混土2～3厘米、镇压，有利于提高药效。土壤有机质含量高、土质粘重、土壤干旱，宜采用较高药量；有机质含量低、沙质土壤、土壤墒情好宜用较低药量。3）该药挥发性强，施药作物田要与敏感作物如棉花、油菜、瓜类、向日葵有一定距离。4）严格按照推荐剂量，采用标准喷雾器施药。使用时注意风向，应在上风口施药，在无风或微风（风力不大于2级）、气温15～28℃的晴天压低喷头减压均匀喷雾。施药后遇大雨，地面有明水易产生药害。5）使用本品时要注意防护，穿戴长衣、长裤、帽子、口罩、手套等安全防护措施。避免吸入药液。施药期间不可吃东西、喝水和吸烟。施药后应及时用肥皂洗手、洗脸和清洗防护用具。6）每次施药时间最好控制在 4 h 以内。施用人员定期检查、维护和保养施药器械，避免施药器械的故障或药液箱漏液。地下水、饮用水水源地附近禁用；施药时远离水产养殖区、河塘等水体。禁止在河塘等水体内清洗施药器具或将清洗施药器具的废水倒入河流、池塘等水体。7）赤眼蜂等天敌放飞区禁用，鸟类保护期附近禁用，蚕室及桑园附近禁用。8）用过的容器或包装物应妥善处理，不可做他用，也不可随意丢弃。9）避免孕妇及哺乳期妇女接触本品。</w:t>
            </w:r>
          </w:p>
        </w:tc>
      </w:tr>
      <w:tr w14:paraId="22EE4193">
        <w:tblPrEx>
          <w:tblCellMar>
            <w:top w:w="0" w:type="dxa"/>
            <w:left w:w="0" w:type="dxa"/>
            <w:bottom w:w="0" w:type="dxa"/>
            <w:right w:w="0" w:type="dxa"/>
          </w:tblCellMar>
        </w:tblPrEx>
        <w:trPr>
          <w:wBefore w:w="0" w:type="auto"/>
          <w:tblCellSpacing w:w="0" w:type="dxa"/>
        </w:trPr>
        <w:tc>
          <w:tcPr>
            <w:tcW w:w="0" w:type="auto"/>
            <w:noWrap w:val="0"/>
            <w:vAlign w:val="center"/>
          </w:tcPr>
          <w:p w14:paraId="569141A8">
            <w:r>
              <w:rPr>
                <w:rStyle w:val="10"/>
                <w:rFonts w:hint="eastAsia"/>
              </w:rPr>
              <w:t>中毒急救措施：</w:t>
            </w:r>
            <w:r>
              <w:rPr>
                <w:rFonts w:hint="eastAsia"/>
              </w:rPr>
              <w:br w:type="textWrapping"/>
            </w:r>
            <w:r>
              <w:rPr>
                <w:rStyle w:val="11"/>
                <w:rFonts w:hint="eastAsia"/>
              </w:rPr>
              <w:t>中毒症状：对眼睛有刺激性，使用时避免接触眼睛，对呼吸道有中度刺激作用，有轻微的呕吐与腹泻。消化道症状，严重时对肝、肾损伤。急救措施：溅入眼睛中，用大量水清洗眼睛15分钟；接触皮肤，可用清水和肥皂彻底洗净。如吸入，应立即将病人移到通风处；若勿服，在病人清醒状态下，可用吐根糖浆诱吐，尚无特效解毒剂。</w:t>
            </w:r>
          </w:p>
        </w:tc>
      </w:tr>
      <w:tr w14:paraId="098FD448">
        <w:tblPrEx>
          <w:tblCellMar>
            <w:top w:w="0" w:type="dxa"/>
            <w:left w:w="0" w:type="dxa"/>
            <w:bottom w:w="0" w:type="dxa"/>
            <w:right w:w="0" w:type="dxa"/>
          </w:tblCellMar>
        </w:tblPrEx>
        <w:trPr>
          <w:wBefore w:w="0" w:type="auto"/>
          <w:tblCellSpacing w:w="0" w:type="dxa"/>
        </w:trPr>
        <w:tc>
          <w:tcPr>
            <w:tcW w:w="0" w:type="auto"/>
            <w:noWrap w:val="0"/>
            <w:vAlign w:val="center"/>
          </w:tcPr>
          <w:p w14:paraId="086A2464">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2FECFF16">
        <w:tblPrEx>
          <w:tblCellMar>
            <w:top w:w="0" w:type="dxa"/>
            <w:left w:w="0" w:type="dxa"/>
            <w:bottom w:w="0" w:type="dxa"/>
            <w:right w:w="0" w:type="dxa"/>
          </w:tblCellMar>
        </w:tblPrEx>
        <w:trPr>
          <w:wBefore w:w="0" w:type="auto"/>
          <w:tblCellSpacing w:w="0" w:type="dxa"/>
        </w:trPr>
        <w:tc>
          <w:tcPr>
            <w:tcW w:w="0" w:type="auto"/>
            <w:noWrap w:val="0"/>
            <w:vAlign w:val="center"/>
          </w:tcPr>
          <w:p w14:paraId="3AABEEAA">
            <w:r>
              <w:rPr>
                <w:rStyle w:val="10"/>
                <w:rFonts w:hint="eastAsia"/>
              </w:rPr>
              <w:t>质量保证期：</w:t>
            </w:r>
            <w:r>
              <w:rPr>
                <w:rStyle w:val="11"/>
                <w:rFonts w:hint="eastAsia"/>
              </w:rPr>
              <w:t>2年</w:t>
            </w:r>
          </w:p>
        </w:tc>
      </w:tr>
      <w:tr w14:paraId="50D1D894">
        <w:tblPrEx>
          <w:tblCellMar>
            <w:top w:w="0" w:type="dxa"/>
            <w:left w:w="0" w:type="dxa"/>
            <w:bottom w:w="0" w:type="dxa"/>
            <w:right w:w="0" w:type="dxa"/>
          </w:tblCellMar>
        </w:tblPrEx>
        <w:trPr>
          <w:wBefore w:w="0" w:type="auto"/>
          <w:tblCellSpacing w:w="0" w:type="dxa"/>
        </w:trPr>
        <w:tc>
          <w:tcPr>
            <w:tcW w:w="0" w:type="auto"/>
            <w:noWrap w:val="0"/>
            <w:vAlign w:val="center"/>
          </w:tcPr>
          <w:p w14:paraId="11E7C39D">
            <w:r>
              <w:rPr>
                <w:rStyle w:val="10"/>
                <w:rFonts w:hint="eastAsia"/>
              </w:rPr>
              <w:t>备注：</w:t>
            </w:r>
          </w:p>
        </w:tc>
      </w:tr>
    </w:tbl>
    <w:p w14:paraId="257CB8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228B93">
        <w:tblPrEx>
          <w:tblCellMar>
            <w:top w:w="0" w:type="dxa"/>
            <w:left w:w="0" w:type="dxa"/>
            <w:bottom w:w="0" w:type="dxa"/>
            <w:right w:w="0" w:type="dxa"/>
          </w:tblCellMar>
        </w:tblPrEx>
        <w:trPr>
          <w:wBefore w:w="0" w:type="auto"/>
          <w:tblCellSpacing w:w="0" w:type="dxa"/>
        </w:trPr>
        <w:tc>
          <w:tcPr>
            <w:tcW w:w="0" w:type="auto"/>
            <w:noWrap w:val="0"/>
            <w:vAlign w:val="center"/>
          </w:tcPr>
          <w:p w14:paraId="1C8EB470">
            <w:r>
              <w:rPr>
                <w:rStyle w:val="10"/>
                <w:rFonts w:hint="eastAsia"/>
              </w:rPr>
              <w:t>登记证号：</w:t>
            </w:r>
            <w:r>
              <w:rPr>
                <w:rFonts w:hint="eastAsia"/>
              </w:rPr>
              <w:t>PD20212509</w:t>
            </w:r>
          </w:p>
        </w:tc>
      </w:tr>
      <w:tr w14:paraId="519F0347">
        <w:tblPrEx>
          <w:tblCellMar>
            <w:top w:w="0" w:type="dxa"/>
            <w:left w:w="0" w:type="dxa"/>
            <w:bottom w:w="0" w:type="dxa"/>
            <w:right w:w="0" w:type="dxa"/>
          </w:tblCellMar>
        </w:tblPrEx>
        <w:trPr>
          <w:wBefore w:w="0" w:type="auto"/>
          <w:tblCellSpacing w:w="0" w:type="dxa"/>
        </w:trPr>
        <w:tc>
          <w:tcPr>
            <w:tcW w:w="0" w:type="auto"/>
            <w:noWrap w:val="0"/>
            <w:vAlign w:val="center"/>
          </w:tcPr>
          <w:p w14:paraId="7CF2B515">
            <w:r>
              <w:rPr>
                <w:rStyle w:val="10"/>
                <w:rFonts w:hint="eastAsia"/>
              </w:rPr>
              <w:t>登记证持有人：</w:t>
            </w:r>
            <w:r>
              <w:rPr>
                <w:rFonts w:hint="eastAsia"/>
              </w:rPr>
              <w:t>合肥星宇化学有限责任公司</w:t>
            </w:r>
          </w:p>
        </w:tc>
      </w:tr>
      <w:tr w14:paraId="013A51D4">
        <w:tblPrEx>
          <w:tblCellMar>
            <w:top w:w="0" w:type="dxa"/>
            <w:left w:w="0" w:type="dxa"/>
            <w:bottom w:w="0" w:type="dxa"/>
            <w:right w:w="0" w:type="dxa"/>
          </w:tblCellMar>
        </w:tblPrEx>
        <w:trPr>
          <w:wBefore w:w="0" w:type="auto"/>
          <w:tblCellSpacing w:w="0" w:type="dxa"/>
        </w:trPr>
        <w:tc>
          <w:tcPr>
            <w:tcW w:w="0" w:type="auto"/>
            <w:noWrap w:val="0"/>
            <w:vAlign w:val="center"/>
          </w:tcPr>
          <w:p w14:paraId="4F23D112">
            <w:r>
              <w:rPr>
                <w:rStyle w:val="10"/>
                <w:rFonts w:hint="eastAsia"/>
              </w:rPr>
              <w:t>农药名称：</w:t>
            </w:r>
            <w:r>
              <w:rPr>
                <w:rFonts w:hint="eastAsia"/>
              </w:rPr>
              <w:t>五氟·双草醚</w:t>
            </w:r>
          </w:p>
        </w:tc>
      </w:tr>
      <w:tr w14:paraId="496A1986">
        <w:tblPrEx>
          <w:tblCellMar>
            <w:top w:w="0" w:type="dxa"/>
            <w:left w:w="0" w:type="dxa"/>
            <w:bottom w:w="0" w:type="dxa"/>
            <w:right w:w="0" w:type="dxa"/>
          </w:tblCellMar>
        </w:tblPrEx>
        <w:trPr>
          <w:wBefore w:w="0" w:type="auto"/>
          <w:tblCellSpacing w:w="0" w:type="dxa"/>
        </w:trPr>
        <w:tc>
          <w:tcPr>
            <w:tcW w:w="0" w:type="auto"/>
            <w:noWrap w:val="0"/>
            <w:vAlign w:val="center"/>
          </w:tcPr>
          <w:p w14:paraId="34B1A388">
            <w:r>
              <w:rPr>
                <w:rStyle w:val="10"/>
                <w:rFonts w:hint="eastAsia"/>
              </w:rPr>
              <w:t>剂型：</w:t>
            </w:r>
            <w:r>
              <w:rPr>
                <w:rFonts w:hint="eastAsia"/>
              </w:rPr>
              <w:t>颗粒剂</w:t>
            </w:r>
          </w:p>
        </w:tc>
      </w:tr>
      <w:tr w14:paraId="1B608FCB">
        <w:tblPrEx>
          <w:tblCellMar>
            <w:top w:w="0" w:type="dxa"/>
            <w:left w:w="0" w:type="dxa"/>
            <w:bottom w:w="0" w:type="dxa"/>
            <w:right w:w="0" w:type="dxa"/>
          </w:tblCellMar>
        </w:tblPrEx>
        <w:trPr>
          <w:wBefore w:w="0" w:type="auto"/>
          <w:tblCellSpacing w:w="0" w:type="dxa"/>
        </w:trPr>
        <w:tc>
          <w:tcPr>
            <w:tcW w:w="0" w:type="auto"/>
            <w:noWrap w:val="0"/>
            <w:vAlign w:val="center"/>
          </w:tcPr>
          <w:p w14:paraId="6E87D9B6">
            <w:r>
              <w:rPr>
                <w:rStyle w:val="10"/>
                <w:rFonts w:hint="eastAsia"/>
              </w:rPr>
              <w:t>毒性及其标识：</w:t>
            </w:r>
            <w:r>
              <w:rPr>
                <w:rFonts w:hint="eastAsia"/>
              </w:rPr>
              <w:t xml:space="preserve"> </w:t>
            </w:r>
            <w:r>
              <w:rPr>
                <w:lang/>
              </w:rPr>
              <w:drawing>
                <wp:inline distT="0" distB="0" distL="114300" distR="114300">
                  <wp:extent cx="476250" cy="323850"/>
                  <wp:effectExtent l="0" t="0" r="0" b="0"/>
                  <wp:docPr id="256" name="图片 2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0166DE">
        <w:tblPrEx>
          <w:tblCellMar>
            <w:top w:w="0" w:type="dxa"/>
            <w:left w:w="0" w:type="dxa"/>
            <w:bottom w:w="0" w:type="dxa"/>
            <w:right w:w="0" w:type="dxa"/>
          </w:tblCellMar>
        </w:tblPrEx>
        <w:trPr>
          <w:wBefore w:w="0" w:type="auto"/>
          <w:tblCellSpacing w:w="0" w:type="dxa"/>
        </w:trPr>
        <w:tc>
          <w:tcPr>
            <w:tcW w:w="0" w:type="auto"/>
            <w:noWrap w:val="0"/>
            <w:vAlign w:val="center"/>
          </w:tcPr>
          <w:p w14:paraId="20E557A5">
            <w:r>
              <w:rPr>
                <w:rStyle w:val="10"/>
                <w:rFonts w:hint="eastAsia"/>
              </w:rPr>
              <w:t>总有效成分含量：</w:t>
            </w:r>
            <w:r>
              <w:rPr>
                <w:rFonts w:hint="eastAsia"/>
              </w:rPr>
              <w:t>0.06%</w:t>
            </w:r>
          </w:p>
        </w:tc>
      </w:tr>
      <w:tr w14:paraId="34EEEF56">
        <w:tblPrEx>
          <w:tblCellMar>
            <w:top w:w="0" w:type="dxa"/>
            <w:left w:w="0" w:type="dxa"/>
            <w:bottom w:w="0" w:type="dxa"/>
            <w:right w:w="0" w:type="dxa"/>
          </w:tblCellMar>
        </w:tblPrEx>
        <w:trPr>
          <w:wBefore w:w="0" w:type="auto"/>
          <w:tblCellSpacing w:w="0" w:type="dxa"/>
        </w:trPr>
        <w:tc>
          <w:tcPr>
            <w:tcW w:w="0" w:type="auto"/>
            <w:noWrap w:val="0"/>
            <w:vAlign w:val="center"/>
          </w:tcPr>
          <w:p w14:paraId="747E6A03">
            <w:r>
              <w:rPr>
                <w:rFonts w:hint="eastAsia"/>
              </w:rPr>
              <w:t xml:space="preserve">有效成分及其含量： </w:t>
            </w:r>
          </w:p>
          <w:p w14:paraId="59759A42">
            <w:r>
              <w:rPr>
                <w:rFonts w:hint="eastAsia"/>
              </w:rPr>
              <w:t xml:space="preserve">    双草醚0.03%    五氟磺草胺0.03%    </w:t>
            </w:r>
          </w:p>
        </w:tc>
      </w:tr>
      <w:tr w14:paraId="25E2F500">
        <w:tblPrEx>
          <w:tblCellMar>
            <w:top w:w="0" w:type="dxa"/>
            <w:left w:w="0" w:type="dxa"/>
            <w:bottom w:w="0" w:type="dxa"/>
            <w:right w:w="0" w:type="dxa"/>
          </w:tblCellMar>
        </w:tblPrEx>
        <w:trPr>
          <w:wBefore w:w="0" w:type="auto"/>
          <w:tblCellSpacing w:w="0" w:type="dxa"/>
        </w:trPr>
        <w:tc>
          <w:tcPr>
            <w:tcW w:w="0" w:type="auto"/>
            <w:noWrap w:val="0"/>
            <w:vAlign w:val="center"/>
          </w:tcPr>
          <w:p w14:paraId="0EEDF5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BBDD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0E18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9ECD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7D92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F4BC17">
                  <w:r>
                    <w:rPr>
                      <w:rStyle w:val="11"/>
                      <w:rFonts w:hint="eastAsia"/>
                    </w:rPr>
                    <w:t>施用方式</w:t>
                  </w:r>
                </w:p>
              </w:tc>
            </w:tr>
            <w:tr w14:paraId="0BE97C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B6080F">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84706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198B21">
                  <w:r>
                    <w:rPr>
                      <w:rStyle w:val="11"/>
                      <w:rFonts w:hint="eastAsia"/>
                    </w:rPr>
                    <w:t>7-8千克/亩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025DB1">
                  <w:r>
                    <w:rPr>
                      <w:rStyle w:val="11"/>
                      <w:rFonts w:hint="eastAsia"/>
                    </w:rPr>
                    <w:t>撒施</w:t>
                  </w:r>
                </w:p>
              </w:tc>
            </w:tr>
          </w:tbl>
          <w:p w14:paraId="6AE808E1">
            <w:pPr>
              <w:rPr>
                <w:rFonts w:ascii="Times New Roman" w:hAnsi="Times New Roman" w:cs="Times New Roman"/>
                <w:sz w:val="20"/>
                <w:szCs w:val="20"/>
              </w:rPr>
            </w:pPr>
          </w:p>
        </w:tc>
      </w:tr>
      <w:tr w14:paraId="41CD2243">
        <w:tblPrEx>
          <w:tblCellMar>
            <w:top w:w="0" w:type="dxa"/>
            <w:left w:w="0" w:type="dxa"/>
            <w:bottom w:w="0" w:type="dxa"/>
            <w:right w:w="0" w:type="dxa"/>
          </w:tblCellMar>
        </w:tblPrEx>
        <w:trPr>
          <w:wBefore w:w="0" w:type="auto"/>
          <w:tblCellSpacing w:w="0" w:type="dxa"/>
        </w:trPr>
        <w:tc>
          <w:tcPr>
            <w:tcW w:w="0" w:type="auto"/>
            <w:noWrap w:val="0"/>
            <w:vAlign w:val="center"/>
          </w:tcPr>
          <w:p w14:paraId="0834D69A">
            <w:r>
              <w:rPr>
                <w:rStyle w:val="10"/>
                <w:rFonts w:hint="eastAsia"/>
              </w:rPr>
              <w:t>使用技术要求:</w:t>
            </w:r>
            <w:r>
              <w:rPr>
                <w:rFonts w:hint="eastAsia"/>
              </w:rPr>
              <w:br w:type="textWrapping"/>
            </w:r>
            <w:r>
              <w:rPr>
                <w:rStyle w:val="11"/>
                <w:rFonts w:hint="eastAsia"/>
              </w:rPr>
              <w:t>1、在直播稻3-5叶期，杂草2-5叶期撒施用药一次。2、施药时田间保持水层3-5厘米，并保水3-7天。3、水层勿淹没水稻心叶避免药害。4、每年最多使用1次。制剂用药量7-8千克/亩。5、勿超剂量使用，水层勿淹没水稻心叶以避免药害。</w:t>
            </w:r>
          </w:p>
        </w:tc>
      </w:tr>
      <w:tr w14:paraId="5345DF1F">
        <w:tblPrEx>
          <w:tblCellMar>
            <w:top w:w="0" w:type="dxa"/>
            <w:left w:w="0" w:type="dxa"/>
            <w:bottom w:w="0" w:type="dxa"/>
            <w:right w:w="0" w:type="dxa"/>
          </w:tblCellMar>
        </w:tblPrEx>
        <w:trPr>
          <w:wBefore w:w="0" w:type="auto"/>
          <w:tblCellSpacing w:w="0" w:type="dxa"/>
        </w:trPr>
        <w:tc>
          <w:tcPr>
            <w:tcW w:w="0" w:type="auto"/>
            <w:noWrap w:val="0"/>
            <w:vAlign w:val="center"/>
          </w:tcPr>
          <w:p w14:paraId="2ECCAB17">
            <w:r>
              <w:rPr>
                <w:rStyle w:val="10"/>
                <w:rFonts w:hint="eastAsia"/>
              </w:rPr>
              <w:t>产品性能:</w:t>
            </w:r>
            <w:r>
              <w:rPr>
                <w:rFonts w:hint="eastAsia"/>
              </w:rPr>
              <w:br w:type="textWrapping"/>
            </w:r>
            <w:r>
              <w:rPr>
                <w:rStyle w:val="11"/>
                <w:rFonts w:hint="eastAsia"/>
              </w:rPr>
              <w:t>五氟磺草胺为三唑并嘧啶磺酰胺类除草剂，双草醚属于苯甲酸类除草剂，是高活性的乙酰乳酸合成酶（ALS）抑制剂类除草剂。二者混配可以有效防除水稻直播田稗草、千金子、陌上草、异型莎草、鸭舌草、草龙、碎米莎草、马唐、水花生、雨久花、狼把草、野耳叶水苋、鳢肠等一年生杂草。</w:t>
            </w:r>
          </w:p>
        </w:tc>
      </w:tr>
      <w:tr w14:paraId="00DC0AB6">
        <w:tblPrEx>
          <w:tblCellMar>
            <w:top w:w="0" w:type="dxa"/>
            <w:left w:w="0" w:type="dxa"/>
            <w:bottom w:w="0" w:type="dxa"/>
            <w:right w:w="0" w:type="dxa"/>
          </w:tblCellMar>
        </w:tblPrEx>
        <w:trPr>
          <w:wBefore w:w="0" w:type="auto"/>
          <w:tblCellSpacing w:w="0" w:type="dxa"/>
        </w:trPr>
        <w:tc>
          <w:tcPr>
            <w:tcW w:w="0" w:type="auto"/>
            <w:noWrap w:val="0"/>
            <w:vAlign w:val="center"/>
          </w:tcPr>
          <w:p w14:paraId="729831CC">
            <w:r>
              <w:rPr>
                <w:rStyle w:val="10"/>
                <w:rFonts w:hint="eastAsia"/>
              </w:rPr>
              <w:t>注意事项：</w:t>
            </w:r>
            <w:r>
              <w:rPr>
                <w:rFonts w:hint="eastAsia"/>
              </w:rPr>
              <w:br w:type="textWrapping"/>
            </w:r>
            <w:r>
              <w:rPr>
                <w:rStyle w:val="11"/>
                <w:rFonts w:hint="eastAsia"/>
              </w:rPr>
              <w:t>1、使用本品时应采取相应的安全防护措施，穿防护服，戴防护手套、口罩等，避免皮肤接触。使用中不可吸烟、饮水及吃东西，使用后及时清洗手、脸等暴露部位的皮肤并更换衣物。2. 用过的容器要妥善处理，不可作他用，也不可随意丢弃。3.本品对溞、藻类等水生生物毒性较高 远离水产养殖区、河塘等水体施药；禁止在河塘等水体中清洗施药器具，清洗器具的废水不能排入河流、池塘等水源，以免造成不必要的环境污染。4. 鱼或虾蟹套养稻田禁用，施药后的田水不得直接排入水体。 5.避免孕妇及哺乳期妇女接触本品。</w:t>
            </w:r>
          </w:p>
        </w:tc>
      </w:tr>
      <w:tr w14:paraId="49555236">
        <w:tblPrEx>
          <w:tblCellMar>
            <w:top w:w="0" w:type="dxa"/>
            <w:left w:w="0" w:type="dxa"/>
            <w:bottom w:w="0" w:type="dxa"/>
            <w:right w:w="0" w:type="dxa"/>
          </w:tblCellMar>
        </w:tblPrEx>
        <w:trPr>
          <w:wBefore w:w="0" w:type="auto"/>
          <w:tblCellSpacing w:w="0" w:type="dxa"/>
        </w:trPr>
        <w:tc>
          <w:tcPr>
            <w:tcW w:w="0" w:type="auto"/>
            <w:noWrap w:val="0"/>
            <w:vAlign w:val="center"/>
          </w:tcPr>
          <w:p w14:paraId="4ACC6A3F">
            <w:r>
              <w:rPr>
                <w:rStyle w:val="10"/>
                <w:rFonts w:hint="eastAsia"/>
              </w:rPr>
              <w:t>中毒急救措施：</w:t>
            </w:r>
            <w:r>
              <w:rPr>
                <w:rFonts w:hint="eastAsia"/>
              </w:rPr>
              <w:br w:type="textWrapping"/>
            </w:r>
            <w:r>
              <w:rPr>
                <w:rStyle w:val="11"/>
                <w:rFonts w:hint="eastAsia"/>
              </w:rPr>
              <w:t>对眼睛有刺激性，使用时避免接触眼睛。 1.眼睛溅入：立刻用大量清水冲洗15-20分钟，并携此标签去医院诊治。 2.皮肤接触：应脱去污染的衣物，用软布去除沾染农药，立即用大量清水和肥皂冲洗。 3.吸入：立即离开施药现场，转移到空气清新处。 4.误食：立即停止服用，用清水充分漱口后，立即携带农药标签到医院就诊。</w:t>
            </w:r>
          </w:p>
        </w:tc>
      </w:tr>
      <w:tr w14:paraId="2260C7C8">
        <w:tblPrEx>
          <w:tblCellMar>
            <w:top w:w="0" w:type="dxa"/>
            <w:left w:w="0" w:type="dxa"/>
            <w:bottom w:w="0" w:type="dxa"/>
            <w:right w:w="0" w:type="dxa"/>
          </w:tblCellMar>
        </w:tblPrEx>
        <w:trPr>
          <w:wBefore w:w="0" w:type="auto"/>
          <w:tblCellSpacing w:w="0" w:type="dxa"/>
        </w:trPr>
        <w:tc>
          <w:tcPr>
            <w:tcW w:w="0" w:type="auto"/>
            <w:noWrap w:val="0"/>
            <w:vAlign w:val="center"/>
          </w:tcPr>
          <w:p w14:paraId="5CA8239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饲料、粮食等混合同贮同运。本品在运输途中，严防日晒、雨淋，保持阴凉和通风，确保包装物完好无损。</w:t>
            </w:r>
          </w:p>
        </w:tc>
      </w:tr>
      <w:tr w14:paraId="27BCDF05">
        <w:tblPrEx>
          <w:tblCellMar>
            <w:top w:w="0" w:type="dxa"/>
            <w:left w:w="0" w:type="dxa"/>
            <w:bottom w:w="0" w:type="dxa"/>
            <w:right w:w="0" w:type="dxa"/>
          </w:tblCellMar>
        </w:tblPrEx>
        <w:trPr>
          <w:wBefore w:w="0" w:type="auto"/>
          <w:tblCellSpacing w:w="0" w:type="dxa"/>
        </w:trPr>
        <w:tc>
          <w:tcPr>
            <w:tcW w:w="0" w:type="auto"/>
            <w:noWrap w:val="0"/>
            <w:vAlign w:val="center"/>
          </w:tcPr>
          <w:p w14:paraId="00E3699D">
            <w:r>
              <w:rPr>
                <w:rStyle w:val="10"/>
                <w:rFonts w:hint="eastAsia"/>
              </w:rPr>
              <w:t>质量保证期：</w:t>
            </w:r>
            <w:r>
              <w:rPr>
                <w:rStyle w:val="11"/>
                <w:rFonts w:hint="eastAsia"/>
              </w:rPr>
              <w:t>2年</w:t>
            </w:r>
          </w:p>
        </w:tc>
      </w:tr>
      <w:tr w14:paraId="7A782289">
        <w:tblPrEx>
          <w:tblCellMar>
            <w:top w:w="0" w:type="dxa"/>
            <w:left w:w="0" w:type="dxa"/>
            <w:bottom w:w="0" w:type="dxa"/>
            <w:right w:w="0" w:type="dxa"/>
          </w:tblCellMar>
        </w:tblPrEx>
        <w:trPr>
          <w:wBefore w:w="0" w:type="auto"/>
          <w:tblCellSpacing w:w="0" w:type="dxa"/>
        </w:trPr>
        <w:tc>
          <w:tcPr>
            <w:tcW w:w="0" w:type="auto"/>
            <w:noWrap w:val="0"/>
            <w:vAlign w:val="center"/>
          </w:tcPr>
          <w:p w14:paraId="3BAAEB82">
            <w:r>
              <w:rPr>
                <w:rStyle w:val="10"/>
                <w:rFonts w:hint="eastAsia"/>
              </w:rPr>
              <w:t>备注：</w:t>
            </w:r>
          </w:p>
        </w:tc>
      </w:tr>
    </w:tbl>
    <w:p w14:paraId="4F61DA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B1B037">
        <w:tblPrEx>
          <w:tblCellMar>
            <w:top w:w="0" w:type="dxa"/>
            <w:left w:w="0" w:type="dxa"/>
            <w:bottom w:w="0" w:type="dxa"/>
            <w:right w:w="0" w:type="dxa"/>
          </w:tblCellMar>
        </w:tblPrEx>
        <w:trPr>
          <w:wBefore w:w="0" w:type="auto"/>
          <w:tblCellSpacing w:w="0" w:type="dxa"/>
        </w:trPr>
        <w:tc>
          <w:tcPr>
            <w:tcW w:w="0" w:type="auto"/>
            <w:noWrap w:val="0"/>
            <w:vAlign w:val="center"/>
          </w:tcPr>
          <w:p w14:paraId="7C9D546B">
            <w:r>
              <w:rPr>
                <w:rStyle w:val="10"/>
                <w:rFonts w:hint="eastAsia"/>
              </w:rPr>
              <w:t>登记证号：</w:t>
            </w:r>
            <w:r>
              <w:rPr>
                <w:rFonts w:hint="eastAsia"/>
              </w:rPr>
              <w:t>PD20212498</w:t>
            </w:r>
          </w:p>
        </w:tc>
      </w:tr>
      <w:tr w14:paraId="23C977E5">
        <w:tblPrEx>
          <w:tblCellMar>
            <w:top w:w="0" w:type="dxa"/>
            <w:left w:w="0" w:type="dxa"/>
            <w:bottom w:w="0" w:type="dxa"/>
            <w:right w:w="0" w:type="dxa"/>
          </w:tblCellMar>
        </w:tblPrEx>
        <w:trPr>
          <w:wBefore w:w="0" w:type="auto"/>
          <w:tblCellSpacing w:w="0" w:type="dxa"/>
        </w:trPr>
        <w:tc>
          <w:tcPr>
            <w:tcW w:w="0" w:type="auto"/>
            <w:noWrap w:val="0"/>
            <w:vAlign w:val="center"/>
          </w:tcPr>
          <w:p w14:paraId="03FE3793">
            <w:r>
              <w:rPr>
                <w:rStyle w:val="10"/>
                <w:rFonts w:hint="eastAsia"/>
              </w:rPr>
              <w:t>登记证持有人：</w:t>
            </w:r>
            <w:r>
              <w:rPr>
                <w:rFonts w:hint="eastAsia"/>
              </w:rPr>
              <w:t>天津博克百胜科技有限公司</w:t>
            </w:r>
          </w:p>
        </w:tc>
      </w:tr>
      <w:tr w14:paraId="4493348E">
        <w:tblPrEx>
          <w:tblCellMar>
            <w:top w:w="0" w:type="dxa"/>
            <w:left w:w="0" w:type="dxa"/>
            <w:bottom w:w="0" w:type="dxa"/>
            <w:right w:w="0" w:type="dxa"/>
          </w:tblCellMar>
        </w:tblPrEx>
        <w:trPr>
          <w:wBefore w:w="0" w:type="auto"/>
          <w:tblCellSpacing w:w="0" w:type="dxa"/>
        </w:trPr>
        <w:tc>
          <w:tcPr>
            <w:tcW w:w="0" w:type="auto"/>
            <w:noWrap w:val="0"/>
            <w:vAlign w:val="center"/>
          </w:tcPr>
          <w:p w14:paraId="1B5DA8E9">
            <w:r>
              <w:rPr>
                <w:rStyle w:val="10"/>
                <w:rFonts w:hint="eastAsia"/>
              </w:rPr>
              <w:t>农药名称：</w:t>
            </w:r>
            <w:r>
              <w:rPr>
                <w:rFonts w:hint="eastAsia"/>
              </w:rPr>
              <w:t>苯唑·莠去津</w:t>
            </w:r>
          </w:p>
        </w:tc>
      </w:tr>
      <w:tr w14:paraId="2F557941">
        <w:tblPrEx>
          <w:tblCellMar>
            <w:top w:w="0" w:type="dxa"/>
            <w:left w:w="0" w:type="dxa"/>
            <w:bottom w:w="0" w:type="dxa"/>
            <w:right w:w="0" w:type="dxa"/>
          </w:tblCellMar>
        </w:tblPrEx>
        <w:trPr>
          <w:wBefore w:w="0" w:type="auto"/>
          <w:tblCellSpacing w:w="0" w:type="dxa"/>
        </w:trPr>
        <w:tc>
          <w:tcPr>
            <w:tcW w:w="0" w:type="auto"/>
            <w:noWrap w:val="0"/>
            <w:vAlign w:val="center"/>
          </w:tcPr>
          <w:p w14:paraId="2F0BBD7E">
            <w:r>
              <w:rPr>
                <w:rStyle w:val="10"/>
                <w:rFonts w:hint="eastAsia"/>
              </w:rPr>
              <w:t>剂型：</w:t>
            </w:r>
            <w:r>
              <w:rPr>
                <w:rFonts w:hint="eastAsia"/>
              </w:rPr>
              <w:t>可分散油悬浮剂</w:t>
            </w:r>
          </w:p>
        </w:tc>
      </w:tr>
      <w:tr w14:paraId="784DA594">
        <w:tblPrEx>
          <w:tblCellMar>
            <w:top w:w="0" w:type="dxa"/>
            <w:left w:w="0" w:type="dxa"/>
            <w:bottom w:w="0" w:type="dxa"/>
            <w:right w:w="0" w:type="dxa"/>
          </w:tblCellMar>
        </w:tblPrEx>
        <w:trPr>
          <w:wBefore w:w="0" w:type="auto"/>
          <w:tblCellSpacing w:w="0" w:type="dxa"/>
        </w:trPr>
        <w:tc>
          <w:tcPr>
            <w:tcW w:w="0" w:type="auto"/>
            <w:noWrap w:val="0"/>
            <w:vAlign w:val="center"/>
          </w:tcPr>
          <w:p w14:paraId="2B1B2475">
            <w:r>
              <w:rPr>
                <w:rStyle w:val="10"/>
                <w:rFonts w:hint="eastAsia"/>
              </w:rPr>
              <w:t>毒性及其标识：</w:t>
            </w:r>
            <w:r>
              <w:rPr>
                <w:rFonts w:hint="eastAsia"/>
              </w:rPr>
              <w:t xml:space="preserve"> </w:t>
            </w:r>
            <w:r>
              <w:rPr>
                <w:lang/>
              </w:rPr>
              <w:drawing>
                <wp:inline distT="0" distB="0" distL="114300" distR="114300">
                  <wp:extent cx="476250" cy="323850"/>
                  <wp:effectExtent l="0" t="0" r="0" b="0"/>
                  <wp:docPr id="257" name="图片 2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78BAFD">
        <w:tblPrEx>
          <w:tblCellMar>
            <w:top w:w="0" w:type="dxa"/>
            <w:left w:w="0" w:type="dxa"/>
            <w:bottom w:w="0" w:type="dxa"/>
            <w:right w:w="0" w:type="dxa"/>
          </w:tblCellMar>
        </w:tblPrEx>
        <w:trPr>
          <w:wBefore w:w="0" w:type="auto"/>
          <w:tblCellSpacing w:w="0" w:type="dxa"/>
        </w:trPr>
        <w:tc>
          <w:tcPr>
            <w:tcW w:w="0" w:type="auto"/>
            <w:noWrap w:val="0"/>
            <w:vAlign w:val="center"/>
          </w:tcPr>
          <w:p w14:paraId="7CF6110C">
            <w:r>
              <w:rPr>
                <w:rStyle w:val="10"/>
                <w:rFonts w:hint="eastAsia"/>
              </w:rPr>
              <w:t>总有效成分含量：</w:t>
            </w:r>
            <w:r>
              <w:rPr>
                <w:rFonts w:hint="eastAsia"/>
              </w:rPr>
              <w:t>26%</w:t>
            </w:r>
          </w:p>
        </w:tc>
      </w:tr>
      <w:tr w14:paraId="26A8D4B9">
        <w:tblPrEx>
          <w:tblCellMar>
            <w:top w:w="0" w:type="dxa"/>
            <w:left w:w="0" w:type="dxa"/>
            <w:bottom w:w="0" w:type="dxa"/>
            <w:right w:w="0" w:type="dxa"/>
          </w:tblCellMar>
        </w:tblPrEx>
        <w:trPr>
          <w:wBefore w:w="0" w:type="auto"/>
          <w:tblCellSpacing w:w="0" w:type="dxa"/>
        </w:trPr>
        <w:tc>
          <w:tcPr>
            <w:tcW w:w="0" w:type="auto"/>
            <w:noWrap w:val="0"/>
            <w:vAlign w:val="center"/>
          </w:tcPr>
          <w:p w14:paraId="5EF9D769">
            <w:r>
              <w:rPr>
                <w:rFonts w:hint="eastAsia"/>
              </w:rPr>
              <w:t xml:space="preserve">有效成分及其含量： </w:t>
            </w:r>
          </w:p>
          <w:p w14:paraId="7092651F">
            <w:r>
              <w:rPr>
                <w:rFonts w:hint="eastAsia"/>
              </w:rPr>
              <w:t xml:space="preserve">    苯唑草酮1%    莠去津25%    </w:t>
            </w:r>
          </w:p>
        </w:tc>
      </w:tr>
      <w:tr w14:paraId="3C21003C">
        <w:tblPrEx>
          <w:tblCellMar>
            <w:top w:w="0" w:type="dxa"/>
            <w:left w:w="0" w:type="dxa"/>
            <w:bottom w:w="0" w:type="dxa"/>
            <w:right w:w="0" w:type="dxa"/>
          </w:tblCellMar>
        </w:tblPrEx>
        <w:trPr>
          <w:wBefore w:w="0" w:type="auto"/>
          <w:tblCellSpacing w:w="0" w:type="dxa"/>
        </w:trPr>
        <w:tc>
          <w:tcPr>
            <w:tcW w:w="0" w:type="auto"/>
            <w:noWrap w:val="0"/>
            <w:vAlign w:val="center"/>
          </w:tcPr>
          <w:p w14:paraId="64DAB8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1C42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C4CAE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4FB41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C8C66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641BBD">
                  <w:r>
                    <w:rPr>
                      <w:rStyle w:val="11"/>
                      <w:rFonts w:hint="eastAsia"/>
                    </w:rPr>
                    <w:t>施用方式</w:t>
                  </w:r>
                </w:p>
              </w:tc>
            </w:tr>
            <w:tr w14:paraId="563746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67239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6027B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34FC1E">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19A10C">
                  <w:r>
                    <w:rPr>
                      <w:rStyle w:val="11"/>
                      <w:rFonts w:hint="eastAsia"/>
                    </w:rPr>
                    <w:t>茎叶喷雾</w:t>
                  </w:r>
                </w:p>
              </w:tc>
            </w:tr>
          </w:tbl>
          <w:p w14:paraId="3C712CEE">
            <w:pPr>
              <w:rPr>
                <w:rFonts w:ascii="Times New Roman" w:hAnsi="Times New Roman" w:cs="Times New Roman"/>
                <w:sz w:val="20"/>
                <w:szCs w:val="20"/>
              </w:rPr>
            </w:pPr>
          </w:p>
        </w:tc>
      </w:tr>
      <w:tr w14:paraId="03283BE3">
        <w:tblPrEx>
          <w:tblCellMar>
            <w:top w:w="0" w:type="dxa"/>
            <w:left w:w="0" w:type="dxa"/>
            <w:bottom w:w="0" w:type="dxa"/>
            <w:right w:w="0" w:type="dxa"/>
          </w:tblCellMar>
        </w:tblPrEx>
        <w:trPr>
          <w:wBefore w:w="0" w:type="auto"/>
          <w:tblCellSpacing w:w="0" w:type="dxa"/>
        </w:trPr>
        <w:tc>
          <w:tcPr>
            <w:tcW w:w="0" w:type="auto"/>
            <w:noWrap w:val="0"/>
            <w:vAlign w:val="center"/>
          </w:tcPr>
          <w:p w14:paraId="5A156E8F">
            <w:r>
              <w:rPr>
                <w:rStyle w:val="10"/>
                <w:rFonts w:hint="eastAsia"/>
              </w:rPr>
              <w:t>使用技术要求:</w:t>
            </w:r>
            <w:r>
              <w:rPr>
                <w:rFonts w:hint="eastAsia"/>
              </w:rPr>
              <w:br w:type="textWrapping"/>
            </w:r>
            <w:r>
              <w:rPr>
                <w:rStyle w:val="11"/>
                <w:rFonts w:hint="eastAsia"/>
              </w:rPr>
              <w:t>1、在玉米3-5叶期、杂草2-5叶期茎叶喷雾施药一次，建议每亩兑水20-30公斤，均匀喷雾。2、施药应均匀周到，避免重喷，漏喷或超过推荐剂量用药。3、每季最多使用1次。4、低温和干旱的天气，杂草生长会变慢从而影响杂草对苯唑草酮的吸收，杂草死亡的时间会变长。</w:t>
            </w:r>
          </w:p>
        </w:tc>
      </w:tr>
      <w:tr w14:paraId="697A13E8">
        <w:tblPrEx>
          <w:tblCellMar>
            <w:top w:w="0" w:type="dxa"/>
            <w:left w:w="0" w:type="dxa"/>
            <w:bottom w:w="0" w:type="dxa"/>
            <w:right w:w="0" w:type="dxa"/>
          </w:tblCellMar>
        </w:tblPrEx>
        <w:trPr>
          <w:wBefore w:w="0" w:type="auto"/>
          <w:tblCellSpacing w:w="0" w:type="dxa"/>
        </w:trPr>
        <w:tc>
          <w:tcPr>
            <w:tcW w:w="0" w:type="auto"/>
            <w:noWrap w:val="0"/>
            <w:vAlign w:val="center"/>
          </w:tcPr>
          <w:p w14:paraId="4FECE236">
            <w:r>
              <w:rPr>
                <w:rStyle w:val="10"/>
                <w:rFonts w:hint="eastAsia"/>
              </w:rPr>
              <w:t>产品性能:</w:t>
            </w:r>
            <w:r>
              <w:rPr>
                <w:rFonts w:hint="eastAsia"/>
              </w:rPr>
              <w:br w:type="textWrapping"/>
            </w:r>
            <w:r>
              <w:rPr>
                <w:rStyle w:val="11"/>
                <w:rFonts w:hint="eastAsia"/>
              </w:rPr>
              <w:t>苯唑草酮，可以被植物的叶、根和茎吸收。莠去津根吸收为主，茎叶吸收较少，迅速传导到植物分生组织及叶部，干扰光合作用，使杂草致死。正常使用情况下按推荐剂量使用，对作物安全。</w:t>
            </w:r>
          </w:p>
        </w:tc>
      </w:tr>
      <w:tr w14:paraId="3B9C5E52">
        <w:tblPrEx>
          <w:tblCellMar>
            <w:top w:w="0" w:type="dxa"/>
            <w:left w:w="0" w:type="dxa"/>
            <w:bottom w:w="0" w:type="dxa"/>
            <w:right w:w="0" w:type="dxa"/>
          </w:tblCellMar>
        </w:tblPrEx>
        <w:trPr>
          <w:wBefore w:w="0" w:type="auto"/>
          <w:tblCellSpacing w:w="0" w:type="dxa"/>
        </w:trPr>
        <w:tc>
          <w:tcPr>
            <w:tcW w:w="0" w:type="auto"/>
            <w:noWrap w:val="0"/>
            <w:vAlign w:val="center"/>
          </w:tcPr>
          <w:p w14:paraId="555EF899">
            <w:r>
              <w:rPr>
                <w:rStyle w:val="10"/>
                <w:rFonts w:hint="eastAsia"/>
              </w:rPr>
              <w:t>注意事项：</w:t>
            </w:r>
            <w:r>
              <w:rPr>
                <w:rFonts w:hint="eastAsia"/>
              </w:rPr>
              <w:br w:type="textWrapping"/>
            </w:r>
            <w:r>
              <w:rPr>
                <w:rStyle w:val="11"/>
                <w:rFonts w:hint="eastAsia"/>
              </w:rPr>
              <w:t>1、间套或混种有其他作物的玉米田，不能使用本品。2、后茬种植苜蓿、棉花、花生、马铃薯、高粱、大豆、向日葵、菜豆、豌豆、甜菜、油菜等作物需先进行小面积试验，然后种植。3、避免暴露，使用时穿戴长衣、长裤、帽子、口罩、手套等防护措施。4、施药后用清水及肥皂彻底清洗脸及其他裸露部位。 5、操作时应远离儿童和家畜。 6、操作时不要污染水面或灌渠。7、孕妇、哺乳期妇女及过敏者禁用。8、药剂应现混现兑，配好的药液要立即使用。使用过药械需清洗三遍，在洗涤药械或处置废弃物时不要污染水源。9、鸟类保护区附近、桑园和蚕室附近以及赤眼蜂等天敌放飞区域禁用。10、水产养殖区、河塘等水体附近禁用，禁止在河塘等水域清洗施药器具；11、地下水、饮用水水源地附近禁用。</w:t>
            </w:r>
          </w:p>
        </w:tc>
      </w:tr>
      <w:tr w14:paraId="3CBDF1DA">
        <w:tblPrEx>
          <w:tblCellMar>
            <w:top w:w="0" w:type="dxa"/>
            <w:left w:w="0" w:type="dxa"/>
            <w:bottom w:w="0" w:type="dxa"/>
            <w:right w:w="0" w:type="dxa"/>
          </w:tblCellMar>
        </w:tblPrEx>
        <w:trPr>
          <w:wBefore w:w="0" w:type="auto"/>
          <w:tblCellSpacing w:w="0" w:type="dxa"/>
        </w:trPr>
        <w:tc>
          <w:tcPr>
            <w:tcW w:w="0" w:type="auto"/>
            <w:noWrap w:val="0"/>
            <w:vAlign w:val="center"/>
          </w:tcPr>
          <w:p w14:paraId="6677FF98">
            <w:r>
              <w:rPr>
                <w:rStyle w:val="10"/>
                <w:rFonts w:hint="eastAsia"/>
              </w:rPr>
              <w:t>中毒急救措施：</w:t>
            </w:r>
            <w:r>
              <w:rPr>
                <w:rFonts w:hint="eastAsia"/>
              </w:rPr>
              <w:br w:type="textWrapping"/>
            </w:r>
            <w:r>
              <w:rPr>
                <w:rStyle w:val="11"/>
                <w:rFonts w:hint="eastAsia"/>
              </w:rPr>
              <w:t>该产品对眼睛有刺激性，使用时避免药液接触眼睛。1、不慎药液接触皮肤，用肥皂和清水彻底清洗皮肤表面。 2、不慎药液接触眼睛，用清水彻底冲洗眼睛，至少15分钟。 3、不慎误服，立即请医生诊治，对症治疗，无特效解毒剂。</w:t>
            </w:r>
          </w:p>
        </w:tc>
      </w:tr>
      <w:tr w14:paraId="246F6B11">
        <w:tblPrEx>
          <w:tblCellMar>
            <w:top w:w="0" w:type="dxa"/>
            <w:left w:w="0" w:type="dxa"/>
            <w:bottom w:w="0" w:type="dxa"/>
            <w:right w:w="0" w:type="dxa"/>
          </w:tblCellMar>
        </w:tblPrEx>
        <w:trPr>
          <w:wBefore w:w="0" w:type="auto"/>
          <w:tblCellSpacing w:w="0" w:type="dxa"/>
        </w:trPr>
        <w:tc>
          <w:tcPr>
            <w:tcW w:w="0" w:type="auto"/>
            <w:noWrap w:val="0"/>
            <w:vAlign w:val="center"/>
          </w:tcPr>
          <w:p w14:paraId="1049152B">
            <w:r>
              <w:rPr>
                <w:rStyle w:val="10"/>
                <w:rFonts w:hint="eastAsia"/>
              </w:rPr>
              <w:t>储存和运输方法：</w:t>
            </w:r>
            <w:r>
              <w:rPr>
                <w:rFonts w:hint="eastAsia"/>
              </w:rPr>
              <w:br w:type="textWrapping"/>
            </w:r>
            <w:r>
              <w:rPr>
                <w:rStyle w:val="11"/>
                <w:rFonts w:hint="eastAsia"/>
              </w:rPr>
              <w:t>1、远离家畜，不能与食品、饮料、粮食、饲料等混合储运，放置于儿童触及不到的地方并加锁。 2、药剂储存于原容器中，保持容器处于密封状态，并贮存在于干燥通风处。 3、远离火源或热源，避免阳光直射。</w:t>
            </w:r>
          </w:p>
        </w:tc>
      </w:tr>
      <w:tr w14:paraId="72ABF520">
        <w:tblPrEx>
          <w:tblCellMar>
            <w:top w:w="0" w:type="dxa"/>
            <w:left w:w="0" w:type="dxa"/>
            <w:bottom w:w="0" w:type="dxa"/>
            <w:right w:w="0" w:type="dxa"/>
          </w:tblCellMar>
        </w:tblPrEx>
        <w:trPr>
          <w:wBefore w:w="0" w:type="auto"/>
          <w:tblCellSpacing w:w="0" w:type="dxa"/>
        </w:trPr>
        <w:tc>
          <w:tcPr>
            <w:tcW w:w="0" w:type="auto"/>
            <w:noWrap w:val="0"/>
            <w:vAlign w:val="center"/>
          </w:tcPr>
          <w:p w14:paraId="1FE416B5">
            <w:r>
              <w:rPr>
                <w:rStyle w:val="10"/>
                <w:rFonts w:hint="eastAsia"/>
              </w:rPr>
              <w:t>质量保证期：</w:t>
            </w:r>
            <w:r>
              <w:rPr>
                <w:rStyle w:val="11"/>
                <w:rFonts w:hint="eastAsia"/>
              </w:rPr>
              <w:t>2年</w:t>
            </w:r>
          </w:p>
        </w:tc>
      </w:tr>
      <w:tr w14:paraId="0786BF81">
        <w:tblPrEx>
          <w:tblCellMar>
            <w:top w:w="0" w:type="dxa"/>
            <w:left w:w="0" w:type="dxa"/>
            <w:bottom w:w="0" w:type="dxa"/>
            <w:right w:w="0" w:type="dxa"/>
          </w:tblCellMar>
        </w:tblPrEx>
        <w:trPr>
          <w:wBefore w:w="0" w:type="auto"/>
          <w:tblCellSpacing w:w="0" w:type="dxa"/>
        </w:trPr>
        <w:tc>
          <w:tcPr>
            <w:tcW w:w="0" w:type="auto"/>
            <w:noWrap w:val="0"/>
            <w:vAlign w:val="center"/>
          </w:tcPr>
          <w:p w14:paraId="60050ADF">
            <w:r>
              <w:rPr>
                <w:rStyle w:val="10"/>
                <w:rFonts w:hint="eastAsia"/>
              </w:rPr>
              <w:t>备注：</w:t>
            </w:r>
          </w:p>
        </w:tc>
      </w:tr>
    </w:tbl>
    <w:p w14:paraId="3BDF702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D7ADF8">
        <w:tblPrEx>
          <w:tblCellMar>
            <w:top w:w="0" w:type="dxa"/>
            <w:left w:w="0" w:type="dxa"/>
            <w:bottom w:w="0" w:type="dxa"/>
            <w:right w:w="0" w:type="dxa"/>
          </w:tblCellMar>
        </w:tblPrEx>
        <w:trPr>
          <w:wBefore w:w="0" w:type="auto"/>
          <w:tblCellSpacing w:w="0" w:type="dxa"/>
        </w:trPr>
        <w:tc>
          <w:tcPr>
            <w:tcW w:w="0" w:type="auto"/>
            <w:noWrap w:val="0"/>
            <w:vAlign w:val="center"/>
          </w:tcPr>
          <w:p w14:paraId="6823B9D7">
            <w:r>
              <w:rPr>
                <w:rStyle w:val="10"/>
                <w:rFonts w:hint="eastAsia"/>
              </w:rPr>
              <w:t>登记证号：</w:t>
            </w:r>
            <w:r>
              <w:rPr>
                <w:rFonts w:hint="eastAsia"/>
              </w:rPr>
              <w:t>PD20212355</w:t>
            </w:r>
          </w:p>
        </w:tc>
      </w:tr>
      <w:tr w14:paraId="5580661C">
        <w:tblPrEx>
          <w:tblCellMar>
            <w:top w:w="0" w:type="dxa"/>
            <w:left w:w="0" w:type="dxa"/>
            <w:bottom w:w="0" w:type="dxa"/>
            <w:right w:w="0" w:type="dxa"/>
          </w:tblCellMar>
        </w:tblPrEx>
        <w:trPr>
          <w:wBefore w:w="0" w:type="auto"/>
          <w:tblCellSpacing w:w="0" w:type="dxa"/>
        </w:trPr>
        <w:tc>
          <w:tcPr>
            <w:tcW w:w="0" w:type="auto"/>
            <w:noWrap w:val="0"/>
            <w:vAlign w:val="center"/>
          </w:tcPr>
          <w:p w14:paraId="257A3E7D">
            <w:r>
              <w:rPr>
                <w:rStyle w:val="10"/>
                <w:rFonts w:hint="eastAsia"/>
              </w:rPr>
              <w:t>登记证持有人：</w:t>
            </w:r>
            <w:r>
              <w:rPr>
                <w:rFonts w:hint="eastAsia"/>
              </w:rPr>
              <w:t>河南农王实业有限公司</w:t>
            </w:r>
          </w:p>
        </w:tc>
      </w:tr>
      <w:tr w14:paraId="52297FEF">
        <w:tblPrEx>
          <w:tblCellMar>
            <w:top w:w="0" w:type="dxa"/>
            <w:left w:w="0" w:type="dxa"/>
            <w:bottom w:w="0" w:type="dxa"/>
            <w:right w:w="0" w:type="dxa"/>
          </w:tblCellMar>
        </w:tblPrEx>
        <w:trPr>
          <w:wBefore w:w="0" w:type="auto"/>
          <w:tblCellSpacing w:w="0" w:type="dxa"/>
        </w:trPr>
        <w:tc>
          <w:tcPr>
            <w:tcW w:w="0" w:type="auto"/>
            <w:noWrap w:val="0"/>
            <w:vAlign w:val="center"/>
          </w:tcPr>
          <w:p w14:paraId="147B48BE">
            <w:r>
              <w:rPr>
                <w:rStyle w:val="10"/>
                <w:rFonts w:hint="eastAsia"/>
              </w:rPr>
              <w:t>农药名称：</w:t>
            </w:r>
            <w:r>
              <w:rPr>
                <w:rFonts w:hint="eastAsia"/>
              </w:rPr>
              <w:t>噻虫胺</w:t>
            </w:r>
          </w:p>
        </w:tc>
      </w:tr>
      <w:tr w14:paraId="4E09F912">
        <w:tblPrEx>
          <w:tblCellMar>
            <w:top w:w="0" w:type="dxa"/>
            <w:left w:w="0" w:type="dxa"/>
            <w:bottom w:w="0" w:type="dxa"/>
            <w:right w:w="0" w:type="dxa"/>
          </w:tblCellMar>
        </w:tblPrEx>
        <w:trPr>
          <w:wBefore w:w="0" w:type="auto"/>
          <w:tblCellSpacing w:w="0" w:type="dxa"/>
        </w:trPr>
        <w:tc>
          <w:tcPr>
            <w:tcW w:w="0" w:type="auto"/>
            <w:noWrap w:val="0"/>
            <w:vAlign w:val="center"/>
          </w:tcPr>
          <w:p w14:paraId="687A818E">
            <w:r>
              <w:rPr>
                <w:rStyle w:val="10"/>
                <w:rFonts w:hint="eastAsia"/>
              </w:rPr>
              <w:t>剂型：</w:t>
            </w:r>
            <w:r>
              <w:rPr>
                <w:rFonts w:hint="eastAsia"/>
              </w:rPr>
              <w:t>颗粒剂</w:t>
            </w:r>
          </w:p>
        </w:tc>
      </w:tr>
      <w:tr w14:paraId="00D54C85">
        <w:tblPrEx>
          <w:tblCellMar>
            <w:top w:w="0" w:type="dxa"/>
            <w:left w:w="0" w:type="dxa"/>
            <w:bottom w:w="0" w:type="dxa"/>
            <w:right w:w="0" w:type="dxa"/>
          </w:tblCellMar>
        </w:tblPrEx>
        <w:trPr>
          <w:wBefore w:w="0" w:type="auto"/>
          <w:tblCellSpacing w:w="0" w:type="dxa"/>
        </w:trPr>
        <w:tc>
          <w:tcPr>
            <w:tcW w:w="0" w:type="auto"/>
            <w:noWrap w:val="0"/>
            <w:vAlign w:val="center"/>
          </w:tcPr>
          <w:p w14:paraId="76CB5CE1">
            <w:r>
              <w:rPr>
                <w:rStyle w:val="10"/>
                <w:rFonts w:hint="eastAsia"/>
              </w:rPr>
              <w:t>毒性及其标识：</w:t>
            </w:r>
            <w:r>
              <w:rPr>
                <w:rFonts w:hint="eastAsia"/>
              </w:rPr>
              <w:t xml:space="preserve"> 微毒 </w:t>
            </w:r>
          </w:p>
        </w:tc>
      </w:tr>
      <w:tr w14:paraId="0B76D817">
        <w:tblPrEx>
          <w:tblCellMar>
            <w:top w:w="0" w:type="dxa"/>
            <w:left w:w="0" w:type="dxa"/>
            <w:bottom w:w="0" w:type="dxa"/>
            <w:right w:w="0" w:type="dxa"/>
          </w:tblCellMar>
        </w:tblPrEx>
        <w:trPr>
          <w:wBefore w:w="0" w:type="auto"/>
          <w:tblCellSpacing w:w="0" w:type="dxa"/>
        </w:trPr>
        <w:tc>
          <w:tcPr>
            <w:tcW w:w="0" w:type="auto"/>
            <w:noWrap w:val="0"/>
            <w:vAlign w:val="center"/>
          </w:tcPr>
          <w:p w14:paraId="7347E52C">
            <w:r>
              <w:rPr>
                <w:rStyle w:val="10"/>
                <w:rFonts w:hint="eastAsia"/>
              </w:rPr>
              <w:t>总有效成分含量：</w:t>
            </w:r>
            <w:r>
              <w:rPr>
                <w:rFonts w:hint="eastAsia"/>
              </w:rPr>
              <w:t>1%</w:t>
            </w:r>
          </w:p>
        </w:tc>
      </w:tr>
      <w:tr w14:paraId="2C25B6B0">
        <w:tblPrEx>
          <w:tblCellMar>
            <w:top w:w="0" w:type="dxa"/>
            <w:left w:w="0" w:type="dxa"/>
            <w:bottom w:w="0" w:type="dxa"/>
            <w:right w:w="0" w:type="dxa"/>
          </w:tblCellMar>
        </w:tblPrEx>
        <w:trPr>
          <w:wBefore w:w="0" w:type="auto"/>
          <w:tblCellSpacing w:w="0" w:type="dxa"/>
        </w:trPr>
        <w:tc>
          <w:tcPr>
            <w:tcW w:w="0" w:type="auto"/>
            <w:noWrap w:val="0"/>
            <w:vAlign w:val="center"/>
          </w:tcPr>
          <w:p w14:paraId="08490834">
            <w:r>
              <w:rPr>
                <w:rFonts w:hint="eastAsia"/>
              </w:rPr>
              <w:t xml:space="preserve">有效成分及其含量： </w:t>
            </w:r>
          </w:p>
          <w:p w14:paraId="0C859D50">
            <w:r>
              <w:rPr>
                <w:rFonts w:hint="eastAsia"/>
              </w:rPr>
              <w:t xml:space="preserve">    噻虫胺1%    </w:t>
            </w:r>
          </w:p>
        </w:tc>
      </w:tr>
      <w:tr w14:paraId="4B9465E5">
        <w:tblPrEx>
          <w:tblCellMar>
            <w:top w:w="0" w:type="dxa"/>
            <w:left w:w="0" w:type="dxa"/>
            <w:bottom w:w="0" w:type="dxa"/>
            <w:right w:w="0" w:type="dxa"/>
          </w:tblCellMar>
        </w:tblPrEx>
        <w:trPr>
          <w:wBefore w:w="0" w:type="auto"/>
          <w:tblCellSpacing w:w="0" w:type="dxa"/>
        </w:trPr>
        <w:tc>
          <w:tcPr>
            <w:tcW w:w="0" w:type="auto"/>
            <w:noWrap w:val="0"/>
            <w:vAlign w:val="center"/>
          </w:tcPr>
          <w:p w14:paraId="2246C9A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9231E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2EF52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0EA5B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57EDB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FAE411">
                  <w:r>
                    <w:rPr>
                      <w:rStyle w:val="11"/>
                      <w:rFonts w:hint="eastAsia"/>
                    </w:rPr>
                    <w:t>施用方式</w:t>
                  </w:r>
                </w:p>
              </w:tc>
            </w:tr>
            <w:tr w14:paraId="215C19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456560">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8C44FB">
                  <w:r>
                    <w:rPr>
                      <w:rStyle w:val="11"/>
                      <w:rFonts w:hint="eastAsia"/>
                    </w:rPr>
                    <w:t>斑潜蝇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BD3B0F">
                  <w:r>
                    <w:rPr>
                      <w:rStyle w:val="11"/>
                      <w:rFonts w:hint="eastAsia"/>
                    </w:rPr>
                    <w:t>2800-3500克/亩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0AF198">
                  <w:r>
                    <w:rPr>
                      <w:rStyle w:val="11"/>
                      <w:rFonts w:hint="eastAsia"/>
                    </w:rPr>
                    <w:t>穴施</w:t>
                  </w:r>
                </w:p>
              </w:tc>
            </w:tr>
          </w:tbl>
          <w:p w14:paraId="01890F66">
            <w:pPr>
              <w:rPr>
                <w:rFonts w:ascii="Times New Roman" w:hAnsi="Times New Roman" w:cs="Times New Roman"/>
                <w:sz w:val="20"/>
                <w:szCs w:val="20"/>
              </w:rPr>
            </w:pPr>
          </w:p>
        </w:tc>
      </w:tr>
      <w:tr w14:paraId="5A104B5A">
        <w:tblPrEx>
          <w:tblCellMar>
            <w:top w:w="0" w:type="dxa"/>
            <w:left w:w="0" w:type="dxa"/>
            <w:bottom w:w="0" w:type="dxa"/>
            <w:right w:w="0" w:type="dxa"/>
          </w:tblCellMar>
        </w:tblPrEx>
        <w:trPr>
          <w:wBefore w:w="0" w:type="auto"/>
          <w:tblCellSpacing w:w="0" w:type="dxa"/>
        </w:trPr>
        <w:tc>
          <w:tcPr>
            <w:tcW w:w="0" w:type="auto"/>
            <w:noWrap w:val="0"/>
            <w:vAlign w:val="center"/>
          </w:tcPr>
          <w:p w14:paraId="1E5D0738">
            <w:r>
              <w:rPr>
                <w:rStyle w:val="10"/>
                <w:rFonts w:hint="eastAsia"/>
              </w:rPr>
              <w:t>使用技术要求:</w:t>
            </w:r>
            <w:r>
              <w:rPr>
                <w:rFonts w:hint="eastAsia"/>
              </w:rPr>
              <w:br w:type="textWrapping"/>
            </w:r>
            <w:r>
              <w:rPr>
                <w:rStyle w:val="11"/>
                <w:rFonts w:hint="eastAsia"/>
              </w:rPr>
              <w:t>1.于黄瓜幼苗移栽时穴施施药1次。2.施药后须保持一定的土壤墒情以利于有效成分的释放和均匀分布。3.大风天或预计1小时有大雨，请勿施药。4.在黄瓜上每季最多使用1次。</w:t>
            </w:r>
          </w:p>
        </w:tc>
      </w:tr>
      <w:tr w14:paraId="4185C02E">
        <w:tblPrEx>
          <w:tblCellMar>
            <w:top w:w="0" w:type="dxa"/>
            <w:left w:w="0" w:type="dxa"/>
            <w:bottom w:w="0" w:type="dxa"/>
            <w:right w:w="0" w:type="dxa"/>
          </w:tblCellMar>
        </w:tblPrEx>
        <w:trPr>
          <w:wBefore w:w="0" w:type="auto"/>
          <w:tblCellSpacing w:w="0" w:type="dxa"/>
        </w:trPr>
        <w:tc>
          <w:tcPr>
            <w:tcW w:w="0" w:type="auto"/>
            <w:noWrap w:val="0"/>
            <w:vAlign w:val="center"/>
          </w:tcPr>
          <w:p w14:paraId="51129BFA">
            <w:r>
              <w:rPr>
                <w:rStyle w:val="10"/>
                <w:rFonts w:hint="eastAsia"/>
              </w:rPr>
              <w:t>产品性能:</w:t>
            </w:r>
            <w:r>
              <w:rPr>
                <w:rFonts w:hint="eastAsia"/>
              </w:rPr>
              <w:br w:type="textWrapping"/>
            </w:r>
            <w:r>
              <w:rPr>
                <w:rStyle w:val="11"/>
                <w:rFonts w:hint="eastAsia"/>
              </w:rPr>
              <w:t>本品为新烟碱类杀虫剂，具有内吸、触杀和胃毒作用。按登记剂量使用时，对黄瓜斑潜蝇有较好的防治效果。</w:t>
            </w:r>
          </w:p>
        </w:tc>
      </w:tr>
      <w:tr w14:paraId="1F4F5944">
        <w:tblPrEx>
          <w:tblCellMar>
            <w:top w:w="0" w:type="dxa"/>
            <w:left w:w="0" w:type="dxa"/>
            <w:bottom w:w="0" w:type="dxa"/>
            <w:right w:w="0" w:type="dxa"/>
          </w:tblCellMar>
        </w:tblPrEx>
        <w:trPr>
          <w:wBefore w:w="0" w:type="auto"/>
          <w:tblCellSpacing w:w="0" w:type="dxa"/>
        </w:trPr>
        <w:tc>
          <w:tcPr>
            <w:tcW w:w="0" w:type="auto"/>
            <w:noWrap w:val="0"/>
            <w:vAlign w:val="center"/>
          </w:tcPr>
          <w:p w14:paraId="05B5BE3B">
            <w:r>
              <w:rPr>
                <w:rStyle w:val="10"/>
                <w:rFonts w:hint="eastAsia"/>
              </w:rPr>
              <w:t>注意事项：</w:t>
            </w:r>
            <w:r>
              <w:rPr>
                <w:rFonts w:hint="eastAsia"/>
              </w:rPr>
              <w:br w:type="textWrapping"/>
            </w:r>
            <w:r>
              <w:rPr>
                <w:rStyle w:val="11"/>
                <w:rFonts w:hint="eastAsia"/>
              </w:rPr>
              <w:t>1.严格按照规定用药量和方法使用。2.建议与其他作用机制不同的杀虫剂轮换使用，以延缓抗性产生。3.禁止在河塘等水体中清洗施药器具；（周围）开花植物花期禁用，使用时应密切关注对附近蜂群的影响；鸟类保护区附近禁用，施药后立即覆土。4.使用过的施药器械，应清洗干净方可用于其它的农药。5.施用时应戴防护镜、口罩和手套，穿长衣、长裤；施药中禁止饮食、吸烟、饮水等；施药后应用肥皂和清水彻底清洗暴露在外的皮肤。6.用药后包装物及用过的容器应妥善处理，不可做他用，也不可随意丢弃。7.孕妇、哺乳期的妇女禁止接触本产品。</w:t>
            </w:r>
          </w:p>
        </w:tc>
      </w:tr>
      <w:tr w14:paraId="5783D6B6">
        <w:tblPrEx>
          <w:tblCellMar>
            <w:top w:w="0" w:type="dxa"/>
            <w:left w:w="0" w:type="dxa"/>
            <w:bottom w:w="0" w:type="dxa"/>
            <w:right w:w="0" w:type="dxa"/>
          </w:tblCellMar>
        </w:tblPrEx>
        <w:trPr>
          <w:wBefore w:w="0" w:type="auto"/>
          <w:tblCellSpacing w:w="0" w:type="dxa"/>
        </w:trPr>
        <w:tc>
          <w:tcPr>
            <w:tcW w:w="0" w:type="auto"/>
            <w:noWrap w:val="0"/>
            <w:vAlign w:val="center"/>
          </w:tcPr>
          <w:p w14:paraId="3953A22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32D11F60">
        <w:tblPrEx>
          <w:tblCellMar>
            <w:top w:w="0" w:type="dxa"/>
            <w:left w:w="0" w:type="dxa"/>
            <w:bottom w:w="0" w:type="dxa"/>
            <w:right w:w="0" w:type="dxa"/>
          </w:tblCellMar>
        </w:tblPrEx>
        <w:trPr>
          <w:wBefore w:w="0" w:type="auto"/>
          <w:tblCellSpacing w:w="0" w:type="dxa"/>
        </w:trPr>
        <w:tc>
          <w:tcPr>
            <w:tcW w:w="0" w:type="auto"/>
            <w:noWrap w:val="0"/>
            <w:vAlign w:val="center"/>
          </w:tcPr>
          <w:p w14:paraId="648DB69E">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本品应储存在干燥、阴凉、通风、防雨处，远离火源或热源。置于儿童接触不到的地方，并加锁。不能与食品、饮料、粮食、饲料等同储同运。在装卸、运输时应轻拿轻放。</w:t>
            </w:r>
          </w:p>
        </w:tc>
      </w:tr>
      <w:tr w14:paraId="4A757A24">
        <w:tblPrEx>
          <w:tblCellMar>
            <w:top w:w="0" w:type="dxa"/>
            <w:left w:w="0" w:type="dxa"/>
            <w:bottom w:w="0" w:type="dxa"/>
            <w:right w:w="0" w:type="dxa"/>
          </w:tblCellMar>
        </w:tblPrEx>
        <w:trPr>
          <w:wBefore w:w="0" w:type="auto"/>
          <w:tblCellSpacing w:w="0" w:type="dxa"/>
        </w:trPr>
        <w:tc>
          <w:tcPr>
            <w:tcW w:w="0" w:type="auto"/>
            <w:noWrap w:val="0"/>
            <w:vAlign w:val="center"/>
          </w:tcPr>
          <w:p w14:paraId="46950087">
            <w:r>
              <w:rPr>
                <w:rStyle w:val="10"/>
                <w:rFonts w:hint="eastAsia"/>
              </w:rPr>
              <w:t>质量保证期：</w:t>
            </w:r>
            <w:r>
              <w:rPr>
                <w:rStyle w:val="11"/>
                <w:rFonts w:hint="eastAsia"/>
              </w:rPr>
              <w:t>2年</w:t>
            </w:r>
          </w:p>
        </w:tc>
      </w:tr>
      <w:tr w14:paraId="40B65490">
        <w:tblPrEx>
          <w:tblCellMar>
            <w:top w:w="0" w:type="dxa"/>
            <w:left w:w="0" w:type="dxa"/>
            <w:bottom w:w="0" w:type="dxa"/>
            <w:right w:w="0" w:type="dxa"/>
          </w:tblCellMar>
        </w:tblPrEx>
        <w:trPr>
          <w:wBefore w:w="0" w:type="auto"/>
          <w:tblCellSpacing w:w="0" w:type="dxa"/>
        </w:trPr>
        <w:tc>
          <w:tcPr>
            <w:tcW w:w="0" w:type="auto"/>
            <w:noWrap w:val="0"/>
            <w:vAlign w:val="center"/>
          </w:tcPr>
          <w:p w14:paraId="3649E915">
            <w:r>
              <w:rPr>
                <w:rStyle w:val="10"/>
                <w:rFonts w:hint="eastAsia"/>
              </w:rPr>
              <w:t>备注：</w:t>
            </w:r>
          </w:p>
        </w:tc>
      </w:tr>
    </w:tbl>
    <w:p w14:paraId="0F1F46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319BF8">
        <w:tblPrEx>
          <w:tblCellMar>
            <w:top w:w="0" w:type="dxa"/>
            <w:left w:w="0" w:type="dxa"/>
            <w:bottom w:w="0" w:type="dxa"/>
            <w:right w:w="0" w:type="dxa"/>
          </w:tblCellMar>
        </w:tblPrEx>
        <w:trPr>
          <w:wBefore w:w="0" w:type="auto"/>
          <w:tblCellSpacing w:w="0" w:type="dxa"/>
        </w:trPr>
        <w:tc>
          <w:tcPr>
            <w:tcW w:w="0" w:type="auto"/>
            <w:noWrap w:val="0"/>
            <w:vAlign w:val="center"/>
          </w:tcPr>
          <w:p w14:paraId="07DCA4AC">
            <w:r>
              <w:rPr>
                <w:rStyle w:val="10"/>
                <w:rFonts w:hint="eastAsia"/>
              </w:rPr>
              <w:t>登记证号：</w:t>
            </w:r>
            <w:r>
              <w:rPr>
                <w:rFonts w:hint="eastAsia"/>
              </w:rPr>
              <w:t>PD20212452</w:t>
            </w:r>
          </w:p>
        </w:tc>
      </w:tr>
      <w:tr w14:paraId="26D9C44F">
        <w:tblPrEx>
          <w:tblCellMar>
            <w:top w:w="0" w:type="dxa"/>
            <w:left w:w="0" w:type="dxa"/>
            <w:bottom w:w="0" w:type="dxa"/>
            <w:right w:w="0" w:type="dxa"/>
          </w:tblCellMar>
        </w:tblPrEx>
        <w:trPr>
          <w:wBefore w:w="0" w:type="auto"/>
          <w:tblCellSpacing w:w="0" w:type="dxa"/>
        </w:trPr>
        <w:tc>
          <w:tcPr>
            <w:tcW w:w="0" w:type="auto"/>
            <w:noWrap w:val="0"/>
            <w:vAlign w:val="center"/>
          </w:tcPr>
          <w:p w14:paraId="27F2B127">
            <w:r>
              <w:rPr>
                <w:rStyle w:val="10"/>
                <w:rFonts w:hint="eastAsia"/>
              </w:rPr>
              <w:t>登记证持有人：</w:t>
            </w:r>
            <w:r>
              <w:rPr>
                <w:rFonts w:hint="eastAsia"/>
              </w:rPr>
              <w:t>湖南神隆超级稻丰产生化有限公司</w:t>
            </w:r>
          </w:p>
        </w:tc>
      </w:tr>
      <w:tr w14:paraId="42E7485E">
        <w:tblPrEx>
          <w:tblCellMar>
            <w:top w:w="0" w:type="dxa"/>
            <w:left w:w="0" w:type="dxa"/>
            <w:bottom w:w="0" w:type="dxa"/>
            <w:right w:w="0" w:type="dxa"/>
          </w:tblCellMar>
        </w:tblPrEx>
        <w:trPr>
          <w:wBefore w:w="0" w:type="auto"/>
          <w:tblCellSpacing w:w="0" w:type="dxa"/>
        </w:trPr>
        <w:tc>
          <w:tcPr>
            <w:tcW w:w="0" w:type="auto"/>
            <w:noWrap w:val="0"/>
            <w:vAlign w:val="center"/>
          </w:tcPr>
          <w:p w14:paraId="693FEBB4">
            <w:r>
              <w:rPr>
                <w:rStyle w:val="10"/>
                <w:rFonts w:hint="eastAsia"/>
              </w:rPr>
              <w:t>农药名称：</w:t>
            </w:r>
            <w:r>
              <w:rPr>
                <w:rFonts w:hint="eastAsia"/>
              </w:rPr>
              <w:t>呋虫胺</w:t>
            </w:r>
          </w:p>
        </w:tc>
      </w:tr>
      <w:tr w14:paraId="45473D9D">
        <w:tblPrEx>
          <w:tblCellMar>
            <w:top w:w="0" w:type="dxa"/>
            <w:left w:w="0" w:type="dxa"/>
            <w:bottom w:w="0" w:type="dxa"/>
            <w:right w:w="0" w:type="dxa"/>
          </w:tblCellMar>
        </w:tblPrEx>
        <w:trPr>
          <w:wBefore w:w="0" w:type="auto"/>
          <w:tblCellSpacing w:w="0" w:type="dxa"/>
        </w:trPr>
        <w:tc>
          <w:tcPr>
            <w:tcW w:w="0" w:type="auto"/>
            <w:noWrap w:val="0"/>
            <w:vAlign w:val="center"/>
          </w:tcPr>
          <w:p w14:paraId="0D84FFF5">
            <w:r>
              <w:rPr>
                <w:rStyle w:val="10"/>
                <w:rFonts w:hint="eastAsia"/>
              </w:rPr>
              <w:t>剂型：</w:t>
            </w:r>
            <w:r>
              <w:rPr>
                <w:rFonts w:hint="eastAsia"/>
              </w:rPr>
              <w:t>颗粒剂</w:t>
            </w:r>
          </w:p>
        </w:tc>
      </w:tr>
      <w:tr w14:paraId="655C4F91">
        <w:tblPrEx>
          <w:tblCellMar>
            <w:top w:w="0" w:type="dxa"/>
            <w:left w:w="0" w:type="dxa"/>
            <w:bottom w:w="0" w:type="dxa"/>
            <w:right w:w="0" w:type="dxa"/>
          </w:tblCellMar>
        </w:tblPrEx>
        <w:trPr>
          <w:wBefore w:w="0" w:type="auto"/>
          <w:tblCellSpacing w:w="0" w:type="dxa"/>
        </w:trPr>
        <w:tc>
          <w:tcPr>
            <w:tcW w:w="0" w:type="auto"/>
            <w:noWrap w:val="0"/>
            <w:vAlign w:val="center"/>
          </w:tcPr>
          <w:p w14:paraId="65A48DB4">
            <w:r>
              <w:rPr>
                <w:rStyle w:val="10"/>
                <w:rFonts w:hint="eastAsia"/>
              </w:rPr>
              <w:t>毒性及其标识：</w:t>
            </w:r>
            <w:r>
              <w:rPr>
                <w:rFonts w:hint="eastAsia"/>
              </w:rPr>
              <w:t xml:space="preserve"> </w:t>
            </w:r>
            <w:r>
              <w:rPr>
                <w:lang/>
              </w:rPr>
              <w:drawing>
                <wp:inline distT="0" distB="0" distL="114300" distR="114300">
                  <wp:extent cx="476250" cy="323850"/>
                  <wp:effectExtent l="0" t="0" r="0" b="0"/>
                  <wp:docPr id="258" name="图片 2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D65BDF">
        <w:tblPrEx>
          <w:tblCellMar>
            <w:top w:w="0" w:type="dxa"/>
            <w:left w:w="0" w:type="dxa"/>
            <w:bottom w:w="0" w:type="dxa"/>
            <w:right w:w="0" w:type="dxa"/>
          </w:tblCellMar>
        </w:tblPrEx>
        <w:trPr>
          <w:wBefore w:w="0" w:type="auto"/>
          <w:tblCellSpacing w:w="0" w:type="dxa"/>
        </w:trPr>
        <w:tc>
          <w:tcPr>
            <w:tcW w:w="0" w:type="auto"/>
            <w:noWrap w:val="0"/>
            <w:vAlign w:val="center"/>
          </w:tcPr>
          <w:p w14:paraId="42CBEA6C">
            <w:r>
              <w:rPr>
                <w:rStyle w:val="10"/>
                <w:rFonts w:hint="eastAsia"/>
              </w:rPr>
              <w:t>总有效成分含量：</w:t>
            </w:r>
            <w:r>
              <w:rPr>
                <w:rFonts w:hint="eastAsia"/>
              </w:rPr>
              <w:t>0.025%</w:t>
            </w:r>
          </w:p>
        </w:tc>
      </w:tr>
      <w:tr w14:paraId="53A50BF2">
        <w:tblPrEx>
          <w:tblCellMar>
            <w:top w:w="0" w:type="dxa"/>
            <w:left w:w="0" w:type="dxa"/>
            <w:bottom w:w="0" w:type="dxa"/>
            <w:right w:w="0" w:type="dxa"/>
          </w:tblCellMar>
        </w:tblPrEx>
        <w:trPr>
          <w:wBefore w:w="0" w:type="auto"/>
          <w:tblCellSpacing w:w="0" w:type="dxa"/>
        </w:trPr>
        <w:tc>
          <w:tcPr>
            <w:tcW w:w="0" w:type="auto"/>
            <w:noWrap w:val="0"/>
            <w:vAlign w:val="center"/>
          </w:tcPr>
          <w:p w14:paraId="6612929C">
            <w:r>
              <w:rPr>
                <w:rFonts w:hint="eastAsia"/>
              </w:rPr>
              <w:t xml:space="preserve">有效成分及其含量： </w:t>
            </w:r>
          </w:p>
          <w:p w14:paraId="53B9663A">
            <w:r>
              <w:rPr>
                <w:rFonts w:hint="eastAsia"/>
              </w:rPr>
              <w:t xml:space="preserve">    呋虫胺0.025%    </w:t>
            </w:r>
          </w:p>
        </w:tc>
      </w:tr>
      <w:tr w14:paraId="48858537">
        <w:tblPrEx>
          <w:tblCellMar>
            <w:top w:w="0" w:type="dxa"/>
            <w:left w:w="0" w:type="dxa"/>
            <w:bottom w:w="0" w:type="dxa"/>
            <w:right w:w="0" w:type="dxa"/>
          </w:tblCellMar>
        </w:tblPrEx>
        <w:trPr>
          <w:wBefore w:w="0" w:type="auto"/>
          <w:tblCellSpacing w:w="0" w:type="dxa"/>
        </w:trPr>
        <w:tc>
          <w:tcPr>
            <w:tcW w:w="0" w:type="auto"/>
            <w:noWrap w:val="0"/>
            <w:vAlign w:val="center"/>
          </w:tcPr>
          <w:p w14:paraId="492248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02BF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FC75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3636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F1A03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7D1ABD">
                  <w:r>
                    <w:rPr>
                      <w:rStyle w:val="11"/>
                      <w:rFonts w:hint="eastAsia"/>
                    </w:rPr>
                    <w:t>施用方式</w:t>
                  </w:r>
                </w:p>
              </w:tc>
            </w:tr>
            <w:tr w14:paraId="53FFD9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AE599F">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563DDC">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225546">
                  <w:r>
                    <w:rPr>
                      <w:rStyle w:val="11"/>
                      <w:rFonts w:hint="eastAsia"/>
                    </w:rPr>
                    <w:t>36-48千克/亩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3DE27">
                  <w:r>
                    <w:rPr>
                      <w:rStyle w:val="11"/>
                      <w:rFonts w:hint="eastAsia"/>
                    </w:rPr>
                    <w:t>撒施</w:t>
                  </w:r>
                </w:p>
              </w:tc>
            </w:tr>
          </w:tbl>
          <w:p w14:paraId="5C09CD35">
            <w:pPr>
              <w:rPr>
                <w:rFonts w:ascii="Times New Roman" w:hAnsi="Times New Roman" w:cs="Times New Roman"/>
                <w:sz w:val="20"/>
                <w:szCs w:val="20"/>
              </w:rPr>
            </w:pPr>
          </w:p>
        </w:tc>
      </w:tr>
      <w:tr w14:paraId="72DC74EF">
        <w:tblPrEx>
          <w:tblCellMar>
            <w:top w:w="0" w:type="dxa"/>
            <w:left w:w="0" w:type="dxa"/>
            <w:bottom w:w="0" w:type="dxa"/>
            <w:right w:w="0" w:type="dxa"/>
          </w:tblCellMar>
        </w:tblPrEx>
        <w:trPr>
          <w:wBefore w:w="0" w:type="auto"/>
          <w:tblCellSpacing w:w="0" w:type="dxa"/>
        </w:trPr>
        <w:tc>
          <w:tcPr>
            <w:tcW w:w="0" w:type="auto"/>
            <w:noWrap w:val="0"/>
            <w:vAlign w:val="center"/>
          </w:tcPr>
          <w:p w14:paraId="424C554C">
            <w:r>
              <w:rPr>
                <w:rStyle w:val="10"/>
                <w:rFonts w:hint="eastAsia"/>
              </w:rPr>
              <w:t>使用技术要求:</w:t>
            </w:r>
            <w:r>
              <w:rPr>
                <w:rFonts w:hint="eastAsia"/>
              </w:rPr>
              <w:br w:type="textWrapping"/>
            </w:r>
            <w:r>
              <w:rPr>
                <w:rStyle w:val="11"/>
                <w:rFonts w:hint="eastAsia"/>
              </w:rPr>
              <w:t>1. 本品应于水稻移栽后10-15天直接撒施使用。 2. 施药时田间要有水层3~5厘米，药后保水3~5天。</w:t>
            </w:r>
          </w:p>
        </w:tc>
      </w:tr>
      <w:tr w14:paraId="04B66157">
        <w:tblPrEx>
          <w:tblCellMar>
            <w:top w:w="0" w:type="dxa"/>
            <w:left w:w="0" w:type="dxa"/>
            <w:bottom w:w="0" w:type="dxa"/>
            <w:right w:w="0" w:type="dxa"/>
          </w:tblCellMar>
        </w:tblPrEx>
        <w:trPr>
          <w:wBefore w:w="0" w:type="auto"/>
          <w:tblCellSpacing w:w="0" w:type="dxa"/>
        </w:trPr>
        <w:tc>
          <w:tcPr>
            <w:tcW w:w="0" w:type="auto"/>
            <w:noWrap w:val="0"/>
            <w:vAlign w:val="center"/>
          </w:tcPr>
          <w:p w14:paraId="373ED297">
            <w:r>
              <w:rPr>
                <w:rStyle w:val="10"/>
                <w:rFonts w:hint="eastAsia"/>
              </w:rPr>
              <w:t>产品性能:</w:t>
            </w:r>
            <w:r>
              <w:rPr>
                <w:rFonts w:hint="eastAsia"/>
              </w:rPr>
              <w:br w:type="textWrapping"/>
            </w:r>
            <w:r>
              <w:rPr>
                <w:rStyle w:val="11"/>
                <w:rFonts w:hint="eastAsia"/>
              </w:rPr>
              <w:t>呋虫胺是第三代烟碱类杀虫剂，是通过作用于昆虫神经传递系统和具有触杀、胃毒作用的杀虫剂，对害虫烟碱乙酰胆碱受体有兴奋作用。可以快速被作物吸收并广泛分布于作物体内，害虫一旦接触到该药剂，就会麻痹，生理机能发生紊乱死亡。具有低毒、杀虫谱广、持效期长、使用简便等优点，产品直接撒施，解决作物中后期不易喷雾作业的难题。</w:t>
            </w:r>
          </w:p>
        </w:tc>
      </w:tr>
      <w:tr w14:paraId="50463419">
        <w:tblPrEx>
          <w:tblCellMar>
            <w:top w:w="0" w:type="dxa"/>
            <w:left w:w="0" w:type="dxa"/>
            <w:bottom w:w="0" w:type="dxa"/>
            <w:right w:w="0" w:type="dxa"/>
          </w:tblCellMar>
        </w:tblPrEx>
        <w:trPr>
          <w:wBefore w:w="0" w:type="auto"/>
          <w:tblCellSpacing w:w="0" w:type="dxa"/>
        </w:trPr>
        <w:tc>
          <w:tcPr>
            <w:tcW w:w="0" w:type="auto"/>
            <w:noWrap w:val="0"/>
            <w:vAlign w:val="center"/>
          </w:tcPr>
          <w:p w14:paraId="340FFB49">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本品对眼睛有刺激性，使用时避免接触眼睛，穿戴长衣、长裤、帽子、口罩、手套等防护措施。施药期间禁止吃东西、吸烟和饮水。施药后应及时用肥皂和清水洗干净手、脸。 2.（周围）开花植物花期禁用，使用时应密切关注对附近蜂群的影响。 3. 禁止在河塘等水体中清洗施药器具。4. 用过的容器应妥善处理，不可作他用，也不得随意丢弃。54. 建议与其他作用机制不同的杀虫剂轮换使用。6. 孕妇和哺乳期妇女避免接触此药。</w:t>
            </w:r>
          </w:p>
        </w:tc>
      </w:tr>
      <w:tr w14:paraId="25F241B2">
        <w:tblPrEx>
          <w:tblCellMar>
            <w:top w:w="0" w:type="dxa"/>
            <w:left w:w="0" w:type="dxa"/>
            <w:bottom w:w="0" w:type="dxa"/>
            <w:right w:w="0" w:type="dxa"/>
          </w:tblCellMar>
        </w:tblPrEx>
        <w:trPr>
          <w:wBefore w:w="0" w:type="auto"/>
          <w:tblCellSpacing w:w="0" w:type="dxa"/>
        </w:trPr>
        <w:tc>
          <w:tcPr>
            <w:tcW w:w="0" w:type="auto"/>
            <w:noWrap w:val="0"/>
            <w:vAlign w:val="center"/>
          </w:tcPr>
          <w:p w14:paraId="3A50CB6F">
            <w:r>
              <w:rPr>
                <w:rStyle w:val="10"/>
                <w:rFonts w:hint="eastAsia"/>
              </w:rPr>
              <w:t>中毒急救措施：</w:t>
            </w:r>
            <w:r>
              <w:rPr>
                <w:rFonts w:hint="eastAsia"/>
              </w:rPr>
              <w:br w:type="textWrapping"/>
            </w:r>
            <w:r>
              <w:rPr>
                <w:rStyle w:val="11"/>
                <w:rFonts w:hint="eastAsia"/>
              </w:rPr>
              <w:t>本品对眼睛有中度刺激性，若不慎接触到皮肤或溅入眼睛，用大量水清洗皮肤或眼睛15～20分钟。不慎吸入，应将病人移至空气流通处；如病人停止呼吸，应立即进行人工呼吸，并携此标签就医。误服后未经医生 允许，切勿催吐，如病人可吞咽，可适量饮水。中毒后，应立即携容器或此标签就医。</w:t>
            </w:r>
          </w:p>
        </w:tc>
      </w:tr>
      <w:tr w14:paraId="5AFDC52D">
        <w:tblPrEx>
          <w:tblCellMar>
            <w:top w:w="0" w:type="dxa"/>
            <w:left w:w="0" w:type="dxa"/>
            <w:bottom w:w="0" w:type="dxa"/>
            <w:right w:w="0" w:type="dxa"/>
          </w:tblCellMar>
        </w:tblPrEx>
        <w:trPr>
          <w:wBefore w:w="0" w:type="auto"/>
          <w:tblCellSpacing w:w="0" w:type="dxa"/>
        </w:trPr>
        <w:tc>
          <w:tcPr>
            <w:tcW w:w="0" w:type="auto"/>
            <w:noWrap w:val="0"/>
            <w:vAlign w:val="center"/>
          </w:tcPr>
          <w:p w14:paraId="7128079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本品应贮存在干燥、阴凉、通风、防雨处，远离火源或热源。置于儿童、无关人员及动物接触不到的地方，并加锁保存。勿与食品、饮料、粮食、饲料等其他商品同贮同运。</w:t>
            </w:r>
          </w:p>
        </w:tc>
      </w:tr>
      <w:tr w14:paraId="47422704">
        <w:tblPrEx>
          <w:tblCellMar>
            <w:top w:w="0" w:type="dxa"/>
            <w:left w:w="0" w:type="dxa"/>
            <w:bottom w:w="0" w:type="dxa"/>
            <w:right w:w="0" w:type="dxa"/>
          </w:tblCellMar>
        </w:tblPrEx>
        <w:trPr>
          <w:wBefore w:w="0" w:type="auto"/>
          <w:tblCellSpacing w:w="0" w:type="dxa"/>
        </w:trPr>
        <w:tc>
          <w:tcPr>
            <w:tcW w:w="0" w:type="auto"/>
            <w:noWrap w:val="0"/>
            <w:vAlign w:val="center"/>
          </w:tcPr>
          <w:p w14:paraId="188827EA">
            <w:r>
              <w:rPr>
                <w:rStyle w:val="10"/>
                <w:rFonts w:hint="eastAsia"/>
              </w:rPr>
              <w:t>质量保证期：</w:t>
            </w:r>
            <w:r>
              <w:rPr>
                <w:rStyle w:val="11"/>
                <w:rFonts w:hint="eastAsia"/>
              </w:rPr>
              <w:t>2年</w:t>
            </w:r>
          </w:p>
        </w:tc>
      </w:tr>
      <w:tr w14:paraId="4C45EE43">
        <w:tblPrEx>
          <w:tblCellMar>
            <w:top w:w="0" w:type="dxa"/>
            <w:left w:w="0" w:type="dxa"/>
            <w:bottom w:w="0" w:type="dxa"/>
            <w:right w:w="0" w:type="dxa"/>
          </w:tblCellMar>
        </w:tblPrEx>
        <w:trPr>
          <w:wBefore w:w="0" w:type="auto"/>
          <w:tblCellSpacing w:w="0" w:type="dxa"/>
        </w:trPr>
        <w:tc>
          <w:tcPr>
            <w:tcW w:w="0" w:type="auto"/>
            <w:noWrap w:val="0"/>
            <w:vAlign w:val="center"/>
          </w:tcPr>
          <w:p w14:paraId="50F1D283">
            <w:r>
              <w:rPr>
                <w:rStyle w:val="10"/>
                <w:rFonts w:hint="eastAsia"/>
              </w:rPr>
              <w:t>备注：</w:t>
            </w:r>
          </w:p>
        </w:tc>
      </w:tr>
    </w:tbl>
    <w:p w14:paraId="6F907C1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D14401">
        <w:tblPrEx>
          <w:tblCellMar>
            <w:top w:w="0" w:type="dxa"/>
            <w:left w:w="0" w:type="dxa"/>
            <w:bottom w:w="0" w:type="dxa"/>
            <w:right w:w="0" w:type="dxa"/>
          </w:tblCellMar>
        </w:tblPrEx>
        <w:trPr>
          <w:wBefore w:w="0" w:type="auto"/>
          <w:tblCellSpacing w:w="0" w:type="dxa"/>
        </w:trPr>
        <w:tc>
          <w:tcPr>
            <w:tcW w:w="0" w:type="auto"/>
            <w:noWrap w:val="0"/>
            <w:vAlign w:val="center"/>
          </w:tcPr>
          <w:p w14:paraId="178E9747">
            <w:r>
              <w:rPr>
                <w:rStyle w:val="10"/>
                <w:rFonts w:hint="eastAsia"/>
              </w:rPr>
              <w:t>登记证号：</w:t>
            </w:r>
            <w:r>
              <w:rPr>
                <w:rFonts w:hint="eastAsia"/>
              </w:rPr>
              <w:t>PD20212377</w:t>
            </w:r>
          </w:p>
        </w:tc>
      </w:tr>
      <w:tr w14:paraId="2EB5DC30">
        <w:tblPrEx>
          <w:tblCellMar>
            <w:top w:w="0" w:type="dxa"/>
            <w:left w:w="0" w:type="dxa"/>
            <w:bottom w:w="0" w:type="dxa"/>
            <w:right w:w="0" w:type="dxa"/>
          </w:tblCellMar>
        </w:tblPrEx>
        <w:trPr>
          <w:wBefore w:w="0" w:type="auto"/>
          <w:tblCellSpacing w:w="0" w:type="dxa"/>
        </w:trPr>
        <w:tc>
          <w:tcPr>
            <w:tcW w:w="0" w:type="auto"/>
            <w:noWrap w:val="0"/>
            <w:vAlign w:val="center"/>
          </w:tcPr>
          <w:p w14:paraId="19BC1F35">
            <w:r>
              <w:rPr>
                <w:rStyle w:val="10"/>
                <w:rFonts w:hint="eastAsia"/>
              </w:rPr>
              <w:t>登记证持有人：</w:t>
            </w:r>
            <w:r>
              <w:rPr>
                <w:rFonts w:hint="eastAsia"/>
              </w:rPr>
              <w:t>河北利时捷生物科技有限公司</w:t>
            </w:r>
          </w:p>
        </w:tc>
      </w:tr>
      <w:tr w14:paraId="79CF0541">
        <w:tblPrEx>
          <w:tblCellMar>
            <w:top w:w="0" w:type="dxa"/>
            <w:left w:w="0" w:type="dxa"/>
            <w:bottom w:w="0" w:type="dxa"/>
            <w:right w:w="0" w:type="dxa"/>
          </w:tblCellMar>
        </w:tblPrEx>
        <w:trPr>
          <w:wBefore w:w="0" w:type="auto"/>
          <w:tblCellSpacing w:w="0" w:type="dxa"/>
        </w:trPr>
        <w:tc>
          <w:tcPr>
            <w:tcW w:w="0" w:type="auto"/>
            <w:noWrap w:val="0"/>
            <w:vAlign w:val="center"/>
          </w:tcPr>
          <w:p w14:paraId="090382B2">
            <w:r>
              <w:rPr>
                <w:rStyle w:val="10"/>
                <w:rFonts w:hint="eastAsia"/>
              </w:rPr>
              <w:t>农药名称：</w:t>
            </w:r>
            <w:r>
              <w:rPr>
                <w:rFonts w:hint="eastAsia"/>
              </w:rPr>
              <w:t>虫螨腈·噻虫胺</w:t>
            </w:r>
          </w:p>
        </w:tc>
      </w:tr>
      <w:tr w14:paraId="086E9F64">
        <w:tblPrEx>
          <w:tblCellMar>
            <w:top w:w="0" w:type="dxa"/>
            <w:left w:w="0" w:type="dxa"/>
            <w:bottom w:w="0" w:type="dxa"/>
            <w:right w:w="0" w:type="dxa"/>
          </w:tblCellMar>
        </w:tblPrEx>
        <w:trPr>
          <w:wBefore w:w="0" w:type="auto"/>
          <w:tblCellSpacing w:w="0" w:type="dxa"/>
        </w:trPr>
        <w:tc>
          <w:tcPr>
            <w:tcW w:w="0" w:type="auto"/>
            <w:noWrap w:val="0"/>
            <w:vAlign w:val="center"/>
          </w:tcPr>
          <w:p w14:paraId="632EBD1A">
            <w:r>
              <w:rPr>
                <w:rStyle w:val="10"/>
                <w:rFonts w:hint="eastAsia"/>
              </w:rPr>
              <w:t>剂型：</w:t>
            </w:r>
            <w:r>
              <w:rPr>
                <w:rFonts w:hint="eastAsia"/>
              </w:rPr>
              <w:t>悬浮剂</w:t>
            </w:r>
          </w:p>
        </w:tc>
      </w:tr>
      <w:tr w14:paraId="11F8788B">
        <w:tblPrEx>
          <w:tblCellMar>
            <w:top w:w="0" w:type="dxa"/>
            <w:left w:w="0" w:type="dxa"/>
            <w:bottom w:w="0" w:type="dxa"/>
            <w:right w:w="0" w:type="dxa"/>
          </w:tblCellMar>
        </w:tblPrEx>
        <w:trPr>
          <w:wBefore w:w="0" w:type="auto"/>
          <w:tblCellSpacing w:w="0" w:type="dxa"/>
        </w:trPr>
        <w:tc>
          <w:tcPr>
            <w:tcW w:w="0" w:type="auto"/>
            <w:noWrap w:val="0"/>
            <w:vAlign w:val="center"/>
          </w:tcPr>
          <w:p w14:paraId="0B57E581">
            <w:r>
              <w:rPr>
                <w:rStyle w:val="10"/>
                <w:rFonts w:hint="eastAsia"/>
              </w:rPr>
              <w:t>毒性及其标识：</w:t>
            </w:r>
            <w:r>
              <w:rPr>
                <w:rFonts w:hint="eastAsia"/>
              </w:rPr>
              <w:t xml:space="preserve"> </w:t>
            </w:r>
            <w:r>
              <w:rPr>
                <w:lang/>
              </w:rPr>
              <w:drawing>
                <wp:inline distT="0" distB="0" distL="114300" distR="114300">
                  <wp:extent cx="476250" cy="323850"/>
                  <wp:effectExtent l="0" t="0" r="0" b="0"/>
                  <wp:docPr id="259" name="图片 2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E619A04">
        <w:tblPrEx>
          <w:tblCellMar>
            <w:top w:w="0" w:type="dxa"/>
            <w:left w:w="0" w:type="dxa"/>
            <w:bottom w:w="0" w:type="dxa"/>
            <w:right w:w="0" w:type="dxa"/>
          </w:tblCellMar>
        </w:tblPrEx>
        <w:trPr>
          <w:wBefore w:w="0" w:type="auto"/>
          <w:tblCellSpacing w:w="0" w:type="dxa"/>
        </w:trPr>
        <w:tc>
          <w:tcPr>
            <w:tcW w:w="0" w:type="auto"/>
            <w:noWrap w:val="0"/>
            <w:vAlign w:val="center"/>
          </w:tcPr>
          <w:p w14:paraId="65744EA2">
            <w:r>
              <w:rPr>
                <w:rStyle w:val="10"/>
                <w:rFonts w:hint="eastAsia"/>
              </w:rPr>
              <w:t>总有效成分含量：</w:t>
            </w:r>
            <w:r>
              <w:rPr>
                <w:rFonts w:hint="eastAsia"/>
              </w:rPr>
              <w:t>28%</w:t>
            </w:r>
          </w:p>
        </w:tc>
      </w:tr>
      <w:tr w14:paraId="1741F16C">
        <w:tblPrEx>
          <w:tblCellMar>
            <w:top w:w="0" w:type="dxa"/>
            <w:left w:w="0" w:type="dxa"/>
            <w:bottom w:w="0" w:type="dxa"/>
            <w:right w:w="0" w:type="dxa"/>
          </w:tblCellMar>
        </w:tblPrEx>
        <w:trPr>
          <w:wBefore w:w="0" w:type="auto"/>
          <w:tblCellSpacing w:w="0" w:type="dxa"/>
        </w:trPr>
        <w:tc>
          <w:tcPr>
            <w:tcW w:w="0" w:type="auto"/>
            <w:noWrap w:val="0"/>
            <w:vAlign w:val="center"/>
          </w:tcPr>
          <w:p w14:paraId="7868871A">
            <w:r>
              <w:rPr>
                <w:rFonts w:hint="eastAsia"/>
              </w:rPr>
              <w:t xml:space="preserve">有效成分及其含量： </w:t>
            </w:r>
          </w:p>
          <w:p w14:paraId="54181102">
            <w:r>
              <w:rPr>
                <w:rFonts w:hint="eastAsia"/>
              </w:rPr>
              <w:t xml:space="preserve">    虫螨腈8%    噻虫胺20%    </w:t>
            </w:r>
          </w:p>
        </w:tc>
      </w:tr>
      <w:tr w14:paraId="6EC374F4">
        <w:tblPrEx>
          <w:tblCellMar>
            <w:top w:w="0" w:type="dxa"/>
            <w:left w:w="0" w:type="dxa"/>
            <w:bottom w:w="0" w:type="dxa"/>
            <w:right w:w="0" w:type="dxa"/>
          </w:tblCellMar>
        </w:tblPrEx>
        <w:trPr>
          <w:wBefore w:w="0" w:type="auto"/>
          <w:tblCellSpacing w:w="0" w:type="dxa"/>
        </w:trPr>
        <w:tc>
          <w:tcPr>
            <w:tcW w:w="0" w:type="auto"/>
            <w:noWrap w:val="0"/>
            <w:vAlign w:val="center"/>
          </w:tcPr>
          <w:p w14:paraId="1D3DF65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E694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55C9D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9B2F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2B37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7767E7">
                  <w:r>
                    <w:rPr>
                      <w:rStyle w:val="11"/>
                      <w:rFonts w:hint="eastAsia"/>
                    </w:rPr>
                    <w:t>施用方式</w:t>
                  </w:r>
                </w:p>
              </w:tc>
            </w:tr>
            <w:tr w14:paraId="6B0ED0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918887">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0A5350">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3CBF9D">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39D5FA">
                  <w:r>
                    <w:rPr>
                      <w:rStyle w:val="11"/>
                      <w:rFonts w:hint="eastAsia"/>
                    </w:rPr>
                    <w:t>喷雾</w:t>
                  </w:r>
                </w:p>
              </w:tc>
            </w:tr>
          </w:tbl>
          <w:p w14:paraId="162323F5">
            <w:pPr>
              <w:rPr>
                <w:rFonts w:ascii="Times New Roman" w:hAnsi="Times New Roman" w:cs="Times New Roman"/>
                <w:sz w:val="20"/>
                <w:szCs w:val="20"/>
              </w:rPr>
            </w:pPr>
          </w:p>
        </w:tc>
      </w:tr>
      <w:tr w14:paraId="45084C43">
        <w:tblPrEx>
          <w:tblCellMar>
            <w:top w:w="0" w:type="dxa"/>
            <w:left w:w="0" w:type="dxa"/>
            <w:bottom w:w="0" w:type="dxa"/>
            <w:right w:w="0" w:type="dxa"/>
          </w:tblCellMar>
        </w:tblPrEx>
        <w:trPr>
          <w:wBefore w:w="0" w:type="auto"/>
          <w:tblCellSpacing w:w="0" w:type="dxa"/>
        </w:trPr>
        <w:tc>
          <w:tcPr>
            <w:tcW w:w="0" w:type="auto"/>
            <w:noWrap w:val="0"/>
            <w:vAlign w:val="center"/>
          </w:tcPr>
          <w:p w14:paraId="586FCE45">
            <w:r>
              <w:rPr>
                <w:rStyle w:val="10"/>
                <w:rFonts w:hint="eastAsia"/>
              </w:rPr>
              <w:t>使用技术要求:</w:t>
            </w:r>
            <w:r>
              <w:rPr>
                <w:rFonts w:hint="eastAsia"/>
              </w:rPr>
              <w:br w:type="textWrapping"/>
            </w:r>
            <w:r>
              <w:rPr>
                <w:rStyle w:val="11"/>
                <w:rFonts w:hint="eastAsia"/>
              </w:rPr>
              <w:t>1. 于茄子蓟马发生始盛期施药1次，注意喷雾均匀周到。 2. 大风天或预计1小时内降雨，请勿施药。 3. 本品在茄子上使用的安全间隔期为7天，每季最多使用1次。</w:t>
            </w:r>
          </w:p>
        </w:tc>
      </w:tr>
      <w:tr w14:paraId="6BF1A443">
        <w:tblPrEx>
          <w:tblCellMar>
            <w:top w:w="0" w:type="dxa"/>
            <w:left w:w="0" w:type="dxa"/>
            <w:bottom w:w="0" w:type="dxa"/>
            <w:right w:w="0" w:type="dxa"/>
          </w:tblCellMar>
        </w:tblPrEx>
        <w:trPr>
          <w:wBefore w:w="0" w:type="auto"/>
          <w:tblCellSpacing w:w="0" w:type="dxa"/>
        </w:trPr>
        <w:tc>
          <w:tcPr>
            <w:tcW w:w="0" w:type="auto"/>
            <w:noWrap w:val="0"/>
            <w:vAlign w:val="center"/>
          </w:tcPr>
          <w:p w14:paraId="7898BE0C">
            <w:r>
              <w:rPr>
                <w:rStyle w:val="10"/>
                <w:rFonts w:hint="eastAsia"/>
              </w:rPr>
              <w:t>产品性能:</w:t>
            </w:r>
            <w:r>
              <w:rPr>
                <w:rFonts w:hint="eastAsia"/>
              </w:rPr>
              <w:br w:type="textWrapping"/>
            </w:r>
            <w:r>
              <w:rPr>
                <w:rStyle w:val="11"/>
                <w:rFonts w:hint="eastAsia"/>
              </w:rPr>
              <w:t>本品为白色无味悬浮液体，虫螨腈是一种芳基取代吡咯化合物，在植物叶面渗透性较强；噻虫胺一种高效安全、高选择性的新烟碱类杀虫剂。二者结合具有触杀、胃杀和内吸活性强的作用特点，正常使用条件下对茄子蓟马有很好的防治效果。</w:t>
            </w:r>
          </w:p>
        </w:tc>
      </w:tr>
      <w:tr w14:paraId="1537FA34">
        <w:tblPrEx>
          <w:tblCellMar>
            <w:top w:w="0" w:type="dxa"/>
            <w:left w:w="0" w:type="dxa"/>
            <w:bottom w:w="0" w:type="dxa"/>
            <w:right w:w="0" w:type="dxa"/>
          </w:tblCellMar>
        </w:tblPrEx>
        <w:trPr>
          <w:wBefore w:w="0" w:type="auto"/>
          <w:tblCellSpacing w:w="0" w:type="dxa"/>
        </w:trPr>
        <w:tc>
          <w:tcPr>
            <w:tcW w:w="0" w:type="auto"/>
            <w:noWrap w:val="0"/>
            <w:vAlign w:val="center"/>
          </w:tcPr>
          <w:p w14:paraId="064587E9">
            <w:r>
              <w:rPr>
                <w:rStyle w:val="10"/>
                <w:rFonts w:hint="eastAsia"/>
              </w:rPr>
              <w:t>注意事项：</w:t>
            </w:r>
            <w:r>
              <w:rPr>
                <w:rFonts w:hint="eastAsia"/>
              </w:rPr>
              <w:br w:type="textWrapping"/>
            </w:r>
            <w:r>
              <w:rPr>
                <w:rStyle w:val="11"/>
                <w:rFonts w:hint="eastAsia"/>
              </w:rPr>
              <w:t>1. 严格按照规定用药量和方法使用。 2. 本品不可与呈碱性的农药等物质混合使用。 3. 建议与其他作用机制不同的杀虫剂轮换使用，以延缓抗性产生。 4. 本品对蜜蜂、家蚕、七星瓢虫高风险，水产养殖区、河塘等水体附近禁用；禁止在河塘等水体中清洗施药器具；蚕室及桑园附近、鸟类保护区、赤眼蜂、瓢虫等天敌放飞区域禁用；养蜂场所和周围开花植物花期禁用，使用时应密切关注对附近蜂群的影响。 5. 本品对眼睛有刺激性，使用时避免接触眼睛，穿戴长衣、长裤、帽子、口罩、手套等防护措施，避免皮肤接触及口鼻吸入。使用中不可吸烟、饮水、及吃东西，使用后及时清洗手、脸等暴露部位皮肤并更换衣物。 6. 用药后包装物及用过的容器应妥善处理，不可做他用，也不可随意丢弃。 7. 孕妇及哺乳期妇女禁止接触本品。8. 避免与氧化剂接触。</w:t>
            </w:r>
          </w:p>
        </w:tc>
      </w:tr>
      <w:tr w14:paraId="7234F556">
        <w:tblPrEx>
          <w:tblCellMar>
            <w:top w:w="0" w:type="dxa"/>
            <w:left w:w="0" w:type="dxa"/>
            <w:bottom w:w="0" w:type="dxa"/>
            <w:right w:w="0" w:type="dxa"/>
          </w:tblCellMar>
        </w:tblPrEx>
        <w:trPr>
          <w:wBefore w:w="0" w:type="auto"/>
          <w:tblCellSpacing w:w="0" w:type="dxa"/>
        </w:trPr>
        <w:tc>
          <w:tcPr>
            <w:tcW w:w="0" w:type="auto"/>
            <w:noWrap w:val="0"/>
            <w:vAlign w:val="center"/>
          </w:tcPr>
          <w:p w14:paraId="566CB50E">
            <w:r>
              <w:rPr>
                <w:rStyle w:val="10"/>
                <w:rFonts w:hint="eastAsia"/>
              </w:rPr>
              <w:t>中毒急救措施：</w:t>
            </w:r>
            <w:r>
              <w:rPr>
                <w:rFonts w:hint="eastAsia"/>
              </w:rPr>
              <w:br w:type="textWrapping"/>
            </w:r>
            <w:r>
              <w:rPr>
                <w:rStyle w:val="11"/>
                <w:rFonts w:hint="eastAsia"/>
              </w:rPr>
              <w:t>中毒症状：轻度中毒：头痛、呕吐、出汗等；过量误服，可导致腹泻发生或重者抽搐。使用中或使用后如果感觉不适，应立即停止工作，采取急救措施。1.皮肤接触：脱去污染的衣物，用软布去除沾染农药，立即用大量清水和肥皂冲洗。2.眼睛溅入：立即用流动清水冲洗不少于15分钟。3.吸入：立即离开施药现场，转移到空气清新处。4.误食：请勿引吐，立即携带标签，送医就诊。无专用解毒剂，对症治疗。</w:t>
            </w:r>
          </w:p>
        </w:tc>
      </w:tr>
      <w:tr w14:paraId="6545870E">
        <w:tblPrEx>
          <w:tblCellMar>
            <w:top w:w="0" w:type="dxa"/>
            <w:left w:w="0" w:type="dxa"/>
            <w:bottom w:w="0" w:type="dxa"/>
            <w:right w:w="0" w:type="dxa"/>
          </w:tblCellMar>
        </w:tblPrEx>
        <w:trPr>
          <w:wBefore w:w="0" w:type="auto"/>
          <w:tblCellSpacing w:w="0" w:type="dxa"/>
        </w:trPr>
        <w:tc>
          <w:tcPr>
            <w:tcW w:w="0" w:type="auto"/>
            <w:noWrap w:val="0"/>
            <w:vAlign w:val="center"/>
          </w:tcPr>
          <w:p w14:paraId="572B5CEC">
            <w:r>
              <w:rPr>
                <w:rStyle w:val="10"/>
                <w:rFonts w:hint="eastAsia"/>
              </w:rPr>
              <w:t>储存和运输方法：</w:t>
            </w:r>
            <w:r>
              <w:rPr>
                <w:rFonts w:hint="eastAsia"/>
              </w:rPr>
              <w:br w:type="textWrapping"/>
            </w:r>
            <w:r>
              <w:rPr>
                <w:rStyle w:val="11"/>
                <w:rFonts w:hint="eastAsia"/>
              </w:rPr>
              <w:t>1. 本品应贮存在干燥、阴凉、通风、防雨处，远离火源或热源。2. 置于儿童、无关人员及动物接触不到的地方，并加锁保存。3. 勿与食品、饮料、粮食、饲料等其他商品同贮同运。</w:t>
            </w:r>
          </w:p>
        </w:tc>
      </w:tr>
      <w:tr w14:paraId="394D1046">
        <w:tblPrEx>
          <w:tblCellMar>
            <w:top w:w="0" w:type="dxa"/>
            <w:left w:w="0" w:type="dxa"/>
            <w:bottom w:w="0" w:type="dxa"/>
            <w:right w:w="0" w:type="dxa"/>
          </w:tblCellMar>
        </w:tblPrEx>
        <w:trPr>
          <w:wBefore w:w="0" w:type="auto"/>
          <w:tblCellSpacing w:w="0" w:type="dxa"/>
        </w:trPr>
        <w:tc>
          <w:tcPr>
            <w:tcW w:w="0" w:type="auto"/>
            <w:noWrap w:val="0"/>
            <w:vAlign w:val="center"/>
          </w:tcPr>
          <w:p w14:paraId="2F942DAA">
            <w:r>
              <w:rPr>
                <w:rStyle w:val="10"/>
                <w:rFonts w:hint="eastAsia"/>
              </w:rPr>
              <w:t>质量保证期：</w:t>
            </w:r>
            <w:r>
              <w:rPr>
                <w:rStyle w:val="11"/>
                <w:rFonts w:hint="eastAsia"/>
              </w:rPr>
              <w:t>2年</w:t>
            </w:r>
          </w:p>
        </w:tc>
      </w:tr>
      <w:tr w14:paraId="1ACA6DEF">
        <w:tblPrEx>
          <w:tblCellMar>
            <w:top w:w="0" w:type="dxa"/>
            <w:left w:w="0" w:type="dxa"/>
            <w:bottom w:w="0" w:type="dxa"/>
            <w:right w:w="0" w:type="dxa"/>
          </w:tblCellMar>
        </w:tblPrEx>
        <w:trPr>
          <w:wBefore w:w="0" w:type="auto"/>
          <w:tblCellSpacing w:w="0" w:type="dxa"/>
        </w:trPr>
        <w:tc>
          <w:tcPr>
            <w:tcW w:w="0" w:type="auto"/>
            <w:noWrap w:val="0"/>
            <w:vAlign w:val="center"/>
          </w:tcPr>
          <w:p w14:paraId="4CCEC109">
            <w:r>
              <w:rPr>
                <w:rStyle w:val="10"/>
                <w:rFonts w:hint="eastAsia"/>
              </w:rPr>
              <w:t>备注：</w:t>
            </w:r>
          </w:p>
        </w:tc>
      </w:tr>
    </w:tbl>
    <w:p w14:paraId="4543A1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7B9B94">
        <w:tblPrEx>
          <w:tblCellMar>
            <w:top w:w="0" w:type="dxa"/>
            <w:left w:w="0" w:type="dxa"/>
            <w:bottom w:w="0" w:type="dxa"/>
            <w:right w:w="0" w:type="dxa"/>
          </w:tblCellMar>
        </w:tblPrEx>
        <w:trPr>
          <w:wBefore w:w="0" w:type="auto"/>
          <w:tblCellSpacing w:w="0" w:type="dxa"/>
        </w:trPr>
        <w:tc>
          <w:tcPr>
            <w:tcW w:w="0" w:type="auto"/>
            <w:noWrap w:val="0"/>
            <w:vAlign w:val="center"/>
          </w:tcPr>
          <w:p w14:paraId="180399A8">
            <w:r>
              <w:rPr>
                <w:rStyle w:val="10"/>
                <w:rFonts w:hint="eastAsia"/>
              </w:rPr>
              <w:t>登记证号：</w:t>
            </w:r>
            <w:r>
              <w:rPr>
                <w:rFonts w:hint="eastAsia"/>
              </w:rPr>
              <w:t>PD20212481</w:t>
            </w:r>
          </w:p>
        </w:tc>
      </w:tr>
      <w:tr w14:paraId="40360330">
        <w:tblPrEx>
          <w:tblCellMar>
            <w:top w:w="0" w:type="dxa"/>
            <w:left w:w="0" w:type="dxa"/>
            <w:bottom w:w="0" w:type="dxa"/>
            <w:right w:w="0" w:type="dxa"/>
          </w:tblCellMar>
        </w:tblPrEx>
        <w:trPr>
          <w:wBefore w:w="0" w:type="auto"/>
          <w:tblCellSpacing w:w="0" w:type="dxa"/>
        </w:trPr>
        <w:tc>
          <w:tcPr>
            <w:tcW w:w="0" w:type="auto"/>
            <w:noWrap w:val="0"/>
            <w:vAlign w:val="center"/>
          </w:tcPr>
          <w:p w14:paraId="6000F275">
            <w:r>
              <w:rPr>
                <w:rStyle w:val="10"/>
                <w:rFonts w:hint="eastAsia"/>
              </w:rPr>
              <w:t>登记证持有人：</w:t>
            </w:r>
            <w:r>
              <w:rPr>
                <w:rFonts w:hint="eastAsia"/>
              </w:rPr>
              <w:t>湖南新长山农业发展股份有限公司</w:t>
            </w:r>
          </w:p>
        </w:tc>
      </w:tr>
      <w:tr w14:paraId="1E7DD955">
        <w:tblPrEx>
          <w:tblCellMar>
            <w:top w:w="0" w:type="dxa"/>
            <w:left w:w="0" w:type="dxa"/>
            <w:bottom w:w="0" w:type="dxa"/>
            <w:right w:w="0" w:type="dxa"/>
          </w:tblCellMar>
        </w:tblPrEx>
        <w:trPr>
          <w:wBefore w:w="0" w:type="auto"/>
          <w:tblCellSpacing w:w="0" w:type="dxa"/>
        </w:trPr>
        <w:tc>
          <w:tcPr>
            <w:tcW w:w="0" w:type="auto"/>
            <w:noWrap w:val="0"/>
            <w:vAlign w:val="center"/>
          </w:tcPr>
          <w:p w14:paraId="70EB93A9">
            <w:r>
              <w:rPr>
                <w:rStyle w:val="10"/>
                <w:rFonts w:hint="eastAsia"/>
              </w:rPr>
              <w:t>农药名称：</w:t>
            </w:r>
            <w:r>
              <w:rPr>
                <w:rFonts w:hint="eastAsia"/>
              </w:rPr>
              <w:t>苄嘧·丙草胺</w:t>
            </w:r>
          </w:p>
        </w:tc>
      </w:tr>
      <w:tr w14:paraId="67B88D25">
        <w:tblPrEx>
          <w:tblCellMar>
            <w:top w:w="0" w:type="dxa"/>
            <w:left w:w="0" w:type="dxa"/>
            <w:bottom w:w="0" w:type="dxa"/>
            <w:right w:w="0" w:type="dxa"/>
          </w:tblCellMar>
        </w:tblPrEx>
        <w:trPr>
          <w:wBefore w:w="0" w:type="auto"/>
          <w:tblCellSpacing w:w="0" w:type="dxa"/>
        </w:trPr>
        <w:tc>
          <w:tcPr>
            <w:tcW w:w="0" w:type="auto"/>
            <w:noWrap w:val="0"/>
            <w:vAlign w:val="center"/>
          </w:tcPr>
          <w:p w14:paraId="61B6194E">
            <w:r>
              <w:rPr>
                <w:rStyle w:val="10"/>
                <w:rFonts w:hint="eastAsia"/>
              </w:rPr>
              <w:t>剂型：</w:t>
            </w:r>
            <w:r>
              <w:rPr>
                <w:rFonts w:hint="eastAsia"/>
              </w:rPr>
              <w:t>可分散油悬浮剂</w:t>
            </w:r>
          </w:p>
        </w:tc>
      </w:tr>
      <w:tr w14:paraId="46518387">
        <w:tblPrEx>
          <w:tblCellMar>
            <w:top w:w="0" w:type="dxa"/>
            <w:left w:w="0" w:type="dxa"/>
            <w:bottom w:w="0" w:type="dxa"/>
            <w:right w:w="0" w:type="dxa"/>
          </w:tblCellMar>
        </w:tblPrEx>
        <w:trPr>
          <w:wBefore w:w="0" w:type="auto"/>
          <w:tblCellSpacing w:w="0" w:type="dxa"/>
        </w:trPr>
        <w:tc>
          <w:tcPr>
            <w:tcW w:w="0" w:type="auto"/>
            <w:noWrap w:val="0"/>
            <w:vAlign w:val="center"/>
          </w:tcPr>
          <w:p w14:paraId="35700FD4">
            <w:r>
              <w:rPr>
                <w:rStyle w:val="10"/>
                <w:rFonts w:hint="eastAsia"/>
              </w:rPr>
              <w:t>毒性及其标识：</w:t>
            </w:r>
            <w:r>
              <w:rPr>
                <w:rFonts w:hint="eastAsia"/>
              </w:rPr>
              <w:t xml:space="preserve"> </w:t>
            </w:r>
            <w:r>
              <w:rPr>
                <w:lang/>
              </w:rPr>
              <w:drawing>
                <wp:inline distT="0" distB="0" distL="114300" distR="114300">
                  <wp:extent cx="476250" cy="323850"/>
                  <wp:effectExtent l="0" t="0" r="0" b="0"/>
                  <wp:docPr id="260" name="图片 2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BCD369">
        <w:tblPrEx>
          <w:tblCellMar>
            <w:top w:w="0" w:type="dxa"/>
            <w:left w:w="0" w:type="dxa"/>
            <w:bottom w:w="0" w:type="dxa"/>
            <w:right w:w="0" w:type="dxa"/>
          </w:tblCellMar>
        </w:tblPrEx>
        <w:trPr>
          <w:wBefore w:w="0" w:type="auto"/>
          <w:tblCellSpacing w:w="0" w:type="dxa"/>
        </w:trPr>
        <w:tc>
          <w:tcPr>
            <w:tcW w:w="0" w:type="auto"/>
            <w:noWrap w:val="0"/>
            <w:vAlign w:val="center"/>
          </w:tcPr>
          <w:p w14:paraId="5845CA3C">
            <w:r>
              <w:rPr>
                <w:rStyle w:val="10"/>
                <w:rFonts w:hint="eastAsia"/>
              </w:rPr>
              <w:t>总有效成分含量：</w:t>
            </w:r>
            <w:r>
              <w:rPr>
                <w:rFonts w:hint="eastAsia"/>
              </w:rPr>
              <w:t>35%</w:t>
            </w:r>
          </w:p>
        </w:tc>
      </w:tr>
      <w:tr w14:paraId="2F8E1B3D">
        <w:tblPrEx>
          <w:tblCellMar>
            <w:top w:w="0" w:type="dxa"/>
            <w:left w:w="0" w:type="dxa"/>
            <w:bottom w:w="0" w:type="dxa"/>
            <w:right w:w="0" w:type="dxa"/>
          </w:tblCellMar>
        </w:tblPrEx>
        <w:trPr>
          <w:wBefore w:w="0" w:type="auto"/>
          <w:tblCellSpacing w:w="0" w:type="dxa"/>
        </w:trPr>
        <w:tc>
          <w:tcPr>
            <w:tcW w:w="0" w:type="auto"/>
            <w:noWrap w:val="0"/>
            <w:vAlign w:val="center"/>
          </w:tcPr>
          <w:p w14:paraId="27081A0E">
            <w:r>
              <w:rPr>
                <w:rFonts w:hint="eastAsia"/>
              </w:rPr>
              <w:t xml:space="preserve">有效成分及其含量： </w:t>
            </w:r>
          </w:p>
          <w:p w14:paraId="6F641B4A">
            <w:r>
              <w:rPr>
                <w:rFonts w:hint="eastAsia"/>
              </w:rPr>
              <w:t xml:space="preserve">    苄嘧磺隆3%    丙草胺32%    </w:t>
            </w:r>
          </w:p>
        </w:tc>
      </w:tr>
      <w:tr w14:paraId="647106A8">
        <w:tblPrEx>
          <w:tblCellMar>
            <w:top w:w="0" w:type="dxa"/>
            <w:left w:w="0" w:type="dxa"/>
            <w:bottom w:w="0" w:type="dxa"/>
            <w:right w:w="0" w:type="dxa"/>
          </w:tblCellMar>
        </w:tblPrEx>
        <w:trPr>
          <w:wBefore w:w="0" w:type="auto"/>
          <w:tblCellSpacing w:w="0" w:type="dxa"/>
        </w:trPr>
        <w:tc>
          <w:tcPr>
            <w:tcW w:w="0" w:type="auto"/>
            <w:noWrap w:val="0"/>
            <w:vAlign w:val="center"/>
          </w:tcPr>
          <w:p w14:paraId="35C27AC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8529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42A9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0200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39DE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267106">
                  <w:r>
                    <w:rPr>
                      <w:rStyle w:val="11"/>
                      <w:rFonts w:hint="eastAsia"/>
                    </w:rPr>
                    <w:t>施用方式</w:t>
                  </w:r>
                </w:p>
              </w:tc>
            </w:tr>
            <w:tr w14:paraId="4AF6F5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16F009">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9EA7C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A7C865">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4247E7">
                  <w:r>
                    <w:rPr>
                      <w:rStyle w:val="11"/>
                      <w:rFonts w:hint="eastAsia"/>
                    </w:rPr>
                    <w:t>土壤喷雾</w:t>
                  </w:r>
                </w:p>
              </w:tc>
            </w:tr>
          </w:tbl>
          <w:p w14:paraId="2472F40B">
            <w:pPr>
              <w:rPr>
                <w:rFonts w:ascii="Times New Roman" w:hAnsi="Times New Roman" w:cs="Times New Roman"/>
                <w:sz w:val="20"/>
                <w:szCs w:val="20"/>
              </w:rPr>
            </w:pPr>
          </w:p>
        </w:tc>
      </w:tr>
      <w:tr w14:paraId="069EBB94">
        <w:tblPrEx>
          <w:tblCellMar>
            <w:top w:w="0" w:type="dxa"/>
            <w:left w:w="0" w:type="dxa"/>
            <w:bottom w:w="0" w:type="dxa"/>
            <w:right w:w="0" w:type="dxa"/>
          </w:tblCellMar>
        </w:tblPrEx>
        <w:trPr>
          <w:wBefore w:w="0" w:type="auto"/>
          <w:tblCellSpacing w:w="0" w:type="dxa"/>
        </w:trPr>
        <w:tc>
          <w:tcPr>
            <w:tcW w:w="0" w:type="auto"/>
            <w:noWrap w:val="0"/>
            <w:vAlign w:val="center"/>
          </w:tcPr>
          <w:p w14:paraId="32A4FA89">
            <w:r>
              <w:rPr>
                <w:rStyle w:val="10"/>
                <w:rFonts w:hint="eastAsia"/>
              </w:rPr>
              <w:t>使用技术要求:</w:t>
            </w:r>
            <w:r>
              <w:rPr>
                <w:rFonts w:hint="eastAsia"/>
              </w:rPr>
              <w:br w:type="textWrapping"/>
            </w:r>
            <w:r>
              <w:rPr>
                <w:rStyle w:val="11"/>
                <w:rFonts w:hint="eastAsia"/>
              </w:rPr>
              <w:t>1. 直播稻播后庙前土壤喷雾施药1次。用药时间：播种后5天内用药；用药时畦面湿润无积水。2. 水层管理：落谷后至齐苗前畦面湿润无积水（墒沟半沟水）；齐苗后至封行前畦面保持浅水层，浅水勤灌，以水控制旱生杂草。整地平整，墒沟要深，排灌顺畅。3. 大风天或预计1小时内降雨，请勿施药。5. 每季作物最多使用1次。</w:t>
            </w:r>
          </w:p>
        </w:tc>
      </w:tr>
      <w:tr w14:paraId="09E3073B">
        <w:tblPrEx>
          <w:tblCellMar>
            <w:top w:w="0" w:type="dxa"/>
            <w:left w:w="0" w:type="dxa"/>
            <w:bottom w:w="0" w:type="dxa"/>
            <w:right w:w="0" w:type="dxa"/>
          </w:tblCellMar>
        </w:tblPrEx>
        <w:trPr>
          <w:wBefore w:w="0" w:type="auto"/>
          <w:tblCellSpacing w:w="0" w:type="dxa"/>
        </w:trPr>
        <w:tc>
          <w:tcPr>
            <w:tcW w:w="0" w:type="auto"/>
            <w:noWrap w:val="0"/>
            <w:vAlign w:val="center"/>
          </w:tcPr>
          <w:p w14:paraId="1606F9F9">
            <w:r>
              <w:rPr>
                <w:rStyle w:val="10"/>
                <w:rFonts w:hint="eastAsia"/>
              </w:rPr>
              <w:t>产品性能:</w:t>
            </w:r>
            <w:r>
              <w:rPr>
                <w:rFonts w:hint="eastAsia"/>
              </w:rPr>
              <w:br w:type="textWrapping"/>
            </w:r>
            <w:r>
              <w:rPr>
                <w:rStyle w:val="11"/>
                <w:rFonts w:hint="eastAsia"/>
              </w:rPr>
              <w:t>本品由磺酰脲和酰胺类除草剂经过合理筛选加适量安全剂复配而成，具有除草活性较高、安全性能较好、杀草谱较广、持效期较长等特点。能有效防除稗草、千金子、异型莎草等一年生杂草。</w:t>
            </w:r>
          </w:p>
        </w:tc>
      </w:tr>
      <w:tr w14:paraId="4BE1DE21">
        <w:tblPrEx>
          <w:tblCellMar>
            <w:top w:w="0" w:type="dxa"/>
            <w:left w:w="0" w:type="dxa"/>
            <w:bottom w:w="0" w:type="dxa"/>
            <w:right w:w="0" w:type="dxa"/>
          </w:tblCellMar>
        </w:tblPrEx>
        <w:trPr>
          <w:wBefore w:w="0" w:type="auto"/>
          <w:tblCellSpacing w:w="0" w:type="dxa"/>
        </w:trPr>
        <w:tc>
          <w:tcPr>
            <w:tcW w:w="0" w:type="auto"/>
            <w:noWrap w:val="0"/>
            <w:vAlign w:val="center"/>
          </w:tcPr>
          <w:p w14:paraId="0DBA9446">
            <w:r>
              <w:rPr>
                <w:rStyle w:val="10"/>
                <w:rFonts w:hint="eastAsia"/>
              </w:rPr>
              <w:t>注意事项：</w:t>
            </w:r>
            <w:r>
              <w:rPr>
                <w:rFonts w:hint="eastAsia"/>
              </w:rPr>
              <w:br w:type="textWrapping"/>
            </w:r>
            <w:r>
              <w:rPr>
                <w:rStyle w:val="11"/>
                <w:rFonts w:hint="eastAsia"/>
              </w:rPr>
              <w:t>1. 本品不能与强酸强碱性药剂混用。 2.本品对眼睛有刺激性，使用时避免接触眼睛，穿戴长衣、长裤、帽子、口罩、手套等防护措施，避免吸入药液。施药期间不可吃东西和饮水，施药后应及时洗手和洗脸。 3. 施药后残液严禁倒入河流中，器具禁止在河流等水体中清洗。水产养殖区、河塘等水体禁用，禁止在河塘等水体中清洗施药器具；鱼或虾蟹套养稻田禁用，施药后的田水不得直接排入水体，桑园及蚕室附近禁用禁用。 4. 用过的容器应妥善处理，不可做他用，也不可随意丢弃。 5. 孕妇及哺乳期的妇女避免接触本品。</w:t>
            </w:r>
          </w:p>
        </w:tc>
      </w:tr>
      <w:tr w14:paraId="7A1B763B">
        <w:tblPrEx>
          <w:tblCellMar>
            <w:top w:w="0" w:type="dxa"/>
            <w:left w:w="0" w:type="dxa"/>
            <w:bottom w:w="0" w:type="dxa"/>
            <w:right w:w="0" w:type="dxa"/>
          </w:tblCellMar>
        </w:tblPrEx>
        <w:trPr>
          <w:wBefore w:w="0" w:type="auto"/>
          <w:tblCellSpacing w:w="0" w:type="dxa"/>
        </w:trPr>
        <w:tc>
          <w:tcPr>
            <w:tcW w:w="0" w:type="auto"/>
            <w:noWrap w:val="0"/>
            <w:vAlign w:val="center"/>
          </w:tcPr>
          <w:p w14:paraId="5DC04261">
            <w:r>
              <w:rPr>
                <w:rStyle w:val="10"/>
                <w:rFonts w:hint="eastAsia"/>
              </w:rPr>
              <w:t>中毒急救措施：</w:t>
            </w:r>
            <w:r>
              <w:rPr>
                <w:rFonts w:hint="eastAsia"/>
              </w:rPr>
              <w:br w:type="textWrapping"/>
            </w:r>
            <w:r>
              <w:rPr>
                <w:rStyle w:val="11"/>
                <w:rFonts w:hint="eastAsia"/>
              </w:rPr>
              <w:t>本品对皮肤、眼、呼吸道有刺激作用。 1.用药时如果感觉不适应，立即停止工作，采取急救措施，并携带标签送医院就诊。 2.皮肤、眼睛溅药，用大量清水冲洗至少15 分钟。 3.误服送医院用医用活性炭洗胃，洗胃时应注意防止胃容物进入呼吸道。注意：对昏迷病人切勿经口喂入任何东西或引吐。中国预防医学科学院中毒控制中心24小时服务电话：010－83132345。</w:t>
            </w:r>
          </w:p>
        </w:tc>
      </w:tr>
      <w:tr w14:paraId="503C36FA">
        <w:tblPrEx>
          <w:tblCellMar>
            <w:top w:w="0" w:type="dxa"/>
            <w:left w:w="0" w:type="dxa"/>
            <w:bottom w:w="0" w:type="dxa"/>
            <w:right w:w="0" w:type="dxa"/>
          </w:tblCellMar>
        </w:tblPrEx>
        <w:trPr>
          <w:wBefore w:w="0" w:type="auto"/>
          <w:tblCellSpacing w:w="0" w:type="dxa"/>
        </w:trPr>
        <w:tc>
          <w:tcPr>
            <w:tcW w:w="0" w:type="auto"/>
            <w:noWrap w:val="0"/>
            <w:vAlign w:val="center"/>
          </w:tcPr>
          <w:p w14:paraId="7F870D2C">
            <w:r>
              <w:rPr>
                <w:rStyle w:val="10"/>
                <w:rFonts w:hint="eastAsia"/>
              </w:rPr>
              <w:t>储存和运输方法：</w:t>
            </w:r>
            <w:r>
              <w:rPr>
                <w:rFonts w:hint="eastAsia"/>
              </w:rPr>
              <w:br w:type="textWrapping"/>
            </w:r>
            <w:r>
              <w:rPr>
                <w:rStyle w:val="11"/>
                <w:rFonts w:hint="eastAsia"/>
              </w:rPr>
              <w:t>1. 本品应密封贮存在干燥、阴凉、通风、防雨处，远离火源或热源。2. 存放于儿童、无关人员触及不到之处，并加锁。 3. 勿与食品、饮料、粮食、饲料等其他商品同贮同运。</w:t>
            </w:r>
          </w:p>
        </w:tc>
      </w:tr>
      <w:tr w14:paraId="7D7F1776">
        <w:tblPrEx>
          <w:tblCellMar>
            <w:top w:w="0" w:type="dxa"/>
            <w:left w:w="0" w:type="dxa"/>
            <w:bottom w:w="0" w:type="dxa"/>
            <w:right w:w="0" w:type="dxa"/>
          </w:tblCellMar>
        </w:tblPrEx>
        <w:trPr>
          <w:wBefore w:w="0" w:type="auto"/>
          <w:tblCellSpacing w:w="0" w:type="dxa"/>
        </w:trPr>
        <w:tc>
          <w:tcPr>
            <w:tcW w:w="0" w:type="auto"/>
            <w:noWrap w:val="0"/>
            <w:vAlign w:val="center"/>
          </w:tcPr>
          <w:p w14:paraId="0157C1E7">
            <w:r>
              <w:rPr>
                <w:rStyle w:val="10"/>
                <w:rFonts w:hint="eastAsia"/>
              </w:rPr>
              <w:t>质量保证期：</w:t>
            </w:r>
            <w:r>
              <w:rPr>
                <w:rStyle w:val="11"/>
                <w:rFonts w:hint="eastAsia"/>
              </w:rPr>
              <w:t>2年</w:t>
            </w:r>
          </w:p>
        </w:tc>
      </w:tr>
      <w:tr w14:paraId="0D574B6E">
        <w:tblPrEx>
          <w:tblCellMar>
            <w:top w:w="0" w:type="dxa"/>
            <w:left w:w="0" w:type="dxa"/>
            <w:bottom w:w="0" w:type="dxa"/>
            <w:right w:w="0" w:type="dxa"/>
          </w:tblCellMar>
        </w:tblPrEx>
        <w:trPr>
          <w:wBefore w:w="0" w:type="auto"/>
          <w:tblCellSpacing w:w="0" w:type="dxa"/>
        </w:trPr>
        <w:tc>
          <w:tcPr>
            <w:tcW w:w="0" w:type="auto"/>
            <w:noWrap w:val="0"/>
            <w:vAlign w:val="center"/>
          </w:tcPr>
          <w:p w14:paraId="0A4EAED0">
            <w:r>
              <w:rPr>
                <w:rStyle w:val="10"/>
                <w:rFonts w:hint="eastAsia"/>
              </w:rPr>
              <w:t>备注：</w:t>
            </w:r>
          </w:p>
        </w:tc>
      </w:tr>
    </w:tbl>
    <w:p w14:paraId="0CD7951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A14E5D">
        <w:tblPrEx>
          <w:tblCellMar>
            <w:top w:w="0" w:type="dxa"/>
            <w:left w:w="0" w:type="dxa"/>
            <w:bottom w:w="0" w:type="dxa"/>
            <w:right w:w="0" w:type="dxa"/>
          </w:tblCellMar>
        </w:tblPrEx>
        <w:trPr>
          <w:wBefore w:w="0" w:type="auto"/>
          <w:tblCellSpacing w:w="0" w:type="dxa"/>
        </w:trPr>
        <w:tc>
          <w:tcPr>
            <w:tcW w:w="0" w:type="auto"/>
            <w:noWrap w:val="0"/>
            <w:vAlign w:val="center"/>
          </w:tcPr>
          <w:p w14:paraId="54D78143">
            <w:r>
              <w:rPr>
                <w:rStyle w:val="10"/>
                <w:rFonts w:hint="eastAsia"/>
              </w:rPr>
              <w:t>登记证号：</w:t>
            </w:r>
            <w:r>
              <w:rPr>
                <w:rFonts w:hint="eastAsia"/>
              </w:rPr>
              <w:t>PD20212549</w:t>
            </w:r>
          </w:p>
        </w:tc>
      </w:tr>
      <w:tr w14:paraId="63A8BEB2">
        <w:tblPrEx>
          <w:tblCellMar>
            <w:top w:w="0" w:type="dxa"/>
            <w:left w:w="0" w:type="dxa"/>
            <w:bottom w:w="0" w:type="dxa"/>
            <w:right w:w="0" w:type="dxa"/>
          </w:tblCellMar>
        </w:tblPrEx>
        <w:trPr>
          <w:wBefore w:w="0" w:type="auto"/>
          <w:tblCellSpacing w:w="0" w:type="dxa"/>
        </w:trPr>
        <w:tc>
          <w:tcPr>
            <w:tcW w:w="0" w:type="auto"/>
            <w:noWrap w:val="0"/>
            <w:vAlign w:val="center"/>
          </w:tcPr>
          <w:p w14:paraId="753BE22F">
            <w:r>
              <w:rPr>
                <w:rStyle w:val="10"/>
                <w:rFonts w:hint="eastAsia"/>
              </w:rPr>
              <w:t>登记证持有人：</w:t>
            </w:r>
            <w:r>
              <w:rPr>
                <w:rFonts w:hint="eastAsia"/>
              </w:rPr>
              <w:t>山东奥坤作物科学股份有限公司</w:t>
            </w:r>
          </w:p>
        </w:tc>
      </w:tr>
      <w:tr w14:paraId="08E1C1DD">
        <w:tblPrEx>
          <w:tblCellMar>
            <w:top w:w="0" w:type="dxa"/>
            <w:left w:w="0" w:type="dxa"/>
            <w:bottom w:w="0" w:type="dxa"/>
            <w:right w:w="0" w:type="dxa"/>
          </w:tblCellMar>
        </w:tblPrEx>
        <w:trPr>
          <w:wBefore w:w="0" w:type="auto"/>
          <w:tblCellSpacing w:w="0" w:type="dxa"/>
        </w:trPr>
        <w:tc>
          <w:tcPr>
            <w:tcW w:w="0" w:type="auto"/>
            <w:noWrap w:val="0"/>
            <w:vAlign w:val="center"/>
          </w:tcPr>
          <w:p w14:paraId="7418053C">
            <w:r>
              <w:rPr>
                <w:rStyle w:val="10"/>
                <w:rFonts w:hint="eastAsia"/>
              </w:rPr>
              <w:t>农药名称：</w:t>
            </w:r>
            <w:r>
              <w:rPr>
                <w:rFonts w:hint="eastAsia"/>
              </w:rPr>
              <w:t>氟草·草铵膦</w:t>
            </w:r>
          </w:p>
        </w:tc>
      </w:tr>
      <w:tr w14:paraId="14EE6091">
        <w:tblPrEx>
          <w:tblCellMar>
            <w:top w:w="0" w:type="dxa"/>
            <w:left w:w="0" w:type="dxa"/>
            <w:bottom w:w="0" w:type="dxa"/>
            <w:right w:w="0" w:type="dxa"/>
          </w:tblCellMar>
        </w:tblPrEx>
        <w:trPr>
          <w:wBefore w:w="0" w:type="auto"/>
          <w:tblCellSpacing w:w="0" w:type="dxa"/>
        </w:trPr>
        <w:tc>
          <w:tcPr>
            <w:tcW w:w="0" w:type="auto"/>
            <w:noWrap w:val="0"/>
            <w:vAlign w:val="center"/>
          </w:tcPr>
          <w:p w14:paraId="5CD2D540">
            <w:r>
              <w:rPr>
                <w:rStyle w:val="10"/>
                <w:rFonts w:hint="eastAsia"/>
              </w:rPr>
              <w:t>剂型：</w:t>
            </w:r>
            <w:r>
              <w:rPr>
                <w:rFonts w:hint="eastAsia"/>
              </w:rPr>
              <w:t>可分散油悬浮剂</w:t>
            </w:r>
          </w:p>
        </w:tc>
      </w:tr>
      <w:tr w14:paraId="309E2CDA">
        <w:tblPrEx>
          <w:tblCellMar>
            <w:top w:w="0" w:type="dxa"/>
            <w:left w:w="0" w:type="dxa"/>
            <w:bottom w:w="0" w:type="dxa"/>
            <w:right w:w="0" w:type="dxa"/>
          </w:tblCellMar>
        </w:tblPrEx>
        <w:trPr>
          <w:wBefore w:w="0" w:type="auto"/>
          <w:tblCellSpacing w:w="0" w:type="dxa"/>
        </w:trPr>
        <w:tc>
          <w:tcPr>
            <w:tcW w:w="0" w:type="auto"/>
            <w:noWrap w:val="0"/>
            <w:vAlign w:val="center"/>
          </w:tcPr>
          <w:p w14:paraId="2D98CF46">
            <w:r>
              <w:rPr>
                <w:rStyle w:val="10"/>
                <w:rFonts w:hint="eastAsia"/>
              </w:rPr>
              <w:t>毒性及其标识：</w:t>
            </w:r>
            <w:r>
              <w:rPr>
                <w:rFonts w:hint="eastAsia"/>
              </w:rPr>
              <w:t xml:space="preserve"> 微毒 </w:t>
            </w:r>
          </w:p>
        </w:tc>
      </w:tr>
      <w:tr w14:paraId="7B395CDE">
        <w:tblPrEx>
          <w:tblCellMar>
            <w:top w:w="0" w:type="dxa"/>
            <w:left w:w="0" w:type="dxa"/>
            <w:bottom w:w="0" w:type="dxa"/>
            <w:right w:w="0" w:type="dxa"/>
          </w:tblCellMar>
        </w:tblPrEx>
        <w:trPr>
          <w:wBefore w:w="0" w:type="auto"/>
          <w:tblCellSpacing w:w="0" w:type="dxa"/>
        </w:trPr>
        <w:tc>
          <w:tcPr>
            <w:tcW w:w="0" w:type="auto"/>
            <w:noWrap w:val="0"/>
            <w:vAlign w:val="center"/>
          </w:tcPr>
          <w:p w14:paraId="76D7A42D">
            <w:r>
              <w:rPr>
                <w:rStyle w:val="10"/>
                <w:rFonts w:hint="eastAsia"/>
              </w:rPr>
              <w:t>总有效成分含量：</w:t>
            </w:r>
            <w:r>
              <w:rPr>
                <w:rFonts w:hint="eastAsia"/>
              </w:rPr>
              <w:t>20%</w:t>
            </w:r>
          </w:p>
        </w:tc>
      </w:tr>
      <w:tr w14:paraId="4CFB232A">
        <w:tblPrEx>
          <w:tblCellMar>
            <w:top w:w="0" w:type="dxa"/>
            <w:left w:w="0" w:type="dxa"/>
            <w:bottom w:w="0" w:type="dxa"/>
            <w:right w:w="0" w:type="dxa"/>
          </w:tblCellMar>
        </w:tblPrEx>
        <w:trPr>
          <w:wBefore w:w="0" w:type="auto"/>
          <w:tblCellSpacing w:w="0" w:type="dxa"/>
        </w:trPr>
        <w:tc>
          <w:tcPr>
            <w:tcW w:w="0" w:type="auto"/>
            <w:noWrap w:val="0"/>
            <w:vAlign w:val="center"/>
          </w:tcPr>
          <w:p w14:paraId="3E91C2AB">
            <w:r>
              <w:rPr>
                <w:rFonts w:hint="eastAsia"/>
              </w:rPr>
              <w:t xml:space="preserve">有效成分及其含量： </w:t>
            </w:r>
          </w:p>
          <w:p w14:paraId="27E564D5">
            <w:r>
              <w:rPr>
                <w:rFonts w:hint="eastAsia"/>
              </w:rPr>
              <w:t xml:space="preserve">    丙炔氟草胺1.5%    草铵膦18.5%    </w:t>
            </w:r>
          </w:p>
        </w:tc>
      </w:tr>
      <w:tr w14:paraId="183EA09F">
        <w:tblPrEx>
          <w:tblCellMar>
            <w:top w:w="0" w:type="dxa"/>
            <w:left w:w="0" w:type="dxa"/>
            <w:bottom w:w="0" w:type="dxa"/>
            <w:right w:w="0" w:type="dxa"/>
          </w:tblCellMar>
        </w:tblPrEx>
        <w:trPr>
          <w:wBefore w:w="0" w:type="auto"/>
          <w:tblCellSpacing w:w="0" w:type="dxa"/>
        </w:trPr>
        <w:tc>
          <w:tcPr>
            <w:tcW w:w="0" w:type="auto"/>
            <w:noWrap w:val="0"/>
            <w:vAlign w:val="center"/>
          </w:tcPr>
          <w:p w14:paraId="75CF85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D358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55553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AF08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697C7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9B8E2F">
                  <w:r>
                    <w:rPr>
                      <w:rStyle w:val="11"/>
                      <w:rFonts w:hint="eastAsia"/>
                    </w:rPr>
                    <w:t>施用方式</w:t>
                  </w:r>
                </w:p>
              </w:tc>
            </w:tr>
            <w:tr w14:paraId="4F9B9C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2C67E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9A5AF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9E9234">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FDA938">
                  <w:r>
                    <w:rPr>
                      <w:rStyle w:val="11"/>
                      <w:rFonts w:hint="eastAsia"/>
                    </w:rPr>
                    <w:t>茎叶喷雾</w:t>
                  </w:r>
                </w:p>
              </w:tc>
            </w:tr>
          </w:tbl>
          <w:p w14:paraId="1B84C955">
            <w:pPr>
              <w:rPr>
                <w:rFonts w:ascii="Times New Roman" w:hAnsi="Times New Roman" w:cs="Times New Roman"/>
                <w:sz w:val="20"/>
                <w:szCs w:val="20"/>
              </w:rPr>
            </w:pPr>
          </w:p>
        </w:tc>
      </w:tr>
      <w:tr w14:paraId="075592E3">
        <w:tblPrEx>
          <w:tblCellMar>
            <w:top w:w="0" w:type="dxa"/>
            <w:left w:w="0" w:type="dxa"/>
            <w:bottom w:w="0" w:type="dxa"/>
            <w:right w:w="0" w:type="dxa"/>
          </w:tblCellMar>
        </w:tblPrEx>
        <w:trPr>
          <w:wBefore w:w="0" w:type="auto"/>
          <w:tblCellSpacing w:w="0" w:type="dxa"/>
        </w:trPr>
        <w:tc>
          <w:tcPr>
            <w:tcW w:w="0" w:type="auto"/>
            <w:noWrap w:val="0"/>
            <w:vAlign w:val="center"/>
          </w:tcPr>
          <w:p w14:paraId="1EE4A2C8">
            <w:r>
              <w:rPr>
                <w:rStyle w:val="10"/>
                <w:rFonts w:hint="eastAsia"/>
              </w:rPr>
              <w:t>使用技术要求:</w:t>
            </w:r>
            <w:r>
              <w:rPr>
                <w:rFonts w:hint="eastAsia"/>
              </w:rPr>
              <w:br w:type="textWrapping"/>
            </w:r>
            <w:r>
              <w:rPr>
                <w:rStyle w:val="11"/>
                <w:rFonts w:hint="eastAsia"/>
              </w:rPr>
              <w:t>1、本品于非耕地杂草生长旺盛期茎叶均匀喷雾。2、施药时，如遇草龄较大或持续干旱，请酌情增加喷药量。3、大风天或预计6小时内降雨，勿施药。4、禁止在田间道路、田埂、果树行间、休耕地、林场林地等农林业区域使用。</w:t>
            </w:r>
          </w:p>
        </w:tc>
      </w:tr>
      <w:tr w14:paraId="14CD0DD4">
        <w:tblPrEx>
          <w:tblCellMar>
            <w:top w:w="0" w:type="dxa"/>
            <w:left w:w="0" w:type="dxa"/>
            <w:bottom w:w="0" w:type="dxa"/>
            <w:right w:w="0" w:type="dxa"/>
          </w:tblCellMar>
        </w:tblPrEx>
        <w:trPr>
          <w:wBefore w:w="0" w:type="auto"/>
          <w:tblCellSpacing w:w="0" w:type="dxa"/>
        </w:trPr>
        <w:tc>
          <w:tcPr>
            <w:tcW w:w="0" w:type="auto"/>
            <w:noWrap w:val="0"/>
            <w:vAlign w:val="center"/>
          </w:tcPr>
          <w:p w14:paraId="0AC9601C">
            <w:r>
              <w:rPr>
                <w:rStyle w:val="10"/>
                <w:rFonts w:hint="eastAsia"/>
              </w:rPr>
              <w:t>产品性能:</w:t>
            </w:r>
            <w:r>
              <w:rPr>
                <w:rFonts w:hint="eastAsia"/>
              </w:rPr>
              <w:br w:type="textWrapping"/>
            </w:r>
            <w:r>
              <w:rPr>
                <w:rStyle w:val="11"/>
                <w:rFonts w:hint="eastAsia"/>
              </w:rPr>
              <w:t>本品有触杀及一定内吸性除草剂，可被植物幼芽和叶片吸收，可有效防除一年生和多年生杂草，兼有封闭作用，活性高，用量少。</w:t>
            </w:r>
          </w:p>
        </w:tc>
      </w:tr>
      <w:tr w14:paraId="32702382">
        <w:tblPrEx>
          <w:tblCellMar>
            <w:top w:w="0" w:type="dxa"/>
            <w:left w:w="0" w:type="dxa"/>
            <w:bottom w:w="0" w:type="dxa"/>
            <w:right w:w="0" w:type="dxa"/>
          </w:tblCellMar>
        </w:tblPrEx>
        <w:trPr>
          <w:wBefore w:w="0" w:type="auto"/>
          <w:tblCellSpacing w:w="0" w:type="dxa"/>
        </w:trPr>
        <w:tc>
          <w:tcPr>
            <w:tcW w:w="0" w:type="auto"/>
            <w:noWrap w:val="0"/>
            <w:vAlign w:val="center"/>
          </w:tcPr>
          <w:p w14:paraId="0D4FD63B">
            <w:r>
              <w:rPr>
                <w:rStyle w:val="10"/>
                <w:rFonts w:hint="eastAsia"/>
              </w:rPr>
              <w:t>注意事项：</w:t>
            </w:r>
            <w:r>
              <w:rPr>
                <w:rFonts w:hint="eastAsia"/>
              </w:rPr>
              <w:br w:type="textWrapping"/>
            </w:r>
            <w:r>
              <w:rPr>
                <w:rStyle w:val="11"/>
                <w:rFonts w:hint="eastAsia"/>
              </w:rPr>
              <w:t>1、使用前请仔细阅读此标签,并严格按照标签说明使用。2、喷药时应注意风向，防止飘移到邻近敏感作物上。3、本品对蜜蜂、鱼类等水生生物、家蚕有毒，施药期间应避免对周围蜂群的影响、开花作物花期、蚕室和桑园附近禁用。4、远离水产养殖区、河塘等水体施药，禁止在河塘等水体中清洗施药器具。用过的容器应妥善处理，不可做他用，也不可随意丢弃。5、使用本品时应穿戴防护服、口罩和手套等，避免接触眼睛和吸入药液。6、施药时不可吃东西和饮水。施药后，彻底清洗器械，并立即用肥皂洗手和洗脸。7、避免孕妇及哺乳期的妇女接触本品。8、避免与氧化剂接触。</w:t>
            </w:r>
          </w:p>
        </w:tc>
      </w:tr>
      <w:tr w14:paraId="4FBB5BE9">
        <w:tblPrEx>
          <w:tblCellMar>
            <w:top w:w="0" w:type="dxa"/>
            <w:left w:w="0" w:type="dxa"/>
            <w:bottom w:w="0" w:type="dxa"/>
            <w:right w:w="0" w:type="dxa"/>
          </w:tblCellMar>
        </w:tblPrEx>
        <w:trPr>
          <w:wBefore w:w="0" w:type="auto"/>
          <w:tblCellSpacing w:w="0" w:type="dxa"/>
        </w:trPr>
        <w:tc>
          <w:tcPr>
            <w:tcW w:w="0" w:type="auto"/>
            <w:noWrap w:val="0"/>
            <w:vAlign w:val="center"/>
          </w:tcPr>
          <w:p w14:paraId="1D36143F">
            <w:r>
              <w:rPr>
                <w:rStyle w:val="10"/>
                <w:rFonts w:hint="eastAsia"/>
              </w:rPr>
              <w:t>中毒急救措施：</w:t>
            </w:r>
            <w:r>
              <w:rPr>
                <w:rFonts w:hint="eastAsia"/>
              </w:rPr>
              <w:br w:type="textWrapping"/>
            </w:r>
            <w:r>
              <w:rPr>
                <w:rStyle w:val="11"/>
                <w:rFonts w:hint="eastAsia"/>
              </w:rPr>
              <w:t>对皮肤、眼睛和上呼吸道有刺激作用，无经口中毒报道。急救措施：不慎吸入，应将病人移至空气流通处。不慎接触皮肤，应用大量清水冲洗，若溅入眼睛，应用大量清水冲洗至少15分钟；本品无特效 解毒剂，如误服，严禁引吐，应先立即用清水漱口，再携带本标签到医院诊治。</w:t>
            </w:r>
          </w:p>
        </w:tc>
      </w:tr>
      <w:tr w14:paraId="4994D74C">
        <w:tblPrEx>
          <w:tblCellMar>
            <w:top w:w="0" w:type="dxa"/>
            <w:left w:w="0" w:type="dxa"/>
            <w:bottom w:w="0" w:type="dxa"/>
            <w:right w:w="0" w:type="dxa"/>
          </w:tblCellMar>
        </w:tblPrEx>
        <w:trPr>
          <w:wBefore w:w="0" w:type="auto"/>
          <w:tblCellSpacing w:w="0" w:type="dxa"/>
        </w:trPr>
        <w:tc>
          <w:tcPr>
            <w:tcW w:w="0" w:type="auto"/>
            <w:noWrap w:val="0"/>
            <w:vAlign w:val="center"/>
          </w:tcPr>
          <w:p w14:paraId="6CE9503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416DEDAF">
        <w:tblPrEx>
          <w:tblCellMar>
            <w:top w:w="0" w:type="dxa"/>
            <w:left w:w="0" w:type="dxa"/>
            <w:bottom w:w="0" w:type="dxa"/>
            <w:right w:w="0" w:type="dxa"/>
          </w:tblCellMar>
        </w:tblPrEx>
        <w:trPr>
          <w:wBefore w:w="0" w:type="auto"/>
          <w:tblCellSpacing w:w="0" w:type="dxa"/>
        </w:trPr>
        <w:tc>
          <w:tcPr>
            <w:tcW w:w="0" w:type="auto"/>
            <w:noWrap w:val="0"/>
            <w:vAlign w:val="center"/>
          </w:tcPr>
          <w:p w14:paraId="0FD7272C">
            <w:r>
              <w:rPr>
                <w:rStyle w:val="10"/>
                <w:rFonts w:hint="eastAsia"/>
              </w:rPr>
              <w:t>质量保证期：</w:t>
            </w:r>
            <w:r>
              <w:rPr>
                <w:rStyle w:val="11"/>
                <w:rFonts w:hint="eastAsia"/>
              </w:rPr>
              <w:t>2年</w:t>
            </w:r>
          </w:p>
        </w:tc>
      </w:tr>
      <w:tr w14:paraId="2102B196">
        <w:tblPrEx>
          <w:tblCellMar>
            <w:top w:w="0" w:type="dxa"/>
            <w:left w:w="0" w:type="dxa"/>
            <w:bottom w:w="0" w:type="dxa"/>
            <w:right w:w="0" w:type="dxa"/>
          </w:tblCellMar>
        </w:tblPrEx>
        <w:trPr>
          <w:wBefore w:w="0" w:type="auto"/>
          <w:tblCellSpacing w:w="0" w:type="dxa"/>
        </w:trPr>
        <w:tc>
          <w:tcPr>
            <w:tcW w:w="0" w:type="auto"/>
            <w:noWrap w:val="0"/>
            <w:vAlign w:val="center"/>
          </w:tcPr>
          <w:p w14:paraId="442BCC1E">
            <w:r>
              <w:rPr>
                <w:rStyle w:val="10"/>
                <w:rFonts w:hint="eastAsia"/>
              </w:rPr>
              <w:t>备注：</w:t>
            </w:r>
          </w:p>
        </w:tc>
      </w:tr>
    </w:tbl>
    <w:p w14:paraId="7CB463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EEC6FB">
        <w:tblPrEx>
          <w:tblCellMar>
            <w:top w:w="0" w:type="dxa"/>
            <w:left w:w="0" w:type="dxa"/>
            <w:bottom w:w="0" w:type="dxa"/>
            <w:right w:w="0" w:type="dxa"/>
          </w:tblCellMar>
        </w:tblPrEx>
        <w:trPr>
          <w:wBefore w:w="0" w:type="auto"/>
          <w:tblCellSpacing w:w="0" w:type="dxa"/>
        </w:trPr>
        <w:tc>
          <w:tcPr>
            <w:tcW w:w="0" w:type="auto"/>
            <w:noWrap w:val="0"/>
            <w:vAlign w:val="center"/>
          </w:tcPr>
          <w:p w14:paraId="62E12325">
            <w:r>
              <w:rPr>
                <w:rStyle w:val="10"/>
                <w:rFonts w:hint="eastAsia"/>
              </w:rPr>
              <w:t>登记证号：</w:t>
            </w:r>
            <w:r>
              <w:rPr>
                <w:rFonts w:hint="eastAsia"/>
              </w:rPr>
              <w:t>PD20212658</w:t>
            </w:r>
          </w:p>
        </w:tc>
      </w:tr>
      <w:tr w14:paraId="43F08258">
        <w:tblPrEx>
          <w:tblCellMar>
            <w:top w:w="0" w:type="dxa"/>
            <w:left w:w="0" w:type="dxa"/>
            <w:bottom w:w="0" w:type="dxa"/>
            <w:right w:w="0" w:type="dxa"/>
          </w:tblCellMar>
        </w:tblPrEx>
        <w:trPr>
          <w:wBefore w:w="0" w:type="auto"/>
          <w:tblCellSpacing w:w="0" w:type="dxa"/>
        </w:trPr>
        <w:tc>
          <w:tcPr>
            <w:tcW w:w="0" w:type="auto"/>
            <w:noWrap w:val="0"/>
            <w:vAlign w:val="center"/>
          </w:tcPr>
          <w:p w14:paraId="30D2D277">
            <w:r>
              <w:rPr>
                <w:rStyle w:val="10"/>
                <w:rFonts w:hint="eastAsia"/>
              </w:rPr>
              <w:t>登记证持有人：</w:t>
            </w:r>
            <w:r>
              <w:rPr>
                <w:rFonts w:hint="eastAsia"/>
              </w:rPr>
              <w:t>广西兄弟农药厂</w:t>
            </w:r>
          </w:p>
        </w:tc>
      </w:tr>
      <w:tr w14:paraId="7AD385F8">
        <w:tblPrEx>
          <w:tblCellMar>
            <w:top w:w="0" w:type="dxa"/>
            <w:left w:w="0" w:type="dxa"/>
            <w:bottom w:w="0" w:type="dxa"/>
            <w:right w:w="0" w:type="dxa"/>
          </w:tblCellMar>
        </w:tblPrEx>
        <w:trPr>
          <w:wBefore w:w="0" w:type="auto"/>
          <w:tblCellSpacing w:w="0" w:type="dxa"/>
        </w:trPr>
        <w:tc>
          <w:tcPr>
            <w:tcW w:w="0" w:type="auto"/>
            <w:noWrap w:val="0"/>
            <w:vAlign w:val="center"/>
          </w:tcPr>
          <w:p w14:paraId="2B05B6AF">
            <w:r>
              <w:rPr>
                <w:rStyle w:val="10"/>
                <w:rFonts w:hint="eastAsia"/>
              </w:rPr>
              <w:t>农药名称：</w:t>
            </w:r>
            <w:r>
              <w:rPr>
                <w:rFonts w:hint="eastAsia"/>
              </w:rPr>
              <w:t>乙螨唑</w:t>
            </w:r>
          </w:p>
        </w:tc>
      </w:tr>
      <w:tr w14:paraId="17763A2C">
        <w:tblPrEx>
          <w:tblCellMar>
            <w:top w:w="0" w:type="dxa"/>
            <w:left w:w="0" w:type="dxa"/>
            <w:bottom w:w="0" w:type="dxa"/>
            <w:right w:w="0" w:type="dxa"/>
          </w:tblCellMar>
        </w:tblPrEx>
        <w:trPr>
          <w:wBefore w:w="0" w:type="auto"/>
          <w:tblCellSpacing w:w="0" w:type="dxa"/>
        </w:trPr>
        <w:tc>
          <w:tcPr>
            <w:tcW w:w="0" w:type="auto"/>
            <w:noWrap w:val="0"/>
            <w:vAlign w:val="center"/>
          </w:tcPr>
          <w:p w14:paraId="17CB74DF">
            <w:r>
              <w:rPr>
                <w:rStyle w:val="10"/>
                <w:rFonts w:hint="eastAsia"/>
              </w:rPr>
              <w:t>剂型：</w:t>
            </w:r>
            <w:r>
              <w:rPr>
                <w:rFonts w:hint="eastAsia"/>
              </w:rPr>
              <w:t>悬浮剂</w:t>
            </w:r>
          </w:p>
        </w:tc>
      </w:tr>
      <w:tr w14:paraId="01B85394">
        <w:tblPrEx>
          <w:tblCellMar>
            <w:top w:w="0" w:type="dxa"/>
            <w:left w:w="0" w:type="dxa"/>
            <w:bottom w:w="0" w:type="dxa"/>
            <w:right w:w="0" w:type="dxa"/>
          </w:tblCellMar>
        </w:tblPrEx>
        <w:trPr>
          <w:wBefore w:w="0" w:type="auto"/>
          <w:tblCellSpacing w:w="0" w:type="dxa"/>
        </w:trPr>
        <w:tc>
          <w:tcPr>
            <w:tcW w:w="0" w:type="auto"/>
            <w:noWrap w:val="0"/>
            <w:vAlign w:val="center"/>
          </w:tcPr>
          <w:p w14:paraId="0D69D5EF">
            <w:r>
              <w:rPr>
                <w:rStyle w:val="10"/>
                <w:rFonts w:hint="eastAsia"/>
              </w:rPr>
              <w:t>毒性及其标识：</w:t>
            </w:r>
            <w:r>
              <w:rPr>
                <w:rFonts w:hint="eastAsia"/>
              </w:rPr>
              <w:t xml:space="preserve"> </w:t>
            </w:r>
            <w:r>
              <w:rPr>
                <w:lang/>
              </w:rPr>
              <w:drawing>
                <wp:inline distT="0" distB="0" distL="114300" distR="114300">
                  <wp:extent cx="476250" cy="323850"/>
                  <wp:effectExtent l="0" t="0" r="0" b="0"/>
                  <wp:docPr id="261" name="图片 2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DBB234">
        <w:tblPrEx>
          <w:tblCellMar>
            <w:top w:w="0" w:type="dxa"/>
            <w:left w:w="0" w:type="dxa"/>
            <w:bottom w:w="0" w:type="dxa"/>
            <w:right w:w="0" w:type="dxa"/>
          </w:tblCellMar>
        </w:tblPrEx>
        <w:trPr>
          <w:wBefore w:w="0" w:type="auto"/>
          <w:tblCellSpacing w:w="0" w:type="dxa"/>
        </w:trPr>
        <w:tc>
          <w:tcPr>
            <w:tcW w:w="0" w:type="auto"/>
            <w:noWrap w:val="0"/>
            <w:vAlign w:val="center"/>
          </w:tcPr>
          <w:p w14:paraId="14A64CD1">
            <w:r>
              <w:rPr>
                <w:rStyle w:val="10"/>
                <w:rFonts w:hint="eastAsia"/>
              </w:rPr>
              <w:t>总有效成分含量：</w:t>
            </w:r>
            <w:r>
              <w:rPr>
                <w:rFonts w:hint="eastAsia"/>
              </w:rPr>
              <w:t>30%</w:t>
            </w:r>
          </w:p>
        </w:tc>
      </w:tr>
      <w:tr w14:paraId="1200BA38">
        <w:tblPrEx>
          <w:tblCellMar>
            <w:top w:w="0" w:type="dxa"/>
            <w:left w:w="0" w:type="dxa"/>
            <w:bottom w:w="0" w:type="dxa"/>
            <w:right w:w="0" w:type="dxa"/>
          </w:tblCellMar>
        </w:tblPrEx>
        <w:trPr>
          <w:wBefore w:w="0" w:type="auto"/>
          <w:tblCellSpacing w:w="0" w:type="dxa"/>
        </w:trPr>
        <w:tc>
          <w:tcPr>
            <w:tcW w:w="0" w:type="auto"/>
            <w:noWrap w:val="0"/>
            <w:vAlign w:val="center"/>
          </w:tcPr>
          <w:p w14:paraId="78E9B75C">
            <w:r>
              <w:rPr>
                <w:rFonts w:hint="eastAsia"/>
              </w:rPr>
              <w:t xml:space="preserve">有效成分及其含量： </w:t>
            </w:r>
          </w:p>
          <w:p w14:paraId="46251FF5">
            <w:r>
              <w:rPr>
                <w:rFonts w:hint="eastAsia"/>
              </w:rPr>
              <w:t xml:space="preserve">    乙螨唑30%    </w:t>
            </w:r>
          </w:p>
        </w:tc>
      </w:tr>
      <w:tr w14:paraId="14A676EF">
        <w:tblPrEx>
          <w:tblCellMar>
            <w:top w:w="0" w:type="dxa"/>
            <w:left w:w="0" w:type="dxa"/>
            <w:bottom w:w="0" w:type="dxa"/>
            <w:right w:w="0" w:type="dxa"/>
          </w:tblCellMar>
        </w:tblPrEx>
        <w:trPr>
          <w:wBefore w:w="0" w:type="auto"/>
          <w:tblCellSpacing w:w="0" w:type="dxa"/>
        </w:trPr>
        <w:tc>
          <w:tcPr>
            <w:tcW w:w="0" w:type="auto"/>
            <w:noWrap w:val="0"/>
            <w:vAlign w:val="center"/>
          </w:tcPr>
          <w:p w14:paraId="38B4A1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EC10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CA7E5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D920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EC63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347096">
                  <w:r>
                    <w:rPr>
                      <w:rStyle w:val="11"/>
                      <w:rFonts w:hint="eastAsia"/>
                    </w:rPr>
                    <w:t>施用方式</w:t>
                  </w:r>
                </w:p>
              </w:tc>
            </w:tr>
            <w:tr w14:paraId="484A99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36A73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74E0C0">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07411B">
                  <w:r>
                    <w:rPr>
                      <w:rStyle w:val="11"/>
                      <w:rFonts w:hint="eastAsia"/>
                    </w:rPr>
                    <w:t>10000-12000倍液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38ACD2">
                  <w:r>
                    <w:rPr>
                      <w:rStyle w:val="11"/>
                      <w:rFonts w:hint="eastAsia"/>
                    </w:rPr>
                    <w:t>喷雾</w:t>
                  </w:r>
                </w:p>
              </w:tc>
            </w:tr>
          </w:tbl>
          <w:p w14:paraId="5A9A0D2F">
            <w:pPr>
              <w:rPr>
                <w:rFonts w:ascii="Times New Roman" w:hAnsi="Times New Roman" w:cs="Times New Roman"/>
                <w:sz w:val="20"/>
                <w:szCs w:val="20"/>
              </w:rPr>
            </w:pPr>
          </w:p>
        </w:tc>
      </w:tr>
      <w:tr w14:paraId="07281971">
        <w:tblPrEx>
          <w:tblCellMar>
            <w:top w:w="0" w:type="dxa"/>
            <w:left w:w="0" w:type="dxa"/>
            <w:bottom w:w="0" w:type="dxa"/>
            <w:right w:w="0" w:type="dxa"/>
          </w:tblCellMar>
        </w:tblPrEx>
        <w:trPr>
          <w:wBefore w:w="0" w:type="auto"/>
          <w:tblCellSpacing w:w="0" w:type="dxa"/>
        </w:trPr>
        <w:tc>
          <w:tcPr>
            <w:tcW w:w="0" w:type="auto"/>
            <w:noWrap w:val="0"/>
            <w:vAlign w:val="center"/>
          </w:tcPr>
          <w:p w14:paraId="04CF9651">
            <w:r>
              <w:rPr>
                <w:rStyle w:val="10"/>
                <w:rFonts w:hint="eastAsia"/>
              </w:rPr>
              <w:t>使用技术要求:</w:t>
            </w:r>
            <w:r>
              <w:rPr>
                <w:rFonts w:hint="eastAsia"/>
              </w:rPr>
              <w:br w:type="textWrapping"/>
            </w:r>
            <w:r>
              <w:rPr>
                <w:rStyle w:val="11"/>
                <w:rFonts w:hint="eastAsia"/>
              </w:rPr>
              <w:t>1. 本品应在柑橘树红蜘蛛若螨发生盛期施药1次，注意喷雾均匀周到，以确保防效。2. 大风天或预计1小时内有雨，请勿施药。3. 每季作物最多使用1次，安全间隔期为30天。</w:t>
            </w:r>
          </w:p>
        </w:tc>
      </w:tr>
      <w:tr w14:paraId="43065DD5">
        <w:tblPrEx>
          <w:tblCellMar>
            <w:top w:w="0" w:type="dxa"/>
            <w:left w:w="0" w:type="dxa"/>
            <w:bottom w:w="0" w:type="dxa"/>
            <w:right w:w="0" w:type="dxa"/>
          </w:tblCellMar>
        </w:tblPrEx>
        <w:trPr>
          <w:wBefore w:w="0" w:type="auto"/>
          <w:tblCellSpacing w:w="0" w:type="dxa"/>
        </w:trPr>
        <w:tc>
          <w:tcPr>
            <w:tcW w:w="0" w:type="auto"/>
            <w:noWrap w:val="0"/>
            <w:vAlign w:val="center"/>
          </w:tcPr>
          <w:p w14:paraId="5D04F92A">
            <w:r>
              <w:rPr>
                <w:rStyle w:val="10"/>
                <w:rFonts w:hint="eastAsia"/>
              </w:rPr>
              <w:t>产品性能:</w:t>
            </w:r>
            <w:r>
              <w:rPr>
                <w:rFonts w:hint="eastAsia"/>
              </w:rPr>
              <w:br w:type="textWrapping"/>
            </w:r>
            <w:r>
              <w:rPr>
                <w:rStyle w:val="11"/>
                <w:rFonts w:hint="eastAsia"/>
              </w:rPr>
              <w:t>本品属于2,4-二苯基噁唑衍生物类化合物，是一种选择性杀螨剂。主要是抑制螨卵的胚胎形成及从幼螨到成螨的蜕皮过程，从而对螨从卵、幼虫到蛹不同阶段都有优异的触杀性。按登记剂量使用时，对柑橘树红蜘蛛具有良好的防治效果。</w:t>
            </w:r>
          </w:p>
        </w:tc>
      </w:tr>
      <w:tr w14:paraId="4A59AF1F">
        <w:tblPrEx>
          <w:tblCellMar>
            <w:top w:w="0" w:type="dxa"/>
            <w:left w:w="0" w:type="dxa"/>
            <w:bottom w:w="0" w:type="dxa"/>
            <w:right w:w="0" w:type="dxa"/>
          </w:tblCellMar>
        </w:tblPrEx>
        <w:trPr>
          <w:wBefore w:w="0" w:type="auto"/>
          <w:tblCellSpacing w:w="0" w:type="dxa"/>
        </w:trPr>
        <w:tc>
          <w:tcPr>
            <w:tcW w:w="0" w:type="auto"/>
            <w:noWrap w:val="0"/>
            <w:vAlign w:val="center"/>
          </w:tcPr>
          <w:p w14:paraId="3B8B3CE1">
            <w:r>
              <w:rPr>
                <w:rStyle w:val="10"/>
                <w:rFonts w:hint="eastAsia"/>
              </w:rPr>
              <w:t>注意事项：</w:t>
            </w:r>
            <w:r>
              <w:rPr>
                <w:rFonts w:hint="eastAsia"/>
              </w:rPr>
              <w:br w:type="textWrapping"/>
            </w:r>
            <w:r>
              <w:rPr>
                <w:rStyle w:val="11"/>
                <w:rFonts w:hint="eastAsia"/>
              </w:rPr>
              <w:t>1. 本品不可与氧化性物质混用。 2. 使用时避免接触眼睛，穿戴长衣、长裤、帽子、口罩、手套等防护措施，避免皮肤接触。使用中不可吸烟、饮水及吃东西，使用后及时清洗手、脸等暴露部位的皮肤并更换衣物。 3.本品对家蚕有毒，最外围桑树为隔离带，不能用于饲养家蚕，蚕室及桑园附近禁用。瓢虫等天敌放飞区域禁用。4.本品对大型溞、鱼类毒性高，对藻类有毒，水产养殖区、河塘等水体附近禁用。禁止在河塘等水体中清洗施药器具。5. 用过的容器要妥善处理，不可作他用，也不可随意丢弃。 6. 孕妇及哺乳期妇女禁止接触本品。7. 避免与氧化剂接触。</w:t>
            </w:r>
          </w:p>
        </w:tc>
      </w:tr>
      <w:tr w14:paraId="59C6D5C2">
        <w:tblPrEx>
          <w:tblCellMar>
            <w:top w:w="0" w:type="dxa"/>
            <w:left w:w="0" w:type="dxa"/>
            <w:bottom w:w="0" w:type="dxa"/>
            <w:right w:w="0" w:type="dxa"/>
          </w:tblCellMar>
        </w:tblPrEx>
        <w:trPr>
          <w:wBefore w:w="0" w:type="auto"/>
          <w:tblCellSpacing w:w="0" w:type="dxa"/>
        </w:trPr>
        <w:tc>
          <w:tcPr>
            <w:tcW w:w="0" w:type="auto"/>
            <w:noWrap w:val="0"/>
            <w:vAlign w:val="center"/>
          </w:tcPr>
          <w:p w14:paraId="245CBA7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肥皂和大量清水冲洗皮肤暴露部位。眼睛溅入：立即翻开眼睑，用清水冲洗至少15分钟，再请医生诊治。吸入：立即将吸入者转移到空气清新处。误服：立即停止服用，用清水充分漱口后，立即携带农药标签到医院就诊。本品无特效解毒剂，可对症治疗。</w:t>
            </w:r>
          </w:p>
        </w:tc>
      </w:tr>
      <w:tr w14:paraId="04619285">
        <w:tblPrEx>
          <w:tblCellMar>
            <w:top w:w="0" w:type="dxa"/>
            <w:left w:w="0" w:type="dxa"/>
            <w:bottom w:w="0" w:type="dxa"/>
            <w:right w:w="0" w:type="dxa"/>
          </w:tblCellMar>
        </w:tblPrEx>
        <w:trPr>
          <w:wBefore w:w="0" w:type="auto"/>
          <w:tblCellSpacing w:w="0" w:type="dxa"/>
        </w:trPr>
        <w:tc>
          <w:tcPr>
            <w:tcW w:w="0" w:type="auto"/>
            <w:noWrap w:val="0"/>
            <w:vAlign w:val="center"/>
          </w:tcPr>
          <w:p w14:paraId="086A94B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本品应贮存在干燥、阴凉、通风、防雨处，远离火源或热源。置于儿童、无关人员及动物接触不到的地方，并加锁保存。勿与食品、饮料、饲料和粮食等同贮同运。</w:t>
            </w:r>
          </w:p>
        </w:tc>
      </w:tr>
      <w:tr w14:paraId="374A1510">
        <w:tblPrEx>
          <w:tblCellMar>
            <w:top w:w="0" w:type="dxa"/>
            <w:left w:w="0" w:type="dxa"/>
            <w:bottom w:w="0" w:type="dxa"/>
            <w:right w:w="0" w:type="dxa"/>
          </w:tblCellMar>
        </w:tblPrEx>
        <w:trPr>
          <w:wBefore w:w="0" w:type="auto"/>
          <w:tblCellSpacing w:w="0" w:type="dxa"/>
        </w:trPr>
        <w:tc>
          <w:tcPr>
            <w:tcW w:w="0" w:type="auto"/>
            <w:noWrap w:val="0"/>
            <w:vAlign w:val="center"/>
          </w:tcPr>
          <w:p w14:paraId="1F685021">
            <w:r>
              <w:rPr>
                <w:rStyle w:val="10"/>
                <w:rFonts w:hint="eastAsia"/>
              </w:rPr>
              <w:t>质量保证期：</w:t>
            </w:r>
            <w:r>
              <w:rPr>
                <w:rStyle w:val="11"/>
                <w:rFonts w:hint="eastAsia"/>
              </w:rPr>
              <w:t>2年</w:t>
            </w:r>
          </w:p>
        </w:tc>
      </w:tr>
      <w:tr w14:paraId="10F3DA1A">
        <w:tblPrEx>
          <w:tblCellMar>
            <w:top w:w="0" w:type="dxa"/>
            <w:left w:w="0" w:type="dxa"/>
            <w:bottom w:w="0" w:type="dxa"/>
            <w:right w:w="0" w:type="dxa"/>
          </w:tblCellMar>
        </w:tblPrEx>
        <w:trPr>
          <w:wBefore w:w="0" w:type="auto"/>
          <w:tblCellSpacing w:w="0" w:type="dxa"/>
        </w:trPr>
        <w:tc>
          <w:tcPr>
            <w:tcW w:w="0" w:type="auto"/>
            <w:noWrap w:val="0"/>
            <w:vAlign w:val="center"/>
          </w:tcPr>
          <w:p w14:paraId="32A71284">
            <w:r>
              <w:rPr>
                <w:rStyle w:val="10"/>
                <w:rFonts w:hint="eastAsia"/>
              </w:rPr>
              <w:t>备注：</w:t>
            </w:r>
          </w:p>
        </w:tc>
      </w:tr>
    </w:tbl>
    <w:p w14:paraId="481DD1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E64537">
        <w:tblPrEx>
          <w:tblCellMar>
            <w:top w:w="0" w:type="dxa"/>
            <w:left w:w="0" w:type="dxa"/>
            <w:bottom w:w="0" w:type="dxa"/>
            <w:right w:w="0" w:type="dxa"/>
          </w:tblCellMar>
        </w:tblPrEx>
        <w:trPr>
          <w:wBefore w:w="0" w:type="auto"/>
          <w:tblCellSpacing w:w="0" w:type="dxa"/>
        </w:trPr>
        <w:tc>
          <w:tcPr>
            <w:tcW w:w="0" w:type="auto"/>
            <w:noWrap w:val="0"/>
            <w:vAlign w:val="center"/>
          </w:tcPr>
          <w:p w14:paraId="10CF4A1A">
            <w:r>
              <w:rPr>
                <w:rStyle w:val="10"/>
                <w:rFonts w:hint="eastAsia"/>
              </w:rPr>
              <w:t>登记证号：</w:t>
            </w:r>
            <w:r>
              <w:rPr>
                <w:rFonts w:hint="eastAsia"/>
              </w:rPr>
              <w:t>PD20212409</w:t>
            </w:r>
          </w:p>
        </w:tc>
      </w:tr>
      <w:tr w14:paraId="6F521795">
        <w:tblPrEx>
          <w:tblCellMar>
            <w:top w:w="0" w:type="dxa"/>
            <w:left w:w="0" w:type="dxa"/>
            <w:bottom w:w="0" w:type="dxa"/>
            <w:right w:w="0" w:type="dxa"/>
          </w:tblCellMar>
        </w:tblPrEx>
        <w:trPr>
          <w:wBefore w:w="0" w:type="auto"/>
          <w:tblCellSpacing w:w="0" w:type="dxa"/>
        </w:trPr>
        <w:tc>
          <w:tcPr>
            <w:tcW w:w="0" w:type="auto"/>
            <w:noWrap w:val="0"/>
            <w:vAlign w:val="center"/>
          </w:tcPr>
          <w:p w14:paraId="7494E469">
            <w:r>
              <w:rPr>
                <w:rStyle w:val="10"/>
                <w:rFonts w:hint="eastAsia"/>
              </w:rPr>
              <w:t>登记证持有人：</w:t>
            </w:r>
            <w:r>
              <w:rPr>
                <w:rFonts w:hint="eastAsia"/>
              </w:rPr>
              <w:t>顶秀作物科技有限公司</w:t>
            </w:r>
          </w:p>
        </w:tc>
      </w:tr>
      <w:tr w14:paraId="182A2502">
        <w:tblPrEx>
          <w:tblCellMar>
            <w:top w:w="0" w:type="dxa"/>
            <w:left w:w="0" w:type="dxa"/>
            <w:bottom w:w="0" w:type="dxa"/>
            <w:right w:w="0" w:type="dxa"/>
          </w:tblCellMar>
        </w:tblPrEx>
        <w:trPr>
          <w:wBefore w:w="0" w:type="auto"/>
          <w:tblCellSpacing w:w="0" w:type="dxa"/>
        </w:trPr>
        <w:tc>
          <w:tcPr>
            <w:tcW w:w="0" w:type="auto"/>
            <w:noWrap w:val="0"/>
            <w:vAlign w:val="center"/>
          </w:tcPr>
          <w:p w14:paraId="06D072AA">
            <w:r>
              <w:rPr>
                <w:rStyle w:val="10"/>
                <w:rFonts w:hint="eastAsia"/>
              </w:rPr>
              <w:t>农药名称：</w:t>
            </w:r>
            <w:r>
              <w:rPr>
                <w:rFonts w:hint="eastAsia"/>
              </w:rPr>
              <w:t>阿维菌素</w:t>
            </w:r>
          </w:p>
        </w:tc>
      </w:tr>
      <w:tr w14:paraId="540BE4D4">
        <w:tblPrEx>
          <w:tblCellMar>
            <w:top w:w="0" w:type="dxa"/>
            <w:left w:w="0" w:type="dxa"/>
            <w:bottom w:w="0" w:type="dxa"/>
            <w:right w:w="0" w:type="dxa"/>
          </w:tblCellMar>
        </w:tblPrEx>
        <w:trPr>
          <w:wBefore w:w="0" w:type="auto"/>
          <w:tblCellSpacing w:w="0" w:type="dxa"/>
        </w:trPr>
        <w:tc>
          <w:tcPr>
            <w:tcW w:w="0" w:type="auto"/>
            <w:noWrap w:val="0"/>
            <w:vAlign w:val="center"/>
          </w:tcPr>
          <w:p w14:paraId="585D3F39">
            <w:r>
              <w:rPr>
                <w:rStyle w:val="10"/>
                <w:rFonts w:hint="eastAsia"/>
              </w:rPr>
              <w:t>剂型：</w:t>
            </w:r>
            <w:r>
              <w:rPr>
                <w:rFonts w:hint="eastAsia"/>
              </w:rPr>
              <w:t>悬浮剂</w:t>
            </w:r>
          </w:p>
        </w:tc>
      </w:tr>
      <w:tr w14:paraId="7EDA747D">
        <w:tblPrEx>
          <w:tblCellMar>
            <w:top w:w="0" w:type="dxa"/>
            <w:left w:w="0" w:type="dxa"/>
            <w:bottom w:w="0" w:type="dxa"/>
            <w:right w:w="0" w:type="dxa"/>
          </w:tblCellMar>
        </w:tblPrEx>
        <w:trPr>
          <w:wBefore w:w="0" w:type="auto"/>
          <w:tblCellSpacing w:w="0" w:type="dxa"/>
        </w:trPr>
        <w:tc>
          <w:tcPr>
            <w:tcW w:w="0" w:type="auto"/>
            <w:noWrap w:val="0"/>
            <w:vAlign w:val="center"/>
          </w:tcPr>
          <w:p w14:paraId="4FBD94BD">
            <w:r>
              <w:rPr>
                <w:rStyle w:val="10"/>
                <w:rFonts w:hint="eastAsia"/>
              </w:rPr>
              <w:t>毒性及其标识：</w:t>
            </w:r>
            <w:r>
              <w:rPr>
                <w:rFonts w:hint="eastAsia"/>
              </w:rPr>
              <w:t xml:space="preserve"> </w:t>
            </w:r>
            <w:r>
              <w:rPr>
                <w:lang/>
              </w:rPr>
              <w:drawing>
                <wp:inline distT="0" distB="0" distL="114300" distR="114300">
                  <wp:extent cx="476250" cy="323850"/>
                  <wp:effectExtent l="0" t="0" r="0" b="0"/>
                  <wp:docPr id="262" name="图片 26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7725CA14">
        <w:tblPrEx>
          <w:tblCellMar>
            <w:top w:w="0" w:type="dxa"/>
            <w:left w:w="0" w:type="dxa"/>
            <w:bottom w:w="0" w:type="dxa"/>
            <w:right w:w="0" w:type="dxa"/>
          </w:tblCellMar>
        </w:tblPrEx>
        <w:trPr>
          <w:wBefore w:w="0" w:type="auto"/>
          <w:tblCellSpacing w:w="0" w:type="dxa"/>
        </w:trPr>
        <w:tc>
          <w:tcPr>
            <w:tcW w:w="0" w:type="auto"/>
            <w:noWrap w:val="0"/>
            <w:vAlign w:val="center"/>
          </w:tcPr>
          <w:p w14:paraId="2BAA260C">
            <w:r>
              <w:rPr>
                <w:rStyle w:val="10"/>
                <w:rFonts w:hint="eastAsia"/>
              </w:rPr>
              <w:t>总有效成分含量：</w:t>
            </w:r>
            <w:r>
              <w:rPr>
                <w:rFonts w:hint="eastAsia"/>
              </w:rPr>
              <w:t>10%</w:t>
            </w:r>
          </w:p>
        </w:tc>
      </w:tr>
      <w:tr w14:paraId="00931AEB">
        <w:tblPrEx>
          <w:tblCellMar>
            <w:top w:w="0" w:type="dxa"/>
            <w:left w:w="0" w:type="dxa"/>
            <w:bottom w:w="0" w:type="dxa"/>
            <w:right w:w="0" w:type="dxa"/>
          </w:tblCellMar>
        </w:tblPrEx>
        <w:trPr>
          <w:wBefore w:w="0" w:type="auto"/>
          <w:tblCellSpacing w:w="0" w:type="dxa"/>
        </w:trPr>
        <w:tc>
          <w:tcPr>
            <w:tcW w:w="0" w:type="auto"/>
            <w:noWrap w:val="0"/>
            <w:vAlign w:val="center"/>
          </w:tcPr>
          <w:p w14:paraId="5B9C01E1">
            <w:r>
              <w:rPr>
                <w:rFonts w:hint="eastAsia"/>
              </w:rPr>
              <w:t xml:space="preserve">有效成分及其含量： </w:t>
            </w:r>
          </w:p>
          <w:p w14:paraId="329D8E3F">
            <w:r>
              <w:rPr>
                <w:rFonts w:hint="eastAsia"/>
              </w:rPr>
              <w:t xml:space="preserve">    阿维菌素10%    </w:t>
            </w:r>
          </w:p>
        </w:tc>
      </w:tr>
      <w:tr w14:paraId="42CB65C8">
        <w:tblPrEx>
          <w:tblCellMar>
            <w:top w:w="0" w:type="dxa"/>
            <w:left w:w="0" w:type="dxa"/>
            <w:bottom w:w="0" w:type="dxa"/>
            <w:right w:w="0" w:type="dxa"/>
          </w:tblCellMar>
        </w:tblPrEx>
        <w:trPr>
          <w:wBefore w:w="0" w:type="auto"/>
          <w:tblCellSpacing w:w="0" w:type="dxa"/>
        </w:trPr>
        <w:tc>
          <w:tcPr>
            <w:tcW w:w="0" w:type="auto"/>
            <w:noWrap w:val="0"/>
            <w:vAlign w:val="center"/>
          </w:tcPr>
          <w:p w14:paraId="66E447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CC8F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2EC7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0773E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4585F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9107AF">
                  <w:r>
                    <w:rPr>
                      <w:rStyle w:val="11"/>
                      <w:rFonts w:hint="eastAsia"/>
                    </w:rPr>
                    <w:t>施用方式</w:t>
                  </w:r>
                </w:p>
              </w:tc>
            </w:tr>
            <w:tr w14:paraId="59B53C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56E78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8D5FCD">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759C10">
                  <w:r>
                    <w:rPr>
                      <w:rStyle w:val="11"/>
                      <w:rFonts w:hint="eastAsia"/>
                    </w:rPr>
                    <w:t>4-6毫升/亩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398227">
                  <w:r>
                    <w:rPr>
                      <w:rStyle w:val="11"/>
                      <w:rFonts w:hint="eastAsia"/>
                    </w:rPr>
                    <w:t>喷雾</w:t>
                  </w:r>
                </w:p>
              </w:tc>
            </w:tr>
          </w:tbl>
          <w:p w14:paraId="33BE3A23">
            <w:pPr>
              <w:rPr>
                <w:rFonts w:ascii="Times New Roman" w:hAnsi="Times New Roman" w:cs="Times New Roman"/>
                <w:sz w:val="20"/>
                <w:szCs w:val="20"/>
              </w:rPr>
            </w:pPr>
          </w:p>
        </w:tc>
      </w:tr>
      <w:tr w14:paraId="23A3D947">
        <w:tblPrEx>
          <w:tblCellMar>
            <w:top w:w="0" w:type="dxa"/>
            <w:left w:w="0" w:type="dxa"/>
            <w:bottom w:w="0" w:type="dxa"/>
            <w:right w:w="0" w:type="dxa"/>
          </w:tblCellMar>
        </w:tblPrEx>
        <w:trPr>
          <w:wBefore w:w="0" w:type="auto"/>
          <w:tblCellSpacing w:w="0" w:type="dxa"/>
        </w:trPr>
        <w:tc>
          <w:tcPr>
            <w:tcW w:w="0" w:type="auto"/>
            <w:noWrap w:val="0"/>
            <w:vAlign w:val="center"/>
          </w:tcPr>
          <w:p w14:paraId="7AA4338E">
            <w:r>
              <w:rPr>
                <w:rStyle w:val="10"/>
                <w:rFonts w:hint="eastAsia"/>
              </w:rPr>
              <w:t>使用技术要求:</w:t>
            </w:r>
            <w:r>
              <w:rPr>
                <w:rFonts w:hint="eastAsia"/>
              </w:rPr>
              <w:br w:type="textWrapping"/>
            </w:r>
            <w:r>
              <w:rPr>
                <w:rStyle w:val="11"/>
                <w:rFonts w:hint="eastAsia"/>
              </w:rPr>
              <w:t xml:space="preserve">1.本品在水稻上的安全间隔期为21天，每季最多施药1次。 2、于稻纵卷叶螟低龄幼虫发生高峰期施药，请在傍晚前后使用，务必喷匀喷透。 3.大风天或预计1小时左右降雨，请勿施药，用药4小时后遇雨，不影响药效。 </w:t>
            </w:r>
          </w:p>
        </w:tc>
      </w:tr>
      <w:tr w14:paraId="334F58CD">
        <w:tblPrEx>
          <w:tblCellMar>
            <w:top w:w="0" w:type="dxa"/>
            <w:left w:w="0" w:type="dxa"/>
            <w:bottom w:w="0" w:type="dxa"/>
            <w:right w:w="0" w:type="dxa"/>
          </w:tblCellMar>
        </w:tblPrEx>
        <w:trPr>
          <w:wBefore w:w="0" w:type="auto"/>
          <w:tblCellSpacing w:w="0" w:type="dxa"/>
        </w:trPr>
        <w:tc>
          <w:tcPr>
            <w:tcW w:w="0" w:type="auto"/>
            <w:noWrap w:val="0"/>
            <w:vAlign w:val="center"/>
          </w:tcPr>
          <w:p w14:paraId="65677BD5">
            <w:r>
              <w:rPr>
                <w:rStyle w:val="10"/>
                <w:rFonts w:hint="eastAsia"/>
              </w:rPr>
              <w:t>产品性能:</w:t>
            </w:r>
            <w:r>
              <w:rPr>
                <w:rFonts w:hint="eastAsia"/>
              </w:rPr>
              <w:br w:type="textWrapping"/>
            </w:r>
            <w:r>
              <w:rPr>
                <w:rStyle w:val="11"/>
                <w:rFonts w:hint="eastAsia"/>
              </w:rPr>
              <w:t>本品为经微生物发酵产生的抗生素类杀虫剂，具有强烈的触杀和胃毒作用，兼具熏蒸作用，能刺激昆虫神经肌肉系统释放γ－氨基丁酸，对昆虫的神经传导产生抑制作用，昆虫与药剂接触后即出现麻痹症状，不活动不取食，2~4天后死亡。</w:t>
            </w:r>
          </w:p>
        </w:tc>
      </w:tr>
      <w:tr w14:paraId="49A5EC02">
        <w:tblPrEx>
          <w:tblCellMar>
            <w:top w:w="0" w:type="dxa"/>
            <w:left w:w="0" w:type="dxa"/>
            <w:bottom w:w="0" w:type="dxa"/>
            <w:right w:w="0" w:type="dxa"/>
          </w:tblCellMar>
        </w:tblPrEx>
        <w:trPr>
          <w:wBefore w:w="0" w:type="auto"/>
          <w:tblCellSpacing w:w="0" w:type="dxa"/>
        </w:trPr>
        <w:tc>
          <w:tcPr>
            <w:tcW w:w="0" w:type="auto"/>
            <w:noWrap w:val="0"/>
            <w:vAlign w:val="center"/>
          </w:tcPr>
          <w:p w14:paraId="756E6DB4">
            <w:r>
              <w:rPr>
                <w:rStyle w:val="10"/>
                <w:rFonts w:hint="eastAsia"/>
              </w:rPr>
              <w:t>注意事项：</w:t>
            </w:r>
            <w:r>
              <w:rPr>
                <w:rFonts w:hint="eastAsia"/>
              </w:rPr>
              <w:br w:type="textWrapping"/>
            </w:r>
            <w:r>
              <w:rPr>
                <w:rStyle w:val="11"/>
                <w:rFonts w:hint="eastAsia"/>
              </w:rPr>
              <w:t>1.本品对蜜蜂剧毒，养蜂地区及（周围）开花作物花期禁止使用。施药期间应密切关注对附近蜂群影响。在赤眼蜂等天敌放飞区禁用。2、在鱼和虾蟹套养稻田禁用，施药后的田水不得直接排入水体。3、使用本品时应采取相应的安全防护措施，穿防护服，戴防护手套、口罩等，避免皮肤接触及口鼻吸入。使用中不可吸烟、饮水及吃东西，使用后及时清洗手、脸等暴露部位皮肤并更换衣物。4、应避免药剂污染水体，残液严禁倒入河中，禁止在江河、湖泊中清洗施药器械。5.用过的容器应妥善处理，不可做他用，也不可随意丢弃。6.孕妇及哺乳期妇女禁止接触。7.水产养殖区、河塘等水体附近禁用，禁止在河塘等水域清洗施药器具。</w:t>
            </w:r>
          </w:p>
        </w:tc>
      </w:tr>
      <w:tr w14:paraId="3EC36E4C">
        <w:tblPrEx>
          <w:tblCellMar>
            <w:top w:w="0" w:type="dxa"/>
            <w:left w:w="0" w:type="dxa"/>
            <w:bottom w:w="0" w:type="dxa"/>
            <w:right w:w="0" w:type="dxa"/>
          </w:tblCellMar>
        </w:tblPrEx>
        <w:trPr>
          <w:wBefore w:w="0" w:type="auto"/>
          <w:tblCellSpacing w:w="0" w:type="dxa"/>
        </w:trPr>
        <w:tc>
          <w:tcPr>
            <w:tcW w:w="0" w:type="auto"/>
            <w:noWrap w:val="0"/>
            <w:vAlign w:val="center"/>
          </w:tcPr>
          <w:p w14:paraId="19DA5988">
            <w:r>
              <w:rPr>
                <w:rStyle w:val="10"/>
                <w:rFonts w:hint="eastAsia"/>
              </w:rPr>
              <w:t>中毒急救措施：</w:t>
            </w:r>
            <w:r>
              <w:rPr>
                <w:rFonts w:hint="eastAsia"/>
              </w:rPr>
              <w:br w:type="textWrapping"/>
            </w:r>
            <w:r>
              <w:rPr>
                <w:rStyle w:val="11"/>
                <w:rFonts w:hint="eastAsia"/>
              </w:rPr>
              <w:t>若不慎吸入，应将病人移至空气流通处。不慎接触皮肤或溅入眼睛，立即用大量清水冲洗至少15分钟。如误服中毒，不要引吐，迅速携带本标签送往医院对症治疗。紧急医疗措施：如进行洗胃，应防止胃容物进入呼吸道，考虑使用活性炭和泻药，对症治疗。解毒剂：无专用解毒剂，对症治疗。注意：对昏迷病人，切勿经口喂入任何东西或引吐。</w:t>
            </w:r>
          </w:p>
        </w:tc>
      </w:tr>
      <w:tr w14:paraId="5BDCE988">
        <w:tblPrEx>
          <w:tblCellMar>
            <w:top w:w="0" w:type="dxa"/>
            <w:left w:w="0" w:type="dxa"/>
            <w:bottom w:w="0" w:type="dxa"/>
            <w:right w:w="0" w:type="dxa"/>
          </w:tblCellMar>
        </w:tblPrEx>
        <w:trPr>
          <w:wBefore w:w="0" w:type="auto"/>
          <w:tblCellSpacing w:w="0" w:type="dxa"/>
        </w:trPr>
        <w:tc>
          <w:tcPr>
            <w:tcW w:w="0" w:type="auto"/>
            <w:noWrap w:val="0"/>
            <w:vAlign w:val="center"/>
          </w:tcPr>
          <w:p w14:paraId="17C374B0">
            <w:r>
              <w:rPr>
                <w:rStyle w:val="10"/>
                <w:rFonts w:hint="eastAsia"/>
              </w:rPr>
              <w:t>储存和运输方法：</w:t>
            </w:r>
            <w:r>
              <w:rPr>
                <w:rFonts w:hint="eastAsia"/>
              </w:rPr>
              <w:br w:type="textWrapping"/>
            </w:r>
            <w:r>
              <w:rPr>
                <w:rStyle w:val="11"/>
                <w:rFonts w:hint="eastAsia"/>
              </w:rPr>
              <w:t>1、本品应贮存于干燥、阴凉、通风、防雨处，远离热源或火源。置于儿童与无关人员接触不到的地方，并加锁保管，不可与食品、饮料、粮食、饲料等混合贮运。 2、运输时，严防潮湿和日晒雨淋，搬运时轻搬轻放，避免与皮肤、眼睛接触，防止由口鼻吸入。</w:t>
            </w:r>
          </w:p>
        </w:tc>
      </w:tr>
      <w:tr w14:paraId="7D42F4DA">
        <w:tblPrEx>
          <w:tblCellMar>
            <w:top w:w="0" w:type="dxa"/>
            <w:left w:w="0" w:type="dxa"/>
            <w:bottom w:w="0" w:type="dxa"/>
            <w:right w:w="0" w:type="dxa"/>
          </w:tblCellMar>
        </w:tblPrEx>
        <w:trPr>
          <w:wBefore w:w="0" w:type="auto"/>
          <w:tblCellSpacing w:w="0" w:type="dxa"/>
        </w:trPr>
        <w:tc>
          <w:tcPr>
            <w:tcW w:w="0" w:type="auto"/>
            <w:noWrap w:val="0"/>
            <w:vAlign w:val="center"/>
          </w:tcPr>
          <w:p w14:paraId="1D5140B7">
            <w:r>
              <w:rPr>
                <w:rStyle w:val="10"/>
                <w:rFonts w:hint="eastAsia"/>
              </w:rPr>
              <w:t>质量保证期：</w:t>
            </w:r>
            <w:r>
              <w:rPr>
                <w:rStyle w:val="11"/>
                <w:rFonts w:hint="eastAsia"/>
              </w:rPr>
              <w:t>二年</w:t>
            </w:r>
          </w:p>
        </w:tc>
      </w:tr>
      <w:tr w14:paraId="384F1E5B">
        <w:tblPrEx>
          <w:tblCellMar>
            <w:top w:w="0" w:type="dxa"/>
            <w:left w:w="0" w:type="dxa"/>
            <w:bottom w:w="0" w:type="dxa"/>
            <w:right w:w="0" w:type="dxa"/>
          </w:tblCellMar>
        </w:tblPrEx>
        <w:trPr>
          <w:wBefore w:w="0" w:type="auto"/>
          <w:tblCellSpacing w:w="0" w:type="dxa"/>
        </w:trPr>
        <w:tc>
          <w:tcPr>
            <w:tcW w:w="0" w:type="auto"/>
            <w:noWrap w:val="0"/>
            <w:vAlign w:val="center"/>
          </w:tcPr>
          <w:p w14:paraId="268CF827">
            <w:r>
              <w:rPr>
                <w:rStyle w:val="10"/>
                <w:rFonts w:hint="eastAsia"/>
              </w:rPr>
              <w:t>备注：</w:t>
            </w:r>
          </w:p>
        </w:tc>
      </w:tr>
    </w:tbl>
    <w:p w14:paraId="42596E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2BE00A">
        <w:tblPrEx>
          <w:tblCellMar>
            <w:top w:w="0" w:type="dxa"/>
            <w:left w:w="0" w:type="dxa"/>
            <w:bottom w:w="0" w:type="dxa"/>
            <w:right w:w="0" w:type="dxa"/>
          </w:tblCellMar>
        </w:tblPrEx>
        <w:trPr>
          <w:wBefore w:w="0" w:type="auto"/>
          <w:tblCellSpacing w:w="0" w:type="dxa"/>
        </w:trPr>
        <w:tc>
          <w:tcPr>
            <w:tcW w:w="0" w:type="auto"/>
            <w:noWrap w:val="0"/>
            <w:vAlign w:val="center"/>
          </w:tcPr>
          <w:p w14:paraId="3A9378B8">
            <w:r>
              <w:rPr>
                <w:rStyle w:val="10"/>
                <w:rFonts w:hint="eastAsia"/>
              </w:rPr>
              <w:t>登记证号：</w:t>
            </w:r>
            <w:r>
              <w:rPr>
                <w:rFonts w:hint="eastAsia"/>
              </w:rPr>
              <w:t>PD20212441</w:t>
            </w:r>
          </w:p>
        </w:tc>
      </w:tr>
      <w:tr w14:paraId="6BAE9D20">
        <w:tblPrEx>
          <w:tblCellMar>
            <w:top w:w="0" w:type="dxa"/>
            <w:left w:w="0" w:type="dxa"/>
            <w:bottom w:w="0" w:type="dxa"/>
            <w:right w:w="0" w:type="dxa"/>
          </w:tblCellMar>
        </w:tblPrEx>
        <w:trPr>
          <w:wBefore w:w="0" w:type="auto"/>
          <w:tblCellSpacing w:w="0" w:type="dxa"/>
        </w:trPr>
        <w:tc>
          <w:tcPr>
            <w:tcW w:w="0" w:type="auto"/>
            <w:noWrap w:val="0"/>
            <w:vAlign w:val="center"/>
          </w:tcPr>
          <w:p w14:paraId="24FF3405">
            <w:r>
              <w:rPr>
                <w:rStyle w:val="10"/>
                <w:rFonts w:hint="eastAsia"/>
              </w:rPr>
              <w:t>登记证持有人：</w:t>
            </w:r>
            <w:r>
              <w:rPr>
                <w:rFonts w:hint="eastAsia"/>
              </w:rPr>
              <w:t>河南丰收乐化学有限公司</w:t>
            </w:r>
          </w:p>
        </w:tc>
      </w:tr>
      <w:tr w14:paraId="1461CDEC">
        <w:tblPrEx>
          <w:tblCellMar>
            <w:top w:w="0" w:type="dxa"/>
            <w:left w:w="0" w:type="dxa"/>
            <w:bottom w:w="0" w:type="dxa"/>
            <w:right w:w="0" w:type="dxa"/>
          </w:tblCellMar>
        </w:tblPrEx>
        <w:trPr>
          <w:wBefore w:w="0" w:type="auto"/>
          <w:tblCellSpacing w:w="0" w:type="dxa"/>
        </w:trPr>
        <w:tc>
          <w:tcPr>
            <w:tcW w:w="0" w:type="auto"/>
            <w:noWrap w:val="0"/>
            <w:vAlign w:val="center"/>
          </w:tcPr>
          <w:p w14:paraId="397DD59B">
            <w:r>
              <w:rPr>
                <w:rStyle w:val="10"/>
                <w:rFonts w:hint="eastAsia"/>
              </w:rPr>
              <w:t>农药名称：</w:t>
            </w:r>
            <w:r>
              <w:rPr>
                <w:rFonts w:hint="eastAsia"/>
              </w:rPr>
              <w:t>氟啶虫酰胺·联苯菊酯</w:t>
            </w:r>
          </w:p>
        </w:tc>
      </w:tr>
      <w:tr w14:paraId="017B850E">
        <w:tblPrEx>
          <w:tblCellMar>
            <w:top w:w="0" w:type="dxa"/>
            <w:left w:w="0" w:type="dxa"/>
            <w:bottom w:w="0" w:type="dxa"/>
            <w:right w:w="0" w:type="dxa"/>
          </w:tblCellMar>
        </w:tblPrEx>
        <w:trPr>
          <w:wBefore w:w="0" w:type="auto"/>
          <w:tblCellSpacing w:w="0" w:type="dxa"/>
        </w:trPr>
        <w:tc>
          <w:tcPr>
            <w:tcW w:w="0" w:type="auto"/>
            <w:noWrap w:val="0"/>
            <w:vAlign w:val="center"/>
          </w:tcPr>
          <w:p w14:paraId="32C6AAB6">
            <w:r>
              <w:rPr>
                <w:rStyle w:val="10"/>
                <w:rFonts w:hint="eastAsia"/>
              </w:rPr>
              <w:t>剂型：</w:t>
            </w:r>
            <w:r>
              <w:rPr>
                <w:rFonts w:hint="eastAsia"/>
              </w:rPr>
              <w:t>悬浮剂</w:t>
            </w:r>
          </w:p>
        </w:tc>
      </w:tr>
      <w:tr w14:paraId="704C893E">
        <w:tblPrEx>
          <w:tblCellMar>
            <w:top w:w="0" w:type="dxa"/>
            <w:left w:w="0" w:type="dxa"/>
            <w:bottom w:w="0" w:type="dxa"/>
            <w:right w:w="0" w:type="dxa"/>
          </w:tblCellMar>
        </w:tblPrEx>
        <w:trPr>
          <w:wBefore w:w="0" w:type="auto"/>
          <w:tblCellSpacing w:w="0" w:type="dxa"/>
        </w:trPr>
        <w:tc>
          <w:tcPr>
            <w:tcW w:w="0" w:type="auto"/>
            <w:noWrap w:val="0"/>
            <w:vAlign w:val="center"/>
          </w:tcPr>
          <w:p w14:paraId="2722D0DA">
            <w:r>
              <w:rPr>
                <w:rStyle w:val="10"/>
                <w:rFonts w:hint="eastAsia"/>
              </w:rPr>
              <w:t>毒性及其标识：</w:t>
            </w:r>
            <w:r>
              <w:rPr>
                <w:rFonts w:hint="eastAsia"/>
              </w:rPr>
              <w:t xml:space="preserve"> </w:t>
            </w:r>
            <w:r>
              <w:rPr>
                <w:lang/>
              </w:rPr>
              <w:drawing>
                <wp:inline distT="0" distB="0" distL="114300" distR="114300">
                  <wp:extent cx="476250" cy="323850"/>
                  <wp:effectExtent l="0" t="0" r="0" b="0"/>
                  <wp:docPr id="263" name="图片 2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F9A698">
        <w:tblPrEx>
          <w:tblCellMar>
            <w:top w:w="0" w:type="dxa"/>
            <w:left w:w="0" w:type="dxa"/>
            <w:bottom w:w="0" w:type="dxa"/>
            <w:right w:w="0" w:type="dxa"/>
          </w:tblCellMar>
        </w:tblPrEx>
        <w:trPr>
          <w:wBefore w:w="0" w:type="auto"/>
          <w:tblCellSpacing w:w="0" w:type="dxa"/>
        </w:trPr>
        <w:tc>
          <w:tcPr>
            <w:tcW w:w="0" w:type="auto"/>
            <w:noWrap w:val="0"/>
            <w:vAlign w:val="center"/>
          </w:tcPr>
          <w:p w14:paraId="5F022D67">
            <w:r>
              <w:rPr>
                <w:rStyle w:val="10"/>
                <w:rFonts w:hint="eastAsia"/>
              </w:rPr>
              <w:t>总有效成分含量：</w:t>
            </w:r>
            <w:r>
              <w:rPr>
                <w:rFonts w:hint="eastAsia"/>
              </w:rPr>
              <w:t>15%</w:t>
            </w:r>
          </w:p>
        </w:tc>
      </w:tr>
      <w:tr w14:paraId="3A573289">
        <w:tblPrEx>
          <w:tblCellMar>
            <w:top w:w="0" w:type="dxa"/>
            <w:left w:w="0" w:type="dxa"/>
            <w:bottom w:w="0" w:type="dxa"/>
            <w:right w:w="0" w:type="dxa"/>
          </w:tblCellMar>
        </w:tblPrEx>
        <w:trPr>
          <w:wBefore w:w="0" w:type="auto"/>
          <w:tblCellSpacing w:w="0" w:type="dxa"/>
        </w:trPr>
        <w:tc>
          <w:tcPr>
            <w:tcW w:w="0" w:type="auto"/>
            <w:noWrap w:val="0"/>
            <w:vAlign w:val="center"/>
          </w:tcPr>
          <w:p w14:paraId="3554AB99">
            <w:r>
              <w:rPr>
                <w:rFonts w:hint="eastAsia"/>
              </w:rPr>
              <w:t xml:space="preserve">有效成分及其含量： </w:t>
            </w:r>
          </w:p>
          <w:p w14:paraId="40D4408D">
            <w:r>
              <w:rPr>
                <w:rFonts w:hint="eastAsia"/>
              </w:rPr>
              <w:t xml:space="preserve">    氟啶虫酰胺10%    联苯菊酯5%    </w:t>
            </w:r>
          </w:p>
        </w:tc>
      </w:tr>
      <w:tr w14:paraId="1E66B34C">
        <w:tblPrEx>
          <w:tblCellMar>
            <w:top w:w="0" w:type="dxa"/>
            <w:left w:w="0" w:type="dxa"/>
            <w:bottom w:w="0" w:type="dxa"/>
            <w:right w:w="0" w:type="dxa"/>
          </w:tblCellMar>
        </w:tblPrEx>
        <w:trPr>
          <w:wBefore w:w="0" w:type="auto"/>
          <w:tblCellSpacing w:w="0" w:type="dxa"/>
        </w:trPr>
        <w:tc>
          <w:tcPr>
            <w:tcW w:w="0" w:type="auto"/>
            <w:noWrap w:val="0"/>
            <w:vAlign w:val="center"/>
          </w:tcPr>
          <w:p w14:paraId="6510E7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D177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1C4A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8BDD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4E9AA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6F36BC">
                  <w:r>
                    <w:rPr>
                      <w:rStyle w:val="11"/>
                      <w:rFonts w:hint="eastAsia"/>
                    </w:rPr>
                    <w:t>施用方式</w:t>
                  </w:r>
                </w:p>
              </w:tc>
            </w:tr>
            <w:tr w14:paraId="3E308B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26619F">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1BE4F8">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66F36D">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DF1FE6">
                  <w:r>
                    <w:rPr>
                      <w:rStyle w:val="11"/>
                      <w:rFonts w:hint="eastAsia"/>
                    </w:rPr>
                    <w:t>喷雾</w:t>
                  </w:r>
                </w:p>
              </w:tc>
            </w:tr>
          </w:tbl>
          <w:p w14:paraId="03B69024">
            <w:pPr>
              <w:rPr>
                <w:rFonts w:ascii="Times New Roman" w:hAnsi="Times New Roman" w:cs="Times New Roman"/>
                <w:sz w:val="20"/>
                <w:szCs w:val="20"/>
              </w:rPr>
            </w:pPr>
          </w:p>
        </w:tc>
      </w:tr>
      <w:tr w14:paraId="7ED75F47">
        <w:tblPrEx>
          <w:tblCellMar>
            <w:top w:w="0" w:type="dxa"/>
            <w:left w:w="0" w:type="dxa"/>
            <w:bottom w:w="0" w:type="dxa"/>
            <w:right w:w="0" w:type="dxa"/>
          </w:tblCellMar>
        </w:tblPrEx>
        <w:trPr>
          <w:wBefore w:w="0" w:type="auto"/>
          <w:tblCellSpacing w:w="0" w:type="dxa"/>
        </w:trPr>
        <w:tc>
          <w:tcPr>
            <w:tcW w:w="0" w:type="auto"/>
            <w:noWrap w:val="0"/>
            <w:vAlign w:val="center"/>
          </w:tcPr>
          <w:p w14:paraId="24638913">
            <w:r>
              <w:rPr>
                <w:rStyle w:val="10"/>
                <w:rFonts w:hint="eastAsia"/>
              </w:rPr>
              <w:t>使用技术要求:</w:t>
            </w:r>
            <w:r>
              <w:rPr>
                <w:rFonts w:hint="eastAsia"/>
              </w:rPr>
              <w:br w:type="textWrapping"/>
            </w:r>
            <w:r>
              <w:rPr>
                <w:rStyle w:val="11"/>
                <w:rFonts w:hint="eastAsia"/>
              </w:rPr>
              <w:t>1. 在桃树桃蚜发生始盛期施药1次，使用时应注意均匀喷雾。2.大风天或预计1小时内有雨，请勿施药。3.本品在桃树上使用的安全间隔期为14天，每季作物最多使用次数为1次。</w:t>
            </w:r>
          </w:p>
        </w:tc>
      </w:tr>
      <w:tr w14:paraId="7340B026">
        <w:tblPrEx>
          <w:tblCellMar>
            <w:top w:w="0" w:type="dxa"/>
            <w:left w:w="0" w:type="dxa"/>
            <w:bottom w:w="0" w:type="dxa"/>
            <w:right w:w="0" w:type="dxa"/>
          </w:tblCellMar>
        </w:tblPrEx>
        <w:trPr>
          <w:wBefore w:w="0" w:type="auto"/>
          <w:tblCellSpacing w:w="0" w:type="dxa"/>
        </w:trPr>
        <w:tc>
          <w:tcPr>
            <w:tcW w:w="0" w:type="auto"/>
            <w:noWrap w:val="0"/>
            <w:vAlign w:val="center"/>
          </w:tcPr>
          <w:p w14:paraId="56E329DC">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6D591977">
        <w:tblPrEx>
          <w:tblCellMar>
            <w:top w:w="0" w:type="dxa"/>
            <w:left w:w="0" w:type="dxa"/>
            <w:bottom w:w="0" w:type="dxa"/>
            <w:right w:w="0" w:type="dxa"/>
          </w:tblCellMar>
        </w:tblPrEx>
        <w:trPr>
          <w:wBefore w:w="0" w:type="auto"/>
          <w:tblCellSpacing w:w="0" w:type="dxa"/>
        </w:trPr>
        <w:tc>
          <w:tcPr>
            <w:tcW w:w="0" w:type="auto"/>
            <w:noWrap w:val="0"/>
            <w:vAlign w:val="center"/>
          </w:tcPr>
          <w:p w14:paraId="229FD64E">
            <w:r>
              <w:rPr>
                <w:rStyle w:val="10"/>
                <w:rFonts w:hint="eastAsia"/>
              </w:rPr>
              <w:t>注意事项：</w:t>
            </w:r>
            <w:r>
              <w:rPr>
                <w:rFonts w:hint="eastAsia"/>
              </w:rPr>
              <w:br w:type="textWrapping"/>
            </w:r>
            <w:r>
              <w:rPr>
                <w:rStyle w:val="11"/>
                <w:rFonts w:hint="eastAsia"/>
              </w:rPr>
              <w:t>1. 本品不可与呈碱性的农药等物质混合使用。2. 本品对眼睛有刺激性，使用时避免接触眼睛，穿戴长衣、长裤、帽子、口罩、手套等防护措施。施药期间不可吃东西和饮水，施药后应及时洗手和洗脸。3. 本品对蜜蜂、鱼等水生生物、家蚕有毒，（周围）开花植物花期禁用，施药期间避免对周围蜂群的影响，蚕室和桑园附近禁用。赤眼蜂等天敌放飞区域禁用。远离水产养殖区、河塘等水体附近施药，避免药液污染水源，禁止在河塘等水域中清洗施药器具。4. 用过的容器应妥善处理，不可做他用，也不可随意丢弃。5.孕妇及哺乳期妇女应避免接触本品。6. 建议与其他作用机制不同的杀虫剂轮换使用，以延缓抗性的产生。</w:t>
            </w:r>
          </w:p>
        </w:tc>
      </w:tr>
      <w:tr w14:paraId="7713D9FF">
        <w:tblPrEx>
          <w:tblCellMar>
            <w:top w:w="0" w:type="dxa"/>
            <w:left w:w="0" w:type="dxa"/>
            <w:bottom w:w="0" w:type="dxa"/>
            <w:right w:w="0" w:type="dxa"/>
          </w:tblCellMar>
        </w:tblPrEx>
        <w:trPr>
          <w:wBefore w:w="0" w:type="auto"/>
          <w:tblCellSpacing w:w="0" w:type="dxa"/>
        </w:trPr>
        <w:tc>
          <w:tcPr>
            <w:tcW w:w="0" w:type="auto"/>
            <w:noWrap w:val="0"/>
            <w:vAlign w:val="center"/>
          </w:tcPr>
          <w:p w14:paraId="07B491C2">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w:t>
            </w:r>
          </w:p>
        </w:tc>
      </w:tr>
      <w:tr w14:paraId="36230829">
        <w:tblPrEx>
          <w:tblCellMar>
            <w:top w:w="0" w:type="dxa"/>
            <w:left w:w="0" w:type="dxa"/>
            <w:bottom w:w="0" w:type="dxa"/>
            <w:right w:w="0" w:type="dxa"/>
          </w:tblCellMar>
        </w:tblPrEx>
        <w:trPr>
          <w:wBefore w:w="0" w:type="auto"/>
          <w:tblCellSpacing w:w="0" w:type="dxa"/>
        </w:trPr>
        <w:tc>
          <w:tcPr>
            <w:tcW w:w="0" w:type="auto"/>
            <w:noWrap w:val="0"/>
            <w:vAlign w:val="center"/>
          </w:tcPr>
          <w:p w14:paraId="2C4EC54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30FBB061">
        <w:tblPrEx>
          <w:tblCellMar>
            <w:top w:w="0" w:type="dxa"/>
            <w:left w:w="0" w:type="dxa"/>
            <w:bottom w:w="0" w:type="dxa"/>
            <w:right w:w="0" w:type="dxa"/>
          </w:tblCellMar>
        </w:tblPrEx>
        <w:trPr>
          <w:wBefore w:w="0" w:type="auto"/>
          <w:tblCellSpacing w:w="0" w:type="dxa"/>
        </w:trPr>
        <w:tc>
          <w:tcPr>
            <w:tcW w:w="0" w:type="auto"/>
            <w:noWrap w:val="0"/>
            <w:vAlign w:val="center"/>
          </w:tcPr>
          <w:p w14:paraId="7BB9F8B6">
            <w:r>
              <w:rPr>
                <w:rStyle w:val="10"/>
                <w:rFonts w:hint="eastAsia"/>
              </w:rPr>
              <w:t>质量保证期：</w:t>
            </w:r>
            <w:r>
              <w:rPr>
                <w:rStyle w:val="11"/>
                <w:rFonts w:hint="eastAsia"/>
              </w:rPr>
              <w:t>2年</w:t>
            </w:r>
          </w:p>
        </w:tc>
      </w:tr>
      <w:tr w14:paraId="2545299B">
        <w:tblPrEx>
          <w:tblCellMar>
            <w:top w:w="0" w:type="dxa"/>
            <w:left w:w="0" w:type="dxa"/>
            <w:bottom w:w="0" w:type="dxa"/>
            <w:right w:w="0" w:type="dxa"/>
          </w:tblCellMar>
        </w:tblPrEx>
        <w:trPr>
          <w:wBefore w:w="0" w:type="auto"/>
          <w:tblCellSpacing w:w="0" w:type="dxa"/>
        </w:trPr>
        <w:tc>
          <w:tcPr>
            <w:tcW w:w="0" w:type="auto"/>
            <w:noWrap w:val="0"/>
            <w:vAlign w:val="center"/>
          </w:tcPr>
          <w:p w14:paraId="0517E76A">
            <w:r>
              <w:rPr>
                <w:rStyle w:val="10"/>
                <w:rFonts w:hint="eastAsia"/>
              </w:rPr>
              <w:t>备注：</w:t>
            </w:r>
          </w:p>
        </w:tc>
      </w:tr>
    </w:tbl>
    <w:p w14:paraId="40FC3F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6FC7A2">
        <w:tblPrEx>
          <w:tblCellMar>
            <w:top w:w="0" w:type="dxa"/>
            <w:left w:w="0" w:type="dxa"/>
            <w:bottom w:w="0" w:type="dxa"/>
            <w:right w:w="0" w:type="dxa"/>
          </w:tblCellMar>
        </w:tblPrEx>
        <w:trPr>
          <w:wBefore w:w="0" w:type="auto"/>
          <w:tblCellSpacing w:w="0" w:type="dxa"/>
        </w:trPr>
        <w:tc>
          <w:tcPr>
            <w:tcW w:w="0" w:type="auto"/>
            <w:noWrap w:val="0"/>
            <w:vAlign w:val="center"/>
          </w:tcPr>
          <w:p w14:paraId="601568AF">
            <w:r>
              <w:rPr>
                <w:rStyle w:val="10"/>
                <w:rFonts w:hint="eastAsia"/>
              </w:rPr>
              <w:t>登记证号：</w:t>
            </w:r>
            <w:r>
              <w:rPr>
                <w:rFonts w:hint="eastAsia"/>
              </w:rPr>
              <w:t>PD20212607</w:t>
            </w:r>
          </w:p>
        </w:tc>
      </w:tr>
      <w:tr w14:paraId="0D513F46">
        <w:tblPrEx>
          <w:tblCellMar>
            <w:top w:w="0" w:type="dxa"/>
            <w:left w:w="0" w:type="dxa"/>
            <w:bottom w:w="0" w:type="dxa"/>
            <w:right w:w="0" w:type="dxa"/>
          </w:tblCellMar>
        </w:tblPrEx>
        <w:trPr>
          <w:wBefore w:w="0" w:type="auto"/>
          <w:tblCellSpacing w:w="0" w:type="dxa"/>
        </w:trPr>
        <w:tc>
          <w:tcPr>
            <w:tcW w:w="0" w:type="auto"/>
            <w:noWrap w:val="0"/>
            <w:vAlign w:val="center"/>
          </w:tcPr>
          <w:p w14:paraId="177CB7A4">
            <w:r>
              <w:rPr>
                <w:rStyle w:val="10"/>
                <w:rFonts w:hint="eastAsia"/>
              </w:rPr>
              <w:t>登记证持有人：</w:t>
            </w:r>
            <w:r>
              <w:rPr>
                <w:rFonts w:hint="eastAsia"/>
              </w:rPr>
              <w:t>山东富谦生物科技有限公司</w:t>
            </w:r>
          </w:p>
        </w:tc>
      </w:tr>
      <w:tr w14:paraId="73498797">
        <w:tblPrEx>
          <w:tblCellMar>
            <w:top w:w="0" w:type="dxa"/>
            <w:left w:w="0" w:type="dxa"/>
            <w:bottom w:w="0" w:type="dxa"/>
            <w:right w:w="0" w:type="dxa"/>
          </w:tblCellMar>
        </w:tblPrEx>
        <w:trPr>
          <w:wBefore w:w="0" w:type="auto"/>
          <w:tblCellSpacing w:w="0" w:type="dxa"/>
        </w:trPr>
        <w:tc>
          <w:tcPr>
            <w:tcW w:w="0" w:type="auto"/>
            <w:noWrap w:val="0"/>
            <w:vAlign w:val="center"/>
          </w:tcPr>
          <w:p w14:paraId="4EC38809">
            <w:r>
              <w:rPr>
                <w:rStyle w:val="10"/>
                <w:rFonts w:hint="eastAsia"/>
              </w:rPr>
              <w:t>农药名称：</w:t>
            </w:r>
            <w:r>
              <w:rPr>
                <w:rFonts w:hint="eastAsia"/>
              </w:rPr>
              <w:t>2甲·草甘膦</w:t>
            </w:r>
          </w:p>
        </w:tc>
      </w:tr>
      <w:tr w14:paraId="25539F74">
        <w:tblPrEx>
          <w:tblCellMar>
            <w:top w:w="0" w:type="dxa"/>
            <w:left w:w="0" w:type="dxa"/>
            <w:bottom w:w="0" w:type="dxa"/>
            <w:right w:w="0" w:type="dxa"/>
          </w:tblCellMar>
        </w:tblPrEx>
        <w:trPr>
          <w:wBefore w:w="0" w:type="auto"/>
          <w:tblCellSpacing w:w="0" w:type="dxa"/>
        </w:trPr>
        <w:tc>
          <w:tcPr>
            <w:tcW w:w="0" w:type="auto"/>
            <w:noWrap w:val="0"/>
            <w:vAlign w:val="center"/>
          </w:tcPr>
          <w:p w14:paraId="7EE1EA3D">
            <w:r>
              <w:rPr>
                <w:rStyle w:val="10"/>
                <w:rFonts w:hint="eastAsia"/>
              </w:rPr>
              <w:t>剂型：</w:t>
            </w:r>
            <w:r>
              <w:rPr>
                <w:rFonts w:hint="eastAsia"/>
              </w:rPr>
              <w:t>可溶粉剂</w:t>
            </w:r>
          </w:p>
        </w:tc>
      </w:tr>
      <w:tr w14:paraId="74B109CB">
        <w:tblPrEx>
          <w:tblCellMar>
            <w:top w:w="0" w:type="dxa"/>
            <w:left w:w="0" w:type="dxa"/>
            <w:bottom w:w="0" w:type="dxa"/>
            <w:right w:w="0" w:type="dxa"/>
          </w:tblCellMar>
        </w:tblPrEx>
        <w:trPr>
          <w:wBefore w:w="0" w:type="auto"/>
          <w:tblCellSpacing w:w="0" w:type="dxa"/>
        </w:trPr>
        <w:tc>
          <w:tcPr>
            <w:tcW w:w="0" w:type="auto"/>
            <w:noWrap w:val="0"/>
            <w:vAlign w:val="center"/>
          </w:tcPr>
          <w:p w14:paraId="5A3BD0CB">
            <w:r>
              <w:rPr>
                <w:rStyle w:val="10"/>
                <w:rFonts w:hint="eastAsia"/>
              </w:rPr>
              <w:t>毒性及其标识：</w:t>
            </w:r>
            <w:r>
              <w:rPr>
                <w:rFonts w:hint="eastAsia"/>
              </w:rPr>
              <w:t xml:space="preserve"> </w:t>
            </w:r>
            <w:r>
              <w:rPr>
                <w:lang/>
              </w:rPr>
              <w:drawing>
                <wp:inline distT="0" distB="0" distL="114300" distR="114300">
                  <wp:extent cx="476250" cy="323850"/>
                  <wp:effectExtent l="0" t="0" r="0" b="0"/>
                  <wp:docPr id="264" name="图片 2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8C63FE">
        <w:tblPrEx>
          <w:tblCellMar>
            <w:top w:w="0" w:type="dxa"/>
            <w:left w:w="0" w:type="dxa"/>
            <w:bottom w:w="0" w:type="dxa"/>
            <w:right w:w="0" w:type="dxa"/>
          </w:tblCellMar>
        </w:tblPrEx>
        <w:trPr>
          <w:wBefore w:w="0" w:type="auto"/>
          <w:tblCellSpacing w:w="0" w:type="dxa"/>
        </w:trPr>
        <w:tc>
          <w:tcPr>
            <w:tcW w:w="0" w:type="auto"/>
            <w:noWrap w:val="0"/>
            <w:vAlign w:val="center"/>
          </w:tcPr>
          <w:p w14:paraId="2636C792">
            <w:r>
              <w:rPr>
                <w:rStyle w:val="10"/>
                <w:rFonts w:hint="eastAsia"/>
              </w:rPr>
              <w:t>总有效成分含量：</w:t>
            </w:r>
            <w:r>
              <w:rPr>
                <w:rFonts w:hint="eastAsia"/>
              </w:rPr>
              <w:t>93%</w:t>
            </w:r>
          </w:p>
        </w:tc>
      </w:tr>
      <w:tr w14:paraId="263C8827">
        <w:tblPrEx>
          <w:tblCellMar>
            <w:top w:w="0" w:type="dxa"/>
            <w:left w:w="0" w:type="dxa"/>
            <w:bottom w:w="0" w:type="dxa"/>
            <w:right w:w="0" w:type="dxa"/>
          </w:tblCellMar>
        </w:tblPrEx>
        <w:trPr>
          <w:wBefore w:w="0" w:type="auto"/>
          <w:tblCellSpacing w:w="0" w:type="dxa"/>
        </w:trPr>
        <w:tc>
          <w:tcPr>
            <w:tcW w:w="0" w:type="auto"/>
            <w:noWrap w:val="0"/>
            <w:vAlign w:val="center"/>
          </w:tcPr>
          <w:p w14:paraId="293D3924">
            <w:r>
              <w:rPr>
                <w:rFonts w:hint="eastAsia"/>
              </w:rPr>
              <w:t xml:space="preserve">有效成分及其含量： </w:t>
            </w:r>
          </w:p>
          <w:p w14:paraId="439243A6">
            <w:r>
              <w:rPr>
                <w:rFonts w:hint="eastAsia"/>
              </w:rPr>
              <w:t xml:space="preserve">    2甲4氯4.5%    草甘膦80%    </w:t>
            </w:r>
          </w:p>
        </w:tc>
      </w:tr>
      <w:tr w14:paraId="1BC8EE79">
        <w:tblPrEx>
          <w:tblCellMar>
            <w:top w:w="0" w:type="dxa"/>
            <w:left w:w="0" w:type="dxa"/>
            <w:bottom w:w="0" w:type="dxa"/>
            <w:right w:w="0" w:type="dxa"/>
          </w:tblCellMar>
        </w:tblPrEx>
        <w:trPr>
          <w:wBefore w:w="0" w:type="auto"/>
          <w:tblCellSpacing w:w="0" w:type="dxa"/>
        </w:trPr>
        <w:tc>
          <w:tcPr>
            <w:tcW w:w="0" w:type="auto"/>
            <w:noWrap w:val="0"/>
            <w:vAlign w:val="center"/>
          </w:tcPr>
          <w:p w14:paraId="140CB2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3C8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C5445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B9C82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7341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89BD85">
                  <w:r>
                    <w:rPr>
                      <w:rStyle w:val="11"/>
                      <w:rFonts w:hint="eastAsia"/>
                    </w:rPr>
                    <w:t>施用方式</w:t>
                  </w:r>
                </w:p>
              </w:tc>
            </w:tr>
            <w:tr w14:paraId="49A804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E5936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AD9E5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503389">
                  <w:r>
                    <w:rPr>
                      <w:rStyle w:val="11"/>
                      <w:rFonts w:hint="eastAsia"/>
                    </w:rPr>
                    <w:t>100-140克/亩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521630">
                  <w:r>
                    <w:rPr>
                      <w:rStyle w:val="11"/>
                      <w:rFonts w:hint="eastAsia"/>
                    </w:rPr>
                    <w:t>茎叶喷雾</w:t>
                  </w:r>
                </w:p>
              </w:tc>
            </w:tr>
          </w:tbl>
          <w:p w14:paraId="030E6911">
            <w:pPr>
              <w:rPr>
                <w:rFonts w:ascii="Times New Roman" w:hAnsi="Times New Roman" w:cs="Times New Roman"/>
                <w:sz w:val="20"/>
                <w:szCs w:val="20"/>
              </w:rPr>
            </w:pPr>
          </w:p>
        </w:tc>
      </w:tr>
      <w:tr w14:paraId="6B23DB3B">
        <w:tblPrEx>
          <w:tblCellMar>
            <w:top w:w="0" w:type="dxa"/>
            <w:left w:w="0" w:type="dxa"/>
            <w:bottom w:w="0" w:type="dxa"/>
            <w:right w:w="0" w:type="dxa"/>
          </w:tblCellMar>
        </w:tblPrEx>
        <w:trPr>
          <w:wBefore w:w="0" w:type="auto"/>
          <w:tblCellSpacing w:w="0" w:type="dxa"/>
        </w:trPr>
        <w:tc>
          <w:tcPr>
            <w:tcW w:w="0" w:type="auto"/>
            <w:noWrap w:val="0"/>
            <w:vAlign w:val="center"/>
          </w:tcPr>
          <w:p w14:paraId="756459B6">
            <w:r>
              <w:rPr>
                <w:rStyle w:val="10"/>
                <w:rFonts w:hint="eastAsia"/>
              </w:rPr>
              <w:t>使用技术要求:</w:t>
            </w:r>
            <w:r>
              <w:rPr>
                <w:rFonts w:hint="eastAsia"/>
              </w:rPr>
              <w:br w:type="textWrapping"/>
            </w:r>
            <w:r>
              <w:rPr>
                <w:rStyle w:val="11"/>
                <w:rFonts w:hint="eastAsia"/>
              </w:rPr>
              <w:t>1、于非耕地杂草生长旺盛期，茎叶喷雾施药。 2、选择晴好天气，按防治作物、用药量、使用方法、根据杂草的株高，调节喷头高度，喷雾时勿接触作物绿色部分，以免产生药害。 3、如施药后4小时内下雨，会影响药效，应酌情补喷。注意避免漂移药害。4、禁止在田间道路、田埂、果树行间、休耕地、林场林地等农林业区域使用。</w:t>
            </w:r>
          </w:p>
        </w:tc>
      </w:tr>
      <w:tr w14:paraId="2691000F">
        <w:tblPrEx>
          <w:tblCellMar>
            <w:top w:w="0" w:type="dxa"/>
            <w:left w:w="0" w:type="dxa"/>
            <w:bottom w:w="0" w:type="dxa"/>
            <w:right w:w="0" w:type="dxa"/>
          </w:tblCellMar>
        </w:tblPrEx>
        <w:trPr>
          <w:wBefore w:w="0" w:type="auto"/>
          <w:tblCellSpacing w:w="0" w:type="dxa"/>
        </w:trPr>
        <w:tc>
          <w:tcPr>
            <w:tcW w:w="0" w:type="auto"/>
            <w:noWrap w:val="0"/>
            <w:vAlign w:val="center"/>
          </w:tcPr>
          <w:p w14:paraId="16B513AB">
            <w:r>
              <w:rPr>
                <w:rStyle w:val="10"/>
                <w:rFonts w:hint="eastAsia"/>
              </w:rPr>
              <w:t>产品性能:</w:t>
            </w:r>
            <w:r>
              <w:rPr>
                <w:rFonts w:hint="eastAsia"/>
              </w:rPr>
              <w:br w:type="textWrapping"/>
            </w:r>
            <w:r>
              <w:rPr>
                <w:rStyle w:val="11"/>
                <w:rFonts w:hint="eastAsia"/>
              </w:rPr>
              <w:t>本产品是由草甘膦铵盐和2甲4氯钠复配而成的除草剂，能有效防除单子叶和双子叶、一年生和多年生杂草。</w:t>
            </w:r>
          </w:p>
        </w:tc>
      </w:tr>
      <w:tr w14:paraId="0F44F0E7">
        <w:tblPrEx>
          <w:tblCellMar>
            <w:top w:w="0" w:type="dxa"/>
            <w:left w:w="0" w:type="dxa"/>
            <w:bottom w:w="0" w:type="dxa"/>
            <w:right w:w="0" w:type="dxa"/>
          </w:tblCellMar>
        </w:tblPrEx>
        <w:trPr>
          <w:wBefore w:w="0" w:type="auto"/>
          <w:tblCellSpacing w:w="0" w:type="dxa"/>
        </w:trPr>
        <w:tc>
          <w:tcPr>
            <w:tcW w:w="0" w:type="auto"/>
            <w:noWrap w:val="0"/>
            <w:vAlign w:val="center"/>
          </w:tcPr>
          <w:p w14:paraId="3C938BAD">
            <w:r>
              <w:rPr>
                <w:rStyle w:val="10"/>
                <w:rFonts w:hint="eastAsia"/>
              </w:rPr>
              <w:t>注意事项：</w:t>
            </w:r>
            <w:r>
              <w:rPr>
                <w:rFonts w:hint="eastAsia"/>
              </w:rPr>
              <w:br w:type="textWrapping"/>
            </w:r>
            <w:r>
              <w:rPr>
                <w:rStyle w:val="11"/>
                <w:rFonts w:hint="eastAsia"/>
              </w:rPr>
              <w:t>1、本品为非选择性除草剂，因此施药时应防止药液漂移到非靶标作物茎叶上，以免产生药害。 2、药液用清水稀释，不得使用污水、混浊水，以免降低药效。 3、在异常情况条件下或推广使用，需请当地植保人员予以指导。 4、施用本品后5天内勿割草、放牧和翻地。 5、使用本品大面积灭草时，药后杂草与灌木成片干枯，应注意火灾发生。 6、使用时穿戴长衣、长裤、帽子、口罩、手套等防护措施，施药期间不可吃东西和饮水。施药后应及时洗手和洗脸，禁止在河塘等水体清洗施药器具，赤眼蜂、瓢虫等天敌放飞区禁用。 7、孕妇和哺乳期妇女应避免接触。 8、用过的包装物应妥善处理，不可做他用，也不可随意丢弃。</w:t>
            </w:r>
          </w:p>
        </w:tc>
      </w:tr>
      <w:tr w14:paraId="7187010F">
        <w:tblPrEx>
          <w:tblCellMar>
            <w:top w:w="0" w:type="dxa"/>
            <w:left w:w="0" w:type="dxa"/>
            <w:bottom w:w="0" w:type="dxa"/>
            <w:right w:w="0" w:type="dxa"/>
          </w:tblCellMar>
        </w:tblPrEx>
        <w:trPr>
          <w:wBefore w:w="0" w:type="auto"/>
          <w:tblCellSpacing w:w="0" w:type="dxa"/>
        </w:trPr>
        <w:tc>
          <w:tcPr>
            <w:tcW w:w="0" w:type="auto"/>
            <w:noWrap w:val="0"/>
            <w:vAlign w:val="center"/>
          </w:tcPr>
          <w:p w14:paraId="4B019308">
            <w:r>
              <w:rPr>
                <w:rStyle w:val="10"/>
                <w:rFonts w:hint="eastAsia"/>
              </w:rPr>
              <w:t>中毒急救措施：</w:t>
            </w:r>
            <w:r>
              <w:rPr>
                <w:rFonts w:hint="eastAsia"/>
              </w:rPr>
              <w:br w:type="textWrapping"/>
            </w:r>
            <w:r>
              <w:rPr>
                <w:rStyle w:val="11"/>
                <w:rFonts w:hint="eastAsia"/>
              </w:rPr>
              <w:t>该产品对眼睛有刺激性，使用时避免接触眼睛。 误吞本品，立即催吐；若摄入量大，可用吐根糖浆诱吐，还可在服用的活性炭泥中加入山梨醇，并携此标签送医院诊治，无特殊解毒剂，对症治疗。不慎吸入：应将病人移至空气流通处；不慎眼睛溅入或接触皮肤，应用大量清水冲洗至少 15分钟。</w:t>
            </w:r>
          </w:p>
        </w:tc>
      </w:tr>
      <w:tr w14:paraId="38818F86">
        <w:tblPrEx>
          <w:tblCellMar>
            <w:top w:w="0" w:type="dxa"/>
            <w:left w:w="0" w:type="dxa"/>
            <w:bottom w:w="0" w:type="dxa"/>
            <w:right w:w="0" w:type="dxa"/>
          </w:tblCellMar>
        </w:tblPrEx>
        <w:trPr>
          <w:wBefore w:w="0" w:type="auto"/>
          <w:tblCellSpacing w:w="0" w:type="dxa"/>
        </w:trPr>
        <w:tc>
          <w:tcPr>
            <w:tcW w:w="0" w:type="auto"/>
            <w:noWrap w:val="0"/>
            <w:vAlign w:val="center"/>
          </w:tcPr>
          <w:p w14:paraId="56D0D777">
            <w:r>
              <w:rPr>
                <w:rStyle w:val="10"/>
                <w:rFonts w:hint="eastAsia"/>
              </w:rPr>
              <w:t>储存和运输方法：</w:t>
            </w:r>
            <w:r>
              <w:rPr>
                <w:rFonts w:hint="eastAsia"/>
              </w:rPr>
              <w:br w:type="textWrapping"/>
            </w:r>
            <w:r>
              <w:rPr>
                <w:rStyle w:val="11"/>
                <w:rFonts w:hint="eastAsia"/>
              </w:rPr>
              <w:t>本品应贮存在干燥、阴凉、通风、防雨处，远离热源或火源。置于儿童触及不到之处，并加锁。勿与食品、饮料、粮食、饲料等其他商品同贮同运。</w:t>
            </w:r>
          </w:p>
        </w:tc>
      </w:tr>
      <w:tr w14:paraId="5073235B">
        <w:tblPrEx>
          <w:tblCellMar>
            <w:top w:w="0" w:type="dxa"/>
            <w:left w:w="0" w:type="dxa"/>
            <w:bottom w:w="0" w:type="dxa"/>
            <w:right w:w="0" w:type="dxa"/>
          </w:tblCellMar>
        </w:tblPrEx>
        <w:trPr>
          <w:wBefore w:w="0" w:type="auto"/>
          <w:tblCellSpacing w:w="0" w:type="dxa"/>
        </w:trPr>
        <w:tc>
          <w:tcPr>
            <w:tcW w:w="0" w:type="auto"/>
            <w:noWrap w:val="0"/>
            <w:vAlign w:val="center"/>
          </w:tcPr>
          <w:p w14:paraId="2D390289">
            <w:r>
              <w:rPr>
                <w:rStyle w:val="10"/>
                <w:rFonts w:hint="eastAsia"/>
              </w:rPr>
              <w:t>质量保证期：</w:t>
            </w:r>
            <w:r>
              <w:rPr>
                <w:rStyle w:val="11"/>
                <w:rFonts w:hint="eastAsia"/>
              </w:rPr>
              <w:t>2年</w:t>
            </w:r>
          </w:p>
        </w:tc>
      </w:tr>
      <w:tr w14:paraId="5F15D27B">
        <w:tblPrEx>
          <w:tblCellMar>
            <w:top w:w="0" w:type="dxa"/>
            <w:left w:w="0" w:type="dxa"/>
            <w:bottom w:w="0" w:type="dxa"/>
            <w:right w:w="0" w:type="dxa"/>
          </w:tblCellMar>
        </w:tblPrEx>
        <w:trPr>
          <w:wBefore w:w="0" w:type="auto"/>
          <w:tblCellSpacing w:w="0" w:type="dxa"/>
        </w:trPr>
        <w:tc>
          <w:tcPr>
            <w:tcW w:w="0" w:type="auto"/>
            <w:noWrap w:val="0"/>
            <w:vAlign w:val="center"/>
          </w:tcPr>
          <w:p w14:paraId="574640C0">
            <w:r>
              <w:rPr>
                <w:rStyle w:val="10"/>
                <w:rFonts w:hint="eastAsia"/>
              </w:rPr>
              <w:t>备注：</w:t>
            </w:r>
          </w:p>
        </w:tc>
      </w:tr>
    </w:tbl>
    <w:p w14:paraId="71A60C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69040C">
        <w:tblPrEx>
          <w:tblCellMar>
            <w:top w:w="0" w:type="dxa"/>
            <w:left w:w="0" w:type="dxa"/>
            <w:bottom w:w="0" w:type="dxa"/>
            <w:right w:w="0" w:type="dxa"/>
          </w:tblCellMar>
        </w:tblPrEx>
        <w:trPr>
          <w:wBefore w:w="0" w:type="auto"/>
          <w:tblCellSpacing w:w="0" w:type="dxa"/>
        </w:trPr>
        <w:tc>
          <w:tcPr>
            <w:tcW w:w="0" w:type="auto"/>
            <w:noWrap w:val="0"/>
            <w:vAlign w:val="center"/>
          </w:tcPr>
          <w:p w14:paraId="7568CD83">
            <w:r>
              <w:rPr>
                <w:rStyle w:val="10"/>
                <w:rFonts w:hint="eastAsia"/>
              </w:rPr>
              <w:t>登记证号：</w:t>
            </w:r>
            <w:r>
              <w:rPr>
                <w:rFonts w:hint="eastAsia"/>
              </w:rPr>
              <w:t>WP20210402</w:t>
            </w:r>
          </w:p>
        </w:tc>
      </w:tr>
      <w:tr w14:paraId="5453C460">
        <w:tblPrEx>
          <w:tblCellMar>
            <w:top w:w="0" w:type="dxa"/>
            <w:left w:w="0" w:type="dxa"/>
            <w:bottom w:w="0" w:type="dxa"/>
            <w:right w:w="0" w:type="dxa"/>
          </w:tblCellMar>
        </w:tblPrEx>
        <w:trPr>
          <w:wBefore w:w="0" w:type="auto"/>
          <w:tblCellSpacing w:w="0" w:type="dxa"/>
        </w:trPr>
        <w:tc>
          <w:tcPr>
            <w:tcW w:w="0" w:type="auto"/>
            <w:noWrap w:val="0"/>
            <w:vAlign w:val="center"/>
          </w:tcPr>
          <w:p w14:paraId="066897A7">
            <w:r>
              <w:rPr>
                <w:rStyle w:val="10"/>
                <w:rFonts w:hint="eastAsia"/>
              </w:rPr>
              <w:t>登记证持有人：</w:t>
            </w:r>
            <w:r>
              <w:rPr>
                <w:rFonts w:hint="eastAsia"/>
              </w:rPr>
              <w:t>四川绵阳康尔日化有限公司</w:t>
            </w:r>
          </w:p>
        </w:tc>
      </w:tr>
      <w:tr w14:paraId="6908DCBC">
        <w:tblPrEx>
          <w:tblCellMar>
            <w:top w:w="0" w:type="dxa"/>
            <w:left w:w="0" w:type="dxa"/>
            <w:bottom w:w="0" w:type="dxa"/>
            <w:right w:w="0" w:type="dxa"/>
          </w:tblCellMar>
        </w:tblPrEx>
        <w:trPr>
          <w:wBefore w:w="0" w:type="auto"/>
          <w:tblCellSpacing w:w="0" w:type="dxa"/>
        </w:trPr>
        <w:tc>
          <w:tcPr>
            <w:tcW w:w="0" w:type="auto"/>
            <w:noWrap w:val="0"/>
            <w:vAlign w:val="center"/>
          </w:tcPr>
          <w:p w14:paraId="14206856">
            <w:r>
              <w:rPr>
                <w:rStyle w:val="10"/>
                <w:rFonts w:hint="eastAsia"/>
              </w:rPr>
              <w:t>农药名称：</w:t>
            </w:r>
            <w:r>
              <w:rPr>
                <w:rFonts w:hint="eastAsia"/>
              </w:rPr>
              <w:t>蚊香</w:t>
            </w:r>
          </w:p>
        </w:tc>
      </w:tr>
      <w:tr w14:paraId="7ACF1E99">
        <w:tblPrEx>
          <w:tblCellMar>
            <w:top w:w="0" w:type="dxa"/>
            <w:left w:w="0" w:type="dxa"/>
            <w:bottom w:w="0" w:type="dxa"/>
            <w:right w:w="0" w:type="dxa"/>
          </w:tblCellMar>
        </w:tblPrEx>
        <w:trPr>
          <w:wBefore w:w="0" w:type="auto"/>
          <w:tblCellSpacing w:w="0" w:type="dxa"/>
        </w:trPr>
        <w:tc>
          <w:tcPr>
            <w:tcW w:w="0" w:type="auto"/>
            <w:noWrap w:val="0"/>
            <w:vAlign w:val="center"/>
          </w:tcPr>
          <w:p w14:paraId="68560352">
            <w:r>
              <w:rPr>
                <w:rStyle w:val="10"/>
                <w:rFonts w:hint="eastAsia"/>
              </w:rPr>
              <w:t>剂型：</w:t>
            </w:r>
            <w:r>
              <w:rPr>
                <w:rFonts w:hint="eastAsia"/>
              </w:rPr>
              <w:t>蚊香</w:t>
            </w:r>
          </w:p>
        </w:tc>
      </w:tr>
      <w:tr w14:paraId="17716978">
        <w:tblPrEx>
          <w:tblCellMar>
            <w:top w:w="0" w:type="dxa"/>
            <w:left w:w="0" w:type="dxa"/>
            <w:bottom w:w="0" w:type="dxa"/>
            <w:right w:w="0" w:type="dxa"/>
          </w:tblCellMar>
        </w:tblPrEx>
        <w:trPr>
          <w:wBefore w:w="0" w:type="auto"/>
          <w:tblCellSpacing w:w="0" w:type="dxa"/>
        </w:trPr>
        <w:tc>
          <w:tcPr>
            <w:tcW w:w="0" w:type="auto"/>
            <w:noWrap w:val="0"/>
            <w:vAlign w:val="center"/>
          </w:tcPr>
          <w:p w14:paraId="1F2B0BFB">
            <w:r>
              <w:rPr>
                <w:rStyle w:val="10"/>
                <w:rFonts w:hint="eastAsia"/>
              </w:rPr>
              <w:t>毒性及其标识：</w:t>
            </w:r>
            <w:r>
              <w:rPr>
                <w:rFonts w:hint="eastAsia"/>
              </w:rPr>
              <w:t xml:space="preserve"> 微毒 </w:t>
            </w:r>
          </w:p>
        </w:tc>
      </w:tr>
      <w:tr w14:paraId="18A3ED27">
        <w:tblPrEx>
          <w:tblCellMar>
            <w:top w:w="0" w:type="dxa"/>
            <w:left w:w="0" w:type="dxa"/>
            <w:bottom w:w="0" w:type="dxa"/>
            <w:right w:w="0" w:type="dxa"/>
          </w:tblCellMar>
        </w:tblPrEx>
        <w:trPr>
          <w:wBefore w:w="0" w:type="auto"/>
          <w:tblCellSpacing w:w="0" w:type="dxa"/>
        </w:trPr>
        <w:tc>
          <w:tcPr>
            <w:tcW w:w="0" w:type="auto"/>
            <w:noWrap w:val="0"/>
            <w:vAlign w:val="center"/>
          </w:tcPr>
          <w:p w14:paraId="79BF4B77">
            <w:r>
              <w:rPr>
                <w:rStyle w:val="10"/>
                <w:rFonts w:hint="eastAsia"/>
              </w:rPr>
              <w:t>总有效成分含量：</w:t>
            </w:r>
            <w:r>
              <w:rPr>
                <w:rFonts w:hint="eastAsia"/>
              </w:rPr>
              <w:t>0.05%</w:t>
            </w:r>
          </w:p>
        </w:tc>
      </w:tr>
      <w:tr w14:paraId="602E821B">
        <w:tblPrEx>
          <w:tblCellMar>
            <w:top w:w="0" w:type="dxa"/>
            <w:left w:w="0" w:type="dxa"/>
            <w:bottom w:w="0" w:type="dxa"/>
            <w:right w:w="0" w:type="dxa"/>
          </w:tblCellMar>
        </w:tblPrEx>
        <w:trPr>
          <w:wBefore w:w="0" w:type="auto"/>
          <w:tblCellSpacing w:w="0" w:type="dxa"/>
        </w:trPr>
        <w:tc>
          <w:tcPr>
            <w:tcW w:w="0" w:type="auto"/>
            <w:noWrap w:val="0"/>
            <w:vAlign w:val="center"/>
          </w:tcPr>
          <w:p w14:paraId="06E6787D">
            <w:r>
              <w:rPr>
                <w:rFonts w:hint="eastAsia"/>
              </w:rPr>
              <w:t xml:space="preserve">有效成分及其含量： </w:t>
            </w:r>
          </w:p>
          <w:p w14:paraId="25496A42">
            <w:r>
              <w:rPr>
                <w:rFonts w:hint="eastAsia"/>
              </w:rPr>
              <w:t xml:space="preserve">    四氟苯菊酯0.05%    </w:t>
            </w:r>
          </w:p>
        </w:tc>
      </w:tr>
      <w:tr w14:paraId="6164E78B">
        <w:tblPrEx>
          <w:tblCellMar>
            <w:top w:w="0" w:type="dxa"/>
            <w:left w:w="0" w:type="dxa"/>
            <w:bottom w:w="0" w:type="dxa"/>
            <w:right w:w="0" w:type="dxa"/>
          </w:tblCellMar>
        </w:tblPrEx>
        <w:trPr>
          <w:wBefore w:w="0" w:type="auto"/>
          <w:tblCellSpacing w:w="0" w:type="dxa"/>
        </w:trPr>
        <w:tc>
          <w:tcPr>
            <w:tcW w:w="0" w:type="auto"/>
            <w:noWrap w:val="0"/>
            <w:vAlign w:val="center"/>
          </w:tcPr>
          <w:p w14:paraId="4F94B02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A7B6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2D02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A097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EF9F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96E0F1">
                  <w:r>
                    <w:rPr>
                      <w:rStyle w:val="11"/>
                      <w:rFonts w:hint="eastAsia"/>
                    </w:rPr>
                    <w:t>施用方式</w:t>
                  </w:r>
                </w:p>
              </w:tc>
            </w:tr>
            <w:tr w14:paraId="169EEC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F0780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4D9B8B">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6403D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0570AC">
                  <w:r>
                    <w:rPr>
                      <w:rStyle w:val="11"/>
                      <w:rFonts w:hint="eastAsia"/>
                    </w:rPr>
                    <w:t>点燃</w:t>
                  </w:r>
                </w:p>
              </w:tc>
            </w:tr>
          </w:tbl>
          <w:p w14:paraId="7CB14D30">
            <w:pPr>
              <w:rPr>
                <w:rFonts w:ascii="Times New Roman" w:hAnsi="Times New Roman" w:cs="Times New Roman"/>
                <w:sz w:val="20"/>
                <w:szCs w:val="20"/>
              </w:rPr>
            </w:pPr>
          </w:p>
        </w:tc>
      </w:tr>
      <w:tr w14:paraId="1509B2E9">
        <w:tblPrEx>
          <w:tblCellMar>
            <w:top w:w="0" w:type="dxa"/>
            <w:left w:w="0" w:type="dxa"/>
            <w:bottom w:w="0" w:type="dxa"/>
            <w:right w:w="0" w:type="dxa"/>
          </w:tblCellMar>
        </w:tblPrEx>
        <w:trPr>
          <w:wBefore w:w="0" w:type="auto"/>
          <w:tblCellSpacing w:w="0" w:type="dxa"/>
        </w:trPr>
        <w:tc>
          <w:tcPr>
            <w:tcW w:w="0" w:type="auto"/>
            <w:noWrap w:val="0"/>
            <w:vAlign w:val="center"/>
          </w:tcPr>
          <w:p w14:paraId="3D109EE1">
            <w:r>
              <w:rPr>
                <w:rStyle w:val="10"/>
                <w:rFonts w:hint="eastAsia"/>
              </w:rPr>
              <w:t>使用技术要求:</w:t>
            </w:r>
            <w:r>
              <w:rPr>
                <w:rFonts w:hint="eastAsia"/>
              </w:rPr>
              <w:br w:type="textWrapping"/>
            </w:r>
            <w:r>
              <w:rPr>
                <w:rStyle w:val="11"/>
                <w:rFonts w:hint="eastAsia"/>
              </w:rPr>
              <w:t>1. 将两个一组的蚊香分开。 2. 将蚊香置于盒内配套的蚊香架上，然后点燃蚊香顶端。 3. 为使蚊香发挥效力，请将蚊香放置在上风向。</w:t>
            </w:r>
          </w:p>
        </w:tc>
      </w:tr>
      <w:tr w14:paraId="7BCA6E19">
        <w:tblPrEx>
          <w:tblCellMar>
            <w:top w:w="0" w:type="dxa"/>
            <w:left w:w="0" w:type="dxa"/>
            <w:bottom w:w="0" w:type="dxa"/>
            <w:right w:w="0" w:type="dxa"/>
          </w:tblCellMar>
        </w:tblPrEx>
        <w:trPr>
          <w:wBefore w:w="0" w:type="auto"/>
          <w:tblCellSpacing w:w="0" w:type="dxa"/>
        </w:trPr>
        <w:tc>
          <w:tcPr>
            <w:tcW w:w="0" w:type="auto"/>
            <w:noWrap w:val="0"/>
            <w:vAlign w:val="center"/>
          </w:tcPr>
          <w:p w14:paraId="47AB9123">
            <w:r>
              <w:rPr>
                <w:rStyle w:val="10"/>
                <w:rFonts w:hint="eastAsia"/>
              </w:rPr>
              <w:t>产品性能:</w:t>
            </w:r>
            <w:r>
              <w:rPr>
                <w:rFonts w:hint="eastAsia"/>
              </w:rPr>
              <w:br w:type="textWrapping"/>
            </w:r>
            <w:r>
              <w:rPr>
                <w:rStyle w:val="11"/>
                <w:rFonts w:hint="eastAsia"/>
              </w:rPr>
              <w:t>本产品以四氟苯菊酯、碳粉等原料配制而成，能有效驱蚊，便于分拆使用。</w:t>
            </w:r>
          </w:p>
        </w:tc>
      </w:tr>
      <w:tr w14:paraId="67A0B191">
        <w:tblPrEx>
          <w:tblCellMar>
            <w:top w:w="0" w:type="dxa"/>
            <w:left w:w="0" w:type="dxa"/>
            <w:bottom w:w="0" w:type="dxa"/>
            <w:right w:w="0" w:type="dxa"/>
          </w:tblCellMar>
        </w:tblPrEx>
        <w:trPr>
          <w:wBefore w:w="0" w:type="auto"/>
          <w:tblCellSpacing w:w="0" w:type="dxa"/>
        </w:trPr>
        <w:tc>
          <w:tcPr>
            <w:tcW w:w="0" w:type="auto"/>
            <w:noWrap w:val="0"/>
            <w:vAlign w:val="center"/>
          </w:tcPr>
          <w:p w14:paraId="35F45F91">
            <w:r>
              <w:rPr>
                <w:rStyle w:val="10"/>
                <w:rFonts w:hint="eastAsia"/>
              </w:rPr>
              <w:t>注意事项：</w:t>
            </w:r>
            <w:r>
              <w:rPr>
                <w:rFonts w:hint="eastAsia"/>
              </w:rPr>
              <w:br w:type="textWrapping"/>
            </w:r>
            <w:r>
              <w:rPr>
                <w:rStyle w:val="11"/>
                <w:rFonts w:hint="eastAsia"/>
              </w:rPr>
              <w:t>1. 置于儿童接触不到的地方；勿用易燃品做接灰盘。2. 使用时注意通风；注意防火安全；本品对鱼类、蜂和蚕毒性高，蚕室及桑园附近禁用；过敏者禁用；孕妇及哺乳期妇女禁止接触。3. 用后洗手，拆封后未使用的蚊香要封好保存。4. 使用中有任何不良反应请及时就医。5. 本品仅用于室内。</w:t>
            </w:r>
          </w:p>
        </w:tc>
      </w:tr>
      <w:tr w14:paraId="5338730F">
        <w:tblPrEx>
          <w:tblCellMar>
            <w:top w:w="0" w:type="dxa"/>
            <w:left w:w="0" w:type="dxa"/>
            <w:bottom w:w="0" w:type="dxa"/>
            <w:right w:w="0" w:type="dxa"/>
          </w:tblCellMar>
        </w:tblPrEx>
        <w:trPr>
          <w:wBefore w:w="0" w:type="auto"/>
          <w:tblCellSpacing w:w="0" w:type="dxa"/>
        </w:trPr>
        <w:tc>
          <w:tcPr>
            <w:tcW w:w="0" w:type="auto"/>
            <w:noWrap w:val="0"/>
            <w:vAlign w:val="center"/>
          </w:tcPr>
          <w:p w14:paraId="591AB45A">
            <w:r>
              <w:rPr>
                <w:rStyle w:val="10"/>
                <w:rFonts w:hint="eastAsia"/>
              </w:rPr>
              <w:t>中毒急救措施：</w:t>
            </w:r>
            <w:r>
              <w:rPr>
                <w:rFonts w:hint="eastAsia"/>
              </w:rPr>
              <w:br w:type="textWrapping"/>
            </w:r>
            <w:r>
              <w:rPr>
                <w:rStyle w:val="11"/>
                <w:rFonts w:hint="eastAsia"/>
              </w:rPr>
              <w:t>本品微毒，无特效解毒剂。如不慎吸入，请移至通风处，严重的应立即送医诊治。如不慎食入，应清理口腔并携此标签立即就医。如皮肤接触或进入眼睛，应用大量清水冲洗，并就医。</w:t>
            </w:r>
          </w:p>
        </w:tc>
      </w:tr>
      <w:tr w14:paraId="04CF680A">
        <w:tblPrEx>
          <w:tblCellMar>
            <w:top w:w="0" w:type="dxa"/>
            <w:left w:w="0" w:type="dxa"/>
            <w:bottom w:w="0" w:type="dxa"/>
            <w:right w:w="0" w:type="dxa"/>
          </w:tblCellMar>
        </w:tblPrEx>
        <w:trPr>
          <w:wBefore w:w="0" w:type="auto"/>
          <w:tblCellSpacing w:w="0" w:type="dxa"/>
        </w:trPr>
        <w:tc>
          <w:tcPr>
            <w:tcW w:w="0" w:type="auto"/>
            <w:noWrap w:val="0"/>
            <w:vAlign w:val="center"/>
          </w:tcPr>
          <w:p w14:paraId="3A65F17D">
            <w:r>
              <w:rPr>
                <w:rStyle w:val="10"/>
                <w:rFonts w:hint="eastAsia"/>
              </w:rPr>
              <w:t>储存和运输方法：</w:t>
            </w:r>
            <w:r>
              <w:rPr>
                <w:rFonts w:hint="eastAsia"/>
              </w:rPr>
              <w:br w:type="textWrapping"/>
            </w:r>
            <w:r>
              <w:rPr>
                <w:rStyle w:val="11"/>
                <w:rFonts w:hint="eastAsia"/>
              </w:rPr>
              <w:t>置于阴凉干燥、防雨处，勿与食品、种子、饲料、饮料及易燃易爆品同贮同运。搬运时要轻取轻放，防止剧烈震动、日晒、雨淋和重压。本品应置于儿童、无关人员及动物接触不到的地方，并加锁保存。远离火源或热源。</w:t>
            </w:r>
          </w:p>
        </w:tc>
      </w:tr>
      <w:tr w14:paraId="1161018C">
        <w:tblPrEx>
          <w:tblCellMar>
            <w:top w:w="0" w:type="dxa"/>
            <w:left w:w="0" w:type="dxa"/>
            <w:bottom w:w="0" w:type="dxa"/>
            <w:right w:w="0" w:type="dxa"/>
          </w:tblCellMar>
        </w:tblPrEx>
        <w:trPr>
          <w:wBefore w:w="0" w:type="auto"/>
          <w:tblCellSpacing w:w="0" w:type="dxa"/>
        </w:trPr>
        <w:tc>
          <w:tcPr>
            <w:tcW w:w="0" w:type="auto"/>
            <w:noWrap w:val="0"/>
            <w:vAlign w:val="center"/>
          </w:tcPr>
          <w:p w14:paraId="5AEA99D8">
            <w:r>
              <w:rPr>
                <w:rStyle w:val="10"/>
                <w:rFonts w:hint="eastAsia"/>
              </w:rPr>
              <w:t>质量保证期：</w:t>
            </w:r>
            <w:r>
              <w:rPr>
                <w:rStyle w:val="11"/>
                <w:rFonts w:hint="eastAsia"/>
              </w:rPr>
              <w:t>2年</w:t>
            </w:r>
          </w:p>
        </w:tc>
      </w:tr>
      <w:tr w14:paraId="3B1CC1E1">
        <w:tblPrEx>
          <w:tblCellMar>
            <w:top w:w="0" w:type="dxa"/>
            <w:left w:w="0" w:type="dxa"/>
            <w:bottom w:w="0" w:type="dxa"/>
            <w:right w:w="0" w:type="dxa"/>
          </w:tblCellMar>
        </w:tblPrEx>
        <w:trPr>
          <w:wBefore w:w="0" w:type="auto"/>
          <w:tblCellSpacing w:w="0" w:type="dxa"/>
        </w:trPr>
        <w:tc>
          <w:tcPr>
            <w:tcW w:w="0" w:type="auto"/>
            <w:noWrap w:val="0"/>
            <w:vAlign w:val="center"/>
          </w:tcPr>
          <w:p w14:paraId="5CF19734">
            <w:r>
              <w:rPr>
                <w:rStyle w:val="10"/>
                <w:rFonts w:hint="eastAsia"/>
              </w:rPr>
              <w:t>备注：</w:t>
            </w:r>
          </w:p>
        </w:tc>
      </w:tr>
    </w:tbl>
    <w:p w14:paraId="6BB6AA4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F6CEB5">
        <w:tblPrEx>
          <w:tblCellMar>
            <w:top w:w="0" w:type="dxa"/>
            <w:left w:w="0" w:type="dxa"/>
            <w:bottom w:w="0" w:type="dxa"/>
            <w:right w:w="0" w:type="dxa"/>
          </w:tblCellMar>
        </w:tblPrEx>
        <w:trPr>
          <w:wBefore w:w="0" w:type="auto"/>
          <w:tblCellSpacing w:w="0" w:type="dxa"/>
        </w:trPr>
        <w:tc>
          <w:tcPr>
            <w:tcW w:w="0" w:type="auto"/>
            <w:noWrap w:val="0"/>
            <w:vAlign w:val="center"/>
          </w:tcPr>
          <w:p w14:paraId="4556BEE8">
            <w:r>
              <w:rPr>
                <w:rStyle w:val="10"/>
                <w:rFonts w:hint="eastAsia"/>
              </w:rPr>
              <w:t>登记证号：</w:t>
            </w:r>
            <w:r>
              <w:rPr>
                <w:rFonts w:hint="eastAsia"/>
              </w:rPr>
              <w:t>PD20212775</w:t>
            </w:r>
          </w:p>
        </w:tc>
      </w:tr>
      <w:tr w14:paraId="24FE4C8D">
        <w:tblPrEx>
          <w:tblCellMar>
            <w:top w:w="0" w:type="dxa"/>
            <w:left w:w="0" w:type="dxa"/>
            <w:bottom w:w="0" w:type="dxa"/>
            <w:right w:w="0" w:type="dxa"/>
          </w:tblCellMar>
        </w:tblPrEx>
        <w:trPr>
          <w:wBefore w:w="0" w:type="auto"/>
          <w:tblCellSpacing w:w="0" w:type="dxa"/>
        </w:trPr>
        <w:tc>
          <w:tcPr>
            <w:tcW w:w="0" w:type="auto"/>
            <w:noWrap w:val="0"/>
            <w:vAlign w:val="center"/>
          </w:tcPr>
          <w:p w14:paraId="2883C5E1">
            <w:r>
              <w:rPr>
                <w:rStyle w:val="10"/>
                <w:rFonts w:hint="eastAsia"/>
              </w:rPr>
              <w:t>登记证持有人：</w:t>
            </w:r>
            <w:r>
              <w:rPr>
                <w:rFonts w:hint="eastAsia"/>
              </w:rPr>
              <w:t>山东坤牛植物保护有限公司</w:t>
            </w:r>
          </w:p>
        </w:tc>
      </w:tr>
      <w:tr w14:paraId="10DF3A79">
        <w:tblPrEx>
          <w:tblCellMar>
            <w:top w:w="0" w:type="dxa"/>
            <w:left w:w="0" w:type="dxa"/>
            <w:bottom w:w="0" w:type="dxa"/>
            <w:right w:w="0" w:type="dxa"/>
          </w:tblCellMar>
        </w:tblPrEx>
        <w:trPr>
          <w:wBefore w:w="0" w:type="auto"/>
          <w:tblCellSpacing w:w="0" w:type="dxa"/>
        </w:trPr>
        <w:tc>
          <w:tcPr>
            <w:tcW w:w="0" w:type="auto"/>
            <w:noWrap w:val="0"/>
            <w:vAlign w:val="center"/>
          </w:tcPr>
          <w:p w14:paraId="0E988442">
            <w:r>
              <w:rPr>
                <w:rStyle w:val="10"/>
                <w:rFonts w:hint="eastAsia"/>
              </w:rPr>
              <w:t>农药名称：</w:t>
            </w:r>
            <w:r>
              <w:rPr>
                <w:rFonts w:hint="eastAsia"/>
              </w:rPr>
              <w:t>24-表芸·赤霉酸</w:t>
            </w:r>
          </w:p>
        </w:tc>
      </w:tr>
      <w:tr w14:paraId="5B642A87">
        <w:tblPrEx>
          <w:tblCellMar>
            <w:top w:w="0" w:type="dxa"/>
            <w:left w:w="0" w:type="dxa"/>
            <w:bottom w:w="0" w:type="dxa"/>
            <w:right w:w="0" w:type="dxa"/>
          </w:tblCellMar>
        </w:tblPrEx>
        <w:trPr>
          <w:wBefore w:w="0" w:type="auto"/>
          <w:tblCellSpacing w:w="0" w:type="dxa"/>
        </w:trPr>
        <w:tc>
          <w:tcPr>
            <w:tcW w:w="0" w:type="auto"/>
            <w:noWrap w:val="0"/>
            <w:vAlign w:val="center"/>
          </w:tcPr>
          <w:p w14:paraId="6C5C87CA">
            <w:r>
              <w:rPr>
                <w:rStyle w:val="10"/>
                <w:rFonts w:hint="eastAsia"/>
              </w:rPr>
              <w:t>剂型：</w:t>
            </w:r>
            <w:r>
              <w:rPr>
                <w:rFonts w:hint="eastAsia"/>
              </w:rPr>
              <w:t>可溶液剂</w:t>
            </w:r>
          </w:p>
        </w:tc>
      </w:tr>
      <w:tr w14:paraId="6F849E33">
        <w:tblPrEx>
          <w:tblCellMar>
            <w:top w:w="0" w:type="dxa"/>
            <w:left w:w="0" w:type="dxa"/>
            <w:bottom w:w="0" w:type="dxa"/>
            <w:right w:w="0" w:type="dxa"/>
          </w:tblCellMar>
        </w:tblPrEx>
        <w:trPr>
          <w:wBefore w:w="0" w:type="auto"/>
          <w:tblCellSpacing w:w="0" w:type="dxa"/>
        </w:trPr>
        <w:tc>
          <w:tcPr>
            <w:tcW w:w="0" w:type="auto"/>
            <w:noWrap w:val="0"/>
            <w:vAlign w:val="center"/>
          </w:tcPr>
          <w:p w14:paraId="2CBD4F3A">
            <w:r>
              <w:rPr>
                <w:rStyle w:val="10"/>
                <w:rFonts w:hint="eastAsia"/>
              </w:rPr>
              <w:t>毒性及其标识：</w:t>
            </w:r>
            <w:r>
              <w:rPr>
                <w:rFonts w:hint="eastAsia"/>
              </w:rPr>
              <w:t xml:space="preserve"> 微毒 </w:t>
            </w:r>
          </w:p>
        </w:tc>
      </w:tr>
      <w:tr w14:paraId="7E852709">
        <w:tblPrEx>
          <w:tblCellMar>
            <w:top w:w="0" w:type="dxa"/>
            <w:left w:w="0" w:type="dxa"/>
            <w:bottom w:w="0" w:type="dxa"/>
            <w:right w:w="0" w:type="dxa"/>
          </w:tblCellMar>
        </w:tblPrEx>
        <w:trPr>
          <w:wBefore w:w="0" w:type="auto"/>
          <w:tblCellSpacing w:w="0" w:type="dxa"/>
        </w:trPr>
        <w:tc>
          <w:tcPr>
            <w:tcW w:w="0" w:type="auto"/>
            <w:noWrap w:val="0"/>
            <w:vAlign w:val="center"/>
          </w:tcPr>
          <w:p w14:paraId="09FD9815">
            <w:r>
              <w:rPr>
                <w:rStyle w:val="10"/>
                <w:rFonts w:hint="eastAsia"/>
              </w:rPr>
              <w:t>总有效成分含量：</w:t>
            </w:r>
            <w:r>
              <w:rPr>
                <w:rFonts w:hint="eastAsia"/>
              </w:rPr>
              <w:t>0.8%</w:t>
            </w:r>
          </w:p>
        </w:tc>
      </w:tr>
      <w:tr w14:paraId="63077830">
        <w:tblPrEx>
          <w:tblCellMar>
            <w:top w:w="0" w:type="dxa"/>
            <w:left w:w="0" w:type="dxa"/>
            <w:bottom w:w="0" w:type="dxa"/>
            <w:right w:w="0" w:type="dxa"/>
          </w:tblCellMar>
        </w:tblPrEx>
        <w:trPr>
          <w:wBefore w:w="0" w:type="auto"/>
          <w:tblCellSpacing w:w="0" w:type="dxa"/>
        </w:trPr>
        <w:tc>
          <w:tcPr>
            <w:tcW w:w="0" w:type="auto"/>
            <w:noWrap w:val="0"/>
            <w:vAlign w:val="center"/>
          </w:tcPr>
          <w:p w14:paraId="5DEA2818">
            <w:r>
              <w:rPr>
                <w:rFonts w:hint="eastAsia"/>
              </w:rPr>
              <w:t xml:space="preserve">有效成分及其含量： </w:t>
            </w:r>
          </w:p>
          <w:p w14:paraId="03923FD2">
            <w:r>
              <w:rPr>
                <w:rFonts w:hint="eastAsia"/>
              </w:rPr>
              <w:t xml:space="preserve">    24-表芸苔素内酯0.004%    赤霉酸0.796%    </w:t>
            </w:r>
          </w:p>
        </w:tc>
      </w:tr>
      <w:tr w14:paraId="61CF3E83">
        <w:tblPrEx>
          <w:tblCellMar>
            <w:top w:w="0" w:type="dxa"/>
            <w:left w:w="0" w:type="dxa"/>
            <w:bottom w:w="0" w:type="dxa"/>
            <w:right w:w="0" w:type="dxa"/>
          </w:tblCellMar>
        </w:tblPrEx>
        <w:trPr>
          <w:wBefore w:w="0" w:type="auto"/>
          <w:tblCellSpacing w:w="0" w:type="dxa"/>
        </w:trPr>
        <w:tc>
          <w:tcPr>
            <w:tcW w:w="0" w:type="auto"/>
            <w:noWrap w:val="0"/>
            <w:vAlign w:val="center"/>
          </w:tcPr>
          <w:p w14:paraId="1BF1A6E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9932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79FB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EA4DA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6578B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1FCEB3">
                  <w:r>
                    <w:rPr>
                      <w:rStyle w:val="11"/>
                      <w:rFonts w:hint="eastAsia"/>
                    </w:rPr>
                    <w:t>施用方式</w:t>
                  </w:r>
                </w:p>
              </w:tc>
            </w:tr>
            <w:tr w14:paraId="47AF56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2B7B44">
                  <w:r>
                    <w:rPr>
                      <w:rStyle w:val="11"/>
                      <w:rFonts w:hint="eastAsia"/>
                    </w:rPr>
                    <w:t>豇豆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56AFD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394DA1">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15CDCD">
                  <w:r>
                    <w:rPr>
                      <w:rStyle w:val="11"/>
                      <w:rFonts w:hint="eastAsia"/>
                    </w:rPr>
                    <w:t>茎叶喷雾</w:t>
                  </w:r>
                </w:p>
              </w:tc>
            </w:tr>
          </w:tbl>
          <w:p w14:paraId="351F15F8">
            <w:pPr>
              <w:rPr>
                <w:rFonts w:ascii="Times New Roman" w:hAnsi="Times New Roman" w:cs="Times New Roman"/>
                <w:sz w:val="20"/>
                <w:szCs w:val="20"/>
              </w:rPr>
            </w:pPr>
          </w:p>
        </w:tc>
      </w:tr>
      <w:tr w14:paraId="107091D3">
        <w:tblPrEx>
          <w:tblCellMar>
            <w:top w:w="0" w:type="dxa"/>
            <w:left w:w="0" w:type="dxa"/>
            <w:bottom w:w="0" w:type="dxa"/>
            <w:right w:w="0" w:type="dxa"/>
          </w:tblCellMar>
        </w:tblPrEx>
        <w:trPr>
          <w:wBefore w:w="0" w:type="auto"/>
          <w:tblCellSpacing w:w="0" w:type="dxa"/>
        </w:trPr>
        <w:tc>
          <w:tcPr>
            <w:tcW w:w="0" w:type="auto"/>
            <w:noWrap w:val="0"/>
            <w:vAlign w:val="center"/>
          </w:tcPr>
          <w:p w14:paraId="546B17EB">
            <w:r>
              <w:rPr>
                <w:rStyle w:val="10"/>
                <w:rFonts w:hint="eastAsia"/>
              </w:rPr>
              <w:t>使用技术要求:</w:t>
            </w:r>
            <w:r>
              <w:rPr>
                <w:rFonts w:hint="eastAsia"/>
              </w:rPr>
              <w:br w:type="textWrapping"/>
            </w:r>
            <w:r>
              <w:rPr>
                <w:rStyle w:val="11"/>
                <w:rFonts w:hint="eastAsia"/>
              </w:rPr>
              <w:t>1、在豇豆豆荚生长初期连续喷雾两次，施药间隔期7天，注意喷雾均匀。 2、大风或预计4个小时内下雨，请勿施药.</w:t>
            </w:r>
          </w:p>
        </w:tc>
      </w:tr>
      <w:tr w14:paraId="571CA167">
        <w:tblPrEx>
          <w:tblCellMar>
            <w:top w:w="0" w:type="dxa"/>
            <w:left w:w="0" w:type="dxa"/>
            <w:bottom w:w="0" w:type="dxa"/>
            <w:right w:w="0" w:type="dxa"/>
          </w:tblCellMar>
        </w:tblPrEx>
        <w:trPr>
          <w:wBefore w:w="0" w:type="auto"/>
          <w:tblCellSpacing w:w="0" w:type="dxa"/>
        </w:trPr>
        <w:tc>
          <w:tcPr>
            <w:tcW w:w="0" w:type="auto"/>
            <w:noWrap w:val="0"/>
            <w:vAlign w:val="center"/>
          </w:tcPr>
          <w:p w14:paraId="2E63D870">
            <w:r>
              <w:rPr>
                <w:rStyle w:val="10"/>
                <w:rFonts w:hint="eastAsia"/>
              </w:rPr>
              <w:t>产品性能:</w:t>
            </w:r>
            <w:r>
              <w:rPr>
                <w:rFonts w:hint="eastAsia"/>
              </w:rPr>
              <w:br w:type="textWrapping"/>
            </w:r>
            <w:r>
              <w:rPr>
                <w:rStyle w:val="11"/>
                <w:rFonts w:hint="eastAsia"/>
              </w:rPr>
              <w:t>24-表芸苔素内酯是一种新型绿色环保植物生长调节剂，可以促进蔬菜、瓜类、水果等作物生长,可改善品质，提高产量。赤霉酸是一种广谱性植物生长调节剂，是促进植物生长发育的重要激素之一，是多效唑、矮壮素等生长抑制剂的拮抗剂。该药可促进细胞，茎伸长，叶片扩大，单性结实、果实生长，打破种子休眠，改变雌 、雄花比率，影响开花时间，减少花、果的脱落。二者在功能上相似，复配后明显增效，有效提高两者单剂的作用，在豇豆上可有效促进果实生长，推荐剂量下对作物安全。</w:t>
            </w:r>
          </w:p>
        </w:tc>
      </w:tr>
      <w:tr w14:paraId="5576D44B">
        <w:tblPrEx>
          <w:tblCellMar>
            <w:top w:w="0" w:type="dxa"/>
            <w:left w:w="0" w:type="dxa"/>
            <w:bottom w:w="0" w:type="dxa"/>
            <w:right w:w="0" w:type="dxa"/>
          </w:tblCellMar>
        </w:tblPrEx>
        <w:trPr>
          <w:wBefore w:w="0" w:type="auto"/>
          <w:tblCellSpacing w:w="0" w:type="dxa"/>
        </w:trPr>
        <w:tc>
          <w:tcPr>
            <w:tcW w:w="0" w:type="auto"/>
            <w:noWrap w:val="0"/>
            <w:vAlign w:val="center"/>
          </w:tcPr>
          <w:p w14:paraId="7884CEBC">
            <w:r>
              <w:rPr>
                <w:rStyle w:val="10"/>
                <w:rFonts w:hint="eastAsia"/>
              </w:rPr>
              <w:t>注意事项：</w:t>
            </w:r>
            <w:r>
              <w:rPr>
                <w:rFonts w:hint="eastAsia"/>
              </w:rPr>
              <w:br w:type="textWrapping"/>
            </w:r>
            <w:r>
              <w:rPr>
                <w:rStyle w:val="11"/>
                <w:rFonts w:hint="eastAsia"/>
              </w:rPr>
              <w:t>1.本品为植物生长调节剂，使用时加强作物的水肥管理以便能更好的生 长。 2.水产养殖区、河塘等水体附近禁用，禁止在河塘等水域清洗施药器具。 3.使用本品时，应穿防护服，戴口罩或防毒面具以及胶皮手套，避免吸 入药液，污染皮肤和眼睛，施药期间不可吃东西和饮水。施药完毕后应 及时换洗衣物，洗净手和脸。 4、用过的容器应妥善处理，不可做他用，也不可随意丢弃。 5. 孕妇及哺乳期妇女禁止接触本品。6.蚕室及桑园附近禁用。</w:t>
            </w:r>
          </w:p>
        </w:tc>
      </w:tr>
      <w:tr w14:paraId="7327A41C">
        <w:tblPrEx>
          <w:tblCellMar>
            <w:top w:w="0" w:type="dxa"/>
            <w:left w:w="0" w:type="dxa"/>
            <w:bottom w:w="0" w:type="dxa"/>
            <w:right w:w="0" w:type="dxa"/>
          </w:tblCellMar>
        </w:tblPrEx>
        <w:trPr>
          <w:wBefore w:w="0" w:type="auto"/>
          <w:tblCellSpacing w:w="0" w:type="dxa"/>
        </w:trPr>
        <w:tc>
          <w:tcPr>
            <w:tcW w:w="0" w:type="auto"/>
            <w:noWrap w:val="0"/>
            <w:vAlign w:val="center"/>
          </w:tcPr>
          <w:p w14:paraId="0DA774BF">
            <w:r>
              <w:rPr>
                <w:rStyle w:val="10"/>
                <w:rFonts w:hint="eastAsia"/>
              </w:rPr>
              <w:t>中毒急救措施：</w:t>
            </w:r>
            <w:r>
              <w:rPr>
                <w:rFonts w:hint="eastAsia"/>
              </w:rPr>
              <w:br w:type="textWrapping"/>
            </w:r>
            <w:r>
              <w:rPr>
                <w:rStyle w:val="11"/>
                <w:rFonts w:hint="eastAsia"/>
              </w:rPr>
              <w:t>1.如接触皮肤, 应用肥皂和大量清水彻底清洗皮肤表面。2.如药液接触眼 睛, 应用大量清水至少冲洗15分钟。3. 如误服，携带本标签立即就 医，无特殊解毒药剂，大量吞服时可洗胃。</w:t>
            </w:r>
          </w:p>
        </w:tc>
      </w:tr>
      <w:tr w14:paraId="6D56E275">
        <w:tblPrEx>
          <w:tblCellMar>
            <w:top w:w="0" w:type="dxa"/>
            <w:left w:w="0" w:type="dxa"/>
            <w:bottom w:w="0" w:type="dxa"/>
            <w:right w:w="0" w:type="dxa"/>
          </w:tblCellMar>
        </w:tblPrEx>
        <w:trPr>
          <w:wBefore w:w="0" w:type="auto"/>
          <w:tblCellSpacing w:w="0" w:type="dxa"/>
        </w:trPr>
        <w:tc>
          <w:tcPr>
            <w:tcW w:w="0" w:type="auto"/>
            <w:noWrap w:val="0"/>
            <w:vAlign w:val="center"/>
          </w:tcPr>
          <w:p w14:paraId="3C43E4D2">
            <w:r>
              <w:rPr>
                <w:rStyle w:val="10"/>
                <w:rFonts w:hint="eastAsia"/>
              </w:rPr>
              <w:t>储存和运输方法：</w:t>
            </w:r>
            <w:r>
              <w:rPr>
                <w:rFonts w:hint="eastAsia"/>
              </w:rPr>
              <w:br w:type="textWrapping"/>
            </w:r>
            <w:r>
              <w:rPr>
                <w:rStyle w:val="11"/>
                <w:rFonts w:hint="eastAsia"/>
              </w:rPr>
              <w:t>本品应贮存在干燥、阴凉、通风、防雨处，远离火源或热源。置于儿童 触及不到之处，并加锁。勿与食品、饮料、粮食、饲料等其他商品同贮同运。</w:t>
            </w:r>
          </w:p>
        </w:tc>
      </w:tr>
      <w:tr w14:paraId="11D0A954">
        <w:tblPrEx>
          <w:tblCellMar>
            <w:top w:w="0" w:type="dxa"/>
            <w:left w:w="0" w:type="dxa"/>
            <w:bottom w:w="0" w:type="dxa"/>
            <w:right w:w="0" w:type="dxa"/>
          </w:tblCellMar>
        </w:tblPrEx>
        <w:trPr>
          <w:wBefore w:w="0" w:type="auto"/>
          <w:tblCellSpacing w:w="0" w:type="dxa"/>
        </w:trPr>
        <w:tc>
          <w:tcPr>
            <w:tcW w:w="0" w:type="auto"/>
            <w:noWrap w:val="0"/>
            <w:vAlign w:val="center"/>
          </w:tcPr>
          <w:p w14:paraId="72206C68">
            <w:r>
              <w:rPr>
                <w:rStyle w:val="10"/>
                <w:rFonts w:hint="eastAsia"/>
              </w:rPr>
              <w:t>质量保证期：</w:t>
            </w:r>
            <w:r>
              <w:rPr>
                <w:rStyle w:val="11"/>
                <w:rFonts w:hint="eastAsia"/>
              </w:rPr>
              <w:t>2年</w:t>
            </w:r>
          </w:p>
        </w:tc>
      </w:tr>
      <w:tr w14:paraId="18AADF62">
        <w:tblPrEx>
          <w:tblCellMar>
            <w:top w:w="0" w:type="dxa"/>
            <w:left w:w="0" w:type="dxa"/>
            <w:bottom w:w="0" w:type="dxa"/>
            <w:right w:w="0" w:type="dxa"/>
          </w:tblCellMar>
        </w:tblPrEx>
        <w:trPr>
          <w:wBefore w:w="0" w:type="auto"/>
          <w:tblCellSpacing w:w="0" w:type="dxa"/>
        </w:trPr>
        <w:tc>
          <w:tcPr>
            <w:tcW w:w="0" w:type="auto"/>
            <w:noWrap w:val="0"/>
            <w:vAlign w:val="center"/>
          </w:tcPr>
          <w:p w14:paraId="601682A4">
            <w:r>
              <w:rPr>
                <w:rStyle w:val="10"/>
                <w:rFonts w:hint="eastAsia"/>
              </w:rPr>
              <w:t>备注：</w:t>
            </w:r>
          </w:p>
        </w:tc>
      </w:tr>
    </w:tbl>
    <w:p w14:paraId="797CEB4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634ED0">
        <w:tblPrEx>
          <w:tblCellMar>
            <w:top w:w="0" w:type="dxa"/>
            <w:left w:w="0" w:type="dxa"/>
            <w:bottom w:w="0" w:type="dxa"/>
            <w:right w:w="0" w:type="dxa"/>
          </w:tblCellMar>
        </w:tblPrEx>
        <w:trPr>
          <w:wBefore w:w="0" w:type="auto"/>
          <w:tblCellSpacing w:w="0" w:type="dxa"/>
        </w:trPr>
        <w:tc>
          <w:tcPr>
            <w:tcW w:w="0" w:type="auto"/>
            <w:noWrap w:val="0"/>
            <w:vAlign w:val="center"/>
          </w:tcPr>
          <w:p w14:paraId="7EAAC115">
            <w:r>
              <w:rPr>
                <w:rStyle w:val="10"/>
                <w:rFonts w:hint="eastAsia"/>
              </w:rPr>
              <w:t>登记证号：</w:t>
            </w:r>
            <w:r>
              <w:rPr>
                <w:rFonts w:hint="eastAsia"/>
              </w:rPr>
              <w:t>PD20212744</w:t>
            </w:r>
          </w:p>
        </w:tc>
      </w:tr>
      <w:tr w14:paraId="32DB1093">
        <w:tblPrEx>
          <w:tblCellMar>
            <w:top w:w="0" w:type="dxa"/>
            <w:left w:w="0" w:type="dxa"/>
            <w:bottom w:w="0" w:type="dxa"/>
            <w:right w:w="0" w:type="dxa"/>
          </w:tblCellMar>
        </w:tblPrEx>
        <w:trPr>
          <w:wBefore w:w="0" w:type="auto"/>
          <w:tblCellSpacing w:w="0" w:type="dxa"/>
        </w:trPr>
        <w:tc>
          <w:tcPr>
            <w:tcW w:w="0" w:type="auto"/>
            <w:noWrap w:val="0"/>
            <w:vAlign w:val="center"/>
          </w:tcPr>
          <w:p w14:paraId="2911C1BA">
            <w:r>
              <w:rPr>
                <w:rStyle w:val="10"/>
                <w:rFonts w:hint="eastAsia"/>
              </w:rPr>
              <w:t>登记证持有人：</w:t>
            </w:r>
            <w:r>
              <w:rPr>
                <w:rFonts w:hint="eastAsia"/>
              </w:rPr>
              <w:t>许昌市建安区昌盛日化实业有限公司</w:t>
            </w:r>
          </w:p>
        </w:tc>
      </w:tr>
      <w:tr w14:paraId="4E398E89">
        <w:tblPrEx>
          <w:tblCellMar>
            <w:top w:w="0" w:type="dxa"/>
            <w:left w:w="0" w:type="dxa"/>
            <w:bottom w:w="0" w:type="dxa"/>
            <w:right w:w="0" w:type="dxa"/>
          </w:tblCellMar>
        </w:tblPrEx>
        <w:trPr>
          <w:wBefore w:w="0" w:type="auto"/>
          <w:tblCellSpacing w:w="0" w:type="dxa"/>
        </w:trPr>
        <w:tc>
          <w:tcPr>
            <w:tcW w:w="0" w:type="auto"/>
            <w:noWrap w:val="0"/>
            <w:vAlign w:val="center"/>
          </w:tcPr>
          <w:p w14:paraId="3F61552E">
            <w:r>
              <w:rPr>
                <w:rStyle w:val="10"/>
                <w:rFonts w:hint="eastAsia"/>
              </w:rPr>
              <w:t>农药名称：</w:t>
            </w:r>
            <w:r>
              <w:rPr>
                <w:rFonts w:hint="eastAsia"/>
              </w:rPr>
              <w:t>吲丁·萘乙酸</w:t>
            </w:r>
          </w:p>
        </w:tc>
      </w:tr>
      <w:tr w14:paraId="45B4EE79">
        <w:tblPrEx>
          <w:tblCellMar>
            <w:top w:w="0" w:type="dxa"/>
            <w:left w:w="0" w:type="dxa"/>
            <w:bottom w:w="0" w:type="dxa"/>
            <w:right w:w="0" w:type="dxa"/>
          </w:tblCellMar>
        </w:tblPrEx>
        <w:trPr>
          <w:wBefore w:w="0" w:type="auto"/>
          <w:tblCellSpacing w:w="0" w:type="dxa"/>
        </w:trPr>
        <w:tc>
          <w:tcPr>
            <w:tcW w:w="0" w:type="auto"/>
            <w:noWrap w:val="0"/>
            <w:vAlign w:val="center"/>
          </w:tcPr>
          <w:p w14:paraId="0795C494">
            <w:r>
              <w:rPr>
                <w:rStyle w:val="10"/>
                <w:rFonts w:hint="eastAsia"/>
              </w:rPr>
              <w:t>剂型：</w:t>
            </w:r>
            <w:r>
              <w:rPr>
                <w:rFonts w:hint="eastAsia"/>
              </w:rPr>
              <w:t>可溶粉剂</w:t>
            </w:r>
          </w:p>
        </w:tc>
      </w:tr>
      <w:tr w14:paraId="2629EAC9">
        <w:tblPrEx>
          <w:tblCellMar>
            <w:top w:w="0" w:type="dxa"/>
            <w:left w:w="0" w:type="dxa"/>
            <w:bottom w:w="0" w:type="dxa"/>
            <w:right w:w="0" w:type="dxa"/>
          </w:tblCellMar>
        </w:tblPrEx>
        <w:trPr>
          <w:wBefore w:w="0" w:type="auto"/>
          <w:tblCellSpacing w:w="0" w:type="dxa"/>
        </w:trPr>
        <w:tc>
          <w:tcPr>
            <w:tcW w:w="0" w:type="auto"/>
            <w:noWrap w:val="0"/>
            <w:vAlign w:val="center"/>
          </w:tcPr>
          <w:p w14:paraId="6536DCEC">
            <w:r>
              <w:rPr>
                <w:rStyle w:val="10"/>
                <w:rFonts w:hint="eastAsia"/>
              </w:rPr>
              <w:t>毒性及其标识：</w:t>
            </w:r>
            <w:r>
              <w:rPr>
                <w:rFonts w:hint="eastAsia"/>
              </w:rPr>
              <w:t xml:space="preserve"> </w:t>
            </w:r>
            <w:r>
              <w:rPr>
                <w:lang/>
              </w:rPr>
              <w:drawing>
                <wp:inline distT="0" distB="0" distL="114300" distR="114300">
                  <wp:extent cx="476250" cy="323850"/>
                  <wp:effectExtent l="0" t="0" r="0" b="0"/>
                  <wp:docPr id="265" name="图片 2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AB8DB49">
        <w:tblPrEx>
          <w:tblCellMar>
            <w:top w:w="0" w:type="dxa"/>
            <w:left w:w="0" w:type="dxa"/>
            <w:bottom w:w="0" w:type="dxa"/>
            <w:right w:w="0" w:type="dxa"/>
          </w:tblCellMar>
        </w:tblPrEx>
        <w:trPr>
          <w:wBefore w:w="0" w:type="auto"/>
          <w:tblCellSpacing w:w="0" w:type="dxa"/>
        </w:trPr>
        <w:tc>
          <w:tcPr>
            <w:tcW w:w="0" w:type="auto"/>
            <w:noWrap w:val="0"/>
            <w:vAlign w:val="center"/>
          </w:tcPr>
          <w:p w14:paraId="3626A1D4">
            <w:r>
              <w:rPr>
                <w:rStyle w:val="10"/>
                <w:rFonts w:hint="eastAsia"/>
              </w:rPr>
              <w:t>总有效成分含量：</w:t>
            </w:r>
            <w:r>
              <w:rPr>
                <w:rFonts w:hint="eastAsia"/>
              </w:rPr>
              <w:t>2%</w:t>
            </w:r>
          </w:p>
        </w:tc>
      </w:tr>
      <w:tr w14:paraId="6F96A0D2">
        <w:tblPrEx>
          <w:tblCellMar>
            <w:top w:w="0" w:type="dxa"/>
            <w:left w:w="0" w:type="dxa"/>
            <w:bottom w:w="0" w:type="dxa"/>
            <w:right w:w="0" w:type="dxa"/>
          </w:tblCellMar>
        </w:tblPrEx>
        <w:trPr>
          <w:wBefore w:w="0" w:type="auto"/>
          <w:tblCellSpacing w:w="0" w:type="dxa"/>
        </w:trPr>
        <w:tc>
          <w:tcPr>
            <w:tcW w:w="0" w:type="auto"/>
            <w:noWrap w:val="0"/>
            <w:vAlign w:val="center"/>
          </w:tcPr>
          <w:p w14:paraId="730FF501">
            <w:r>
              <w:rPr>
                <w:rFonts w:hint="eastAsia"/>
              </w:rPr>
              <w:t xml:space="preserve">有效成分及其含量： </w:t>
            </w:r>
          </w:p>
          <w:p w14:paraId="36784FD9">
            <w:r>
              <w:rPr>
                <w:rFonts w:hint="eastAsia"/>
              </w:rPr>
              <w:t xml:space="preserve">    萘乙酸1%    吲哚丁酸1%    </w:t>
            </w:r>
          </w:p>
        </w:tc>
      </w:tr>
      <w:tr w14:paraId="1DFA1F3A">
        <w:tblPrEx>
          <w:tblCellMar>
            <w:top w:w="0" w:type="dxa"/>
            <w:left w:w="0" w:type="dxa"/>
            <w:bottom w:w="0" w:type="dxa"/>
            <w:right w:w="0" w:type="dxa"/>
          </w:tblCellMar>
        </w:tblPrEx>
        <w:trPr>
          <w:wBefore w:w="0" w:type="auto"/>
          <w:tblCellSpacing w:w="0" w:type="dxa"/>
        </w:trPr>
        <w:tc>
          <w:tcPr>
            <w:tcW w:w="0" w:type="auto"/>
            <w:noWrap w:val="0"/>
            <w:vAlign w:val="center"/>
          </w:tcPr>
          <w:p w14:paraId="280C7E6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D5C2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5DA8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74C1E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5D62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B288F0">
                  <w:r>
                    <w:rPr>
                      <w:rStyle w:val="11"/>
                      <w:rFonts w:hint="eastAsia"/>
                    </w:rPr>
                    <w:t>施用方式</w:t>
                  </w:r>
                </w:p>
              </w:tc>
            </w:tr>
            <w:tr w14:paraId="5FFE53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B38CA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89125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DB5BD8">
                  <w:r>
                    <w:rPr>
                      <w:rStyle w:val="11"/>
                      <w:rFonts w:hint="eastAsia"/>
                    </w:rPr>
                    <w:t>500-700倍液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EFED71">
                  <w:r>
                    <w:rPr>
                      <w:rStyle w:val="11"/>
                      <w:rFonts w:hint="eastAsia"/>
                    </w:rPr>
                    <w:t>浸种</w:t>
                  </w:r>
                </w:p>
              </w:tc>
            </w:tr>
          </w:tbl>
          <w:p w14:paraId="7D24F188">
            <w:pPr>
              <w:rPr>
                <w:rFonts w:ascii="Times New Roman" w:hAnsi="Times New Roman" w:cs="Times New Roman"/>
                <w:sz w:val="20"/>
                <w:szCs w:val="20"/>
              </w:rPr>
            </w:pPr>
          </w:p>
        </w:tc>
      </w:tr>
      <w:tr w14:paraId="62F81F60">
        <w:tblPrEx>
          <w:tblCellMar>
            <w:top w:w="0" w:type="dxa"/>
            <w:left w:w="0" w:type="dxa"/>
            <w:bottom w:w="0" w:type="dxa"/>
            <w:right w:w="0" w:type="dxa"/>
          </w:tblCellMar>
        </w:tblPrEx>
        <w:trPr>
          <w:wBefore w:w="0" w:type="auto"/>
          <w:tblCellSpacing w:w="0" w:type="dxa"/>
        </w:trPr>
        <w:tc>
          <w:tcPr>
            <w:tcW w:w="0" w:type="auto"/>
            <w:noWrap w:val="0"/>
            <w:vAlign w:val="center"/>
          </w:tcPr>
          <w:p w14:paraId="2E8B9D20">
            <w:r>
              <w:rPr>
                <w:rStyle w:val="10"/>
                <w:rFonts w:hint="eastAsia"/>
              </w:rPr>
              <w:t>使用技术要求:</w:t>
            </w:r>
            <w:r>
              <w:rPr>
                <w:rFonts w:hint="eastAsia"/>
              </w:rPr>
              <w:br w:type="textWrapping"/>
            </w:r>
            <w:r>
              <w:rPr>
                <w:rStyle w:val="11"/>
                <w:rFonts w:hint="eastAsia"/>
              </w:rPr>
              <w:t>1、水稻播种前浸种，药液浸种10-12小时，再用清水浸种至发芽露白，常规催芽播种。每季作物最多施药1次。 2、不要随意增加使用浓度和浸种时间。 3、破胸或长芽的劣质稻种勿用。 4、即配即用。</w:t>
            </w:r>
          </w:p>
        </w:tc>
      </w:tr>
      <w:tr w14:paraId="53FCE5AC">
        <w:tblPrEx>
          <w:tblCellMar>
            <w:top w:w="0" w:type="dxa"/>
            <w:left w:w="0" w:type="dxa"/>
            <w:bottom w:w="0" w:type="dxa"/>
            <w:right w:w="0" w:type="dxa"/>
          </w:tblCellMar>
        </w:tblPrEx>
        <w:trPr>
          <w:wBefore w:w="0" w:type="auto"/>
          <w:tblCellSpacing w:w="0" w:type="dxa"/>
        </w:trPr>
        <w:tc>
          <w:tcPr>
            <w:tcW w:w="0" w:type="auto"/>
            <w:noWrap w:val="0"/>
            <w:vAlign w:val="center"/>
          </w:tcPr>
          <w:p w14:paraId="3525137E">
            <w:r>
              <w:rPr>
                <w:rStyle w:val="10"/>
                <w:rFonts w:hint="eastAsia"/>
              </w:rPr>
              <w:t>产品性能:</w:t>
            </w:r>
            <w:r>
              <w:rPr>
                <w:rFonts w:hint="eastAsia"/>
              </w:rPr>
              <w:br w:type="textWrapping"/>
            </w:r>
            <w:r>
              <w:rPr>
                <w:rStyle w:val="11"/>
                <w:rFonts w:hint="eastAsia"/>
              </w:rPr>
              <w:t xml:space="preserve">本品由两种生长素类植物生长调节剂复配而成。能促进作物根原基分化、加速根系生长和发育，缩短植株移栽返青天数，显著提高移栽成活率，强壮植株，增加产量。 </w:t>
            </w:r>
          </w:p>
        </w:tc>
      </w:tr>
      <w:tr w14:paraId="280A566A">
        <w:tblPrEx>
          <w:tblCellMar>
            <w:top w:w="0" w:type="dxa"/>
            <w:left w:w="0" w:type="dxa"/>
            <w:bottom w:w="0" w:type="dxa"/>
            <w:right w:w="0" w:type="dxa"/>
          </w:tblCellMar>
        </w:tblPrEx>
        <w:trPr>
          <w:wBefore w:w="0" w:type="auto"/>
          <w:tblCellSpacing w:w="0" w:type="dxa"/>
        </w:trPr>
        <w:tc>
          <w:tcPr>
            <w:tcW w:w="0" w:type="auto"/>
            <w:noWrap w:val="0"/>
            <w:vAlign w:val="center"/>
          </w:tcPr>
          <w:p w14:paraId="2E2BB9DA">
            <w:r>
              <w:rPr>
                <w:rStyle w:val="10"/>
                <w:rFonts w:hint="eastAsia"/>
              </w:rPr>
              <w:t>注意事项：</w:t>
            </w:r>
            <w:r>
              <w:rPr>
                <w:rFonts w:hint="eastAsia"/>
              </w:rPr>
              <w:br w:type="textWrapping"/>
            </w:r>
            <w:r>
              <w:rPr>
                <w:rStyle w:val="11"/>
                <w:rFonts w:hint="eastAsia"/>
              </w:rPr>
              <w:t>1、该产品每季用于浸种一次。2、使用本品时应采取安全防护措施，穿防护服，戴口罩、手套，避免刺激眼睛、皮肤接触及口鼻吸入、切勿吸烟或饮食。 3、禁止在河塘等水体内清洗施药器具。4、用过的容器应妥善处理，勿他用或随意丢弃。 5、孕妇及哺乳期妇女避免接触本品。</w:t>
            </w:r>
          </w:p>
        </w:tc>
      </w:tr>
      <w:tr w14:paraId="1662452B">
        <w:tblPrEx>
          <w:tblCellMar>
            <w:top w:w="0" w:type="dxa"/>
            <w:left w:w="0" w:type="dxa"/>
            <w:bottom w:w="0" w:type="dxa"/>
            <w:right w:w="0" w:type="dxa"/>
          </w:tblCellMar>
        </w:tblPrEx>
        <w:trPr>
          <w:wBefore w:w="0" w:type="auto"/>
          <w:tblCellSpacing w:w="0" w:type="dxa"/>
        </w:trPr>
        <w:tc>
          <w:tcPr>
            <w:tcW w:w="0" w:type="auto"/>
            <w:noWrap w:val="0"/>
            <w:vAlign w:val="center"/>
          </w:tcPr>
          <w:p w14:paraId="5B465BB6">
            <w:r>
              <w:rPr>
                <w:rStyle w:val="10"/>
                <w:rFonts w:hint="eastAsia"/>
              </w:rPr>
              <w:t>中毒急救措施：</w:t>
            </w:r>
            <w:r>
              <w:rPr>
                <w:rFonts w:hint="eastAsia"/>
              </w:rPr>
              <w:br w:type="textWrapping"/>
            </w:r>
            <w:r>
              <w:rPr>
                <w:rStyle w:val="11"/>
                <w:rFonts w:hint="eastAsia"/>
              </w:rPr>
              <w:t xml:space="preserve">中毒症状：无典型症状。 如不慎溅入眼睛或接触皮肤，立即用清水彻底冲洗干净。仍有不适，应携此标签送医院对症治疗；如不慎吸入，应立即转移至空气流通处；如不慎误服，立即携此标签送医治疗。 </w:t>
            </w:r>
          </w:p>
        </w:tc>
      </w:tr>
      <w:tr w14:paraId="4DF06CB2">
        <w:tblPrEx>
          <w:tblCellMar>
            <w:top w:w="0" w:type="dxa"/>
            <w:left w:w="0" w:type="dxa"/>
            <w:bottom w:w="0" w:type="dxa"/>
            <w:right w:w="0" w:type="dxa"/>
          </w:tblCellMar>
        </w:tblPrEx>
        <w:trPr>
          <w:wBefore w:w="0" w:type="auto"/>
          <w:tblCellSpacing w:w="0" w:type="dxa"/>
        </w:trPr>
        <w:tc>
          <w:tcPr>
            <w:tcW w:w="0" w:type="auto"/>
            <w:noWrap w:val="0"/>
            <w:vAlign w:val="center"/>
          </w:tcPr>
          <w:p w14:paraId="078DC0C3">
            <w:r>
              <w:rPr>
                <w:rStyle w:val="10"/>
                <w:rFonts w:hint="eastAsia"/>
              </w:rPr>
              <w:t>储存和运输方法：</w:t>
            </w:r>
            <w:r>
              <w:rPr>
                <w:rFonts w:hint="eastAsia"/>
              </w:rPr>
              <w:br w:type="textWrapping"/>
            </w:r>
            <w:r>
              <w:rPr>
                <w:rStyle w:val="11"/>
                <w:rFonts w:hint="eastAsia"/>
              </w:rPr>
              <w:t xml:space="preserve">本品应贮存于阴凉、干燥、通风、防雨处，远离火源及热源。 本品应远离家禽，不能与食品、饮料、饲料和粮食等同贮同运。 本品应贮存于儿童触及不到的地方并加锁保存。 </w:t>
            </w:r>
          </w:p>
        </w:tc>
      </w:tr>
      <w:tr w14:paraId="7D82CF92">
        <w:tblPrEx>
          <w:tblCellMar>
            <w:top w:w="0" w:type="dxa"/>
            <w:left w:w="0" w:type="dxa"/>
            <w:bottom w:w="0" w:type="dxa"/>
            <w:right w:w="0" w:type="dxa"/>
          </w:tblCellMar>
        </w:tblPrEx>
        <w:trPr>
          <w:wBefore w:w="0" w:type="auto"/>
          <w:tblCellSpacing w:w="0" w:type="dxa"/>
        </w:trPr>
        <w:tc>
          <w:tcPr>
            <w:tcW w:w="0" w:type="auto"/>
            <w:noWrap w:val="0"/>
            <w:vAlign w:val="center"/>
          </w:tcPr>
          <w:p w14:paraId="645F5408">
            <w:r>
              <w:rPr>
                <w:rStyle w:val="10"/>
                <w:rFonts w:hint="eastAsia"/>
              </w:rPr>
              <w:t>质量保证期：</w:t>
            </w:r>
            <w:r>
              <w:rPr>
                <w:rStyle w:val="11"/>
                <w:rFonts w:hint="eastAsia"/>
              </w:rPr>
              <w:t>2年</w:t>
            </w:r>
          </w:p>
        </w:tc>
      </w:tr>
      <w:tr w14:paraId="47EDF61C">
        <w:tblPrEx>
          <w:tblCellMar>
            <w:top w:w="0" w:type="dxa"/>
            <w:left w:w="0" w:type="dxa"/>
            <w:bottom w:w="0" w:type="dxa"/>
            <w:right w:w="0" w:type="dxa"/>
          </w:tblCellMar>
        </w:tblPrEx>
        <w:trPr>
          <w:wBefore w:w="0" w:type="auto"/>
          <w:tblCellSpacing w:w="0" w:type="dxa"/>
        </w:trPr>
        <w:tc>
          <w:tcPr>
            <w:tcW w:w="0" w:type="auto"/>
            <w:noWrap w:val="0"/>
            <w:vAlign w:val="center"/>
          </w:tcPr>
          <w:p w14:paraId="347916A0">
            <w:r>
              <w:rPr>
                <w:rStyle w:val="10"/>
                <w:rFonts w:hint="eastAsia"/>
              </w:rPr>
              <w:t>备注：</w:t>
            </w:r>
          </w:p>
        </w:tc>
      </w:tr>
    </w:tbl>
    <w:p w14:paraId="2028BA0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3BE3AC">
        <w:tblPrEx>
          <w:tblCellMar>
            <w:top w:w="0" w:type="dxa"/>
            <w:left w:w="0" w:type="dxa"/>
            <w:bottom w:w="0" w:type="dxa"/>
            <w:right w:w="0" w:type="dxa"/>
          </w:tblCellMar>
        </w:tblPrEx>
        <w:trPr>
          <w:wBefore w:w="0" w:type="auto"/>
          <w:tblCellSpacing w:w="0" w:type="dxa"/>
        </w:trPr>
        <w:tc>
          <w:tcPr>
            <w:tcW w:w="0" w:type="auto"/>
            <w:noWrap w:val="0"/>
            <w:vAlign w:val="center"/>
          </w:tcPr>
          <w:p w14:paraId="36474C12">
            <w:r>
              <w:rPr>
                <w:rStyle w:val="10"/>
                <w:rFonts w:hint="eastAsia"/>
              </w:rPr>
              <w:t>登记证号：</w:t>
            </w:r>
            <w:r>
              <w:rPr>
                <w:rFonts w:hint="eastAsia"/>
              </w:rPr>
              <w:t>PD20212761</w:t>
            </w:r>
          </w:p>
        </w:tc>
      </w:tr>
      <w:tr w14:paraId="41234CEE">
        <w:tblPrEx>
          <w:tblCellMar>
            <w:top w:w="0" w:type="dxa"/>
            <w:left w:w="0" w:type="dxa"/>
            <w:bottom w:w="0" w:type="dxa"/>
            <w:right w:w="0" w:type="dxa"/>
          </w:tblCellMar>
        </w:tblPrEx>
        <w:trPr>
          <w:wBefore w:w="0" w:type="auto"/>
          <w:tblCellSpacing w:w="0" w:type="dxa"/>
        </w:trPr>
        <w:tc>
          <w:tcPr>
            <w:tcW w:w="0" w:type="auto"/>
            <w:noWrap w:val="0"/>
            <w:vAlign w:val="center"/>
          </w:tcPr>
          <w:p w14:paraId="0CAF1135">
            <w:r>
              <w:rPr>
                <w:rStyle w:val="10"/>
                <w:rFonts w:hint="eastAsia"/>
              </w:rPr>
              <w:t>登记证持有人：</w:t>
            </w:r>
            <w:r>
              <w:rPr>
                <w:rFonts w:hint="eastAsia"/>
              </w:rPr>
              <w:t>河南农王实业有限公司</w:t>
            </w:r>
          </w:p>
        </w:tc>
      </w:tr>
      <w:tr w14:paraId="59B910E9">
        <w:tblPrEx>
          <w:tblCellMar>
            <w:top w:w="0" w:type="dxa"/>
            <w:left w:w="0" w:type="dxa"/>
            <w:bottom w:w="0" w:type="dxa"/>
            <w:right w:w="0" w:type="dxa"/>
          </w:tblCellMar>
        </w:tblPrEx>
        <w:trPr>
          <w:wBefore w:w="0" w:type="auto"/>
          <w:tblCellSpacing w:w="0" w:type="dxa"/>
        </w:trPr>
        <w:tc>
          <w:tcPr>
            <w:tcW w:w="0" w:type="auto"/>
            <w:noWrap w:val="0"/>
            <w:vAlign w:val="center"/>
          </w:tcPr>
          <w:p w14:paraId="58AD331E">
            <w:r>
              <w:rPr>
                <w:rStyle w:val="10"/>
                <w:rFonts w:hint="eastAsia"/>
              </w:rPr>
              <w:t>农药名称：</w:t>
            </w:r>
            <w:r>
              <w:rPr>
                <w:rFonts w:hint="eastAsia"/>
              </w:rPr>
              <w:t>胺鲜·甲哌鎓</w:t>
            </w:r>
          </w:p>
        </w:tc>
      </w:tr>
      <w:tr w14:paraId="6A7872C5">
        <w:tblPrEx>
          <w:tblCellMar>
            <w:top w:w="0" w:type="dxa"/>
            <w:left w:w="0" w:type="dxa"/>
            <w:bottom w:w="0" w:type="dxa"/>
            <w:right w:w="0" w:type="dxa"/>
          </w:tblCellMar>
        </w:tblPrEx>
        <w:trPr>
          <w:wBefore w:w="0" w:type="auto"/>
          <w:tblCellSpacing w:w="0" w:type="dxa"/>
        </w:trPr>
        <w:tc>
          <w:tcPr>
            <w:tcW w:w="0" w:type="auto"/>
            <w:noWrap w:val="0"/>
            <w:vAlign w:val="center"/>
          </w:tcPr>
          <w:p w14:paraId="2BEDB0B8">
            <w:r>
              <w:rPr>
                <w:rStyle w:val="10"/>
                <w:rFonts w:hint="eastAsia"/>
              </w:rPr>
              <w:t>剂型：</w:t>
            </w:r>
            <w:r>
              <w:rPr>
                <w:rFonts w:hint="eastAsia"/>
              </w:rPr>
              <w:t>可溶液剂</w:t>
            </w:r>
          </w:p>
        </w:tc>
      </w:tr>
      <w:tr w14:paraId="53C5E436">
        <w:tblPrEx>
          <w:tblCellMar>
            <w:top w:w="0" w:type="dxa"/>
            <w:left w:w="0" w:type="dxa"/>
            <w:bottom w:w="0" w:type="dxa"/>
            <w:right w:w="0" w:type="dxa"/>
          </w:tblCellMar>
        </w:tblPrEx>
        <w:trPr>
          <w:wBefore w:w="0" w:type="auto"/>
          <w:tblCellSpacing w:w="0" w:type="dxa"/>
        </w:trPr>
        <w:tc>
          <w:tcPr>
            <w:tcW w:w="0" w:type="auto"/>
            <w:noWrap w:val="0"/>
            <w:vAlign w:val="center"/>
          </w:tcPr>
          <w:p w14:paraId="2901F6E3">
            <w:r>
              <w:rPr>
                <w:rStyle w:val="10"/>
                <w:rFonts w:hint="eastAsia"/>
              </w:rPr>
              <w:t>毒性及其标识：</w:t>
            </w:r>
            <w:r>
              <w:rPr>
                <w:rFonts w:hint="eastAsia"/>
              </w:rPr>
              <w:t xml:space="preserve"> </w:t>
            </w:r>
            <w:r>
              <w:rPr>
                <w:lang/>
              </w:rPr>
              <w:drawing>
                <wp:inline distT="0" distB="0" distL="114300" distR="114300">
                  <wp:extent cx="476250" cy="323850"/>
                  <wp:effectExtent l="0" t="0" r="0" b="0"/>
                  <wp:docPr id="266" name="图片 2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39326B">
        <w:tblPrEx>
          <w:tblCellMar>
            <w:top w:w="0" w:type="dxa"/>
            <w:left w:w="0" w:type="dxa"/>
            <w:bottom w:w="0" w:type="dxa"/>
            <w:right w:w="0" w:type="dxa"/>
          </w:tblCellMar>
        </w:tblPrEx>
        <w:trPr>
          <w:wBefore w:w="0" w:type="auto"/>
          <w:tblCellSpacing w:w="0" w:type="dxa"/>
        </w:trPr>
        <w:tc>
          <w:tcPr>
            <w:tcW w:w="0" w:type="auto"/>
            <w:noWrap w:val="0"/>
            <w:vAlign w:val="center"/>
          </w:tcPr>
          <w:p w14:paraId="18E7762E">
            <w:r>
              <w:rPr>
                <w:rStyle w:val="10"/>
                <w:rFonts w:hint="eastAsia"/>
              </w:rPr>
              <w:t>总有效成分含量：</w:t>
            </w:r>
            <w:r>
              <w:rPr>
                <w:rFonts w:hint="eastAsia"/>
              </w:rPr>
              <w:t>27.5%</w:t>
            </w:r>
          </w:p>
        </w:tc>
      </w:tr>
      <w:tr w14:paraId="5DDB3428">
        <w:tblPrEx>
          <w:tblCellMar>
            <w:top w:w="0" w:type="dxa"/>
            <w:left w:w="0" w:type="dxa"/>
            <w:bottom w:w="0" w:type="dxa"/>
            <w:right w:w="0" w:type="dxa"/>
          </w:tblCellMar>
        </w:tblPrEx>
        <w:trPr>
          <w:wBefore w:w="0" w:type="auto"/>
          <w:tblCellSpacing w:w="0" w:type="dxa"/>
        </w:trPr>
        <w:tc>
          <w:tcPr>
            <w:tcW w:w="0" w:type="auto"/>
            <w:noWrap w:val="0"/>
            <w:vAlign w:val="center"/>
          </w:tcPr>
          <w:p w14:paraId="187371E7">
            <w:r>
              <w:rPr>
                <w:rFonts w:hint="eastAsia"/>
              </w:rPr>
              <w:t xml:space="preserve">有效成分及其含量： </w:t>
            </w:r>
          </w:p>
          <w:p w14:paraId="76B083EB">
            <w:r>
              <w:rPr>
                <w:rFonts w:hint="eastAsia"/>
              </w:rPr>
              <w:t xml:space="preserve">    胺鲜酯2.5%    甲哌鎓25%    </w:t>
            </w:r>
          </w:p>
        </w:tc>
      </w:tr>
      <w:tr w14:paraId="68735086">
        <w:tblPrEx>
          <w:tblCellMar>
            <w:top w:w="0" w:type="dxa"/>
            <w:left w:w="0" w:type="dxa"/>
            <w:bottom w:w="0" w:type="dxa"/>
            <w:right w:w="0" w:type="dxa"/>
          </w:tblCellMar>
        </w:tblPrEx>
        <w:trPr>
          <w:wBefore w:w="0" w:type="auto"/>
          <w:tblCellSpacing w:w="0" w:type="dxa"/>
        </w:trPr>
        <w:tc>
          <w:tcPr>
            <w:tcW w:w="0" w:type="auto"/>
            <w:noWrap w:val="0"/>
            <w:vAlign w:val="center"/>
          </w:tcPr>
          <w:p w14:paraId="057501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F2C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B302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7EEE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A27D3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49EF14">
                  <w:r>
                    <w:rPr>
                      <w:rStyle w:val="11"/>
                      <w:rFonts w:hint="eastAsia"/>
                    </w:rPr>
                    <w:t>施用方式</w:t>
                  </w:r>
                </w:p>
              </w:tc>
            </w:tr>
            <w:tr w14:paraId="55B119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6C5D1C">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684BE8">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8AC383">
                  <w:r>
                    <w:rPr>
                      <w:rStyle w:val="11"/>
                      <w:rFonts w:hint="eastAsia"/>
                    </w:rPr>
                    <w:t>25-45克/亩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4B18A6">
                  <w:r>
                    <w:rPr>
                      <w:rStyle w:val="11"/>
                      <w:rFonts w:hint="eastAsia"/>
                    </w:rPr>
                    <w:t>喷雾</w:t>
                  </w:r>
                </w:p>
              </w:tc>
            </w:tr>
          </w:tbl>
          <w:p w14:paraId="60B6296A">
            <w:pPr>
              <w:rPr>
                <w:rFonts w:ascii="Times New Roman" w:hAnsi="Times New Roman" w:cs="Times New Roman"/>
                <w:sz w:val="20"/>
                <w:szCs w:val="20"/>
              </w:rPr>
            </w:pPr>
          </w:p>
        </w:tc>
      </w:tr>
      <w:tr w14:paraId="6ACE6E3D">
        <w:tblPrEx>
          <w:tblCellMar>
            <w:top w:w="0" w:type="dxa"/>
            <w:left w:w="0" w:type="dxa"/>
            <w:bottom w:w="0" w:type="dxa"/>
            <w:right w:w="0" w:type="dxa"/>
          </w:tblCellMar>
        </w:tblPrEx>
        <w:trPr>
          <w:wBefore w:w="0" w:type="auto"/>
          <w:tblCellSpacing w:w="0" w:type="dxa"/>
        </w:trPr>
        <w:tc>
          <w:tcPr>
            <w:tcW w:w="0" w:type="auto"/>
            <w:noWrap w:val="0"/>
            <w:vAlign w:val="center"/>
          </w:tcPr>
          <w:p w14:paraId="02E22EC3">
            <w:r>
              <w:rPr>
                <w:rStyle w:val="10"/>
                <w:rFonts w:hint="eastAsia"/>
              </w:rPr>
              <w:t>使用技术要求:</w:t>
            </w:r>
            <w:r>
              <w:rPr>
                <w:rFonts w:hint="eastAsia"/>
              </w:rPr>
              <w:br w:type="textWrapping"/>
            </w:r>
            <w:r>
              <w:rPr>
                <w:rStyle w:val="11"/>
                <w:rFonts w:hint="eastAsia"/>
              </w:rPr>
              <w:t>1. 本品应于Bt棉花初花期、盛花期和打顶后各施药 1 次，每亩兑水30公斤，注意喷雾需均匀。2. 不可与碱性物质混用。3.大风天或预计1小时内降雨，请勿施药。4. 每季最多使用3次，安全间隔期为60天。</w:t>
            </w:r>
          </w:p>
        </w:tc>
      </w:tr>
      <w:tr w14:paraId="2ECCCE8D">
        <w:tblPrEx>
          <w:tblCellMar>
            <w:top w:w="0" w:type="dxa"/>
            <w:left w:w="0" w:type="dxa"/>
            <w:bottom w:w="0" w:type="dxa"/>
            <w:right w:w="0" w:type="dxa"/>
          </w:tblCellMar>
        </w:tblPrEx>
        <w:trPr>
          <w:wBefore w:w="0" w:type="auto"/>
          <w:tblCellSpacing w:w="0" w:type="dxa"/>
        </w:trPr>
        <w:tc>
          <w:tcPr>
            <w:tcW w:w="0" w:type="auto"/>
            <w:noWrap w:val="0"/>
            <w:vAlign w:val="center"/>
          </w:tcPr>
          <w:p w14:paraId="6B940F51">
            <w:r>
              <w:rPr>
                <w:rStyle w:val="10"/>
                <w:rFonts w:hint="eastAsia"/>
              </w:rPr>
              <w:t>产品性能:</w:t>
            </w:r>
            <w:r>
              <w:rPr>
                <w:rFonts w:hint="eastAsia"/>
              </w:rPr>
              <w:br w:type="textWrapping"/>
            </w:r>
            <w:r>
              <w:rPr>
                <w:rStyle w:val="11"/>
                <w:rFonts w:hint="eastAsia"/>
              </w:rPr>
              <w:t>本产品为胺鲜酯和甲哌鎓的混配制剂。胺鲜酯具有广谱和突破性效果的高能植物生长调节剂，无毒、无害、无残留对人畜无任何毒副作用，不会在自然界中残留。可改善作物的品质，提高产量,并具有特殊的解毒功效等。甲哌鎓为新型植物生长调节剂，对植物有较好的内吸传导作用。能促进植物的生殖生长；抑制茎叶疯长、控制侧枝、塑造理想株型，提高根系数量和活力，使果实增重，品质提高。</w:t>
            </w:r>
          </w:p>
        </w:tc>
      </w:tr>
      <w:tr w14:paraId="7CD933E7">
        <w:tblPrEx>
          <w:tblCellMar>
            <w:top w:w="0" w:type="dxa"/>
            <w:left w:w="0" w:type="dxa"/>
            <w:bottom w:w="0" w:type="dxa"/>
            <w:right w:w="0" w:type="dxa"/>
          </w:tblCellMar>
        </w:tblPrEx>
        <w:trPr>
          <w:wBefore w:w="0" w:type="auto"/>
          <w:tblCellSpacing w:w="0" w:type="dxa"/>
        </w:trPr>
        <w:tc>
          <w:tcPr>
            <w:tcW w:w="0" w:type="auto"/>
            <w:noWrap w:val="0"/>
            <w:vAlign w:val="center"/>
          </w:tcPr>
          <w:p w14:paraId="6B6EF5B6">
            <w:r>
              <w:rPr>
                <w:rStyle w:val="10"/>
                <w:rFonts w:hint="eastAsia"/>
              </w:rPr>
              <w:t>注意事项：</w:t>
            </w:r>
            <w:r>
              <w:rPr>
                <w:rFonts w:hint="eastAsia"/>
              </w:rPr>
              <w:br w:type="textWrapping"/>
            </w:r>
            <w:r>
              <w:rPr>
                <w:rStyle w:val="11"/>
                <w:rFonts w:hint="eastAsia"/>
              </w:rPr>
              <w:t>1.严格按农药安全使用规则正确使用。2.使用时穿戴长衣、长裤、帽子、口罩、手套等防护措施，避免皮肤接触。使用中不可吸烟、饮水及吃东西，使用后及时清洗手、脸等暴露部位的皮肤并更换衣物。3.喷雾器使用后彻底清洗干净，用过的容器和废弃的包装袋要妥善处理，不可作他用，也不可随意丢弃。4.避免与非靶标生物接触，做好安全工作，应远离水产养殖区喷药，禁止在河塘清洗施药器具，清洗器具的废水不能排入河流、池塘等水源，以免造成不必要的环境污染。5.蚕室和桑园附近禁止施用本产品，禁止采摘最外围桑叶饲喂家蚕。6.赤眼蜂等天敌放飞区域禁用本产品。7.孕妇及哺乳期妇女避免接触此药。8. 避免与氧化剂接触。</w:t>
            </w:r>
          </w:p>
        </w:tc>
      </w:tr>
      <w:tr w14:paraId="7B17E733">
        <w:tblPrEx>
          <w:tblCellMar>
            <w:top w:w="0" w:type="dxa"/>
            <w:left w:w="0" w:type="dxa"/>
            <w:bottom w:w="0" w:type="dxa"/>
            <w:right w:w="0" w:type="dxa"/>
          </w:tblCellMar>
        </w:tblPrEx>
        <w:trPr>
          <w:wBefore w:w="0" w:type="auto"/>
          <w:tblCellSpacing w:w="0" w:type="dxa"/>
        </w:trPr>
        <w:tc>
          <w:tcPr>
            <w:tcW w:w="0" w:type="auto"/>
            <w:noWrap w:val="0"/>
            <w:vAlign w:val="center"/>
          </w:tcPr>
          <w:p w14:paraId="67E8867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肥皂和大量清水冲洗皮肤暴露部位。如皮肤刺激感持续，请医生诊治。眼睛溅入：立即翻开眼睑，用清水冲洗至少15分钟，再请医生诊治。吸入：立即将吸入者转移到通风处，后请医生诊治。误食：无特效解毒剂。误服马上催吐、洗胃，并立即携此标签送医院对症治疗。</w:t>
            </w:r>
          </w:p>
        </w:tc>
      </w:tr>
      <w:tr w14:paraId="0C9B9E7E">
        <w:tblPrEx>
          <w:tblCellMar>
            <w:top w:w="0" w:type="dxa"/>
            <w:left w:w="0" w:type="dxa"/>
            <w:bottom w:w="0" w:type="dxa"/>
            <w:right w:w="0" w:type="dxa"/>
          </w:tblCellMar>
        </w:tblPrEx>
        <w:trPr>
          <w:wBefore w:w="0" w:type="auto"/>
          <w:tblCellSpacing w:w="0" w:type="dxa"/>
        </w:trPr>
        <w:tc>
          <w:tcPr>
            <w:tcW w:w="0" w:type="auto"/>
            <w:noWrap w:val="0"/>
            <w:vAlign w:val="center"/>
          </w:tcPr>
          <w:p w14:paraId="0BECAABF">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0B951473">
        <w:tblPrEx>
          <w:tblCellMar>
            <w:top w:w="0" w:type="dxa"/>
            <w:left w:w="0" w:type="dxa"/>
            <w:bottom w:w="0" w:type="dxa"/>
            <w:right w:w="0" w:type="dxa"/>
          </w:tblCellMar>
        </w:tblPrEx>
        <w:trPr>
          <w:wBefore w:w="0" w:type="auto"/>
          <w:tblCellSpacing w:w="0" w:type="dxa"/>
        </w:trPr>
        <w:tc>
          <w:tcPr>
            <w:tcW w:w="0" w:type="auto"/>
            <w:noWrap w:val="0"/>
            <w:vAlign w:val="center"/>
          </w:tcPr>
          <w:p w14:paraId="70241CE0">
            <w:r>
              <w:rPr>
                <w:rStyle w:val="10"/>
                <w:rFonts w:hint="eastAsia"/>
              </w:rPr>
              <w:t>质量保证期：</w:t>
            </w:r>
            <w:r>
              <w:rPr>
                <w:rStyle w:val="11"/>
                <w:rFonts w:hint="eastAsia"/>
              </w:rPr>
              <w:t>2年</w:t>
            </w:r>
          </w:p>
        </w:tc>
      </w:tr>
      <w:tr w14:paraId="54A52449">
        <w:tblPrEx>
          <w:tblCellMar>
            <w:top w:w="0" w:type="dxa"/>
            <w:left w:w="0" w:type="dxa"/>
            <w:bottom w:w="0" w:type="dxa"/>
            <w:right w:w="0" w:type="dxa"/>
          </w:tblCellMar>
        </w:tblPrEx>
        <w:trPr>
          <w:wBefore w:w="0" w:type="auto"/>
          <w:tblCellSpacing w:w="0" w:type="dxa"/>
        </w:trPr>
        <w:tc>
          <w:tcPr>
            <w:tcW w:w="0" w:type="auto"/>
            <w:noWrap w:val="0"/>
            <w:vAlign w:val="center"/>
          </w:tcPr>
          <w:p w14:paraId="4D72FD42">
            <w:r>
              <w:rPr>
                <w:rStyle w:val="10"/>
                <w:rFonts w:hint="eastAsia"/>
              </w:rPr>
              <w:t>备注：</w:t>
            </w:r>
          </w:p>
        </w:tc>
      </w:tr>
    </w:tbl>
    <w:p w14:paraId="26D0C7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D31BCC">
        <w:tblPrEx>
          <w:tblCellMar>
            <w:top w:w="0" w:type="dxa"/>
            <w:left w:w="0" w:type="dxa"/>
            <w:bottom w:w="0" w:type="dxa"/>
            <w:right w:w="0" w:type="dxa"/>
          </w:tblCellMar>
        </w:tblPrEx>
        <w:trPr>
          <w:wBefore w:w="0" w:type="auto"/>
          <w:tblCellSpacing w:w="0" w:type="dxa"/>
        </w:trPr>
        <w:tc>
          <w:tcPr>
            <w:tcW w:w="0" w:type="auto"/>
            <w:noWrap w:val="0"/>
            <w:vAlign w:val="center"/>
          </w:tcPr>
          <w:p w14:paraId="598610B6">
            <w:r>
              <w:rPr>
                <w:rStyle w:val="10"/>
                <w:rFonts w:hint="eastAsia"/>
              </w:rPr>
              <w:t>登记证号：</w:t>
            </w:r>
            <w:r>
              <w:rPr>
                <w:rFonts w:hint="eastAsia"/>
              </w:rPr>
              <w:t>PD20212516</w:t>
            </w:r>
          </w:p>
        </w:tc>
      </w:tr>
      <w:tr w14:paraId="1EEF2A34">
        <w:tblPrEx>
          <w:tblCellMar>
            <w:top w:w="0" w:type="dxa"/>
            <w:left w:w="0" w:type="dxa"/>
            <w:bottom w:w="0" w:type="dxa"/>
            <w:right w:w="0" w:type="dxa"/>
          </w:tblCellMar>
        </w:tblPrEx>
        <w:trPr>
          <w:wBefore w:w="0" w:type="auto"/>
          <w:tblCellSpacing w:w="0" w:type="dxa"/>
        </w:trPr>
        <w:tc>
          <w:tcPr>
            <w:tcW w:w="0" w:type="auto"/>
            <w:noWrap w:val="0"/>
            <w:vAlign w:val="center"/>
          </w:tcPr>
          <w:p w14:paraId="3481FC91">
            <w:r>
              <w:rPr>
                <w:rStyle w:val="10"/>
                <w:rFonts w:hint="eastAsia"/>
              </w:rPr>
              <w:t>登记证持有人：</w:t>
            </w:r>
            <w:r>
              <w:rPr>
                <w:rFonts w:hint="eastAsia"/>
              </w:rPr>
              <w:t>山东玥鸣生物科技有限公司</w:t>
            </w:r>
          </w:p>
        </w:tc>
      </w:tr>
      <w:tr w14:paraId="678A3930">
        <w:tblPrEx>
          <w:tblCellMar>
            <w:top w:w="0" w:type="dxa"/>
            <w:left w:w="0" w:type="dxa"/>
            <w:bottom w:w="0" w:type="dxa"/>
            <w:right w:w="0" w:type="dxa"/>
          </w:tblCellMar>
        </w:tblPrEx>
        <w:trPr>
          <w:wBefore w:w="0" w:type="auto"/>
          <w:tblCellSpacing w:w="0" w:type="dxa"/>
        </w:trPr>
        <w:tc>
          <w:tcPr>
            <w:tcW w:w="0" w:type="auto"/>
            <w:noWrap w:val="0"/>
            <w:vAlign w:val="center"/>
          </w:tcPr>
          <w:p w14:paraId="7D5E7D23">
            <w:r>
              <w:rPr>
                <w:rStyle w:val="10"/>
                <w:rFonts w:hint="eastAsia"/>
              </w:rPr>
              <w:t>农药名称：</w:t>
            </w:r>
            <w:r>
              <w:rPr>
                <w:rFonts w:hint="eastAsia"/>
              </w:rPr>
              <w:t>丁·氧·噁草酮</w:t>
            </w:r>
          </w:p>
        </w:tc>
      </w:tr>
      <w:tr w14:paraId="71224335">
        <w:tblPrEx>
          <w:tblCellMar>
            <w:top w:w="0" w:type="dxa"/>
            <w:left w:w="0" w:type="dxa"/>
            <w:bottom w:w="0" w:type="dxa"/>
            <w:right w:w="0" w:type="dxa"/>
          </w:tblCellMar>
        </w:tblPrEx>
        <w:trPr>
          <w:wBefore w:w="0" w:type="auto"/>
          <w:tblCellSpacing w:w="0" w:type="dxa"/>
        </w:trPr>
        <w:tc>
          <w:tcPr>
            <w:tcW w:w="0" w:type="auto"/>
            <w:noWrap w:val="0"/>
            <w:vAlign w:val="center"/>
          </w:tcPr>
          <w:p w14:paraId="00D3169E">
            <w:r>
              <w:rPr>
                <w:rStyle w:val="10"/>
                <w:rFonts w:hint="eastAsia"/>
              </w:rPr>
              <w:t>剂型：</w:t>
            </w:r>
            <w:r>
              <w:rPr>
                <w:rFonts w:hint="eastAsia"/>
              </w:rPr>
              <w:t>乳油</w:t>
            </w:r>
          </w:p>
        </w:tc>
      </w:tr>
      <w:tr w14:paraId="3571DBC3">
        <w:tblPrEx>
          <w:tblCellMar>
            <w:top w:w="0" w:type="dxa"/>
            <w:left w:w="0" w:type="dxa"/>
            <w:bottom w:w="0" w:type="dxa"/>
            <w:right w:w="0" w:type="dxa"/>
          </w:tblCellMar>
        </w:tblPrEx>
        <w:trPr>
          <w:wBefore w:w="0" w:type="auto"/>
          <w:tblCellSpacing w:w="0" w:type="dxa"/>
        </w:trPr>
        <w:tc>
          <w:tcPr>
            <w:tcW w:w="0" w:type="auto"/>
            <w:noWrap w:val="0"/>
            <w:vAlign w:val="center"/>
          </w:tcPr>
          <w:p w14:paraId="3B6ED764">
            <w:r>
              <w:rPr>
                <w:rStyle w:val="10"/>
                <w:rFonts w:hint="eastAsia"/>
              </w:rPr>
              <w:t>毒性及其标识：</w:t>
            </w:r>
            <w:r>
              <w:rPr>
                <w:rFonts w:hint="eastAsia"/>
              </w:rPr>
              <w:t xml:space="preserve"> </w:t>
            </w:r>
            <w:r>
              <w:rPr>
                <w:lang/>
              </w:rPr>
              <w:drawing>
                <wp:inline distT="0" distB="0" distL="114300" distR="114300">
                  <wp:extent cx="476250" cy="323850"/>
                  <wp:effectExtent l="0" t="0" r="0" b="0"/>
                  <wp:docPr id="267" name="图片 2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F55E0B8">
        <w:tblPrEx>
          <w:tblCellMar>
            <w:top w:w="0" w:type="dxa"/>
            <w:left w:w="0" w:type="dxa"/>
            <w:bottom w:w="0" w:type="dxa"/>
            <w:right w:w="0" w:type="dxa"/>
          </w:tblCellMar>
        </w:tblPrEx>
        <w:trPr>
          <w:wBefore w:w="0" w:type="auto"/>
          <w:tblCellSpacing w:w="0" w:type="dxa"/>
        </w:trPr>
        <w:tc>
          <w:tcPr>
            <w:tcW w:w="0" w:type="auto"/>
            <w:noWrap w:val="0"/>
            <w:vAlign w:val="center"/>
          </w:tcPr>
          <w:p w14:paraId="573F3965">
            <w:r>
              <w:rPr>
                <w:rStyle w:val="10"/>
                <w:rFonts w:hint="eastAsia"/>
              </w:rPr>
              <w:t>总有效成分含量：</w:t>
            </w:r>
            <w:r>
              <w:rPr>
                <w:rFonts w:hint="eastAsia"/>
              </w:rPr>
              <w:t>75%</w:t>
            </w:r>
          </w:p>
        </w:tc>
      </w:tr>
      <w:tr w14:paraId="620E49FC">
        <w:tblPrEx>
          <w:tblCellMar>
            <w:top w:w="0" w:type="dxa"/>
            <w:left w:w="0" w:type="dxa"/>
            <w:bottom w:w="0" w:type="dxa"/>
            <w:right w:w="0" w:type="dxa"/>
          </w:tblCellMar>
        </w:tblPrEx>
        <w:trPr>
          <w:wBefore w:w="0" w:type="auto"/>
          <w:tblCellSpacing w:w="0" w:type="dxa"/>
        </w:trPr>
        <w:tc>
          <w:tcPr>
            <w:tcW w:w="0" w:type="auto"/>
            <w:noWrap w:val="0"/>
            <w:vAlign w:val="center"/>
          </w:tcPr>
          <w:p w14:paraId="3D4C45DB">
            <w:r>
              <w:rPr>
                <w:rFonts w:hint="eastAsia"/>
              </w:rPr>
              <w:t xml:space="preserve">有效成分及其含量： </w:t>
            </w:r>
          </w:p>
          <w:p w14:paraId="6C1FBC1E">
            <w:r>
              <w:rPr>
                <w:rFonts w:hint="eastAsia"/>
              </w:rPr>
              <w:t xml:space="preserve">    丁草胺54%    噁草酮12%    乙氧氟草醚9%    </w:t>
            </w:r>
          </w:p>
        </w:tc>
      </w:tr>
      <w:tr w14:paraId="1A4C4884">
        <w:tblPrEx>
          <w:tblCellMar>
            <w:top w:w="0" w:type="dxa"/>
            <w:left w:w="0" w:type="dxa"/>
            <w:bottom w:w="0" w:type="dxa"/>
            <w:right w:w="0" w:type="dxa"/>
          </w:tblCellMar>
        </w:tblPrEx>
        <w:trPr>
          <w:wBefore w:w="0" w:type="auto"/>
          <w:tblCellSpacing w:w="0" w:type="dxa"/>
        </w:trPr>
        <w:tc>
          <w:tcPr>
            <w:tcW w:w="0" w:type="auto"/>
            <w:noWrap w:val="0"/>
            <w:vAlign w:val="center"/>
          </w:tcPr>
          <w:p w14:paraId="00CD1D8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026A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3A211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9B11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2FDA7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B6FB83">
                  <w:r>
                    <w:rPr>
                      <w:rStyle w:val="11"/>
                      <w:rFonts w:hint="eastAsia"/>
                    </w:rPr>
                    <w:t>施用方式</w:t>
                  </w:r>
                </w:p>
              </w:tc>
            </w:tr>
            <w:tr w14:paraId="10FFC6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546973">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AD2A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A27200">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9BCB8">
                  <w:r>
                    <w:rPr>
                      <w:rStyle w:val="11"/>
                      <w:rFonts w:hint="eastAsia"/>
                    </w:rPr>
                    <w:t>药土法</w:t>
                  </w:r>
                </w:p>
              </w:tc>
            </w:tr>
          </w:tbl>
          <w:p w14:paraId="69D6D7CB">
            <w:pPr>
              <w:rPr>
                <w:rFonts w:ascii="Times New Roman" w:hAnsi="Times New Roman" w:cs="Times New Roman"/>
                <w:sz w:val="20"/>
                <w:szCs w:val="20"/>
              </w:rPr>
            </w:pPr>
          </w:p>
        </w:tc>
      </w:tr>
      <w:tr w14:paraId="65707A73">
        <w:tblPrEx>
          <w:tblCellMar>
            <w:top w:w="0" w:type="dxa"/>
            <w:left w:w="0" w:type="dxa"/>
            <w:bottom w:w="0" w:type="dxa"/>
            <w:right w:w="0" w:type="dxa"/>
          </w:tblCellMar>
        </w:tblPrEx>
        <w:trPr>
          <w:wBefore w:w="0" w:type="auto"/>
          <w:tblCellSpacing w:w="0" w:type="dxa"/>
        </w:trPr>
        <w:tc>
          <w:tcPr>
            <w:tcW w:w="0" w:type="auto"/>
            <w:noWrap w:val="0"/>
            <w:vAlign w:val="center"/>
          </w:tcPr>
          <w:p w14:paraId="5CB279A3">
            <w:r>
              <w:rPr>
                <w:rStyle w:val="10"/>
                <w:rFonts w:hint="eastAsia"/>
              </w:rPr>
              <w:t>使用技术要求:</w:t>
            </w:r>
            <w:r>
              <w:rPr>
                <w:rFonts w:hint="eastAsia"/>
              </w:rPr>
              <w:br w:type="textWrapping"/>
            </w:r>
            <w:r>
              <w:rPr>
                <w:rStyle w:val="11"/>
                <w:rFonts w:hint="eastAsia"/>
              </w:rPr>
              <w:t>1、于水稻移栽前2-3天（整地耕平之后）施药，将本品拌土均匀撒施。施药后2天内不排水，插秧后保持3～5厘米水层，避免淹没稻苗心叶。2、避免使用高剂量，以免因稻田高低不平、缺水或施药不均等造成作物药害。3、每季作物最多使用1次。</w:t>
            </w:r>
          </w:p>
        </w:tc>
      </w:tr>
      <w:tr w14:paraId="4F302DBE">
        <w:tblPrEx>
          <w:tblCellMar>
            <w:top w:w="0" w:type="dxa"/>
            <w:left w:w="0" w:type="dxa"/>
            <w:bottom w:w="0" w:type="dxa"/>
            <w:right w:w="0" w:type="dxa"/>
          </w:tblCellMar>
        </w:tblPrEx>
        <w:trPr>
          <w:wBefore w:w="0" w:type="auto"/>
          <w:tblCellSpacing w:w="0" w:type="dxa"/>
        </w:trPr>
        <w:tc>
          <w:tcPr>
            <w:tcW w:w="0" w:type="auto"/>
            <w:noWrap w:val="0"/>
            <w:vAlign w:val="center"/>
          </w:tcPr>
          <w:p w14:paraId="639F07F9">
            <w:r>
              <w:rPr>
                <w:rStyle w:val="10"/>
                <w:rFonts w:hint="eastAsia"/>
              </w:rPr>
              <w:t>产品性能:</w:t>
            </w:r>
            <w:r>
              <w:rPr>
                <w:rFonts w:hint="eastAsia"/>
              </w:rPr>
              <w:br w:type="textWrapping"/>
            </w:r>
            <w:r>
              <w:rPr>
                <w:rStyle w:val="11"/>
                <w:rFonts w:hint="eastAsia"/>
              </w:rPr>
              <w:t>本品是选择性触杀内吸传导型除草剂，作用机理主要通过杂草胚芽鞘、幼芽、幼苗或根部吸收药液，所含水面扩散剂，可使药液在水面迅速均匀扩散，然后沉入泥土中发挥药效。可有效防除移栽水稻田稗草、千金子、泽泻、野慈菇、鸭舌草、萤蔺、眼子菜、蟋蟀草、雨久花、节节菜、牛毛毡、鲤肠等杂草均有较好的防效。</w:t>
            </w:r>
          </w:p>
        </w:tc>
      </w:tr>
      <w:tr w14:paraId="0D0641CD">
        <w:tblPrEx>
          <w:tblCellMar>
            <w:top w:w="0" w:type="dxa"/>
            <w:left w:w="0" w:type="dxa"/>
            <w:bottom w:w="0" w:type="dxa"/>
            <w:right w:w="0" w:type="dxa"/>
          </w:tblCellMar>
        </w:tblPrEx>
        <w:trPr>
          <w:wBefore w:w="0" w:type="auto"/>
          <w:tblCellSpacing w:w="0" w:type="dxa"/>
        </w:trPr>
        <w:tc>
          <w:tcPr>
            <w:tcW w:w="0" w:type="auto"/>
            <w:noWrap w:val="0"/>
            <w:vAlign w:val="center"/>
          </w:tcPr>
          <w:p w14:paraId="648B8E27">
            <w:r>
              <w:rPr>
                <w:rStyle w:val="10"/>
                <w:rFonts w:hint="eastAsia"/>
              </w:rPr>
              <w:t>注意事项：</w:t>
            </w:r>
            <w:r>
              <w:rPr>
                <w:rFonts w:hint="eastAsia"/>
              </w:rPr>
              <w:br w:type="textWrapping"/>
            </w:r>
            <w:r>
              <w:rPr>
                <w:rStyle w:val="11"/>
                <w:rFonts w:hint="eastAsia"/>
              </w:rPr>
              <w:t>1.施药时应避开对周围蜜蜂、鸟类及天敌的影响。2.施药时均匀周到，精细整地（平整），施药后不宜破坏药层，影响对封闭效果。3.每季作物最多使用一次。4.使用本品时应穿戴防护服、口罩、手套等防护用具，避免、吸入药液。施药时不可吃东西、喝水、吸烟等，施药后应及时洗手洗脸等。5.清洗施药器具的废水禁止倒入河流、池塘等水源，废弃包装物应妥善处理，不应随意丢弃，也不可他用。6. 孕妇及哺乳期妇女避免接触此药。7.使用前应严格按照标签说明使用。8.水产养殖区、河塘等水体附近禁用，禁止在河塘等水体清洗施药器具。9.虾蟹鱼套养稻田禁用。施药后的田水不得直接排入水体。10、尽量避免接触眼睛、皮肤和破损粘膜。11、赤眼蜂等天敌区域禁用。</w:t>
            </w:r>
          </w:p>
        </w:tc>
      </w:tr>
      <w:tr w14:paraId="260A3A6A">
        <w:tblPrEx>
          <w:tblCellMar>
            <w:top w:w="0" w:type="dxa"/>
            <w:left w:w="0" w:type="dxa"/>
            <w:bottom w:w="0" w:type="dxa"/>
            <w:right w:w="0" w:type="dxa"/>
          </w:tblCellMar>
        </w:tblPrEx>
        <w:trPr>
          <w:wBefore w:w="0" w:type="auto"/>
          <w:tblCellSpacing w:w="0" w:type="dxa"/>
        </w:trPr>
        <w:tc>
          <w:tcPr>
            <w:tcW w:w="0" w:type="auto"/>
            <w:noWrap w:val="0"/>
            <w:vAlign w:val="center"/>
          </w:tcPr>
          <w:p w14:paraId="33172FDD">
            <w:r>
              <w:rPr>
                <w:rStyle w:val="10"/>
                <w:rFonts w:hint="eastAsia"/>
              </w:rPr>
              <w:t>中毒急救措施：</w:t>
            </w:r>
            <w:r>
              <w:rPr>
                <w:rFonts w:hint="eastAsia"/>
              </w:rPr>
              <w:br w:type="textWrapping"/>
            </w:r>
            <w:r>
              <w:rPr>
                <w:rStyle w:val="11"/>
                <w:rFonts w:hint="eastAsia"/>
              </w:rPr>
              <w:t>中毒症状：本品对皮肤和眼睛有刺激作用。眼睛不慎溅上药液，用足够的水连续冲洗至少15分钟；仍有不适时，就医。如皮肤不慎溅上药液，速用肥皂水洗净；如不慎误服，使用医用活性炭洗胃，洗胃时防止胃溶物进入呼吸道；对昏迷病人，且勿经口喂入任何东西或引吐，立即携此标签送医院诊治，对症治疗。无特效解毒剂。</w:t>
            </w:r>
          </w:p>
        </w:tc>
      </w:tr>
      <w:tr w14:paraId="5F1450F6">
        <w:tblPrEx>
          <w:tblCellMar>
            <w:top w:w="0" w:type="dxa"/>
            <w:left w:w="0" w:type="dxa"/>
            <w:bottom w:w="0" w:type="dxa"/>
            <w:right w:w="0" w:type="dxa"/>
          </w:tblCellMar>
        </w:tblPrEx>
        <w:trPr>
          <w:wBefore w:w="0" w:type="auto"/>
          <w:tblCellSpacing w:w="0" w:type="dxa"/>
        </w:trPr>
        <w:tc>
          <w:tcPr>
            <w:tcW w:w="0" w:type="auto"/>
            <w:noWrap w:val="0"/>
            <w:vAlign w:val="center"/>
          </w:tcPr>
          <w:p w14:paraId="513F945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本品应贮存在干燥、阴凉、通风、防雨处，远离火源或热源。置于儿童、无关人员及动物接触不到的地方，并加锁保存。勿与食品、饮料、饲料和粮食等其他商品同贮同运。</w:t>
            </w:r>
          </w:p>
        </w:tc>
      </w:tr>
      <w:tr w14:paraId="21FD26C3">
        <w:tblPrEx>
          <w:tblCellMar>
            <w:top w:w="0" w:type="dxa"/>
            <w:left w:w="0" w:type="dxa"/>
            <w:bottom w:w="0" w:type="dxa"/>
            <w:right w:w="0" w:type="dxa"/>
          </w:tblCellMar>
        </w:tblPrEx>
        <w:trPr>
          <w:wBefore w:w="0" w:type="auto"/>
          <w:tblCellSpacing w:w="0" w:type="dxa"/>
        </w:trPr>
        <w:tc>
          <w:tcPr>
            <w:tcW w:w="0" w:type="auto"/>
            <w:noWrap w:val="0"/>
            <w:vAlign w:val="center"/>
          </w:tcPr>
          <w:p w14:paraId="69EB73C3">
            <w:r>
              <w:rPr>
                <w:rStyle w:val="10"/>
                <w:rFonts w:hint="eastAsia"/>
              </w:rPr>
              <w:t>质量保证期：</w:t>
            </w:r>
            <w:r>
              <w:rPr>
                <w:rStyle w:val="11"/>
                <w:rFonts w:hint="eastAsia"/>
              </w:rPr>
              <w:t>2年</w:t>
            </w:r>
          </w:p>
        </w:tc>
      </w:tr>
      <w:tr w14:paraId="1EA6A92E">
        <w:tblPrEx>
          <w:tblCellMar>
            <w:top w:w="0" w:type="dxa"/>
            <w:left w:w="0" w:type="dxa"/>
            <w:bottom w:w="0" w:type="dxa"/>
            <w:right w:w="0" w:type="dxa"/>
          </w:tblCellMar>
        </w:tblPrEx>
        <w:trPr>
          <w:wBefore w:w="0" w:type="auto"/>
          <w:tblCellSpacing w:w="0" w:type="dxa"/>
        </w:trPr>
        <w:tc>
          <w:tcPr>
            <w:tcW w:w="0" w:type="auto"/>
            <w:noWrap w:val="0"/>
            <w:vAlign w:val="center"/>
          </w:tcPr>
          <w:p w14:paraId="7201D3A6">
            <w:r>
              <w:rPr>
                <w:rStyle w:val="10"/>
                <w:rFonts w:hint="eastAsia"/>
              </w:rPr>
              <w:t>备注：</w:t>
            </w:r>
          </w:p>
        </w:tc>
      </w:tr>
    </w:tbl>
    <w:p w14:paraId="730CFA6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843F5E">
        <w:tblPrEx>
          <w:tblCellMar>
            <w:top w:w="0" w:type="dxa"/>
            <w:left w:w="0" w:type="dxa"/>
            <w:bottom w:w="0" w:type="dxa"/>
            <w:right w:w="0" w:type="dxa"/>
          </w:tblCellMar>
        </w:tblPrEx>
        <w:trPr>
          <w:wBefore w:w="0" w:type="auto"/>
          <w:tblCellSpacing w:w="0" w:type="dxa"/>
        </w:trPr>
        <w:tc>
          <w:tcPr>
            <w:tcW w:w="0" w:type="auto"/>
            <w:noWrap w:val="0"/>
            <w:vAlign w:val="center"/>
          </w:tcPr>
          <w:p w14:paraId="020FE960">
            <w:r>
              <w:rPr>
                <w:rStyle w:val="10"/>
                <w:rFonts w:hint="eastAsia"/>
              </w:rPr>
              <w:t>登记证号：</w:t>
            </w:r>
            <w:r>
              <w:rPr>
                <w:rFonts w:hint="eastAsia"/>
              </w:rPr>
              <w:t>PD20212510</w:t>
            </w:r>
          </w:p>
        </w:tc>
      </w:tr>
      <w:tr w14:paraId="1C7C1CC9">
        <w:tblPrEx>
          <w:tblCellMar>
            <w:top w:w="0" w:type="dxa"/>
            <w:left w:w="0" w:type="dxa"/>
            <w:bottom w:w="0" w:type="dxa"/>
            <w:right w:w="0" w:type="dxa"/>
          </w:tblCellMar>
        </w:tblPrEx>
        <w:trPr>
          <w:wBefore w:w="0" w:type="auto"/>
          <w:tblCellSpacing w:w="0" w:type="dxa"/>
        </w:trPr>
        <w:tc>
          <w:tcPr>
            <w:tcW w:w="0" w:type="auto"/>
            <w:noWrap w:val="0"/>
            <w:vAlign w:val="center"/>
          </w:tcPr>
          <w:p w14:paraId="6F31F310">
            <w:r>
              <w:rPr>
                <w:rStyle w:val="10"/>
                <w:rFonts w:hint="eastAsia"/>
              </w:rPr>
              <w:t>登记证持有人：</w:t>
            </w:r>
            <w:r>
              <w:rPr>
                <w:rFonts w:hint="eastAsia"/>
              </w:rPr>
              <w:t>江西大山科技有限公司</w:t>
            </w:r>
          </w:p>
        </w:tc>
      </w:tr>
      <w:tr w14:paraId="55E7E3A1">
        <w:tblPrEx>
          <w:tblCellMar>
            <w:top w:w="0" w:type="dxa"/>
            <w:left w:w="0" w:type="dxa"/>
            <w:bottom w:w="0" w:type="dxa"/>
            <w:right w:w="0" w:type="dxa"/>
          </w:tblCellMar>
        </w:tblPrEx>
        <w:trPr>
          <w:wBefore w:w="0" w:type="auto"/>
          <w:tblCellSpacing w:w="0" w:type="dxa"/>
        </w:trPr>
        <w:tc>
          <w:tcPr>
            <w:tcW w:w="0" w:type="auto"/>
            <w:noWrap w:val="0"/>
            <w:vAlign w:val="center"/>
          </w:tcPr>
          <w:p w14:paraId="65CC5086">
            <w:r>
              <w:rPr>
                <w:rStyle w:val="10"/>
                <w:rFonts w:hint="eastAsia"/>
              </w:rPr>
              <w:t>农药名称：</w:t>
            </w:r>
            <w:r>
              <w:rPr>
                <w:rFonts w:hint="eastAsia"/>
              </w:rPr>
              <w:t>噁唑草·二氯喹</w:t>
            </w:r>
          </w:p>
        </w:tc>
      </w:tr>
      <w:tr w14:paraId="2DCC2D27">
        <w:tblPrEx>
          <w:tblCellMar>
            <w:top w:w="0" w:type="dxa"/>
            <w:left w:w="0" w:type="dxa"/>
            <w:bottom w:w="0" w:type="dxa"/>
            <w:right w:w="0" w:type="dxa"/>
          </w:tblCellMar>
        </w:tblPrEx>
        <w:trPr>
          <w:wBefore w:w="0" w:type="auto"/>
          <w:tblCellSpacing w:w="0" w:type="dxa"/>
        </w:trPr>
        <w:tc>
          <w:tcPr>
            <w:tcW w:w="0" w:type="auto"/>
            <w:noWrap w:val="0"/>
            <w:vAlign w:val="center"/>
          </w:tcPr>
          <w:p w14:paraId="555C1F47">
            <w:r>
              <w:rPr>
                <w:rStyle w:val="10"/>
                <w:rFonts w:hint="eastAsia"/>
              </w:rPr>
              <w:t>剂型：</w:t>
            </w:r>
            <w:r>
              <w:rPr>
                <w:rFonts w:hint="eastAsia"/>
              </w:rPr>
              <w:t>可分散油悬浮剂</w:t>
            </w:r>
          </w:p>
        </w:tc>
      </w:tr>
      <w:tr w14:paraId="3F280D29">
        <w:tblPrEx>
          <w:tblCellMar>
            <w:top w:w="0" w:type="dxa"/>
            <w:left w:w="0" w:type="dxa"/>
            <w:bottom w:w="0" w:type="dxa"/>
            <w:right w:w="0" w:type="dxa"/>
          </w:tblCellMar>
        </w:tblPrEx>
        <w:trPr>
          <w:wBefore w:w="0" w:type="auto"/>
          <w:tblCellSpacing w:w="0" w:type="dxa"/>
        </w:trPr>
        <w:tc>
          <w:tcPr>
            <w:tcW w:w="0" w:type="auto"/>
            <w:noWrap w:val="0"/>
            <w:vAlign w:val="center"/>
          </w:tcPr>
          <w:p w14:paraId="362BC575">
            <w:r>
              <w:rPr>
                <w:rStyle w:val="10"/>
                <w:rFonts w:hint="eastAsia"/>
              </w:rPr>
              <w:t>毒性及其标识：</w:t>
            </w:r>
            <w:r>
              <w:rPr>
                <w:rFonts w:hint="eastAsia"/>
              </w:rPr>
              <w:t xml:space="preserve"> 微毒 </w:t>
            </w:r>
          </w:p>
        </w:tc>
      </w:tr>
      <w:tr w14:paraId="77CE318D">
        <w:tblPrEx>
          <w:tblCellMar>
            <w:top w:w="0" w:type="dxa"/>
            <w:left w:w="0" w:type="dxa"/>
            <w:bottom w:w="0" w:type="dxa"/>
            <w:right w:w="0" w:type="dxa"/>
          </w:tblCellMar>
        </w:tblPrEx>
        <w:trPr>
          <w:wBefore w:w="0" w:type="auto"/>
          <w:tblCellSpacing w:w="0" w:type="dxa"/>
        </w:trPr>
        <w:tc>
          <w:tcPr>
            <w:tcW w:w="0" w:type="auto"/>
            <w:noWrap w:val="0"/>
            <w:vAlign w:val="center"/>
          </w:tcPr>
          <w:p w14:paraId="622803F6">
            <w:r>
              <w:rPr>
                <w:rStyle w:val="10"/>
                <w:rFonts w:hint="eastAsia"/>
              </w:rPr>
              <w:t>总有效成分含量：</w:t>
            </w:r>
            <w:r>
              <w:rPr>
                <w:rFonts w:hint="eastAsia"/>
              </w:rPr>
              <w:t>20%</w:t>
            </w:r>
          </w:p>
        </w:tc>
      </w:tr>
      <w:tr w14:paraId="2680E710">
        <w:tblPrEx>
          <w:tblCellMar>
            <w:top w:w="0" w:type="dxa"/>
            <w:left w:w="0" w:type="dxa"/>
            <w:bottom w:w="0" w:type="dxa"/>
            <w:right w:w="0" w:type="dxa"/>
          </w:tblCellMar>
        </w:tblPrEx>
        <w:trPr>
          <w:wBefore w:w="0" w:type="auto"/>
          <w:tblCellSpacing w:w="0" w:type="dxa"/>
        </w:trPr>
        <w:tc>
          <w:tcPr>
            <w:tcW w:w="0" w:type="auto"/>
            <w:noWrap w:val="0"/>
            <w:vAlign w:val="center"/>
          </w:tcPr>
          <w:p w14:paraId="789D3890">
            <w:r>
              <w:rPr>
                <w:rFonts w:hint="eastAsia"/>
              </w:rPr>
              <w:t xml:space="preserve">有效成分及其含量： </w:t>
            </w:r>
          </w:p>
          <w:p w14:paraId="09C8167B">
            <w:r>
              <w:rPr>
                <w:rFonts w:hint="eastAsia"/>
              </w:rPr>
              <w:t xml:space="preserve">    噁唑酰草胺8%    二氯喹啉酸12%    </w:t>
            </w:r>
          </w:p>
        </w:tc>
      </w:tr>
      <w:tr w14:paraId="03159F83">
        <w:tblPrEx>
          <w:tblCellMar>
            <w:top w:w="0" w:type="dxa"/>
            <w:left w:w="0" w:type="dxa"/>
            <w:bottom w:w="0" w:type="dxa"/>
            <w:right w:w="0" w:type="dxa"/>
          </w:tblCellMar>
        </w:tblPrEx>
        <w:trPr>
          <w:wBefore w:w="0" w:type="auto"/>
          <w:tblCellSpacing w:w="0" w:type="dxa"/>
        </w:trPr>
        <w:tc>
          <w:tcPr>
            <w:tcW w:w="0" w:type="auto"/>
            <w:noWrap w:val="0"/>
            <w:vAlign w:val="center"/>
          </w:tcPr>
          <w:p w14:paraId="727BC3F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0B57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C78F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9249E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E6ED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6B4D89">
                  <w:r>
                    <w:rPr>
                      <w:rStyle w:val="11"/>
                      <w:rFonts w:hint="eastAsia"/>
                    </w:rPr>
                    <w:t>施用方式</w:t>
                  </w:r>
                </w:p>
              </w:tc>
            </w:tr>
            <w:tr w14:paraId="727936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AE3BC5">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235ED">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21E0BF">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B714E">
                  <w:r>
                    <w:rPr>
                      <w:rStyle w:val="11"/>
                      <w:rFonts w:hint="eastAsia"/>
                    </w:rPr>
                    <w:t>茎叶喷雾</w:t>
                  </w:r>
                </w:p>
              </w:tc>
            </w:tr>
          </w:tbl>
          <w:p w14:paraId="20CEFF55">
            <w:pPr>
              <w:rPr>
                <w:rFonts w:ascii="Times New Roman" w:hAnsi="Times New Roman" w:cs="Times New Roman"/>
                <w:sz w:val="20"/>
                <w:szCs w:val="20"/>
              </w:rPr>
            </w:pPr>
          </w:p>
        </w:tc>
      </w:tr>
      <w:tr w14:paraId="46E70DB6">
        <w:tblPrEx>
          <w:tblCellMar>
            <w:top w:w="0" w:type="dxa"/>
            <w:left w:w="0" w:type="dxa"/>
            <w:bottom w:w="0" w:type="dxa"/>
            <w:right w:w="0" w:type="dxa"/>
          </w:tblCellMar>
        </w:tblPrEx>
        <w:trPr>
          <w:wBefore w:w="0" w:type="auto"/>
          <w:tblCellSpacing w:w="0" w:type="dxa"/>
        </w:trPr>
        <w:tc>
          <w:tcPr>
            <w:tcW w:w="0" w:type="auto"/>
            <w:noWrap w:val="0"/>
            <w:vAlign w:val="center"/>
          </w:tcPr>
          <w:p w14:paraId="42276B59">
            <w:r>
              <w:rPr>
                <w:rStyle w:val="10"/>
                <w:rFonts w:hint="eastAsia"/>
              </w:rPr>
              <w:t>使用技术要求:</w:t>
            </w:r>
            <w:r>
              <w:rPr>
                <w:rFonts w:hint="eastAsia"/>
              </w:rPr>
              <w:br w:type="textWrapping"/>
            </w:r>
            <w:r>
              <w:rPr>
                <w:rStyle w:val="11"/>
                <w:rFonts w:hint="eastAsia"/>
              </w:rPr>
              <w:t>1. 在直播稻田，杂草2-4叶期，施药前排田水，以推荐剂量对水均匀茎叶喷雾施药一次，每亩用水30-40L。药后1-2天灌水回田，保浅水层5-7天后常规田管，推荐有效剂量240-300克/公顷（制剂量80-100毫升/亩）。2. 水层勿淹没水稻心叶避免药害。施药时防止药液飘移到邻近作物，以免产生药害。3. 二氯喹啉酸在土壤中有积累作用，注意合理安排后茬作物，保证安全间隔期。3. 每季作物最多使用1次。</w:t>
            </w:r>
          </w:p>
        </w:tc>
      </w:tr>
      <w:tr w14:paraId="74EAD31A">
        <w:tblPrEx>
          <w:tblCellMar>
            <w:top w:w="0" w:type="dxa"/>
            <w:left w:w="0" w:type="dxa"/>
            <w:bottom w:w="0" w:type="dxa"/>
            <w:right w:w="0" w:type="dxa"/>
          </w:tblCellMar>
        </w:tblPrEx>
        <w:trPr>
          <w:wBefore w:w="0" w:type="auto"/>
          <w:tblCellSpacing w:w="0" w:type="dxa"/>
        </w:trPr>
        <w:tc>
          <w:tcPr>
            <w:tcW w:w="0" w:type="auto"/>
            <w:noWrap w:val="0"/>
            <w:vAlign w:val="center"/>
          </w:tcPr>
          <w:p w14:paraId="55D59255">
            <w:r>
              <w:rPr>
                <w:rStyle w:val="10"/>
                <w:rFonts w:hint="eastAsia"/>
              </w:rPr>
              <w:t>产品性能:</w:t>
            </w:r>
            <w:r>
              <w:rPr>
                <w:rFonts w:hint="eastAsia"/>
              </w:rPr>
              <w:br w:type="textWrapping"/>
            </w:r>
            <w:r>
              <w:rPr>
                <w:rStyle w:val="11"/>
                <w:rFonts w:hint="eastAsia"/>
              </w:rPr>
              <w:t xml:space="preserve">本品是噁唑酰草胺和二氯喹啉酸的混配制剂，噁唑酰草胺为芳氧苯氧丙酸类除草剂，具内吸传导性，属乙酰辅酶A合成酶抑制剂。噁唑酰草胺对水稻具有较强选择性和高效茎叶处理除草活性。二氯喹啉酸属喹啉羧酸类除草剂，是选择性苗后除草剂。本品可用于水稻田,能够有效的防除直播水稻田一年生禾草科杂草。 </w:t>
            </w:r>
          </w:p>
        </w:tc>
      </w:tr>
      <w:tr w14:paraId="56C1E273">
        <w:tblPrEx>
          <w:tblCellMar>
            <w:top w:w="0" w:type="dxa"/>
            <w:left w:w="0" w:type="dxa"/>
            <w:bottom w:w="0" w:type="dxa"/>
            <w:right w:w="0" w:type="dxa"/>
          </w:tblCellMar>
        </w:tblPrEx>
        <w:trPr>
          <w:wBefore w:w="0" w:type="auto"/>
          <w:tblCellSpacing w:w="0" w:type="dxa"/>
        </w:trPr>
        <w:tc>
          <w:tcPr>
            <w:tcW w:w="0" w:type="auto"/>
            <w:noWrap w:val="0"/>
            <w:vAlign w:val="center"/>
          </w:tcPr>
          <w:p w14:paraId="7E9DB97D">
            <w:r>
              <w:rPr>
                <w:rStyle w:val="10"/>
                <w:rFonts w:hint="eastAsia"/>
              </w:rPr>
              <w:t>注意事项：</w:t>
            </w:r>
            <w:r>
              <w:rPr>
                <w:rFonts w:hint="eastAsia"/>
              </w:rPr>
              <w:br w:type="textWrapping"/>
            </w:r>
            <w:r>
              <w:rPr>
                <w:rStyle w:val="11"/>
                <w:rFonts w:hint="eastAsia"/>
              </w:rPr>
              <w:t>1. 应防止药剂与其它植物接触，更不可将有药田水排入荸荠田、鱼塘，以免产生药害。鱼或虾蟹套养稻田禁用，施药后的田水不得直接排入水体。在最外围为桑树设置为隔离带等标识。 2. 本品对眼睛有刺激性，使用时避免接触眼睛，穿戴长衣、长裤、帽子、口罩、手套等防护措施，避免农药与皮肤接触或吸入。施药期间，不可饮食、吸烟，施药后应及时洗手、洗脸。避免药液接触眼睛。 3. 用过的包装物应妥善处理，不可做他用，也不可随意丢弃。 4. 施药后彻底清洗施药器械，废水妥善处理，以免污染水源与环境。禁止在河塘等水体中清洗施药器具。 远离水产养殖区、河塘等水体施药。 5. 本品对家蚕、蜜蜂有毒，应避开植物花期使用，蚕室和桑园附近禁用。远离天敌放飞区和鸟类保护区。赤眼蜂等天敌放飞区禁用。 6. 孕妇及哺乳期妇女避免接触此药。</w:t>
            </w:r>
          </w:p>
        </w:tc>
      </w:tr>
      <w:tr w14:paraId="20BE0B40">
        <w:tblPrEx>
          <w:tblCellMar>
            <w:top w:w="0" w:type="dxa"/>
            <w:left w:w="0" w:type="dxa"/>
            <w:bottom w:w="0" w:type="dxa"/>
            <w:right w:w="0" w:type="dxa"/>
          </w:tblCellMar>
        </w:tblPrEx>
        <w:trPr>
          <w:wBefore w:w="0" w:type="auto"/>
          <w:tblCellSpacing w:w="0" w:type="dxa"/>
        </w:trPr>
        <w:tc>
          <w:tcPr>
            <w:tcW w:w="0" w:type="auto"/>
            <w:noWrap w:val="0"/>
            <w:vAlign w:val="center"/>
          </w:tcPr>
          <w:p w14:paraId="27CBC900">
            <w:r>
              <w:rPr>
                <w:rStyle w:val="10"/>
                <w:rFonts w:hint="eastAsia"/>
              </w:rPr>
              <w:t>中毒急救措施：</w:t>
            </w:r>
            <w:r>
              <w:rPr>
                <w:rFonts w:hint="eastAsia"/>
              </w:rPr>
              <w:br w:type="textWrapping"/>
            </w:r>
            <w:r>
              <w:rPr>
                <w:rStyle w:val="11"/>
                <w:rFonts w:hint="eastAsia"/>
              </w:rPr>
              <w:t xml:space="preserve">对皮肤和眼睛有刺激性，注意安全防护。1.眼睛溅入：立刻用大量清水冲洗，如配戴隐形眼镜，冲洗1-2分钟后摘掉眼镜再冲洗数分钟。如症状持续，请就医。 2.误食：请勿自行引吐。请即就医。 3.皮肤接触：脱去被溅及衣物。立刻用大量清水冲洗皮肤。如症状持续，请就医。衣物彻底清洗后方可再穿。丢弃无法清洗的物件如皮革制品。 4.误吸：转移至空气清新处，并携此标签去医院诊治。 </w:t>
            </w:r>
          </w:p>
        </w:tc>
      </w:tr>
      <w:tr w14:paraId="11C06A81">
        <w:tblPrEx>
          <w:tblCellMar>
            <w:top w:w="0" w:type="dxa"/>
            <w:left w:w="0" w:type="dxa"/>
            <w:bottom w:w="0" w:type="dxa"/>
            <w:right w:w="0" w:type="dxa"/>
          </w:tblCellMar>
        </w:tblPrEx>
        <w:trPr>
          <w:wBefore w:w="0" w:type="auto"/>
          <w:tblCellSpacing w:w="0" w:type="dxa"/>
        </w:trPr>
        <w:tc>
          <w:tcPr>
            <w:tcW w:w="0" w:type="auto"/>
            <w:noWrap w:val="0"/>
            <w:vAlign w:val="center"/>
          </w:tcPr>
          <w:p w14:paraId="3F1042A7">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40372E0C">
        <w:tblPrEx>
          <w:tblCellMar>
            <w:top w:w="0" w:type="dxa"/>
            <w:left w:w="0" w:type="dxa"/>
            <w:bottom w:w="0" w:type="dxa"/>
            <w:right w:w="0" w:type="dxa"/>
          </w:tblCellMar>
        </w:tblPrEx>
        <w:trPr>
          <w:wBefore w:w="0" w:type="auto"/>
          <w:tblCellSpacing w:w="0" w:type="dxa"/>
        </w:trPr>
        <w:tc>
          <w:tcPr>
            <w:tcW w:w="0" w:type="auto"/>
            <w:noWrap w:val="0"/>
            <w:vAlign w:val="center"/>
          </w:tcPr>
          <w:p w14:paraId="62BED820">
            <w:r>
              <w:rPr>
                <w:rStyle w:val="10"/>
                <w:rFonts w:hint="eastAsia"/>
              </w:rPr>
              <w:t>质量保证期：</w:t>
            </w:r>
            <w:r>
              <w:rPr>
                <w:rStyle w:val="11"/>
                <w:rFonts w:hint="eastAsia"/>
              </w:rPr>
              <w:t>2年</w:t>
            </w:r>
          </w:p>
        </w:tc>
      </w:tr>
      <w:tr w14:paraId="249DD6D9">
        <w:tblPrEx>
          <w:tblCellMar>
            <w:top w:w="0" w:type="dxa"/>
            <w:left w:w="0" w:type="dxa"/>
            <w:bottom w:w="0" w:type="dxa"/>
            <w:right w:w="0" w:type="dxa"/>
          </w:tblCellMar>
        </w:tblPrEx>
        <w:trPr>
          <w:wBefore w:w="0" w:type="auto"/>
          <w:tblCellSpacing w:w="0" w:type="dxa"/>
        </w:trPr>
        <w:tc>
          <w:tcPr>
            <w:tcW w:w="0" w:type="auto"/>
            <w:noWrap w:val="0"/>
            <w:vAlign w:val="center"/>
          </w:tcPr>
          <w:p w14:paraId="6A347ACE">
            <w:r>
              <w:rPr>
                <w:rStyle w:val="10"/>
                <w:rFonts w:hint="eastAsia"/>
              </w:rPr>
              <w:t>备注：</w:t>
            </w:r>
          </w:p>
        </w:tc>
      </w:tr>
    </w:tbl>
    <w:p w14:paraId="609ED73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07EAA7">
        <w:tblPrEx>
          <w:tblCellMar>
            <w:top w:w="0" w:type="dxa"/>
            <w:left w:w="0" w:type="dxa"/>
            <w:bottom w:w="0" w:type="dxa"/>
            <w:right w:w="0" w:type="dxa"/>
          </w:tblCellMar>
        </w:tblPrEx>
        <w:trPr>
          <w:wBefore w:w="0" w:type="auto"/>
          <w:tblCellSpacing w:w="0" w:type="dxa"/>
        </w:trPr>
        <w:tc>
          <w:tcPr>
            <w:tcW w:w="0" w:type="auto"/>
            <w:noWrap w:val="0"/>
            <w:vAlign w:val="center"/>
          </w:tcPr>
          <w:p w14:paraId="54508968">
            <w:r>
              <w:rPr>
                <w:rStyle w:val="10"/>
                <w:rFonts w:hint="eastAsia"/>
              </w:rPr>
              <w:t>登记证号：</w:t>
            </w:r>
            <w:r>
              <w:rPr>
                <w:rFonts w:hint="eastAsia"/>
              </w:rPr>
              <w:t>WP20210379</w:t>
            </w:r>
          </w:p>
        </w:tc>
      </w:tr>
      <w:tr w14:paraId="3DB219C3">
        <w:tblPrEx>
          <w:tblCellMar>
            <w:top w:w="0" w:type="dxa"/>
            <w:left w:w="0" w:type="dxa"/>
            <w:bottom w:w="0" w:type="dxa"/>
            <w:right w:w="0" w:type="dxa"/>
          </w:tblCellMar>
        </w:tblPrEx>
        <w:trPr>
          <w:wBefore w:w="0" w:type="auto"/>
          <w:tblCellSpacing w:w="0" w:type="dxa"/>
        </w:trPr>
        <w:tc>
          <w:tcPr>
            <w:tcW w:w="0" w:type="auto"/>
            <w:noWrap w:val="0"/>
            <w:vAlign w:val="center"/>
          </w:tcPr>
          <w:p w14:paraId="2CCBC80E">
            <w:r>
              <w:rPr>
                <w:rStyle w:val="10"/>
                <w:rFonts w:hint="eastAsia"/>
              </w:rPr>
              <w:t>登记证持有人：</w:t>
            </w:r>
            <w:r>
              <w:rPr>
                <w:rFonts w:hint="eastAsia"/>
              </w:rPr>
              <w:t>广州超威日用化学用品有限公司</w:t>
            </w:r>
          </w:p>
        </w:tc>
      </w:tr>
      <w:tr w14:paraId="3E458336">
        <w:tblPrEx>
          <w:tblCellMar>
            <w:top w:w="0" w:type="dxa"/>
            <w:left w:w="0" w:type="dxa"/>
            <w:bottom w:w="0" w:type="dxa"/>
            <w:right w:w="0" w:type="dxa"/>
          </w:tblCellMar>
        </w:tblPrEx>
        <w:trPr>
          <w:wBefore w:w="0" w:type="auto"/>
          <w:tblCellSpacing w:w="0" w:type="dxa"/>
        </w:trPr>
        <w:tc>
          <w:tcPr>
            <w:tcW w:w="0" w:type="auto"/>
            <w:noWrap w:val="0"/>
            <w:vAlign w:val="center"/>
          </w:tcPr>
          <w:p w14:paraId="6D8E8360">
            <w:r>
              <w:rPr>
                <w:rStyle w:val="10"/>
                <w:rFonts w:hint="eastAsia"/>
              </w:rPr>
              <w:t>农药名称：</w:t>
            </w:r>
            <w:r>
              <w:rPr>
                <w:rFonts w:hint="eastAsia"/>
              </w:rPr>
              <w:t>防蛀片剂</w:t>
            </w:r>
          </w:p>
        </w:tc>
      </w:tr>
      <w:tr w14:paraId="4D070A7D">
        <w:tblPrEx>
          <w:tblCellMar>
            <w:top w:w="0" w:type="dxa"/>
            <w:left w:w="0" w:type="dxa"/>
            <w:bottom w:w="0" w:type="dxa"/>
            <w:right w:w="0" w:type="dxa"/>
          </w:tblCellMar>
        </w:tblPrEx>
        <w:trPr>
          <w:wBefore w:w="0" w:type="auto"/>
          <w:tblCellSpacing w:w="0" w:type="dxa"/>
        </w:trPr>
        <w:tc>
          <w:tcPr>
            <w:tcW w:w="0" w:type="auto"/>
            <w:noWrap w:val="0"/>
            <w:vAlign w:val="center"/>
          </w:tcPr>
          <w:p w14:paraId="44218366">
            <w:r>
              <w:rPr>
                <w:rStyle w:val="10"/>
                <w:rFonts w:hint="eastAsia"/>
              </w:rPr>
              <w:t>剂型：</w:t>
            </w:r>
            <w:r>
              <w:rPr>
                <w:rFonts w:hint="eastAsia"/>
              </w:rPr>
              <w:t>片剂</w:t>
            </w:r>
          </w:p>
        </w:tc>
      </w:tr>
      <w:tr w14:paraId="756A8C25">
        <w:tblPrEx>
          <w:tblCellMar>
            <w:top w:w="0" w:type="dxa"/>
            <w:left w:w="0" w:type="dxa"/>
            <w:bottom w:w="0" w:type="dxa"/>
            <w:right w:w="0" w:type="dxa"/>
          </w:tblCellMar>
        </w:tblPrEx>
        <w:trPr>
          <w:wBefore w:w="0" w:type="auto"/>
          <w:tblCellSpacing w:w="0" w:type="dxa"/>
        </w:trPr>
        <w:tc>
          <w:tcPr>
            <w:tcW w:w="0" w:type="auto"/>
            <w:noWrap w:val="0"/>
            <w:vAlign w:val="center"/>
          </w:tcPr>
          <w:p w14:paraId="3D3244ED">
            <w:r>
              <w:rPr>
                <w:rStyle w:val="10"/>
                <w:rFonts w:hint="eastAsia"/>
              </w:rPr>
              <w:t>毒性及其标识：</w:t>
            </w:r>
            <w:r>
              <w:rPr>
                <w:rFonts w:hint="eastAsia"/>
              </w:rPr>
              <w:t xml:space="preserve"> </w:t>
            </w:r>
            <w:r>
              <w:rPr>
                <w:lang/>
              </w:rPr>
              <w:drawing>
                <wp:inline distT="0" distB="0" distL="114300" distR="114300">
                  <wp:extent cx="476250" cy="323850"/>
                  <wp:effectExtent l="0" t="0" r="0" b="0"/>
                  <wp:docPr id="268" name="图片 2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B5D6F9">
        <w:tblPrEx>
          <w:tblCellMar>
            <w:top w:w="0" w:type="dxa"/>
            <w:left w:w="0" w:type="dxa"/>
            <w:bottom w:w="0" w:type="dxa"/>
            <w:right w:w="0" w:type="dxa"/>
          </w:tblCellMar>
        </w:tblPrEx>
        <w:trPr>
          <w:wBefore w:w="0" w:type="auto"/>
          <w:tblCellSpacing w:w="0" w:type="dxa"/>
        </w:trPr>
        <w:tc>
          <w:tcPr>
            <w:tcW w:w="0" w:type="auto"/>
            <w:noWrap w:val="0"/>
            <w:vAlign w:val="center"/>
          </w:tcPr>
          <w:p w14:paraId="3384FE84">
            <w:r>
              <w:rPr>
                <w:rStyle w:val="10"/>
                <w:rFonts w:hint="eastAsia"/>
              </w:rPr>
              <w:t>总有效成分含量：</w:t>
            </w:r>
            <w:r>
              <w:rPr>
                <w:rFonts w:hint="eastAsia"/>
              </w:rPr>
              <w:t>60毫克/片</w:t>
            </w:r>
          </w:p>
        </w:tc>
      </w:tr>
      <w:tr w14:paraId="70155DD6">
        <w:tblPrEx>
          <w:tblCellMar>
            <w:top w:w="0" w:type="dxa"/>
            <w:left w:w="0" w:type="dxa"/>
            <w:bottom w:w="0" w:type="dxa"/>
            <w:right w:w="0" w:type="dxa"/>
          </w:tblCellMar>
        </w:tblPrEx>
        <w:trPr>
          <w:wBefore w:w="0" w:type="auto"/>
          <w:tblCellSpacing w:w="0" w:type="dxa"/>
        </w:trPr>
        <w:tc>
          <w:tcPr>
            <w:tcW w:w="0" w:type="auto"/>
            <w:noWrap w:val="0"/>
            <w:vAlign w:val="center"/>
          </w:tcPr>
          <w:p w14:paraId="0D318B92">
            <w:r>
              <w:rPr>
                <w:rFonts w:hint="eastAsia"/>
              </w:rPr>
              <w:t xml:space="preserve">有效成分及其含量： </w:t>
            </w:r>
          </w:p>
          <w:p w14:paraId="38B3F0A3">
            <w:r>
              <w:rPr>
                <w:rFonts w:hint="eastAsia"/>
              </w:rPr>
              <w:t xml:space="preserve">    右旋烯炔菊酯60毫克/片    </w:t>
            </w:r>
          </w:p>
        </w:tc>
      </w:tr>
      <w:tr w14:paraId="112A1D2D">
        <w:tblPrEx>
          <w:tblCellMar>
            <w:top w:w="0" w:type="dxa"/>
            <w:left w:w="0" w:type="dxa"/>
            <w:bottom w:w="0" w:type="dxa"/>
            <w:right w:w="0" w:type="dxa"/>
          </w:tblCellMar>
        </w:tblPrEx>
        <w:trPr>
          <w:wBefore w:w="0" w:type="auto"/>
          <w:tblCellSpacing w:w="0" w:type="dxa"/>
        </w:trPr>
        <w:tc>
          <w:tcPr>
            <w:tcW w:w="0" w:type="auto"/>
            <w:noWrap w:val="0"/>
            <w:vAlign w:val="center"/>
          </w:tcPr>
          <w:p w14:paraId="79AD6B7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4E92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F402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3D64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75E9F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C629F5">
                  <w:r>
                    <w:rPr>
                      <w:rStyle w:val="11"/>
                      <w:rFonts w:hint="eastAsia"/>
                    </w:rPr>
                    <w:t>施用方式</w:t>
                  </w:r>
                </w:p>
              </w:tc>
            </w:tr>
            <w:tr w14:paraId="335425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9CB04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839AFA">
                  <w:r>
                    <w:rPr>
                      <w:rStyle w:val="11"/>
                      <w:rFonts w:hint="eastAsia"/>
                    </w:rPr>
                    <w:t>黑皮蠹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9F72C5">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A22D65">
                  <w:r>
                    <w:rPr>
                      <w:rStyle w:val="11"/>
                      <w:rFonts w:hint="eastAsia"/>
                    </w:rPr>
                    <w:t>投放</w:t>
                  </w:r>
                </w:p>
              </w:tc>
            </w:tr>
          </w:tbl>
          <w:p w14:paraId="7B0CE5B1">
            <w:pPr>
              <w:rPr>
                <w:rFonts w:ascii="Times New Roman" w:hAnsi="Times New Roman" w:cs="Times New Roman"/>
                <w:sz w:val="20"/>
                <w:szCs w:val="20"/>
              </w:rPr>
            </w:pPr>
          </w:p>
        </w:tc>
      </w:tr>
      <w:tr w14:paraId="102FDE1C">
        <w:tblPrEx>
          <w:tblCellMar>
            <w:top w:w="0" w:type="dxa"/>
            <w:left w:w="0" w:type="dxa"/>
            <w:bottom w:w="0" w:type="dxa"/>
            <w:right w:w="0" w:type="dxa"/>
          </w:tblCellMar>
        </w:tblPrEx>
        <w:trPr>
          <w:wBefore w:w="0" w:type="auto"/>
          <w:tblCellSpacing w:w="0" w:type="dxa"/>
        </w:trPr>
        <w:tc>
          <w:tcPr>
            <w:tcW w:w="0" w:type="auto"/>
            <w:noWrap w:val="0"/>
            <w:vAlign w:val="center"/>
          </w:tcPr>
          <w:p w14:paraId="687ECA08">
            <w:r>
              <w:rPr>
                <w:rStyle w:val="10"/>
                <w:rFonts w:hint="eastAsia"/>
              </w:rPr>
              <w:t>使用技术要求:</w:t>
            </w:r>
            <w:r>
              <w:rPr>
                <w:rFonts w:hint="eastAsia"/>
              </w:rPr>
              <w:br w:type="textWrapping"/>
            </w:r>
            <w:r>
              <w:rPr>
                <w:rStyle w:val="11"/>
                <w:rFonts w:hint="eastAsia"/>
              </w:rPr>
              <w:t xml:space="preserve">拆开包装盒和密封袋，取出防蛀片剂。 将防蛀片剂放置于抽屉、储物箱、储物格中。 </w:t>
            </w:r>
          </w:p>
        </w:tc>
      </w:tr>
      <w:tr w14:paraId="32B4DCCC">
        <w:tblPrEx>
          <w:tblCellMar>
            <w:top w:w="0" w:type="dxa"/>
            <w:left w:w="0" w:type="dxa"/>
            <w:bottom w:w="0" w:type="dxa"/>
            <w:right w:w="0" w:type="dxa"/>
          </w:tblCellMar>
        </w:tblPrEx>
        <w:trPr>
          <w:wBefore w:w="0" w:type="auto"/>
          <w:tblCellSpacing w:w="0" w:type="dxa"/>
        </w:trPr>
        <w:tc>
          <w:tcPr>
            <w:tcW w:w="0" w:type="auto"/>
            <w:noWrap w:val="0"/>
            <w:vAlign w:val="center"/>
          </w:tcPr>
          <w:p w14:paraId="09D48674">
            <w:r>
              <w:rPr>
                <w:rStyle w:val="10"/>
                <w:rFonts w:hint="eastAsia"/>
              </w:rPr>
              <w:t>产品性能:</w:t>
            </w:r>
            <w:r>
              <w:rPr>
                <w:rFonts w:hint="eastAsia"/>
              </w:rPr>
              <w:br w:type="textWrapping"/>
            </w:r>
            <w:r>
              <w:rPr>
                <w:rStyle w:val="11"/>
                <w:rFonts w:hint="eastAsia"/>
              </w:rPr>
              <w:t>1、有效防治：对黑皮蠹有防治作用，有效防止危害织物。 2、持久防蛀：每个防蛀片剂可持久防蛀长达一年。</w:t>
            </w:r>
          </w:p>
        </w:tc>
      </w:tr>
      <w:tr w14:paraId="4D79CF14">
        <w:tblPrEx>
          <w:tblCellMar>
            <w:top w:w="0" w:type="dxa"/>
            <w:left w:w="0" w:type="dxa"/>
            <w:bottom w:w="0" w:type="dxa"/>
            <w:right w:w="0" w:type="dxa"/>
          </w:tblCellMar>
        </w:tblPrEx>
        <w:trPr>
          <w:wBefore w:w="0" w:type="auto"/>
          <w:tblCellSpacing w:w="0" w:type="dxa"/>
        </w:trPr>
        <w:tc>
          <w:tcPr>
            <w:tcW w:w="0" w:type="auto"/>
            <w:noWrap w:val="0"/>
            <w:vAlign w:val="center"/>
          </w:tcPr>
          <w:p w14:paraId="5AE23DC1">
            <w:r>
              <w:rPr>
                <w:rStyle w:val="10"/>
                <w:rFonts w:hint="eastAsia"/>
              </w:rPr>
              <w:t>注意事项：</w:t>
            </w:r>
            <w:r>
              <w:rPr>
                <w:rFonts w:hint="eastAsia"/>
              </w:rPr>
              <w:br w:type="textWrapping"/>
            </w:r>
            <w:r>
              <w:rPr>
                <w:rStyle w:val="11"/>
                <w:rFonts w:hint="eastAsia"/>
              </w:rPr>
              <w:t>1、使用时必须依照注明的使用方法小心使用。 2、未用的防蛀片剂应储存于附标签的包装盒或胶袋内。 3、勿让儿童或宠物玩耍此产品。 4、防蛀片应放置于儿童及宠物接触不到的地方。本品禁食。 6、使用后必须彻底清洗双手。 7、本品对鱼、蚕有毒。切勿污染水源、河道及养蜂、养蚕场所。 蚕室及附近禁用。 8、过敏者禁用。使用时有任何不良反应请及时就医。</w:t>
            </w:r>
          </w:p>
        </w:tc>
      </w:tr>
      <w:tr w14:paraId="05106D0A">
        <w:tblPrEx>
          <w:tblCellMar>
            <w:top w:w="0" w:type="dxa"/>
            <w:left w:w="0" w:type="dxa"/>
            <w:bottom w:w="0" w:type="dxa"/>
            <w:right w:w="0" w:type="dxa"/>
          </w:tblCellMar>
        </w:tblPrEx>
        <w:trPr>
          <w:wBefore w:w="0" w:type="auto"/>
          <w:tblCellSpacing w:w="0" w:type="dxa"/>
        </w:trPr>
        <w:tc>
          <w:tcPr>
            <w:tcW w:w="0" w:type="auto"/>
            <w:noWrap w:val="0"/>
            <w:vAlign w:val="center"/>
          </w:tcPr>
          <w:p w14:paraId="140C22A4">
            <w:r>
              <w:rPr>
                <w:rStyle w:val="10"/>
                <w:rFonts w:hint="eastAsia"/>
              </w:rPr>
              <w:t>中毒急救措施：</w:t>
            </w:r>
            <w:r>
              <w:rPr>
                <w:rFonts w:hint="eastAsia"/>
              </w:rPr>
              <w:br w:type="textWrapping"/>
            </w:r>
            <w:r>
              <w:rPr>
                <w:rStyle w:val="11"/>
                <w:rFonts w:hint="eastAsia"/>
              </w:rPr>
              <w:t xml:space="preserve">如有中毒情况，应立即携同此标签求医诊治。此产品无特定解毒剂，可按症状诊治。 </w:t>
            </w:r>
          </w:p>
        </w:tc>
      </w:tr>
      <w:tr w14:paraId="24546D66">
        <w:tblPrEx>
          <w:tblCellMar>
            <w:top w:w="0" w:type="dxa"/>
            <w:left w:w="0" w:type="dxa"/>
            <w:bottom w:w="0" w:type="dxa"/>
            <w:right w:w="0" w:type="dxa"/>
          </w:tblCellMar>
        </w:tblPrEx>
        <w:trPr>
          <w:wBefore w:w="0" w:type="auto"/>
          <w:tblCellSpacing w:w="0" w:type="dxa"/>
        </w:trPr>
        <w:tc>
          <w:tcPr>
            <w:tcW w:w="0" w:type="auto"/>
            <w:noWrap w:val="0"/>
            <w:vAlign w:val="center"/>
          </w:tcPr>
          <w:p w14:paraId="12ACA701">
            <w:r>
              <w:rPr>
                <w:rStyle w:val="10"/>
                <w:rFonts w:hint="eastAsia"/>
              </w:rPr>
              <w:t>储存和运输方法：</w:t>
            </w:r>
            <w:r>
              <w:rPr>
                <w:rFonts w:hint="eastAsia"/>
              </w:rPr>
              <w:br w:type="textWrapping"/>
            </w:r>
            <w:r>
              <w:rPr>
                <w:rStyle w:val="11"/>
                <w:rFonts w:hint="eastAsia"/>
              </w:rPr>
              <w:t xml:space="preserve">请放置于通风、阴凉、干燥（低温）的环境中保存。储存时，严防潮湿和曝晒，勿与食物、种子、饮料混放混运。运输卸装时要小心轻放，严禁猛烈撞击，且不可倒置。 </w:t>
            </w:r>
          </w:p>
        </w:tc>
      </w:tr>
      <w:tr w14:paraId="0CEEB371">
        <w:tblPrEx>
          <w:tblCellMar>
            <w:top w:w="0" w:type="dxa"/>
            <w:left w:w="0" w:type="dxa"/>
            <w:bottom w:w="0" w:type="dxa"/>
            <w:right w:w="0" w:type="dxa"/>
          </w:tblCellMar>
        </w:tblPrEx>
        <w:trPr>
          <w:wBefore w:w="0" w:type="auto"/>
          <w:tblCellSpacing w:w="0" w:type="dxa"/>
        </w:trPr>
        <w:tc>
          <w:tcPr>
            <w:tcW w:w="0" w:type="auto"/>
            <w:noWrap w:val="0"/>
            <w:vAlign w:val="center"/>
          </w:tcPr>
          <w:p w14:paraId="4C397DBD">
            <w:r>
              <w:rPr>
                <w:rStyle w:val="10"/>
                <w:rFonts w:hint="eastAsia"/>
              </w:rPr>
              <w:t>质量保证期：</w:t>
            </w:r>
            <w:r>
              <w:rPr>
                <w:rStyle w:val="11"/>
                <w:rFonts w:hint="eastAsia"/>
              </w:rPr>
              <w:t>2年</w:t>
            </w:r>
          </w:p>
        </w:tc>
      </w:tr>
      <w:tr w14:paraId="5C2B10D0">
        <w:tblPrEx>
          <w:tblCellMar>
            <w:top w:w="0" w:type="dxa"/>
            <w:left w:w="0" w:type="dxa"/>
            <w:bottom w:w="0" w:type="dxa"/>
            <w:right w:w="0" w:type="dxa"/>
          </w:tblCellMar>
        </w:tblPrEx>
        <w:trPr>
          <w:wBefore w:w="0" w:type="auto"/>
          <w:tblCellSpacing w:w="0" w:type="dxa"/>
        </w:trPr>
        <w:tc>
          <w:tcPr>
            <w:tcW w:w="0" w:type="auto"/>
            <w:noWrap w:val="0"/>
            <w:vAlign w:val="center"/>
          </w:tcPr>
          <w:p w14:paraId="40EF14C3">
            <w:r>
              <w:rPr>
                <w:rStyle w:val="10"/>
                <w:rFonts w:hint="eastAsia"/>
              </w:rPr>
              <w:t>备注：</w:t>
            </w:r>
          </w:p>
        </w:tc>
      </w:tr>
    </w:tbl>
    <w:p w14:paraId="29C1E8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E605E2">
        <w:tblPrEx>
          <w:tblCellMar>
            <w:top w:w="0" w:type="dxa"/>
            <w:left w:w="0" w:type="dxa"/>
            <w:bottom w:w="0" w:type="dxa"/>
            <w:right w:w="0" w:type="dxa"/>
          </w:tblCellMar>
        </w:tblPrEx>
        <w:trPr>
          <w:wBefore w:w="0" w:type="auto"/>
          <w:tblCellSpacing w:w="0" w:type="dxa"/>
        </w:trPr>
        <w:tc>
          <w:tcPr>
            <w:tcW w:w="0" w:type="auto"/>
            <w:noWrap w:val="0"/>
            <w:vAlign w:val="center"/>
          </w:tcPr>
          <w:p w14:paraId="4AB8B52B">
            <w:r>
              <w:rPr>
                <w:rStyle w:val="10"/>
                <w:rFonts w:hint="eastAsia"/>
              </w:rPr>
              <w:t>登记证号：</w:t>
            </w:r>
            <w:r>
              <w:rPr>
                <w:rFonts w:hint="eastAsia"/>
              </w:rPr>
              <w:t>PD20212480</w:t>
            </w:r>
          </w:p>
        </w:tc>
      </w:tr>
      <w:tr w14:paraId="268AF5CF">
        <w:tblPrEx>
          <w:tblCellMar>
            <w:top w:w="0" w:type="dxa"/>
            <w:left w:w="0" w:type="dxa"/>
            <w:bottom w:w="0" w:type="dxa"/>
            <w:right w:w="0" w:type="dxa"/>
          </w:tblCellMar>
        </w:tblPrEx>
        <w:trPr>
          <w:wBefore w:w="0" w:type="auto"/>
          <w:tblCellSpacing w:w="0" w:type="dxa"/>
        </w:trPr>
        <w:tc>
          <w:tcPr>
            <w:tcW w:w="0" w:type="auto"/>
            <w:noWrap w:val="0"/>
            <w:vAlign w:val="center"/>
          </w:tcPr>
          <w:p w14:paraId="2159E3DC">
            <w:r>
              <w:rPr>
                <w:rStyle w:val="10"/>
                <w:rFonts w:hint="eastAsia"/>
              </w:rPr>
              <w:t>登记证持有人：</w:t>
            </w:r>
            <w:r>
              <w:rPr>
                <w:rFonts w:hint="eastAsia"/>
              </w:rPr>
              <w:t>成都科利隆生化有限公司</w:t>
            </w:r>
          </w:p>
        </w:tc>
      </w:tr>
      <w:tr w14:paraId="026C158B">
        <w:tblPrEx>
          <w:tblCellMar>
            <w:top w:w="0" w:type="dxa"/>
            <w:left w:w="0" w:type="dxa"/>
            <w:bottom w:w="0" w:type="dxa"/>
            <w:right w:w="0" w:type="dxa"/>
          </w:tblCellMar>
        </w:tblPrEx>
        <w:trPr>
          <w:wBefore w:w="0" w:type="auto"/>
          <w:tblCellSpacing w:w="0" w:type="dxa"/>
        </w:trPr>
        <w:tc>
          <w:tcPr>
            <w:tcW w:w="0" w:type="auto"/>
            <w:noWrap w:val="0"/>
            <w:vAlign w:val="center"/>
          </w:tcPr>
          <w:p w14:paraId="38B4B124">
            <w:r>
              <w:rPr>
                <w:rStyle w:val="10"/>
                <w:rFonts w:hint="eastAsia"/>
              </w:rPr>
              <w:t>农药名称：</w:t>
            </w:r>
            <w:r>
              <w:rPr>
                <w:rFonts w:hint="eastAsia"/>
              </w:rPr>
              <w:t>噁嗪草酮·硝磺草酮</w:t>
            </w:r>
          </w:p>
        </w:tc>
      </w:tr>
      <w:tr w14:paraId="5F22EBE3">
        <w:tblPrEx>
          <w:tblCellMar>
            <w:top w:w="0" w:type="dxa"/>
            <w:left w:w="0" w:type="dxa"/>
            <w:bottom w:w="0" w:type="dxa"/>
            <w:right w:w="0" w:type="dxa"/>
          </w:tblCellMar>
        </w:tblPrEx>
        <w:trPr>
          <w:wBefore w:w="0" w:type="auto"/>
          <w:tblCellSpacing w:w="0" w:type="dxa"/>
        </w:trPr>
        <w:tc>
          <w:tcPr>
            <w:tcW w:w="0" w:type="auto"/>
            <w:noWrap w:val="0"/>
            <w:vAlign w:val="center"/>
          </w:tcPr>
          <w:p w14:paraId="6F9F6702">
            <w:r>
              <w:rPr>
                <w:rStyle w:val="10"/>
                <w:rFonts w:hint="eastAsia"/>
              </w:rPr>
              <w:t>剂型：</w:t>
            </w:r>
            <w:r>
              <w:rPr>
                <w:rFonts w:hint="eastAsia"/>
              </w:rPr>
              <w:t>颗粒剂</w:t>
            </w:r>
          </w:p>
        </w:tc>
      </w:tr>
      <w:tr w14:paraId="3F500B5A">
        <w:tblPrEx>
          <w:tblCellMar>
            <w:top w:w="0" w:type="dxa"/>
            <w:left w:w="0" w:type="dxa"/>
            <w:bottom w:w="0" w:type="dxa"/>
            <w:right w:w="0" w:type="dxa"/>
          </w:tblCellMar>
        </w:tblPrEx>
        <w:trPr>
          <w:wBefore w:w="0" w:type="auto"/>
          <w:tblCellSpacing w:w="0" w:type="dxa"/>
        </w:trPr>
        <w:tc>
          <w:tcPr>
            <w:tcW w:w="0" w:type="auto"/>
            <w:noWrap w:val="0"/>
            <w:vAlign w:val="center"/>
          </w:tcPr>
          <w:p w14:paraId="43605047">
            <w:r>
              <w:rPr>
                <w:rStyle w:val="10"/>
                <w:rFonts w:hint="eastAsia"/>
              </w:rPr>
              <w:t>毒性及其标识：</w:t>
            </w:r>
            <w:r>
              <w:rPr>
                <w:rFonts w:hint="eastAsia"/>
              </w:rPr>
              <w:t xml:space="preserve"> 微毒 </w:t>
            </w:r>
          </w:p>
        </w:tc>
      </w:tr>
      <w:tr w14:paraId="4B312A1B">
        <w:tblPrEx>
          <w:tblCellMar>
            <w:top w:w="0" w:type="dxa"/>
            <w:left w:w="0" w:type="dxa"/>
            <w:bottom w:w="0" w:type="dxa"/>
            <w:right w:w="0" w:type="dxa"/>
          </w:tblCellMar>
        </w:tblPrEx>
        <w:trPr>
          <w:wBefore w:w="0" w:type="auto"/>
          <w:tblCellSpacing w:w="0" w:type="dxa"/>
        </w:trPr>
        <w:tc>
          <w:tcPr>
            <w:tcW w:w="0" w:type="auto"/>
            <w:noWrap w:val="0"/>
            <w:vAlign w:val="center"/>
          </w:tcPr>
          <w:p w14:paraId="0B71BBBB">
            <w:r>
              <w:rPr>
                <w:rStyle w:val="10"/>
                <w:rFonts w:hint="eastAsia"/>
              </w:rPr>
              <w:t>总有效成分含量：</w:t>
            </w:r>
            <w:r>
              <w:rPr>
                <w:rFonts w:hint="eastAsia"/>
              </w:rPr>
              <w:t>2%</w:t>
            </w:r>
          </w:p>
        </w:tc>
      </w:tr>
      <w:tr w14:paraId="67C6C20D">
        <w:tblPrEx>
          <w:tblCellMar>
            <w:top w:w="0" w:type="dxa"/>
            <w:left w:w="0" w:type="dxa"/>
            <w:bottom w:w="0" w:type="dxa"/>
            <w:right w:w="0" w:type="dxa"/>
          </w:tblCellMar>
        </w:tblPrEx>
        <w:trPr>
          <w:wBefore w:w="0" w:type="auto"/>
          <w:tblCellSpacing w:w="0" w:type="dxa"/>
        </w:trPr>
        <w:tc>
          <w:tcPr>
            <w:tcW w:w="0" w:type="auto"/>
            <w:noWrap w:val="0"/>
            <w:vAlign w:val="center"/>
          </w:tcPr>
          <w:p w14:paraId="3E67E6C5">
            <w:r>
              <w:rPr>
                <w:rFonts w:hint="eastAsia"/>
              </w:rPr>
              <w:t xml:space="preserve">有效成分及其含量： </w:t>
            </w:r>
          </w:p>
          <w:p w14:paraId="39000E78">
            <w:r>
              <w:rPr>
                <w:rFonts w:hint="eastAsia"/>
              </w:rPr>
              <w:t xml:space="preserve">    硝磺草酮1.3%    噁嗪草酮0.7%    </w:t>
            </w:r>
          </w:p>
        </w:tc>
      </w:tr>
      <w:tr w14:paraId="3D41EDA7">
        <w:tblPrEx>
          <w:tblCellMar>
            <w:top w:w="0" w:type="dxa"/>
            <w:left w:w="0" w:type="dxa"/>
            <w:bottom w:w="0" w:type="dxa"/>
            <w:right w:w="0" w:type="dxa"/>
          </w:tblCellMar>
        </w:tblPrEx>
        <w:trPr>
          <w:wBefore w:w="0" w:type="auto"/>
          <w:tblCellSpacing w:w="0" w:type="dxa"/>
        </w:trPr>
        <w:tc>
          <w:tcPr>
            <w:tcW w:w="0" w:type="auto"/>
            <w:noWrap w:val="0"/>
            <w:vAlign w:val="center"/>
          </w:tcPr>
          <w:p w14:paraId="7D1848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04696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15C8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577B6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B2D67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A64354">
                  <w:r>
                    <w:rPr>
                      <w:rStyle w:val="11"/>
                      <w:rFonts w:hint="eastAsia"/>
                    </w:rPr>
                    <w:t>施用方式</w:t>
                  </w:r>
                </w:p>
              </w:tc>
            </w:tr>
            <w:tr w14:paraId="1B37FA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CF344D">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C8D28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AD1F62">
                  <w:r>
                    <w:rPr>
                      <w:rStyle w:val="11"/>
                      <w:rFonts w:hint="eastAsia"/>
                    </w:rPr>
                    <w:t>300-400克/亩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03B827">
                  <w:r>
                    <w:rPr>
                      <w:rStyle w:val="11"/>
                      <w:rFonts w:hint="eastAsia"/>
                    </w:rPr>
                    <w:t>撒施</w:t>
                  </w:r>
                </w:p>
              </w:tc>
            </w:tr>
          </w:tbl>
          <w:p w14:paraId="55DA837B">
            <w:pPr>
              <w:rPr>
                <w:rFonts w:ascii="Times New Roman" w:hAnsi="Times New Roman" w:cs="Times New Roman"/>
                <w:sz w:val="20"/>
                <w:szCs w:val="20"/>
              </w:rPr>
            </w:pPr>
          </w:p>
        </w:tc>
      </w:tr>
      <w:tr w14:paraId="5B97F352">
        <w:tblPrEx>
          <w:tblCellMar>
            <w:top w:w="0" w:type="dxa"/>
            <w:left w:w="0" w:type="dxa"/>
            <w:bottom w:w="0" w:type="dxa"/>
            <w:right w:w="0" w:type="dxa"/>
          </w:tblCellMar>
        </w:tblPrEx>
        <w:trPr>
          <w:wBefore w:w="0" w:type="auto"/>
          <w:tblCellSpacing w:w="0" w:type="dxa"/>
        </w:trPr>
        <w:tc>
          <w:tcPr>
            <w:tcW w:w="0" w:type="auto"/>
            <w:noWrap w:val="0"/>
            <w:vAlign w:val="center"/>
          </w:tcPr>
          <w:p w14:paraId="58D65741">
            <w:r>
              <w:rPr>
                <w:rStyle w:val="10"/>
                <w:rFonts w:hint="eastAsia"/>
              </w:rPr>
              <w:t>使用技术要求:</w:t>
            </w:r>
            <w:r>
              <w:rPr>
                <w:rFonts w:hint="eastAsia"/>
              </w:rPr>
              <w:br w:type="textWrapping"/>
            </w:r>
            <w:r>
              <w:rPr>
                <w:rStyle w:val="11"/>
                <w:rFonts w:hint="eastAsia"/>
              </w:rPr>
              <w:t>1、于水稻移栽秧苗返青后，拌土撒施； 2、大风天或者预计1小时内下雨请勿施药； 3、每季最多使用1次；4、该药对部分籼稻及其亲缘水稻品种安全性差，在不同地区大面积推广前建议开展小范围试验研究；5、移栽水稻缓苗不充分勿用该药；6、勿超剂量使用避免药害；7、水层勿淹没水稻心叶避免药</w:t>
            </w:r>
          </w:p>
        </w:tc>
      </w:tr>
      <w:tr w14:paraId="26341D7A">
        <w:tblPrEx>
          <w:tblCellMar>
            <w:top w:w="0" w:type="dxa"/>
            <w:left w:w="0" w:type="dxa"/>
            <w:bottom w:w="0" w:type="dxa"/>
            <w:right w:w="0" w:type="dxa"/>
          </w:tblCellMar>
        </w:tblPrEx>
        <w:trPr>
          <w:wBefore w:w="0" w:type="auto"/>
          <w:tblCellSpacing w:w="0" w:type="dxa"/>
        </w:trPr>
        <w:tc>
          <w:tcPr>
            <w:tcW w:w="0" w:type="auto"/>
            <w:noWrap w:val="0"/>
            <w:vAlign w:val="center"/>
          </w:tcPr>
          <w:p w14:paraId="291C9A24">
            <w:r>
              <w:rPr>
                <w:rStyle w:val="10"/>
                <w:rFonts w:hint="eastAsia"/>
              </w:rPr>
              <w:t>产品性能:</w:t>
            </w:r>
            <w:r>
              <w:rPr>
                <w:rFonts w:hint="eastAsia"/>
              </w:rPr>
              <w:br w:type="textWrapping"/>
            </w:r>
            <w:r>
              <w:rPr>
                <w:rStyle w:val="11"/>
                <w:rFonts w:hint="eastAsia"/>
              </w:rPr>
              <w:t>噁嗪草酮属于新型植物生长抑制剂，施药后药剂可被植物根部吸收传导，使新根和新叶停止生长，随之茎叶部黄化，杂草枯死；硝磺草酮是一种能够抑制羟基苯基丙酮酸酯双氧化酶的除草剂，容易在植物木质部和韧皮部传导，具有触杀作用和持效性。两个有效成分科学混配后可以有效防治水稻移栽田一年生杂草。</w:t>
            </w:r>
          </w:p>
        </w:tc>
      </w:tr>
      <w:tr w14:paraId="36318A37">
        <w:tblPrEx>
          <w:tblCellMar>
            <w:top w:w="0" w:type="dxa"/>
            <w:left w:w="0" w:type="dxa"/>
            <w:bottom w:w="0" w:type="dxa"/>
            <w:right w:w="0" w:type="dxa"/>
          </w:tblCellMar>
        </w:tblPrEx>
        <w:trPr>
          <w:wBefore w:w="0" w:type="auto"/>
          <w:tblCellSpacing w:w="0" w:type="dxa"/>
        </w:trPr>
        <w:tc>
          <w:tcPr>
            <w:tcW w:w="0" w:type="auto"/>
            <w:noWrap w:val="0"/>
            <w:vAlign w:val="center"/>
          </w:tcPr>
          <w:p w14:paraId="14BAA7B8">
            <w:r>
              <w:rPr>
                <w:rStyle w:val="10"/>
                <w:rFonts w:hint="eastAsia"/>
              </w:rPr>
              <w:t>注意事项：</w:t>
            </w:r>
            <w:r>
              <w:rPr>
                <w:rFonts w:hint="eastAsia"/>
              </w:rPr>
              <w:br w:type="textWrapping"/>
            </w:r>
            <w:r>
              <w:rPr>
                <w:rStyle w:val="11"/>
                <w:rFonts w:hint="eastAsia"/>
              </w:rPr>
              <w:t>1.建议与其他不同作用机理的除草剂轮换使用。 2.鱼或虾蟹套养稻田禁用；水产养殖区、河塘等水体附近禁用；施药后田水不得直接排入水体。3.使用本品时采取相应的安全防护措施，穿戴帽子、口罩、长衣、长裤、手套、鞋。 施药期间不可吃东西、饮水和吸烟，施药后应及时洗手和洗脸。 4.用过的容器应妥善处理，不可做他用，也不可随意丢弃。 5.孕妇及哺乳期妇女禁止接触。</w:t>
            </w:r>
          </w:p>
        </w:tc>
      </w:tr>
      <w:tr w14:paraId="47248ACC">
        <w:tblPrEx>
          <w:tblCellMar>
            <w:top w:w="0" w:type="dxa"/>
            <w:left w:w="0" w:type="dxa"/>
            <w:bottom w:w="0" w:type="dxa"/>
            <w:right w:w="0" w:type="dxa"/>
          </w:tblCellMar>
        </w:tblPrEx>
        <w:trPr>
          <w:wBefore w:w="0" w:type="auto"/>
          <w:tblCellSpacing w:w="0" w:type="dxa"/>
        </w:trPr>
        <w:tc>
          <w:tcPr>
            <w:tcW w:w="0" w:type="auto"/>
            <w:noWrap w:val="0"/>
            <w:vAlign w:val="center"/>
          </w:tcPr>
          <w:p w14:paraId="473375CD">
            <w:r>
              <w:rPr>
                <w:rStyle w:val="10"/>
                <w:rFonts w:hint="eastAsia"/>
              </w:rPr>
              <w:t>中毒急救措施：</w:t>
            </w:r>
            <w:r>
              <w:rPr>
                <w:rFonts w:hint="eastAsia"/>
              </w:rPr>
              <w:br w:type="textWrapping"/>
            </w:r>
            <w:r>
              <w:rPr>
                <w:rStyle w:val="11"/>
                <w:rFonts w:hint="eastAsia"/>
              </w:rPr>
              <w:t xml:space="preserve">对眼睛有刺激性，使用时避免接触眼睛。使用中或使用后如果感觉不适，应立即停止工作，采取急救措施；如接触皮肤，用肥皂和清水彻底清洗；若溅入眼睛，用清水冲洗眼睛至少15分钟，仍不适，送医就诊；若误服，立即携标签送医就诊，对症治疗。 </w:t>
            </w:r>
          </w:p>
        </w:tc>
      </w:tr>
      <w:tr w14:paraId="4412895B">
        <w:tblPrEx>
          <w:tblCellMar>
            <w:top w:w="0" w:type="dxa"/>
            <w:left w:w="0" w:type="dxa"/>
            <w:bottom w:w="0" w:type="dxa"/>
            <w:right w:w="0" w:type="dxa"/>
          </w:tblCellMar>
        </w:tblPrEx>
        <w:trPr>
          <w:wBefore w:w="0" w:type="auto"/>
          <w:tblCellSpacing w:w="0" w:type="dxa"/>
        </w:trPr>
        <w:tc>
          <w:tcPr>
            <w:tcW w:w="0" w:type="auto"/>
            <w:noWrap w:val="0"/>
            <w:vAlign w:val="center"/>
          </w:tcPr>
          <w:p w14:paraId="3BA30FE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2D368B34">
        <w:tblPrEx>
          <w:tblCellMar>
            <w:top w:w="0" w:type="dxa"/>
            <w:left w:w="0" w:type="dxa"/>
            <w:bottom w:w="0" w:type="dxa"/>
            <w:right w:w="0" w:type="dxa"/>
          </w:tblCellMar>
        </w:tblPrEx>
        <w:trPr>
          <w:wBefore w:w="0" w:type="auto"/>
          <w:tblCellSpacing w:w="0" w:type="dxa"/>
        </w:trPr>
        <w:tc>
          <w:tcPr>
            <w:tcW w:w="0" w:type="auto"/>
            <w:noWrap w:val="0"/>
            <w:vAlign w:val="center"/>
          </w:tcPr>
          <w:p w14:paraId="50D1637D">
            <w:r>
              <w:rPr>
                <w:rStyle w:val="10"/>
                <w:rFonts w:hint="eastAsia"/>
              </w:rPr>
              <w:t>质量保证期：</w:t>
            </w:r>
            <w:r>
              <w:rPr>
                <w:rStyle w:val="11"/>
                <w:rFonts w:hint="eastAsia"/>
              </w:rPr>
              <w:t>2年</w:t>
            </w:r>
          </w:p>
        </w:tc>
      </w:tr>
      <w:tr w14:paraId="626BF534">
        <w:tblPrEx>
          <w:tblCellMar>
            <w:top w:w="0" w:type="dxa"/>
            <w:left w:w="0" w:type="dxa"/>
            <w:bottom w:w="0" w:type="dxa"/>
            <w:right w:w="0" w:type="dxa"/>
          </w:tblCellMar>
        </w:tblPrEx>
        <w:trPr>
          <w:wBefore w:w="0" w:type="auto"/>
          <w:tblCellSpacing w:w="0" w:type="dxa"/>
        </w:trPr>
        <w:tc>
          <w:tcPr>
            <w:tcW w:w="0" w:type="auto"/>
            <w:noWrap w:val="0"/>
            <w:vAlign w:val="center"/>
          </w:tcPr>
          <w:p w14:paraId="4058259B">
            <w:r>
              <w:rPr>
                <w:rStyle w:val="10"/>
                <w:rFonts w:hint="eastAsia"/>
              </w:rPr>
              <w:t>备注：</w:t>
            </w:r>
          </w:p>
        </w:tc>
      </w:tr>
    </w:tbl>
    <w:p w14:paraId="009243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36843D">
        <w:tblPrEx>
          <w:tblCellMar>
            <w:top w:w="0" w:type="dxa"/>
            <w:left w:w="0" w:type="dxa"/>
            <w:bottom w:w="0" w:type="dxa"/>
            <w:right w:w="0" w:type="dxa"/>
          </w:tblCellMar>
        </w:tblPrEx>
        <w:trPr>
          <w:wBefore w:w="0" w:type="auto"/>
          <w:tblCellSpacing w:w="0" w:type="dxa"/>
        </w:trPr>
        <w:tc>
          <w:tcPr>
            <w:tcW w:w="0" w:type="auto"/>
            <w:noWrap w:val="0"/>
            <w:vAlign w:val="center"/>
          </w:tcPr>
          <w:p w14:paraId="0E64E0C8">
            <w:r>
              <w:rPr>
                <w:rStyle w:val="10"/>
                <w:rFonts w:hint="eastAsia"/>
              </w:rPr>
              <w:t>登记证号：</w:t>
            </w:r>
            <w:r>
              <w:rPr>
                <w:rFonts w:hint="eastAsia"/>
              </w:rPr>
              <w:t>PD20212735</w:t>
            </w:r>
          </w:p>
        </w:tc>
      </w:tr>
      <w:tr w14:paraId="03A185CB">
        <w:tblPrEx>
          <w:tblCellMar>
            <w:top w:w="0" w:type="dxa"/>
            <w:left w:w="0" w:type="dxa"/>
            <w:bottom w:w="0" w:type="dxa"/>
            <w:right w:w="0" w:type="dxa"/>
          </w:tblCellMar>
        </w:tblPrEx>
        <w:trPr>
          <w:wBefore w:w="0" w:type="auto"/>
          <w:tblCellSpacing w:w="0" w:type="dxa"/>
        </w:trPr>
        <w:tc>
          <w:tcPr>
            <w:tcW w:w="0" w:type="auto"/>
            <w:noWrap w:val="0"/>
            <w:vAlign w:val="center"/>
          </w:tcPr>
          <w:p w14:paraId="0ED7979F">
            <w:r>
              <w:rPr>
                <w:rStyle w:val="10"/>
                <w:rFonts w:hint="eastAsia"/>
              </w:rPr>
              <w:t>登记证持有人：</w:t>
            </w:r>
            <w:r>
              <w:rPr>
                <w:rFonts w:hint="eastAsia"/>
              </w:rPr>
              <w:t>河北中天邦正生物科技股份公司</w:t>
            </w:r>
          </w:p>
        </w:tc>
      </w:tr>
      <w:tr w14:paraId="60281FCB">
        <w:tblPrEx>
          <w:tblCellMar>
            <w:top w:w="0" w:type="dxa"/>
            <w:left w:w="0" w:type="dxa"/>
            <w:bottom w:w="0" w:type="dxa"/>
            <w:right w:w="0" w:type="dxa"/>
          </w:tblCellMar>
        </w:tblPrEx>
        <w:trPr>
          <w:wBefore w:w="0" w:type="auto"/>
          <w:tblCellSpacing w:w="0" w:type="dxa"/>
        </w:trPr>
        <w:tc>
          <w:tcPr>
            <w:tcW w:w="0" w:type="auto"/>
            <w:noWrap w:val="0"/>
            <w:vAlign w:val="center"/>
          </w:tcPr>
          <w:p w14:paraId="11B0037B">
            <w:r>
              <w:rPr>
                <w:rStyle w:val="10"/>
                <w:rFonts w:hint="eastAsia"/>
              </w:rPr>
              <w:t>农药名称：</w:t>
            </w:r>
            <w:r>
              <w:rPr>
                <w:rFonts w:hint="eastAsia"/>
              </w:rPr>
              <w:t>28-表高芸·赤·吲乙</w:t>
            </w:r>
          </w:p>
        </w:tc>
      </w:tr>
      <w:tr w14:paraId="178FAA4D">
        <w:tblPrEx>
          <w:tblCellMar>
            <w:top w:w="0" w:type="dxa"/>
            <w:left w:w="0" w:type="dxa"/>
            <w:bottom w:w="0" w:type="dxa"/>
            <w:right w:w="0" w:type="dxa"/>
          </w:tblCellMar>
        </w:tblPrEx>
        <w:trPr>
          <w:wBefore w:w="0" w:type="auto"/>
          <w:tblCellSpacing w:w="0" w:type="dxa"/>
        </w:trPr>
        <w:tc>
          <w:tcPr>
            <w:tcW w:w="0" w:type="auto"/>
            <w:noWrap w:val="0"/>
            <w:vAlign w:val="center"/>
          </w:tcPr>
          <w:p w14:paraId="4ACF8D93">
            <w:r>
              <w:rPr>
                <w:rStyle w:val="10"/>
                <w:rFonts w:hint="eastAsia"/>
              </w:rPr>
              <w:t>剂型：</w:t>
            </w:r>
            <w:r>
              <w:rPr>
                <w:rFonts w:hint="eastAsia"/>
              </w:rPr>
              <w:t>种子处理可分散粉剂</w:t>
            </w:r>
          </w:p>
        </w:tc>
      </w:tr>
      <w:tr w14:paraId="3E685843">
        <w:tblPrEx>
          <w:tblCellMar>
            <w:top w:w="0" w:type="dxa"/>
            <w:left w:w="0" w:type="dxa"/>
            <w:bottom w:w="0" w:type="dxa"/>
            <w:right w:w="0" w:type="dxa"/>
          </w:tblCellMar>
        </w:tblPrEx>
        <w:trPr>
          <w:wBefore w:w="0" w:type="auto"/>
          <w:tblCellSpacing w:w="0" w:type="dxa"/>
        </w:trPr>
        <w:tc>
          <w:tcPr>
            <w:tcW w:w="0" w:type="auto"/>
            <w:noWrap w:val="0"/>
            <w:vAlign w:val="center"/>
          </w:tcPr>
          <w:p w14:paraId="05E443B9">
            <w:r>
              <w:rPr>
                <w:rStyle w:val="10"/>
                <w:rFonts w:hint="eastAsia"/>
              </w:rPr>
              <w:t>毒性及其标识：</w:t>
            </w:r>
            <w:r>
              <w:rPr>
                <w:rFonts w:hint="eastAsia"/>
              </w:rPr>
              <w:t xml:space="preserve"> </w:t>
            </w:r>
            <w:r>
              <w:rPr>
                <w:lang/>
              </w:rPr>
              <w:drawing>
                <wp:inline distT="0" distB="0" distL="114300" distR="114300">
                  <wp:extent cx="476250" cy="323850"/>
                  <wp:effectExtent l="0" t="0" r="0" b="0"/>
                  <wp:docPr id="269" name="图片 2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48DD8C">
        <w:tblPrEx>
          <w:tblCellMar>
            <w:top w:w="0" w:type="dxa"/>
            <w:left w:w="0" w:type="dxa"/>
            <w:bottom w:w="0" w:type="dxa"/>
            <w:right w:w="0" w:type="dxa"/>
          </w:tblCellMar>
        </w:tblPrEx>
        <w:trPr>
          <w:wBefore w:w="0" w:type="auto"/>
          <w:tblCellSpacing w:w="0" w:type="dxa"/>
        </w:trPr>
        <w:tc>
          <w:tcPr>
            <w:tcW w:w="0" w:type="auto"/>
            <w:noWrap w:val="0"/>
            <w:vAlign w:val="center"/>
          </w:tcPr>
          <w:p w14:paraId="771363F2">
            <w:r>
              <w:rPr>
                <w:rStyle w:val="10"/>
                <w:rFonts w:hint="eastAsia"/>
              </w:rPr>
              <w:t>总有效成分含量：</w:t>
            </w:r>
            <w:r>
              <w:rPr>
                <w:rFonts w:hint="eastAsia"/>
              </w:rPr>
              <w:t>0.136%</w:t>
            </w:r>
          </w:p>
        </w:tc>
      </w:tr>
      <w:tr w14:paraId="058D6753">
        <w:tblPrEx>
          <w:tblCellMar>
            <w:top w:w="0" w:type="dxa"/>
            <w:left w:w="0" w:type="dxa"/>
            <w:bottom w:w="0" w:type="dxa"/>
            <w:right w:w="0" w:type="dxa"/>
          </w:tblCellMar>
        </w:tblPrEx>
        <w:trPr>
          <w:wBefore w:w="0" w:type="auto"/>
          <w:tblCellSpacing w:w="0" w:type="dxa"/>
        </w:trPr>
        <w:tc>
          <w:tcPr>
            <w:tcW w:w="0" w:type="auto"/>
            <w:noWrap w:val="0"/>
            <w:vAlign w:val="center"/>
          </w:tcPr>
          <w:p w14:paraId="4ADEA887">
            <w:r>
              <w:rPr>
                <w:rFonts w:hint="eastAsia"/>
              </w:rPr>
              <w:t xml:space="preserve">有效成分及其含量： </w:t>
            </w:r>
          </w:p>
          <w:p w14:paraId="4ED1AC66">
            <w:r>
              <w:rPr>
                <w:rFonts w:hint="eastAsia"/>
              </w:rPr>
              <w:t xml:space="preserve">    28-表高芸苔素内酯0.00031%    赤霉酸0.135%    吲哚乙酸0.00052%    </w:t>
            </w:r>
          </w:p>
        </w:tc>
      </w:tr>
      <w:tr w14:paraId="3200E762">
        <w:tblPrEx>
          <w:tblCellMar>
            <w:top w:w="0" w:type="dxa"/>
            <w:left w:w="0" w:type="dxa"/>
            <w:bottom w:w="0" w:type="dxa"/>
            <w:right w:w="0" w:type="dxa"/>
          </w:tblCellMar>
        </w:tblPrEx>
        <w:trPr>
          <w:wBefore w:w="0" w:type="auto"/>
          <w:tblCellSpacing w:w="0" w:type="dxa"/>
        </w:trPr>
        <w:tc>
          <w:tcPr>
            <w:tcW w:w="0" w:type="auto"/>
            <w:noWrap w:val="0"/>
            <w:vAlign w:val="center"/>
          </w:tcPr>
          <w:p w14:paraId="72637CD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2290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4ED4B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ED31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A030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B94380">
                  <w:r>
                    <w:rPr>
                      <w:rStyle w:val="11"/>
                      <w:rFonts w:hint="eastAsia"/>
                    </w:rPr>
                    <w:t>施用方式</w:t>
                  </w:r>
                </w:p>
              </w:tc>
            </w:tr>
            <w:tr w14:paraId="52E695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7EC60D">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182FEB">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8244B">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C465E">
                  <w:r>
                    <w:rPr>
                      <w:rStyle w:val="11"/>
                      <w:rFonts w:hint="eastAsia"/>
                    </w:rPr>
                    <w:t>浸种</w:t>
                  </w:r>
                </w:p>
              </w:tc>
            </w:tr>
          </w:tbl>
          <w:p w14:paraId="3BFAF7BE">
            <w:pPr>
              <w:rPr>
                <w:rFonts w:ascii="Times New Roman" w:hAnsi="Times New Roman" w:cs="Times New Roman"/>
                <w:sz w:val="20"/>
                <w:szCs w:val="20"/>
              </w:rPr>
            </w:pPr>
          </w:p>
        </w:tc>
      </w:tr>
      <w:tr w14:paraId="13D3CD70">
        <w:tblPrEx>
          <w:tblCellMar>
            <w:top w:w="0" w:type="dxa"/>
            <w:left w:w="0" w:type="dxa"/>
            <w:bottom w:w="0" w:type="dxa"/>
            <w:right w:w="0" w:type="dxa"/>
          </w:tblCellMar>
        </w:tblPrEx>
        <w:trPr>
          <w:wBefore w:w="0" w:type="auto"/>
          <w:tblCellSpacing w:w="0" w:type="dxa"/>
        </w:trPr>
        <w:tc>
          <w:tcPr>
            <w:tcW w:w="0" w:type="auto"/>
            <w:noWrap w:val="0"/>
            <w:vAlign w:val="center"/>
          </w:tcPr>
          <w:p w14:paraId="382B7F86">
            <w:r>
              <w:rPr>
                <w:rStyle w:val="10"/>
                <w:rFonts w:hint="eastAsia"/>
              </w:rPr>
              <w:t>使用技术要求:</w:t>
            </w:r>
            <w:r>
              <w:rPr>
                <w:rFonts w:hint="eastAsia"/>
              </w:rPr>
              <w:br w:type="textWrapping"/>
            </w:r>
            <w:r>
              <w:rPr>
                <w:rStyle w:val="11"/>
                <w:rFonts w:hint="eastAsia"/>
              </w:rPr>
              <w:t>1. 播种前将水稻种子浸入本品稀释液中浸种，晾晒至药膜固化后再播种。2. 本品稀释液使用时需搅拌摇匀，3. 配制好的药液应在24小时内使用。</w:t>
            </w:r>
          </w:p>
        </w:tc>
      </w:tr>
      <w:tr w14:paraId="595D823F">
        <w:tblPrEx>
          <w:tblCellMar>
            <w:top w:w="0" w:type="dxa"/>
            <w:left w:w="0" w:type="dxa"/>
            <w:bottom w:w="0" w:type="dxa"/>
            <w:right w:w="0" w:type="dxa"/>
          </w:tblCellMar>
        </w:tblPrEx>
        <w:trPr>
          <w:wBefore w:w="0" w:type="auto"/>
          <w:tblCellSpacing w:w="0" w:type="dxa"/>
        </w:trPr>
        <w:tc>
          <w:tcPr>
            <w:tcW w:w="0" w:type="auto"/>
            <w:noWrap w:val="0"/>
            <w:vAlign w:val="center"/>
          </w:tcPr>
          <w:p w14:paraId="41CA0D58">
            <w:r>
              <w:rPr>
                <w:rStyle w:val="10"/>
                <w:rFonts w:hint="eastAsia"/>
              </w:rPr>
              <w:t>产品性能:</w:t>
            </w:r>
            <w:r>
              <w:rPr>
                <w:rFonts w:hint="eastAsia"/>
              </w:rPr>
              <w:br w:type="textWrapping"/>
            </w:r>
            <w:r>
              <w:rPr>
                <w:rStyle w:val="11"/>
                <w:rFonts w:hint="eastAsia"/>
              </w:rPr>
              <w:t>本产品是天然植物源产品，含有植物内源激素和黄酮类、氨基酸等多种植物活性物质。能够打破种子休眠；促进种子生根和发芽、活化细胞、增加作物产量和改善品质。</w:t>
            </w:r>
          </w:p>
        </w:tc>
      </w:tr>
      <w:tr w14:paraId="0682D7C4">
        <w:tblPrEx>
          <w:tblCellMar>
            <w:top w:w="0" w:type="dxa"/>
            <w:left w:w="0" w:type="dxa"/>
            <w:bottom w:w="0" w:type="dxa"/>
            <w:right w:w="0" w:type="dxa"/>
          </w:tblCellMar>
        </w:tblPrEx>
        <w:trPr>
          <w:wBefore w:w="0" w:type="auto"/>
          <w:tblCellSpacing w:w="0" w:type="dxa"/>
        </w:trPr>
        <w:tc>
          <w:tcPr>
            <w:tcW w:w="0" w:type="auto"/>
            <w:noWrap w:val="0"/>
            <w:vAlign w:val="center"/>
          </w:tcPr>
          <w:p w14:paraId="3BA39842">
            <w:r>
              <w:rPr>
                <w:rStyle w:val="10"/>
                <w:rFonts w:hint="eastAsia"/>
              </w:rPr>
              <w:t>注意事项：</w:t>
            </w:r>
            <w:r>
              <w:rPr>
                <w:rFonts w:hint="eastAsia"/>
              </w:rPr>
              <w:br w:type="textWrapping"/>
            </w:r>
            <w:r>
              <w:rPr>
                <w:rStyle w:val="11"/>
                <w:rFonts w:hint="eastAsia"/>
              </w:rPr>
              <w:t>1.本品对眼睛有刺激性，穿戴长衣、长裤、帽子、口罩、手套等防护措施。避免溅及眼睛、皮肤接触及口鼻吸入，施药期间不可吃东西、喝水和吸烟，使用后及时洗手和洗脸。2. 禁止在河塘等水体清洗浸种器具。3. 清洗器具的废水不得排入河流、池塘等水源，废弃物、用过的容器应妥善处置，不能做他用，也不可随意丢弃。4.孕妇及哺乳期妇女禁止接触。</w:t>
            </w:r>
          </w:p>
        </w:tc>
      </w:tr>
      <w:tr w14:paraId="448D6C65">
        <w:tblPrEx>
          <w:tblCellMar>
            <w:top w:w="0" w:type="dxa"/>
            <w:left w:w="0" w:type="dxa"/>
            <w:bottom w:w="0" w:type="dxa"/>
            <w:right w:w="0" w:type="dxa"/>
          </w:tblCellMar>
        </w:tblPrEx>
        <w:trPr>
          <w:wBefore w:w="0" w:type="auto"/>
          <w:tblCellSpacing w:w="0" w:type="dxa"/>
        </w:trPr>
        <w:tc>
          <w:tcPr>
            <w:tcW w:w="0" w:type="auto"/>
            <w:noWrap w:val="0"/>
            <w:vAlign w:val="center"/>
          </w:tcPr>
          <w:p w14:paraId="60AD0F42">
            <w:r>
              <w:rPr>
                <w:rStyle w:val="10"/>
                <w:rFonts w:hint="eastAsia"/>
              </w:rPr>
              <w:t>中毒急救措施：</w:t>
            </w:r>
            <w:r>
              <w:rPr>
                <w:rFonts w:hint="eastAsia"/>
              </w:rPr>
              <w:br w:type="textWrapping"/>
            </w:r>
            <w:r>
              <w:rPr>
                <w:rStyle w:val="11"/>
                <w:rFonts w:hint="eastAsia"/>
              </w:rPr>
              <w:t xml:space="preserve">中毒症状：无典型症状。 中毒急救：皮肤接触：立即脱掉被污染的衣物，用大量清水彻底冲洗受污染皮肤，如皮肤刺激感持续，请医生诊治。眼睛溅药：立即将眼睑翻开，用清水冲洗至少15分钟，再请医生诊治。发生吸入：立即将吸入者转移到空气清新处，如果吸入者停止呼吸，需要进行人工呼吸。注意保暖和休息。请医生诊治。误服：请勿引吐，及时去医院检查治疗。 </w:t>
            </w:r>
          </w:p>
        </w:tc>
      </w:tr>
      <w:tr w14:paraId="71C59C09">
        <w:tblPrEx>
          <w:tblCellMar>
            <w:top w:w="0" w:type="dxa"/>
            <w:left w:w="0" w:type="dxa"/>
            <w:bottom w:w="0" w:type="dxa"/>
            <w:right w:w="0" w:type="dxa"/>
          </w:tblCellMar>
        </w:tblPrEx>
        <w:trPr>
          <w:wBefore w:w="0" w:type="auto"/>
          <w:tblCellSpacing w:w="0" w:type="dxa"/>
        </w:trPr>
        <w:tc>
          <w:tcPr>
            <w:tcW w:w="0" w:type="auto"/>
            <w:noWrap w:val="0"/>
            <w:vAlign w:val="center"/>
          </w:tcPr>
          <w:p w14:paraId="2B401DDA">
            <w:r>
              <w:rPr>
                <w:rStyle w:val="10"/>
                <w:rFonts w:hint="eastAsia"/>
              </w:rPr>
              <w:t>储存和运输方法：</w:t>
            </w:r>
            <w:r>
              <w:rPr>
                <w:rFonts w:hint="eastAsia"/>
              </w:rPr>
              <w:br w:type="textWrapping"/>
            </w:r>
            <w:r>
              <w:rPr>
                <w:rStyle w:val="11"/>
                <w:rFonts w:hint="eastAsia"/>
              </w:rPr>
              <w:t>本品应贮存在干燥、阴凉、通风、防雨处，远离火源或热源。且应妥善保管，慎防误用。置于儿童触及不到之处，并加锁。勿与食品、饮料、粮食、饲料等同贮同运。运输搬运时应轻拿轻放，不可倒置。</w:t>
            </w:r>
          </w:p>
        </w:tc>
      </w:tr>
      <w:tr w14:paraId="57173EB9">
        <w:tblPrEx>
          <w:tblCellMar>
            <w:top w:w="0" w:type="dxa"/>
            <w:left w:w="0" w:type="dxa"/>
            <w:bottom w:w="0" w:type="dxa"/>
            <w:right w:w="0" w:type="dxa"/>
          </w:tblCellMar>
        </w:tblPrEx>
        <w:trPr>
          <w:wBefore w:w="0" w:type="auto"/>
          <w:tblCellSpacing w:w="0" w:type="dxa"/>
        </w:trPr>
        <w:tc>
          <w:tcPr>
            <w:tcW w:w="0" w:type="auto"/>
            <w:noWrap w:val="0"/>
            <w:vAlign w:val="center"/>
          </w:tcPr>
          <w:p w14:paraId="57520341">
            <w:r>
              <w:rPr>
                <w:rStyle w:val="10"/>
                <w:rFonts w:hint="eastAsia"/>
              </w:rPr>
              <w:t>质量保证期：</w:t>
            </w:r>
            <w:r>
              <w:rPr>
                <w:rStyle w:val="11"/>
                <w:rFonts w:hint="eastAsia"/>
              </w:rPr>
              <w:t>2年</w:t>
            </w:r>
          </w:p>
        </w:tc>
      </w:tr>
      <w:tr w14:paraId="5E8D7D63">
        <w:tblPrEx>
          <w:tblCellMar>
            <w:top w:w="0" w:type="dxa"/>
            <w:left w:w="0" w:type="dxa"/>
            <w:bottom w:w="0" w:type="dxa"/>
            <w:right w:w="0" w:type="dxa"/>
          </w:tblCellMar>
        </w:tblPrEx>
        <w:trPr>
          <w:wBefore w:w="0" w:type="auto"/>
          <w:tblCellSpacing w:w="0" w:type="dxa"/>
        </w:trPr>
        <w:tc>
          <w:tcPr>
            <w:tcW w:w="0" w:type="auto"/>
            <w:noWrap w:val="0"/>
            <w:vAlign w:val="center"/>
          </w:tcPr>
          <w:p w14:paraId="32948939">
            <w:r>
              <w:rPr>
                <w:rStyle w:val="10"/>
                <w:rFonts w:hint="eastAsia"/>
              </w:rPr>
              <w:t>备注：</w:t>
            </w:r>
          </w:p>
        </w:tc>
      </w:tr>
    </w:tbl>
    <w:p w14:paraId="70E6D44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03664B">
        <w:tblPrEx>
          <w:tblCellMar>
            <w:top w:w="0" w:type="dxa"/>
            <w:left w:w="0" w:type="dxa"/>
            <w:bottom w:w="0" w:type="dxa"/>
            <w:right w:w="0" w:type="dxa"/>
          </w:tblCellMar>
        </w:tblPrEx>
        <w:trPr>
          <w:wBefore w:w="0" w:type="auto"/>
          <w:tblCellSpacing w:w="0" w:type="dxa"/>
        </w:trPr>
        <w:tc>
          <w:tcPr>
            <w:tcW w:w="0" w:type="auto"/>
            <w:noWrap w:val="0"/>
            <w:vAlign w:val="center"/>
          </w:tcPr>
          <w:p w14:paraId="2E49A7C8">
            <w:r>
              <w:rPr>
                <w:rStyle w:val="10"/>
                <w:rFonts w:hint="eastAsia"/>
              </w:rPr>
              <w:t>登记证号：</w:t>
            </w:r>
            <w:r>
              <w:rPr>
                <w:rFonts w:hint="eastAsia"/>
              </w:rPr>
              <w:t>EX20210055</w:t>
            </w:r>
          </w:p>
        </w:tc>
      </w:tr>
      <w:tr w14:paraId="34264DF0">
        <w:tblPrEx>
          <w:tblCellMar>
            <w:top w:w="0" w:type="dxa"/>
            <w:left w:w="0" w:type="dxa"/>
            <w:bottom w:w="0" w:type="dxa"/>
            <w:right w:w="0" w:type="dxa"/>
          </w:tblCellMar>
        </w:tblPrEx>
        <w:trPr>
          <w:wBefore w:w="0" w:type="auto"/>
          <w:tblCellSpacing w:w="0" w:type="dxa"/>
        </w:trPr>
        <w:tc>
          <w:tcPr>
            <w:tcW w:w="0" w:type="auto"/>
            <w:noWrap w:val="0"/>
            <w:vAlign w:val="center"/>
          </w:tcPr>
          <w:p w14:paraId="05DE1DC3">
            <w:r>
              <w:rPr>
                <w:rStyle w:val="10"/>
                <w:rFonts w:hint="eastAsia"/>
              </w:rPr>
              <w:t>登记证持有人：</w:t>
            </w:r>
            <w:r>
              <w:rPr>
                <w:rFonts w:hint="eastAsia"/>
              </w:rPr>
              <w:t>浙江新安化工集团股份有限公司</w:t>
            </w:r>
          </w:p>
        </w:tc>
      </w:tr>
      <w:tr w14:paraId="6DA2F794">
        <w:tblPrEx>
          <w:tblCellMar>
            <w:top w:w="0" w:type="dxa"/>
            <w:left w:w="0" w:type="dxa"/>
            <w:bottom w:w="0" w:type="dxa"/>
            <w:right w:w="0" w:type="dxa"/>
          </w:tblCellMar>
        </w:tblPrEx>
        <w:trPr>
          <w:wBefore w:w="0" w:type="auto"/>
          <w:tblCellSpacing w:w="0" w:type="dxa"/>
        </w:trPr>
        <w:tc>
          <w:tcPr>
            <w:tcW w:w="0" w:type="auto"/>
            <w:noWrap w:val="0"/>
            <w:vAlign w:val="center"/>
          </w:tcPr>
          <w:p w14:paraId="2A30BDAB">
            <w:r>
              <w:rPr>
                <w:rStyle w:val="10"/>
                <w:rFonts w:hint="eastAsia"/>
              </w:rPr>
              <w:t>农药名称：</w:t>
            </w:r>
            <w:r>
              <w:rPr>
                <w:rFonts w:hint="eastAsia"/>
              </w:rPr>
              <w:t>草甘膦异丙胺盐</w:t>
            </w:r>
          </w:p>
        </w:tc>
      </w:tr>
      <w:tr w14:paraId="7A8FF98C">
        <w:tblPrEx>
          <w:tblCellMar>
            <w:top w:w="0" w:type="dxa"/>
            <w:left w:w="0" w:type="dxa"/>
            <w:bottom w:w="0" w:type="dxa"/>
            <w:right w:w="0" w:type="dxa"/>
          </w:tblCellMar>
        </w:tblPrEx>
        <w:trPr>
          <w:wBefore w:w="0" w:type="auto"/>
          <w:tblCellSpacing w:w="0" w:type="dxa"/>
        </w:trPr>
        <w:tc>
          <w:tcPr>
            <w:tcW w:w="0" w:type="auto"/>
            <w:noWrap w:val="0"/>
            <w:vAlign w:val="center"/>
          </w:tcPr>
          <w:p w14:paraId="55D30A8E">
            <w:r>
              <w:rPr>
                <w:rStyle w:val="10"/>
                <w:rFonts w:hint="eastAsia"/>
              </w:rPr>
              <w:t>剂型：</w:t>
            </w:r>
            <w:r>
              <w:rPr>
                <w:rFonts w:hint="eastAsia"/>
              </w:rPr>
              <w:t>可溶液剂</w:t>
            </w:r>
          </w:p>
        </w:tc>
      </w:tr>
      <w:tr w14:paraId="17234A4C">
        <w:tblPrEx>
          <w:tblCellMar>
            <w:top w:w="0" w:type="dxa"/>
            <w:left w:w="0" w:type="dxa"/>
            <w:bottom w:w="0" w:type="dxa"/>
            <w:right w:w="0" w:type="dxa"/>
          </w:tblCellMar>
        </w:tblPrEx>
        <w:trPr>
          <w:wBefore w:w="0" w:type="auto"/>
          <w:tblCellSpacing w:w="0" w:type="dxa"/>
        </w:trPr>
        <w:tc>
          <w:tcPr>
            <w:tcW w:w="0" w:type="auto"/>
            <w:noWrap w:val="0"/>
            <w:vAlign w:val="center"/>
          </w:tcPr>
          <w:p w14:paraId="28FF1BD7">
            <w:r>
              <w:rPr>
                <w:rStyle w:val="10"/>
                <w:rFonts w:hint="eastAsia"/>
              </w:rPr>
              <w:t>毒性及其标识：</w:t>
            </w:r>
            <w:r>
              <w:rPr>
                <w:rFonts w:hint="eastAsia"/>
              </w:rPr>
              <w:t xml:space="preserve"> 微毒 </w:t>
            </w:r>
          </w:p>
        </w:tc>
      </w:tr>
      <w:tr w14:paraId="4370638E">
        <w:tblPrEx>
          <w:tblCellMar>
            <w:top w:w="0" w:type="dxa"/>
            <w:left w:w="0" w:type="dxa"/>
            <w:bottom w:w="0" w:type="dxa"/>
            <w:right w:w="0" w:type="dxa"/>
          </w:tblCellMar>
        </w:tblPrEx>
        <w:trPr>
          <w:wBefore w:w="0" w:type="auto"/>
          <w:tblCellSpacing w:w="0" w:type="dxa"/>
        </w:trPr>
        <w:tc>
          <w:tcPr>
            <w:tcW w:w="0" w:type="auto"/>
            <w:noWrap w:val="0"/>
            <w:vAlign w:val="center"/>
          </w:tcPr>
          <w:p w14:paraId="4D50B9AD">
            <w:r>
              <w:rPr>
                <w:rStyle w:val="10"/>
                <w:rFonts w:hint="eastAsia"/>
              </w:rPr>
              <w:t>总有效成分含量：</w:t>
            </w:r>
            <w:r>
              <w:rPr>
                <w:rFonts w:hint="eastAsia"/>
              </w:rPr>
              <w:t>37.7%</w:t>
            </w:r>
          </w:p>
        </w:tc>
      </w:tr>
      <w:tr w14:paraId="7C004949">
        <w:tblPrEx>
          <w:tblCellMar>
            <w:top w:w="0" w:type="dxa"/>
            <w:left w:w="0" w:type="dxa"/>
            <w:bottom w:w="0" w:type="dxa"/>
            <w:right w:w="0" w:type="dxa"/>
          </w:tblCellMar>
        </w:tblPrEx>
        <w:trPr>
          <w:wBefore w:w="0" w:type="auto"/>
          <w:tblCellSpacing w:w="0" w:type="dxa"/>
        </w:trPr>
        <w:tc>
          <w:tcPr>
            <w:tcW w:w="0" w:type="auto"/>
            <w:noWrap w:val="0"/>
            <w:vAlign w:val="center"/>
          </w:tcPr>
          <w:p w14:paraId="0C8B52A2">
            <w:r>
              <w:rPr>
                <w:rFonts w:hint="eastAsia"/>
              </w:rPr>
              <w:t xml:space="preserve">有效成分及其含量： </w:t>
            </w:r>
          </w:p>
          <w:p w14:paraId="2CB2973F">
            <w:r>
              <w:rPr>
                <w:rFonts w:hint="eastAsia"/>
              </w:rPr>
              <w:t xml:space="preserve">    草甘膦37.7%    </w:t>
            </w:r>
          </w:p>
        </w:tc>
      </w:tr>
      <w:tr w14:paraId="7C11CE91">
        <w:tblPrEx>
          <w:tblCellMar>
            <w:top w:w="0" w:type="dxa"/>
            <w:left w:w="0" w:type="dxa"/>
            <w:bottom w:w="0" w:type="dxa"/>
            <w:right w:w="0" w:type="dxa"/>
          </w:tblCellMar>
        </w:tblPrEx>
        <w:trPr>
          <w:wBefore w:w="0" w:type="auto"/>
          <w:tblCellSpacing w:w="0" w:type="dxa"/>
        </w:trPr>
        <w:tc>
          <w:tcPr>
            <w:tcW w:w="0" w:type="auto"/>
            <w:noWrap w:val="0"/>
            <w:vAlign w:val="center"/>
          </w:tcPr>
          <w:p w14:paraId="1EA4C9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0D57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436FB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23A2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47C55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D1DB7F">
                  <w:r>
                    <w:rPr>
                      <w:rStyle w:val="11"/>
                      <w:rFonts w:hint="eastAsia"/>
                    </w:rPr>
                    <w:t>施用方式</w:t>
                  </w:r>
                </w:p>
              </w:tc>
            </w:tr>
          </w:tbl>
          <w:p w14:paraId="4BD8B187">
            <w:pPr>
              <w:rPr>
                <w:rFonts w:ascii="Times New Roman" w:hAnsi="Times New Roman" w:cs="Times New Roman"/>
                <w:sz w:val="20"/>
                <w:szCs w:val="20"/>
              </w:rPr>
            </w:pPr>
          </w:p>
        </w:tc>
      </w:tr>
      <w:tr w14:paraId="48C7E732">
        <w:tblPrEx>
          <w:tblCellMar>
            <w:top w:w="0" w:type="dxa"/>
            <w:left w:w="0" w:type="dxa"/>
            <w:bottom w:w="0" w:type="dxa"/>
            <w:right w:w="0" w:type="dxa"/>
          </w:tblCellMar>
        </w:tblPrEx>
        <w:trPr>
          <w:wBefore w:w="0" w:type="auto"/>
          <w:tblCellSpacing w:w="0" w:type="dxa"/>
        </w:trPr>
        <w:tc>
          <w:tcPr>
            <w:tcW w:w="0" w:type="auto"/>
            <w:noWrap w:val="0"/>
            <w:vAlign w:val="center"/>
          </w:tcPr>
          <w:p w14:paraId="10BCC478">
            <w:r>
              <w:rPr>
                <w:rStyle w:val="10"/>
                <w:rFonts w:hint="eastAsia"/>
              </w:rPr>
              <w:t>使用技术要求:</w:t>
            </w:r>
            <w:r>
              <w:rPr>
                <w:rFonts w:hint="eastAsia"/>
              </w:rPr>
              <w:br w:type="textWrapping"/>
            </w:r>
            <w:r>
              <w:rPr>
                <w:rStyle w:val="11"/>
                <w:rFonts w:hint="eastAsia"/>
              </w:rPr>
              <w:t>不必提交</w:t>
            </w:r>
          </w:p>
        </w:tc>
      </w:tr>
      <w:tr w14:paraId="003DA426">
        <w:tblPrEx>
          <w:tblCellMar>
            <w:top w:w="0" w:type="dxa"/>
            <w:left w:w="0" w:type="dxa"/>
            <w:bottom w:w="0" w:type="dxa"/>
            <w:right w:w="0" w:type="dxa"/>
          </w:tblCellMar>
        </w:tblPrEx>
        <w:trPr>
          <w:wBefore w:w="0" w:type="auto"/>
          <w:tblCellSpacing w:w="0" w:type="dxa"/>
        </w:trPr>
        <w:tc>
          <w:tcPr>
            <w:tcW w:w="0" w:type="auto"/>
            <w:noWrap w:val="0"/>
            <w:vAlign w:val="center"/>
          </w:tcPr>
          <w:p w14:paraId="60E1F42F">
            <w:r>
              <w:rPr>
                <w:rStyle w:val="10"/>
                <w:rFonts w:hint="eastAsia"/>
              </w:rPr>
              <w:t>产品性能:</w:t>
            </w:r>
            <w:r>
              <w:rPr>
                <w:rFonts w:hint="eastAsia"/>
              </w:rPr>
              <w:br w:type="textWrapping"/>
            </w:r>
            <w:r>
              <w:rPr>
                <w:rStyle w:val="11"/>
                <w:rFonts w:hint="eastAsia"/>
              </w:rPr>
              <w:t>不必提交</w:t>
            </w:r>
          </w:p>
        </w:tc>
      </w:tr>
      <w:tr w14:paraId="30E18EFD">
        <w:tblPrEx>
          <w:tblCellMar>
            <w:top w:w="0" w:type="dxa"/>
            <w:left w:w="0" w:type="dxa"/>
            <w:bottom w:w="0" w:type="dxa"/>
            <w:right w:w="0" w:type="dxa"/>
          </w:tblCellMar>
        </w:tblPrEx>
        <w:trPr>
          <w:wBefore w:w="0" w:type="auto"/>
          <w:tblCellSpacing w:w="0" w:type="dxa"/>
        </w:trPr>
        <w:tc>
          <w:tcPr>
            <w:tcW w:w="0" w:type="auto"/>
            <w:noWrap w:val="0"/>
            <w:vAlign w:val="center"/>
          </w:tcPr>
          <w:p w14:paraId="4D600950">
            <w:r>
              <w:rPr>
                <w:rStyle w:val="10"/>
                <w:rFonts w:hint="eastAsia"/>
              </w:rPr>
              <w:t>注意事项：</w:t>
            </w:r>
            <w:r>
              <w:rPr>
                <w:rFonts w:hint="eastAsia"/>
              </w:rPr>
              <w:br w:type="textWrapping"/>
            </w:r>
            <w:r>
              <w:rPr>
                <w:rStyle w:val="11"/>
                <w:rFonts w:hint="eastAsia"/>
              </w:rPr>
              <w:t>不必提交</w:t>
            </w:r>
          </w:p>
        </w:tc>
      </w:tr>
      <w:tr w14:paraId="776C6DAD">
        <w:tblPrEx>
          <w:tblCellMar>
            <w:top w:w="0" w:type="dxa"/>
            <w:left w:w="0" w:type="dxa"/>
            <w:bottom w:w="0" w:type="dxa"/>
            <w:right w:w="0" w:type="dxa"/>
          </w:tblCellMar>
        </w:tblPrEx>
        <w:trPr>
          <w:wBefore w:w="0" w:type="auto"/>
          <w:tblCellSpacing w:w="0" w:type="dxa"/>
        </w:trPr>
        <w:tc>
          <w:tcPr>
            <w:tcW w:w="0" w:type="auto"/>
            <w:noWrap w:val="0"/>
            <w:vAlign w:val="center"/>
          </w:tcPr>
          <w:p w14:paraId="474D16FE">
            <w:r>
              <w:rPr>
                <w:rStyle w:val="10"/>
                <w:rFonts w:hint="eastAsia"/>
              </w:rPr>
              <w:t>中毒急救措施：</w:t>
            </w:r>
            <w:r>
              <w:rPr>
                <w:rFonts w:hint="eastAsia"/>
              </w:rPr>
              <w:br w:type="textWrapping"/>
            </w:r>
            <w:r>
              <w:rPr>
                <w:rStyle w:val="11"/>
                <w:rFonts w:hint="eastAsia"/>
              </w:rPr>
              <w:t>不必提交</w:t>
            </w:r>
          </w:p>
        </w:tc>
      </w:tr>
      <w:tr w14:paraId="13979A6D">
        <w:tblPrEx>
          <w:tblCellMar>
            <w:top w:w="0" w:type="dxa"/>
            <w:left w:w="0" w:type="dxa"/>
            <w:bottom w:w="0" w:type="dxa"/>
            <w:right w:w="0" w:type="dxa"/>
          </w:tblCellMar>
        </w:tblPrEx>
        <w:trPr>
          <w:wBefore w:w="0" w:type="auto"/>
          <w:tblCellSpacing w:w="0" w:type="dxa"/>
        </w:trPr>
        <w:tc>
          <w:tcPr>
            <w:tcW w:w="0" w:type="auto"/>
            <w:noWrap w:val="0"/>
            <w:vAlign w:val="center"/>
          </w:tcPr>
          <w:p w14:paraId="1AAB1854">
            <w:r>
              <w:rPr>
                <w:rStyle w:val="10"/>
                <w:rFonts w:hint="eastAsia"/>
              </w:rPr>
              <w:t>储存和运输方法：</w:t>
            </w:r>
            <w:r>
              <w:rPr>
                <w:rFonts w:hint="eastAsia"/>
              </w:rPr>
              <w:br w:type="textWrapping"/>
            </w:r>
            <w:r>
              <w:rPr>
                <w:rStyle w:val="11"/>
                <w:rFonts w:hint="eastAsia"/>
              </w:rPr>
              <w:t>不必提交</w:t>
            </w:r>
          </w:p>
        </w:tc>
      </w:tr>
      <w:tr w14:paraId="6053841A">
        <w:tblPrEx>
          <w:tblCellMar>
            <w:top w:w="0" w:type="dxa"/>
            <w:left w:w="0" w:type="dxa"/>
            <w:bottom w:w="0" w:type="dxa"/>
            <w:right w:w="0" w:type="dxa"/>
          </w:tblCellMar>
        </w:tblPrEx>
        <w:trPr>
          <w:wBefore w:w="0" w:type="auto"/>
          <w:tblCellSpacing w:w="0" w:type="dxa"/>
        </w:trPr>
        <w:tc>
          <w:tcPr>
            <w:tcW w:w="0" w:type="auto"/>
            <w:noWrap w:val="0"/>
            <w:vAlign w:val="center"/>
          </w:tcPr>
          <w:p w14:paraId="5042D58D">
            <w:r>
              <w:rPr>
                <w:rStyle w:val="10"/>
                <w:rFonts w:hint="eastAsia"/>
              </w:rPr>
              <w:t>质量保证期：</w:t>
            </w:r>
            <w:r>
              <w:rPr>
                <w:rStyle w:val="11"/>
                <w:rFonts w:hint="eastAsia"/>
              </w:rPr>
              <w:t>不必提交</w:t>
            </w:r>
          </w:p>
        </w:tc>
      </w:tr>
      <w:tr w14:paraId="16447DAB">
        <w:tblPrEx>
          <w:tblCellMar>
            <w:top w:w="0" w:type="dxa"/>
            <w:left w:w="0" w:type="dxa"/>
            <w:bottom w:w="0" w:type="dxa"/>
            <w:right w:w="0" w:type="dxa"/>
          </w:tblCellMar>
        </w:tblPrEx>
        <w:trPr>
          <w:wBefore w:w="0" w:type="auto"/>
          <w:tblCellSpacing w:w="0" w:type="dxa"/>
        </w:trPr>
        <w:tc>
          <w:tcPr>
            <w:tcW w:w="0" w:type="auto"/>
            <w:noWrap w:val="0"/>
            <w:vAlign w:val="center"/>
          </w:tcPr>
          <w:p w14:paraId="46390697">
            <w:r>
              <w:rPr>
                <w:rStyle w:val="10"/>
                <w:rFonts w:hint="eastAsia"/>
              </w:rPr>
              <w:t>备注：</w:t>
            </w:r>
          </w:p>
        </w:tc>
      </w:tr>
    </w:tbl>
    <w:p w14:paraId="484EC53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B2E1B8">
        <w:tblPrEx>
          <w:tblCellMar>
            <w:top w:w="0" w:type="dxa"/>
            <w:left w:w="0" w:type="dxa"/>
            <w:bottom w:w="0" w:type="dxa"/>
            <w:right w:w="0" w:type="dxa"/>
          </w:tblCellMar>
        </w:tblPrEx>
        <w:trPr>
          <w:wBefore w:w="0" w:type="auto"/>
          <w:tblCellSpacing w:w="0" w:type="dxa"/>
        </w:trPr>
        <w:tc>
          <w:tcPr>
            <w:tcW w:w="0" w:type="auto"/>
            <w:noWrap w:val="0"/>
            <w:vAlign w:val="center"/>
          </w:tcPr>
          <w:p w14:paraId="7B91DB80">
            <w:r>
              <w:rPr>
                <w:rStyle w:val="10"/>
                <w:rFonts w:hint="eastAsia"/>
              </w:rPr>
              <w:t>登记证号：</w:t>
            </w:r>
            <w:r>
              <w:rPr>
                <w:rFonts w:hint="eastAsia"/>
              </w:rPr>
              <w:t>PD20212760</w:t>
            </w:r>
          </w:p>
        </w:tc>
      </w:tr>
      <w:tr w14:paraId="6346E262">
        <w:tblPrEx>
          <w:tblCellMar>
            <w:top w:w="0" w:type="dxa"/>
            <w:left w:w="0" w:type="dxa"/>
            <w:bottom w:w="0" w:type="dxa"/>
            <w:right w:w="0" w:type="dxa"/>
          </w:tblCellMar>
        </w:tblPrEx>
        <w:trPr>
          <w:wBefore w:w="0" w:type="auto"/>
          <w:tblCellSpacing w:w="0" w:type="dxa"/>
        </w:trPr>
        <w:tc>
          <w:tcPr>
            <w:tcW w:w="0" w:type="auto"/>
            <w:noWrap w:val="0"/>
            <w:vAlign w:val="center"/>
          </w:tcPr>
          <w:p w14:paraId="21844C2A">
            <w:r>
              <w:rPr>
                <w:rStyle w:val="10"/>
                <w:rFonts w:hint="eastAsia"/>
              </w:rPr>
              <w:t>登记证持有人：</w:t>
            </w:r>
            <w:r>
              <w:rPr>
                <w:rFonts w:hint="eastAsia"/>
              </w:rPr>
              <w:t>山东润扬化学有限公司</w:t>
            </w:r>
          </w:p>
        </w:tc>
      </w:tr>
      <w:tr w14:paraId="66BDAAB9">
        <w:tblPrEx>
          <w:tblCellMar>
            <w:top w:w="0" w:type="dxa"/>
            <w:left w:w="0" w:type="dxa"/>
            <w:bottom w:w="0" w:type="dxa"/>
            <w:right w:w="0" w:type="dxa"/>
          </w:tblCellMar>
        </w:tblPrEx>
        <w:trPr>
          <w:wBefore w:w="0" w:type="auto"/>
          <w:tblCellSpacing w:w="0" w:type="dxa"/>
        </w:trPr>
        <w:tc>
          <w:tcPr>
            <w:tcW w:w="0" w:type="auto"/>
            <w:noWrap w:val="0"/>
            <w:vAlign w:val="center"/>
          </w:tcPr>
          <w:p w14:paraId="5ED9C356">
            <w:r>
              <w:rPr>
                <w:rStyle w:val="10"/>
                <w:rFonts w:hint="eastAsia"/>
              </w:rPr>
              <w:t>农药名称：</w:t>
            </w:r>
            <w:r>
              <w:rPr>
                <w:rFonts w:hint="eastAsia"/>
              </w:rPr>
              <w:t>28-高芸苔素内酯</w:t>
            </w:r>
          </w:p>
        </w:tc>
      </w:tr>
      <w:tr w14:paraId="2371E5C6">
        <w:tblPrEx>
          <w:tblCellMar>
            <w:top w:w="0" w:type="dxa"/>
            <w:left w:w="0" w:type="dxa"/>
            <w:bottom w:w="0" w:type="dxa"/>
            <w:right w:w="0" w:type="dxa"/>
          </w:tblCellMar>
        </w:tblPrEx>
        <w:trPr>
          <w:wBefore w:w="0" w:type="auto"/>
          <w:tblCellSpacing w:w="0" w:type="dxa"/>
        </w:trPr>
        <w:tc>
          <w:tcPr>
            <w:tcW w:w="0" w:type="auto"/>
            <w:noWrap w:val="0"/>
            <w:vAlign w:val="center"/>
          </w:tcPr>
          <w:p w14:paraId="2A1ACA5C">
            <w:r>
              <w:rPr>
                <w:rStyle w:val="10"/>
                <w:rFonts w:hint="eastAsia"/>
              </w:rPr>
              <w:t>剂型：</w:t>
            </w:r>
            <w:r>
              <w:rPr>
                <w:rFonts w:hint="eastAsia"/>
              </w:rPr>
              <w:t>可溶液剂</w:t>
            </w:r>
          </w:p>
        </w:tc>
      </w:tr>
      <w:tr w14:paraId="44F82661">
        <w:tblPrEx>
          <w:tblCellMar>
            <w:top w:w="0" w:type="dxa"/>
            <w:left w:w="0" w:type="dxa"/>
            <w:bottom w:w="0" w:type="dxa"/>
            <w:right w:w="0" w:type="dxa"/>
          </w:tblCellMar>
        </w:tblPrEx>
        <w:trPr>
          <w:wBefore w:w="0" w:type="auto"/>
          <w:tblCellSpacing w:w="0" w:type="dxa"/>
        </w:trPr>
        <w:tc>
          <w:tcPr>
            <w:tcW w:w="0" w:type="auto"/>
            <w:noWrap w:val="0"/>
            <w:vAlign w:val="center"/>
          </w:tcPr>
          <w:p w14:paraId="6383FE99">
            <w:r>
              <w:rPr>
                <w:rStyle w:val="10"/>
                <w:rFonts w:hint="eastAsia"/>
              </w:rPr>
              <w:t>毒性及其标识：</w:t>
            </w:r>
            <w:r>
              <w:rPr>
                <w:rFonts w:hint="eastAsia"/>
              </w:rPr>
              <w:t xml:space="preserve"> </w:t>
            </w:r>
            <w:r>
              <w:rPr>
                <w:lang/>
              </w:rPr>
              <w:drawing>
                <wp:inline distT="0" distB="0" distL="114300" distR="114300">
                  <wp:extent cx="476250" cy="323850"/>
                  <wp:effectExtent l="0" t="0" r="0" b="0"/>
                  <wp:docPr id="270" name="图片 2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A05751">
        <w:tblPrEx>
          <w:tblCellMar>
            <w:top w:w="0" w:type="dxa"/>
            <w:left w:w="0" w:type="dxa"/>
            <w:bottom w:w="0" w:type="dxa"/>
            <w:right w:w="0" w:type="dxa"/>
          </w:tblCellMar>
        </w:tblPrEx>
        <w:trPr>
          <w:wBefore w:w="0" w:type="auto"/>
          <w:tblCellSpacing w:w="0" w:type="dxa"/>
        </w:trPr>
        <w:tc>
          <w:tcPr>
            <w:tcW w:w="0" w:type="auto"/>
            <w:noWrap w:val="0"/>
            <w:vAlign w:val="center"/>
          </w:tcPr>
          <w:p w14:paraId="00B4B09A">
            <w:r>
              <w:rPr>
                <w:rStyle w:val="10"/>
                <w:rFonts w:hint="eastAsia"/>
              </w:rPr>
              <w:t>总有效成分含量：</w:t>
            </w:r>
            <w:r>
              <w:rPr>
                <w:rFonts w:hint="eastAsia"/>
              </w:rPr>
              <w:t>0.01%</w:t>
            </w:r>
          </w:p>
        </w:tc>
      </w:tr>
      <w:tr w14:paraId="5CAD41FB">
        <w:tblPrEx>
          <w:tblCellMar>
            <w:top w:w="0" w:type="dxa"/>
            <w:left w:w="0" w:type="dxa"/>
            <w:bottom w:w="0" w:type="dxa"/>
            <w:right w:w="0" w:type="dxa"/>
          </w:tblCellMar>
        </w:tblPrEx>
        <w:trPr>
          <w:wBefore w:w="0" w:type="auto"/>
          <w:tblCellSpacing w:w="0" w:type="dxa"/>
        </w:trPr>
        <w:tc>
          <w:tcPr>
            <w:tcW w:w="0" w:type="auto"/>
            <w:noWrap w:val="0"/>
            <w:vAlign w:val="center"/>
          </w:tcPr>
          <w:p w14:paraId="2BC8C020">
            <w:r>
              <w:rPr>
                <w:rFonts w:hint="eastAsia"/>
              </w:rPr>
              <w:t xml:space="preserve">有效成分及其含量： </w:t>
            </w:r>
          </w:p>
          <w:p w14:paraId="7EE6FDD6">
            <w:r>
              <w:rPr>
                <w:rFonts w:hint="eastAsia"/>
              </w:rPr>
              <w:t xml:space="preserve">    28-高芸苔素内酯0.01%    </w:t>
            </w:r>
          </w:p>
        </w:tc>
      </w:tr>
      <w:tr w14:paraId="3E59FFDC">
        <w:tblPrEx>
          <w:tblCellMar>
            <w:top w:w="0" w:type="dxa"/>
            <w:left w:w="0" w:type="dxa"/>
            <w:bottom w:w="0" w:type="dxa"/>
            <w:right w:w="0" w:type="dxa"/>
          </w:tblCellMar>
        </w:tblPrEx>
        <w:trPr>
          <w:wBefore w:w="0" w:type="auto"/>
          <w:tblCellSpacing w:w="0" w:type="dxa"/>
        </w:trPr>
        <w:tc>
          <w:tcPr>
            <w:tcW w:w="0" w:type="auto"/>
            <w:noWrap w:val="0"/>
            <w:vAlign w:val="center"/>
          </w:tcPr>
          <w:p w14:paraId="66465E5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91EAC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827A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867C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903A4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DD7AB9">
                  <w:r>
                    <w:rPr>
                      <w:rStyle w:val="11"/>
                      <w:rFonts w:hint="eastAsia"/>
                    </w:rPr>
                    <w:t>施用方式</w:t>
                  </w:r>
                </w:p>
              </w:tc>
            </w:tr>
            <w:tr w14:paraId="7F0E2B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398C71">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A526F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AC15E3">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598919">
                  <w:r>
                    <w:rPr>
                      <w:rStyle w:val="11"/>
                      <w:rFonts w:hint="eastAsia"/>
                    </w:rPr>
                    <w:t>喷雾</w:t>
                  </w:r>
                </w:p>
              </w:tc>
            </w:tr>
          </w:tbl>
          <w:p w14:paraId="615A3040">
            <w:pPr>
              <w:rPr>
                <w:rFonts w:ascii="Times New Roman" w:hAnsi="Times New Roman" w:cs="Times New Roman"/>
                <w:sz w:val="20"/>
                <w:szCs w:val="20"/>
              </w:rPr>
            </w:pPr>
          </w:p>
        </w:tc>
      </w:tr>
      <w:tr w14:paraId="26FE66A6">
        <w:tblPrEx>
          <w:tblCellMar>
            <w:top w:w="0" w:type="dxa"/>
            <w:left w:w="0" w:type="dxa"/>
            <w:bottom w:w="0" w:type="dxa"/>
            <w:right w:w="0" w:type="dxa"/>
          </w:tblCellMar>
        </w:tblPrEx>
        <w:trPr>
          <w:wBefore w:w="0" w:type="auto"/>
          <w:tblCellSpacing w:w="0" w:type="dxa"/>
        </w:trPr>
        <w:tc>
          <w:tcPr>
            <w:tcW w:w="0" w:type="auto"/>
            <w:noWrap w:val="0"/>
            <w:vAlign w:val="center"/>
          </w:tcPr>
          <w:p w14:paraId="37A91D83">
            <w:r>
              <w:rPr>
                <w:rStyle w:val="10"/>
                <w:rFonts w:hint="eastAsia"/>
              </w:rPr>
              <w:t>使用技术要求:</w:t>
            </w:r>
            <w:r>
              <w:rPr>
                <w:rFonts w:hint="eastAsia"/>
              </w:rPr>
              <w:br w:type="textWrapping"/>
            </w:r>
            <w:r>
              <w:rPr>
                <w:rStyle w:val="11"/>
                <w:rFonts w:hint="eastAsia"/>
              </w:rPr>
              <w:t>1.必须严格掌握使用浓度，均匀喷雾。2.于小麦拔节期、齐穗期各喷雾施药1次，每季最多喷施2次。3.大风或预计2小时内下雨，请勿施药。</w:t>
            </w:r>
          </w:p>
        </w:tc>
      </w:tr>
      <w:tr w14:paraId="4CD99DC1">
        <w:tblPrEx>
          <w:tblCellMar>
            <w:top w:w="0" w:type="dxa"/>
            <w:left w:w="0" w:type="dxa"/>
            <w:bottom w:w="0" w:type="dxa"/>
            <w:right w:w="0" w:type="dxa"/>
          </w:tblCellMar>
        </w:tblPrEx>
        <w:trPr>
          <w:wBefore w:w="0" w:type="auto"/>
          <w:tblCellSpacing w:w="0" w:type="dxa"/>
        </w:trPr>
        <w:tc>
          <w:tcPr>
            <w:tcW w:w="0" w:type="auto"/>
            <w:noWrap w:val="0"/>
            <w:vAlign w:val="center"/>
          </w:tcPr>
          <w:p w14:paraId="7AE3C87D">
            <w:r>
              <w:rPr>
                <w:rStyle w:val="10"/>
                <w:rFonts w:hint="eastAsia"/>
              </w:rPr>
              <w:t>产品性能:</w:t>
            </w:r>
            <w:r>
              <w:rPr>
                <w:rFonts w:hint="eastAsia"/>
              </w:rPr>
              <w:br w:type="textWrapping"/>
            </w:r>
            <w:r>
              <w:rPr>
                <w:rStyle w:val="11"/>
                <w:rFonts w:hint="eastAsia"/>
              </w:rPr>
              <w:t>本品由28-高芸苔素内酯而成，具有使植物细胞分裂和延长，促进茎伸长、果实生长，减少花果的脱落等作用，可有效调节小麦生长、增产。</w:t>
            </w:r>
          </w:p>
        </w:tc>
      </w:tr>
      <w:tr w14:paraId="19152FC1">
        <w:tblPrEx>
          <w:tblCellMar>
            <w:top w:w="0" w:type="dxa"/>
            <w:left w:w="0" w:type="dxa"/>
            <w:bottom w:w="0" w:type="dxa"/>
            <w:right w:w="0" w:type="dxa"/>
          </w:tblCellMar>
        </w:tblPrEx>
        <w:trPr>
          <w:wBefore w:w="0" w:type="auto"/>
          <w:tblCellSpacing w:w="0" w:type="dxa"/>
        </w:trPr>
        <w:tc>
          <w:tcPr>
            <w:tcW w:w="0" w:type="auto"/>
            <w:noWrap w:val="0"/>
            <w:vAlign w:val="center"/>
          </w:tcPr>
          <w:p w14:paraId="4269233C">
            <w:r>
              <w:rPr>
                <w:rStyle w:val="10"/>
                <w:rFonts w:hint="eastAsia"/>
              </w:rPr>
              <w:t>注意事项：</w:t>
            </w:r>
            <w:r>
              <w:rPr>
                <w:rFonts w:hint="eastAsia"/>
              </w:rPr>
              <w:br w:type="textWrapping"/>
            </w:r>
            <w:r>
              <w:rPr>
                <w:rStyle w:val="11"/>
                <w:rFonts w:hint="eastAsia"/>
              </w:rPr>
              <w:t>1. 使用前请详细阅读产品标签，严格按照农药标签推荐的剂量和方法施用。2.使用本品时应穿戴防护服和手套，避免吸入药液。施药期间不可吃东西和饮水。施药后应及时洗手和洗脸。3.本品对蜜蜂有毒，施药期间避免对周围蜂群的影响，蜜源作物花期禁用。蚕室及桑园附近禁用。对鱼类等水生生物有毒，远离水产养殖区、河塘等水体施药。4.禁止在河塘等水体中清洗施药器具，生产、使用过程中的废弃物、废液和残留药物要妥善处理，不准排入河流、池塘、鱼塘等水源。5.用过的容器应妥善处理，不可做他用，也不可随意丢弃。6.儿童、孕妇及哺乳期妇女避免接触本品。</w:t>
            </w:r>
          </w:p>
        </w:tc>
      </w:tr>
      <w:tr w14:paraId="30A800EC">
        <w:tblPrEx>
          <w:tblCellMar>
            <w:top w:w="0" w:type="dxa"/>
            <w:left w:w="0" w:type="dxa"/>
            <w:bottom w:w="0" w:type="dxa"/>
            <w:right w:w="0" w:type="dxa"/>
          </w:tblCellMar>
        </w:tblPrEx>
        <w:trPr>
          <w:wBefore w:w="0" w:type="auto"/>
          <w:tblCellSpacing w:w="0" w:type="dxa"/>
        </w:trPr>
        <w:tc>
          <w:tcPr>
            <w:tcW w:w="0" w:type="auto"/>
            <w:noWrap w:val="0"/>
            <w:vAlign w:val="center"/>
          </w:tcPr>
          <w:p w14:paraId="6E215945">
            <w:r>
              <w:rPr>
                <w:rStyle w:val="10"/>
                <w:rFonts w:hint="eastAsia"/>
              </w:rPr>
              <w:t>中毒急救措施：</w:t>
            </w:r>
            <w:r>
              <w:rPr>
                <w:rFonts w:hint="eastAsia"/>
              </w:rPr>
              <w:br w:type="textWrapping"/>
            </w:r>
            <w:r>
              <w:rPr>
                <w:rStyle w:val="11"/>
                <w:rFonts w:hint="eastAsia"/>
              </w:rPr>
              <w:t>皮肤接触：立即脱去被污染的衣物，用大量清水冲洗皮肤暴露部位至少15分钟。若仍有不适，送医就诊。 眼睛溅入：立即翻开眼睑，用清水冲洗至少15分钟，仍有不适，立即送医治疗。吸入：立即将吸入者转移到空气清新处，注意保暖和休息，速请医生诊治。 误服：立即停止工作并携带产品标签送医就诊，对症治疗。切勿引吐或给昏迷者喂食。</w:t>
            </w:r>
          </w:p>
        </w:tc>
      </w:tr>
      <w:tr w14:paraId="11AFC8C3">
        <w:tblPrEx>
          <w:tblCellMar>
            <w:top w:w="0" w:type="dxa"/>
            <w:left w:w="0" w:type="dxa"/>
            <w:bottom w:w="0" w:type="dxa"/>
            <w:right w:w="0" w:type="dxa"/>
          </w:tblCellMar>
        </w:tblPrEx>
        <w:trPr>
          <w:wBefore w:w="0" w:type="auto"/>
          <w:tblCellSpacing w:w="0" w:type="dxa"/>
        </w:trPr>
        <w:tc>
          <w:tcPr>
            <w:tcW w:w="0" w:type="auto"/>
            <w:noWrap w:val="0"/>
            <w:vAlign w:val="center"/>
          </w:tcPr>
          <w:p w14:paraId="50AF92C8">
            <w:r>
              <w:rPr>
                <w:rStyle w:val="10"/>
                <w:rFonts w:hint="eastAsia"/>
              </w:rPr>
              <w:t>储存和运输方法：</w:t>
            </w:r>
            <w:r>
              <w:rPr>
                <w:rFonts w:hint="eastAsia"/>
              </w:rPr>
              <w:br w:type="textWrapping"/>
            </w:r>
            <w:r>
              <w:rPr>
                <w:rStyle w:val="11"/>
                <w:rFonts w:hint="eastAsia"/>
              </w:rPr>
              <w:t>1.应贮存在阴凉、干燥、通风、防雨处，严防潮湿和日晒；2.远离火源与热源；3.置于儿童、无关人员及动物接触不到的地方，并加锁保存；4.不得与食物、粮食、饮料、种子、饲料等同贮同运。</w:t>
            </w:r>
          </w:p>
        </w:tc>
      </w:tr>
      <w:tr w14:paraId="531B07A8">
        <w:tblPrEx>
          <w:tblCellMar>
            <w:top w:w="0" w:type="dxa"/>
            <w:left w:w="0" w:type="dxa"/>
            <w:bottom w:w="0" w:type="dxa"/>
            <w:right w:w="0" w:type="dxa"/>
          </w:tblCellMar>
        </w:tblPrEx>
        <w:trPr>
          <w:wBefore w:w="0" w:type="auto"/>
          <w:tblCellSpacing w:w="0" w:type="dxa"/>
        </w:trPr>
        <w:tc>
          <w:tcPr>
            <w:tcW w:w="0" w:type="auto"/>
            <w:noWrap w:val="0"/>
            <w:vAlign w:val="center"/>
          </w:tcPr>
          <w:p w14:paraId="6B6C407C">
            <w:r>
              <w:rPr>
                <w:rStyle w:val="10"/>
                <w:rFonts w:hint="eastAsia"/>
              </w:rPr>
              <w:t>质量保证期：</w:t>
            </w:r>
            <w:r>
              <w:rPr>
                <w:rStyle w:val="11"/>
                <w:rFonts w:hint="eastAsia"/>
              </w:rPr>
              <w:t>2年</w:t>
            </w:r>
          </w:p>
        </w:tc>
      </w:tr>
      <w:tr w14:paraId="0009F81E">
        <w:tblPrEx>
          <w:tblCellMar>
            <w:top w:w="0" w:type="dxa"/>
            <w:left w:w="0" w:type="dxa"/>
            <w:bottom w:w="0" w:type="dxa"/>
            <w:right w:w="0" w:type="dxa"/>
          </w:tblCellMar>
        </w:tblPrEx>
        <w:trPr>
          <w:wBefore w:w="0" w:type="auto"/>
          <w:tblCellSpacing w:w="0" w:type="dxa"/>
        </w:trPr>
        <w:tc>
          <w:tcPr>
            <w:tcW w:w="0" w:type="auto"/>
            <w:noWrap w:val="0"/>
            <w:vAlign w:val="center"/>
          </w:tcPr>
          <w:p w14:paraId="0ED60DFB">
            <w:r>
              <w:rPr>
                <w:rStyle w:val="10"/>
                <w:rFonts w:hint="eastAsia"/>
              </w:rPr>
              <w:t>备注：</w:t>
            </w:r>
          </w:p>
        </w:tc>
      </w:tr>
    </w:tbl>
    <w:p w14:paraId="12B951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A36351">
        <w:tblPrEx>
          <w:tblCellMar>
            <w:top w:w="0" w:type="dxa"/>
            <w:left w:w="0" w:type="dxa"/>
            <w:bottom w:w="0" w:type="dxa"/>
            <w:right w:w="0" w:type="dxa"/>
          </w:tblCellMar>
        </w:tblPrEx>
        <w:trPr>
          <w:wBefore w:w="0" w:type="auto"/>
          <w:tblCellSpacing w:w="0" w:type="dxa"/>
        </w:trPr>
        <w:tc>
          <w:tcPr>
            <w:tcW w:w="0" w:type="auto"/>
            <w:noWrap w:val="0"/>
            <w:vAlign w:val="center"/>
          </w:tcPr>
          <w:p w14:paraId="559481EA">
            <w:r>
              <w:rPr>
                <w:rStyle w:val="10"/>
                <w:rFonts w:hint="eastAsia"/>
              </w:rPr>
              <w:t>登记证号：</w:t>
            </w:r>
            <w:r>
              <w:rPr>
                <w:rFonts w:hint="eastAsia"/>
              </w:rPr>
              <w:t>PD20212699</w:t>
            </w:r>
          </w:p>
        </w:tc>
      </w:tr>
      <w:tr w14:paraId="7C800486">
        <w:tblPrEx>
          <w:tblCellMar>
            <w:top w:w="0" w:type="dxa"/>
            <w:left w:w="0" w:type="dxa"/>
            <w:bottom w:w="0" w:type="dxa"/>
            <w:right w:w="0" w:type="dxa"/>
          </w:tblCellMar>
        </w:tblPrEx>
        <w:trPr>
          <w:wBefore w:w="0" w:type="auto"/>
          <w:tblCellSpacing w:w="0" w:type="dxa"/>
        </w:trPr>
        <w:tc>
          <w:tcPr>
            <w:tcW w:w="0" w:type="auto"/>
            <w:noWrap w:val="0"/>
            <w:vAlign w:val="center"/>
          </w:tcPr>
          <w:p w14:paraId="6B4CE772">
            <w:r>
              <w:rPr>
                <w:rStyle w:val="10"/>
                <w:rFonts w:hint="eastAsia"/>
              </w:rPr>
              <w:t>登记证持有人：</w:t>
            </w:r>
            <w:r>
              <w:rPr>
                <w:rFonts w:hint="eastAsia"/>
              </w:rPr>
              <w:t>四川润尔科技有限公司</w:t>
            </w:r>
          </w:p>
        </w:tc>
      </w:tr>
      <w:tr w14:paraId="20AFB775">
        <w:tblPrEx>
          <w:tblCellMar>
            <w:top w:w="0" w:type="dxa"/>
            <w:left w:w="0" w:type="dxa"/>
            <w:bottom w:w="0" w:type="dxa"/>
            <w:right w:w="0" w:type="dxa"/>
          </w:tblCellMar>
        </w:tblPrEx>
        <w:trPr>
          <w:wBefore w:w="0" w:type="auto"/>
          <w:tblCellSpacing w:w="0" w:type="dxa"/>
        </w:trPr>
        <w:tc>
          <w:tcPr>
            <w:tcW w:w="0" w:type="auto"/>
            <w:noWrap w:val="0"/>
            <w:vAlign w:val="center"/>
          </w:tcPr>
          <w:p w14:paraId="12F98EFE">
            <w:r>
              <w:rPr>
                <w:rStyle w:val="10"/>
                <w:rFonts w:hint="eastAsia"/>
              </w:rPr>
              <w:t>农药名称：</w:t>
            </w:r>
            <w:r>
              <w:rPr>
                <w:rFonts w:hint="eastAsia"/>
              </w:rPr>
              <w:t>甲基硫菌灵</w:t>
            </w:r>
          </w:p>
        </w:tc>
      </w:tr>
      <w:tr w14:paraId="3CE9E04D">
        <w:tblPrEx>
          <w:tblCellMar>
            <w:top w:w="0" w:type="dxa"/>
            <w:left w:w="0" w:type="dxa"/>
            <w:bottom w:w="0" w:type="dxa"/>
            <w:right w:w="0" w:type="dxa"/>
          </w:tblCellMar>
        </w:tblPrEx>
        <w:trPr>
          <w:wBefore w:w="0" w:type="auto"/>
          <w:tblCellSpacing w:w="0" w:type="dxa"/>
        </w:trPr>
        <w:tc>
          <w:tcPr>
            <w:tcW w:w="0" w:type="auto"/>
            <w:noWrap w:val="0"/>
            <w:vAlign w:val="center"/>
          </w:tcPr>
          <w:p w14:paraId="7790B2BD">
            <w:r>
              <w:rPr>
                <w:rStyle w:val="10"/>
                <w:rFonts w:hint="eastAsia"/>
              </w:rPr>
              <w:t>剂型：</w:t>
            </w:r>
            <w:r>
              <w:rPr>
                <w:rFonts w:hint="eastAsia"/>
              </w:rPr>
              <w:t>膏剂</w:t>
            </w:r>
          </w:p>
        </w:tc>
      </w:tr>
      <w:tr w14:paraId="486208A2">
        <w:tblPrEx>
          <w:tblCellMar>
            <w:top w:w="0" w:type="dxa"/>
            <w:left w:w="0" w:type="dxa"/>
            <w:bottom w:w="0" w:type="dxa"/>
            <w:right w:w="0" w:type="dxa"/>
          </w:tblCellMar>
        </w:tblPrEx>
        <w:trPr>
          <w:wBefore w:w="0" w:type="auto"/>
          <w:tblCellSpacing w:w="0" w:type="dxa"/>
        </w:trPr>
        <w:tc>
          <w:tcPr>
            <w:tcW w:w="0" w:type="auto"/>
            <w:noWrap w:val="0"/>
            <w:vAlign w:val="center"/>
          </w:tcPr>
          <w:p w14:paraId="47D991F2">
            <w:r>
              <w:rPr>
                <w:rStyle w:val="10"/>
                <w:rFonts w:hint="eastAsia"/>
              </w:rPr>
              <w:t>毒性及其标识：</w:t>
            </w:r>
            <w:r>
              <w:rPr>
                <w:rFonts w:hint="eastAsia"/>
              </w:rPr>
              <w:t xml:space="preserve"> </w:t>
            </w:r>
            <w:r>
              <w:rPr>
                <w:lang/>
              </w:rPr>
              <w:drawing>
                <wp:inline distT="0" distB="0" distL="114300" distR="114300">
                  <wp:extent cx="476250" cy="323850"/>
                  <wp:effectExtent l="0" t="0" r="0" b="0"/>
                  <wp:docPr id="271" name="图片 2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84AF1DB">
        <w:tblPrEx>
          <w:tblCellMar>
            <w:top w:w="0" w:type="dxa"/>
            <w:left w:w="0" w:type="dxa"/>
            <w:bottom w:w="0" w:type="dxa"/>
            <w:right w:w="0" w:type="dxa"/>
          </w:tblCellMar>
        </w:tblPrEx>
        <w:trPr>
          <w:wBefore w:w="0" w:type="auto"/>
          <w:tblCellSpacing w:w="0" w:type="dxa"/>
        </w:trPr>
        <w:tc>
          <w:tcPr>
            <w:tcW w:w="0" w:type="auto"/>
            <w:noWrap w:val="0"/>
            <w:vAlign w:val="center"/>
          </w:tcPr>
          <w:p w14:paraId="246E64CB">
            <w:r>
              <w:rPr>
                <w:rStyle w:val="10"/>
                <w:rFonts w:hint="eastAsia"/>
              </w:rPr>
              <w:t>总有效成分含量：</w:t>
            </w:r>
            <w:r>
              <w:rPr>
                <w:rFonts w:hint="eastAsia"/>
              </w:rPr>
              <w:t>5%</w:t>
            </w:r>
          </w:p>
        </w:tc>
      </w:tr>
      <w:tr w14:paraId="0DEC0078">
        <w:tblPrEx>
          <w:tblCellMar>
            <w:top w:w="0" w:type="dxa"/>
            <w:left w:w="0" w:type="dxa"/>
            <w:bottom w:w="0" w:type="dxa"/>
            <w:right w:w="0" w:type="dxa"/>
          </w:tblCellMar>
        </w:tblPrEx>
        <w:trPr>
          <w:wBefore w:w="0" w:type="auto"/>
          <w:tblCellSpacing w:w="0" w:type="dxa"/>
        </w:trPr>
        <w:tc>
          <w:tcPr>
            <w:tcW w:w="0" w:type="auto"/>
            <w:noWrap w:val="0"/>
            <w:vAlign w:val="center"/>
          </w:tcPr>
          <w:p w14:paraId="25FA67BD">
            <w:r>
              <w:rPr>
                <w:rFonts w:hint="eastAsia"/>
              </w:rPr>
              <w:t xml:space="preserve">有效成分及其含量： </w:t>
            </w:r>
          </w:p>
          <w:p w14:paraId="150E9C77">
            <w:r>
              <w:rPr>
                <w:rFonts w:hint="eastAsia"/>
              </w:rPr>
              <w:t xml:space="preserve">    甲基硫菌灵5%    </w:t>
            </w:r>
          </w:p>
        </w:tc>
      </w:tr>
      <w:tr w14:paraId="1C1C210A">
        <w:tblPrEx>
          <w:tblCellMar>
            <w:top w:w="0" w:type="dxa"/>
            <w:left w:w="0" w:type="dxa"/>
            <w:bottom w:w="0" w:type="dxa"/>
            <w:right w:w="0" w:type="dxa"/>
          </w:tblCellMar>
        </w:tblPrEx>
        <w:trPr>
          <w:wBefore w:w="0" w:type="auto"/>
          <w:tblCellSpacing w:w="0" w:type="dxa"/>
        </w:trPr>
        <w:tc>
          <w:tcPr>
            <w:tcW w:w="0" w:type="auto"/>
            <w:noWrap w:val="0"/>
            <w:vAlign w:val="center"/>
          </w:tcPr>
          <w:p w14:paraId="778A966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F52D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7E77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269E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E17DF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5FE4A2">
                  <w:r>
                    <w:rPr>
                      <w:rStyle w:val="11"/>
                      <w:rFonts w:hint="eastAsia"/>
                    </w:rPr>
                    <w:t>施用方式</w:t>
                  </w:r>
                </w:p>
              </w:tc>
            </w:tr>
            <w:tr w14:paraId="525A59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87A968">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9565BF">
                  <w:r>
                    <w:rPr>
                      <w:rStyle w:val="11"/>
                      <w:rFonts w:hint="eastAsia"/>
                    </w:rPr>
                    <w:t>腐烂病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BEB030">
                  <w:r>
                    <w:rPr>
                      <w:rStyle w:val="11"/>
                      <w:rFonts w:hint="eastAsia"/>
                    </w:rPr>
                    <w:t>60-120克/平方米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8D2FB">
                  <w:r>
                    <w:rPr>
                      <w:rStyle w:val="11"/>
                      <w:rFonts w:hint="eastAsia"/>
                    </w:rPr>
                    <w:t>涂抹</w:t>
                  </w:r>
                </w:p>
              </w:tc>
            </w:tr>
          </w:tbl>
          <w:p w14:paraId="734F2C04">
            <w:pPr>
              <w:rPr>
                <w:rFonts w:ascii="Times New Roman" w:hAnsi="Times New Roman" w:cs="Times New Roman"/>
                <w:sz w:val="20"/>
                <w:szCs w:val="20"/>
              </w:rPr>
            </w:pPr>
          </w:p>
        </w:tc>
      </w:tr>
      <w:tr w14:paraId="609B41BE">
        <w:tblPrEx>
          <w:tblCellMar>
            <w:top w:w="0" w:type="dxa"/>
            <w:left w:w="0" w:type="dxa"/>
            <w:bottom w:w="0" w:type="dxa"/>
            <w:right w:w="0" w:type="dxa"/>
          </w:tblCellMar>
        </w:tblPrEx>
        <w:trPr>
          <w:wBefore w:w="0" w:type="auto"/>
          <w:tblCellSpacing w:w="0" w:type="dxa"/>
        </w:trPr>
        <w:tc>
          <w:tcPr>
            <w:tcW w:w="0" w:type="auto"/>
            <w:noWrap w:val="0"/>
            <w:vAlign w:val="center"/>
          </w:tcPr>
          <w:p w14:paraId="7E5AFB21">
            <w:r>
              <w:rPr>
                <w:rStyle w:val="10"/>
                <w:rFonts w:hint="eastAsia"/>
              </w:rPr>
              <w:t>使用技术要求:</w:t>
            </w:r>
            <w:r>
              <w:rPr>
                <w:rFonts w:hint="eastAsia"/>
              </w:rPr>
              <w:br w:type="textWrapping"/>
            </w:r>
            <w:r>
              <w:rPr>
                <w:rStyle w:val="11"/>
                <w:rFonts w:hint="eastAsia"/>
              </w:rPr>
              <w:t>1.在病害发生期，用刷子将该产品涂抹于去掉病疤后的伤口及剪枝后的切口处及其疤周围。2.患病区域周围需彻底施药。3.每季作物最多施药1次，本品安全间隔期为21天。</w:t>
            </w:r>
          </w:p>
        </w:tc>
      </w:tr>
      <w:tr w14:paraId="067D6E91">
        <w:tblPrEx>
          <w:tblCellMar>
            <w:top w:w="0" w:type="dxa"/>
            <w:left w:w="0" w:type="dxa"/>
            <w:bottom w:w="0" w:type="dxa"/>
            <w:right w:w="0" w:type="dxa"/>
          </w:tblCellMar>
        </w:tblPrEx>
        <w:trPr>
          <w:wBefore w:w="0" w:type="auto"/>
          <w:tblCellSpacing w:w="0" w:type="dxa"/>
        </w:trPr>
        <w:tc>
          <w:tcPr>
            <w:tcW w:w="0" w:type="auto"/>
            <w:noWrap w:val="0"/>
            <w:vAlign w:val="center"/>
          </w:tcPr>
          <w:p w14:paraId="4FF6E68E">
            <w:r>
              <w:rPr>
                <w:rStyle w:val="10"/>
                <w:rFonts w:hint="eastAsia"/>
              </w:rPr>
              <w:t>产品性能:</w:t>
            </w:r>
            <w:r>
              <w:rPr>
                <w:rFonts w:hint="eastAsia"/>
              </w:rPr>
              <w:br w:type="textWrapping"/>
            </w:r>
            <w:r>
              <w:rPr>
                <w:rStyle w:val="11"/>
                <w:rFonts w:hint="eastAsia"/>
              </w:rPr>
              <w:t>本品为内吸性杀菌剂，具有内吸、预防和治疗作用，可有效防治枝干腐烂病并锁住树体水分。膏剂产品可均匀的涂抹在树体表面，正常使用技术条件下，对苹果树安全。</w:t>
            </w:r>
          </w:p>
        </w:tc>
      </w:tr>
      <w:tr w14:paraId="28084BD8">
        <w:tblPrEx>
          <w:tblCellMar>
            <w:top w:w="0" w:type="dxa"/>
            <w:left w:w="0" w:type="dxa"/>
            <w:bottom w:w="0" w:type="dxa"/>
            <w:right w:w="0" w:type="dxa"/>
          </w:tblCellMar>
        </w:tblPrEx>
        <w:trPr>
          <w:wBefore w:w="0" w:type="auto"/>
          <w:tblCellSpacing w:w="0" w:type="dxa"/>
        </w:trPr>
        <w:tc>
          <w:tcPr>
            <w:tcW w:w="0" w:type="auto"/>
            <w:noWrap w:val="0"/>
            <w:vAlign w:val="center"/>
          </w:tcPr>
          <w:p w14:paraId="1EABD5C9">
            <w:r>
              <w:rPr>
                <w:rStyle w:val="10"/>
                <w:rFonts w:hint="eastAsia"/>
              </w:rPr>
              <w:t>注意事项：</w:t>
            </w:r>
            <w:r>
              <w:rPr>
                <w:rFonts w:hint="eastAsia"/>
              </w:rPr>
              <w:br w:type="textWrapping"/>
            </w:r>
            <w:r>
              <w:rPr>
                <w:rStyle w:val="11"/>
                <w:rFonts w:hint="eastAsia"/>
              </w:rPr>
              <w:t>1.用刷子将本品涂抹于苹果树腐烂病伤口、切口及其周围。2.使用本品时戴口罩、橡胶手套，请勿吸烟、饮食、避免药物接触皮肤和眼睛。施药后请将手、暴露部位皮肤、脸和衣服洗干净。3.使用后的刷子不能随意放置，应用水清洗后存放。4.禁止在河塘等水域清洗施药器具，避免药剂污染水源。5.建议与其它作用机制不同的杀菌剂轮换使用，以延缓抗性产生。6.孕妇、哺乳期妇女及过敏者禁用，使用中有任何不良反应请及时就医。7.用过的包装物及未用完的药液不能随意丢弃，也不能做他用，应交当地农业部门或环保部门指定的单位进行回收处理。8.水产养殖区、河塘等水体附近禁用。9.若不按照推荐使用技术和使用方法施用，均可能会对作物产生药害。10.本品能否与其他农药、肥料等产品混用请咨询当地农业技术推广部门，以免混用不当产生药害。</w:t>
            </w:r>
          </w:p>
        </w:tc>
      </w:tr>
      <w:tr w14:paraId="612D3215">
        <w:tblPrEx>
          <w:tblCellMar>
            <w:top w:w="0" w:type="dxa"/>
            <w:left w:w="0" w:type="dxa"/>
            <w:bottom w:w="0" w:type="dxa"/>
            <w:right w:w="0" w:type="dxa"/>
          </w:tblCellMar>
        </w:tblPrEx>
        <w:trPr>
          <w:wBefore w:w="0" w:type="auto"/>
          <w:tblCellSpacing w:w="0" w:type="dxa"/>
        </w:trPr>
        <w:tc>
          <w:tcPr>
            <w:tcW w:w="0" w:type="auto"/>
            <w:noWrap w:val="0"/>
            <w:vAlign w:val="center"/>
          </w:tcPr>
          <w:p w14:paraId="53A3DCA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 眼睛溅入：立即用流动清水冲洗不少于15分钟。 误食：立即停止服用，用清水充分漱口后，立即携带农药标签到医院就诊。本品无特殊解毒剂，对症治疗。中毒急救电话：中国预防医学科学院中毒控制中心24小时服务电话:010-83132345。</w:t>
            </w:r>
          </w:p>
        </w:tc>
      </w:tr>
      <w:tr w14:paraId="20E4B5D5">
        <w:tblPrEx>
          <w:tblCellMar>
            <w:top w:w="0" w:type="dxa"/>
            <w:left w:w="0" w:type="dxa"/>
            <w:bottom w:w="0" w:type="dxa"/>
            <w:right w:w="0" w:type="dxa"/>
          </w:tblCellMar>
        </w:tblPrEx>
        <w:trPr>
          <w:wBefore w:w="0" w:type="auto"/>
          <w:tblCellSpacing w:w="0" w:type="dxa"/>
        </w:trPr>
        <w:tc>
          <w:tcPr>
            <w:tcW w:w="0" w:type="auto"/>
            <w:noWrap w:val="0"/>
            <w:vAlign w:val="center"/>
          </w:tcPr>
          <w:p w14:paraId="3A1EBA47">
            <w:r>
              <w:rPr>
                <w:rStyle w:val="10"/>
                <w:rFonts w:hint="eastAsia"/>
              </w:rPr>
              <w:t>储存和运输方法：</w:t>
            </w:r>
            <w:r>
              <w:rPr>
                <w:rFonts w:hint="eastAsia"/>
              </w:rPr>
              <w:br w:type="textWrapping"/>
            </w:r>
            <w:r>
              <w:rPr>
                <w:rStyle w:val="11"/>
                <w:rFonts w:hint="eastAsia"/>
              </w:rPr>
              <w:t>应贮存在干燥、阴凉、通风、防雨处。远离火源或热源。置于儿童、无关人员及动物接触不到的地方，并加锁保存。勿与食品、饮料、饲料、粮食等其它商品同贮同运。运输时确认包装物完好，不可倒装或打落。</w:t>
            </w:r>
          </w:p>
        </w:tc>
      </w:tr>
      <w:tr w14:paraId="2654BEE6">
        <w:tblPrEx>
          <w:tblCellMar>
            <w:top w:w="0" w:type="dxa"/>
            <w:left w:w="0" w:type="dxa"/>
            <w:bottom w:w="0" w:type="dxa"/>
            <w:right w:w="0" w:type="dxa"/>
          </w:tblCellMar>
        </w:tblPrEx>
        <w:trPr>
          <w:wBefore w:w="0" w:type="auto"/>
          <w:tblCellSpacing w:w="0" w:type="dxa"/>
        </w:trPr>
        <w:tc>
          <w:tcPr>
            <w:tcW w:w="0" w:type="auto"/>
            <w:noWrap w:val="0"/>
            <w:vAlign w:val="center"/>
          </w:tcPr>
          <w:p w14:paraId="6E976A76">
            <w:r>
              <w:rPr>
                <w:rStyle w:val="10"/>
                <w:rFonts w:hint="eastAsia"/>
              </w:rPr>
              <w:t>质量保证期：</w:t>
            </w:r>
            <w:r>
              <w:rPr>
                <w:rStyle w:val="11"/>
                <w:rFonts w:hint="eastAsia"/>
              </w:rPr>
              <w:t>2年</w:t>
            </w:r>
          </w:p>
        </w:tc>
      </w:tr>
      <w:tr w14:paraId="297D342D">
        <w:tblPrEx>
          <w:tblCellMar>
            <w:top w:w="0" w:type="dxa"/>
            <w:left w:w="0" w:type="dxa"/>
            <w:bottom w:w="0" w:type="dxa"/>
            <w:right w:w="0" w:type="dxa"/>
          </w:tblCellMar>
        </w:tblPrEx>
        <w:trPr>
          <w:wBefore w:w="0" w:type="auto"/>
          <w:tblCellSpacing w:w="0" w:type="dxa"/>
        </w:trPr>
        <w:tc>
          <w:tcPr>
            <w:tcW w:w="0" w:type="auto"/>
            <w:noWrap w:val="0"/>
            <w:vAlign w:val="center"/>
          </w:tcPr>
          <w:p w14:paraId="5DA8DB30">
            <w:r>
              <w:rPr>
                <w:rStyle w:val="10"/>
                <w:rFonts w:hint="eastAsia"/>
              </w:rPr>
              <w:t>备注：</w:t>
            </w:r>
          </w:p>
        </w:tc>
      </w:tr>
    </w:tbl>
    <w:p w14:paraId="0A1B23B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E6E0EC">
        <w:tblPrEx>
          <w:tblCellMar>
            <w:top w:w="0" w:type="dxa"/>
            <w:left w:w="0" w:type="dxa"/>
            <w:bottom w:w="0" w:type="dxa"/>
            <w:right w:w="0" w:type="dxa"/>
          </w:tblCellMar>
        </w:tblPrEx>
        <w:trPr>
          <w:wBefore w:w="0" w:type="auto"/>
          <w:tblCellSpacing w:w="0" w:type="dxa"/>
        </w:trPr>
        <w:tc>
          <w:tcPr>
            <w:tcW w:w="0" w:type="auto"/>
            <w:noWrap w:val="0"/>
            <w:vAlign w:val="center"/>
          </w:tcPr>
          <w:p w14:paraId="26661783">
            <w:r>
              <w:rPr>
                <w:rStyle w:val="10"/>
                <w:rFonts w:hint="eastAsia"/>
              </w:rPr>
              <w:t>登记证号：</w:t>
            </w:r>
            <w:r>
              <w:rPr>
                <w:rFonts w:hint="eastAsia"/>
              </w:rPr>
              <w:t>PD20212622</w:t>
            </w:r>
          </w:p>
        </w:tc>
      </w:tr>
      <w:tr w14:paraId="073C1408">
        <w:tblPrEx>
          <w:tblCellMar>
            <w:top w:w="0" w:type="dxa"/>
            <w:left w:w="0" w:type="dxa"/>
            <w:bottom w:w="0" w:type="dxa"/>
            <w:right w:w="0" w:type="dxa"/>
          </w:tblCellMar>
        </w:tblPrEx>
        <w:trPr>
          <w:wBefore w:w="0" w:type="auto"/>
          <w:tblCellSpacing w:w="0" w:type="dxa"/>
        </w:trPr>
        <w:tc>
          <w:tcPr>
            <w:tcW w:w="0" w:type="auto"/>
            <w:noWrap w:val="0"/>
            <w:vAlign w:val="center"/>
          </w:tcPr>
          <w:p w14:paraId="6E33060B">
            <w:r>
              <w:rPr>
                <w:rStyle w:val="10"/>
                <w:rFonts w:hint="eastAsia"/>
              </w:rPr>
              <w:t>登记证持有人：</w:t>
            </w:r>
            <w:r>
              <w:rPr>
                <w:rFonts w:hint="eastAsia"/>
              </w:rPr>
              <w:t>广西金穗通实业有限公司</w:t>
            </w:r>
          </w:p>
        </w:tc>
      </w:tr>
      <w:tr w14:paraId="6FD68B64">
        <w:tblPrEx>
          <w:tblCellMar>
            <w:top w:w="0" w:type="dxa"/>
            <w:left w:w="0" w:type="dxa"/>
            <w:bottom w:w="0" w:type="dxa"/>
            <w:right w:w="0" w:type="dxa"/>
          </w:tblCellMar>
        </w:tblPrEx>
        <w:trPr>
          <w:wBefore w:w="0" w:type="auto"/>
          <w:tblCellSpacing w:w="0" w:type="dxa"/>
        </w:trPr>
        <w:tc>
          <w:tcPr>
            <w:tcW w:w="0" w:type="auto"/>
            <w:noWrap w:val="0"/>
            <w:vAlign w:val="center"/>
          </w:tcPr>
          <w:p w14:paraId="1221AAF6">
            <w:r>
              <w:rPr>
                <w:rStyle w:val="10"/>
                <w:rFonts w:hint="eastAsia"/>
              </w:rPr>
              <w:t>农药名称：</w:t>
            </w:r>
            <w:r>
              <w:rPr>
                <w:rFonts w:hint="eastAsia"/>
              </w:rPr>
              <w:t>滴酸·草甘膦</w:t>
            </w:r>
          </w:p>
        </w:tc>
      </w:tr>
      <w:tr w14:paraId="69AE0812">
        <w:tblPrEx>
          <w:tblCellMar>
            <w:top w:w="0" w:type="dxa"/>
            <w:left w:w="0" w:type="dxa"/>
            <w:bottom w:w="0" w:type="dxa"/>
            <w:right w:w="0" w:type="dxa"/>
          </w:tblCellMar>
        </w:tblPrEx>
        <w:trPr>
          <w:wBefore w:w="0" w:type="auto"/>
          <w:tblCellSpacing w:w="0" w:type="dxa"/>
        </w:trPr>
        <w:tc>
          <w:tcPr>
            <w:tcW w:w="0" w:type="auto"/>
            <w:noWrap w:val="0"/>
            <w:vAlign w:val="center"/>
          </w:tcPr>
          <w:p w14:paraId="7A8403F0">
            <w:r>
              <w:rPr>
                <w:rStyle w:val="10"/>
                <w:rFonts w:hint="eastAsia"/>
              </w:rPr>
              <w:t>剂型：</w:t>
            </w:r>
            <w:r>
              <w:rPr>
                <w:rFonts w:hint="eastAsia"/>
              </w:rPr>
              <w:t>可溶液剂</w:t>
            </w:r>
          </w:p>
        </w:tc>
      </w:tr>
      <w:tr w14:paraId="586CD2A0">
        <w:tblPrEx>
          <w:tblCellMar>
            <w:top w:w="0" w:type="dxa"/>
            <w:left w:w="0" w:type="dxa"/>
            <w:bottom w:w="0" w:type="dxa"/>
            <w:right w:w="0" w:type="dxa"/>
          </w:tblCellMar>
        </w:tblPrEx>
        <w:trPr>
          <w:wBefore w:w="0" w:type="auto"/>
          <w:tblCellSpacing w:w="0" w:type="dxa"/>
        </w:trPr>
        <w:tc>
          <w:tcPr>
            <w:tcW w:w="0" w:type="auto"/>
            <w:noWrap w:val="0"/>
            <w:vAlign w:val="center"/>
          </w:tcPr>
          <w:p w14:paraId="0F81AD48">
            <w:r>
              <w:rPr>
                <w:rStyle w:val="10"/>
                <w:rFonts w:hint="eastAsia"/>
              </w:rPr>
              <w:t>毒性及其标识：</w:t>
            </w:r>
            <w:r>
              <w:rPr>
                <w:rFonts w:hint="eastAsia"/>
              </w:rPr>
              <w:t xml:space="preserve"> </w:t>
            </w:r>
            <w:r>
              <w:rPr>
                <w:lang/>
              </w:rPr>
              <w:drawing>
                <wp:inline distT="0" distB="0" distL="114300" distR="114300">
                  <wp:extent cx="476250" cy="323850"/>
                  <wp:effectExtent l="0" t="0" r="0" b="0"/>
                  <wp:docPr id="272" name="图片 2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FD9DBC">
        <w:tblPrEx>
          <w:tblCellMar>
            <w:top w:w="0" w:type="dxa"/>
            <w:left w:w="0" w:type="dxa"/>
            <w:bottom w:w="0" w:type="dxa"/>
            <w:right w:w="0" w:type="dxa"/>
          </w:tblCellMar>
        </w:tblPrEx>
        <w:trPr>
          <w:wBefore w:w="0" w:type="auto"/>
          <w:tblCellSpacing w:w="0" w:type="dxa"/>
        </w:trPr>
        <w:tc>
          <w:tcPr>
            <w:tcW w:w="0" w:type="auto"/>
            <w:noWrap w:val="0"/>
            <w:vAlign w:val="center"/>
          </w:tcPr>
          <w:p w14:paraId="55A3E6A9">
            <w:r>
              <w:rPr>
                <w:rStyle w:val="10"/>
                <w:rFonts w:hint="eastAsia"/>
              </w:rPr>
              <w:t>总有效成分含量：</w:t>
            </w:r>
            <w:r>
              <w:rPr>
                <w:rFonts w:hint="eastAsia"/>
              </w:rPr>
              <w:t>32%</w:t>
            </w:r>
          </w:p>
        </w:tc>
      </w:tr>
      <w:tr w14:paraId="61E542F8">
        <w:tblPrEx>
          <w:tblCellMar>
            <w:top w:w="0" w:type="dxa"/>
            <w:left w:w="0" w:type="dxa"/>
            <w:bottom w:w="0" w:type="dxa"/>
            <w:right w:w="0" w:type="dxa"/>
          </w:tblCellMar>
        </w:tblPrEx>
        <w:trPr>
          <w:wBefore w:w="0" w:type="auto"/>
          <w:tblCellSpacing w:w="0" w:type="dxa"/>
        </w:trPr>
        <w:tc>
          <w:tcPr>
            <w:tcW w:w="0" w:type="auto"/>
            <w:noWrap w:val="0"/>
            <w:vAlign w:val="center"/>
          </w:tcPr>
          <w:p w14:paraId="147C752F">
            <w:r>
              <w:rPr>
                <w:rFonts w:hint="eastAsia"/>
              </w:rPr>
              <w:t xml:space="preserve">有效成分及其含量： </w:t>
            </w:r>
          </w:p>
          <w:p w14:paraId="0D484658">
            <w:r>
              <w:rPr>
                <w:rFonts w:hint="eastAsia"/>
              </w:rPr>
              <w:t xml:space="preserve">    2,4-滴2%    草甘膦30%    </w:t>
            </w:r>
          </w:p>
        </w:tc>
      </w:tr>
      <w:tr w14:paraId="6243BC83">
        <w:tblPrEx>
          <w:tblCellMar>
            <w:top w:w="0" w:type="dxa"/>
            <w:left w:w="0" w:type="dxa"/>
            <w:bottom w:w="0" w:type="dxa"/>
            <w:right w:w="0" w:type="dxa"/>
          </w:tblCellMar>
        </w:tblPrEx>
        <w:trPr>
          <w:wBefore w:w="0" w:type="auto"/>
          <w:tblCellSpacing w:w="0" w:type="dxa"/>
        </w:trPr>
        <w:tc>
          <w:tcPr>
            <w:tcW w:w="0" w:type="auto"/>
            <w:noWrap w:val="0"/>
            <w:vAlign w:val="center"/>
          </w:tcPr>
          <w:p w14:paraId="4C56F4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167C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2BE4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CCE8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424FE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06E01F">
                  <w:r>
                    <w:rPr>
                      <w:rStyle w:val="11"/>
                      <w:rFonts w:hint="eastAsia"/>
                    </w:rPr>
                    <w:t>施用方式</w:t>
                  </w:r>
                </w:p>
              </w:tc>
            </w:tr>
            <w:tr w14:paraId="29CFA2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BED2F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3D540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916C18">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810900">
                  <w:r>
                    <w:rPr>
                      <w:rStyle w:val="11"/>
                      <w:rFonts w:hint="eastAsia"/>
                    </w:rPr>
                    <w:t>茎叶喷雾</w:t>
                  </w:r>
                </w:p>
              </w:tc>
            </w:tr>
          </w:tbl>
          <w:p w14:paraId="0E6145ED">
            <w:pPr>
              <w:rPr>
                <w:rFonts w:ascii="Times New Roman" w:hAnsi="Times New Roman" w:cs="Times New Roman"/>
                <w:sz w:val="20"/>
                <w:szCs w:val="20"/>
              </w:rPr>
            </w:pPr>
          </w:p>
        </w:tc>
      </w:tr>
      <w:tr w14:paraId="157F152C">
        <w:tblPrEx>
          <w:tblCellMar>
            <w:top w:w="0" w:type="dxa"/>
            <w:left w:w="0" w:type="dxa"/>
            <w:bottom w:w="0" w:type="dxa"/>
            <w:right w:w="0" w:type="dxa"/>
          </w:tblCellMar>
        </w:tblPrEx>
        <w:trPr>
          <w:wBefore w:w="0" w:type="auto"/>
          <w:tblCellSpacing w:w="0" w:type="dxa"/>
        </w:trPr>
        <w:tc>
          <w:tcPr>
            <w:tcW w:w="0" w:type="auto"/>
            <w:noWrap w:val="0"/>
            <w:vAlign w:val="center"/>
          </w:tcPr>
          <w:p w14:paraId="7EEEB064">
            <w:r>
              <w:rPr>
                <w:rStyle w:val="10"/>
                <w:rFonts w:hint="eastAsia"/>
              </w:rPr>
              <w:t>使用技术要求:</w:t>
            </w:r>
            <w:r>
              <w:rPr>
                <w:rFonts w:hint="eastAsia"/>
              </w:rPr>
              <w:br w:type="textWrapping"/>
            </w:r>
            <w:r>
              <w:rPr>
                <w:rStyle w:val="11"/>
                <w:rFonts w:hint="eastAsia"/>
              </w:rPr>
              <w:t>1、本品应于非耕地杂草生长旺盛期使用。2、大风天或预计4小时内降雨，请勿施药。3、避免飘移药害。4、禁止在田间道路、田埂、果树行间、休耕地、林场林地等农林业区域使用。</w:t>
            </w:r>
          </w:p>
        </w:tc>
      </w:tr>
      <w:tr w14:paraId="149026F9">
        <w:tblPrEx>
          <w:tblCellMar>
            <w:top w:w="0" w:type="dxa"/>
            <w:left w:w="0" w:type="dxa"/>
            <w:bottom w:w="0" w:type="dxa"/>
            <w:right w:w="0" w:type="dxa"/>
          </w:tblCellMar>
        </w:tblPrEx>
        <w:trPr>
          <w:wBefore w:w="0" w:type="auto"/>
          <w:tblCellSpacing w:w="0" w:type="dxa"/>
        </w:trPr>
        <w:tc>
          <w:tcPr>
            <w:tcW w:w="0" w:type="auto"/>
            <w:noWrap w:val="0"/>
            <w:vAlign w:val="center"/>
          </w:tcPr>
          <w:p w14:paraId="33E19F4A">
            <w:r>
              <w:rPr>
                <w:rStyle w:val="10"/>
                <w:rFonts w:hint="eastAsia"/>
              </w:rPr>
              <w:t>产品性能:</w:t>
            </w:r>
            <w:r>
              <w:rPr>
                <w:rFonts w:hint="eastAsia"/>
              </w:rPr>
              <w:br w:type="textWrapping"/>
            </w:r>
            <w:r>
              <w:rPr>
                <w:rStyle w:val="11"/>
                <w:rFonts w:hint="eastAsia"/>
              </w:rPr>
              <w:t xml:space="preserve">本品是灭生性除草剂，具有杀草谱广、除草速效性好、持效期长等特点。能有效防除非耕地一年生杂草及多年生杂草。 </w:t>
            </w:r>
          </w:p>
        </w:tc>
      </w:tr>
      <w:tr w14:paraId="2376A9B3">
        <w:tblPrEx>
          <w:tblCellMar>
            <w:top w:w="0" w:type="dxa"/>
            <w:left w:w="0" w:type="dxa"/>
            <w:bottom w:w="0" w:type="dxa"/>
            <w:right w:w="0" w:type="dxa"/>
          </w:tblCellMar>
        </w:tblPrEx>
        <w:trPr>
          <w:wBefore w:w="0" w:type="auto"/>
          <w:tblCellSpacing w:w="0" w:type="dxa"/>
        </w:trPr>
        <w:tc>
          <w:tcPr>
            <w:tcW w:w="0" w:type="auto"/>
            <w:noWrap w:val="0"/>
            <w:vAlign w:val="center"/>
          </w:tcPr>
          <w:p w14:paraId="593466CE">
            <w:r>
              <w:rPr>
                <w:rStyle w:val="10"/>
                <w:rFonts w:hint="eastAsia"/>
              </w:rPr>
              <w:t>注意事项：</w:t>
            </w:r>
            <w:r>
              <w:rPr>
                <w:rFonts w:hint="eastAsia"/>
              </w:rPr>
              <w:br w:type="textWrapping"/>
            </w:r>
            <w:r>
              <w:rPr>
                <w:rStyle w:val="11"/>
                <w:rFonts w:hint="eastAsia"/>
              </w:rPr>
              <w:t>1、本品灭生性除草剂，严防雾滴飘移到果木和邻近作物田。施药后5天内勿割草、放牧、翻地等。2、请按照农药安全使用准则使用本品，避免药液接触皮肤、眼睛和污染衣物，避免吸入雾滴。3、配药和施药时，穿戴长衣、长裤、帽子、口罩、手套等防护措施。施药期间，不可进食和饮水；施药后，及时清洗手、脸等暴露部位，并更换衣物。 4、药液用清水稀释，不得使用污水、混浊水，以免影响药效。5、所有施药器具用后应立即用清水清洗，洗刷施药用具的水，不要倒入田间。6、未用完的制剂应放在原包装内密封保存，切勿将本品置于饮食容器内。7、使用过的器具应妥善处理，不可随意丢弃。8、本品对水生生物有毒，远离水产养殖区、河塘等水域施药，严禁在水产养殖区使用，禁止在河塘等水体中清洗施药器具。鸟类保护区附近禁用。9、避免孕妇或哺乳期妇女接触本品。10、本品对金属有腐蚀性，应使用塑料容器贮存。11、避免与氧化剂接触。</w:t>
            </w:r>
          </w:p>
        </w:tc>
      </w:tr>
      <w:tr w14:paraId="235C349E">
        <w:tblPrEx>
          <w:tblCellMar>
            <w:top w:w="0" w:type="dxa"/>
            <w:left w:w="0" w:type="dxa"/>
            <w:bottom w:w="0" w:type="dxa"/>
            <w:right w:w="0" w:type="dxa"/>
          </w:tblCellMar>
        </w:tblPrEx>
        <w:trPr>
          <w:wBefore w:w="0" w:type="auto"/>
          <w:tblCellSpacing w:w="0" w:type="dxa"/>
        </w:trPr>
        <w:tc>
          <w:tcPr>
            <w:tcW w:w="0" w:type="auto"/>
            <w:noWrap w:val="0"/>
            <w:vAlign w:val="center"/>
          </w:tcPr>
          <w:p w14:paraId="6B74B88C">
            <w:r>
              <w:rPr>
                <w:rStyle w:val="10"/>
                <w:rFonts w:hint="eastAsia"/>
              </w:rPr>
              <w:t>中毒急救措施：</w:t>
            </w:r>
            <w:r>
              <w:rPr>
                <w:rFonts w:hint="eastAsia"/>
              </w:rPr>
              <w:br w:type="textWrapping"/>
            </w:r>
            <w:r>
              <w:rPr>
                <w:rStyle w:val="11"/>
                <w:rFonts w:hint="eastAsia"/>
              </w:rPr>
              <w:t>该产品对眼睛、皮肤有刺激性，使用时避免接触眼睛、皮肤。1、眼睛溅药：立即用清水冲洗至少15分钟并送医院。2、皮肤接触：脱去被溅衣物。用软布去除沾染农药，并立即用肥皂和清水冲洗。3、发生吸入：移至空气清新处。4、误服：立即停止服用，用清水充分漱口后，立即携带标签并送医院对症治疗，无特效解毒剂。</w:t>
            </w:r>
          </w:p>
        </w:tc>
      </w:tr>
      <w:tr w14:paraId="4EDFE2DE">
        <w:tblPrEx>
          <w:tblCellMar>
            <w:top w:w="0" w:type="dxa"/>
            <w:left w:w="0" w:type="dxa"/>
            <w:bottom w:w="0" w:type="dxa"/>
            <w:right w:w="0" w:type="dxa"/>
          </w:tblCellMar>
        </w:tblPrEx>
        <w:trPr>
          <w:wBefore w:w="0" w:type="auto"/>
          <w:tblCellSpacing w:w="0" w:type="dxa"/>
        </w:trPr>
        <w:tc>
          <w:tcPr>
            <w:tcW w:w="0" w:type="auto"/>
            <w:noWrap w:val="0"/>
            <w:vAlign w:val="center"/>
          </w:tcPr>
          <w:p w14:paraId="3E70C217">
            <w:r>
              <w:rPr>
                <w:rStyle w:val="10"/>
                <w:rFonts w:hint="eastAsia"/>
              </w:rPr>
              <w:t>储存和运输方法：</w:t>
            </w:r>
            <w:r>
              <w:rPr>
                <w:rFonts w:hint="eastAsia"/>
              </w:rPr>
              <w:br w:type="textWrapping"/>
            </w:r>
            <w:r>
              <w:rPr>
                <w:rStyle w:val="11"/>
                <w:rFonts w:hint="eastAsia"/>
              </w:rPr>
              <w:t>本品应远离火源、热源，贮存于通风、阴凉、干燥，小孩接触不到的地方，并加锁保存，勿与食品、饲料、种子、化肥等混合存放、运输。</w:t>
            </w:r>
          </w:p>
        </w:tc>
      </w:tr>
      <w:tr w14:paraId="0B08FF7E">
        <w:tblPrEx>
          <w:tblCellMar>
            <w:top w:w="0" w:type="dxa"/>
            <w:left w:w="0" w:type="dxa"/>
            <w:bottom w:w="0" w:type="dxa"/>
            <w:right w:w="0" w:type="dxa"/>
          </w:tblCellMar>
        </w:tblPrEx>
        <w:trPr>
          <w:wBefore w:w="0" w:type="auto"/>
          <w:tblCellSpacing w:w="0" w:type="dxa"/>
        </w:trPr>
        <w:tc>
          <w:tcPr>
            <w:tcW w:w="0" w:type="auto"/>
            <w:noWrap w:val="0"/>
            <w:vAlign w:val="center"/>
          </w:tcPr>
          <w:p w14:paraId="3E2F439A">
            <w:r>
              <w:rPr>
                <w:rStyle w:val="10"/>
                <w:rFonts w:hint="eastAsia"/>
              </w:rPr>
              <w:t>质量保证期：</w:t>
            </w:r>
            <w:r>
              <w:rPr>
                <w:rStyle w:val="11"/>
                <w:rFonts w:hint="eastAsia"/>
              </w:rPr>
              <w:t>2年</w:t>
            </w:r>
          </w:p>
        </w:tc>
      </w:tr>
      <w:tr w14:paraId="6CED5460">
        <w:tblPrEx>
          <w:tblCellMar>
            <w:top w:w="0" w:type="dxa"/>
            <w:left w:w="0" w:type="dxa"/>
            <w:bottom w:w="0" w:type="dxa"/>
            <w:right w:w="0" w:type="dxa"/>
          </w:tblCellMar>
        </w:tblPrEx>
        <w:trPr>
          <w:wBefore w:w="0" w:type="auto"/>
          <w:tblCellSpacing w:w="0" w:type="dxa"/>
        </w:trPr>
        <w:tc>
          <w:tcPr>
            <w:tcW w:w="0" w:type="auto"/>
            <w:noWrap w:val="0"/>
            <w:vAlign w:val="center"/>
          </w:tcPr>
          <w:p w14:paraId="1532AB59">
            <w:r>
              <w:rPr>
                <w:rStyle w:val="10"/>
                <w:rFonts w:hint="eastAsia"/>
              </w:rPr>
              <w:t>备注：</w:t>
            </w:r>
          </w:p>
        </w:tc>
      </w:tr>
    </w:tbl>
    <w:p w14:paraId="1D0892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A58D2C">
        <w:tblPrEx>
          <w:tblCellMar>
            <w:top w:w="0" w:type="dxa"/>
            <w:left w:w="0" w:type="dxa"/>
            <w:bottom w:w="0" w:type="dxa"/>
            <w:right w:w="0" w:type="dxa"/>
          </w:tblCellMar>
        </w:tblPrEx>
        <w:trPr>
          <w:wBefore w:w="0" w:type="auto"/>
          <w:tblCellSpacing w:w="0" w:type="dxa"/>
        </w:trPr>
        <w:tc>
          <w:tcPr>
            <w:tcW w:w="0" w:type="auto"/>
            <w:noWrap w:val="0"/>
            <w:vAlign w:val="center"/>
          </w:tcPr>
          <w:p w14:paraId="28E384F6">
            <w:r>
              <w:rPr>
                <w:rStyle w:val="10"/>
                <w:rFonts w:hint="eastAsia"/>
              </w:rPr>
              <w:t>登记证号：</w:t>
            </w:r>
            <w:r>
              <w:rPr>
                <w:rFonts w:hint="eastAsia"/>
              </w:rPr>
              <w:t>PD20212552</w:t>
            </w:r>
          </w:p>
        </w:tc>
      </w:tr>
      <w:tr w14:paraId="341533D0">
        <w:tblPrEx>
          <w:tblCellMar>
            <w:top w:w="0" w:type="dxa"/>
            <w:left w:w="0" w:type="dxa"/>
            <w:bottom w:w="0" w:type="dxa"/>
            <w:right w:w="0" w:type="dxa"/>
          </w:tblCellMar>
        </w:tblPrEx>
        <w:trPr>
          <w:wBefore w:w="0" w:type="auto"/>
          <w:tblCellSpacing w:w="0" w:type="dxa"/>
        </w:trPr>
        <w:tc>
          <w:tcPr>
            <w:tcW w:w="0" w:type="auto"/>
            <w:noWrap w:val="0"/>
            <w:vAlign w:val="center"/>
          </w:tcPr>
          <w:p w14:paraId="047CDA79">
            <w:r>
              <w:rPr>
                <w:rStyle w:val="10"/>
                <w:rFonts w:hint="eastAsia"/>
              </w:rPr>
              <w:t>登记证持有人：</w:t>
            </w:r>
            <w:r>
              <w:rPr>
                <w:rFonts w:hint="eastAsia"/>
              </w:rPr>
              <w:t>安徽金土地生物科技有限公司</w:t>
            </w:r>
          </w:p>
        </w:tc>
      </w:tr>
      <w:tr w14:paraId="6BA2EFC3">
        <w:tblPrEx>
          <w:tblCellMar>
            <w:top w:w="0" w:type="dxa"/>
            <w:left w:w="0" w:type="dxa"/>
            <w:bottom w:w="0" w:type="dxa"/>
            <w:right w:w="0" w:type="dxa"/>
          </w:tblCellMar>
        </w:tblPrEx>
        <w:trPr>
          <w:wBefore w:w="0" w:type="auto"/>
          <w:tblCellSpacing w:w="0" w:type="dxa"/>
        </w:trPr>
        <w:tc>
          <w:tcPr>
            <w:tcW w:w="0" w:type="auto"/>
            <w:noWrap w:val="0"/>
            <w:vAlign w:val="center"/>
          </w:tcPr>
          <w:p w14:paraId="7805703D">
            <w:r>
              <w:rPr>
                <w:rStyle w:val="10"/>
                <w:rFonts w:hint="eastAsia"/>
              </w:rPr>
              <w:t>农药名称：</w:t>
            </w:r>
            <w:r>
              <w:rPr>
                <w:rFonts w:hint="eastAsia"/>
              </w:rPr>
              <w:t>噁唑酰草胺</w:t>
            </w:r>
          </w:p>
        </w:tc>
      </w:tr>
      <w:tr w14:paraId="090D0C99">
        <w:tblPrEx>
          <w:tblCellMar>
            <w:top w:w="0" w:type="dxa"/>
            <w:left w:w="0" w:type="dxa"/>
            <w:bottom w:w="0" w:type="dxa"/>
            <w:right w:w="0" w:type="dxa"/>
          </w:tblCellMar>
        </w:tblPrEx>
        <w:trPr>
          <w:wBefore w:w="0" w:type="auto"/>
          <w:tblCellSpacing w:w="0" w:type="dxa"/>
        </w:trPr>
        <w:tc>
          <w:tcPr>
            <w:tcW w:w="0" w:type="auto"/>
            <w:noWrap w:val="0"/>
            <w:vAlign w:val="center"/>
          </w:tcPr>
          <w:p w14:paraId="051D0CB4">
            <w:r>
              <w:rPr>
                <w:rStyle w:val="10"/>
                <w:rFonts w:hint="eastAsia"/>
              </w:rPr>
              <w:t>剂型：</w:t>
            </w:r>
            <w:r>
              <w:rPr>
                <w:rFonts w:hint="eastAsia"/>
              </w:rPr>
              <w:t>乳油</w:t>
            </w:r>
          </w:p>
        </w:tc>
      </w:tr>
      <w:tr w14:paraId="799E5F62">
        <w:tblPrEx>
          <w:tblCellMar>
            <w:top w:w="0" w:type="dxa"/>
            <w:left w:w="0" w:type="dxa"/>
            <w:bottom w:w="0" w:type="dxa"/>
            <w:right w:w="0" w:type="dxa"/>
          </w:tblCellMar>
        </w:tblPrEx>
        <w:trPr>
          <w:wBefore w:w="0" w:type="auto"/>
          <w:tblCellSpacing w:w="0" w:type="dxa"/>
        </w:trPr>
        <w:tc>
          <w:tcPr>
            <w:tcW w:w="0" w:type="auto"/>
            <w:noWrap w:val="0"/>
            <w:vAlign w:val="center"/>
          </w:tcPr>
          <w:p w14:paraId="72BA2FFE">
            <w:r>
              <w:rPr>
                <w:rStyle w:val="10"/>
                <w:rFonts w:hint="eastAsia"/>
              </w:rPr>
              <w:t>毒性及其标识：</w:t>
            </w:r>
            <w:r>
              <w:rPr>
                <w:rFonts w:hint="eastAsia"/>
              </w:rPr>
              <w:t xml:space="preserve"> </w:t>
            </w:r>
            <w:r>
              <w:rPr>
                <w:lang/>
              </w:rPr>
              <w:drawing>
                <wp:inline distT="0" distB="0" distL="114300" distR="114300">
                  <wp:extent cx="476250" cy="323850"/>
                  <wp:effectExtent l="0" t="0" r="0" b="0"/>
                  <wp:docPr id="273" name="图片 2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DE1970">
        <w:tblPrEx>
          <w:tblCellMar>
            <w:top w:w="0" w:type="dxa"/>
            <w:left w:w="0" w:type="dxa"/>
            <w:bottom w:w="0" w:type="dxa"/>
            <w:right w:w="0" w:type="dxa"/>
          </w:tblCellMar>
        </w:tblPrEx>
        <w:trPr>
          <w:wBefore w:w="0" w:type="auto"/>
          <w:tblCellSpacing w:w="0" w:type="dxa"/>
        </w:trPr>
        <w:tc>
          <w:tcPr>
            <w:tcW w:w="0" w:type="auto"/>
            <w:noWrap w:val="0"/>
            <w:vAlign w:val="center"/>
          </w:tcPr>
          <w:p w14:paraId="79BEBD85">
            <w:r>
              <w:rPr>
                <w:rStyle w:val="10"/>
                <w:rFonts w:hint="eastAsia"/>
              </w:rPr>
              <w:t>总有效成分含量：</w:t>
            </w:r>
            <w:r>
              <w:rPr>
                <w:rFonts w:hint="eastAsia"/>
              </w:rPr>
              <w:t>20%</w:t>
            </w:r>
          </w:p>
        </w:tc>
      </w:tr>
      <w:tr w14:paraId="03299AAE">
        <w:tblPrEx>
          <w:tblCellMar>
            <w:top w:w="0" w:type="dxa"/>
            <w:left w:w="0" w:type="dxa"/>
            <w:bottom w:w="0" w:type="dxa"/>
            <w:right w:w="0" w:type="dxa"/>
          </w:tblCellMar>
        </w:tblPrEx>
        <w:trPr>
          <w:wBefore w:w="0" w:type="auto"/>
          <w:tblCellSpacing w:w="0" w:type="dxa"/>
        </w:trPr>
        <w:tc>
          <w:tcPr>
            <w:tcW w:w="0" w:type="auto"/>
            <w:noWrap w:val="0"/>
            <w:vAlign w:val="center"/>
          </w:tcPr>
          <w:p w14:paraId="6EDC68B6">
            <w:r>
              <w:rPr>
                <w:rFonts w:hint="eastAsia"/>
              </w:rPr>
              <w:t xml:space="preserve">有效成分及其含量： </w:t>
            </w:r>
          </w:p>
          <w:p w14:paraId="47A3C39E">
            <w:r>
              <w:rPr>
                <w:rFonts w:hint="eastAsia"/>
              </w:rPr>
              <w:t xml:space="preserve">    噁唑酰草胺20%    </w:t>
            </w:r>
          </w:p>
        </w:tc>
      </w:tr>
      <w:tr w14:paraId="5DFD31B5">
        <w:tblPrEx>
          <w:tblCellMar>
            <w:top w:w="0" w:type="dxa"/>
            <w:left w:w="0" w:type="dxa"/>
            <w:bottom w:w="0" w:type="dxa"/>
            <w:right w:w="0" w:type="dxa"/>
          </w:tblCellMar>
        </w:tblPrEx>
        <w:trPr>
          <w:wBefore w:w="0" w:type="auto"/>
          <w:tblCellSpacing w:w="0" w:type="dxa"/>
        </w:trPr>
        <w:tc>
          <w:tcPr>
            <w:tcW w:w="0" w:type="auto"/>
            <w:noWrap w:val="0"/>
            <w:vAlign w:val="center"/>
          </w:tcPr>
          <w:p w14:paraId="0B4E8FF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F267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7800C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476ED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1789B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172E3C">
                  <w:r>
                    <w:rPr>
                      <w:rStyle w:val="11"/>
                      <w:rFonts w:hint="eastAsia"/>
                    </w:rPr>
                    <w:t>施用方式</w:t>
                  </w:r>
                </w:p>
              </w:tc>
            </w:tr>
            <w:tr w14:paraId="60F6CD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70F4B3">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10B862">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B04E80">
                  <w:r>
                    <w:rPr>
                      <w:rStyle w:val="11"/>
                      <w:rFonts w:hint="eastAsia"/>
                    </w:rPr>
                    <w:t>35-40毫升/亩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F3FD5E">
                  <w:r>
                    <w:rPr>
                      <w:rStyle w:val="11"/>
                      <w:rFonts w:hint="eastAsia"/>
                    </w:rPr>
                    <w:t>茎叶喷雾</w:t>
                  </w:r>
                </w:p>
              </w:tc>
            </w:tr>
          </w:tbl>
          <w:p w14:paraId="6522523D">
            <w:pPr>
              <w:rPr>
                <w:rFonts w:ascii="Times New Roman" w:hAnsi="Times New Roman" w:cs="Times New Roman"/>
                <w:sz w:val="20"/>
                <w:szCs w:val="20"/>
              </w:rPr>
            </w:pPr>
          </w:p>
        </w:tc>
      </w:tr>
      <w:tr w14:paraId="3EA8172E">
        <w:tblPrEx>
          <w:tblCellMar>
            <w:top w:w="0" w:type="dxa"/>
            <w:left w:w="0" w:type="dxa"/>
            <w:bottom w:w="0" w:type="dxa"/>
            <w:right w:w="0" w:type="dxa"/>
          </w:tblCellMar>
        </w:tblPrEx>
        <w:trPr>
          <w:wBefore w:w="0" w:type="auto"/>
          <w:tblCellSpacing w:w="0" w:type="dxa"/>
        </w:trPr>
        <w:tc>
          <w:tcPr>
            <w:tcW w:w="0" w:type="auto"/>
            <w:noWrap w:val="0"/>
            <w:vAlign w:val="center"/>
          </w:tcPr>
          <w:p w14:paraId="528D5986">
            <w:r>
              <w:rPr>
                <w:rStyle w:val="10"/>
                <w:rFonts w:hint="eastAsia"/>
              </w:rPr>
              <w:t>使用技术要求:</w:t>
            </w:r>
            <w:r>
              <w:rPr>
                <w:rFonts w:hint="eastAsia"/>
              </w:rPr>
              <w:br w:type="textWrapping"/>
            </w:r>
            <w:r>
              <w:rPr>
                <w:rStyle w:val="11"/>
                <w:rFonts w:hint="eastAsia"/>
              </w:rPr>
              <w:t>1. 应于在直播稻田禾草2-5叶期，兑水40升/亩，茎叶喷雾施药一次。2.施药前排水，使杂草茎叶2/3以上露出水面，施药后24-48小时回水，保持3-5厘米水层5-7天，注意避免淹没水稻秧苗心叶，之后正常田间管理。3.大风天或预计6小时内降雨，请勿施药。4.每季最多施药1次，尽量避免过早或过晚施药。</w:t>
            </w:r>
          </w:p>
        </w:tc>
      </w:tr>
      <w:tr w14:paraId="563F9BD4">
        <w:tblPrEx>
          <w:tblCellMar>
            <w:top w:w="0" w:type="dxa"/>
            <w:left w:w="0" w:type="dxa"/>
            <w:bottom w:w="0" w:type="dxa"/>
            <w:right w:w="0" w:type="dxa"/>
          </w:tblCellMar>
        </w:tblPrEx>
        <w:trPr>
          <w:wBefore w:w="0" w:type="auto"/>
          <w:tblCellSpacing w:w="0" w:type="dxa"/>
        </w:trPr>
        <w:tc>
          <w:tcPr>
            <w:tcW w:w="0" w:type="auto"/>
            <w:noWrap w:val="0"/>
            <w:vAlign w:val="center"/>
          </w:tcPr>
          <w:p w14:paraId="527755D6">
            <w:r>
              <w:rPr>
                <w:rStyle w:val="10"/>
                <w:rFonts w:hint="eastAsia"/>
              </w:rPr>
              <w:t>产品性能:</w:t>
            </w:r>
            <w:r>
              <w:rPr>
                <w:rFonts w:hint="eastAsia"/>
              </w:rPr>
              <w:br w:type="textWrapping"/>
            </w:r>
            <w:r>
              <w:rPr>
                <w:rStyle w:val="11"/>
                <w:rFonts w:hint="eastAsia"/>
              </w:rPr>
              <w:t>本品是芳氧苯氧丙酸类内吸传导型除草剂，是乙酰辅酶A羧化酶（ACCase）抑制剂，能抑制植物脂肪酸的合成，用于直播水稻田茎叶处理防除稗草、千金子、马唐等多种禾本科杂草。</w:t>
            </w:r>
          </w:p>
        </w:tc>
      </w:tr>
      <w:tr w14:paraId="7F6BEBA1">
        <w:tblPrEx>
          <w:tblCellMar>
            <w:top w:w="0" w:type="dxa"/>
            <w:left w:w="0" w:type="dxa"/>
            <w:bottom w:w="0" w:type="dxa"/>
            <w:right w:w="0" w:type="dxa"/>
          </w:tblCellMar>
        </w:tblPrEx>
        <w:trPr>
          <w:wBefore w:w="0" w:type="auto"/>
          <w:tblCellSpacing w:w="0" w:type="dxa"/>
        </w:trPr>
        <w:tc>
          <w:tcPr>
            <w:tcW w:w="0" w:type="auto"/>
            <w:noWrap w:val="0"/>
            <w:vAlign w:val="center"/>
          </w:tcPr>
          <w:p w14:paraId="41931DE1">
            <w:r>
              <w:rPr>
                <w:rStyle w:val="10"/>
                <w:rFonts w:hint="eastAsia"/>
              </w:rPr>
              <w:t>注意事项：</w:t>
            </w:r>
            <w:r>
              <w:rPr>
                <w:rFonts w:hint="eastAsia"/>
              </w:rPr>
              <w:br w:type="textWrapping"/>
            </w:r>
            <w:r>
              <w:rPr>
                <w:rStyle w:val="11"/>
                <w:rFonts w:hint="eastAsia"/>
              </w:rPr>
              <w:t>1.本品对眼睛有刺激性，使用时应穿戴防护服、手套、护目镜和口罩等。施药期间不可吃东西、饮水等。施药后应及时洗手、洗脸等。2.水产养殖区、河塘等水体附近禁用，禁止在河塘等水域清洗施药器具。3.鱼或虾蟹套养稻田禁用，施药后的田水不得直接排入水体。4.蚕室及桑园附近禁用。5.用过的容器和废弃物应妥善处理，不可做他用，也不可随意丢弃。6.孕妇及哺乳期妇女应避免接触本品。</w:t>
            </w:r>
          </w:p>
        </w:tc>
      </w:tr>
      <w:tr w14:paraId="6E8487F8">
        <w:tblPrEx>
          <w:tblCellMar>
            <w:top w:w="0" w:type="dxa"/>
            <w:left w:w="0" w:type="dxa"/>
            <w:bottom w:w="0" w:type="dxa"/>
            <w:right w:w="0" w:type="dxa"/>
          </w:tblCellMar>
        </w:tblPrEx>
        <w:trPr>
          <w:wBefore w:w="0" w:type="auto"/>
          <w:tblCellSpacing w:w="0" w:type="dxa"/>
        </w:trPr>
        <w:tc>
          <w:tcPr>
            <w:tcW w:w="0" w:type="auto"/>
            <w:noWrap w:val="0"/>
            <w:vAlign w:val="center"/>
          </w:tcPr>
          <w:p w14:paraId="461461C0">
            <w:r>
              <w:rPr>
                <w:rStyle w:val="10"/>
                <w:rFonts w:hint="eastAsia"/>
              </w:rPr>
              <w:t>中毒急救措施：</w:t>
            </w:r>
            <w:r>
              <w:rPr>
                <w:rFonts w:hint="eastAsia"/>
              </w:rPr>
              <w:br w:type="textWrapping"/>
            </w:r>
            <w:r>
              <w:rPr>
                <w:rStyle w:val="11"/>
                <w:rFonts w:hint="eastAsia"/>
              </w:rPr>
              <w:t>急救措施：1.眼睛溅入：立刻用大量清水冲洗15-20分钟，如配戴隐形眼镜，冲洗5分钟后摘掉眼镜再冲洗15分钟。携此标签去医院诊治。2.误食∶立即饮用一杯或两杯水，用一只手指按住咽喉的后面部位，引吐。任何时候，不要试图让失去知觉的人呕吐或通过口部为其喂食。并请立即带标签就医。3.皮肤沾附∶脱去被溅到衣服，立即用大量清水冲洗皮肤。衣服彻底清洗后方可再穿。4.误吸∶转移至空气清新处，如症状持续，向医生咨询。 5.给医护人员的提示：无特效解毒药，请医生根据症状治疗。</w:t>
            </w:r>
          </w:p>
        </w:tc>
      </w:tr>
      <w:tr w14:paraId="33A4E2C8">
        <w:tblPrEx>
          <w:tblCellMar>
            <w:top w:w="0" w:type="dxa"/>
            <w:left w:w="0" w:type="dxa"/>
            <w:bottom w:w="0" w:type="dxa"/>
            <w:right w:w="0" w:type="dxa"/>
          </w:tblCellMar>
        </w:tblPrEx>
        <w:trPr>
          <w:wBefore w:w="0" w:type="auto"/>
          <w:tblCellSpacing w:w="0" w:type="dxa"/>
        </w:trPr>
        <w:tc>
          <w:tcPr>
            <w:tcW w:w="0" w:type="auto"/>
            <w:noWrap w:val="0"/>
            <w:vAlign w:val="center"/>
          </w:tcPr>
          <w:p w14:paraId="117E90CD">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3.勿与食品、饮料、粮食、饲料等同贮同运。</w:t>
            </w:r>
          </w:p>
        </w:tc>
      </w:tr>
      <w:tr w14:paraId="61CB8768">
        <w:tblPrEx>
          <w:tblCellMar>
            <w:top w:w="0" w:type="dxa"/>
            <w:left w:w="0" w:type="dxa"/>
            <w:bottom w:w="0" w:type="dxa"/>
            <w:right w:w="0" w:type="dxa"/>
          </w:tblCellMar>
        </w:tblPrEx>
        <w:trPr>
          <w:wBefore w:w="0" w:type="auto"/>
          <w:tblCellSpacing w:w="0" w:type="dxa"/>
        </w:trPr>
        <w:tc>
          <w:tcPr>
            <w:tcW w:w="0" w:type="auto"/>
            <w:noWrap w:val="0"/>
            <w:vAlign w:val="center"/>
          </w:tcPr>
          <w:p w14:paraId="0F6EC6BB">
            <w:r>
              <w:rPr>
                <w:rStyle w:val="10"/>
                <w:rFonts w:hint="eastAsia"/>
              </w:rPr>
              <w:t>质量保证期：</w:t>
            </w:r>
            <w:r>
              <w:rPr>
                <w:rStyle w:val="11"/>
                <w:rFonts w:hint="eastAsia"/>
              </w:rPr>
              <w:t>2年</w:t>
            </w:r>
          </w:p>
        </w:tc>
      </w:tr>
      <w:tr w14:paraId="503E1F1F">
        <w:tblPrEx>
          <w:tblCellMar>
            <w:top w:w="0" w:type="dxa"/>
            <w:left w:w="0" w:type="dxa"/>
            <w:bottom w:w="0" w:type="dxa"/>
            <w:right w:w="0" w:type="dxa"/>
          </w:tblCellMar>
        </w:tblPrEx>
        <w:trPr>
          <w:wBefore w:w="0" w:type="auto"/>
          <w:tblCellSpacing w:w="0" w:type="dxa"/>
        </w:trPr>
        <w:tc>
          <w:tcPr>
            <w:tcW w:w="0" w:type="auto"/>
            <w:noWrap w:val="0"/>
            <w:vAlign w:val="center"/>
          </w:tcPr>
          <w:p w14:paraId="4E54019E">
            <w:r>
              <w:rPr>
                <w:rStyle w:val="10"/>
                <w:rFonts w:hint="eastAsia"/>
              </w:rPr>
              <w:t>备注：</w:t>
            </w:r>
          </w:p>
        </w:tc>
      </w:tr>
    </w:tbl>
    <w:p w14:paraId="5FF7B3D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E6E8AF">
        <w:tblPrEx>
          <w:tblCellMar>
            <w:top w:w="0" w:type="dxa"/>
            <w:left w:w="0" w:type="dxa"/>
            <w:bottom w:w="0" w:type="dxa"/>
            <w:right w:w="0" w:type="dxa"/>
          </w:tblCellMar>
        </w:tblPrEx>
        <w:trPr>
          <w:wBefore w:w="0" w:type="auto"/>
          <w:tblCellSpacing w:w="0" w:type="dxa"/>
        </w:trPr>
        <w:tc>
          <w:tcPr>
            <w:tcW w:w="0" w:type="auto"/>
            <w:noWrap w:val="0"/>
            <w:vAlign w:val="center"/>
          </w:tcPr>
          <w:p w14:paraId="2F1D92A8">
            <w:r>
              <w:rPr>
                <w:rStyle w:val="10"/>
                <w:rFonts w:hint="eastAsia"/>
              </w:rPr>
              <w:t>登记证号：</w:t>
            </w:r>
            <w:r>
              <w:rPr>
                <w:rFonts w:hint="eastAsia"/>
              </w:rPr>
              <w:t>PD20212491</w:t>
            </w:r>
          </w:p>
        </w:tc>
      </w:tr>
      <w:tr w14:paraId="25CE53C1">
        <w:tblPrEx>
          <w:tblCellMar>
            <w:top w:w="0" w:type="dxa"/>
            <w:left w:w="0" w:type="dxa"/>
            <w:bottom w:w="0" w:type="dxa"/>
            <w:right w:w="0" w:type="dxa"/>
          </w:tblCellMar>
        </w:tblPrEx>
        <w:trPr>
          <w:wBefore w:w="0" w:type="auto"/>
          <w:tblCellSpacing w:w="0" w:type="dxa"/>
        </w:trPr>
        <w:tc>
          <w:tcPr>
            <w:tcW w:w="0" w:type="auto"/>
            <w:noWrap w:val="0"/>
            <w:vAlign w:val="center"/>
          </w:tcPr>
          <w:p w14:paraId="56A788E9">
            <w:r>
              <w:rPr>
                <w:rStyle w:val="10"/>
                <w:rFonts w:hint="eastAsia"/>
              </w:rPr>
              <w:t>登记证持有人：</w:t>
            </w:r>
            <w:r>
              <w:rPr>
                <w:rFonts w:hint="eastAsia"/>
              </w:rPr>
              <w:t>山东圣鹏科技股份有限公司</w:t>
            </w:r>
          </w:p>
        </w:tc>
      </w:tr>
      <w:tr w14:paraId="21BB7458">
        <w:tblPrEx>
          <w:tblCellMar>
            <w:top w:w="0" w:type="dxa"/>
            <w:left w:w="0" w:type="dxa"/>
            <w:bottom w:w="0" w:type="dxa"/>
            <w:right w:w="0" w:type="dxa"/>
          </w:tblCellMar>
        </w:tblPrEx>
        <w:trPr>
          <w:wBefore w:w="0" w:type="auto"/>
          <w:tblCellSpacing w:w="0" w:type="dxa"/>
        </w:trPr>
        <w:tc>
          <w:tcPr>
            <w:tcW w:w="0" w:type="auto"/>
            <w:noWrap w:val="0"/>
            <w:vAlign w:val="center"/>
          </w:tcPr>
          <w:p w14:paraId="0204D4D2">
            <w:r>
              <w:rPr>
                <w:rStyle w:val="10"/>
                <w:rFonts w:hint="eastAsia"/>
              </w:rPr>
              <w:t>农药名称：</w:t>
            </w:r>
            <w:r>
              <w:rPr>
                <w:rFonts w:hint="eastAsia"/>
              </w:rPr>
              <w:t>敌草快二氯盐</w:t>
            </w:r>
          </w:p>
        </w:tc>
      </w:tr>
      <w:tr w14:paraId="4CC0FEB2">
        <w:tblPrEx>
          <w:tblCellMar>
            <w:top w:w="0" w:type="dxa"/>
            <w:left w:w="0" w:type="dxa"/>
            <w:bottom w:w="0" w:type="dxa"/>
            <w:right w:w="0" w:type="dxa"/>
          </w:tblCellMar>
        </w:tblPrEx>
        <w:trPr>
          <w:wBefore w:w="0" w:type="auto"/>
          <w:tblCellSpacing w:w="0" w:type="dxa"/>
        </w:trPr>
        <w:tc>
          <w:tcPr>
            <w:tcW w:w="0" w:type="auto"/>
            <w:noWrap w:val="0"/>
            <w:vAlign w:val="center"/>
          </w:tcPr>
          <w:p w14:paraId="0890FDFA">
            <w:r>
              <w:rPr>
                <w:rStyle w:val="10"/>
                <w:rFonts w:hint="eastAsia"/>
              </w:rPr>
              <w:t>剂型：</w:t>
            </w:r>
            <w:r>
              <w:rPr>
                <w:rFonts w:hint="eastAsia"/>
              </w:rPr>
              <w:t>可溶液剂</w:t>
            </w:r>
          </w:p>
        </w:tc>
      </w:tr>
      <w:tr w14:paraId="3A3CF30B">
        <w:tblPrEx>
          <w:tblCellMar>
            <w:top w:w="0" w:type="dxa"/>
            <w:left w:w="0" w:type="dxa"/>
            <w:bottom w:w="0" w:type="dxa"/>
            <w:right w:w="0" w:type="dxa"/>
          </w:tblCellMar>
        </w:tblPrEx>
        <w:trPr>
          <w:wBefore w:w="0" w:type="auto"/>
          <w:tblCellSpacing w:w="0" w:type="dxa"/>
        </w:trPr>
        <w:tc>
          <w:tcPr>
            <w:tcW w:w="0" w:type="auto"/>
            <w:noWrap w:val="0"/>
            <w:vAlign w:val="center"/>
          </w:tcPr>
          <w:p w14:paraId="1C959EC9">
            <w:r>
              <w:rPr>
                <w:rStyle w:val="10"/>
                <w:rFonts w:hint="eastAsia"/>
              </w:rPr>
              <w:t>毒性及其标识：</w:t>
            </w:r>
            <w:r>
              <w:rPr>
                <w:rFonts w:hint="eastAsia"/>
              </w:rPr>
              <w:t xml:space="preserve"> </w:t>
            </w:r>
            <w:r>
              <w:rPr>
                <w:lang/>
              </w:rPr>
              <w:drawing>
                <wp:inline distT="0" distB="0" distL="114300" distR="114300">
                  <wp:extent cx="476250" cy="323850"/>
                  <wp:effectExtent l="0" t="0" r="0" b="0"/>
                  <wp:docPr id="274" name="图片 2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A5B5D8">
        <w:tblPrEx>
          <w:tblCellMar>
            <w:top w:w="0" w:type="dxa"/>
            <w:left w:w="0" w:type="dxa"/>
            <w:bottom w:w="0" w:type="dxa"/>
            <w:right w:w="0" w:type="dxa"/>
          </w:tblCellMar>
        </w:tblPrEx>
        <w:trPr>
          <w:wBefore w:w="0" w:type="auto"/>
          <w:tblCellSpacing w:w="0" w:type="dxa"/>
        </w:trPr>
        <w:tc>
          <w:tcPr>
            <w:tcW w:w="0" w:type="auto"/>
            <w:noWrap w:val="0"/>
            <w:vAlign w:val="center"/>
          </w:tcPr>
          <w:p w14:paraId="2C20C0FC">
            <w:r>
              <w:rPr>
                <w:rStyle w:val="10"/>
                <w:rFonts w:hint="eastAsia"/>
              </w:rPr>
              <w:t>总有效成分含量：</w:t>
            </w:r>
            <w:r>
              <w:rPr>
                <w:rFonts w:hint="eastAsia"/>
              </w:rPr>
              <w:t>20%</w:t>
            </w:r>
          </w:p>
        </w:tc>
      </w:tr>
      <w:tr w14:paraId="2CCD765E">
        <w:tblPrEx>
          <w:tblCellMar>
            <w:top w:w="0" w:type="dxa"/>
            <w:left w:w="0" w:type="dxa"/>
            <w:bottom w:w="0" w:type="dxa"/>
            <w:right w:w="0" w:type="dxa"/>
          </w:tblCellMar>
        </w:tblPrEx>
        <w:trPr>
          <w:wBefore w:w="0" w:type="auto"/>
          <w:tblCellSpacing w:w="0" w:type="dxa"/>
        </w:trPr>
        <w:tc>
          <w:tcPr>
            <w:tcW w:w="0" w:type="auto"/>
            <w:noWrap w:val="0"/>
            <w:vAlign w:val="center"/>
          </w:tcPr>
          <w:p w14:paraId="0F2C3122">
            <w:r>
              <w:rPr>
                <w:rFonts w:hint="eastAsia"/>
              </w:rPr>
              <w:t xml:space="preserve">有效成分及其含量： </w:t>
            </w:r>
          </w:p>
          <w:p w14:paraId="39A7C943">
            <w:r>
              <w:rPr>
                <w:rFonts w:hint="eastAsia"/>
              </w:rPr>
              <w:t xml:space="preserve">    敌草快二氯盐20%    </w:t>
            </w:r>
          </w:p>
        </w:tc>
      </w:tr>
      <w:tr w14:paraId="185B4BA7">
        <w:tblPrEx>
          <w:tblCellMar>
            <w:top w:w="0" w:type="dxa"/>
            <w:left w:w="0" w:type="dxa"/>
            <w:bottom w:w="0" w:type="dxa"/>
            <w:right w:w="0" w:type="dxa"/>
          </w:tblCellMar>
        </w:tblPrEx>
        <w:trPr>
          <w:wBefore w:w="0" w:type="auto"/>
          <w:tblCellSpacing w:w="0" w:type="dxa"/>
        </w:trPr>
        <w:tc>
          <w:tcPr>
            <w:tcW w:w="0" w:type="auto"/>
            <w:noWrap w:val="0"/>
            <w:vAlign w:val="center"/>
          </w:tcPr>
          <w:p w14:paraId="1505405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E6E0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E6A9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8C0C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45F34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184BBE">
                  <w:r>
                    <w:rPr>
                      <w:rStyle w:val="11"/>
                      <w:rFonts w:hint="eastAsia"/>
                    </w:rPr>
                    <w:t>施用方式</w:t>
                  </w:r>
                </w:p>
              </w:tc>
            </w:tr>
            <w:tr w14:paraId="22ECD1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E4B00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35078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1980CE">
                  <w:r>
                    <w:rPr>
                      <w:rStyle w:val="11"/>
                      <w:rFonts w:hint="eastAsia"/>
                    </w:rPr>
                    <w:t>250-350毫升/亩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B83216">
                  <w:r>
                    <w:rPr>
                      <w:rStyle w:val="11"/>
                      <w:rFonts w:hint="eastAsia"/>
                    </w:rPr>
                    <w:t>茎叶喷雾</w:t>
                  </w:r>
                </w:p>
              </w:tc>
            </w:tr>
          </w:tbl>
          <w:p w14:paraId="25AB180E">
            <w:pPr>
              <w:rPr>
                <w:rFonts w:ascii="Times New Roman" w:hAnsi="Times New Roman" w:cs="Times New Roman"/>
                <w:sz w:val="20"/>
                <w:szCs w:val="20"/>
              </w:rPr>
            </w:pPr>
          </w:p>
        </w:tc>
      </w:tr>
      <w:tr w14:paraId="65A22ACD">
        <w:tblPrEx>
          <w:tblCellMar>
            <w:top w:w="0" w:type="dxa"/>
            <w:left w:w="0" w:type="dxa"/>
            <w:bottom w:w="0" w:type="dxa"/>
            <w:right w:w="0" w:type="dxa"/>
          </w:tblCellMar>
        </w:tblPrEx>
        <w:trPr>
          <w:wBefore w:w="0" w:type="auto"/>
          <w:tblCellSpacing w:w="0" w:type="dxa"/>
        </w:trPr>
        <w:tc>
          <w:tcPr>
            <w:tcW w:w="0" w:type="auto"/>
            <w:noWrap w:val="0"/>
            <w:vAlign w:val="center"/>
          </w:tcPr>
          <w:p w14:paraId="62C6B2EF">
            <w:r>
              <w:rPr>
                <w:rStyle w:val="10"/>
                <w:rFonts w:hint="eastAsia"/>
              </w:rPr>
              <w:t>使用技术要求:</w:t>
            </w:r>
            <w:r>
              <w:rPr>
                <w:rFonts w:hint="eastAsia"/>
              </w:rPr>
              <w:br w:type="textWrapping"/>
            </w:r>
            <w:r>
              <w:rPr>
                <w:rStyle w:val="11"/>
                <w:rFonts w:hint="eastAsia"/>
              </w:rPr>
              <w:t>1.本品于非耕地杂草生长旺盛期兑水定向茎叶喷雾，对杂草叶面喷雾要均匀，每季最多使用1次。 2.施药时应带上喷雾罩定向喷雾，避免药液喷洒到周边作物上，以免产生药害； 3.大风天或预计1小时内有雨，请勿施药。4、禁止在田间道路、田埂、果树行间、休耕地、林场林地等农林业区域使用。</w:t>
            </w:r>
          </w:p>
        </w:tc>
      </w:tr>
      <w:tr w14:paraId="208FAB7C">
        <w:tblPrEx>
          <w:tblCellMar>
            <w:top w:w="0" w:type="dxa"/>
            <w:left w:w="0" w:type="dxa"/>
            <w:bottom w:w="0" w:type="dxa"/>
            <w:right w:w="0" w:type="dxa"/>
          </w:tblCellMar>
        </w:tblPrEx>
        <w:trPr>
          <w:wBefore w:w="0" w:type="auto"/>
          <w:tblCellSpacing w:w="0" w:type="dxa"/>
        </w:trPr>
        <w:tc>
          <w:tcPr>
            <w:tcW w:w="0" w:type="auto"/>
            <w:noWrap w:val="0"/>
            <w:vAlign w:val="center"/>
          </w:tcPr>
          <w:p w14:paraId="42C7603A">
            <w:r>
              <w:rPr>
                <w:rStyle w:val="10"/>
                <w:rFonts w:hint="eastAsia"/>
              </w:rPr>
              <w:t>产品性能:</w:t>
            </w:r>
            <w:r>
              <w:rPr>
                <w:rFonts w:hint="eastAsia"/>
              </w:rPr>
              <w:br w:type="textWrapping"/>
            </w:r>
            <w:r>
              <w:rPr>
                <w:rStyle w:val="11"/>
                <w:rFonts w:hint="eastAsia"/>
              </w:rPr>
              <w:t>本品有效成分敌草快二氯盐为非选择性触杀型除草剂，具有一定传导性，施药后可被杂草绿色组织迅速吸收，使杂草植株受药部位枯黄。杂草受药后数小时即开始枯死。可用于防除非耕地杂草。</w:t>
            </w:r>
          </w:p>
        </w:tc>
      </w:tr>
      <w:tr w14:paraId="00D4E19F">
        <w:tblPrEx>
          <w:tblCellMar>
            <w:top w:w="0" w:type="dxa"/>
            <w:left w:w="0" w:type="dxa"/>
            <w:bottom w:w="0" w:type="dxa"/>
            <w:right w:w="0" w:type="dxa"/>
          </w:tblCellMar>
        </w:tblPrEx>
        <w:trPr>
          <w:wBefore w:w="0" w:type="auto"/>
          <w:tblCellSpacing w:w="0" w:type="dxa"/>
        </w:trPr>
        <w:tc>
          <w:tcPr>
            <w:tcW w:w="0" w:type="auto"/>
            <w:noWrap w:val="0"/>
            <w:vAlign w:val="center"/>
          </w:tcPr>
          <w:p w14:paraId="7A3F4B0A">
            <w:r>
              <w:rPr>
                <w:rStyle w:val="10"/>
                <w:rFonts w:hint="eastAsia"/>
              </w:rPr>
              <w:t>注意事项：</w:t>
            </w:r>
            <w:r>
              <w:rPr>
                <w:rFonts w:hint="eastAsia"/>
              </w:rPr>
              <w:br w:type="textWrapping"/>
            </w:r>
            <w:r>
              <w:rPr>
                <w:rStyle w:val="11"/>
                <w:rFonts w:hint="eastAsia"/>
              </w:rPr>
              <w:t>1、使用前请仔细阅读本标签，须按照标签说明使用；2、本品对鸟类、家蚕和非靶标生物有影响，鸟类保护区附近禁用；蚕室和桑园附近禁用；天敌放飞区禁用。施药后的田水不得直接排入河塘等水域；远离水产养殖区施药，禁止在河塘等水域内清洗施药器械。 3、使用本品时应穿防护服和戴手套、口罩等，避免吸入药液，施药期间不可吃东西和饮水，施药后应及时洗手洗脸。 4、建议与其他作用机制不同的除草剂轮换使用。 5、用过的容器应妥善处理，不可做他用，也不可随意丢弃。 6、孕妇及哺乳期妇女禁止接触。</w:t>
            </w:r>
          </w:p>
        </w:tc>
      </w:tr>
      <w:tr w14:paraId="2A5D76ED">
        <w:tblPrEx>
          <w:tblCellMar>
            <w:top w:w="0" w:type="dxa"/>
            <w:left w:w="0" w:type="dxa"/>
            <w:bottom w:w="0" w:type="dxa"/>
            <w:right w:w="0" w:type="dxa"/>
          </w:tblCellMar>
        </w:tblPrEx>
        <w:trPr>
          <w:wBefore w:w="0" w:type="auto"/>
          <w:tblCellSpacing w:w="0" w:type="dxa"/>
        </w:trPr>
        <w:tc>
          <w:tcPr>
            <w:tcW w:w="0" w:type="auto"/>
            <w:noWrap w:val="0"/>
            <w:vAlign w:val="center"/>
          </w:tcPr>
          <w:p w14:paraId="0A0C8A44">
            <w:r>
              <w:rPr>
                <w:rStyle w:val="10"/>
                <w:rFonts w:hint="eastAsia"/>
              </w:rPr>
              <w:t>中毒急救措施：</w:t>
            </w:r>
            <w:r>
              <w:rPr>
                <w:rFonts w:hint="eastAsia"/>
              </w:rPr>
              <w:br w:type="textWrapping"/>
            </w:r>
            <w:r>
              <w:rPr>
                <w:rStyle w:val="11"/>
                <w:rFonts w:hint="eastAsia"/>
              </w:rPr>
              <w:t>1、用药时如感觉不适，应停止工作，携此标签送医就诊。2、发生误服：立即引吐。并携此标签迅速将误服者送医院急救，无特殊解毒剂，对症治疗。3、眼睛溅药：立即翻开眼睑，用清水冲洗至少15分钟，并就医。4、皮肤接触：立即脱掉污染衣物，用肥皂和清水彻底清洗，并就医。5、发生吸入：立即将吸入者转移到空气新鲜处，并就医。本品无特效解毒剂，对症治疗。</w:t>
            </w:r>
          </w:p>
        </w:tc>
      </w:tr>
      <w:tr w14:paraId="52FFB7C3">
        <w:tblPrEx>
          <w:tblCellMar>
            <w:top w:w="0" w:type="dxa"/>
            <w:left w:w="0" w:type="dxa"/>
            <w:bottom w:w="0" w:type="dxa"/>
            <w:right w:w="0" w:type="dxa"/>
          </w:tblCellMar>
        </w:tblPrEx>
        <w:trPr>
          <w:wBefore w:w="0" w:type="auto"/>
          <w:tblCellSpacing w:w="0" w:type="dxa"/>
        </w:trPr>
        <w:tc>
          <w:tcPr>
            <w:tcW w:w="0" w:type="auto"/>
            <w:noWrap w:val="0"/>
            <w:vAlign w:val="center"/>
          </w:tcPr>
          <w:p w14:paraId="4E33002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本品应贮存在干燥、阴凉、通风、防雨处，远离火源或热源。置于儿童、无关人员触及不到之处，并加锁。勿与食品、饮料、饲料等其他商品同贮同运。严禁倒置。应避免与氧化剂接触。</w:t>
            </w:r>
          </w:p>
        </w:tc>
      </w:tr>
      <w:tr w14:paraId="65D30C4C">
        <w:tblPrEx>
          <w:tblCellMar>
            <w:top w:w="0" w:type="dxa"/>
            <w:left w:w="0" w:type="dxa"/>
            <w:bottom w:w="0" w:type="dxa"/>
            <w:right w:w="0" w:type="dxa"/>
          </w:tblCellMar>
        </w:tblPrEx>
        <w:trPr>
          <w:wBefore w:w="0" w:type="auto"/>
          <w:tblCellSpacing w:w="0" w:type="dxa"/>
        </w:trPr>
        <w:tc>
          <w:tcPr>
            <w:tcW w:w="0" w:type="auto"/>
            <w:noWrap w:val="0"/>
            <w:vAlign w:val="center"/>
          </w:tcPr>
          <w:p w14:paraId="47C26519">
            <w:r>
              <w:rPr>
                <w:rStyle w:val="10"/>
                <w:rFonts w:hint="eastAsia"/>
              </w:rPr>
              <w:t>质量保证期：</w:t>
            </w:r>
            <w:r>
              <w:rPr>
                <w:rStyle w:val="11"/>
                <w:rFonts w:hint="eastAsia"/>
              </w:rPr>
              <w:t>2年</w:t>
            </w:r>
          </w:p>
        </w:tc>
      </w:tr>
      <w:tr w14:paraId="73BDC41B">
        <w:tblPrEx>
          <w:tblCellMar>
            <w:top w:w="0" w:type="dxa"/>
            <w:left w:w="0" w:type="dxa"/>
            <w:bottom w:w="0" w:type="dxa"/>
            <w:right w:w="0" w:type="dxa"/>
          </w:tblCellMar>
        </w:tblPrEx>
        <w:trPr>
          <w:wBefore w:w="0" w:type="auto"/>
          <w:tblCellSpacing w:w="0" w:type="dxa"/>
        </w:trPr>
        <w:tc>
          <w:tcPr>
            <w:tcW w:w="0" w:type="auto"/>
            <w:noWrap w:val="0"/>
            <w:vAlign w:val="center"/>
          </w:tcPr>
          <w:p w14:paraId="29BDEADB">
            <w:r>
              <w:rPr>
                <w:rStyle w:val="10"/>
                <w:rFonts w:hint="eastAsia"/>
              </w:rPr>
              <w:t>备注：</w:t>
            </w:r>
          </w:p>
        </w:tc>
      </w:tr>
    </w:tbl>
    <w:p w14:paraId="00CFFFA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69214B">
        <w:tblPrEx>
          <w:tblCellMar>
            <w:top w:w="0" w:type="dxa"/>
            <w:left w:w="0" w:type="dxa"/>
            <w:bottom w:w="0" w:type="dxa"/>
            <w:right w:w="0" w:type="dxa"/>
          </w:tblCellMar>
        </w:tblPrEx>
        <w:trPr>
          <w:wBefore w:w="0" w:type="auto"/>
          <w:tblCellSpacing w:w="0" w:type="dxa"/>
        </w:trPr>
        <w:tc>
          <w:tcPr>
            <w:tcW w:w="0" w:type="auto"/>
            <w:noWrap w:val="0"/>
            <w:vAlign w:val="center"/>
          </w:tcPr>
          <w:p w14:paraId="13ED1082">
            <w:r>
              <w:rPr>
                <w:rStyle w:val="10"/>
                <w:rFonts w:hint="eastAsia"/>
              </w:rPr>
              <w:t>登记证号：</w:t>
            </w:r>
            <w:r>
              <w:rPr>
                <w:rFonts w:hint="eastAsia"/>
              </w:rPr>
              <w:t>PD20212508</w:t>
            </w:r>
          </w:p>
        </w:tc>
      </w:tr>
      <w:tr w14:paraId="06440EEC">
        <w:tblPrEx>
          <w:tblCellMar>
            <w:top w:w="0" w:type="dxa"/>
            <w:left w:w="0" w:type="dxa"/>
            <w:bottom w:w="0" w:type="dxa"/>
            <w:right w:w="0" w:type="dxa"/>
          </w:tblCellMar>
        </w:tblPrEx>
        <w:trPr>
          <w:wBefore w:w="0" w:type="auto"/>
          <w:tblCellSpacing w:w="0" w:type="dxa"/>
        </w:trPr>
        <w:tc>
          <w:tcPr>
            <w:tcW w:w="0" w:type="auto"/>
            <w:noWrap w:val="0"/>
            <w:vAlign w:val="center"/>
          </w:tcPr>
          <w:p w14:paraId="601F44DD">
            <w:r>
              <w:rPr>
                <w:rStyle w:val="10"/>
                <w:rFonts w:hint="eastAsia"/>
              </w:rPr>
              <w:t>登记证持有人：</w:t>
            </w:r>
            <w:r>
              <w:rPr>
                <w:rFonts w:hint="eastAsia"/>
              </w:rPr>
              <w:t>南宁市德丰富化工有限责任公司</w:t>
            </w:r>
          </w:p>
        </w:tc>
      </w:tr>
      <w:tr w14:paraId="3F41423E">
        <w:tblPrEx>
          <w:tblCellMar>
            <w:top w:w="0" w:type="dxa"/>
            <w:left w:w="0" w:type="dxa"/>
            <w:bottom w:w="0" w:type="dxa"/>
            <w:right w:w="0" w:type="dxa"/>
          </w:tblCellMar>
        </w:tblPrEx>
        <w:trPr>
          <w:wBefore w:w="0" w:type="auto"/>
          <w:tblCellSpacing w:w="0" w:type="dxa"/>
        </w:trPr>
        <w:tc>
          <w:tcPr>
            <w:tcW w:w="0" w:type="auto"/>
            <w:noWrap w:val="0"/>
            <w:vAlign w:val="center"/>
          </w:tcPr>
          <w:p w14:paraId="17B35476">
            <w:r>
              <w:rPr>
                <w:rStyle w:val="10"/>
                <w:rFonts w:hint="eastAsia"/>
              </w:rPr>
              <w:t>农药名称：</w:t>
            </w:r>
            <w:r>
              <w:rPr>
                <w:rFonts w:hint="eastAsia"/>
              </w:rPr>
              <w:t>草甘膦钾盐</w:t>
            </w:r>
          </w:p>
        </w:tc>
      </w:tr>
      <w:tr w14:paraId="1EFE719D">
        <w:tblPrEx>
          <w:tblCellMar>
            <w:top w:w="0" w:type="dxa"/>
            <w:left w:w="0" w:type="dxa"/>
            <w:bottom w:w="0" w:type="dxa"/>
            <w:right w:w="0" w:type="dxa"/>
          </w:tblCellMar>
        </w:tblPrEx>
        <w:trPr>
          <w:wBefore w:w="0" w:type="auto"/>
          <w:tblCellSpacing w:w="0" w:type="dxa"/>
        </w:trPr>
        <w:tc>
          <w:tcPr>
            <w:tcW w:w="0" w:type="auto"/>
            <w:noWrap w:val="0"/>
            <w:vAlign w:val="center"/>
          </w:tcPr>
          <w:p w14:paraId="540E7E8B">
            <w:r>
              <w:rPr>
                <w:rStyle w:val="10"/>
                <w:rFonts w:hint="eastAsia"/>
              </w:rPr>
              <w:t>剂型：</w:t>
            </w:r>
            <w:r>
              <w:rPr>
                <w:rFonts w:hint="eastAsia"/>
              </w:rPr>
              <w:t>可溶液剂</w:t>
            </w:r>
          </w:p>
        </w:tc>
      </w:tr>
      <w:tr w14:paraId="4B341963">
        <w:tblPrEx>
          <w:tblCellMar>
            <w:top w:w="0" w:type="dxa"/>
            <w:left w:w="0" w:type="dxa"/>
            <w:bottom w:w="0" w:type="dxa"/>
            <w:right w:w="0" w:type="dxa"/>
          </w:tblCellMar>
        </w:tblPrEx>
        <w:trPr>
          <w:wBefore w:w="0" w:type="auto"/>
          <w:tblCellSpacing w:w="0" w:type="dxa"/>
        </w:trPr>
        <w:tc>
          <w:tcPr>
            <w:tcW w:w="0" w:type="auto"/>
            <w:noWrap w:val="0"/>
            <w:vAlign w:val="center"/>
          </w:tcPr>
          <w:p w14:paraId="06A25282">
            <w:r>
              <w:rPr>
                <w:rStyle w:val="10"/>
                <w:rFonts w:hint="eastAsia"/>
              </w:rPr>
              <w:t>毒性及其标识：</w:t>
            </w:r>
            <w:r>
              <w:rPr>
                <w:rFonts w:hint="eastAsia"/>
              </w:rPr>
              <w:t xml:space="preserve"> </w:t>
            </w:r>
            <w:r>
              <w:rPr>
                <w:lang/>
              </w:rPr>
              <w:drawing>
                <wp:inline distT="0" distB="0" distL="114300" distR="114300">
                  <wp:extent cx="476250" cy="323850"/>
                  <wp:effectExtent l="0" t="0" r="0" b="0"/>
                  <wp:docPr id="275" name="图片 2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58201D">
        <w:tblPrEx>
          <w:tblCellMar>
            <w:top w:w="0" w:type="dxa"/>
            <w:left w:w="0" w:type="dxa"/>
            <w:bottom w:w="0" w:type="dxa"/>
            <w:right w:w="0" w:type="dxa"/>
          </w:tblCellMar>
        </w:tblPrEx>
        <w:trPr>
          <w:wBefore w:w="0" w:type="auto"/>
          <w:tblCellSpacing w:w="0" w:type="dxa"/>
        </w:trPr>
        <w:tc>
          <w:tcPr>
            <w:tcW w:w="0" w:type="auto"/>
            <w:noWrap w:val="0"/>
            <w:vAlign w:val="center"/>
          </w:tcPr>
          <w:p w14:paraId="29651480">
            <w:r>
              <w:rPr>
                <w:rStyle w:val="10"/>
                <w:rFonts w:hint="eastAsia"/>
              </w:rPr>
              <w:t>总有效成分含量：</w:t>
            </w:r>
            <w:r>
              <w:rPr>
                <w:rFonts w:hint="eastAsia"/>
              </w:rPr>
              <w:t>41%</w:t>
            </w:r>
          </w:p>
        </w:tc>
      </w:tr>
      <w:tr w14:paraId="6365A482">
        <w:tblPrEx>
          <w:tblCellMar>
            <w:top w:w="0" w:type="dxa"/>
            <w:left w:w="0" w:type="dxa"/>
            <w:bottom w:w="0" w:type="dxa"/>
            <w:right w:w="0" w:type="dxa"/>
          </w:tblCellMar>
        </w:tblPrEx>
        <w:trPr>
          <w:wBefore w:w="0" w:type="auto"/>
          <w:tblCellSpacing w:w="0" w:type="dxa"/>
        </w:trPr>
        <w:tc>
          <w:tcPr>
            <w:tcW w:w="0" w:type="auto"/>
            <w:noWrap w:val="0"/>
            <w:vAlign w:val="center"/>
          </w:tcPr>
          <w:p w14:paraId="50D180CF">
            <w:r>
              <w:rPr>
                <w:rFonts w:hint="eastAsia"/>
              </w:rPr>
              <w:t xml:space="preserve">有效成分及其含量： </w:t>
            </w:r>
          </w:p>
          <w:p w14:paraId="578ACEAB">
            <w:r>
              <w:rPr>
                <w:rFonts w:hint="eastAsia"/>
              </w:rPr>
              <w:t xml:space="preserve">    草甘膦41%    </w:t>
            </w:r>
          </w:p>
        </w:tc>
      </w:tr>
      <w:tr w14:paraId="019D5189">
        <w:tblPrEx>
          <w:tblCellMar>
            <w:top w:w="0" w:type="dxa"/>
            <w:left w:w="0" w:type="dxa"/>
            <w:bottom w:w="0" w:type="dxa"/>
            <w:right w:w="0" w:type="dxa"/>
          </w:tblCellMar>
        </w:tblPrEx>
        <w:trPr>
          <w:wBefore w:w="0" w:type="auto"/>
          <w:tblCellSpacing w:w="0" w:type="dxa"/>
        </w:trPr>
        <w:tc>
          <w:tcPr>
            <w:tcW w:w="0" w:type="auto"/>
            <w:noWrap w:val="0"/>
            <w:vAlign w:val="center"/>
          </w:tcPr>
          <w:p w14:paraId="4A9B13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F10C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8EBE0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49127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ED1DF3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C2E302">
                  <w:r>
                    <w:rPr>
                      <w:rStyle w:val="11"/>
                      <w:rFonts w:hint="eastAsia"/>
                    </w:rPr>
                    <w:t>施用方式</w:t>
                  </w:r>
                </w:p>
              </w:tc>
            </w:tr>
            <w:tr w14:paraId="54944B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3704B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E5AC0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DD9539">
                  <w:r>
                    <w:rPr>
                      <w:rStyle w:val="11"/>
                      <w:rFonts w:hint="eastAsia"/>
                    </w:rPr>
                    <w:t>170-330毫升/亩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395B16">
                  <w:r>
                    <w:rPr>
                      <w:rStyle w:val="11"/>
                      <w:rFonts w:hint="eastAsia"/>
                    </w:rPr>
                    <w:t>茎叶喷雾</w:t>
                  </w:r>
                </w:p>
              </w:tc>
            </w:tr>
          </w:tbl>
          <w:p w14:paraId="14E07165">
            <w:pPr>
              <w:rPr>
                <w:rFonts w:ascii="Times New Roman" w:hAnsi="Times New Roman" w:cs="Times New Roman"/>
                <w:sz w:val="20"/>
                <w:szCs w:val="20"/>
              </w:rPr>
            </w:pPr>
          </w:p>
        </w:tc>
      </w:tr>
      <w:tr w14:paraId="05608B15">
        <w:tblPrEx>
          <w:tblCellMar>
            <w:top w:w="0" w:type="dxa"/>
            <w:left w:w="0" w:type="dxa"/>
            <w:bottom w:w="0" w:type="dxa"/>
            <w:right w:w="0" w:type="dxa"/>
          </w:tblCellMar>
        </w:tblPrEx>
        <w:trPr>
          <w:wBefore w:w="0" w:type="auto"/>
          <w:tblCellSpacing w:w="0" w:type="dxa"/>
        </w:trPr>
        <w:tc>
          <w:tcPr>
            <w:tcW w:w="0" w:type="auto"/>
            <w:noWrap w:val="0"/>
            <w:vAlign w:val="center"/>
          </w:tcPr>
          <w:p w14:paraId="10BF49B7">
            <w:r>
              <w:rPr>
                <w:rStyle w:val="10"/>
                <w:rFonts w:hint="eastAsia"/>
              </w:rPr>
              <w:t>使用技术要求:</w:t>
            </w:r>
            <w:r>
              <w:rPr>
                <w:rFonts w:hint="eastAsia"/>
              </w:rPr>
              <w:br w:type="textWrapping"/>
            </w:r>
            <w:r>
              <w:rPr>
                <w:rStyle w:val="11"/>
                <w:rFonts w:hint="eastAsia"/>
              </w:rPr>
              <w:t>1. 在非耕地杂草生长旺盛期施药，按推荐用药量兑水均匀喷雾。 2. 大风天或预计1小时内降雨，请勿使用。3. 本品是灭生性除草剂，避免飘移药害，施药时应避免药液漂移到临近敏感作物上，以防产生药害。4. 禁止在田间道路、田埂、果树行间、休耕地、林场林地等农林业区域使用。</w:t>
            </w:r>
          </w:p>
        </w:tc>
      </w:tr>
      <w:tr w14:paraId="54A1F639">
        <w:tblPrEx>
          <w:tblCellMar>
            <w:top w:w="0" w:type="dxa"/>
            <w:left w:w="0" w:type="dxa"/>
            <w:bottom w:w="0" w:type="dxa"/>
            <w:right w:w="0" w:type="dxa"/>
          </w:tblCellMar>
        </w:tblPrEx>
        <w:trPr>
          <w:wBefore w:w="0" w:type="auto"/>
          <w:tblCellSpacing w:w="0" w:type="dxa"/>
        </w:trPr>
        <w:tc>
          <w:tcPr>
            <w:tcW w:w="0" w:type="auto"/>
            <w:noWrap w:val="0"/>
            <w:vAlign w:val="center"/>
          </w:tcPr>
          <w:p w14:paraId="78EAFA26">
            <w:r>
              <w:rPr>
                <w:rStyle w:val="10"/>
                <w:rFonts w:hint="eastAsia"/>
              </w:rPr>
              <w:t>产品性能:</w:t>
            </w:r>
            <w:r>
              <w:rPr>
                <w:rFonts w:hint="eastAsia"/>
              </w:rPr>
              <w:br w:type="textWrapping"/>
            </w:r>
            <w:r>
              <w:rPr>
                <w:rStyle w:val="11"/>
                <w:rFonts w:hint="eastAsia"/>
              </w:rPr>
              <w:t>本品主要通过抑制植物体内烯醇丙酮基莽草素磷酸合成酶致植物死亡。本品为有机磷类内吸、传导型广谱灭生性除草剂。用于防治非耕地杂草。</w:t>
            </w:r>
          </w:p>
        </w:tc>
      </w:tr>
      <w:tr w14:paraId="39C54592">
        <w:tblPrEx>
          <w:tblCellMar>
            <w:top w:w="0" w:type="dxa"/>
            <w:left w:w="0" w:type="dxa"/>
            <w:bottom w:w="0" w:type="dxa"/>
            <w:right w:w="0" w:type="dxa"/>
          </w:tblCellMar>
        </w:tblPrEx>
        <w:trPr>
          <w:wBefore w:w="0" w:type="auto"/>
          <w:tblCellSpacing w:w="0" w:type="dxa"/>
        </w:trPr>
        <w:tc>
          <w:tcPr>
            <w:tcW w:w="0" w:type="auto"/>
            <w:noWrap w:val="0"/>
            <w:vAlign w:val="center"/>
          </w:tcPr>
          <w:p w14:paraId="139A607B">
            <w:r>
              <w:rPr>
                <w:rStyle w:val="10"/>
                <w:rFonts w:hint="eastAsia"/>
              </w:rPr>
              <w:t>注意事项：</w:t>
            </w:r>
            <w:r>
              <w:rPr>
                <w:rFonts w:hint="eastAsia"/>
              </w:rPr>
              <w:br w:type="textWrapping"/>
            </w:r>
            <w:r>
              <w:rPr>
                <w:rStyle w:val="11"/>
                <w:rFonts w:hint="eastAsia"/>
              </w:rPr>
              <w:t>1. 勿用浊水稀释，以免降低药效。2. 喷雾时要均匀周到，用药量要准确。遇干燥天气，杂草枯萎，请酌情增加用药量。3. 使用本品时应穿戴防护服和手套，避免吸入药液，施药期间不可吃东西和饮水，施药后应及时洗手和洗脸。4. 禁止在河塘等水域清洗施药器具，清洗器具的废水不能排入河流、池塘等水源。5. 禁止在赤眼蜂等天敌放飞期使用，鸟类保护区附近禁用。6. 用过的容器应妥善处理。不能随意丢弃，也不能做他用。7. 禁止孕妇及哺乳期的妇女接触。</w:t>
            </w:r>
          </w:p>
        </w:tc>
      </w:tr>
      <w:tr w14:paraId="13BE03D9">
        <w:tblPrEx>
          <w:tblCellMar>
            <w:top w:w="0" w:type="dxa"/>
            <w:left w:w="0" w:type="dxa"/>
            <w:bottom w:w="0" w:type="dxa"/>
            <w:right w:w="0" w:type="dxa"/>
          </w:tblCellMar>
        </w:tblPrEx>
        <w:trPr>
          <w:wBefore w:w="0" w:type="auto"/>
          <w:tblCellSpacing w:w="0" w:type="dxa"/>
        </w:trPr>
        <w:tc>
          <w:tcPr>
            <w:tcW w:w="0" w:type="auto"/>
            <w:noWrap w:val="0"/>
            <w:vAlign w:val="center"/>
          </w:tcPr>
          <w:p w14:paraId="17A14A96">
            <w:r>
              <w:rPr>
                <w:rStyle w:val="10"/>
                <w:rFonts w:hint="eastAsia"/>
              </w:rPr>
              <w:t>中毒急救措施：</w:t>
            </w:r>
            <w:r>
              <w:rPr>
                <w:rFonts w:hint="eastAsia"/>
              </w:rPr>
              <w:br w:type="textWrapping"/>
            </w:r>
            <w:r>
              <w:rPr>
                <w:rStyle w:val="11"/>
                <w:rFonts w:hint="eastAsia"/>
              </w:rPr>
              <w:t>本品对眼睛、皮肤、黏膜有轻度刺激作用。 使用中或使用后如果感觉不适，应立即停止工作，采取急救措施，并携带标签送医院就诊。 皮肤接触：脱去污染的衣物，用软布去除沾染农药，立即用大量清水和肥皂冲洗；眼睛溅入：立即用流动清水冲洗不少于15分钟；吸入：立即离开施药现场，转移到空气清新处。呼吸困难者给输氧，并及时就医。 误食：立即停止服用，用清水充分漱口后，立即携带农药标签到医院就诊。或在专业人员的监督下催吐、洗胃。本品无特殊解毒药。可用吐根糖浆诱吐，还可在服用的活性炭泥中加入山梨醇。</w:t>
            </w:r>
          </w:p>
        </w:tc>
      </w:tr>
      <w:tr w14:paraId="5D3C6943">
        <w:tblPrEx>
          <w:tblCellMar>
            <w:top w:w="0" w:type="dxa"/>
            <w:left w:w="0" w:type="dxa"/>
            <w:bottom w:w="0" w:type="dxa"/>
            <w:right w:w="0" w:type="dxa"/>
          </w:tblCellMar>
        </w:tblPrEx>
        <w:trPr>
          <w:wBefore w:w="0" w:type="auto"/>
          <w:tblCellSpacing w:w="0" w:type="dxa"/>
        </w:trPr>
        <w:tc>
          <w:tcPr>
            <w:tcW w:w="0" w:type="auto"/>
            <w:noWrap w:val="0"/>
            <w:vAlign w:val="center"/>
          </w:tcPr>
          <w:p w14:paraId="3A20519D">
            <w:r>
              <w:rPr>
                <w:rStyle w:val="10"/>
                <w:rFonts w:hint="eastAsia"/>
              </w:rPr>
              <w:t>储存和运输方法：</w:t>
            </w:r>
            <w:r>
              <w:rPr>
                <w:rFonts w:hint="eastAsia"/>
              </w:rPr>
              <w:br w:type="textWrapping"/>
            </w:r>
            <w:r>
              <w:rPr>
                <w:rStyle w:val="11"/>
                <w:rFonts w:hint="eastAsia"/>
              </w:rPr>
              <w:t>本品应贮存在干燥、阴凉、通风、防雨处。远离火源和热源。运输时防雨防潮；装卸时轻卸轻放 。本品应当置于儿童、无关人员及动物接触不到的地方并加锁保存。勿与食品、种子、饲料、饮料等其他商品同贮同运。</w:t>
            </w:r>
          </w:p>
        </w:tc>
      </w:tr>
      <w:tr w14:paraId="5DA9211C">
        <w:tblPrEx>
          <w:tblCellMar>
            <w:top w:w="0" w:type="dxa"/>
            <w:left w:w="0" w:type="dxa"/>
            <w:bottom w:w="0" w:type="dxa"/>
            <w:right w:w="0" w:type="dxa"/>
          </w:tblCellMar>
        </w:tblPrEx>
        <w:trPr>
          <w:wBefore w:w="0" w:type="auto"/>
          <w:tblCellSpacing w:w="0" w:type="dxa"/>
        </w:trPr>
        <w:tc>
          <w:tcPr>
            <w:tcW w:w="0" w:type="auto"/>
            <w:noWrap w:val="0"/>
            <w:vAlign w:val="center"/>
          </w:tcPr>
          <w:p w14:paraId="49BE9E85">
            <w:r>
              <w:rPr>
                <w:rStyle w:val="10"/>
                <w:rFonts w:hint="eastAsia"/>
              </w:rPr>
              <w:t>质量保证期：</w:t>
            </w:r>
            <w:r>
              <w:rPr>
                <w:rStyle w:val="11"/>
                <w:rFonts w:hint="eastAsia"/>
              </w:rPr>
              <w:t>2年</w:t>
            </w:r>
          </w:p>
        </w:tc>
      </w:tr>
      <w:tr w14:paraId="3F5428BB">
        <w:tblPrEx>
          <w:tblCellMar>
            <w:top w:w="0" w:type="dxa"/>
            <w:left w:w="0" w:type="dxa"/>
            <w:bottom w:w="0" w:type="dxa"/>
            <w:right w:w="0" w:type="dxa"/>
          </w:tblCellMar>
        </w:tblPrEx>
        <w:trPr>
          <w:wBefore w:w="0" w:type="auto"/>
          <w:tblCellSpacing w:w="0" w:type="dxa"/>
        </w:trPr>
        <w:tc>
          <w:tcPr>
            <w:tcW w:w="0" w:type="auto"/>
            <w:noWrap w:val="0"/>
            <w:vAlign w:val="center"/>
          </w:tcPr>
          <w:p w14:paraId="159F28E5">
            <w:r>
              <w:rPr>
                <w:rStyle w:val="10"/>
                <w:rFonts w:hint="eastAsia"/>
              </w:rPr>
              <w:t>备注：</w:t>
            </w:r>
            <w:r>
              <w:rPr>
                <w:rFonts w:hint="eastAsia"/>
              </w:rPr>
              <w:br w:type="textWrapping"/>
            </w:r>
            <w:r>
              <w:rPr>
                <w:rStyle w:val="11"/>
                <w:rFonts w:hint="eastAsia"/>
              </w:rPr>
              <w:t>草甘膦钾盐50%。</w:t>
            </w:r>
          </w:p>
        </w:tc>
      </w:tr>
    </w:tbl>
    <w:p w14:paraId="45C39FE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B22988">
        <w:tblPrEx>
          <w:tblCellMar>
            <w:top w:w="0" w:type="dxa"/>
            <w:left w:w="0" w:type="dxa"/>
            <w:bottom w:w="0" w:type="dxa"/>
            <w:right w:w="0" w:type="dxa"/>
          </w:tblCellMar>
        </w:tblPrEx>
        <w:trPr>
          <w:wBefore w:w="0" w:type="auto"/>
          <w:tblCellSpacing w:w="0" w:type="dxa"/>
        </w:trPr>
        <w:tc>
          <w:tcPr>
            <w:tcW w:w="0" w:type="auto"/>
            <w:noWrap w:val="0"/>
            <w:vAlign w:val="center"/>
          </w:tcPr>
          <w:p w14:paraId="1E9E7550">
            <w:r>
              <w:rPr>
                <w:rStyle w:val="10"/>
                <w:rFonts w:hint="eastAsia"/>
              </w:rPr>
              <w:t>登记证号：</w:t>
            </w:r>
            <w:r>
              <w:rPr>
                <w:rFonts w:hint="eastAsia"/>
              </w:rPr>
              <w:t>PD20212412</w:t>
            </w:r>
          </w:p>
        </w:tc>
      </w:tr>
      <w:tr w14:paraId="692AAC90">
        <w:tblPrEx>
          <w:tblCellMar>
            <w:top w:w="0" w:type="dxa"/>
            <w:left w:w="0" w:type="dxa"/>
            <w:bottom w:w="0" w:type="dxa"/>
            <w:right w:w="0" w:type="dxa"/>
          </w:tblCellMar>
        </w:tblPrEx>
        <w:trPr>
          <w:wBefore w:w="0" w:type="auto"/>
          <w:tblCellSpacing w:w="0" w:type="dxa"/>
        </w:trPr>
        <w:tc>
          <w:tcPr>
            <w:tcW w:w="0" w:type="auto"/>
            <w:noWrap w:val="0"/>
            <w:vAlign w:val="center"/>
          </w:tcPr>
          <w:p w14:paraId="0C3A09DA">
            <w:r>
              <w:rPr>
                <w:rStyle w:val="10"/>
                <w:rFonts w:hint="eastAsia"/>
              </w:rPr>
              <w:t>登记证持有人：</w:t>
            </w:r>
            <w:r>
              <w:rPr>
                <w:rFonts w:hint="eastAsia"/>
              </w:rPr>
              <w:t>顶秀作物科技有限公司</w:t>
            </w:r>
          </w:p>
        </w:tc>
      </w:tr>
      <w:tr w14:paraId="460A99F7">
        <w:tblPrEx>
          <w:tblCellMar>
            <w:top w:w="0" w:type="dxa"/>
            <w:left w:w="0" w:type="dxa"/>
            <w:bottom w:w="0" w:type="dxa"/>
            <w:right w:w="0" w:type="dxa"/>
          </w:tblCellMar>
        </w:tblPrEx>
        <w:trPr>
          <w:wBefore w:w="0" w:type="auto"/>
          <w:tblCellSpacing w:w="0" w:type="dxa"/>
        </w:trPr>
        <w:tc>
          <w:tcPr>
            <w:tcW w:w="0" w:type="auto"/>
            <w:noWrap w:val="0"/>
            <w:vAlign w:val="center"/>
          </w:tcPr>
          <w:p w14:paraId="169AB157">
            <w:r>
              <w:rPr>
                <w:rStyle w:val="10"/>
                <w:rFonts w:hint="eastAsia"/>
              </w:rPr>
              <w:t>农药名称：</w:t>
            </w:r>
            <w:r>
              <w:rPr>
                <w:rFonts w:hint="eastAsia"/>
              </w:rPr>
              <w:t>甲氨基阿维菌素</w:t>
            </w:r>
          </w:p>
        </w:tc>
      </w:tr>
      <w:tr w14:paraId="1926D66A">
        <w:tblPrEx>
          <w:tblCellMar>
            <w:top w:w="0" w:type="dxa"/>
            <w:left w:w="0" w:type="dxa"/>
            <w:bottom w:w="0" w:type="dxa"/>
            <w:right w:w="0" w:type="dxa"/>
          </w:tblCellMar>
        </w:tblPrEx>
        <w:trPr>
          <w:wBefore w:w="0" w:type="auto"/>
          <w:tblCellSpacing w:w="0" w:type="dxa"/>
        </w:trPr>
        <w:tc>
          <w:tcPr>
            <w:tcW w:w="0" w:type="auto"/>
            <w:noWrap w:val="0"/>
            <w:vAlign w:val="center"/>
          </w:tcPr>
          <w:p w14:paraId="50274C3A">
            <w:r>
              <w:rPr>
                <w:rStyle w:val="10"/>
                <w:rFonts w:hint="eastAsia"/>
              </w:rPr>
              <w:t>剂型：</w:t>
            </w:r>
            <w:r>
              <w:rPr>
                <w:rFonts w:hint="eastAsia"/>
              </w:rPr>
              <w:t>悬浮剂</w:t>
            </w:r>
          </w:p>
        </w:tc>
      </w:tr>
      <w:tr w14:paraId="143E3220">
        <w:tblPrEx>
          <w:tblCellMar>
            <w:top w:w="0" w:type="dxa"/>
            <w:left w:w="0" w:type="dxa"/>
            <w:bottom w:w="0" w:type="dxa"/>
            <w:right w:w="0" w:type="dxa"/>
          </w:tblCellMar>
        </w:tblPrEx>
        <w:trPr>
          <w:wBefore w:w="0" w:type="auto"/>
          <w:tblCellSpacing w:w="0" w:type="dxa"/>
        </w:trPr>
        <w:tc>
          <w:tcPr>
            <w:tcW w:w="0" w:type="auto"/>
            <w:noWrap w:val="0"/>
            <w:vAlign w:val="center"/>
          </w:tcPr>
          <w:p w14:paraId="20710C3A">
            <w:r>
              <w:rPr>
                <w:rStyle w:val="10"/>
                <w:rFonts w:hint="eastAsia"/>
              </w:rPr>
              <w:t>毒性及其标识：</w:t>
            </w:r>
            <w:r>
              <w:rPr>
                <w:rFonts w:hint="eastAsia"/>
              </w:rPr>
              <w:t xml:space="preserve"> </w:t>
            </w:r>
            <w:r>
              <w:rPr>
                <w:lang/>
              </w:rPr>
              <w:drawing>
                <wp:inline distT="0" distB="0" distL="114300" distR="114300">
                  <wp:extent cx="476250" cy="323850"/>
                  <wp:effectExtent l="0" t="0" r="0" b="0"/>
                  <wp:docPr id="276" name="图片 2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264786">
        <w:tblPrEx>
          <w:tblCellMar>
            <w:top w:w="0" w:type="dxa"/>
            <w:left w:w="0" w:type="dxa"/>
            <w:bottom w:w="0" w:type="dxa"/>
            <w:right w:w="0" w:type="dxa"/>
          </w:tblCellMar>
        </w:tblPrEx>
        <w:trPr>
          <w:wBefore w:w="0" w:type="auto"/>
          <w:tblCellSpacing w:w="0" w:type="dxa"/>
        </w:trPr>
        <w:tc>
          <w:tcPr>
            <w:tcW w:w="0" w:type="auto"/>
            <w:noWrap w:val="0"/>
            <w:vAlign w:val="center"/>
          </w:tcPr>
          <w:p w14:paraId="1301FCD2">
            <w:r>
              <w:rPr>
                <w:rStyle w:val="10"/>
                <w:rFonts w:hint="eastAsia"/>
              </w:rPr>
              <w:t>总有效成分含量：</w:t>
            </w:r>
            <w:r>
              <w:rPr>
                <w:rFonts w:hint="eastAsia"/>
              </w:rPr>
              <w:t>5%</w:t>
            </w:r>
          </w:p>
        </w:tc>
      </w:tr>
      <w:tr w14:paraId="1DDA38BD">
        <w:tblPrEx>
          <w:tblCellMar>
            <w:top w:w="0" w:type="dxa"/>
            <w:left w:w="0" w:type="dxa"/>
            <w:bottom w:w="0" w:type="dxa"/>
            <w:right w:w="0" w:type="dxa"/>
          </w:tblCellMar>
        </w:tblPrEx>
        <w:trPr>
          <w:wBefore w:w="0" w:type="auto"/>
          <w:tblCellSpacing w:w="0" w:type="dxa"/>
        </w:trPr>
        <w:tc>
          <w:tcPr>
            <w:tcW w:w="0" w:type="auto"/>
            <w:noWrap w:val="0"/>
            <w:vAlign w:val="center"/>
          </w:tcPr>
          <w:p w14:paraId="6615C07E">
            <w:r>
              <w:rPr>
                <w:rFonts w:hint="eastAsia"/>
              </w:rPr>
              <w:t xml:space="preserve">有效成分及其含量： </w:t>
            </w:r>
          </w:p>
          <w:p w14:paraId="41FDEA4E">
            <w:r>
              <w:rPr>
                <w:rFonts w:hint="eastAsia"/>
              </w:rPr>
              <w:t xml:space="preserve">    甲氨基阿维菌素5%    </w:t>
            </w:r>
          </w:p>
        </w:tc>
      </w:tr>
      <w:tr w14:paraId="12E229DF">
        <w:tblPrEx>
          <w:tblCellMar>
            <w:top w:w="0" w:type="dxa"/>
            <w:left w:w="0" w:type="dxa"/>
            <w:bottom w:w="0" w:type="dxa"/>
            <w:right w:w="0" w:type="dxa"/>
          </w:tblCellMar>
        </w:tblPrEx>
        <w:trPr>
          <w:wBefore w:w="0" w:type="auto"/>
          <w:tblCellSpacing w:w="0" w:type="dxa"/>
        </w:trPr>
        <w:tc>
          <w:tcPr>
            <w:tcW w:w="0" w:type="auto"/>
            <w:noWrap w:val="0"/>
            <w:vAlign w:val="center"/>
          </w:tcPr>
          <w:p w14:paraId="40B0F2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485D4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CFC2A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4CF9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6C86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CAE4FA">
                  <w:r>
                    <w:rPr>
                      <w:rStyle w:val="11"/>
                      <w:rFonts w:hint="eastAsia"/>
                    </w:rPr>
                    <w:t>施用方式</w:t>
                  </w:r>
                </w:p>
              </w:tc>
            </w:tr>
            <w:tr w14:paraId="129A8D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B7EAB4">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661D1A">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9B332">
                  <w:r>
                    <w:rPr>
                      <w:rStyle w:val="11"/>
                      <w:rFonts w:hint="eastAsia"/>
                    </w:rPr>
                    <w:t>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62B833">
                  <w:r>
                    <w:rPr>
                      <w:rStyle w:val="11"/>
                      <w:rFonts w:hint="eastAsia"/>
                    </w:rPr>
                    <w:t>喷雾</w:t>
                  </w:r>
                </w:p>
              </w:tc>
            </w:tr>
          </w:tbl>
          <w:p w14:paraId="5A77C7CE">
            <w:pPr>
              <w:rPr>
                <w:rFonts w:ascii="Times New Roman" w:hAnsi="Times New Roman" w:cs="Times New Roman"/>
                <w:sz w:val="20"/>
                <w:szCs w:val="20"/>
              </w:rPr>
            </w:pPr>
          </w:p>
        </w:tc>
      </w:tr>
      <w:tr w14:paraId="1ECF195C">
        <w:tblPrEx>
          <w:tblCellMar>
            <w:top w:w="0" w:type="dxa"/>
            <w:left w:w="0" w:type="dxa"/>
            <w:bottom w:w="0" w:type="dxa"/>
            <w:right w:w="0" w:type="dxa"/>
          </w:tblCellMar>
        </w:tblPrEx>
        <w:trPr>
          <w:wBefore w:w="0" w:type="auto"/>
          <w:tblCellSpacing w:w="0" w:type="dxa"/>
        </w:trPr>
        <w:tc>
          <w:tcPr>
            <w:tcW w:w="0" w:type="auto"/>
            <w:noWrap w:val="0"/>
            <w:vAlign w:val="center"/>
          </w:tcPr>
          <w:p w14:paraId="4F55BB92">
            <w:r>
              <w:rPr>
                <w:rStyle w:val="10"/>
                <w:rFonts w:hint="eastAsia"/>
              </w:rPr>
              <w:t>使用技术要求:</w:t>
            </w:r>
            <w:r>
              <w:rPr>
                <w:rFonts w:hint="eastAsia"/>
              </w:rPr>
              <w:br w:type="textWrapping"/>
            </w:r>
            <w:r>
              <w:rPr>
                <w:rStyle w:val="11"/>
                <w:rFonts w:hint="eastAsia"/>
              </w:rPr>
              <w:t>1、在小菜蛾低龄幼虫发生盛期使用。喷雾时应对蔬菜叶片的正反面进行均匀喷雾。 2、在晴天的下午近傍晚喷药，大风天或预计1小时内有雨，请勿施药。 3、安全间隔期14天，每季作物最多可使用2次，连续使用应间隔7天。</w:t>
            </w:r>
          </w:p>
        </w:tc>
      </w:tr>
      <w:tr w14:paraId="638ABD87">
        <w:tblPrEx>
          <w:tblCellMar>
            <w:top w:w="0" w:type="dxa"/>
            <w:left w:w="0" w:type="dxa"/>
            <w:bottom w:w="0" w:type="dxa"/>
            <w:right w:w="0" w:type="dxa"/>
          </w:tblCellMar>
        </w:tblPrEx>
        <w:trPr>
          <w:wBefore w:w="0" w:type="auto"/>
          <w:tblCellSpacing w:w="0" w:type="dxa"/>
        </w:trPr>
        <w:tc>
          <w:tcPr>
            <w:tcW w:w="0" w:type="auto"/>
            <w:noWrap w:val="0"/>
            <w:vAlign w:val="center"/>
          </w:tcPr>
          <w:p w14:paraId="4EB34252">
            <w:r>
              <w:rPr>
                <w:rStyle w:val="10"/>
                <w:rFonts w:hint="eastAsia"/>
              </w:rPr>
              <w:t>产品性能:</w:t>
            </w:r>
            <w:r>
              <w:rPr>
                <w:rFonts w:hint="eastAsia"/>
              </w:rPr>
              <w:br w:type="textWrapping"/>
            </w:r>
            <w:r>
              <w:rPr>
                <w:rStyle w:val="11"/>
                <w:rFonts w:hint="eastAsia"/>
              </w:rPr>
              <w:t>本品是一种抗生素类杀虫剂，通过阻碍害虫运动神经信息传递而使大量氯离子进入害虫神经细胞，使害虫停止取食后麻痹死亡，具有胃毒和触杀作用，渗透性较强，能有效进入作物表皮组织，具有较长的特效期。</w:t>
            </w:r>
          </w:p>
        </w:tc>
      </w:tr>
      <w:tr w14:paraId="1D67F2D1">
        <w:tblPrEx>
          <w:tblCellMar>
            <w:top w:w="0" w:type="dxa"/>
            <w:left w:w="0" w:type="dxa"/>
            <w:bottom w:w="0" w:type="dxa"/>
            <w:right w:w="0" w:type="dxa"/>
          </w:tblCellMar>
        </w:tblPrEx>
        <w:trPr>
          <w:wBefore w:w="0" w:type="auto"/>
          <w:tblCellSpacing w:w="0" w:type="dxa"/>
        </w:trPr>
        <w:tc>
          <w:tcPr>
            <w:tcW w:w="0" w:type="auto"/>
            <w:noWrap w:val="0"/>
            <w:vAlign w:val="center"/>
          </w:tcPr>
          <w:p w14:paraId="6F46CC07">
            <w:r>
              <w:rPr>
                <w:rStyle w:val="10"/>
                <w:rFonts w:hint="eastAsia"/>
              </w:rPr>
              <w:t>注意事项：</w:t>
            </w:r>
            <w:r>
              <w:rPr>
                <w:rFonts w:hint="eastAsia"/>
              </w:rPr>
              <w:br w:type="textWrapping"/>
            </w:r>
            <w:r>
              <w:rPr>
                <w:rStyle w:val="11"/>
                <w:rFonts w:hint="eastAsia"/>
              </w:rPr>
              <w:t>严格按照规定用药量和方法使用。 2．本品在甘蓝上使用的安全间隔期为5天，每季最多使用2次。 3．本品不能与碱性农药混用，建议与作用机制不同的杀虫剂轮换使用，以延缓抗性的产生。 4．本品对蜜蜂、鱼、家蚕、水蚤毒性高，对赤眼蜂高风险性，蚕室及桑园附近、开花作物花期禁止使用，勿用于靠近蜂箱的田地，严禁在养虾、蟹、鱼的稻田使用，赤眼蜂等天敌昆虫放飞区禁用，远离水产养殖区、河塘等水体附近施药，禁止在河塘等水体中清洗施药器具。 5．使用本品时应穿防护服和戴手套等，避免吸入药液。施药期间不可吃东西和饮水，施药后应及时洗手和洗脸。 6．避免孕妇及哺乳期妇女接触。 7.用过的容器应妥善处理，不可做他用，也不可随意丢弃。</w:t>
            </w:r>
          </w:p>
        </w:tc>
      </w:tr>
      <w:tr w14:paraId="334B1A23">
        <w:tblPrEx>
          <w:tblCellMar>
            <w:top w:w="0" w:type="dxa"/>
            <w:left w:w="0" w:type="dxa"/>
            <w:bottom w:w="0" w:type="dxa"/>
            <w:right w:w="0" w:type="dxa"/>
          </w:tblCellMar>
        </w:tblPrEx>
        <w:trPr>
          <w:wBefore w:w="0" w:type="auto"/>
          <w:tblCellSpacing w:w="0" w:type="dxa"/>
        </w:trPr>
        <w:tc>
          <w:tcPr>
            <w:tcW w:w="0" w:type="auto"/>
            <w:noWrap w:val="0"/>
            <w:vAlign w:val="center"/>
          </w:tcPr>
          <w:p w14:paraId="0F141F49">
            <w:r>
              <w:rPr>
                <w:rStyle w:val="10"/>
                <w:rFonts w:hint="eastAsia"/>
              </w:rPr>
              <w:t>中毒急救措施：</w:t>
            </w:r>
            <w:r>
              <w:rPr>
                <w:rFonts w:hint="eastAsia"/>
              </w:rPr>
              <w:br w:type="textWrapping"/>
            </w:r>
            <w:r>
              <w:rPr>
                <w:rStyle w:val="11"/>
                <w:rFonts w:hint="eastAsia"/>
              </w:rPr>
              <w:t>严格按照规定用药量和方法使用。 2．本品在甘蓝上使用的安全间隔期为5天，每季最多使用2次。 3．本品不能与碱性农药混用，建议与作用机制不同的杀虫剂轮换使用，以延缓抗性的产生。 4．本品对蜜蜂、鱼、家蚕、水蚤毒性高，对赤眼蜂高风险性，蚕室及桑园附近、开花作物花期禁止使用，勿用于靠近蜂箱的田地，严禁在养虾、蟹、鱼的稻田使用，赤眼蜂等天敌昆虫放飞区禁用，远离水产养殖区、河塘等水体附近施药，禁止在河塘等水体中清洗施药器具。 5．使用本品时应穿防护服和戴手套等，避免吸入药液。施药期间不可吃东西和饮水，施药后应及时洗手和洗脸。 6．避免孕妇及哺乳期妇女接触。 7.用过的容器应妥善处理，不可做他用，也不可随意丢弃。</w:t>
            </w:r>
          </w:p>
        </w:tc>
      </w:tr>
      <w:tr w14:paraId="688886E3">
        <w:tblPrEx>
          <w:tblCellMar>
            <w:top w:w="0" w:type="dxa"/>
            <w:left w:w="0" w:type="dxa"/>
            <w:bottom w:w="0" w:type="dxa"/>
            <w:right w:w="0" w:type="dxa"/>
          </w:tblCellMar>
        </w:tblPrEx>
        <w:trPr>
          <w:wBefore w:w="0" w:type="auto"/>
          <w:tblCellSpacing w:w="0" w:type="dxa"/>
        </w:trPr>
        <w:tc>
          <w:tcPr>
            <w:tcW w:w="0" w:type="auto"/>
            <w:noWrap w:val="0"/>
            <w:vAlign w:val="center"/>
          </w:tcPr>
          <w:p w14:paraId="6512E012">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贮存在儿童及无关人员接触不到的地方，并加锁，避免与皮肤、眼睛接触，装卸运输时注意检查包装是否密封完整，轻拿轻放。</w:t>
            </w:r>
          </w:p>
        </w:tc>
      </w:tr>
      <w:tr w14:paraId="65F17936">
        <w:tblPrEx>
          <w:tblCellMar>
            <w:top w:w="0" w:type="dxa"/>
            <w:left w:w="0" w:type="dxa"/>
            <w:bottom w:w="0" w:type="dxa"/>
            <w:right w:w="0" w:type="dxa"/>
          </w:tblCellMar>
        </w:tblPrEx>
        <w:trPr>
          <w:wBefore w:w="0" w:type="auto"/>
          <w:tblCellSpacing w:w="0" w:type="dxa"/>
        </w:trPr>
        <w:tc>
          <w:tcPr>
            <w:tcW w:w="0" w:type="auto"/>
            <w:noWrap w:val="0"/>
            <w:vAlign w:val="center"/>
          </w:tcPr>
          <w:p w14:paraId="7D6F9BB1">
            <w:r>
              <w:rPr>
                <w:rStyle w:val="10"/>
                <w:rFonts w:hint="eastAsia"/>
              </w:rPr>
              <w:t>质量保证期：</w:t>
            </w:r>
            <w:r>
              <w:rPr>
                <w:rStyle w:val="11"/>
                <w:rFonts w:hint="eastAsia"/>
              </w:rPr>
              <w:t>2年</w:t>
            </w:r>
          </w:p>
        </w:tc>
      </w:tr>
      <w:tr w14:paraId="683F247D">
        <w:tblPrEx>
          <w:tblCellMar>
            <w:top w:w="0" w:type="dxa"/>
            <w:left w:w="0" w:type="dxa"/>
            <w:bottom w:w="0" w:type="dxa"/>
            <w:right w:w="0" w:type="dxa"/>
          </w:tblCellMar>
        </w:tblPrEx>
        <w:trPr>
          <w:wBefore w:w="0" w:type="auto"/>
          <w:tblCellSpacing w:w="0" w:type="dxa"/>
        </w:trPr>
        <w:tc>
          <w:tcPr>
            <w:tcW w:w="0" w:type="auto"/>
            <w:noWrap w:val="0"/>
            <w:vAlign w:val="center"/>
          </w:tcPr>
          <w:p w14:paraId="5693DEAC">
            <w:r>
              <w:rPr>
                <w:rStyle w:val="10"/>
                <w:rFonts w:hint="eastAsia"/>
              </w:rPr>
              <w:t>备注：</w:t>
            </w:r>
            <w:r>
              <w:rPr>
                <w:rFonts w:hint="eastAsia"/>
              </w:rPr>
              <w:br w:type="textWrapping"/>
            </w:r>
            <w:r>
              <w:rPr>
                <w:rStyle w:val="11"/>
                <w:rFonts w:hint="eastAsia"/>
              </w:rPr>
              <w:t>甲氨基阿维菌素苯甲酸盐5.7%。</w:t>
            </w:r>
          </w:p>
        </w:tc>
      </w:tr>
    </w:tbl>
    <w:p w14:paraId="068E81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8213AA">
        <w:tblPrEx>
          <w:tblCellMar>
            <w:top w:w="0" w:type="dxa"/>
            <w:left w:w="0" w:type="dxa"/>
            <w:bottom w:w="0" w:type="dxa"/>
            <w:right w:w="0" w:type="dxa"/>
          </w:tblCellMar>
        </w:tblPrEx>
        <w:trPr>
          <w:wBefore w:w="0" w:type="auto"/>
          <w:tblCellSpacing w:w="0" w:type="dxa"/>
        </w:trPr>
        <w:tc>
          <w:tcPr>
            <w:tcW w:w="0" w:type="auto"/>
            <w:noWrap w:val="0"/>
            <w:vAlign w:val="center"/>
          </w:tcPr>
          <w:p w14:paraId="1A0F76BC">
            <w:r>
              <w:rPr>
                <w:rStyle w:val="10"/>
                <w:rFonts w:hint="eastAsia"/>
              </w:rPr>
              <w:t>登记证号：</w:t>
            </w:r>
            <w:r>
              <w:rPr>
                <w:rFonts w:hint="eastAsia"/>
              </w:rPr>
              <w:t>PD20212457</w:t>
            </w:r>
          </w:p>
        </w:tc>
      </w:tr>
      <w:tr w14:paraId="116071CB">
        <w:tblPrEx>
          <w:tblCellMar>
            <w:top w:w="0" w:type="dxa"/>
            <w:left w:w="0" w:type="dxa"/>
            <w:bottom w:w="0" w:type="dxa"/>
            <w:right w:w="0" w:type="dxa"/>
          </w:tblCellMar>
        </w:tblPrEx>
        <w:trPr>
          <w:wBefore w:w="0" w:type="auto"/>
          <w:tblCellSpacing w:w="0" w:type="dxa"/>
        </w:trPr>
        <w:tc>
          <w:tcPr>
            <w:tcW w:w="0" w:type="auto"/>
            <w:noWrap w:val="0"/>
            <w:vAlign w:val="center"/>
          </w:tcPr>
          <w:p w14:paraId="03D260A9">
            <w:r>
              <w:rPr>
                <w:rStyle w:val="10"/>
                <w:rFonts w:hint="eastAsia"/>
              </w:rPr>
              <w:t>登记证持有人：</w:t>
            </w:r>
            <w:r>
              <w:rPr>
                <w:rFonts w:hint="eastAsia"/>
              </w:rPr>
              <w:t>青州鑫邦生物科技有限公司</w:t>
            </w:r>
          </w:p>
        </w:tc>
      </w:tr>
      <w:tr w14:paraId="0513A9C7">
        <w:tblPrEx>
          <w:tblCellMar>
            <w:top w:w="0" w:type="dxa"/>
            <w:left w:w="0" w:type="dxa"/>
            <w:bottom w:w="0" w:type="dxa"/>
            <w:right w:w="0" w:type="dxa"/>
          </w:tblCellMar>
        </w:tblPrEx>
        <w:trPr>
          <w:wBefore w:w="0" w:type="auto"/>
          <w:tblCellSpacing w:w="0" w:type="dxa"/>
        </w:trPr>
        <w:tc>
          <w:tcPr>
            <w:tcW w:w="0" w:type="auto"/>
            <w:noWrap w:val="0"/>
            <w:vAlign w:val="center"/>
          </w:tcPr>
          <w:p w14:paraId="728AB4D9">
            <w:r>
              <w:rPr>
                <w:rStyle w:val="10"/>
                <w:rFonts w:hint="eastAsia"/>
              </w:rPr>
              <w:t>农药名称：</w:t>
            </w:r>
            <w:r>
              <w:rPr>
                <w:rFonts w:hint="eastAsia"/>
              </w:rPr>
              <w:t>噻虫·咯·霜灵</w:t>
            </w:r>
          </w:p>
        </w:tc>
      </w:tr>
      <w:tr w14:paraId="187A80E3">
        <w:tblPrEx>
          <w:tblCellMar>
            <w:top w:w="0" w:type="dxa"/>
            <w:left w:w="0" w:type="dxa"/>
            <w:bottom w:w="0" w:type="dxa"/>
            <w:right w:w="0" w:type="dxa"/>
          </w:tblCellMar>
        </w:tblPrEx>
        <w:trPr>
          <w:wBefore w:w="0" w:type="auto"/>
          <w:tblCellSpacing w:w="0" w:type="dxa"/>
        </w:trPr>
        <w:tc>
          <w:tcPr>
            <w:tcW w:w="0" w:type="auto"/>
            <w:noWrap w:val="0"/>
            <w:vAlign w:val="center"/>
          </w:tcPr>
          <w:p w14:paraId="14322BBD">
            <w:r>
              <w:rPr>
                <w:rStyle w:val="10"/>
                <w:rFonts w:hint="eastAsia"/>
              </w:rPr>
              <w:t>剂型：</w:t>
            </w:r>
            <w:r>
              <w:rPr>
                <w:rFonts w:hint="eastAsia"/>
              </w:rPr>
              <w:t>种子处理悬浮剂</w:t>
            </w:r>
          </w:p>
        </w:tc>
      </w:tr>
      <w:tr w14:paraId="5957E61D">
        <w:tblPrEx>
          <w:tblCellMar>
            <w:top w:w="0" w:type="dxa"/>
            <w:left w:w="0" w:type="dxa"/>
            <w:bottom w:w="0" w:type="dxa"/>
            <w:right w:w="0" w:type="dxa"/>
          </w:tblCellMar>
        </w:tblPrEx>
        <w:trPr>
          <w:wBefore w:w="0" w:type="auto"/>
          <w:tblCellSpacing w:w="0" w:type="dxa"/>
        </w:trPr>
        <w:tc>
          <w:tcPr>
            <w:tcW w:w="0" w:type="auto"/>
            <w:noWrap w:val="0"/>
            <w:vAlign w:val="center"/>
          </w:tcPr>
          <w:p w14:paraId="3009F761">
            <w:r>
              <w:rPr>
                <w:rStyle w:val="10"/>
                <w:rFonts w:hint="eastAsia"/>
              </w:rPr>
              <w:t>毒性及其标识：</w:t>
            </w:r>
            <w:r>
              <w:rPr>
                <w:rFonts w:hint="eastAsia"/>
              </w:rPr>
              <w:t xml:space="preserve"> </w:t>
            </w:r>
            <w:r>
              <w:rPr>
                <w:lang/>
              </w:rPr>
              <w:drawing>
                <wp:inline distT="0" distB="0" distL="114300" distR="114300">
                  <wp:extent cx="476250" cy="323850"/>
                  <wp:effectExtent l="0" t="0" r="0" b="0"/>
                  <wp:docPr id="277" name="图片 2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5F7E9B2">
        <w:tblPrEx>
          <w:tblCellMar>
            <w:top w:w="0" w:type="dxa"/>
            <w:left w:w="0" w:type="dxa"/>
            <w:bottom w:w="0" w:type="dxa"/>
            <w:right w:w="0" w:type="dxa"/>
          </w:tblCellMar>
        </w:tblPrEx>
        <w:trPr>
          <w:wBefore w:w="0" w:type="auto"/>
          <w:tblCellSpacing w:w="0" w:type="dxa"/>
        </w:trPr>
        <w:tc>
          <w:tcPr>
            <w:tcW w:w="0" w:type="auto"/>
            <w:noWrap w:val="0"/>
            <w:vAlign w:val="center"/>
          </w:tcPr>
          <w:p w14:paraId="628FFD9C">
            <w:r>
              <w:rPr>
                <w:rStyle w:val="10"/>
                <w:rFonts w:hint="eastAsia"/>
              </w:rPr>
              <w:t>总有效成分含量：</w:t>
            </w:r>
            <w:r>
              <w:rPr>
                <w:rFonts w:hint="eastAsia"/>
              </w:rPr>
              <w:t>10%</w:t>
            </w:r>
          </w:p>
        </w:tc>
      </w:tr>
      <w:tr w14:paraId="7494FE5B">
        <w:tblPrEx>
          <w:tblCellMar>
            <w:top w:w="0" w:type="dxa"/>
            <w:left w:w="0" w:type="dxa"/>
            <w:bottom w:w="0" w:type="dxa"/>
            <w:right w:w="0" w:type="dxa"/>
          </w:tblCellMar>
        </w:tblPrEx>
        <w:trPr>
          <w:wBefore w:w="0" w:type="auto"/>
          <w:tblCellSpacing w:w="0" w:type="dxa"/>
        </w:trPr>
        <w:tc>
          <w:tcPr>
            <w:tcW w:w="0" w:type="auto"/>
            <w:noWrap w:val="0"/>
            <w:vAlign w:val="center"/>
          </w:tcPr>
          <w:p w14:paraId="075E28D2">
            <w:r>
              <w:rPr>
                <w:rFonts w:hint="eastAsia"/>
              </w:rPr>
              <w:t xml:space="preserve">有效成分及其含量： </w:t>
            </w:r>
          </w:p>
          <w:p w14:paraId="0249AFB6">
            <w:r>
              <w:rPr>
                <w:rFonts w:hint="eastAsia"/>
              </w:rPr>
              <w:t xml:space="preserve">    噻虫嗪7.5%    咯菌腈1%    精甲霜灵1.5%    </w:t>
            </w:r>
          </w:p>
        </w:tc>
      </w:tr>
      <w:tr w14:paraId="6BBEAAAB">
        <w:tblPrEx>
          <w:tblCellMar>
            <w:top w:w="0" w:type="dxa"/>
            <w:left w:w="0" w:type="dxa"/>
            <w:bottom w:w="0" w:type="dxa"/>
            <w:right w:w="0" w:type="dxa"/>
          </w:tblCellMar>
        </w:tblPrEx>
        <w:trPr>
          <w:wBefore w:w="0" w:type="auto"/>
          <w:tblCellSpacing w:w="0" w:type="dxa"/>
        </w:trPr>
        <w:tc>
          <w:tcPr>
            <w:tcW w:w="0" w:type="auto"/>
            <w:noWrap w:val="0"/>
            <w:vAlign w:val="center"/>
          </w:tcPr>
          <w:p w14:paraId="6C878C5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AD13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7CA7D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1359E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77AF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DF6B20">
                  <w:r>
                    <w:rPr>
                      <w:rStyle w:val="11"/>
                      <w:rFonts w:hint="eastAsia"/>
                    </w:rPr>
                    <w:t>施用方式</w:t>
                  </w:r>
                </w:p>
              </w:tc>
            </w:tr>
            <w:tr w14:paraId="0D5583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FF95B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7D8ABF">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79C7BD">
                  <w:r>
                    <w:rPr>
                      <w:rStyle w:val="11"/>
                      <w:rFonts w:hint="eastAsia"/>
                    </w:rPr>
                    <w:t>500-1000毫升/100千克种子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711335">
                  <w:r>
                    <w:rPr>
                      <w:rStyle w:val="11"/>
                      <w:rFonts w:hint="eastAsia"/>
                    </w:rPr>
                    <w:t>种子包衣</w:t>
                  </w:r>
                </w:p>
              </w:tc>
            </w:tr>
            <w:tr w14:paraId="162A15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5C57C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6ACB1D">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D9E3EB">
                  <w:r>
                    <w:rPr>
                      <w:rStyle w:val="11"/>
                      <w:rFonts w:hint="eastAsia"/>
                    </w:rPr>
                    <w:t>500-1000毫升/100千克种子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190E1F">
                  <w:r>
                    <w:rPr>
                      <w:rStyle w:val="11"/>
                      <w:rFonts w:hint="eastAsia"/>
                    </w:rPr>
                    <w:t>种子包衣</w:t>
                  </w:r>
                </w:p>
              </w:tc>
            </w:tr>
            <w:tr w14:paraId="70EAE0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1DABAD">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9BFAFB">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E3C508">
                  <w:r>
                    <w:rPr>
                      <w:rStyle w:val="11"/>
                      <w:rFonts w:hint="eastAsia"/>
                    </w:rPr>
                    <w:t>500-1000毫升/100千克种子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B4C480">
                  <w:r>
                    <w:rPr>
                      <w:rStyle w:val="11"/>
                      <w:rFonts w:hint="eastAsia"/>
                    </w:rPr>
                    <w:t>种子包衣</w:t>
                  </w:r>
                </w:p>
              </w:tc>
            </w:tr>
            <w:tr w14:paraId="623BE2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632C6A">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AC67FB">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FD836C">
                  <w:r>
                    <w:rPr>
                      <w:rStyle w:val="11"/>
                      <w:rFonts w:hint="eastAsia"/>
                    </w:rPr>
                    <w:t>500-1000毫升/100千克种子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FB7A18">
                  <w:r>
                    <w:rPr>
                      <w:rStyle w:val="11"/>
                      <w:rFonts w:hint="eastAsia"/>
                    </w:rPr>
                    <w:t>种子包衣</w:t>
                  </w:r>
                </w:p>
              </w:tc>
            </w:tr>
          </w:tbl>
          <w:p w14:paraId="0083144A">
            <w:pPr>
              <w:rPr>
                <w:rFonts w:ascii="Times New Roman" w:hAnsi="Times New Roman" w:cs="Times New Roman"/>
                <w:sz w:val="20"/>
                <w:szCs w:val="20"/>
              </w:rPr>
            </w:pPr>
          </w:p>
        </w:tc>
      </w:tr>
      <w:tr w14:paraId="65141ABA">
        <w:tblPrEx>
          <w:tblCellMar>
            <w:top w:w="0" w:type="dxa"/>
            <w:left w:w="0" w:type="dxa"/>
            <w:bottom w:w="0" w:type="dxa"/>
            <w:right w:w="0" w:type="dxa"/>
          </w:tblCellMar>
        </w:tblPrEx>
        <w:trPr>
          <w:wBefore w:w="0" w:type="auto"/>
          <w:tblCellSpacing w:w="0" w:type="dxa"/>
        </w:trPr>
        <w:tc>
          <w:tcPr>
            <w:tcW w:w="0" w:type="auto"/>
            <w:noWrap w:val="0"/>
            <w:vAlign w:val="center"/>
          </w:tcPr>
          <w:p w14:paraId="5F3E8EB1">
            <w:r>
              <w:rPr>
                <w:rStyle w:val="10"/>
                <w:rFonts w:hint="eastAsia"/>
              </w:rPr>
              <w:t>使用技术要求:</w:t>
            </w:r>
            <w:r>
              <w:rPr>
                <w:rFonts w:hint="eastAsia"/>
              </w:rPr>
              <w:br w:type="textWrapping"/>
            </w:r>
            <w:r>
              <w:rPr>
                <w:rStyle w:val="11"/>
                <w:rFonts w:hint="eastAsia"/>
              </w:rPr>
              <w:t>1. 先浸种，后包衣时种子包衣方法：先将种子按照当地常规方法浸种处理后，沥干水分。按推荐用药量，加入不超过用种量四十分之一的水（即按浸种前的每100千克干种子加水约1–2.5升）稀释后，与种子充分搅拌，直到药液均匀分布到种子表面，晾干后催芽播种。 2. 水稻浸种催芽按照正常进行，浸种期间不换水。用于处理的种子应达到国家良种标准。玉米种子自然晾干后播种。 3. 配制好的药液应在24小时内使用，以免产生沉淀物影响使用。 4. 本品每季用药1次。</w:t>
            </w:r>
          </w:p>
        </w:tc>
      </w:tr>
      <w:tr w14:paraId="35E14F14">
        <w:tblPrEx>
          <w:tblCellMar>
            <w:top w:w="0" w:type="dxa"/>
            <w:left w:w="0" w:type="dxa"/>
            <w:bottom w:w="0" w:type="dxa"/>
            <w:right w:w="0" w:type="dxa"/>
          </w:tblCellMar>
        </w:tblPrEx>
        <w:trPr>
          <w:wBefore w:w="0" w:type="auto"/>
          <w:tblCellSpacing w:w="0" w:type="dxa"/>
        </w:trPr>
        <w:tc>
          <w:tcPr>
            <w:tcW w:w="0" w:type="auto"/>
            <w:noWrap w:val="0"/>
            <w:vAlign w:val="center"/>
          </w:tcPr>
          <w:p w14:paraId="2D3D8B4F">
            <w:r>
              <w:rPr>
                <w:rStyle w:val="10"/>
                <w:rFonts w:hint="eastAsia"/>
              </w:rPr>
              <w:t>产品性能:</w:t>
            </w:r>
            <w:r>
              <w:rPr>
                <w:rFonts w:hint="eastAsia"/>
              </w:rPr>
              <w:br w:type="textWrapping"/>
            </w:r>
            <w:r>
              <w:rPr>
                <w:rStyle w:val="11"/>
                <w:rFonts w:hint="eastAsia"/>
              </w:rPr>
              <w:t>本品为三元复配杀虫杀菌剂。其中的噻虫嗪是一种结构全新的烟碱类杀虫剂。用于种子处理，可被作物根迅速内吸，并传导到植株各部位。精甲霜灵为内吸性苯胺类化合物，对卵菌纲真菌如腐霉、绵霉等低等真菌引起的多种种传和土传病害有非常好的防效。咯菌腈为非内吸苯吡咯类化合物，对子囊菌、担子菌、半知菌等许多病原菌引起的种传和土传病害有非常好的防效。对水稻蓟马和烂秧病以及玉米茎基腐病和蚜虫有较好的防治效果。</w:t>
            </w:r>
          </w:p>
        </w:tc>
      </w:tr>
      <w:tr w14:paraId="7A11074F">
        <w:tblPrEx>
          <w:tblCellMar>
            <w:top w:w="0" w:type="dxa"/>
            <w:left w:w="0" w:type="dxa"/>
            <w:bottom w:w="0" w:type="dxa"/>
            <w:right w:w="0" w:type="dxa"/>
          </w:tblCellMar>
        </w:tblPrEx>
        <w:trPr>
          <w:wBefore w:w="0" w:type="auto"/>
          <w:tblCellSpacing w:w="0" w:type="dxa"/>
        </w:trPr>
        <w:tc>
          <w:tcPr>
            <w:tcW w:w="0" w:type="auto"/>
            <w:noWrap w:val="0"/>
            <w:vAlign w:val="center"/>
          </w:tcPr>
          <w:p w14:paraId="0AC221B4">
            <w:r>
              <w:rPr>
                <w:rStyle w:val="10"/>
                <w:rFonts w:hint="eastAsia"/>
              </w:rPr>
              <w:t>注意事项：</w:t>
            </w:r>
            <w:r>
              <w:rPr>
                <w:rFonts w:hint="eastAsia"/>
              </w:rPr>
              <w:br w:type="textWrapping"/>
            </w:r>
            <w:r>
              <w:rPr>
                <w:rStyle w:val="11"/>
                <w:rFonts w:hint="eastAsia"/>
              </w:rPr>
              <w:t>1. 请按照农药安全使用准则使用本品。药液及其废液不得污染各类水域，土壤等环境。在种子处理过程中，避免药液接触皮肤、眼睛和污染衣物，避免吸入药液。 2. 配药和种子处理应在通风处进行，操作人员应戴防渗手套、口罩、穿长袖衣、长裤、靴子等。 此时不可饮食、吸烟等。种子处理结束后，彻底清洗防护用具，洗澡，并更换和清洗工作服。 3. 处理过的种子必须放置在有明显标签的容器内。勿与食物、饲料放在一起，不得饲喂禽畜，更不得用来加工饲料或食品。 4. 播种后必须覆土，严禁畜禽进入。 5. 使用过的铝箔空包装，请用清水冲洗三次后，带离田间，妥善处理，切勿重复使用或改作其它用途。远离水产养殖区、河塘等水体施药，禁止在河塘等水体中清洗施药器具。 6. 本品对蜜蜂高毒，（周围）开花植物花期禁用，使用时应密切关注对附近蜂群的影响。鸟类保护区附近禁用，播种后立即覆土。勿将本品及其废液弃于池塘、河溪、湖泊等，以免污染水源。 7. 未用完的制剂应放在原包装内密封保存，切勿将本品置于饮、食容器内。 8. 孕妇及哺乳期的妇女避免接触本品。 制造厂敬告用户：严格按照推荐方法使用、操作和贮藏本品。使用时应接受当地农业技术部门的指导。9. 避免与氧化剂接触。</w:t>
            </w:r>
          </w:p>
        </w:tc>
      </w:tr>
      <w:tr w14:paraId="4EF836AD">
        <w:tblPrEx>
          <w:tblCellMar>
            <w:top w:w="0" w:type="dxa"/>
            <w:left w:w="0" w:type="dxa"/>
            <w:bottom w:w="0" w:type="dxa"/>
            <w:right w:w="0" w:type="dxa"/>
          </w:tblCellMar>
        </w:tblPrEx>
        <w:trPr>
          <w:wBefore w:w="0" w:type="auto"/>
          <w:tblCellSpacing w:w="0" w:type="dxa"/>
        </w:trPr>
        <w:tc>
          <w:tcPr>
            <w:tcW w:w="0" w:type="auto"/>
            <w:noWrap w:val="0"/>
            <w:vAlign w:val="center"/>
          </w:tcPr>
          <w:p w14:paraId="436F5BFA">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 2. 皮肤接触：立即脱掉被污染的衣物，用肥皂和大量清水彻底清洗受污染的皮肤。必要时请医生诊治。 3. 眼睛溅药：立即将眼睑翻开，用清水冲洗至少15分钟，再请医生诊治。 4. 发生吸入：立即将吸入者转移到空气新鲜处，注意保暖和休息，请医生诊治。 5. 误服：请勿引吐。立即携带标签，送医就诊。紧急医疗措施：使用医用活性炭洗胃，洗胃时注意防止胃容物进入呼吸道。注意：对昏迷病人，切勿经口喂入任何东西或引吐。 解毒剂：无专用解毒剂，对症治疗。 中毒时，请拨打中国疾控中心中毒控制中心咨询热线： 400-650-5726</w:t>
            </w:r>
          </w:p>
        </w:tc>
      </w:tr>
      <w:tr w14:paraId="1DBBF100">
        <w:tblPrEx>
          <w:tblCellMar>
            <w:top w:w="0" w:type="dxa"/>
            <w:left w:w="0" w:type="dxa"/>
            <w:bottom w:w="0" w:type="dxa"/>
            <w:right w:w="0" w:type="dxa"/>
          </w:tblCellMar>
        </w:tblPrEx>
        <w:trPr>
          <w:wBefore w:w="0" w:type="auto"/>
          <w:tblCellSpacing w:w="0" w:type="dxa"/>
        </w:trPr>
        <w:tc>
          <w:tcPr>
            <w:tcW w:w="0" w:type="auto"/>
            <w:noWrap w:val="0"/>
            <w:vAlign w:val="center"/>
          </w:tcPr>
          <w:p w14:paraId="22E17A97">
            <w:r>
              <w:rPr>
                <w:rStyle w:val="10"/>
                <w:rFonts w:hint="eastAsia"/>
              </w:rPr>
              <w:t>储存和运输方法：</w:t>
            </w:r>
            <w:r>
              <w:rPr>
                <w:rFonts w:hint="eastAsia"/>
              </w:rPr>
              <w:br w:type="textWrapping"/>
            </w:r>
            <w:r>
              <w:rPr>
                <w:rStyle w:val="11"/>
                <w:rFonts w:hint="eastAsia"/>
              </w:rPr>
              <w:t>1.本品应加锁保存，勿让儿童、无关人员和动物接触。勿与食物、饮料、动物饲料、粮食等放在一起。贮存和运输。 2. 本品应贮藏在避光、干燥、通风处。贮藏温度应避免低于-10℃或高于35℃。 3. 产品码放高度不宜超过2 米，以免损坏包装。 4. 运输时应注意避光、防高温、雨淋。 5. 自生产日期起，原包装存放在阴凉、干燥处。</w:t>
            </w:r>
          </w:p>
        </w:tc>
      </w:tr>
      <w:tr w14:paraId="61DEF1A0">
        <w:tblPrEx>
          <w:tblCellMar>
            <w:top w:w="0" w:type="dxa"/>
            <w:left w:w="0" w:type="dxa"/>
            <w:bottom w:w="0" w:type="dxa"/>
            <w:right w:w="0" w:type="dxa"/>
          </w:tblCellMar>
        </w:tblPrEx>
        <w:trPr>
          <w:wBefore w:w="0" w:type="auto"/>
          <w:tblCellSpacing w:w="0" w:type="dxa"/>
        </w:trPr>
        <w:tc>
          <w:tcPr>
            <w:tcW w:w="0" w:type="auto"/>
            <w:noWrap w:val="0"/>
            <w:vAlign w:val="center"/>
          </w:tcPr>
          <w:p w14:paraId="4CF67DED">
            <w:r>
              <w:rPr>
                <w:rStyle w:val="10"/>
                <w:rFonts w:hint="eastAsia"/>
              </w:rPr>
              <w:t>质量保证期：</w:t>
            </w:r>
            <w:r>
              <w:rPr>
                <w:rStyle w:val="11"/>
                <w:rFonts w:hint="eastAsia"/>
              </w:rPr>
              <w:t>2年</w:t>
            </w:r>
          </w:p>
        </w:tc>
      </w:tr>
      <w:tr w14:paraId="6CB512C9">
        <w:tblPrEx>
          <w:tblCellMar>
            <w:top w:w="0" w:type="dxa"/>
            <w:left w:w="0" w:type="dxa"/>
            <w:bottom w:w="0" w:type="dxa"/>
            <w:right w:w="0" w:type="dxa"/>
          </w:tblCellMar>
        </w:tblPrEx>
        <w:trPr>
          <w:wBefore w:w="0" w:type="auto"/>
          <w:tblCellSpacing w:w="0" w:type="dxa"/>
        </w:trPr>
        <w:tc>
          <w:tcPr>
            <w:tcW w:w="0" w:type="auto"/>
            <w:noWrap w:val="0"/>
            <w:vAlign w:val="center"/>
          </w:tcPr>
          <w:p w14:paraId="01DD8E8D">
            <w:r>
              <w:rPr>
                <w:rStyle w:val="10"/>
                <w:rFonts w:hint="eastAsia"/>
              </w:rPr>
              <w:t>备注：</w:t>
            </w:r>
          </w:p>
        </w:tc>
      </w:tr>
    </w:tbl>
    <w:p w14:paraId="3EC630E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66B7D7">
        <w:tblPrEx>
          <w:tblCellMar>
            <w:top w:w="0" w:type="dxa"/>
            <w:left w:w="0" w:type="dxa"/>
            <w:bottom w:w="0" w:type="dxa"/>
            <w:right w:w="0" w:type="dxa"/>
          </w:tblCellMar>
        </w:tblPrEx>
        <w:trPr>
          <w:wBefore w:w="0" w:type="auto"/>
          <w:tblCellSpacing w:w="0" w:type="dxa"/>
        </w:trPr>
        <w:tc>
          <w:tcPr>
            <w:tcW w:w="0" w:type="auto"/>
            <w:noWrap w:val="0"/>
            <w:vAlign w:val="center"/>
          </w:tcPr>
          <w:p w14:paraId="250F34F5">
            <w:r>
              <w:rPr>
                <w:rStyle w:val="10"/>
                <w:rFonts w:hint="eastAsia"/>
              </w:rPr>
              <w:t>登记证号：</w:t>
            </w:r>
            <w:r>
              <w:rPr>
                <w:rFonts w:hint="eastAsia"/>
              </w:rPr>
              <w:t>PD20212535</w:t>
            </w:r>
          </w:p>
        </w:tc>
      </w:tr>
      <w:tr w14:paraId="110E3E70">
        <w:tblPrEx>
          <w:tblCellMar>
            <w:top w:w="0" w:type="dxa"/>
            <w:left w:w="0" w:type="dxa"/>
            <w:bottom w:w="0" w:type="dxa"/>
            <w:right w:w="0" w:type="dxa"/>
          </w:tblCellMar>
        </w:tblPrEx>
        <w:trPr>
          <w:wBefore w:w="0" w:type="auto"/>
          <w:tblCellSpacing w:w="0" w:type="dxa"/>
        </w:trPr>
        <w:tc>
          <w:tcPr>
            <w:tcW w:w="0" w:type="auto"/>
            <w:noWrap w:val="0"/>
            <w:vAlign w:val="center"/>
          </w:tcPr>
          <w:p w14:paraId="30EE1AC6">
            <w:r>
              <w:rPr>
                <w:rStyle w:val="10"/>
                <w:rFonts w:hint="eastAsia"/>
              </w:rPr>
              <w:t>登记证持有人：</w:t>
            </w:r>
            <w:r>
              <w:rPr>
                <w:rFonts w:hint="eastAsia"/>
              </w:rPr>
              <w:t>山东奥坤作物科学股份有限公司</w:t>
            </w:r>
          </w:p>
        </w:tc>
      </w:tr>
      <w:tr w14:paraId="23E81A58">
        <w:tblPrEx>
          <w:tblCellMar>
            <w:top w:w="0" w:type="dxa"/>
            <w:left w:w="0" w:type="dxa"/>
            <w:bottom w:w="0" w:type="dxa"/>
            <w:right w:w="0" w:type="dxa"/>
          </w:tblCellMar>
        </w:tblPrEx>
        <w:trPr>
          <w:wBefore w:w="0" w:type="auto"/>
          <w:tblCellSpacing w:w="0" w:type="dxa"/>
        </w:trPr>
        <w:tc>
          <w:tcPr>
            <w:tcW w:w="0" w:type="auto"/>
            <w:noWrap w:val="0"/>
            <w:vAlign w:val="center"/>
          </w:tcPr>
          <w:p w14:paraId="081CE9B1">
            <w:r>
              <w:rPr>
                <w:rStyle w:val="10"/>
                <w:rFonts w:hint="eastAsia"/>
              </w:rPr>
              <w:t>农药名称：</w:t>
            </w:r>
            <w:r>
              <w:rPr>
                <w:rFonts w:hint="eastAsia"/>
              </w:rPr>
              <w:t>唑啉草酯</w:t>
            </w:r>
          </w:p>
        </w:tc>
      </w:tr>
      <w:tr w14:paraId="5CF8E6C4">
        <w:tblPrEx>
          <w:tblCellMar>
            <w:top w:w="0" w:type="dxa"/>
            <w:left w:w="0" w:type="dxa"/>
            <w:bottom w:w="0" w:type="dxa"/>
            <w:right w:w="0" w:type="dxa"/>
          </w:tblCellMar>
        </w:tblPrEx>
        <w:trPr>
          <w:wBefore w:w="0" w:type="auto"/>
          <w:tblCellSpacing w:w="0" w:type="dxa"/>
        </w:trPr>
        <w:tc>
          <w:tcPr>
            <w:tcW w:w="0" w:type="auto"/>
            <w:noWrap w:val="0"/>
            <w:vAlign w:val="center"/>
          </w:tcPr>
          <w:p w14:paraId="2699A04C">
            <w:r>
              <w:rPr>
                <w:rStyle w:val="10"/>
                <w:rFonts w:hint="eastAsia"/>
              </w:rPr>
              <w:t>剂型：</w:t>
            </w:r>
            <w:r>
              <w:rPr>
                <w:rFonts w:hint="eastAsia"/>
              </w:rPr>
              <w:t>乳油</w:t>
            </w:r>
          </w:p>
        </w:tc>
      </w:tr>
      <w:tr w14:paraId="13FA1658">
        <w:tblPrEx>
          <w:tblCellMar>
            <w:top w:w="0" w:type="dxa"/>
            <w:left w:w="0" w:type="dxa"/>
            <w:bottom w:w="0" w:type="dxa"/>
            <w:right w:w="0" w:type="dxa"/>
          </w:tblCellMar>
        </w:tblPrEx>
        <w:trPr>
          <w:wBefore w:w="0" w:type="auto"/>
          <w:tblCellSpacing w:w="0" w:type="dxa"/>
        </w:trPr>
        <w:tc>
          <w:tcPr>
            <w:tcW w:w="0" w:type="auto"/>
            <w:noWrap w:val="0"/>
            <w:vAlign w:val="center"/>
          </w:tcPr>
          <w:p w14:paraId="41DC39D8">
            <w:r>
              <w:rPr>
                <w:rStyle w:val="10"/>
                <w:rFonts w:hint="eastAsia"/>
              </w:rPr>
              <w:t>毒性及其标识：</w:t>
            </w:r>
            <w:r>
              <w:rPr>
                <w:rFonts w:hint="eastAsia"/>
              </w:rPr>
              <w:t xml:space="preserve"> 微毒 </w:t>
            </w:r>
          </w:p>
        </w:tc>
      </w:tr>
      <w:tr w14:paraId="74FF0BB9">
        <w:tblPrEx>
          <w:tblCellMar>
            <w:top w:w="0" w:type="dxa"/>
            <w:left w:w="0" w:type="dxa"/>
            <w:bottom w:w="0" w:type="dxa"/>
            <w:right w:w="0" w:type="dxa"/>
          </w:tblCellMar>
        </w:tblPrEx>
        <w:trPr>
          <w:wBefore w:w="0" w:type="auto"/>
          <w:tblCellSpacing w:w="0" w:type="dxa"/>
        </w:trPr>
        <w:tc>
          <w:tcPr>
            <w:tcW w:w="0" w:type="auto"/>
            <w:noWrap w:val="0"/>
            <w:vAlign w:val="center"/>
          </w:tcPr>
          <w:p w14:paraId="4EC87E61">
            <w:r>
              <w:rPr>
                <w:rStyle w:val="10"/>
                <w:rFonts w:hint="eastAsia"/>
              </w:rPr>
              <w:t>总有效成分含量：</w:t>
            </w:r>
            <w:r>
              <w:rPr>
                <w:rFonts w:hint="eastAsia"/>
              </w:rPr>
              <w:t>5%</w:t>
            </w:r>
          </w:p>
        </w:tc>
      </w:tr>
      <w:tr w14:paraId="20409E61">
        <w:tblPrEx>
          <w:tblCellMar>
            <w:top w:w="0" w:type="dxa"/>
            <w:left w:w="0" w:type="dxa"/>
            <w:bottom w:w="0" w:type="dxa"/>
            <w:right w:w="0" w:type="dxa"/>
          </w:tblCellMar>
        </w:tblPrEx>
        <w:trPr>
          <w:wBefore w:w="0" w:type="auto"/>
          <w:tblCellSpacing w:w="0" w:type="dxa"/>
        </w:trPr>
        <w:tc>
          <w:tcPr>
            <w:tcW w:w="0" w:type="auto"/>
            <w:noWrap w:val="0"/>
            <w:vAlign w:val="center"/>
          </w:tcPr>
          <w:p w14:paraId="69119AED">
            <w:r>
              <w:rPr>
                <w:rFonts w:hint="eastAsia"/>
              </w:rPr>
              <w:t xml:space="preserve">有效成分及其含量： </w:t>
            </w:r>
          </w:p>
          <w:p w14:paraId="27EA77A1">
            <w:r>
              <w:rPr>
                <w:rFonts w:hint="eastAsia"/>
              </w:rPr>
              <w:t xml:space="preserve">    唑啉草酯5%    </w:t>
            </w:r>
          </w:p>
        </w:tc>
      </w:tr>
      <w:tr w14:paraId="5928465D">
        <w:tblPrEx>
          <w:tblCellMar>
            <w:top w:w="0" w:type="dxa"/>
            <w:left w:w="0" w:type="dxa"/>
            <w:bottom w:w="0" w:type="dxa"/>
            <w:right w:w="0" w:type="dxa"/>
          </w:tblCellMar>
        </w:tblPrEx>
        <w:trPr>
          <w:wBefore w:w="0" w:type="auto"/>
          <w:tblCellSpacing w:w="0" w:type="dxa"/>
        </w:trPr>
        <w:tc>
          <w:tcPr>
            <w:tcW w:w="0" w:type="auto"/>
            <w:noWrap w:val="0"/>
            <w:vAlign w:val="center"/>
          </w:tcPr>
          <w:p w14:paraId="3B7A5A6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6A2D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5E4B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48DD0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3876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75D3CB">
                  <w:r>
                    <w:rPr>
                      <w:rStyle w:val="11"/>
                      <w:rFonts w:hint="eastAsia"/>
                    </w:rPr>
                    <w:t>施用方式</w:t>
                  </w:r>
                </w:p>
              </w:tc>
            </w:tr>
            <w:tr w14:paraId="59FFDD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AF3B42">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78E360">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F0F60A">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12B34">
                  <w:r>
                    <w:rPr>
                      <w:rStyle w:val="11"/>
                      <w:rFonts w:hint="eastAsia"/>
                    </w:rPr>
                    <w:t>茎叶喷雾</w:t>
                  </w:r>
                </w:p>
              </w:tc>
            </w:tr>
          </w:tbl>
          <w:p w14:paraId="37BFF7F3">
            <w:pPr>
              <w:rPr>
                <w:rFonts w:ascii="Times New Roman" w:hAnsi="Times New Roman" w:cs="Times New Roman"/>
                <w:sz w:val="20"/>
                <w:szCs w:val="20"/>
              </w:rPr>
            </w:pPr>
          </w:p>
        </w:tc>
      </w:tr>
      <w:tr w14:paraId="6C5DD95E">
        <w:tblPrEx>
          <w:tblCellMar>
            <w:top w:w="0" w:type="dxa"/>
            <w:left w:w="0" w:type="dxa"/>
            <w:bottom w:w="0" w:type="dxa"/>
            <w:right w:w="0" w:type="dxa"/>
          </w:tblCellMar>
        </w:tblPrEx>
        <w:trPr>
          <w:wBefore w:w="0" w:type="auto"/>
          <w:tblCellSpacing w:w="0" w:type="dxa"/>
        </w:trPr>
        <w:tc>
          <w:tcPr>
            <w:tcW w:w="0" w:type="auto"/>
            <w:noWrap w:val="0"/>
            <w:vAlign w:val="center"/>
          </w:tcPr>
          <w:p w14:paraId="3F95FE89">
            <w:r>
              <w:rPr>
                <w:rStyle w:val="10"/>
                <w:rFonts w:hint="eastAsia"/>
              </w:rPr>
              <w:t>使用技术要求:</w:t>
            </w:r>
            <w:r>
              <w:rPr>
                <w:rFonts w:hint="eastAsia"/>
              </w:rPr>
              <w:br w:type="textWrapping"/>
            </w:r>
            <w:r>
              <w:rPr>
                <w:rStyle w:val="11"/>
                <w:rFonts w:hint="eastAsia"/>
              </w:rPr>
              <w:t>1.在一年生禾本科杂草3 - 5叶期，杂草生长旺盛期施药，每亩兑水15-30升均匀细致茎叶喷雾。2.严格按推荐剂量，田间喷液量要均匀一致，严禁重喷、多喷和漏喷。杂草草龄较大或/和发生密度较大时，采用批准登记高剂量。3.避免在极端气候如气温大幅波动前/后3天内，干旱，低温（霜冻期）高温，日最高温度低于10℃，田间积水，小麦生长不良或遭受涝害、冻害、旱害、盐碱害、病害等胁迫条件下使用，否则可能影响药效或导致作物药害。4.不推荐与激素类除草剂混用，如2, 4-D、2甲4氯、麦草畏等；与其他除草剂、农药、肥料混用建议先进行测试。5.避免药液漂移到邻近作物田；施药后仔细清洗喷雾器避免药物残留造成玉米、高粱及其他敏感作物药害。6.勿在冬前使用，避免因特殊气候的影响下，在农业生产中造成大面积药害。7.每季最多使用1次。</w:t>
            </w:r>
          </w:p>
        </w:tc>
      </w:tr>
      <w:tr w14:paraId="18A66850">
        <w:tblPrEx>
          <w:tblCellMar>
            <w:top w:w="0" w:type="dxa"/>
            <w:left w:w="0" w:type="dxa"/>
            <w:bottom w:w="0" w:type="dxa"/>
            <w:right w:w="0" w:type="dxa"/>
          </w:tblCellMar>
        </w:tblPrEx>
        <w:trPr>
          <w:wBefore w:w="0" w:type="auto"/>
          <w:tblCellSpacing w:w="0" w:type="dxa"/>
        </w:trPr>
        <w:tc>
          <w:tcPr>
            <w:tcW w:w="0" w:type="auto"/>
            <w:noWrap w:val="0"/>
            <w:vAlign w:val="center"/>
          </w:tcPr>
          <w:p w14:paraId="0A830FCA">
            <w:r>
              <w:rPr>
                <w:rStyle w:val="10"/>
                <w:rFonts w:hint="eastAsia"/>
              </w:rPr>
              <w:t>产品性能:</w:t>
            </w:r>
            <w:r>
              <w:rPr>
                <w:rFonts w:hint="eastAsia"/>
              </w:rPr>
              <w:br w:type="textWrapping"/>
            </w:r>
            <w:r>
              <w:rPr>
                <w:rStyle w:val="11"/>
                <w:rFonts w:hint="eastAsia"/>
              </w:rPr>
              <w:t>唑啉草酯为内吸传导型，用于冬小麦田苗后茎叶处理的新一代除草剂，可防除野燕麦、黑麦草、狗尾草、看麦娘、硬草、菵草和棒头草等大多数一年生禾本科杂草。</w:t>
            </w:r>
          </w:p>
        </w:tc>
      </w:tr>
      <w:tr w14:paraId="19F37EDA">
        <w:tblPrEx>
          <w:tblCellMar>
            <w:top w:w="0" w:type="dxa"/>
            <w:left w:w="0" w:type="dxa"/>
            <w:bottom w:w="0" w:type="dxa"/>
            <w:right w:w="0" w:type="dxa"/>
          </w:tblCellMar>
        </w:tblPrEx>
        <w:trPr>
          <w:wBefore w:w="0" w:type="auto"/>
          <w:tblCellSpacing w:w="0" w:type="dxa"/>
        </w:trPr>
        <w:tc>
          <w:tcPr>
            <w:tcW w:w="0" w:type="auto"/>
            <w:noWrap w:val="0"/>
            <w:vAlign w:val="center"/>
          </w:tcPr>
          <w:p w14:paraId="1353F49F">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雾滴。2.配药及施药时，应戴防渗手套、面罩或护目镜和口罩，穿长袖衣、长裤、靴子等。切勿在施药现场抽烟、饮食等。3.施药后，彻底清洗防护用具，洗澡，并更换和清洗工作服。4.远离水产养殖区、河塘等水体施药。5.勿将药液或空包装弃于水中或在河塘中洗涤喷雾器械，避免影响鱼类和污染水源。6.未用完的制剂应放在原包装内密封保存，切勿将本品置于饮、食容器内。7.用过的容器应妥善处理，不可做他用，也不可随意丢弃。8.避免孕妇及哺乳期的妇女接触本品。9.避免药液飘移到邻近的禾本科作物田。10.本品为易燃液体，远离火源。</w:t>
            </w:r>
          </w:p>
        </w:tc>
      </w:tr>
      <w:tr w14:paraId="56CA85AF">
        <w:tblPrEx>
          <w:tblCellMar>
            <w:top w:w="0" w:type="dxa"/>
            <w:left w:w="0" w:type="dxa"/>
            <w:bottom w:w="0" w:type="dxa"/>
            <w:right w:w="0" w:type="dxa"/>
          </w:tblCellMar>
        </w:tblPrEx>
        <w:trPr>
          <w:wBefore w:w="0" w:type="auto"/>
          <w:tblCellSpacing w:w="0" w:type="dxa"/>
        </w:trPr>
        <w:tc>
          <w:tcPr>
            <w:tcW w:w="0" w:type="auto"/>
            <w:noWrap w:val="0"/>
            <w:vAlign w:val="center"/>
          </w:tcPr>
          <w:p w14:paraId="78EC09FE">
            <w:r>
              <w:rPr>
                <w:rStyle w:val="10"/>
                <w:rFonts w:hint="eastAsia"/>
              </w:rPr>
              <w:t>中毒急救措施：</w:t>
            </w:r>
            <w:r>
              <w:rPr>
                <w:rFonts w:hint="eastAsia"/>
              </w:rPr>
              <w:br w:type="textWrapping"/>
            </w:r>
            <w:r>
              <w:rPr>
                <w:rStyle w:val="11"/>
                <w:rFonts w:hint="eastAsia"/>
              </w:rPr>
              <w:t xml:space="preserve">中毒症状：按标签推荐方法使用。一旦发生中毒，请对症治疗。 中毒急救： 1.用药时如果感觉不适，立即停止工作，采取急救措施，并携此标签送医就诊。 2.皮肤接触：立即脱掉被污染的衣物，用大量清水冲洗被污染的皮肤，如皮肤刺激感持续，请医生诊治。 3.眼睛溅药：立即将眼睑翻开，用清水冲洗至少15分钟，再请医生诊治。 4.发生吸入：立即将吸入者转移到空气新鲜处，如果吸入者停止呼吸，需要进行人工呼吸。注意保暖和休息，请医生诊治。 5.误服：请勿引吐，立即携带标签，送医就诊。紧急医疗措施：使用医用活性炭洗胃，注意防止胃容物进入呼吸道。注意：对昏迷病人，切勿经口喂入任何东西或引吐。 6.解毒剂: 无专用解毒剂，对症治疗。 </w:t>
            </w:r>
          </w:p>
        </w:tc>
      </w:tr>
      <w:tr w14:paraId="3A67B7C3">
        <w:tblPrEx>
          <w:tblCellMar>
            <w:top w:w="0" w:type="dxa"/>
            <w:left w:w="0" w:type="dxa"/>
            <w:bottom w:w="0" w:type="dxa"/>
            <w:right w:w="0" w:type="dxa"/>
          </w:tblCellMar>
        </w:tblPrEx>
        <w:trPr>
          <w:wBefore w:w="0" w:type="auto"/>
          <w:tblCellSpacing w:w="0" w:type="dxa"/>
        </w:trPr>
        <w:tc>
          <w:tcPr>
            <w:tcW w:w="0" w:type="auto"/>
            <w:noWrap w:val="0"/>
            <w:vAlign w:val="center"/>
          </w:tcPr>
          <w:p w14:paraId="622414B7">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17DC3D6F">
        <w:tblPrEx>
          <w:tblCellMar>
            <w:top w:w="0" w:type="dxa"/>
            <w:left w:w="0" w:type="dxa"/>
            <w:bottom w:w="0" w:type="dxa"/>
            <w:right w:w="0" w:type="dxa"/>
          </w:tblCellMar>
        </w:tblPrEx>
        <w:trPr>
          <w:wBefore w:w="0" w:type="auto"/>
          <w:tblCellSpacing w:w="0" w:type="dxa"/>
        </w:trPr>
        <w:tc>
          <w:tcPr>
            <w:tcW w:w="0" w:type="auto"/>
            <w:noWrap w:val="0"/>
            <w:vAlign w:val="center"/>
          </w:tcPr>
          <w:p w14:paraId="34AFAEDD">
            <w:r>
              <w:rPr>
                <w:rStyle w:val="10"/>
                <w:rFonts w:hint="eastAsia"/>
              </w:rPr>
              <w:t>质量保证期：</w:t>
            </w:r>
            <w:r>
              <w:rPr>
                <w:rStyle w:val="11"/>
                <w:rFonts w:hint="eastAsia"/>
              </w:rPr>
              <w:t>2年</w:t>
            </w:r>
          </w:p>
        </w:tc>
      </w:tr>
      <w:tr w14:paraId="7CE99300">
        <w:tblPrEx>
          <w:tblCellMar>
            <w:top w:w="0" w:type="dxa"/>
            <w:left w:w="0" w:type="dxa"/>
            <w:bottom w:w="0" w:type="dxa"/>
            <w:right w:w="0" w:type="dxa"/>
          </w:tblCellMar>
        </w:tblPrEx>
        <w:trPr>
          <w:wBefore w:w="0" w:type="auto"/>
          <w:tblCellSpacing w:w="0" w:type="dxa"/>
        </w:trPr>
        <w:tc>
          <w:tcPr>
            <w:tcW w:w="0" w:type="auto"/>
            <w:noWrap w:val="0"/>
            <w:vAlign w:val="center"/>
          </w:tcPr>
          <w:p w14:paraId="7656E604">
            <w:r>
              <w:rPr>
                <w:rStyle w:val="10"/>
                <w:rFonts w:hint="eastAsia"/>
              </w:rPr>
              <w:t>备注：</w:t>
            </w:r>
          </w:p>
        </w:tc>
      </w:tr>
    </w:tbl>
    <w:p w14:paraId="7C500A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C35ABC">
        <w:tblPrEx>
          <w:tblCellMar>
            <w:top w:w="0" w:type="dxa"/>
            <w:left w:w="0" w:type="dxa"/>
            <w:bottom w:w="0" w:type="dxa"/>
            <w:right w:w="0" w:type="dxa"/>
          </w:tblCellMar>
        </w:tblPrEx>
        <w:trPr>
          <w:wBefore w:w="0" w:type="auto"/>
          <w:tblCellSpacing w:w="0" w:type="dxa"/>
        </w:trPr>
        <w:tc>
          <w:tcPr>
            <w:tcW w:w="0" w:type="auto"/>
            <w:noWrap w:val="0"/>
            <w:vAlign w:val="center"/>
          </w:tcPr>
          <w:p w14:paraId="1AC440A6">
            <w:r>
              <w:rPr>
                <w:rStyle w:val="10"/>
                <w:rFonts w:hint="eastAsia"/>
              </w:rPr>
              <w:t>登记证号：</w:t>
            </w:r>
            <w:r>
              <w:rPr>
                <w:rFonts w:hint="eastAsia"/>
              </w:rPr>
              <w:t>WP20210417</w:t>
            </w:r>
          </w:p>
        </w:tc>
      </w:tr>
      <w:tr w14:paraId="6C1151CC">
        <w:tblPrEx>
          <w:tblCellMar>
            <w:top w:w="0" w:type="dxa"/>
            <w:left w:w="0" w:type="dxa"/>
            <w:bottom w:w="0" w:type="dxa"/>
            <w:right w:w="0" w:type="dxa"/>
          </w:tblCellMar>
        </w:tblPrEx>
        <w:trPr>
          <w:wBefore w:w="0" w:type="auto"/>
          <w:tblCellSpacing w:w="0" w:type="dxa"/>
        </w:trPr>
        <w:tc>
          <w:tcPr>
            <w:tcW w:w="0" w:type="auto"/>
            <w:noWrap w:val="0"/>
            <w:vAlign w:val="center"/>
          </w:tcPr>
          <w:p w14:paraId="1001F8E7">
            <w:r>
              <w:rPr>
                <w:rStyle w:val="10"/>
                <w:rFonts w:hint="eastAsia"/>
              </w:rPr>
              <w:t>登记证持有人：</w:t>
            </w:r>
            <w:r>
              <w:rPr>
                <w:rFonts w:hint="eastAsia"/>
              </w:rPr>
              <w:t>临沂轶群包装制品有限公司</w:t>
            </w:r>
          </w:p>
        </w:tc>
      </w:tr>
      <w:tr w14:paraId="57DAFFF6">
        <w:tblPrEx>
          <w:tblCellMar>
            <w:top w:w="0" w:type="dxa"/>
            <w:left w:w="0" w:type="dxa"/>
            <w:bottom w:w="0" w:type="dxa"/>
            <w:right w:w="0" w:type="dxa"/>
          </w:tblCellMar>
        </w:tblPrEx>
        <w:trPr>
          <w:wBefore w:w="0" w:type="auto"/>
          <w:tblCellSpacing w:w="0" w:type="dxa"/>
        </w:trPr>
        <w:tc>
          <w:tcPr>
            <w:tcW w:w="0" w:type="auto"/>
            <w:noWrap w:val="0"/>
            <w:vAlign w:val="center"/>
          </w:tcPr>
          <w:p w14:paraId="7B526EE6">
            <w:r>
              <w:rPr>
                <w:rStyle w:val="10"/>
                <w:rFonts w:hint="eastAsia"/>
              </w:rPr>
              <w:t>农药名称：</w:t>
            </w:r>
            <w:r>
              <w:rPr>
                <w:rFonts w:hint="eastAsia"/>
              </w:rPr>
              <w:t>电热蚊香液</w:t>
            </w:r>
          </w:p>
        </w:tc>
      </w:tr>
      <w:tr w14:paraId="22AFAAA1">
        <w:tblPrEx>
          <w:tblCellMar>
            <w:top w:w="0" w:type="dxa"/>
            <w:left w:w="0" w:type="dxa"/>
            <w:bottom w:w="0" w:type="dxa"/>
            <w:right w:w="0" w:type="dxa"/>
          </w:tblCellMar>
        </w:tblPrEx>
        <w:trPr>
          <w:wBefore w:w="0" w:type="auto"/>
          <w:tblCellSpacing w:w="0" w:type="dxa"/>
        </w:trPr>
        <w:tc>
          <w:tcPr>
            <w:tcW w:w="0" w:type="auto"/>
            <w:noWrap w:val="0"/>
            <w:vAlign w:val="center"/>
          </w:tcPr>
          <w:p w14:paraId="37EA9102">
            <w:r>
              <w:rPr>
                <w:rStyle w:val="10"/>
                <w:rFonts w:hint="eastAsia"/>
              </w:rPr>
              <w:t>剂型：</w:t>
            </w:r>
            <w:r>
              <w:rPr>
                <w:rFonts w:hint="eastAsia"/>
              </w:rPr>
              <w:t>电热香蚊液</w:t>
            </w:r>
          </w:p>
        </w:tc>
      </w:tr>
      <w:tr w14:paraId="30E181FF">
        <w:tblPrEx>
          <w:tblCellMar>
            <w:top w:w="0" w:type="dxa"/>
            <w:left w:w="0" w:type="dxa"/>
            <w:bottom w:w="0" w:type="dxa"/>
            <w:right w:w="0" w:type="dxa"/>
          </w:tblCellMar>
        </w:tblPrEx>
        <w:trPr>
          <w:wBefore w:w="0" w:type="auto"/>
          <w:tblCellSpacing w:w="0" w:type="dxa"/>
        </w:trPr>
        <w:tc>
          <w:tcPr>
            <w:tcW w:w="0" w:type="auto"/>
            <w:noWrap w:val="0"/>
            <w:vAlign w:val="center"/>
          </w:tcPr>
          <w:p w14:paraId="4594C739">
            <w:r>
              <w:rPr>
                <w:rStyle w:val="10"/>
                <w:rFonts w:hint="eastAsia"/>
              </w:rPr>
              <w:t>毒性及其标识：</w:t>
            </w:r>
            <w:r>
              <w:rPr>
                <w:rFonts w:hint="eastAsia"/>
              </w:rPr>
              <w:t xml:space="preserve"> 微毒 </w:t>
            </w:r>
          </w:p>
        </w:tc>
      </w:tr>
      <w:tr w14:paraId="18A0818F">
        <w:tblPrEx>
          <w:tblCellMar>
            <w:top w:w="0" w:type="dxa"/>
            <w:left w:w="0" w:type="dxa"/>
            <w:bottom w:w="0" w:type="dxa"/>
            <w:right w:w="0" w:type="dxa"/>
          </w:tblCellMar>
        </w:tblPrEx>
        <w:trPr>
          <w:wBefore w:w="0" w:type="auto"/>
          <w:tblCellSpacing w:w="0" w:type="dxa"/>
        </w:trPr>
        <w:tc>
          <w:tcPr>
            <w:tcW w:w="0" w:type="auto"/>
            <w:noWrap w:val="0"/>
            <w:vAlign w:val="center"/>
          </w:tcPr>
          <w:p w14:paraId="3924D4C9">
            <w:r>
              <w:rPr>
                <w:rStyle w:val="10"/>
                <w:rFonts w:hint="eastAsia"/>
              </w:rPr>
              <w:t>总有效成分含量：</w:t>
            </w:r>
            <w:r>
              <w:rPr>
                <w:rFonts w:hint="eastAsia"/>
              </w:rPr>
              <w:t>0.8%</w:t>
            </w:r>
          </w:p>
        </w:tc>
      </w:tr>
      <w:tr w14:paraId="6DDC097B">
        <w:tblPrEx>
          <w:tblCellMar>
            <w:top w:w="0" w:type="dxa"/>
            <w:left w:w="0" w:type="dxa"/>
            <w:bottom w:w="0" w:type="dxa"/>
            <w:right w:w="0" w:type="dxa"/>
          </w:tblCellMar>
        </w:tblPrEx>
        <w:trPr>
          <w:wBefore w:w="0" w:type="auto"/>
          <w:tblCellSpacing w:w="0" w:type="dxa"/>
        </w:trPr>
        <w:tc>
          <w:tcPr>
            <w:tcW w:w="0" w:type="auto"/>
            <w:noWrap w:val="0"/>
            <w:vAlign w:val="center"/>
          </w:tcPr>
          <w:p w14:paraId="714F8F50">
            <w:r>
              <w:rPr>
                <w:rFonts w:hint="eastAsia"/>
              </w:rPr>
              <w:t xml:space="preserve">有效成分及其含量： </w:t>
            </w:r>
          </w:p>
          <w:p w14:paraId="4EE691FE">
            <w:r>
              <w:rPr>
                <w:rFonts w:hint="eastAsia"/>
              </w:rPr>
              <w:t xml:space="preserve">    氯氟醚菊酯0.8%    </w:t>
            </w:r>
          </w:p>
        </w:tc>
      </w:tr>
      <w:tr w14:paraId="1532C0DB">
        <w:tblPrEx>
          <w:tblCellMar>
            <w:top w:w="0" w:type="dxa"/>
            <w:left w:w="0" w:type="dxa"/>
            <w:bottom w:w="0" w:type="dxa"/>
            <w:right w:w="0" w:type="dxa"/>
          </w:tblCellMar>
        </w:tblPrEx>
        <w:trPr>
          <w:wBefore w:w="0" w:type="auto"/>
          <w:tblCellSpacing w:w="0" w:type="dxa"/>
        </w:trPr>
        <w:tc>
          <w:tcPr>
            <w:tcW w:w="0" w:type="auto"/>
            <w:noWrap w:val="0"/>
            <w:vAlign w:val="center"/>
          </w:tcPr>
          <w:p w14:paraId="19D8F1D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EA5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BC738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1CB54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09FC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9390DA">
                  <w:r>
                    <w:rPr>
                      <w:rStyle w:val="11"/>
                      <w:rFonts w:hint="eastAsia"/>
                    </w:rPr>
                    <w:t>施用方式</w:t>
                  </w:r>
                </w:p>
              </w:tc>
            </w:tr>
            <w:tr w14:paraId="5CC031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204505">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9E6F3">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E4B649">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4D85C6">
                  <w:r>
                    <w:rPr>
                      <w:rStyle w:val="11"/>
                      <w:rFonts w:hint="eastAsia"/>
                    </w:rPr>
                    <w:t>电热加温</w:t>
                  </w:r>
                </w:p>
              </w:tc>
            </w:tr>
          </w:tbl>
          <w:p w14:paraId="1C010C39">
            <w:pPr>
              <w:rPr>
                <w:rFonts w:ascii="Times New Roman" w:hAnsi="Times New Roman" w:cs="Times New Roman"/>
                <w:sz w:val="20"/>
                <w:szCs w:val="20"/>
              </w:rPr>
            </w:pPr>
          </w:p>
        </w:tc>
      </w:tr>
      <w:tr w14:paraId="0A52ED1D">
        <w:tblPrEx>
          <w:tblCellMar>
            <w:top w:w="0" w:type="dxa"/>
            <w:left w:w="0" w:type="dxa"/>
            <w:bottom w:w="0" w:type="dxa"/>
            <w:right w:w="0" w:type="dxa"/>
          </w:tblCellMar>
        </w:tblPrEx>
        <w:trPr>
          <w:wBefore w:w="0" w:type="auto"/>
          <w:tblCellSpacing w:w="0" w:type="dxa"/>
        </w:trPr>
        <w:tc>
          <w:tcPr>
            <w:tcW w:w="0" w:type="auto"/>
            <w:noWrap w:val="0"/>
            <w:vAlign w:val="center"/>
          </w:tcPr>
          <w:p w14:paraId="19D01E1B">
            <w:r>
              <w:rPr>
                <w:rStyle w:val="10"/>
                <w:rFonts w:hint="eastAsia"/>
              </w:rPr>
              <w:t>使用技术要求:</w:t>
            </w:r>
            <w:r>
              <w:rPr>
                <w:rFonts w:hint="eastAsia"/>
              </w:rPr>
              <w:br w:type="textWrapping"/>
            </w:r>
            <w:r>
              <w:rPr>
                <w:rStyle w:val="11"/>
                <w:rFonts w:hint="eastAsia"/>
              </w:rPr>
              <w:t>使用时药力散发均匀,可连续使用60天（每天8小时），无须每天添加或更换。使用方便。是现代家居驱蚊之良品之一。 1、旋开电热蚊香液的瓶盖； 2、将蚊香液装入驱蚊器内； 3、将驱蚊器插上电源，指示灯亮即表示正常工作； 4、用毕切断电源。</w:t>
            </w:r>
          </w:p>
        </w:tc>
      </w:tr>
      <w:tr w14:paraId="3A34B3F3">
        <w:tblPrEx>
          <w:tblCellMar>
            <w:top w:w="0" w:type="dxa"/>
            <w:left w:w="0" w:type="dxa"/>
            <w:bottom w:w="0" w:type="dxa"/>
            <w:right w:w="0" w:type="dxa"/>
          </w:tblCellMar>
        </w:tblPrEx>
        <w:trPr>
          <w:wBefore w:w="0" w:type="auto"/>
          <w:tblCellSpacing w:w="0" w:type="dxa"/>
        </w:trPr>
        <w:tc>
          <w:tcPr>
            <w:tcW w:w="0" w:type="auto"/>
            <w:noWrap w:val="0"/>
            <w:vAlign w:val="center"/>
          </w:tcPr>
          <w:p w14:paraId="23572337">
            <w:r>
              <w:rPr>
                <w:rStyle w:val="10"/>
                <w:rFonts w:hint="eastAsia"/>
              </w:rPr>
              <w:t>产品性能:</w:t>
            </w:r>
            <w:r>
              <w:rPr>
                <w:rFonts w:hint="eastAsia"/>
              </w:rPr>
              <w:br w:type="textWrapping"/>
            </w:r>
            <w:r>
              <w:rPr>
                <w:rStyle w:val="11"/>
                <w:rFonts w:hint="eastAsia"/>
              </w:rPr>
              <w:t>本产品以拟除虫菊酯配制而成，能有效驱蚊，使用简便，为家居驱蚊的理想用品之一。</w:t>
            </w:r>
          </w:p>
        </w:tc>
      </w:tr>
      <w:tr w14:paraId="378D045A">
        <w:tblPrEx>
          <w:tblCellMar>
            <w:top w:w="0" w:type="dxa"/>
            <w:left w:w="0" w:type="dxa"/>
            <w:bottom w:w="0" w:type="dxa"/>
            <w:right w:w="0" w:type="dxa"/>
          </w:tblCellMar>
        </w:tblPrEx>
        <w:trPr>
          <w:wBefore w:w="0" w:type="auto"/>
          <w:tblCellSpacing w:w="0" w:type="dxa"/>
        </w:trPr>
        <w:tc>
          <w:tcPr>
            <w:tcW w:w="0" w:type="auto"/>
            <w:noWrap w:val="0"/>
            <w:vAlign w:val="center"/>
          </w:tcPr>
          <w:p w14:paraId="00F16327">
            <w:r>
              <w:rPr>
                <w:rStyle w:val="10"/>
                <w:rFonts w:hint="eastAsia"/>
              </w:rPr>
              <w:t>注意事项：</w:t>
            </w:r>
            <w:r>
              <w:rPr>
                <w:rFonts w:hint="eastAsia"/>
              </w:rPr>
              <w:br w:type="textWrapping"/>
            </w:r>
            <w:r>
              <w:rPr>
                <w:rStyle w:val="11"/>
                <w:rFonts w:hint="eastAsia"/>
              </w:rPr>
              <w:t>置于儿童接触不到的地方。使用时注意通风；注意用电及防火安全；本品对鱼、蚕有毒，蚕室及其附近禁用；用后洗手。过敏者禁用；使用中有任何不良反应请及时就医。</w:t>
            </w:r>
          </w:p>
        </w:tc>
      </w:tr>
      <w:tr w14:paraId="5A14DCA7">
        <w:tblPrEx>
          <w:tblCellMar>
            <w:top w:w="0" w:type="dxa"/>
            <w:left w:w="0" w:type="dxa"/>
            <w:bottom w:w="0" w:type="dxa"/>
            <w:right w:w="0" w:type="dxa"/>
          </w:tblCellMar>
        </w:tblPrEx>
        <w:trPr>
          <w:wBefore w:w="0" w:type="auto"/>
          <w:tblCellSpacing w:w="0" w:type="dxa"/>
        </w:trPr>
        <w:tc>
          <w:tcPr>
            <w:tcW w:w="0" w:type="auto"/>
            <w:noWrap w:val="0"/>
            <w:vAlign w:val="center"/>
          </w:tcPr>
          <w:p w14:paraId="37BC8507">
            <w:r>
              <w:rPr>
                <w:rStyle w:val="10"/>
                <w:rFonts w:hint="eastAsia"/>
              </w:rPr>
              <w:t>中毒急救措施：</w:t>
            </w:r>
            <w:r>
              <w:rPr>
                <w:rFonts w:hint="eastAsia"/>
              </w:rPr>
              <w:br w:type="textWrapping"/>
            </w:r>
            <w:r>
              <w:rPr>
                <w:rStyle w:val="11"/>
                <w:rFonts w:hint="eastAsia"/>
              </w:rPr>
              <w:t>中毒和急救措施，若有误服，则应立即携带标签将病人送医院诊治。不慎吸入，应将病人移至空气流通处。如接触药液或溅入眼睛后应即用清水冲洗15分钟以上。</w:t>
            </w:r>
          </w:p>
        </w:tc>
      </w:tr>
      <w:tr w14:paraId="4850A646">
        <w:tblPrEx>
          <w:tblCellMar>
            <w:top w:w="0" w:type="dxa"/>
            <w:left w:w="0" w:type="dxa"/>
            <w:bottom w:w="0" w:type="dxa"/>
            <w:right w:w="0" w:type="dxa"/>
          </w:tblCellMar>
        </w:tblPrEx>
        <w:trPr>
          <w:wBefore w:w="0" w:type="auto"/>
          <w:tblCellSpacing w:w="0" w:type="dxa"/>
        </w:trPr>
        <w:tc>
          <w:tcPr>
            <w:tcW w:w="0" w:type="auto"/>
            <w:noWrap w:val="0"/>
            <w:vAlign w:val="center"/>
          </w:tcPr>
          <w:p w14:paraId="3027F152">
            <w:r>
              <w:rPr>
                <w:rStyle w:val="10"/>
                <w:rFonts w:hint="eastAsia"/>
              </w:rPr>
              <w:t>储存和运输方法：</w:t>
            </w:r>
            <w:r>
              <w:rPr>
                <w:rFonts w:hint="eastAsia"/>
              </w:rPr>
              <w:br w:type="textWrapping"/>
            </w:r>
            <w:r>
              <w:rPr>
                <w:rStyle w:val="11"/>
                <w:rFonts w:hint="eastAsia"/>
              </w:rPr>
              <w:t>1、置于儿童接触不到的阴凉干燥处，勿与食品、种子、饮料、饲料及易燃易爆品等同贮同运。2、搬运时要轻取轻放，防止剧烈震动、日晒、雨淋和重压。3、远离火源或热源。</w:t>
            </w:r>
          </w:p>
        </w:tc>
      </w:tr>
      <w:tr w14:paraId="00961A15">
        <w:tblPrEx>
          <w:tblCellMar>
            <w:top w:w="0" w:type="dxa"/>
            <w:left w:w="0" w:type="dxa"/>
            <w:bottom w:w="0" w:type="dxa"/>
            <w:right w:w="0" w:type="dxa"/>
          </w:tblCellMar>
        </w:tblPrEx>
        <w:trPr>
          <w:wBefore w:w="0" w:type="auto"/>
          <w:tblCellSpacing w:w="0" w:type="dxa"/>
        </w:trPr>
        <w:tc>
          <w:tcPr>
            <w:tcW w:w="0" w:type="auto"/>
            <w:noWrap w:val="0"/>
            <w:vAlign w:val="center"/>
          </w:tcPr>
          <w:p w14:paraId="7EACF1CF">
            <w:r>
              <w:rPr>
                <w:rStyle w:val="10"/>
                <w:rFonts w:hint="eastAsia"/>
              </w:rPr>
              <w:t>质量保证期：</w:t>
            </w:r>
            <w:r>
              <w:rPr>
                <w:rStyle w:val="11"/>
                <w:rFonts w:hint="eastAsia"/>
              </w:rPr>
              <w:t>3年</w:t>
            </w:r>
          </w:p>
        </w:tc>
      </w:tr>
      <w:tr w14:paraId="68DBFB4E">
        <w:tblPrEx>
          <w:tblCellMar>
            <w:top w:w="0" w:type="dxa"/>
            <w:left w:w="0" w:type="dxa"/>
            <w:bottom w:w="0" w:type="dxa"/>
            <w:right w:w="0" w:type="dxa"/>
          </w:tblCellMar>
        </w:tblPrEx>
        <w:trPr>
          <w:wBefore w:w="0" w:type="auto"/>
          <w:tblCellSpacing w:w="0" w:type="dxa"/>
        </w:trPr>
        <w:tc>
          <w:tcPr>
            <w:tcW w:w="0" w:type="auto"/>
            <w:noWrap w:val="0"/>
            <w:vAlign w:val="center"/>
          </w:tcPr>
          <w:p w14:paraId="1E3A3CB1">
            <w:r>
              <w:rPr>
                <w:rStyle w:val="10"/>
                <w:rFonts w:hint="eastAsia"/>
              </w:rPr>
              <w:t>备注：</w:t>
            </w:r>
          </w:p>
        </w:tc>
      </w:tr>
    </w:tbl>
    <w:p w14:paraId="589D189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173FF8">
        <w:tblPrEx>
          <w:tblCellMar>
            <w:top w:w="0" w:type="dxa"/>
            <w:left w:w="0" w:type="dxa"/>
            <w:bottom w:w="0" w:type="dxa"/>
            <w:right w:w="0" w:type="dxa"/>
          </w:tblCellMar>
        </w:tblPrEx>
        <w:trPr>
          <w:wBefore w:w="0" w:type="auto"/>
          <w:tblCellSpacing w:w="0" w:type="dxa"/>
        </w:trPr>
        <w:tc>
          <w:tcPr>
            <w:tcW w:w="0" w:type="auto"/>
            <w:noWrap w:val="0"/>
            <w:vAlign w:val="center"/>
          </w:tcPr>
          <w:p w14:paraId="20873BF7">
            <w:r>
              <w:rPr>
                <w:rStyle w:val="10"/>
                <w:rFonts w:hint="eastAsia"/>
              </w:rPr>
              <w:t>登记证号：</w:t>
            </w:r>
            <w:r>
              <w:rPr>
                <w:rFonts w:hint="eastAsia"/>
              </w:rPr>
              <w:t>PD20212718</w:t>
            </w:r>
          </w:p>
        </w:tc>
      </w:tr>
      <w:tr w14:paraId="7472E449">
        <w:tblPrEx>
          <w:tblCellMar>
            <w:top w:w="0" w:type="dxa"/>
            <w:left w:w="0" w:type="dxa"/>
            <w:bottom w:w="0" w:type="dxa"/>
            <w:right w:w="0" w:type="dxa"/>
          </w:tblCellMar>
        </w:tblPrEx>
        <w:trPr>
          <w:wBefore w:w="0" w:type="auto"/>
          <w:tblCellSpacing w:w="0" w:type="dxa"/>
        </w:trPr>
        <w:tc>
          <w:tcPr>
            <w:tcW w:w="0" w:type="auto"/>
            <w:noWrap w:val="0"/>
            <w:vAlign w:val="center"/>
          </w:tcPr>
          <w:p w14:paraId="179B80EB">
            <w:r>
              <w:rPr>
                <w:rStyle w:val="10"/>
                <w:rFonts w:hint="eastAsia"/>
              </w:rPr>
              <w:t>登记证持有人：</w:t>
            </w:r>
            <w:r>
              <w:rPr>
                <w:rFonts w:hint="eastAsia"/>
              </w:rPr>
              <w:t>开封市汴梁种衣剂有限公司</w:t>
            </w:r>
          </w:p>
        </w:tc>
      </w:tr>
      <w:tr w14:paraId="6DC789E1">
        <w:tblPrEx>
          <w:tblCellMar>
            <w:top w:w="0" w:type="dxa"/>
            <w:left w:w="0" w:type="dxa"/>
            <w:bottom w:w="0" w:type="dxa"/>
            <w:right w:w="0" w:type="dxa"/>
          </w:tblCellMar>
        </w:tblPrEx>
        <w:trPr>
          <w:wBefore w:w="0" w:type="auto"/>
          <w:tblCellSpacing w:w="0" w:type="dxa"/>
        </w:trPr>
        <w:tc>
          <w:tcPr>
            <w:tcW w:w="0" w:type="auto"/>
            <w:noWrap w:val="0"/>
            <w:vAlign w:val="center"/>
          </w:tcPr>
          <w:p w14:paraId="70382213">
            <w:r>
              <w:rPr>
                <w:rStyle w:val="10"/>
                <w:rFonts w:hint="eastAsia"/>
              </w:rPr>
              <w:t>农药名称：</w:t>
            </w:r>
            <w:r>
              <w:rPr>
                <w:rFonts w:hint="eastAsia"/>
              </w:rPr>
              <w:t>苯甲·嘧菌酯</w:t>
            </w:r>
          </w:p>
        </w:tc>
      </w:tr>
      <w:tr w14:paraId="1EE93013">
        <w:tblPrEx>
          <w:tblCellMar>
            <w:top w:w="0" w:type="dxa"/>
            <w:left w:w="0" w:type="dxa"/>
            <w:bottom w:w="0" w:type="dxa"/>
            <w:right w:w="0" w:type="dxa"/>
          </w:tblCellMar>
        </w:tblPrEx>
        <w:trPr>
          <w:wBefore w:w="0" w:type="auto"/>
          <w:tblCellSpacing w:w="0" w:type="dxa"/>
        </w:trPr>
        <w:tc>
          <w:tcPr>
            <w:tcW w:w="0" w:type="auto"/>
            <w:noWrap w:val="0"/>
            <w:vAlign w:val="center"/>
          </w:tcPr>
          <w:p w14:paraId="03FFC355">
            <w:r>
              <w:rPr>
                <w:rStyle w:val="10"/>
                <w:rFonts w:hint="eastAsia"/>
              </w:rPr>
              <w:t>剂型：</w:t>
            </w:r>
            <w:r>
              <w:rPr>
                <w:rFonts w:hint="eastAsia"/>
              </w:rPr>
              <w:t>种子处理悬浮剂</w:t>
            </w:r>
          </w:p>
        </w:tc>
      </w:tr>
      <w:tr w14:paraId="275C91BF">
        <w:tblPrEx>
          <w:tblCellMar>
            <w:top w:w="0" w:type="dxa"/>
            <w:left w:w="0" w:type="dxa"/>
            <w:bottom w:w="0" w:type="dxa"/>
            <w:right w:w="0" w:type="dxa"/>
          </w:tblCellMar>
        </w:tblPrEx>
        <w:trPr>
          <w:wBefore w:w="0" w:type="auto"/>
          <w:tblCellSpacing w:w="0" w:type="dxa"/>
        </w:trPr>
        <w:tc>
          <w:tcPr>
            <w:tcW w:w="0" w:type="auto"/>
            <w:noWrap w:val="0"/>
            <w:vAlign w:val="center"/>
          </w:tcPr>
          <w:p w14:paraId="6A41F299">
            <w:r>
              <w:rPr>
                <w:rStyle w:val="10"/>
                <w:rFonts w:hint="eastAsia"/>
              </w:rPr>
              <w:t>毒性及其标识：</w:t>
            </w:r>
            <w:r>
              <w:rPr>
                <w:rFonts w:hint="eastAsia"/>
              </w:rPr>
              <w:t xml:space="preserve"> </w:t>
            </w:r>
            <w:r>
              <w:rPr>
                <w:lang/>
              </w:rPr>
              <w:drawing>
                <wp:inline distT="0" distB="0" distL="114300" distR="114300">
                  <wp:extent cx="476250" cy="323850"/>
                  <wp:effectExtent l="0" t="0" r="0" b="0"/>
                  <wp:docPr id="278" name="图片 2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A665A7">
        <w:tblPrEx>
          <w:tblCellMar>
            <w:top w:w="0" w:type="dxa"/>
            <w:left w:w="0" w:type="dxa"/>
            <w:bottom w:w="0" w:type="dxa"/>
            <w:right w:w="0" w:type="dxa"/>
          </w:tblCellMar>
        </w:tblPrEx>
        <w:trPr>
          <w:wBefore w:w="0" w:type="auto"/>
          <w:tblCellSpacing w:w="0" w:type="dxa"/>
        </w:trPr>
        <w:tc>
          <w:tcPr>
            <w:tcW w:w="0" w:type="auto"/>
            <w:noWrap w:val="0"/>
            <w:vAlign w:val="center"/>
          </w:tcPr>
          <w:p w14:paraId="420A13F8">
            <w:r>
              <w:rPr>
                <w:rStyle w:val="10"/>
                <w:rFonts w:hint="eastAsia"/>
              </w:rPr>
              <w:t>总有效成分含量：</w:t>
            </w:r>
            <w:r>
              <w:rPr>
                <w:rFonts w:hint="eastAsia"/>
              </w:rPr>
              <w:t>1%</w:t>
            </w:r>
          </w:p>
        </w:tc>
      </w:tr>
      <w:tr w14:paraId="4EB5FF84">
        <w:tblPrEx>
          <w:tblCellMar>
            <w:top w:w="0" w:type="dxa"/>
            <w:left w:w="0" w:type="dxa"/>
            <w:bottom w:w="0" w:type="dxa"/>
            <w:right w:w="0" w:type="dxa"/>
          </w:tblCellMar>
        </w:tblPrEx>
        <w:trPr>
          <w:wBefore w:w="0" w:type="auto"/>
          <w:tblCellSpacing w:w="0" w:type="dxa"/>
        </w:trPr>
        <w:tc>
          <w:tcPr>
            <w:tcW w:w="0" w:type="auto"/>
            <w:noWrap w:val="0"/>
            <w:vAlign w:val="center"/>
          </w:tcPr>
          <w:p w14:paraId="1370C3EF">
            <w:r>
              <w:rPr>
                <w:rFonts w:hint="eastAsia"/>
              </w:rPr>
              <w:t xml:space="preserve">有效成分及其含量： </w:t>
            </w:r>
          </w:p>
          <w:p w14:paraId="379445D4">
            <w:r>
              <w:rPr>
                <w:rFonts w:hint="eastAsia"/>
              </w:rPr>
              <w:t xml:space="preserve">    苯醚甲环唑0.5%    嘧菌酯0.5%    </w:t>
            </w:r>
          </w:p>
        </w:tc>
      </w:tr>
      <w:tr w14:paraId="36E3A364">
        <w:tblPrEx>
          <w:tblCellMar>
            <w:top w:w="0" w:type="dxa"/>
            <w:left w:w="0" w:type="dxa"/>
            <w:bottom w:w="0" w:type="dxa"/>
            <w:right w:w="0" w:type="dxa"/>
          </w:tblCellMar>
        </w:tblPrEx>
        <w:trPr>
          <w:wBefore w:w="0" w:type="auto"/>
          <w:tblCellSpacing w:w="0" w:type="dxa"/>
        </w:trPr>
        <w:tc>
          <w:tcPr>
            <w:tcW w:w="0" w:type="auto"/>
            <w:noWrap w:val="0"/>
            <w:vAlign w:val="center"/>
          </w:tcPr>
          <w:p w14:paraId="3848C4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99E9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6F92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9A1D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4B0A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5DBF2A">
                  <w:r>
                    <w:rPr>
                      <w:rStyle w:val="11"/>
                      <w:rFonts w:hint="eastAsia"/>
                    </w:rPr>
                    <w:t>施用方式</w:t>
                  </w:r>
                </w:p>
              </w:tc>
            </w:tr>
            <w:tr w14:paraId="59A1FE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D9B786">
                  <w:r>
                    <w:rPr>
                      <w:rStyle w:val="11"/>
                      <w:rFonts w:hint="eastAsia"/>
                    </w:rPr>
                    <w:t>大豆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469112">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EF4E1D">
                  <w:r>
                    <w:rPr>
                      <w:rStyle w:val="11"/>
                      <w:rFonts w:hint="eastAsia"/>
                    </w:rPr>
                    <w:t>1000-1250毫升/100千克种子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D7A690">
                  <w:r>
                    <w:rPr>
                      <w:rStyle w:val="11"/>
                      <w:rFonts w:hint="eastAsia"/>
                    </w:rPr>
                    <w:t>种子包衣</w:t>
                  </w:r>
                </w:p>
              </w:tc>
            </w:tr>
          </w:tbl>
          <w:p w14:paraId="21FC2080">
            <w:pPr>
              <w:rPr>
                <w:rFonts w:ascii="Times New Roman" w:hAnsi="Times New Roman" w:cs="Times New Roman"/>
                <w:sz w:val="20"/>
                <w:szCs w:val="20"/>
              </w:rPr>
            </w:pPr>
          </w:p>
        </w:tc>
      </w:tr>
      <w:tr w14:paraId="5991007D">
        <w:tblPrEx>
          <w:tblCellMar>
            <w:top w:w="0" w:type="dxa"/>
            <w:left w:w="0" w:type="dxa"/>
            <w:bottom w:w="0" w:type="dxa"/>
            <w:right w:w="0" w:type="dxa"/>
          </w:tblCellMar>
        </w:tblPrEx>
        <w:trPr>
          <w:wBefore w:w="0" w:type="auto"/>
          <w:tblCellSpacing w:w="0" w:type="dxa"/>
        </w:trPr>
        <w:tc>
          <w:tcPr>
            <w:tcW w:w="0" w:type="auto"/>
            <w:noWrap w:val="0"/>
            <w:vAlign w:val="center"/>
          </w:tcPr>
          <w:p w14:paraId="73310805">
            <w:r>
              <w:rPr>
                <w:rStyle w:val="10"/>
                <w:rFonts w:hint="eastAsia"/>
              </w:rPr>
              <w:t>使用技术要求:</w:t>
            </w:r>
            <w:r>
              <w:rPr>
                <w:rFonts w:hint="eastAsia"/>
              </w:rPr>
              <w:br w:type="textWrapping"/>
            </w:r>
            <w:r>
              <w:rPr>
                <w:rStyle w:val="11"/>
                <w:rFonts w:hint="eastAsia"/>
              </w:rPr>
              <w:t>1. 播种前进行种子包衣，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76E0C136">
        <w:tblPrEx>
          <w:tblCellMar>
            <w:top w:w="0" w:type="dxa"/>
            <w:left w:w="0" w:type="dxa"/>
            <w:bottom w:w="0" w:type="dxa"/>
            <w:right w:w="0" w:type="dxa"/>
          </w:tblCellMar>
        </w:tblPrEx>
        <w:trPr>
          <w:wBefore w:w="0" w:type="auto"/>
          <w:tblCellSpacing w:w="0" w:type="dxa"/>
        </w:trPr>
        <w:tc>
          <w:tcPr>
            <w:tcW w:w="0" w:type="auto"/>
            <w:noWrap w:val="0"/>
            <w:vAlign w:val="center"/>
          </w:tcPr>
          <w:p w14:paraId="218AD34A">
            <w:r>
              <w:rPr>
                <w:rStyle w:val="10"/>
                <w:rFonts w:hint="eastAsia"/>
              </w:rPr>
              <w:t>产品性能:</w:t>
            </w:r>
            <w:r>
              <w:rPr>
                <w:rFonts w:hint="eastAsia"/>
              </w:rPr>
              <w:br w:type="textWrapping"/>
            </w:r>
            <w:r>
              <w:rPr>
                <w:rStyle w:val="11"/>
                <w:rFonts w:hint="eastAsia"/>
              </w:rPr>
              <w:t xml:space="preserve">本品由苯醚甲环唑、嘧菌酯复配而成，杀菌谱较广且持效期较长，用于种子包衣处理，可有效防治大豆根腐病。 </w:t>
            </w:r>
          </w:p>
        </w:tc>
      </w:tr>
      <w:tr w14:paraId="203A8205">
        <w:tblPrEx>
          <w:tblCellMar>
            <w:top w:w="0" w:type="dxa"/>
            <w:left w:w="0" w:type="dxa"/>
            <w:bottom w:w="0" w:type="dxa"/>
            <w:right w:w="0" w:type="dxa"/>
          </w:tblCellMar>
        </w:tblPrEx>
        <w:trPr>
          <w:wBefore w:w="0" w:type="auto"/>
          <w:tblCellSpacing w:w="0" w:type="dxa"/>
        </w:trPr>
        <w:tc>
          <w:tcPr>
            <w:tcW w:w="0" w:type="auto"/>
            <w:noWrap w:val="0"/>
            <w:vAlign w:val="center"/>
          </w:tcPr>
          <w:p w14:paraId="171D22F6">
            <w:r>
              <w:rPr>
                <w:rStyle w:val="10"/>
                <w:rFonts w:hint="eastAsia"/>
              </w:rPr>
              <w:t>注意事项：</w:t>
            </w:r>
            <w:r>
              <w:rPr>
                <w:rFonts w:hint="eastAsia"/>
              </w:rPr>
              <w:br w:type="textWrapping"/>
            </w:r>
            <w:r>
              <w:rPr>
                <w:rStyle w:val="11"/>
                <w:rFonts w:hint="eastAsia"/>
              </w:rPr>
              <w:t>1. 使用本品时应采取安全防护措施，穿防护服，戴口罩、手套，避免刺激眼睛、皮肤接触及口鼻吸入，切勿吸烟或饮食。使用后及时洗手。 2. 本品对蜜蜂、鸟类有毒，使用时应密切关注对附近蜂群的影响，施药期间鸟类保护区附近禁用，播种后立即覆土。远离水产养殖区、河塘等水体施药，禁止在河塘等水体中清洗施药器具。 3. 处理后的种子禁止供人畜食用，也不要与未处理种子混合或一起存放。4. 本品勿与碱性农药等物质混合使用。5. 用过的容器应妥善处理，不可做他用，也不可随意丢弃。6. 孕妇及哺乳期妇女禁止接触本品。</w:t>
            </w:r>
          </w:p>
        </w:tc>
      </w:tr>
      <w:tr w14:paraId="19C3703F">
        <w:tblPrEx>
          <w:tblCellMar>
            <w:top w:w="0" w:type="dxa"/>
            <w:left w:w="0" w:type="dxa"/>
            <w:bottom w:w="0" w:type="dxa"/>
            <w:right w:w="0" w:type="dxa"/>
          </w:tblCellMar>
        </w:tblPrEx>
        <w:trPr>
          <w:wBefore w:w="0" w:type="auto"/>
          <w:tblCellSpacing w:w="0" w:type="dxa"/>
        </w:trPr>
        <w:tc>
          <w:tcPr>
            <w:tcW w:w="0" w:type="auto"/>
            <w:noWrap w:val="0"/>
            <w:vAlign w:val="center"/>
          </w:tcPr>
          <w:p w14:paraId="294C1838">
            <w:r>
              <w:rPr>
                <w:rStyle w:val="10"/>
                <w:rFonts w:hint="eastAsia"/>
              </w:rPr>
              <w:t>中毒急救措施：</w:t>
            </w:r>
            <w:r>
              <w:rPr>
                <w:rFonts w:hint="eastAsia"/>
              </w:rPr>
              <w:br w:type="textWrapping"/>
            </w:r>
            <w:r>
              <w:rPr>
                <w:rStyle w:val="11"/>
                <w:rFonts w:hint="eastAsia"/>
              </w:rPr>
              <w:t xml:space="preserve">中毒症状：未见中毒报道。 急救措施：1. 皮肤接触：立即脱掉被污染的衣物，用大量清水冲洗。2. 眼睛溅药：立即将眼睑翻开，用清水冲洗至少15分钟，再请医生诊治。 3. 不慎吸入：立即将吸入者转移到空气新鲜处，如果吸入者停止呼吸， 需进行人工呼吸。请医生诊治。 4. 误服：请用清水充分漱口后，立即携带标签，送医就诊。无专用解毒剂，对症治疗。 </w:t>
            </w:r>
          </w:p>
        </w:tc>
      </w:tr>
      <w:tr w14:paraId="691F08CD">
        <w:tblPrEx>
          <w:tblCellMar>
            <w:top w:w="0" w:type="dxa"/>
            <w:left w:w="0" w:type="dxa"/>
            <w:bottom w:w="0" w:type="dxa"/>
            <w:right w:w="0" w:type="dxa"/>
          </w:tblCellMar>
        </w:tblPrEx>
        <w:trPr>
          <w:wBefore w:w="0" w:type="auto"/>
          <w:tblCellSpacing w:w="0" w:type="dxa"/>
        </w:trPr>
        <w:tc>
          <w:tcPr>
            <w:tcW w:w="0" w:type="auto"/>
            <w:noWrap w:val="0"/>
            <w:vAlign w:val="center"/>
          </w:tcPr>
          <w:p w14:paraId="0A90AA7A">
            <w:r>
              <w:rPr>
                <w:rStyle w:val="10"/>
                <w:rFonts w:hint="eastAsia"/>
              </w:rPr>
              <w:t>储存和运输方法：</w:t>
            </w:r>
            <w:r>
              <w:rPr>
                <w:rFonts w:hint="eastAsia"/>
              </w:rPr>
              <w:br w:type="textWrapping"/>
            </w:r>
            <w:r>
              <w:rPr>
                <w:rStyle w:val="11"/>
                <w:rFonts w:hint="eastAsia"/>
              </w:rPr>
              <w:t xml:space="preserve">本品贮存应注意阴凉、干燥、通风，远离火源、热源及儿童存放，并加锁；不能与食品、饮料、粮食、饲料等物品同贮同运。避免与皮肤、眼睛接触。装卸运输时注意检查包装是否密封完整，轻拿轻放，不可倒置。 </w:t>
            </w:r>
          </w:p>
        </w:tc>
      </w:tr>
      <w:tr w14:paraId="761E4735">
        <w:tblPrEx>
          <w:tblCellMar>
            <w:top w:w="0" w:type="dxa"/>
            <w:left w:w="0" w:type="dxa"/>
            <w:bottom w:w="0" w:type="dxa"/>
            <w:right w:w="0" w:type="dxa"/>
          </w:tblCellMar>
        </w:tblPrEx>
        <w:trPr>
          <w:wBefore w:w="0" w:type="auto"/>
          <w:tblCellSpacing w:w="0" w:type="dxa"/>
        </w:trPr>
        <w:tc>
          <w:tcPr>
            <w:tcW w:w="0" w:type="auto"/>
            <w:noWrap w:val="0"/>
            <w:vAlign w:val="center"/>
          </w:tcPr>
          <w:p w14:paraId="7CC5E5ED">
            <w:r>
              <w:rPr>
                <w:rStyle w:val="10"/>
                <w:rFonts w:hint="eastAsia"/>
              </w:rPr>
              <w:t>质量保证期：</w:t>
            </w:r>
            <w:r>
              <w:rPr>
                <w:rStyle w:val="11"/>
                <w:rFonts w:hint="eastAsia"/>
              </w:rPr>
              <w:t>2年</w:t>
            </w:r>
          </w:p>
        </w:tc>
      </w:tr>
      <w:tr w14:paraId="6A709095">
        <w:tblPrEx>
          <w:tblCellMar>
            <w:top w:w="0" w:type="dxa"/>
            <w:left w:w="0" w:type="dxa"/>
            <w:bottom w:w="0" w:type="dxa"/>
            <w:right w:w="0" w:type="dxa"/>
          </w:tblCellMar>
        </w:tblPrEx>
        <w:trPr>
          <w:wBefore w:w="0" w:type="auto"/>
          <w:tblCellSpacing w:w="0" w:type="dxa"/>
        </w:trPr>
        <w:tc>
          <w:tcPr>
            <w:tcW w:w="0" w:type="auto"/>
            <w:noWrap w:val="0"/>
            <w:vAlign w:val="center"/>
          </w:tcPr>
          <w:p w14:paraId="145EFEC1">
            <w:r>
              <w:rPr>
                <w:rStyle w:val="10"/>
                <w:rFonts w:hint="eastAsia"/>
              </w:rPr>
              <w:t>备注：</w:t>
            </w:r>
          </w:p>
        </w:tc>
      </w:tr>
    </w:tbl>
    <w:p w14:paraId="0FD723E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2F9CCE">
        <w:tblPrEx>
          <w:tblCellMar>
            <w:top w:w="0" w:type="dxa"/>
            <w:left w:w="0" w:type="dxa"/>
            <w:bottom w:w="0" w:type="dxa"/>
            <w:right w:w="0" w:type="dxa"/>
          </w:tblCellMar>
        </w:tblPrEx>
        <w:trPr>
          <w:wBefore w:w="0" w:type="auto"/>
          <w:tblCellSpacing w:w="0" w:type="dxa"/>
        </w:trPr>
        <w:tc>
          <w:tcPr>
            <w:tcW w:w="0" w:type="auto"/>
            <w:noWrap w:val="0"/>
            <w:vAlign w:val="center"/>
          </w:tcPr>
          <w:p w14:paraId="55613901">
            <w:r>
              <w:rPr>
                <w:rStyle w:val="10"/>
                <w:rFonts w:hint="eastAsia"/>
              </w:rPr>
              <w:t>登记证号：</w:t>
            </w:r>
            <w:r>
              <w:rPr>
                <w:rFonts w:hint="eastAsia"/>
              </w:rPr>
              <w:t>PD20212524</w:t>
            </w:r>
          </w:p>
        </w:tc>
      </w:tr>
      <w:tr w14:paraId="2C5CF21D">
        <w:tblPrEx>
          <w:tblCellMar>
            <w:top w:w="0" w:type="dxa"/>
            <w:left w:w="0" w:type="dxa"/>
            <w:bottom w:w="0" w:type="dxa"/>
            <w:right w:w="0" w:type="dxa"/>
          </w:tblCellMar>
        </w:tblPrEx>
        <w:trPr>
          <w:wBefore w:w="0" w:type="auto"/>
          <w:tblCellSpacing w:w="0" w:type="dxa"/>
        </w:trPr>
        <w:tc>
          <w:tcPr>
            <w:tcW w:w="0" w:type="auto"/>
            <w:noWrap w:val="0"/>
            <w:vAlign w:val="center"/>
          </w:tcPr>
          <w:p w14:paraId="134173BD">
            <w:r>
              <w:rPr>
                <w:rStyle w:val="10"/>
                <w:rFonts w:hint="eastAsia"/>
              </w:rPr>
              <w:t>登记证持有人：</w:t>
            </w:r>
            <w:r>
              <w:rPr>
                <w:rFonts w:hint="eastAsia"/>
              </w:rPr>
              <w:t>山东奥坤作物科学股份有限公司</w:t>
            </w:r>
          </w:p>
        </w:tc>
      </w:tr>
      <w:tr w14:paraId="06EDFEDF">
        <w:tblPrEx>
          <w:tblCellMar>
            <w:top w:w="0" w:type="dxa"/>
            <w:left w:w="0" w:type="dxa"/>
            <w:bottom w:w="0" w:type="dxa"/>
            <w:right w:w="0" w:type="dxa"/>
          </w:tblCellMar>
        </w:tblPrEx>
        <w:trPr>
          <w:wBefore w:w="0" w:type="auto"/>
          <w:tblCellSpacing w:w="0" w:type="dxa"/>
        </w:trPr>
        <w:tc>
          <w:tcPr>
            <w:tcW w:w="0" w:type="auto"/>
            <w:noWrap w:val="0"/>
            <w:vAlign w:val="center"/>
          </w:tcPr>
          <w:p w14:paraId="09B242DB">
            <w:r>
              <w:rPr>
                <w:rStyle w:val="10"/>
                <w:rFonts w:hint="eastAsia"/>
              </w:rPr>
              <w:t>农药名称：</w:t>
            </w:r>
            <w:r>
              <w:rPr>
                <w:rFonts w:hint="eastAsia"/>
              </w:rPr>
              <w:t>二氯喹·莠去津·氯吡酯</w:t>
            </w:r>
          </w:p>
        </w:tc>
      </w:tr>
      <w:tr w14:paraId="04FF87E3">
        <w:tblPrEx>
          <w:tblCellMar>
            <w:top w:w="0" w:type="dxa"/>
            <w:left w:w="0" w:type="dxa"/>
            <w:bottom w:w="0" w:type="dxa"/>
            <w:right w:w="0" w:type="dxa"/>
          </w:tblCellMar>
        </w:tblPrEx>
        <w:trPr>
          <w:wBefore w:w="0" w:type="auto"/>
          <w:tblCellSpacing w:w="0" w:type="dxa"/>
        </w:trPr>
        <w:tc>
          <w:tcPr>
            <w:tcW w:w="0" w:type="auto"/>
            <w:noWrap w:val="0"/>
            <w:vAlign w:val="center"/>
          </w:tcPr>
          <w:p w14:paraId="320A5903">
            <w:r>
              <w:rPr>
                <w:rStyle w:val="10"/>
                <w:rFonts w:hint="eastAsia"/>
              </w:rPr>
              <w:t>剂型：</w:t>
            </w:r>
            <w:r>
              <w:rPr>
                <w:rFonts w:hint="eastAsia"/>
              </w:rPr>
              <w:t>可湿性粉剂</w:t>
            </w:r>
          </w:p>
        </w:tc>
      </w:tr>
      <w:tr w14:paraId="68C942F9">
        <w:tblPrEx>
          <w:tblCellMar>
            <w:top w:w="0" w:type="dxa"/>
            <w:left w:w="0" w:type="dxa"/>
            <w:bottom w:w="0" w:type="dxa"/>
            <w:right w:w="0" w:type="dxa"/>
          </w:tblCellMar>
        </w:tblPrEx>
        <w:trPr>
          <w:wBefore w:w="0" w:type="auto"/>
          <w:tblCellSpacing w:w="0" w:type="dxa"/>
        </w:trPr>
        <w:tc>
          <w:tcPr>
            <w:tcW w:w="0" w:type="auto"/>
            <w:noWrap w:val="0"/>
            <w:vAlign w:val="center"/>
          </w:tcPr>
          <w:p w14:paraId="7E733C2B">
            <w:r>
              <w:rPr>
                <w:rStyle w:val="10"/>
                <w:rFonts w:hint="eastAsia"/>
              </w:rPr>
              <w:t>毒性及其标识：</w:t>
            </w:r>
            <w:r>
              <w:rPr>
                <w:rFonts w:hint="eastAsia"/>
              </w:rPr>
              <w:t xml:space="preserve"> </w:t>
            </w:r>
            <w:r>
              <w:rPr>
                <w:lang/>
              </w:rPr>
              <w:drawing>
                <wp:inline distT="0" distB="0" distL="114300" distR="114300">
                  <wp:extent cx="476250" cy="323850"/>
                  <wp:effectExtent l="0" t="0" r="0" b="0"/>
                  <wp:docPr id="279" name="图片 2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543A7E">
        <w:tblPrEx>
          <w:tblCellMar>
            <w:top w:w="0" w:type="dxa"/>
            <w:left w:w="0" w:type="dxa"/>
            <w:bottom w:w="0" w:type="dxa"/>
            <w:right w:w="0" w:type="dxa"/>
          </w:tblCellMar>
        </w:tblPrEx>
        <w:trPr>
          <w:wBefore w:w="0" w:type="auto"/>
          <w:tblCellSpacing w:w="0" w:type="dxa"/>
        </w:trPr>
        <w:tc>
          <w:tcPr>
            <w:tcW w:w="0" w:type="auto"/>
            <w:noWrap w:val="0"/>
            <w:vAlign w:val="center"/>
          </w:tcPr>
          <w:p w14:paraId="27F21A18">
            <w:r>
              <w:rPr>
                <w:rStyle w:val="10"/>
                <w:rFonts w:hint="eastAsia"/>
              </w:rPr>
              <w:t>总有效成分含量：</w:t>
            </w:r>
            <w:r>
              <w:rPr>
                <w:rFonts w:hint="eastAsia"/>
              </w:rPr>
              <w:t>52%</w:t>
            </w:r>
          </w:p>
        </w:tc>
      </w:tr>
      <w:tr w14:paraId="3D5B8FD4">
        <w:tblPrEx>
          <w:tblCellMar>
            <w:top w:w="0" w:type="dxa"/>
            <w:left w:w="0" w:type="dxa"/>
            <w:bottom w:w="0" w:type="dxa"/>
            <w:right w:w="0" w:type="dxa"/>
          </w:tblCellMar>
        </w:tblPrEx>
        <w:trPr>
          <w:wBefore w:w="0" w:type="auto"/>
          <w:tblCellSpacing w:w="0" w:type="dxa"/>
        </w:trPr>
        <w:tc>
          <w:tcPr>
            <w:tcW w:w="0" w:type="auto"/>
            <w:noWrap w:val="0"/>
            <w:vAlign w:val="center"/>
          </w:tcPr>
          <w:p w14:paraId="621E732B">
            <w:r>
              <w:rPr>
                <w:rFonts w:hint="eastAsia"/>
              </w:rPr>
              <w:t xml:space="preserve">有效成分及其含量： </w:t>
            </w:r>
          </w:p>
          <w:p w14:paraId="14ABCBFC">
            <w:r>
              <w:rPr>
                <w:rFonts w:hint="eastAsia"/>
              </w:rPr>
              <w:t xml:space="preserve">    莠去津30%    二氯喹啉酸18%    氯氟吡氧乙酸异辛酯4%    </w:t>
            </w:r>
          </w:p>
        </w:tc>
      </w:tr>
      <w:tr w14:paraId="5CE68C46">
        <w:tblPrEx>
          <w:tblCellMar>
            <w:top w:w="0" w:type="dxa"/>
            <w:left w:w="0" w:type="dxa"/>
            <w:bottom w:w="0" w:type="dxa"/>
            <w:right w:w="0" w:type="dxa"/>
          </w:tblCellMar>
        </w:tblPrEx>
        <w:trPr>
          <w:wBefore w:w="0" w:type="auto"/>
          <w:tblCellSpacing w:w="0" w:type="dxa"/>
        </w:trPr>
        <w:tc>
          <w:tcPr>
            <w:tcW w:w="0" w:type="auto"/>
            <w:noWrap w:val="0"/>
            <w:vAlign w:val="center"/>
          </w:tcPr>
          <w:p w14:paraId="368FFFE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F377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9404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3013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45763C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886E78">
                  <w:r>
                    <w:rPr>
                      <w:rStyle w:val="11"/>
                      <w:rFonts w:hint="eastAsia"/>
                    </w:rPr>
                    <w:t>施用方式</w:t>
                  </w:r>
                </w:p>
              </w:tc>
            </w:tr>
            <w:tr w14:paraId="797C71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2EF1D6">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D4A9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D46476">
                  <w:r>
                    <w:rPr>
                      <w:rStyle w:val="11"/>
                      <w:rFonts w:hint="eastAsia"/>
                    </w:rPr>
                    <w:t>60-100克/亩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1A2FED">
                  <w:r>
                    <w:rPr>
                      <w:rStyle w:val="11"/>
                      <w:rFonts w:hint="eastAsia"/>
                    </w:rPr>
                    <w:t>茎叶喷雾</w:t>
                  </w:r>
                </w:p>
              </w:tc>
            </w:tr>
          </w:tbl>
          <w:p w14:paraId="09CAA8FF">
            <w:pPr>
              <w:rPr>
                <w:rFonts w:ascii="Times New Roman" w:hAnsi="Times New Roman" w:cs="Times New Roman"/>
                <w:sz w:val="20"/>
                <w:szCs w:val="20"/>
              </w:rPr>
            </w:pPr>
          </w:p>
        </w:tc>
      </w:tr>
      <w:tr w14:paraId="6A4C3A89">
        <w:tblPrEx>
          <w:tblCellMar>
            <w:top w:w="0" w:type="dxa"/>
            <w:left w:w="0" w:type="dxa"/>
            <w:bottom w:w="0" w:type="dxa"/>
            <w:right w:w="0" w:type="dxa"/>
          </w:tblCellMar>
        </w:tblPrEx>
        <w:trPr>
          <w:wBefore w:w="0" w:type="auto"/>
          <w:tblCellSpacing w:w="0" w:type="dxa"/>
        </w:trPr>
        <w:tc>
          <w:tcPr>
            <w:tcW w:w="0" w:type="auto"/>
            <w:noWrap w:val="0"/>
            <w:vAlign w:val="center"/>
          </w:tcPr>
          <w:p w14:paraId="73815530">
            <w:r>
              <w:rPr>
                <w:rStyle w:val="10"/>
                <w:rFonts w:hint="eastAsia"/>
              </w:rPr>
              <w:t>使用技术要求:</w:t>
            </w:r>
            <w:r>
              <w:rPr>
                <w:rFonts w:hint="eastAsia"/>
              </w:rPr>
              <w:br w:type="textWrapping"/>
            </w:r>
            <w:r>
              <w:rPr>
                <w:rStyle w:val="11"/>
                <w:rFonts w:hint="eastAsia"/>
              </w:rPr>
              <w:t>1）应于高粱3-6叶期，田间杂草3-5叶期。均匀茎叶喷雾施药。 2）大风天或预计1小时内降雨，请勿施药。 安全使用标准：每季最多用药1次。3）勿超剂量使用；避免高粱叶片着药造成药害。</w:t>
            </w:r>
          </w:p>
        </w:tc>
      </w:tr>
      <w:tr w14:paraId="6B5E9C27">
        <w:tblPrEx>
          <w:tblCellMar>
            <w:top w:w="0" w:type="dxa"/>
            <w:left w:w="0" w:type="dxa"/>
            <w:bottom w:w="0" w:type="dxa"/>
            <w:right w:w="0" w:type="dxa"/>
          </w:tblCellMar>
        </w:tblPrEx>
        <w:trPr>
          <w:wBefore w:w="0" w:type="auto"/>
          <w:tblCellSpacing w:w="0" w:type="dxa"/>
        </w:trPr>
        <w:tc>
          <w:tcPr>
            <w:tcW w:w="0" w:type="auto"/>
            <w:noWrap w:val="0"/>
            <w:vAlign w:val="center"/>
          </w:tcPr>
          <w:p w14:paraId="02F611DE">
            <w:r>
              <w:rPr>
                <w:rStyle w:val="10"/>
                <w:rFonts w:hint="eastAsia"/>
              </w:rPr>
              <w:t>产品性能:</w:t>
            </w:r>
            <w:r>
              <w:rPr>
                <w:rFonts w:hint="eastAsia"/>
              </w:rPr>
              <w:br w:type="textWrapping"/>
            </w:r>
            <w:r>
              <w:rPr>
                <w:rStyle w:val="11"/>
                <w:rFonts w:hint="eastAsia"/>
              </w:rPr>
              <w:t>本品是由二氯喹啉酸、莠去津和氯氟吡氧乙酸异辛酯混配的。二氯喹啉酸是一种激素型内吸传导型选择性杀稗剂，通过 稗草根和叶片吸收，并在体内传导，从而使稗草死亡。莠去津作用机理为光合作用电子传递抑制剂，作用于光合作用系 统Ⅱ位受体位点。氯氟吡氧乙酸异辛酯为激素类除草剂，作用机理类似吲哚乙酸，使敏感植物出现典型激素类除草剂的 反应，植物畸形，扭曲。混配后可用于防除高粱田一年生杂草。</w:t>
            </w:r>
          </w:p>
        </w:tc>
      </w:tr>
      <w:tr w14:paraId="1B3EDC5C">
        <w:tblPrEx>
          <w:tblCellMar>
            <w:top w:w="0" w:type="dxa"/>
            <w:left w:w="0" w:type="dxa"/>
            <w:bottom w:w="0" w:type="dxa"/>
            <w:right w:w="0" w:type="dxa"/>
          </w:tblCellMar>
        </w:tblPrEx>
        <w:trPr>
          <w:wBefore w:w="0" w:type="auto"/>
          <w:tblCellSpacing w:w="0" w:type="dxa"/>
        </w:trPr>
        <w:tc>
          <w:tcPr>
            <w:tcW w:w="0" w:type="auto"/>
            <w:noWrap w:val="0"/>
            <w:vAlign w:val="center"/>
          </w:tcPr>
          <w:p w14:paraId="2F5F51B9">
            <w:r>
              <w:rPr>
                <w:rStyle w:val="10"/>
                <w:rFonts w:hint="eastAsia"/>
              </w:rPr>
              <w:t>注意事项：</w:t>
            </w:r>
            <w:r>
              <w:rPr>
                <w:rFonts w:hint="eastAsia"/>
              </w:rPr>
              <w:br w:type="textWrapping"/>
            </w:r>
            <w:r>
              <w:rPr>
                <w:rStyle w:val="11"/>
                <w:rFonts w:hint="eastAsia"/>
              </w:rPr>
              <w:t>1）本品对藻类等水生生物有毒，地下水、饮用水水源地附近禁用；远离水产养殖区、河塘等水体施药；禁止在河塘等水体中清洗施药器具。清洗施药器具的水也不能排入河塘等水体。蚕室及桑园附近禁用； 地下水、饮用水水源地禁用。2）使用时穿戴长衣、长裤、帽子、口罩、手套等安全防护措施。避免皮肤接触及口鼻吸入。使用中不可吸烟、饮水及吃东西，使用后及时用大量清水和肥皂清洗手、脸等暴露部位皮肤并更换衣物。3） 鸟类保护区附近禁用。4）桑园及蚕室附近禁用。5）用过的容器应妥善处理，不可做他用，也不可随意丢弃。 6）禁止儿童、孕妇及哺乳期的妇女接触。过敏者禁用，使用中有任何不良反应请及时就医。7）避免与氧化剂接触。</w:t>
            </w:r>
          </w:p>
        </w:tc>
      </w:tr>
      <w:tr w14:paraId="0832C91B">
        <w:tblPrEx>
          <w:tblCellMar>
            <w:top w:w="0" w:type="dxa"/>
            <w:left w:w="0" w:type="dxa"/>
            <w:bottom w:w="0" w:type="dxa"/>
            <w:right w:w="0" w:type="dxa"/>
          </w:tblCellMar>
        </w:tblPrEx>
        <w:trPr>
          <w:wBefore w:w="0" w:type="auto"/>
          <w:tblCellSpacing w:w="0" w:type="dxa"/>
        </w:trPr>
        <w:tc>
          <w:tcPr>
            <w:tcW w:w="0" w:type="auto"/>
            <w:noWrap w:val="0"/>
            <w:vAlign w:val="center"/>
          </w:tcPr>
          <w:p w14:paraId="0127DFBC">
            <w:r>
              <w:rPr>
                <w:rStyle w:val="10"/>
                <w:rFonts w:hint="eastAsia"/>
              </w:rPr>
              <w:t>中毒急救措施：</w:t>
            </w:r>
            <w:r>
              <w:rPr>
                <w:rFonts w:hint="eastAsia"/>
              </w:rPr>
              <w:br w:type="textWrapping"/>
            </w:r>
            <w:r>
              <w:rPr>
                <w:rStyle w:val="11"/>
                <w:rFonts w:hint="eastAsia"/>
              </w:rPr>
              <w:t>对眼睛的刺激性，使用时应避免药液接触眼睛，粘膜和伤口等。急救措施：使用中或使用后如果感觉不适，应立即停止工作，采取急救措施，并携带标签送医院就诊。 皮肤接触：脱去污染的衣物，用软布去除污染农药，立即用大量清水和肥皂冲洗。 眼睛溅入：立即用流动清水冲洗不少于15分钟。 吸入：立即离开施药现场，转移到空气清新处。误食：立即停止服用，用清水充分漱口后，立即携带农药标签到医院就诊。无专用解毒剂，对症治疗。</w:t>
            </w:r>
          </w:p>
        </w:tc>
      </w:tr>
      <w:tr w14:paraId="7470D8E6">
        <w:tblPrEx>
          <w:tblCellMar>
            <w:top w:w="0" w:type="dxa"/>
            <w:left w:w="0" w:type="dxa"/>
            <w:bottom w:w="0" w:type="dxa"/>
            <w:right w:w="0" w:type="dxa"/>
          </w:tblCellMar>
        </w:tblPrEx>
        <w:trPr>
          <w:wBefore w:w="0" w:type="auto"/>
          <w:tblCellSpacing w:w="0" w:type="dxa"/>
        </w:trPr>
        <w:tc>
          <w:tcPr>
            <w:tcW w:w="0" w:type="auto"/>
            <w:noWrap w:val="0"/>
            <w:vAlign w:val="center"/>
          </w:tcPr>
          <w:p w14:paraId="70161272">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本品应贮存在干燥、阴凉、通风、防雨处，远离火源或热源。置于儿童及无关人员触及不到之处，并加锁。不能与食品、饮料、粮食、饲料等物品同贮同运。</w:t>
            </w:r>
          </w:p>
        </w:tc>
      </w:tr>
      <w:tr w14:paraId="005FDBCB">
        <w:tblPrEx>
          <w:tblCellMar>
            <w:top w:w="0" w:type="dxa"/>
            <w:left w:w="0" w:type="dxa"/>
            <w:bottom w:w="0" w:type="dxa"/>
            <w:right w:w="0" w:type="dxa"/>
          </w:tblCellMar>
        </w:tblPrEx>
        <w:trPr>
          <w:wBefore w:w="0" w:type="auto"/>
          <w:tblCellSpacing w:w="0" w:type="dxa"/>
        </w:trPr>
        <w:tc>
          <w:tcPr>
            <w:tcW w:w="0" w:type="auto"/>
            <w:noWrap w:val="0"/>
            <w:vAlign w:val="center"/>
          </w:tcPr>
          <w:p w14:paraId="551C1B97">
            <w:r>
              <w:rPr>
                <w:rStyle w:val="10"/>
                <w:rFonts w:hint="eastAsia"/>
              </w:rPr>
              <w:t>质量保证期：</w:t>
            </w:r>
            <w:r>
              <w:rPr>
                <w:rStyle w:val="11"/>
                <w:rFonts w:hint="eastAsia"/>
              </w:rPr>
              <w:t>2年</w:t>
            </w:r>
          </w:p>
        </w:tc>
      </w:tr>
      <w:tr w14:paraId="1B9A1C9F">
        <w:tblPrEx>
          <w:tblCellMar>
            <w:top w:w="0" w:type="dxa"/>
            <w:left w:w="0" w:type="dxa"/>
            <w:bottom w:w="0" w:type="dxa"/>
            <w:right w:w="0" w:type="dxa"/>
          </w:tblCellMar>
        </w:tblPrEx>
        <w:trPr>
          <w:wBefore w:w="0" w:type="auto"/>
          <w:tblCellSpacing w:w="0" w:type="dxa"/>
        </w:trPr>
        <w:tc>
          <w:tcPr>
            <w:tcW w:w="0" w:type="auto"/>
            <w:noWrap w:val="0"/>
            <w:vAlign w:val="center"/>
          </w:tcPr>
          <w:p w14:paraId="1DE09FBA">
            <w:r>
              <w:rPr>
                <w:rStyle w:val="10"/>
                <w:rFonts w:hint="eastAsia"/>
              </w:rPr>
              <w:t>备注：</w:t>
            </w:r>
          </w:p>
        </w:tc>
      </w:tr>
    </w:tbl>
    <w:p w14:paraId="7AB366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0425F3">
        <w:tblPrEx>
          <w:tblCellMar>
            <w:top w:w="0" w:type="dxa"/>
            <w:left w:w="0" w:type="dxa"/>
            <w:bottom w:w="0" w:type="dxa"/>
            <w:right w:w="0" w:type="dxa"/>
          </w:tblCellMar>
        </w:tblPrEx>
        <w:trPr>
          <w:wBefore w:w="0" w:type="auto"/>
          <w:tblCellSpacing w:w="0" w:type="dxa"/>
        </w:trPr>
        <w:tc>
          <w:tcPr>
            <w:tcW w:w="0" w:type="auto"/>
            <w:noWrap w:val="0"/>
            <w:vAlign w:val="center"/>
          </w:tcPr>
          <w:p w14:paraId="5DFA30C5">
            <w:r>
              <w:rPr>
                <w:rStyle w:val="10"/>
                <w:rFonts w:hint="eastAsia"/>
              </w:rPr>
              <w:t>登记证号：</w:t>
            </w:r>
            <w:r>
              <w:rPr>
                <w:rFonts w:hint="eastAsia"/>
              </w:rPr>
              <w:t>PD20212406</w:t>
            </w:r>
          </w:p>
        </w:tc>
      </w:tr>
      <w:tr w14:paraId="12CEBBA2">
        <w:tblPrEx>
          <w:tblCellMar>
            <w:top w:w="0" w:type="dxa"/>
            <w:left w:w="0" w:type="dxa"/>
            <w:bottom w:w="0" w:type="dxa"/>
            <w:right w:w="0" w:type="dxa"/>
          </w:tblCellMar>
        </w:tblPrEx>
        <w:trPr>
          <w:wBefore w:w="0" w:type="auto"/>
          <w:tblCellSpacing w:w="0" w:type="dxa"/>
        </w:trPr>
        <w:tc>
          <w:tcPr>
            <w:tcW w:w="0" w:type="auto"/>
            <w:noWrap w:val="0"/>
            <w:vAlign w:val="center"/>
          </w:tcPr>
          <w:p w14:paraId="699728C1">
            <w:r>
              <w:rPr>
                <w:rStyle w:val="10"/>
                <w:rFonts w:hint="eastAsia"/>
              </w:rPr>
              <w:t>登记证持有人：</w:t>
            </w:r>
            <w:r>
              <w:rPr>
                <w:rFonts w:hint="eastAsia"/>
              </w:rPr>
              <w:t>安徽美兰农业发展股份有限公司</w:t>
            </w:r>
          </w:p>
        </w:tc>
      </w:tr>
      <w:tr w14:paraId="06AA3689">
        <w:tblPrEx>
          <w:tblCellMar>
            <w:top w:w="0" w:type="dxa"/>
            <w:left w:w="0" w:type="dxa"/>
            <w:bottom w:w="0" w:type="dxa"/>
            <w:right w:w="0" w:type="dxa"/>
          </w:tblCellMar>
        </w:tblPrEx>
        <w:trPr>
          <w:wBefore w:w="0" w:type="auto"/>
          <w:tblCellSpacing w:w="0" w:type="dxa"/>
        </w:trPr>
        <w:tc>
          <w:tcPr>
            <w:tcW w:w="0" w:type="auto"/>
            <w:noWrap w:val="0"/>
            <w:vAlign w:val="center"/>
          </w:tcPr>
          <w:p w14:paraId="5395D088">
            <w:r>
              <w:rPr>
                <w:rStyle w:val="10"/>
                <w:rFonts w:hint="eastAsia"/>
              </w:rPr>
              <w:t>农药名称：</w:t>
            </w:r>
            <w:r>
              <w:rPr>
                <w:rFonts w:hint="eastAsia"/>
              </w:rPr>
              <w:t>阿维·螺虫酯</w:t>
            </w:r>
          </w:p>
        </w:tc>
      </w:tr>
      <w:tr w14:paraId="5E9D1B42">
        <w:tblPrEx>
          <w:tblCellMar>
            <w:top w:w="0" w:type="dxa"/>
            <w:left w:w="0" w:type="dxa"/>
            <w:bottom w:w="0" w:type="dxa"/>
            <w:right w:w="0" w:type="dxa"/>
          </w:tblCellMar>
        </w:tblPrEx>
        <w:trPr>
          <w:wBefore w:w="0" w:type="auto"/>
          <w:tblCellSpacing w:w="0" w:type="dxa"/>
        </w:trPr>
        <w:tc>
          <w:tcPr>
            <w:tcW w:w="0" w:type="auto"/>
            <w:noWrap w:val="0"/>
            <w:vAlign w:val="center"/>
          </w:tcPr>
          <w:p w14:paraId="75A5646D">
            <w:r>
              <w:rPr>
                <w:rStyle w:val="10"/>
                <w:rFonts w:hint="eastAsia"/>
              </w:rPr>
              <w:t>剂型：</w:t>
            </w:r>
            <w:r>
              <w:rPr>
                <w:rFonts w:hint="eastAsia"/>
              </w:rPr>
              <w:t>悬浮剂</w:t>
            </w:r>
          </w:p>
        </w:tc>
      </w:tr>
      <w:tr w14:paraId="4DA1E1EF">
        <w:tblPrEx>
          <w:tblCellMar>
            <w:top w:w="0" w:type="dxa"/>
            <w:left w:w="0" w:type="dxa"/>
            <w:bottom w:w="0" w:type="dxa"/>
            <w:right w:w="0" w:type="dxa"/>
          </w:tblCellMar>
        </w:tblPrEx>
        <w:trPr>
          <w:wBefore w:w="0" w:type="auto"/>
          <w:tblCellSpacing w:w="0" w:type="dxa"/>
        </w:trPr>
        <w:tc>
          <w:tcPr>
            <w:tcW w:w="0" w:type="auto"/>
            <w:noWrap w:val="0"/>
            <w:vAlign w:val="center"/>
          </w:tcPr>
          <w:p w14:paraId="39FA91F0">
            <w:r>
              <w:rPr>
                <w:rStyle w:val="10"/>
                <w:rFonts w:hint="eastAsia"/>
              </w:rPr>
              <w:t>毒性及其标识：</w:t>
            </w:r>
            <w:r>
              <w:rPr>
                <w:rFonts w:hint="eastAsia"/>
              </w:rPr>
              <w:t xml:space="preserve"> </w:t>
            </w:r>
            <w:r>
              <w:rPr>
                <w:lang/>
              </w:rPr>
              <w:drawing>
                <wp:inline distT="0" distB="0" distL="114300" distR="114300">
                  <wp:extent cx="476250" cy="323850"/>
                  <wp:effectExtent l="0" t="0" r="0" b="0"/>
                  <wp:docPr id="280" name="图片 2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32FB1EDD">
        <w:tblPrEx>
          <w:tblCellMar>
            <w:top w:w="0" w:type="dxa"/>
            <w:left w:w="0" w:type="dxa"/>
            <w:bottom w:w="0" w:type="dxa"/>
            <w:right w:w="0" w:type="dxa"/>
          </w:tblCellMar>
        </w:tblPrEx>
        <w:trPr>
          <w:wBefore w:w="0" w:type="auto"/>
          <w:tblCellSpacing w:w="0" w:type="dxa"/>
        </w:trPr>
        <w:tc>
          <w:tcPr>
            <w:tcW w:w="0" w:type="auto"/>
            <w:noWrap w:val="0"/>
            <w:vAlign w:val="center"/>
          </w:tcPr>
          <w:p w14:paraId="19F8667B">
            <w:r>
              <w:rPr>
                <w:rStyle w:val="10"/>
                <w:rFonts w:hint="eastAsia"/>
              </w:rPr>
              <w:t>总有效成分含量：</w:t>
            </w:r>
            <w:r>
              <w:rPr>
                <w:rFonts w:hint="eastAsia"/>
              </w:rPr>
              <w:t>24%</w:t>
            </w:r>
          </w:p>
        </w:tc>
      </w:tr>
      <w:tr w14:paraId="6B36CB11">
        <w:tblPrEx>
          <w:tblCellMar>
            <w:top w:w="0" w:type="dxa"/>
            <w:left w:w="0" w:type="dxa"/>
            <w:bottom w:w="0" w:type="dxa"/>
            <w:right w:w="0" w:type="dxa"/>
          </w:tblCellMar>
        </w:tblPrEx>
        <w:trPr>
          <w:wBefore w:w="0" w:type="auto"/>
          <w:tblCellSpacing w:w="0" w:type="dxa"/>
        </w:trPr>
        <w:tc>
          <w:tcPr>
            <w:tcW w:w="0" w:type="auto"/>
            <w:noWrap w:val="0"/>
            <w:vAlign w:val="center"/>
          </w:tcPr>
          <w:p w14:paraId="432458E4">
            <w:r>
              <w:rPr>
                <w:rFonts w:hint="eastAsia"/>
              </w:rPr>
              <w:t xml:space="preserve">有效成分及其含量： </w:t>
            </w:r>
          </w:p>
          <w:p w14:paraId="3C42E4AD">
            <w:r>
              <w:rPr>
                <w:rFonts w:hint="eastAsia"/>
              </w:rPr>
              <w:t xml:space="preserve">    螺虫乙酯21%    阿维菌素3%    </w:t>
            </w:r>
          </w:p>
        </w:tc>
      </w:tr>
      <w:tr w14:paraId="296F9C98">
        <w:tblPrEx>
          <w:tblCellMar>
            <w:top w:w="0" w:type="dxa"/>
            <w:left w:w="0" w:type="dxa"/>
            <w:bottom w:w="0" w:type="dxa"/>
            <w:right w:w="0" w:type="dxa"/>
          </w:tblCellMar>
        </w:tblPrEx>
        <w:trPr>
          <w:wBefore w:w="0" w:type="auto"/>
          <w:tblCellSpacing w:w="0" w:type="dxa"/>
        </w:trPr>
        <w:tc>
          <w:tcPr>
            <w:tcW w:w="0" w:type="auto"/>
            <w:noWrap w:val="0"/>
            <w:vAlign w:val="center"/>
          </w:tcPr>
          <w:p w14:paraId="7E56EE3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6A5B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46865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BBE17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3E450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CAF9E9">
                  <w:r>
                    <w:rPr>
                      <w:rStyle w:val="11"/>
                      <w:rFonts w:hint="eastAsia"/>
                    </w:rPr>
                    <w:t>施用方式</w:t>
                  </w:r>
                </w:p>
              </w:tc>
            </w:tr>
            <w:tr w14:paraId="06A76B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7FDD86">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02C97E">
                  <w:r>
                    <w:rPr>
                      <w:rStyle w:val="11"/>
                      <w:rFonts w:hint="eastAsia"/>
                    </w:rPr>
                    <w:t>白粉虱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855B5F">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E870D3">
                  <w:r>
                    <w:rPr>
                      <w:rStyle w:val="11"/>
                      <w:rFonts w:hint="eastAsia"/>
                    </w:rPr>
                    <w:t>喷雾</w:t>
                  </w:r>
                </w:p>
              </w:tc>
            </w:tr>
          </w:tbl>
          <w:p w14:paraId="25492F0E">
            <w:pPr>
              <w:rPr>
                <w:rFonts w:ascii="Times New Roman" w:hAnsi="Times New Roman" w:cs="Times New Roman"/>
                <w:sz w:val="20"/>
                <w:szCs w:val="20"/>
              </w:rPr>
            </w:pPr>
          </w:p>
        </w:tc>
      </w:tr>
      <w:tr w14:paraId="310329E3">
        <w:tblPrEx>
          <w:tblCellMar>
            <w:top w:w="0" w:type="dxa"/>
            <w:left w:w="0" w:type="dxa"/>
            <w:bottom w:w="0" w:type="dxa"/>
            <w:right w:w="0" w:type="dxa"/>
          </w:tblCellMar>
        </w:tblPrEx>
        <w:trPr>
          <w:wBefore w:w="0" w:type="auto"/>
          <w:tblCellSpacing w:w="0" w:type="dxa"/>
        </w:trPr>
        <w:tc>
          <w:tcPr>
            <w:tcW w:w="0" w:type="auto"/>
            <w:noWrap w:val="0"/>
            <w:vAlign w:val="center"/>
          </w:tcPr>
          <w:p w14:paraId="41DD1A7A">
            <w:r>
              <w:rPr>
                <w:rStyle w:val="10"/>
                <w:rFonts w:hint="eastAsia"/>
              </w:rPr>
              <w:t>使用技术要求:</w:t>
            </w:r>
            <w:r>
              <w:rPr>
                <w:rFonts w:hint="eastAsia"/>
              </w:rPr>
              <w:br w:type="textWrapping"/>
            </w:r>
            <w:r>
              <w:rPr>
                <w:rStyle w:val="11"/>
                <w:rFonts w:hint="eastAsia"/>
              </w:rPr>
              <w:t>1.本品应于柑橘树白粉虱低龄若虫始盛期喷雾使用，应喷雾均匀。2.大风天或预计1小时内降雨，请勿施药。3.本品在柑橘上安全间隔期为30天，每季作物最多使用1次。</w:t>
            </w:r>
          </w:p>
        </w:tc>
      </w:tr>
      <w:tr w14:paraId="466EE02F">
        <w:tblPrEx>
          <w:tblCellMar>
            <w:top w:w="0" w:type="dxa"/>
            <w:left w:w="0" w:type="dxa"/>
            <w:bottom w:w="0" w:type="dxa"/>
            <w:right w:w="0" w:type="dxa"/>
          </w:tblCellMar>
        </w:tblPrEx>
        <w:trPr>
          <w:wBefore w:w="0" w:type="auto"/>
          <w:tblCellSpacing w:w="0" w:type="dxa"/>
        </w:trPr>
        <w:tc>
          <w:tcPr>
            <w:tcW w:w="0" w:type="auto"/>
            <w:noWrap w:val="0"/>
            <w:vAlign w:val="center"/>
          </w:tcPr>
          <w:p w14:paraId="4543EE99">
            <w:r>
              <w:rPr>
                <w:rStyle w:val="10"/>
                <w:rFonts w:hint="eastAsia"/>
              </w:rPr>
              <w:t>产品性能:</w:t>
            </w:r>
            <w:r>
              <w:rPr>
                <w:rFonts w:hint="eastAsia"/>
              </w:rPr>
              <w:br w:type="textWrapping"/>
            </w:r>
            <w:r>
              <w:rPr>
                <w:rStyle w:val="11"/>
                <w:rFonts w:hint="eastAsia"/>
              </w:rPr>
              <w:t>本品由阿维菌素和螺虫乙酯复配而成。阿维菌素具有触杀和胃毒作用，并有微弱的熏蒸作用，且对叶片有较强的渗透作用，可杀死表皮下的害虫，持效期较长；螺虫乙酯是防治刺吸式口器害虫的杀虫剂，其作用机制为干扰害虫脂肪合成、阻断能量代谢，具有双向内吸传导性，可在植株体内上下传导，持效期较长。二者复配有较好的增效作用，可用于防治柑橘树白粉虱。</w:t>
            </w:r>
          </w:p>
        </w:tc>
      </w:tr>
      <w:tr w14:paraId="15D442C8">
        <w:tblPrEx>
          <w:tblCellMar>
            <w:top w:w="0" w:type="dxa"/>
            <w:left w:w="0" w:type="dxa"/>
            <w:bottom w:w="0" w:type="dxa"/>
            <w:right w:w="0" w:type="dxa"/>
          </w:tblCellMar>
        </w:tblPrEx>
        <w:trPr>
          <w:wBefore w:w="0" w:type="auto"/>
          <w:tblCellSpacing w:w="0" w:type="dxa"/>
        </w:trPr>
        <w:tc>
          <w:tcPr>
            <w:tcW w:w="0" w:type="auto"/>
            <w:noWrap w:val="0"/>
            <w:vAlign w:val="center"/>
          </w:tcPr>
          <w:p w14:paraId="72AEB56E">
            <w:r>
              <w:rPr>
                <w:rStyle w:val="10"/>
                <w:rFonts w:hint="eastAsia"/>
              </w:rPr>
              <w:t>注意事项：</w:t>
            </w:r>
            <w:r>
              <w:rPr>
                <w:rFonts w:hint="eastAsia"/>
              </w:rPr>
              <w:br w:type="textWrapping"/>
            </w:r>
            <w:r>
              <w:rPr>
                <w:rStyle w:val="11"/>
                <w:rFonts w:hint="eastAsia"/>
              </w:rPr>
              <w:t>1. 本品对蜜蜂、鸟、水生生物毒性较高，鸟类保护区附近禁用，养蜂场所和（周围）开花植物花期禁用，使用期间应密切关注对附近蜂群的影响，蚕室及桑园附近禁用，瓢虫（或其他代表性天敌）等天敌放飞区域禁用。2. 远离水产养殖区、河塘等水体施药，禁止在河塘等水体中清洗施药器具，药液及其废液不得污染各类水域，以免对水生生物等有益生物产生危害。3. 使用时穿戴长衣、长裤、帽子、口罩、手套等安全防护措施，避免皮肤接触及口鼻吸入。使用中不可吸烟、饮水及吃东西，使用后及时清洗手、脸等暴露部位皮肤并更换衣物。4. 建议与其他作用机制不同的杀虫剂轮换使用，以延缓抗性产生。5. 用过的容器应妥善处理，不可作他用，也不可随意丢弃。6. 孕妇及哺乳期妇女禁止接触。</w:t>
            </w:r>
          </w:p>
        </w:tc>
      </w:tr>
      <w:tr w14:paraId="763FB3EB">
        <w:tblPrEx>
          <w:tblCellMar>
            <w:top w:w="0" w:type="dxa"/>
            <w:left w:w="0" w:type="dxa"/>
            <w:bottom w:w="0" w:type="dxa"/>
            <w:right w:w="0" w:type="dxa"/>
          </w:tblCellMar>
        </w:tblPrEx>
        <w:trPr>
          <w:wBefore w:w="0" w:type="auto"/>
          <w:tblCellSpacing w:w="0" w:type="dxa"/>
        </w:trPr>
        <w:tc>
          <w:tcPr>
            <w:tcW w:w="0" w:type="auto"/>
            <w:noWrap w:val="0"/>
            <w:vAlign w:val="center"/>
          </w:tcPr>
          <w:p w14:paraId="578DCEA8">
            <w:r>
              <w:rPr>
                <w:rStyle w:val="10"/>
                <w:rFonts w:hint="eastAsia"/>
              </w:rPr>
              <w:t>中毒急救措施：</w:t>
            </w:r>
            <w:r>
              <w:rPr>
                <w:rFonts w:hint="eastAsia"/>
              </w:rPr>
              <w:br w:type="textWrapping"/>
            </w:r>
            <w:r>
              <w:rPr>
                <w:rStyle w:val="11"/>
                <w:rFonts w:hint="eastAsia"/>
              </w:rPr>
              <w:t>1.皮肤接触：立即脱掉被污染的衣物，用大量清水和肥皂冲洗皮肤。 2.眼睛溅入：立即用流动清水冲洗不少于15分钟。如症状持续，携此标签去医院诊治。3.不慎吸入：立即将吸入者移至空气流通处，请医生诊治。4.误食：勿引吐，立即携此标签送医就诊，对症治疗，无特效解毒药。</w:t>
            </w:r>
          </w:p>
        </w:tc>
      </w:tr>
      <w:tr w14:paraId="0694028B">
        <w:tblPrEx>
          <w:tblCellMar>
            <w:top w:w="0" w:type="dxa"/>
            <w:left w:w="0" w:type="dxa"/>
            <w:bottom w:w="0" w:type="dxa"/>
            <w:right w:w="0" w:type="dxa"/>
          </w:tblCellMar>
        </w:tblPrEx>
        <w:trPr>
          <w:wBefore w:w="0" w:type="auto"/>
          <w:tblCellSpacing w:w="0" w:type="dxa"/>
        </w:trPr>
        <w:tc>
          <w:tcPr>
            <w:tcW w:w="0" w:type="auto"/>
            <w:noWrap w:val="0"/>
            <w:vAlign w:val="center"/>
          </w:tcPr>
          <w:p w14:paraId="46A651F6">
            <w:r>
              <w:rPr>
                <w:rStyle w:val="10"/>
                <w:rFonts w:hint="eastAsia"/>
              </w:rPr>
              <w:t>储存和运输方法：</w:t>
            </w:r>
            <w:r>
              <w:rPr>
                <w:rFonts w:hint="eastAsia"/>
              </w:rPr>
              <w:br w:type="textWrapping"/>
            </w:r>
            <w:r>
              <w:rPr>
                <w:rStyle w:val="11"/>
                <w:rFonts w:hint="eastAsia"/>
              </w:rPr>
              <w:t>1.本品应贮存在干燥、阴凉、通风处，远离火源或热源。2.置于儿童、无关人员接触不到的地方，并加锁保存。3.不能与食品、饮料、粮食、饲料等物品同贮同运。</w:t>
            </w:r>
          </w:p>
        </w:tc>
      </w:tr>
      <w:tr w14:paraId="1A4CDB9A">
        <w:tblPrEx>
          <w:tblCellMar>
            <w:top w:w="0" w:type="dxa"/>
            <w:left w:w="0" w:type="dxa"/>
            <w:bottom w:w="0" w:type="dxa"/>
            <w:right w:w="0" w:type="dxa"/>
          </w:tblCellMar>
        </w:tblPrEx>
        <w:trPr>
          <w:wBefore w:w="0" w:type="auto"/>
          <w:tblCellSpacing w:w="0" w:type="dxa"/>
        </w:trPr>
        <w:tc>
          <w:tcPr>
            <w:tcW w:w="0" w:type="auto"/>
            <w:noWrap w:val="0"/>
            <w:vAlign w:val="center"/>
          </w:tcPr>
          <w:p w14:paraId="61ABD35E">
            <w:r>
              <w:rPr>
                <w:rStyle w:val="10"/>
                <w:rFonts w:hint="eastAsia"/>
              </w:rPr>
              <w:t>质量保证期：</w:t>
            </w:r>
            <w:r>
              <w:rPr>
                <w:rStyle w:val="11"/>
                <w:rFonts w:hint="eastAsia"/>
              </w:rPr>
              <w:t>2年</w:t>
            </w:r>
          </w:p>
        </w:tc>
      </w:tr>
      <w:tr w14:paraId="226AE5DD">
        <w:tblPrEx>
          <w:tblCellMar>
            <w:top w:w="0" w:type="dxa"/>
            <w:left w:w="0" w:type="dxa"/>
            <w:bottom w:w="0" w:type="dxa"/>
            <w:right w:w="0" w:type="dxa"/>
          </w:tblCellMar>
        </w:tblPrEx>
        <w:trPr>
          <w:wBefore w:w="0" w:type="auto"/>
          <w:tblCellSpacing w:w="0" w:type="dxa"/>
        </w:trPr>
        <w:tc>
          <w:tcPr>
            <w:tcW w:w="0" w:type="auto"/>
            <w:noWrap w:val="0"/>
            <w:vAlign w:val="center"/>
          </w:tcPr>
          <w:p w14:paraId="1C4F4196">
            <w:r>
              <w:rPr>
                <w:rStyle w:val="10"/>
                <w:rFonts w:hint="eastAsia"/>
              </w:rPr>
              <w:t>备注：</w:t>
            </w:r>
            <w:r>
              <w:rPr>
                <w:rFonts w:hint="eastAsia"/>
              </w:rPr>
              <w:br w:type="textWrapping"/>
            </w:r>
            <w:r>
              <w:rPr>
                <w:rStyle w:val="11"/>
                <w:rFonts w:hint="eastAsia"/>
              </w:rPr>
              <w:t>阿维菌素31克/升；螺虫乙酯214克/升。</w:t>
            </w:r>
          </w:p>
        </w:tc>
      </w:tr>
    </w:tbl>
    <w:p w14:paraId="4EEB8D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D968E5">
        <w:tblPrEx>
          <w:tblCellMar>
            <w:top w:w="0" w:type="dxa"/>
            <w:left w:w="0" w:type="dxa"/>
            <w:bottom w:w="0" w:type="dxa"/>
            <w:right w:w="0" w:type="dxa"/>
          </w:tblCellMar>
        </w:tblPrEx>
        <w:trPr>
          <w:wBefore w:w="0" w:type="auto"/>
          <w:tblCellSpacing w:w="0" w:type="dxa"/>
        </w:trPr>
        <w:tc>
          <w:tcPr>
            <w:tcW w:w="0" w:type="auto"/>
            <w:noWrap w:val="0"/>
            <w:vAlign w:val="center"/>
          </w:tcPr>
          <w:p w14:paraId="33595AE9">
            <w:r>
              <w:rPr>
                <w:rStyle w:val="10"/>
                <w:rFonts w:hint="eastAsia"/>
              </w:rPr>
              <w:t>登记证号：</w:t>
            </w:r>
            <w:r>
              <w:rPr>
                <w:rFonts w:hint="eastAsia"/>
              </w:rPr>
              <w:t>PD20212604</w:t>
            </w:r>
          </w:p>
        </w:tc>
      </w:tr>
      <w:tr w14:paraId="0C92A06D">
        <w:tblPrEx>
          <w:tblCellMar>
            <w:top w:w="0" w:type="dxa"/>
            <w:left w:w="0" w:type="dxa"/>
            <w:bottom w:w="0" w:type="dxa"/>
            <w:right w:w="0" w:type="dxa"/>
          </w:tblCellMar>
        </w:tblPrEx>
        <w:trPr>
          <w:wBefore w:w="0" w:type="auto"/>
          <w:tblCellSpacing w:w="0" w:type="dxa"/>
        </w:trPr>
        <w:tc>
          <w:tcPr>
            <w:tcW w:w="0" w:type="auto"/>
            <w:noWrap w:val="0"/>
            <w:vAlign w:val="center"/>
          </w:tcPr>
          <w:p w14:paraId="5B5D56AC">
            <w:r>
              <w:rPr>
                <w:rStyle w:val="10"/>
                <w:rFonts w:hint="eastAsia"/>
              </w:rPr>
              <w:t>登记证持有人：</w:t>
            </w:r>
            <w:r>
              <w:rPr>
                <w:rFonts w:hint="eastAsia"/>
              </w:rPr>
              <w:t>广西田园生化股份有限公司</w:t>
            </w:r>
          </w:p>
        </w:tc>
      </w:tr>
      <w:tr w14:paraId="2FFABF25">
        <w:tblPrEx>
          <w:tblCellMar>
            <w:top w:w="0" w:type="dxa"/>
            <w:left w:w="0" w:type="dxa"/>
            <w:bottom w:w="0" w:type="dxa"/>
            <w:right w:w="0" w:type="dxa"/>
          </w:tblCellMar>
        </w:tblPrEx>
        <w:trPr>
          <w:wBefore w:w="0" w:type="auto"/>
          <w:tblCellSpacing w:w="0" w:type="dxa"/>
        </w:trPr>
        <w:tc>
          <w:tcPr>
            <w:tcW w:w="0" w:type="auto"/>
            <w:noWrap w:val="0"/>
            <w:vAlign w:val="center"/>
          </w:tcPr>
          <w:p w14:paraId="2AFE003E">
            <w:r>
              <w:rPr>
                <w:rStyle w:val="10"/>
                <w:rFonts w:hint="eastAsia"/>
              </w:rPr>
              <w:t>农药名称：</w:t>
            </w:r>
            <w:r>
              <w:rPr>
                <w:rFonts w:hint="eastAsia"/>
              </w:rPr>
              <w:t>草甘·三氯吡</w:t>
            </w:r>
          </w:p>
        </w:tc>
      </w:tr>
      <w:tr w14:paraId="4E02A8B0">
        <w:tblPrEx>
          <w:tblCellMar>
            <w:top w:w="0" w:type="dxa"/>
            <w:left w:w="0" w:type="dxa"/>
            <w:bottom w:w="0" w:type="dxa"/>
            <w:right w:w="0" w:type="dxa"/>
          </w:tblCellMar>
        </w:tblPrEx>
        <w:trPr>
          <w:wBefore w:w="0" w:type="auto"/>
          <w:tblCellSpacing w:w="0" w:type="dxa"/>
        </w:trPr>
        <w:tc>
          <w:tcPr>
            <w:tcW w:w="0" w:type="auto"/>
            <w:noWrap w:val="0"/>
            <w:vAlign w:val="center"/>
          </w:tcPr>
          <w:p w14:paraId="404CC6BB">
            <w:r>
              <w:rPr>
                <w:rStyle w:val="10"/>
                <w:rFonts w:hint="eastAsia"/>
              </w:rPr>
              <w:t>剂型：</w:t>
            </w:r>
            <w:r>
              <w:rPr>
                <w:rFonts w:hint="eastAsia"/>
              </w:rPr>
              <w:t>可湿性粉剂</w:t>
            </w:r>
          </w:p>
        </w:tc>
      </w:tr>
      <w:tr w14:paraId="097B2D75">
        <w:tblPrEx>
          <w:tblCellMar>
            <w:top w:w="0" w:type="dxa"/>
            <w:left w:w="0" w:type="dxa"/>
            <w:bottom w:w="0" w:type="dxa"/>
            <w:right w:w="0" w:type="dxa"/>
          </w:tblCellMar>
        </w:tblPrEx>
        <w:trPr>
          <w:wBefore w:w="0" w:type="auto"/>
          <w:tblCellSpacing w:w="0" w:type="dxa"/>
        </w:trPr>
        <w:tc>
          <w:tcPr>
            <w:tcW w:w="0" w:type="auto"/>
            <w:noWrap w:val="0"/>
            <w:vAlign w:val="center"/>
          </w:tcPr>
          <w:p w14:paraId="77021A4E">
            <w:r>
              <w:rPr>
                <w:rStyle w:val="10"/>
                <w:rFonts w:hint="eastAsia"/>
              </w:rPr>
              <w:t>毒性及其标识：</w:t>
            </w:r>
            <w:r>
              <w:rPr>
                <w:rFonts w:hint="eastAsia"/>
              </w:rPr>
              <w:t xml:space="preserve"> </w:t>
            </w:r>
            <w:r>
              <w:rPr>
                <w:lang/>
              </w:rPr>
              <w:drawing>
                <wp:inline distT="0" distB="0" distL="114300" distR="114300">
                  <wp:extent cx="476250" cy="323850"/>
                  <wp:effectExtent l="0" t="0" r="0" b="0"/>
                  <wp:docPr id="281" name="图片 2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62CABA">
        <w:tblPrEx>
          <w:tblCellMar>
            <w:top w:w="0" w:type="dxa"/>
            <w:left w:w="0" w:type="dxa"/>
            <w:bottom w:w="0" w:type="dxa"/>
            <w:right w:w="0" w:type="dxa"/>
          </w:tblCellMar>
        </w:tblPrEx>
        <w:trPr>
          <w:wBefore w:w="0" w:type="auto"/>
          <w:tblCellSpacing w:w="0" w:type="dxa"/>
        </w:trPr>
        <w:tc>
          <w:tcPr>
            <w:tcW w:w="0" w:type="auto"/>
            <w:noWrap w:val="0"/>
            <w:vAlign w:val="center"/>
          </w:tcPr>
          <w:p w14:paraId="03E999C6">
            <w:r>
              <w:rPr>
                <w:rStyle w:val="10"/>
                <w:rFonts w:hint="eastAsia"/>
              </w:rPr>
              <w:t>总有效成分含量：</w:t>
            </w:r>
            <w:r>
              <w:rPr>
                <w:rFonts w:hint="eastAsia"/>
              </w:rPr>
              <w:t>60%</w:t>
            </w:r>
          </w:p>
        </w:tc>
      </w:tr>
      <w:tr w14:paraId="5C1F61C8">
        <w:tblPrEx>
          <w:tblCellMar>
            <w:top w:w="0" w:type="dxa"/>
            <w:left w:w="0" w:type="dxa"/>
            <w:bottom w:w="0" w:type="dxa"/>
            <w:right w:w="0" w:type="dxa"/>
          </w:tblCellMar>
        </w:tblPrEx>
        <w:trPr>
          <w:wBefore w:w="0" w:type="auto"/>
          <w:tblCellSpacing w:w="0" w:type="dxa"/>
        </w:trPr>
        <w:tc>
          <w:tcPr>
            <w:tcW w:w="0" w:type="auto"/>
            <w:noWrap w:val="0"/>
            <w:vAlign w:val="center"/>
          </w:tcPr>
          <w:p w14:paraId="02015169">
            <w:r>
              <w:rPr>
                <w:rFonts w:hint="eastAsia"/>
              </w:rPr>
              <w:t xml:space="preserve">有效成分及其含量： </w:t>
            </w:r>
          </w:p>
          <w:p w14:paraId="29C860A3">
            <w:r>
              <w:rPr>
                <w:rFonts w:hint="eastAsia"/>
              </w:rPr>
              <w:t xml:space="preserve">    三氯吡氧乙酸8%    草甘膦52%    </w:t>
            </w:r>
          </w:p>
        </w:tc>
      </w:tr>
      <w:tr w14:paraId="09E1839F">
        <w:tblPrEx>
          <w:tblCellMar>
            <w:top w:w="0" w:type="dxa"/>
            <w:left w:w="0" w:type="dxa"/>
            <w:bottom w:w="0" w:type="dxa"/>
            <w:right w:w="0" w:type="dxa"/>
          </w:tblCellMar>
        </w:tblPrEx>
        <w:trPr>
          <w:wBefore w:w="0" w:type="auto"/>
          <w:tblCellSpacing w:w="0" w:type="dxa"/>
        </w:trPr>
        <w:tc>
          <w:tcPr>
            <w:tcW w:w="0" w:type="auto"/>
            <w:noWrap w:val="0"/>
            <w:vAlign w:val="center"/>
          </w:tcPr>
          <w:p w14:paraId="4B657C1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71DA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EA02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27AE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5E38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3072C8">
                  <w:r>
                    <w:rPr>
                      <w:rStyle w:val="11"/>
                      <w:rFonts w:hint="eastAsia"/>
                    </w:rPr>
                    <w:t>施用方式</w:t>
                  </w:r>
                </w:p>
              </w:tc>
            </w:tr>
            <w:tr w14:paraId="6E093B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B396F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BAF2E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0C3820">
                  <w:r>
                    <w:rPr>
                      <w:rStyle w:val="11"/>
                      <w:rFonts w:hint="eastAsia"/>
                    </w:rPr>
                    <w:t>90-120克/亩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6912D7">
                  <w:r>
                    <w:rPr>
                      <w:rStyle w:val="11"/>
                      <w:rFonts w:hint="eastAsia"/>
                    </w:rPr>
                    <w:t>茎叶喷雾</w:t>
                  </w:r>
                </w:p>
              </w:tc>
            </w:tr>
          </w:tbl>
          <w:p w14:paraId="02543838">
            <w:pPr>
              <w:rPr>
                <w:rFonts w:ascii="Times New Roman" w:hAnsi="Times New Roman" w:cs="Times New Roman"/>
                <w:sz w:val="20"/>
                <w:szCs w:val="20"/>
              </w:rPr>
            </w:pPr>
          </w:p>
        </w:tc>
      </w:tr>
      <w:tr w14:paraId="47758BC6">
        <w:tblPrEx>
          <w:tblCellMar>
            <w:top w:w="0" w:type="dxa"/>
            <w:left w:w="0" w:type="dxa"/>
            <w:bottom w:w="0" w:type="dxa"/>
            <w:right w:w="0" w:type="dxa"/>
          </w:tblCellMar>
        </w:tblPrEx>
        <w:trPr>
          <w:wBefore w:w="0" w:type="auto"/>
          <w:tblCellSpacing w:w="0" w:type="dxa"/>
        </w:trPr>
        <w:tc>
          <w:tcPr>
            <w:tcW w:w="0" w:type="auto"/>
            <w:noWrap w:val="0"/>
            <w:vAlign w:val="center"/>
          </w:tcPr>
          <w:p w14:paraId="7C6D2D51">
            <w:r>
              <w:rPr>
                <w:rStyle w:val="10"/>
                <w:rFonts w:hint="eastAsia"/>
              </w:rPr>
              <w:t>使用技术要求:</w:t>
            </w:r>
            <w:r>
              <w:rPr>
                <w:rFonts w:hint="eastAsia"/>
              </w:rPr>
              <w:br w:type="textWrapping"/>
            </w:r>
            <w:r>
              <w:rPr>
                <w:rStyle w:val="11"/>
                <w:rFonts w:hint="eastAsia"/>
              </w:rPr>
              <w:t>1.于杂草生长旺盛期兑水均匀茎叶喷雾。 2.避免飘移药害。3.大风天或预计6小时内降雨，请勿施药。2、禁止在田间道路、田埂、果树行间、休耕地、林场林地等农林业区域使用。</w:t>
            </w:r>
          </w:p>
        </w:tc>
      </w:tr>
      <w:tr w14:paraId="7FC006DC">
        <w:tblPrEx>
          <w:tblCellMar>
            <w:top w:w="0" w:type="dxa"/>
            <w:left w:w="0" w:type="dxa"/>
            <w:bottom w:w="0" w:type="dxa"/>
            <w:right w:w="0" w:type="dxa"/>
          </w:tblCellMar>
        </w:tblPrEx>
        <w:trPr>
          <w:wBefore w:w="0" w:type="auto"/>
          <w:tblCellSpacing w:w="0" w:type="dxa"/>
        </w:trPr>
        <w:tc>
          <w:tcPr>
            <w:tcW w:w="0" w:type="auto"/>
            <w:noWrap w:val="0"/>
            <w:vAlign w:val="center"/>
          </w:tcPr>
          <w:p w14:paraId="1A80C793">
            <w:r>
              <w:rPr>
                <w:rStyle w:val="10"/>
                <w:rFonts w:hint="eastAsia"/>
              </w:rPr>
              <w:t>产品性能:</w:t>
            </w:r>
            <w:r>
              <w:rPr>
                <w:rFonts w:hint="eastAsia"/>
              </w:rPr>
              <w:br w:type="textWrapping"/>
            </w:r>
            <w:r>
              <w:rPr>
                <w:rStyle w:val="11"/>
                <w:rFonts w:hint="eastAsia"/>
              </w:rPr>
              <w:t>本品是内吸型灭生性除草剂，对非耕地杂草均有较好防效。</w:t>
            </w:r>
          </w:p>
        </w:tc>
      </w:tr>
      <w:tr w14:paraId="4DB2C187">
        <w:tblPrEx>
          <w:tblCellMar>
            <w:top w:w="0" w:type="dxa"/>
            <w:left w:w="0" w:type="dxa"/>
            <w:bottom w:w="0" w:type="dxa"/>
            <w:right w:w="0" w:type="dxa"/>
          </w:tblCellMar>
        </w:tblPrEx>
        <w:trPr>
          <w:wBefore w:w="0" w:type="auto"/>
          <w:tblCellSpacing w:w="0" w:type="dxa"/>
        </w:trPr>
        <w:tc>
          <w:tcPr>
            <w:tcW w:w="0" w:type="auto"/>
            <w:noWrap w:val="0"/>
            <w:vAlign w:val="center"/>
          </w:tcPr>
          <w:p w14:paraId="4F888A13">
            <w:r>
              <w:rPr>
                <w:rStyle w:val="10"/>
                <w:rFonts w:hint="eastAsia"/>
              </w:rPr>
              <w:t>注意事项：</w:t>
            </w:r>
            <w:r>
              <w:rPr>
                <w:rFonts w:hint="eastAsia"/>
              </w:rPr>
              <w:br w:type="textWrapping"/>
            </w:r>
            <w:r>
              <w:rPr>
                <w:rStyle w:val="11"/>
                <w:rFonts w:hint="eastAsia"/>
              </w:rPr>
              <w:t>1、使用前请仔细阅读此标签，并严格按照标签说明使用。 2、施药时应避免药液漂移到作物茎叶上，以免产生药害。 3、用清洁软水稀释药剂，否则会降低药效。本品对金属制品有腐蚀作用，使用和贮存时应尽量使用塑料容器。 4、水产养殖区、河塘等水体附近禁用，禁止在河塘等水域清洗施药器具，施用农药3日前告知所在地及邻近3000米以内的养蜂者，（周围）开花植物开花期间禁用，蚕室及桑园附近禁用，禁止在河塘等水体中清洗施药器具。用过的容器应妥善处理，不可做他用，也不可随意丢弃。 5、使用本品时应穿戴防护服、口罩和手套等，避免吸入药液。施药时不可吃东西和饮水。施药后，彻底清洗器械，并立即用肥皂洗手和洗脸。 6、施药后5天内勿割草、放牧和翻地。 7、儿童、孕妇及哺乳期妇女禁止接触本品。</w:t>
            </w:r>
          </w:p>
        </w:tc>
      </w:tr>
      <w:tr w14:paraId="2918B1B0">
        <w:tblPrEx>
          <w:tblCellMar>
            <w:top w:w="0" w:type="dxa"/>
            <w:left w:w="0" w:type="dxa"/>
            <w:bottom w:w="0" w:type="dxa"/>
            <w:right w:w="0" w:type="dxa"/>
          </w:tblCellMar>
        </w:tblPrEx>
        <w:trPr>
          <w:wBefore w:w="0" w:type="auto"/>
          <w:tblCellSpacing w:w="0" w:type="dxa"/>
        </w:trPr>
        <w:tc>
          <w:tcPr>
            <w:tcW w:w="0" w:type="auto"/>
            <w:noWrap w:val="0"/>
            <w:vAlign w:val="center"/>
          </w:tcPr>
          <w:p w14:paraId="792C9F77">
            <w:r>
              <w:rPr>
                <w:rStyle w:val="10"/>
                <w:rFonts w:hint="eastAsia"/>
              </w:rPr>
              <w:t>中毒急救措施：</w:t>
            </w:r>
            <w:r>
              <w:rPr>
                <w:rFonts w:hint="eastAsia"/>
              </w:rPr>
              <w:br w:type="textWrapping"/>
            </w:r>
            <w:r>
              <w:rPr>
                <w:rStyle w:val="11"/>
                <w:rFonts w:hint="eastAsia"/>
              </w:rPr>
              <w:t>本品对眼睛有刺激作用。 急救措施：如皮肤和眼睛接触该药时，要用大量清水冲洗至少15分钟。不慎吸入，应立即将病人移至空气清新处。误服，立即携此标签将病人送医院救治。不要自行引吐。医生洗胃时，应注意保护气管和食管。</w:t>
            </w:r>
          </w:p>
        </w:tc>
      </w:tr>
      <w:tr w14:paraId="4A43BDA6">
        <w:tblPrEx>
          <w:tblCellMar>
            <w:top w:w="0" w:type="dxa"/>
            <w:left w:w="0" w:type="dxa"/>
            <w:bottom w:w="0" w:type="dxa"/>
            <w:right w:w="0" w:type="dxa"/>
          </w:tblCellMar>
        </w:tblPrEx>
        <w:trPr>
          <w:wBefore w:w="0" w:type="auto"/>
          <w:tblCellSpacing w:w="0" w:type="dxa"/>
        </w:trPr>
        <w:tc>
          <w:tcPr>
            <w:tcW w:w="0" w:type="auto"/>
            <w:noWrap w:val="0"/>
            <w:vAlign w:val="center"/>
          </w:tcPr>
          <w:p w14:paraId="001DE4DE">
            <w:r>
              <w:rPr>
                <w:rStyle w:val="10"/>
                <w:rFonts w:hint="eastAsia"/>
              </w:rPr>
              <w:t>储存和运输方法：</w:t>
            </w:r>
            <w:r>
              <w:rPr>
                <w:rFonts w:hint="eastAsia"/>
              </w:rPr>
              <w:br w:type="textWrapping"/>
            </w:r>
            <w:r>
              <w:rPr>
                <w:rStyle w:val="11"/>
                <w:rFonts w:hint="eastAsia"/>
              </w:rPr>
              <w:t>本品宜保存于通风、阴凉、干燥的库房中。贮运时，严防潮湿和日晒，不能与食品、饮料、粮食、饲料等物品同贮同运。避免与皮肤、眼睛接触，防止由口鼻吸入。贮存于儿童接触不到的地方，并加锁。贮运过程中严防泄漏。</w:t>
            </w:r>
          </w:p>
        </w:tc>
      </w:tr>
      <w:tr w14:paraId="7C7845C0">
        <w:tblPrEx>
          <w:tblCellMar>
            <w:top w:w="0" w:type="dxa"/>
            <w:left w:w="0" w:type="dxa"/>
            <w:bottom w:w="0" w:type="dxa"/>
            <w:right w:w="0" w:type="dxa"/>
          </w:tblCellMar>
        </w:tblPrEx>
        <w:trPr>
          <w:wBefore w:w="0" w:type="auto"/>
          <w:tblCellSpacing w:w="0" w:type="dxa"/>
        </w:trPr>
        <w:tc>
          <w:tcPr>
            <w:tcW w:w="0" w:type="auto"/>
            <w:noWrap w:val="0"/>
            <w:vAlign w:val="center"/>
          </w:tcPr>
          <w:p w14:paraId="0CB46B9C">
            <w:r>
              <w:rPr>
                <w:rStyle w:val="10"/>
                <w:rFonts w:hint="eastAsia"/>
              </w:rPr>
              <w:t>质量保证期：</w:t>
            </w:r>
            <w:r>
              <w:rPr>
                <w:rStyle w:val="11"/>
                <w:rFonts w:hint="eastAsia"/>
              </w:rPr>
              <w:t>2年</w:t>
            </w:r>
          </w:p>
        </w:tc>
      </w:tr>
      <w:tr w14:paraId="6CEBAA46">
        <w:tblPrEx>
          <w:tblCellMar>
            <w:top w:w="0" w:type="dxa"/>
            <w:left w:w="0" w:type="dxa"/>
            <w:bottom w:w="0" w:type="dxa"/>
            <w:right w:w="0" w:type="dxa"/>
          </w:tblCellMar>
        </w:tblPrEx>
        <w:trPr>
          <w:wBefore w:w="0" w:type="auto"/>
          <w:tblCellSpacing w:w="0" w:type="dxa"/>
        </w:trPr>
        <w:tc>
          <w:tcPr>
            <w:tcW w:w="0" w:type="auto"/>
            <w:noWrap w:val="0"/>
            <w:vAlign w:val="center"/>
          </w:tcPr>
          <w:p w14:paraId="655F8911">
            <w:r>
              <w:rPr>
                <w:rStyle w:val="10"/>
                <w:rFonts w:hint="eastAsia"/>
              </w:rPr>
              <w:t>备注：</w:t>
            </w:r>
          </w:p>
        </w:tc>
      </w:tr>
    </w:tbl>
    <w:p w14:paraId="79024D8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24B9C7">
        <w:tblPrEx>
          <w:tblCellMar>
            <w:top w:w="0" w:type="dxa"/>
            <w:left w:w="0" w:type="dxa"/>
            <w:bottom w:w="0" w:type="dxa"/>
            <w:right w:w="0" w:type="dxa"/>
          </w:tblCellMar>
        </w:tblPrEx>
        <w:trPr>
          <w:wBefore w:w="0" w:type="auto"/>
          <w:tblCellSpacing w:w="0" w:type="dxa"/>
        </w:trPr>
        <w:tc>
          <w:tcPr>
            <w:tcW w:w="0" w:type="auto"/>
            <w:noWrap w:val="0"/>
            <w:vAlign w:val="center"/>
          </w:tcPr>
          <w:p w14:paraId="33672F25">
            <w:r>
              <w:rPr>
                <w:rStyle w:val="10"/>
                <w:rFonts w:hint="eastAsia"/>
              </w:rPr>
              <w:t>登记证号：</w:t>
            </w:r>
            <w:r>
              <w:rPr>
                <w:rFonts w:hint="eastAsia"/>
              </w:rPr>
              <w:t>PD20212649</w:t>
            </w:r>
          </w:p>
        </w:tc>
      </w:tr>
      <w:tr w14:paraId="4A5689E8">
        <w:tblPrEx>
          <w:tblCellMar>
            <w:top w:w="0" w:type="dxa"/>
            <w:left w:w="0" w:type="dxa"/>
            <w:bottom w:w="0" w:type="dxa"/>
            <w:right w:w="0" w:type="dxa"/>
          </w:tblCellMar>
        </w:tblPrEx>
        <w:trPr>
          <w:wBefore w:w="0" w:type="auto"/>
          <w:tblCellSpacing w:w="0" w:type="dxa"/>
        </w:trPr>
        <w:tc>
          <w:tcPr>
            <w:tcW w:w="0" w:type="auto"/>
            <w:noWrap w:val="0"/>
            <w:vAlign w:val="center"/>
          </w:tcPr>
          <w:p w14:paraId="55FD5547">
            <w:r>
              <w:rPr>
                <w:rStyle w:val="10"/>
                <w:rFonts w:hint="eastAsia"/>
              </w:rPr>
              <w:t>登记证持有人：</w:t>
            </w:r>
            <w:r>
              <w:rPr>
                <w:rFonts w:hint="eastAsia"/>
              </w:rPr>
              <w:t>青岛润商生物科技有限公司</w:t>
            </w:r>
          </w:p>
        </w:tc>
      </w:tr>
      <w:tr w14:paraId="3F3738BC">
        <w:tblPrEx>
          <w:tblCellMar>
            <w:top w:w="0" w:type="dxa"/>
            <w:left w:w="0" w:type="dxa"/>
            <w:bottom w:w="0" w:type="dxa"/>
            <w:right w:w="0" w:type="dxa"/>
          </w:tblCellMar>
        </w:tblPrEx>
        <w:trPr>
          <w:wBefore w:w="0" w:type="auto"/>
          <w:tblCellSpacing w:w="0" w:type="dxa"/>
        </w:trPr>
        <w:tc>
          <w:tcPr>
            <w:tcW w:w="0" w:type="auto"/>
            <w:noWrap w:val="0"/>
            <w:vAlign w:val="center"/>
          </w:tcPr>
          <w:p w14:paraId="6DF2D986">
            <w:r>
              <w:rPr>
                <w:rStyle w:val="10"/>
                <w:rFonts w:hint="eastAsia"/>
              </w:rPr>
              <w:t>农药名称：</w:t>
            </w:r>
            <w:r>
              <w:rPr>
                <w:rFonts w:hint="eastAsia"/>
              </w:rPr>
              <w:t>氟草·草铵膦</w:t>
            </w:r>
          </w:p>
        </w:tc>
      </w:tr>
      <w:tr w14:paraId="48189B02">
        <w:tblPrEx>
          <w:tblCellMar>
            <w:top w:w="0" w:type="dxa"/>
            <w:left w:w="0" w:type="dxa"/>
            <w:bottom w:w="0" w:type="dxa"/>
            <w:right w:w="0" w:type="dxa"/>
          </w:tblCellMar>
        </w:tblPrEx>
        <w:trPr>
          <w:wBefore w:w="0" w:type="auto"/>
          <w:tblCellSpacing w:w="0" w:type="dxa"/>
        </w:trPr>
        <w:tc>
          <w:tcPr>
            <w:tcW w:w="0" w:type="auto"/>
            <w:noWrap w:val="0"/>
            <w:vAlign w:val="center"/>
          </w:tcPr>
          <w:p w14:paraId="3AF0BF11">
            <w:r>
              <w:rPr>
                <w:rStyle w:val="10"/>
                <w:rFonts w:hint="eastAsia"/>
              </w:rPr>
              <w:t>剂型：</w:t>
            </w:r>
            <w:r>
              <w:rPr>
                <w:rFonts w:hint="eastAsia"/>
              </w:rPr>
              <w:t>可湿性粉剂</w:t>
            </w:r>
          </w:p>
        </w:tc>
      </w:tr>
      <w:tr w14:paraId="402C1705">
        <w:tblPrEx>
          <w:tblCellMar>
            <w:top w:w="0" w:type="dxa"/>
            <w:left w:w="0" w:type="dxa"/>
            <w:bottom w:w="0" w:type="dxa"/>
            <w:right w:w="0" w:type="dxa"/>
          </w:tblCellMar>
        </w:tblPrEx>
        <w:trPr>
          <w:wBefore w:w="0" w:type="auto"/>
          <w:tblCellSpacing w:w="0" w:type="dxa"/>
        </w:trPr>
        <w:tc>
          <w:tcPr>
            <w:tcW w:w="0" w:type="auto"/>
            <w:noWrap w:val="0"/>
            <w:vAlign w:val="center"/>
          </w:tcPr>
          <w:p w14:paraId="7F091911">
            <w:r>
              <w:rPr>
                <w:rStyle w:val="10"/>
                <w:rFonts w:hint="eastAsia"/>
              </w:rPr>
              <w:t>毒性及其标识：</w:t>
            </w:r>
            <w:r>
              <w:rPr>
                <w:rFonts w:hint="eastAsia"/>
              </w:rPr>
              <w:t xml:space="preserve"> 微毒 </w:t>
            </w:r>
          </w:p>
        </w:tc>
      </w:tr>
      <w:tr w14:paraId="27AD8BFA">
        <w:tblPrEx>
          <w:tblCellMar>
            <w:top w:w="0" w:type="dxa"/>
            <w:left w:w="0" w:type="dxa"/>
            <w:bottom w:w="0" w:type="dxa"/>
            <w:right w:w="0" w:type="dxa"/>
          </w:tblCellMar>
        </w:tblPrEx>
        <w:trPr>
          <w:wBefore w:w="0" w:type="auto"/>
          <w:tblCellSpacing w:w="0" w:type="dxa"/>
        </w:trPr>
        <w:tc>
          <w:tcPr>
            <w:tcW w:w="0" w:type="auto"/>
            <w:noWrap w:val="0"/>
            <w:vAlign w:val="center"/>
          </w:tcPr>
          <w:p w14:paraId="0AAF3D12">
            <w:r>
              <w:rPr>
                <w:rStyle w:val="10"/>
                <w:rFonts w:hint="eastAsia"/>
              </w:rPr>
              <w:t>总有效成分含量：</w:t>
            </w:r>
            <w:r>
              <w:rPr>
                <w:rFonts w:hint="eastAsia"/>
              </w:rPr>
              <w:t>66%</w:t>
            </w:r>
          </w:p>
        </w:tc>
      </w:tr>
      <w:tr w14:paraId="1AEAAB6F">
        <w:tblPrEx>
          <w:tblCellMar>
            <w:top w:w="0" w:type="dxa"/>
            <w:left w:w="0" w:type="dxa"/>
            <w:bottom w:w="0" w:type="dxa"/>
            <w:right w:w="0" w:type="dxa"/>
          </w:tblCellMar>
        </w:tblPrEx>
        <w:trPr>
          <w:wBefore w:w="0" w:type="auto"/>
          <w:tblCellSpacing w:w="0" w:type="dxa"/>
        </w:trPr>
        <w:tc>
          <w:tcPr>
            <w:tcW w:w="0" w:type="auto"/>
            <w:noWrap w:val="0"/>
            <w:vAlign w:val="center"/>
          </w:tcPr>
          <w:p w14:paraId="268FD235">
            <w:r>
              <w:rPr>
                <w:rFonts w:hint="eastAsia"/>
              </w:rPr>
              <w:t xml:space="preserve">有效成分及其含量： </w:t>
            </w:r>
          </w:p>
          <w:p w14:paraId="6B4F6100">
            <w:r>
              <w:rPr>
                <w:rFonts w:hint="eastAsia"/>
              </w:rPr>
              <w:t xml:space="preserve">    丙炔氟草胺6%    草铵膦60%    </w:t>
            </w:r>
          </w:p>
        </w:tc>
      </w:tr>
      <w:tr w14:paraId="2AF292DC">
        <w:tblPrEx>
          <w:tblCellMar>
            <w:top w:w="0" w:type="dxa"/>
            <w:left w:w="0" w:type="dxa"/>
            <w:bottom w:w="0" w:type="dxa"/>
            <w:right w:w="0" w:type="dxa"/>
          </w:tblCellMar>
        </w:tblPrEx>
        <w:trPr>
          <w:wBefore w:w="0" w:type="auto"/>
          <w:tblCellSpacing w:w="0" w:type="dxa"/>
        </w:trPr>
        <w:tc>
          <w:tcPr>
            <w:tcW w:w="0" w:type="auto"/>
            <w:noWrap w:val="0"/>
            <w:vAlign w:val="center"/>
          </w:tcPr>
          <w:p w14:paraId="0A83DE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1DF2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5DB2E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58E5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10CB5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96B105">
                  <w:r>
                    <w:rPr>
                      <w:rStyle w:val="11"/>
                      <w:rFonts w:hint="eastAsia"/>
                    </w:rPr>
                    <w:t>施用方式</w:t>
                  </w:r>
                </w:p>
              </w:tc>
            </w:tr>
            <w:tr w14:paraId="0C4406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6BA084">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3E07C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4B0C3D">
                  <w:r>
                    <w:rPr>
                      <w:rStyle w:val="11"/>
                      <w:rFonts w:hint="eastAsia"/>
                    </w:rPr>
                    <w:t>40-60克/亩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87D5FE">
                  <w:r>
                    <w:rPr>
                      <w:rStyle w:val="11"/>
                      <w:rFonts w:hint="eastAsia"/>
                    </w:rPr>
                    <w:t>茎叶喷雾</w:t>
                  </w:r>
                </w:p>
              </w:tc>
            </w:tr>
          </w:tbl>
          <w:p w14:paraId="32E18932">
            <w:pPr>
              <w:rPr>
                <w:rFonts w:ascii="Times New Roman" w:hAnsi="Times New Roman" w:cs="Times New Roman"/>
                <w:sz w:val="20"/>
                <w:szCs w:val="20"/>
              </w:rPr>
            </w:pPr>
          </w:p>
        </w:tc>
      </w:tr>
      <w:tr w14:paraId="2DCFC821">
        <w:tblPrEx>
          <w:tblCellMar>
            <w:top w:w="0" w:type="dxa"/>
            <w:left w:w="0" w:type="dxa"/>
            <w:bottom w:w="0" w:type="dxa"/>
            <w:right w:w="0" w:type="dxa"/>
          </w:tblCellMar>
        </w:tblPrEx>
        <w:trPr>
          <w:wBefore w:w="0" w:type="auto"/>
          <w:tblCellSpacing w:w="0" w:type="dxa"/>
        </w:trPr>
        <w:tc>
          <w:tcPr>
            <w:tcW w:w="0" w:type="auto"/>
            <w:noWrap w:val="0"/>
            <w:vAlign w:val="center"/>
          </w:tcPr>
          <w:p w14:paraId="68FFA3BE">
            <w:r>
              <w:rPr>
                <w:rStyle w:val="10"/>
                <w:rFonts w:hint="eastAsia"/>
              </w:rPr>
              <w:t>使用技术要求:</w:t>
            </w:r>
            <w:r>
              <w:rPr>
                <w:rFonts w:hint="eastAsia"/>
              </w:rPr>
              <w:br w:type="textWrapping"/>
            </w:r>
            <w:r>
              <w:rPr>
                <w:rStyle w:val="11"/>
                <w:rFonts w:hint="eastAsia"/>
              </w:rPr>
              <w:t>1. 在非耕地杂草旺盛生长期，以推荐剂量兑水均匀茎叶喷雾施药1次。2. 避免药液喷到作物绿色部位，避免漂移药害。3. 禁止在田间道路、田埂、果树行间、休耕地、林场林地等农林业区域使用。</w:t>
            </w:r>
          </w:p>
        </w:tc>
      </w:tr>
      <w:tr w14:paraId="27F8F8A7">
        <w:tblPrEx>
          <w:tblCellMar>
            <w:top w:w="0" w:type="dxa"/>
            <w:left w:w="0" w:type="dxa"/>
            <w:bottom w:w="0" w:type="dxa"/>
            <w:right w:w="0" w:type="dxa"/>
          </w:tblCellMar>
        </w:tblPrEx>
        <w:trPr>
          <w:wBefore w:w="0" w:type="auto"/>
          <w:tblCellSpacing w:w="0" w:type="dxa"/>
        </w:trPr>
        <w:tc>
          <w:tcPr>
            <w:tcW w:w="0" w:type="auto"/>
            <w:noWrap w:val="0"/>
            <w:vAlign w:val="center"/>
          </w:tcPr>
          <w:p w14:paraId="236DBEBE">
            <w:r>
              <w:rPr>
                <w:rStyle w:val="10"/>
                <w:rFonts w:hint="eastAsia"/>
              </w:rPr>
              <w:t>产品性能:</w:t>
            </w:r>
            <w:r>
              <w:rPr>
                <w:rFonts w:hint="eastAsia"/>
              </w:rPr>
              <w:br w:type="textWrapping"/>
            </w:r>
            <w:r>
              <w:rPr>
                <w:rStyle w:val="11"/>
                <w:rFonts w:hint="eastAsia"/>
              </w:rPr>
              <w:t>本品是丙炔氟草胺和草铵膦复配的除草剂；该产品具有活性高、除草速度快、杀草谱广、持效期长的特点。 对非耕地杂草有较好的防效。</w:t>
            </w:r>
          </w:p>
        </w:tc>
      </w:tr>
      <w:tr w14:paraId="745D54F6">
        <w:tblPrEx>
          <w:tblCellMar>
            <w:top w:w="0" w:type="dxa"/>
            <w:left w:w="0" w:type="dxa"/>
            <w:bottom w:w="0" w:type="dxa"/>
            <w:right w:w="0" w:type="dxa"/>
          </w:tblCellMar>
        </w:tblPrEx>
        <w:trPr>
          <w:wBefore w:w="0" w:type="auto"/>
          <w:tblCellSpacing w:w="0" w:type="dxa"/>
        </w:trPr>
        <w:tc>
          <w:tcPr>
            <w:tcW w:w="0" w:type="auto"/>
            <w:noWrap w:val="0"/>
            <w:vAlign w:val="center"/>
          </w:tcPr>
          <w:p w14:paraId="51CAD103">
            <w:r>
              <w:rPr>
                <w:rStyle w:val="10"/>
                <w:rFonts w:hint="eastAsia"/>
              </w:rPr>
              <w:t>注意事项：</w:t>
            </w:r>
            <w:r>
              <w:rPr>
                <w:rFonts w:hint="eastAsia"/>
              </w:rPr>
              <w:br w:type="textWrapping"/>
            </w:r>
            <w:r>
              <w:rPr>
                <w:rStyle w:val="11"/>
                <w:rFonts w:hint="eastAsia"/>
              </w:rPr>
              <w:t>1. 使用本品应采取相应的安全防护措施，穿长衣、长裤、鞋子，戴帽子、口罩和手套等，避免皮肤接触及口鼻吸入。使用中不可吸烟、饮水及吃东西，使用后及时清洗手、脸等暴露部位皮肤并更换衣物。 2. 施药前、后要彻底清洗喷药器械，洗涤后的废水不能排入河流、池塘等水源。 3. 废弃物妥善处理，不能随意丢弃，也不能做他用。 4. 本品对鱼类等水生生物有毒，远离水产养殖区、河塘等水体施药；禁止在河塘等水体中清洗施药器具。洗涤器具后的废水和未使用完的药液不应污染河流等水源，避免影响鱼类和污染水源。 5.蚕室及桑园附近禁用；赤眼蜂等天敌放飞区域禁用本品。 6. 用过的容器应妥善处理，不可做他用，也不可随意丢弃。 7. 孕妇及哺乳期妇女避免接触。</w:t>
            </w:r>
          </w:p>
        </w:tc>
      </w:tr>
      <w:tr w14:paraId="73A1B418">
        <w:tblPrEx>
          <w:tblCellMar>
            <w:top w:w="0" w:type="dxa"/>
            <w:left w:w="0" w:type="dxa"/>
            <w:bottom w:w="0" w:type="dxa"/>
            <w:right w:w="0" w:type="dxa"/>
          </w:tblCellMar>
        </w:tblPrEx>
        <w:trPr>
          <w:wBefore w:w="0" w:type="auto"/>
          <w:tblCellSpacing w:w="0" w:type="dxa"/>
        </w:trPr>
        <w:tc>
          <w:tcPr>
            <w:tcW w:w="0" w:type="auto"/>
            <w:noWrap w:val="0"/>
            <w:vAlign w:val="center"/>
          </w:tcPr>
          <w:p w14:paraId="5B1609D4">
            <w:r>
              <w:rPr>
                <w:rStyle w:val="10"/>
                <w:rFonts w:hint="eastAsia"/>
              </w:rPr>
              <w:t>中毒急救措施：</w:t>
            </w:r>
            <w:r>
              <w:rPr>
                <w:rFonts w:hint="eastAsia"/>
              </w:rPr>
              <w:br w:type="textWrapping"/>
            </w:r>
            <w:r>
              <w:rPr>
                <w:rStyle w:val="11"/>
                <w:rFonts w:hint="eastAsia"/>
              </w:rPr>
              <w:t>中毒症状：对眼睛、皮肤或粘膜有刺激作用。急救措施：使用中或使用后如果感觉不适，应立即停止工作，采取急救措施，并携带标签送医院就诊。 1. 皮肤接触：脱去污染的衣物，用软布去除沾染农药，立即用大量清水和肥皂冲洗； 2. 眼睛接触：立即用流动的清水至少冲洗15分钟，仍有不适应立即就医； 3. 吸入：立即离开施药现场，转移到空气清新处。 4. 如误服，立即停止服用，用清水充分漱口后，立即携带标签到医院对症治疗。</w:t>
            </w:r>
          </w:p>
        </w:tc>
      </w:tr>
      <w:tr w14:paraId="4ED1D45B">
        <w:tblPrEx>
          <w:tblCellMar>
            <w:top w:w="0" w:type="dxa"/>
            <w:left w:w="0" w:type="dxa"/>
            <w:bottom w:w="0" w:type="dxa"/>
            <w:right w:w="0" w:type="dxa"/>
          </w:tblCellMar>
        </w:tblPrEx>
        <w:trPr>
          <w:wBefore w:w="0" w:type="auto"/>
          <w:tblCellSpacing w:w="0" w:type="dxa"/>
        </w:trPr>
        <w:tc>
          <w:tcPr>
            <w:tcW w:w="0" w:type="auto"/>
            <w:noWrap w:val="0"/>
            <w:vAlign w:val="center"/>
          </w:tcPr>
          <w:p w14:paraId="2840EDC1">
            <w:r>
              <w:rPr>
                <w:rStyle w:val="10"/>
                <w:rFonts w:hint="eastAsia"/>
              </w:rPr>
              <w:t>储存和运输方法：</w:t>
            </w:r>
            <w:r>
              <w:rPr>
                <w:rFonts w:hint="eastAsia"/>
              </w:rPr>
              <w:br w:type="textWrapping"/>
            </w:r>
            <w:r>
              <w:rPr>
                <w:rStyle w:val="11"/>
                <w:rFonts w:hint="eastAsia"/>
              </w:rPr>
              <w:t>贮运时应严防潮湿和日晒，保持良好通风，远离热源或火源，置于儿童、无关人员及动物触及不到的地方，并加锁保存；不能与食品、饮料、粮食、饲料等混合储运。</w:t>
            </w:r>
          </w:p>
        </w:tc>
      </w:tr>
      <w:tr w14:paraId="3BD98AB8">
        <w:tblPrEx>
          <w:tblCellMar>
            <w:top w:w="0" w:type="dxa"/>
            <w:left w:w="0" w:type="dxa"/>
            <w:bottom w:w="0" w:type="dxa"/>
            <w:right w:w="0" w:type="dxa"/>
          </w:tblCellMar>
        </w:tblPrEx>
        <w:trPr>
          <w:wBefore w:w="0" w:type="auto"/>
          <w:tblCellSpacing w:w="0" w:type="dxa"/>
        </w:trPr>
        <w:tc>
          <w:tcPr>
            <w:tcW w:w="0" w:type="auto"/>
            <w:noWrap w:val="0"/>
            <w:vAlign w:val="center"/>
          </w:tcPr>
          <w:p w14:paraId="53991D7C">
            <w:r>
              <w:rPr>
                <w:rStyle w:val="10"/>
                <w:rFonts w:hint="eastAsia"/>
              </w:rPr>
              <w:t>质量保证期：</w:t>
            </w:r>
            <w:r>
              <w:rPr>
                <w:rStyle w:val="11"/>
                <w:rFonts w:hint="eastAsia"/>
              </w:rPr>
              <w:t>2年</w:t>
            </w:r>
          </w:p>
        </w:tc>
      </w:tr>
      <w:tr w14:paraId="334D6231">
        <w:tblPrEx>
          <w:tblCellMar>
            <w:top w:w="0" w:type="dxa"/>
            <w:left w:w="0" w:type="dxa"/>
            <w:bottom w:w="0" w:type="dxa"/>
            <w:right w:w="0" w:type="dxa"/>
          </w:tblCellMar>
        </w:tblPrEx>
        <w:trPr>
          <w:wBefore w:w="0" w:type="auto"/>
          <w:tblCellSpacing w:w="0" w:type="dxa"/>
        </w:trPr>
        <w:tc>
          <w:tcPr>
            <w:tcW w:w="0" w:type="auto"/>
            <w:noWrap w:val="0"/>
            <w:vAlign w:val="center"/>
          </w:tcPr>
          <w:p w14:paraId="2CC5E3C8">
            <w:r>
              <w:rPr>
                <w:rStyle w:val="10"/>
                <w:rFonts w:hint="eastAsia"/>
              </w:rPr>
              <w:t>备注：</w:t>
            </w:r>
          </w:p>
        </w:tc>
      </w:tr>
    </w:tbl>
    <w:p w14:paraId="3F310C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0E9C11">
        <w:tblPrEx>
          <w:tblCellMar>
            <w:top w:w="0" w:type="dxa"/>
            <w:left w:w="0" w:type="dxa"/>
            <w:bottom w:w="0" w:type="dxa"/>
            <w:right w:w="0" w:type="dxa"/>
          </w:tblCellMar>
        </w:tblPrEx>
        <w:trPr>
          <w:wBefore w:w="0" w:type="auto"/>
          <w:tblCellSpacing w:w="0" w:type="dxa"/>
        </w:trPr>
        <w:tc>
          <w:tcPr>
            <w:tcW w:w="0" w:type="auto"/>
            <w:noWrap w:val="0"/>
            <w:vAlign w:val="center"/>
          </w:tcPr>
          <w:p w14:paraId="46718F4C">
            <w:r>
              <w:rPr>
                <w:rStyle w:val="10"/>
                <w:rFonts w:hint="eastAsia"/>
              </w:rPr>
              <w:t>登记证号：</w:t>
            </w:r>
            <w:r>
              <w:rPr>
                <w:rFonts w:hint="eastAsia"/>
              </w:rPr>
              <w:t>EX20210139</w:t>
            </w:r>
          </w:p>
        </w:tc>
      </w:tr>
      <w:tr w14:paraId="15B04865">
        <w:tblPrEx>
          <w:tblCellMar>
            <w:top w:w="0" w:type="dxa"/>
            <w:left w:w="0" w:type="dxa"/>
            <w:bottom w:w="0" w:type="dxa"/>
            <w:right w:w="0" w:type="dxa"/>
          </w:tblCellMar>
        </w:tblPrEx>
        <w:trPr>
          <w:wBefore w:w="0" w:type="auto"/>
          <w:tblCellSpacing w:w="0" w:type="dxa"/>
        </w:trPr>
        <w:tc>
          <w:tcPr>
            <w:tcW w:w="0" w:type="auto"/>
            <w:noWrap w:val="0"/>
            <w:vAlign w:val="center"/>
          </w:tcPr>
          <w:p w14:paraId="6E592A35">
            <w:r>
              <w:rPr>
                <w:rStyle w:val="10"/>
                <w:rFonts w:hint="eastAsia"/>
              </w:rPr>
              <w:t>登记证持有人：</w:t>
            </w:r>
            <w:r>
              <w:rPr>
                <w:rFonts w:hint="eastAsia"/>
              </w:rPr>
              <w:t>山东潍坊润丰化工股份有限公司</w:t>
            </w:r>
          </w:p>
        </w:tc>
      </w:tr>
      <w:tr w14:paraId="30ED0544">
        <w:tblPrEx>
          <w:tblCellMar>
            <w:top w:w="0" w:type="dxa"/>
            <w:left w:w="0" w:type="dxa"/>
            <w:bottom w:w="0" w:type="dxa"/>
            <w:right w:w="0" w:type="dxa"/>
          </w:tblCellMar>
        </w:tblPrEx>
        <w:trPr>
          <w:wBefore w:w="0" w:type="auto"/>
          <w:tblCellSpacing w:w="0" w:type="dxa"/>
        </w:trPr>
        <w:tc>
          <w:tcPr>
            <w:tcW w:w="0" w:type="auto"/>
            <w:noWrap w:val="0"/>
            <w:vAlign w:val="center"/>
          </w:tcPr>
          <w:p w14:paraId="77DEB606">
            <w:r>
              <w:rPr>
                <w:rStyle w:val="10"/>
                <w:rFonts w:hint="eastAsia"/>
              </w:rPr>
              <w:t>农药名称：</w:t>
            </w:r>
            <w:r>
              <w:rPr>
                <w:rFonts w:hint="eastAsia"/>
              </w:rPr>
              <w:t>氨氯吡啶酸</w:t>
            </w:r>
          </w:p>
        </w:tc>
      </w:tr>
      <w:tr w14:paraId="1CC45B74">
        <w:tblPrEx>
          <w:tblCellMar>
            <w:top w:w="0" w:type="dxa"/>
            <w:left w:w="0" w:type="dxa"/>
            <w:bottom w:w="0" w:type="dxa"/>
            <w:right w:w="0" w:type="dxa"/>
          </w:tblCellMar>
        </w:tblPrEx>
        <w:trPr>
          <w:wBefore w:w="0" w:type="auto"/>
          <w:tblCellSpacing w:w="0" w:type="dxa"/>
        </w:trPr>
        <w:tc>
          <w:tcPr>
            <w:tcW w:w="0" w:type="auto"/>
            <w:noWrap w:val="0"/>
            <w:vAlign w:val="center"/>
          </w:tcPr>
          <w:p w14:paraId="47D3A4D5">
            <w:r>
              <w:rPr>
                <w:rStyle w:val="10"/>
                <w:rFonts w:hint="eastAsia"/>
              </w:rPr>
              <w:t>剂型：</w:t>
            </w:r>
            <w:r>
              <w:rPr>
                <w:rFonts w:hint="eastAsia"/>
              </w:rPr>
              <w:t>可溶液剂</w:t>
            </w:r>
          </w:p>
        </w:tc>
      </w:tr>
      <w:tr w14:paraId="7AFC92DF">
        <w:tblPrEx>
          <w:tblCellMar>
            <w:top w:w="0" w:type="dxa"/>
            <w:left w:w="0" w:type="dxa"/>
            <w:bottom w:w="0" w:type="dxa"/>
            <w:right w:w="0" w:type="dxa"/>
          </w:tblCellMar>
        </w:tblPrEx>
        <w:trPr>
          <w:wBefore w:w="0" w:type="auto"/>
          <w:tblCellSpacing w:w="0" w:type="dxa"/>
        </w:trPr>
        <w:tc>
          <w:tcPr>
            <w:tcW w:w="0" w:type="auto"/>
            <w:noWrap w:val="0"/>
            <w:vAlign w:val="center"/>
          </w:tcPr>
          <w:p w14:paraId="43940324">
            <w:r>
              <w:rPr>
                <w:rStyle w:val="10"/>
                <w:rFonts w:hint="eastAsia"/>
              </w:rPr>
              <w:t>毒性及其标识：</w:t>
            </w:r>
            <w:r>
              <w:rPr>
                <w:rFonts w:hint="eastAsia"/>
              </w:rPr>
              <w:t xml:space="preserve"> 微毒 </w:t>
            </w:r>
          </w:p>
        </w:tc>
      </w:tr>
      <w:tr w14:paraId="447AA04F">
        <w:tblPrEx>
          <w:tblCellMar>
            <w:top w:w="0" w:type="dxa"/>
            <w:left w:w="0" w:type="dxa"/>
            <w:bottom w:w="0" w:type="dxa"/>
            <w:right w:w="0" w:type="dxa"/>
          </w:tblCellMar>
        </w:tblPrEx>
        <w:trPr>
          <w:wBefore w:w="0" w:type="auto"/>
          <w:tblCellSpacing w:w="0" w:type="dxa"/>
        </w:trPr>
        <w:tc>
          <w:tcPr>
            <w:tcW w:w="0" w:type="auto"/>
            <w:noWrap w:val="0"/>
            <w:vAlign w:val="center"/>
          </w:tcPr>
          <w:p w14:paraId="34E94735">
            <w:r>
              <w:rPr>
                <w:rStyle w:val="10"/>
                <w:rFonts w:hint="eastAsia"/>
              </w:rPr>
              <w:t>总有效成分含量：</w:t>
            </w:r>
            <w:r>
              <w:rPr>
                <w:rFonts w:hint="eastAsia"/>
              </w:rPr>
              <w:t>240克/升</w:t>
            </w:r>
          </w:p>
        </w:tc>
      </w:tr>
      <w:tr w14:paraId="4701909A">
        <w:tblPrEx>
          <w:tblCellMar>
            <w:top w:w="0" w:type="dxa"/>
            <w:left w:w="0" w:type="dxa"/>
            <w:bottom w:w="0" w:type="dxa"/>
            <w:right w:w="0" w:type="dxa"/>
          </w:tblCellMar>
        </w:tblPrEx>
        <w:trPr>
          <w:wBefore w:w="0" w:type="auto"/>
          <w:tblCellSpacing w:w="0" w:type="dxa"/>
        </w:trPr>
        <w:tc>
          <w:tcPr>
            <w:tcW w:w="0" w:type="auto"/>
            <w:noWrap w:val="0"/>
            <w:vAlign w:val="center"/>
          </w:tcPr>
          <w:p w14:paraId="6C213907">
            <w:r>
              <w:rPr>
                <w:rFonts w:hint="eastAsia"/>
              </w:rPr>
              <w:t xml:space="preserve">有效成分及其含量： </w:t>
            </w:r>
          </w:p>
          <w:p w14:paraId="5811ED25">
            <w:r>
              <w:rPr>
                <w:rFonts w:hint="eastAsia"/>
              </w:rPr>
              <w:t xml:space="preserve">    </w:t>
            </w:r>
          </w:p>
        </w:tc>
      </w:tr>
      <w:tr w14:paraId="0EB24682">
        <w:tblPrEx>
          <w:tblCellMar>
            <w:top w:w="0" w:type="dxa"/>
            <w:left w:w="0" w:type="dxa"/>
            <w:bottom w:w="0" w:type="dxa"/>
            <w:right w:w="0" w:type="dxa"/>
          </w:tblCellMar>
        </w:tblPrEx>
        <w:trPr>
          <w:wBefore w:w="0" w:type="auto"/>
          <w:tblCellSpacing w:w="0" w:type="dxa"/>
        </w:trPr>
        <w:tc>
          <w:tcPr>
            <w:tcW w:w="0" w:type="auto"/>
            <w:noWrap w:val="0"/>
            <w:vAlign w:val="center"/>
          </w:tcPr>
          <w:p w14:paraId="16FD56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CF93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30E8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2B3D5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505E2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19D304">
                  <w:r>
                    <w:rPr>
                      <w:rStyle w:val="11"/>
                      <w:rFonts w:hint="eastAsia"/>
                    </w:rPr>
                    <w:t>施用方式</w:t>
                  </w:r>
                </w:p>
              </w:tc>
            </w:tr>
          </w:tbl>
          <w:p w14:paraId="7279CC71">
            <w:pPr>
              <w:rPr>
                <w:rFonts w:ascii="Times New Roman" w:hAnsi="Times New Roman" w:cs="Times New Roman"/>
                <w:sz w:val="20"/>
                <w:szCs w:val="20"/>
              </w:rPr>
            </w:pPr>
          </w:p>
        </w:tc>
      </w:tr>
      <w:tr w14:paraId="1D9A7F4D">
        <w:tblPrEx>
          <w:tblCellMar>
            <w:top w:w="0" w:type="dxa"/>
            <w:left w:w="0" w:type="dxa"/>
            <w:bottom w:w="0" w:type="dxa"/>
            <w:right w:w="0" w:type="dxa"/>
          </w:tblCellMar>
        </w:tblPrEx>
        <w:trPr>
          <w:wBefore w:w="0" w:type="auto"/>
          <w:tblCellSpacing w:w="0" w:type="dxa"/>
        </w:trPr>
        <w:tc>
          <w:tcPr>
            <w:tcW w:w="0" w:type="auto"/>
            <w:noWrap w:val="0"/>
            <w:vAlign w:val="center"/>
          </w:tcPr>
          <w:p w14:paraId="52178EEC">
            <w:r>
              <w:rPr>
                <w:rStyle w:val="10"/>
                <w:rFonts w:hint="eastAsia"/>
              </w:rPr>
              <w:t>使用技术要求:</w:t>
            </w:r>
            <w:r>
              <w:rPr>
                <w:rFonts w:hint="eastAsia"/>
              </w:rPr>
              <w:br w:type="textWrapping"/>
            </w:r>
          </w:p>
        </w:tc>
      </w:tr>
      <w:tr w14:paraId="10C32EAB">
        <w:tblPrEx>
          <w:tblCellMar>
            <w:top w:w="0" w:type="dxa"/>
            <w:left w:w="0" w:type="dxa"/>
            <w:bottom w:w="0" w:type="dxa"/>
            <w:right w:w="0" w:type="dxa"/>
          </w:tblCellMar>
        </w:tblPrEx>
        <w:trPr>
          <w:wBefore w:w="0" w:type="auto"/>
          <w:tblCellSpacing w:w="0" w:type="dxa"/>
        </w:trPr>
        <w:tc>
          <w:tcPr>
            <w:tcW w:w="0" w:type="auto"/>
            <w:noWrap w:val="0"/>
            <w:vAlign w:val="center"/>
          </w:tcPr>
          <w:p w14:paraId="454D15CC">
            <w:r>
              <w:rPr>
                <w:rStyle w:val="10"/>
                <w:rFonts w:hint="eastAsia"/>
              </w:rPr>
              <w:t>产品性能:</w:t>
            </w:r>
          </w:p>
        </w:tc>
      </w:tr>
      <w:tr w14:paraId="6C709D19">
        <w:tblPrEx>
          <w:tblCellMar>
            <w:top w:w="0" w:type="dxa"/>
            <w:left w:w="0" w:type="dxa"/>
            <w:bottom w:w="0" w:type="dxa"/>
            <w:right w:w="0" w:type="dxa"/>
          </w:tblCellMar>
        </w:tblPrEx>
        <w:trPr>
          <w:wBefore w:w="0" w:type="auto"/>
          <w:tblCellSpacing w:w="0" w:type="dxa"/>
        </w:trPr>
        <w:tc>
          <w:tcPr>
            <w:tcW w:w="0" w:type="auto"/>
            <w:noWrap w:val="0"/>
            <w:vAlign w:val="center"/>
          </w:tcPr>
          <w:p w14:paraId="2B4276A5">
            <w:r>
              <w:rPr>
                <w:rStyle w:val="10"/>
                <w:rFonts w:hint="eastAsia"/>
              </w:rPr>
              <w:t>注意事项：</w:t>
            </w:r>
          </w:p>
        </w:tc>
      </w:tr>
      <w:tr w14:paraId="2313AFF4">
        <w:tblPrEx>
          <w:tblCellMar>
            <w:top w:w="0" w:type="dxa"/>
            <w:left w:w="0" w:type="dxa"/>
            <w:bottom w:w="0" w:type="dxa"/>
            <w:right w:w="0" w:type="dxa"/>
          </w:tblCellMar>
        </w:tblPrEx>
        <w:trPr>
          <w:wBefore w:w="0" w:type="auto"/>
          <w:tblCellSpacing w:w="0" w:type="dxa"/>
        </w:trPr>
        <w:tc>
          <w:tcPr>
            <w:tcW w:w="0" w:type="auto"/>
            <w:noWrap w:val="0"/>
            <w:vAlign w:val="center"/>
          </w:tcPr>
          <w:p w14:paraId="6897D2EE">
            <w:r>
              <w:rPr>
                <w:rStyle w:val="10"/>
                <w:rFonts w:hint="eastAsia"/>
              </w:rPr>
              <w:t>中毒急救措施：</w:t>
            </w:r>
          </w:p>
        </w:tc>
      </w:tr>
      <w:tr w14:paraId="07449C0E">
        <w:tblPrEx>
          <w:tblCellMar>
            <w:top w:w="0" w:type="dxa"/>
            <w:left w:w="0" w:type="dxa"/>
            <w:bottom w:w="0" w:type="dxa"/>
            <w:right w:w="0" w:type="dxa"/>
          </w:tblCellMar>
        </w:tblPrEx>
        <w:trPr>
          <w:wBefore w:w="0" w:type="auto"/>
          <w:tblCellSpacing w:w="0" w:type="dxa"/>
        </w:trPr>
        <w:tc>
          <w:tcPr>
            <w:tcW w:w="0" w:type="auto"/>
            <w:noWrap w:val="0"/>
            <w:vAlign w:val="center"/>
          </w:tcPr>
          <w:p w14:paraId="210F821B">
            <w:r>
              <w:rPr>
                <w:rStyle w:val="10"/>
                <w:rFonts w:hint="eastAsia"/>
              </w:rPr>
              <w:t>储存和运输方法：</w:t>
            </w:r>
          </w:p>
        </w:tc>
      </w:tr>
      <w:tr w14:paraId="1EF5DBD1">
        <w:tblPrEx>
          <w:tblCellMar>
            <w:top w:w="0" w:type="dxa"/>
            <w:left w:w="0" w:type="dxa"/>
            <w:bottom w:w="0" w:type="dxa"/>
            <w:right w:w="0" w:type="dxa"/>
          </w:tblCellMar>
        </w:tblPrEx>
        <w:trPr>
          <w:wBefore w:w="0" w:type="auto"/>
          <w:tblCellSpacing w:w="0" w:type="dxa"/>
        </w:trPr>
        <w:tc>
          <w:tcPr>
            <w:tcW w:w="0" w:type="auto"/>
            <w:noWrap w:val="0"/>
            <w:vAlign w:val="center"/>
          </w:tcPr>
          <w:p w14:paraId="39031310">
            <w:r>
              <w:rPr>
                <w:rStyle w:val="10"/>
                <w:rFonts w:hint="eastAsia"/>
              </w:rPr>
              <w:t>质量保证期：</w:t>
            </w:r>
          </w:p>
        </w:tc>
      </w:tr>
      <w:tr w14:paraId="1D0551A5">
        <w:tblPrEx>
          <w:tblCellMar>
            <w:top w:w="0" w:type="dxa"/>
            <w:left w:w="0" w:type="dxa"/>
            <w:bottom w:w="0" w:type="dxa"/>
            <w:right w:w="0" w:type="dxa"/>
          </w:tblCellMar>
        </w:tblPrEx>
        <w:trPr>
          <w:wBefore w:w="0" w:type="auto"/>
          <w:tblCellSpacing w:w="0" w:type="dxa"/>
        </w:trPr>
        <w:tc>
          <w:tcPr>
            <w:tcW w:w="0" w:type="auto"/>
            <w:noWrap w:val="0"/>
            <w:vAlign w:val="center"/>
          </w:tcPr>
          <w:p w14:paraId="6B2C12E2">
            <w:r>
              <w:rPr>
                <w:rStyle w:val="10"/>
                <w:rFonts w:hint="eastAsia"/>
              </w:rPr>
              <w:t>备注：</w:t>
            </w:r>
          </w:p>
        </w:tc>
      </w:tr>
    </w:tbl>
    <w:p w14:paraId="5C8BD29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D41DEE">
        <w:tblPrEx>
          <w:tblCellMar>
            <w:top w:w="0" w:type="dxa"/>
            <w:left w:w="0" w:type="dxa"/>
            <w:bottom w:w="0" w:type="dxa"/>
            <w:right w:w="0" w:type="dxa"/>
          </w:tblCellMar>
        </w:tblPrEx>
        <w:trPr>
          <w:wBefore w:w="0" w:type="auto"/>
          <w:tblCellSpacing w:w="0" w:type="dxa"/>
        </w:trPr>
        <w:tc>
          <w:tcPr>
            <w:tcW w:w="0" w:type="auto"/>
            <w:noWrap w:val="0"/>
            <w:vAlign w:val="center"/>
          </w:tcPr>
          <w:p w14:paraId="20BC9D63">
            <w:r>
              <w:rPr>
                <w:rStyle w:val="10"/>
                <w:rFonts w:hint="eastAsia"/>
              </w:rPr>
              <w:t>登记证号：</w:t>
            </w:r>
            <w:r>
              <w:rPr>
                <w:rFonts w:hint="eastAsia"/>
              </w:rPr>
              <w:t>PD20212702</w:t>
            </w:r>
          </w:p>
        </w:tc>
      </w:tr>
      <w:tr w14:paraId="0E730466">
        <w:tblPrEx>
          <w:tblCellMar>
            <w:top w:w="0" w:type="dxa"/>
            <w:left w:w="0" w:type="dxa"/>
            <w:bottom w:w="0" w:type="dxa"/>
            <w:right w:w="0" w:type="dxa"/>
          </w:tblCellMar>
        </w:tblPrEx>
        <w:trPr>
          <w:wBefore w:w="0" w:type="auto"/>
          <w:tblCellSpacing w:w="0" w:type="dxa"/>
        </w:trPr>
        <w:tc>
          <w:tcPr>
            <w:tcW w:w="0" w:type="auto"/>
            <w:noWrap w:val="0"/>
            <w:vAlign w:val="center"/>
          </w:tcPr>
          <w:p w14:paraId="3C89BF06">
            <w:r>
              <w:rPr>
                <w:rStyle w:val="10"/>
                <w:rFonts w:hint="eastAsia"/>
              </w:rPr>
              <w:t>登记证持有人：</w:t>
            </w:r>
            <w:r>
              <w:rPr>
                <w:rFonts w:hint="eastAsia"/>
              </w:rPr>
              <w:t>山东麒麟农化有限公司</w:t>
            </w:r>
          </w:p>
        </w:tc>
      </w:tr>
      <w:tr w14:paraId="0D964407">
        <w:tblPrEx>
          <w:tblCellMar>
            <w:top w:w="0" w:type="dxa"/>
            <w:left w:w="0" w:type="dxa"/>
            <w:bottom w:w="0" w:type="dxa"/>
            <w:right w:w="0" w:type="dxa"/>
          </w:tblCellMar>
        </w:tblPrEx>
        <w:trPr>
          <w:wBefore w:w="0" w:type="auto"/>
          <w:tblCellSpacing w:w="0" w:type="dxa"/>
        </w:trPr>
        <w:tc>
          <w:tcPr>
            <w:tcW w:w="0" w:type="auto"/>
            <w:noWrap w:val="0"/>
            <w:vAlign w:val="center"/>
          </w:tcPr>
          <w:p w14:paraId="460F3030">
            <w:r>
              <w:rPr>
                <w:rStyle w:val="10"/>
                <w:rFonts w:hint="eastAsia"/>
              </w:rPr>
              <w:t>农药名称：</w:t>
            </w:r>
            <w:r>
              <w:rPr>
                <w:rFonts w:hint="eastAsia"/>
              </w:rPr>
              <w:t>甲硫·氟环唑</w:t>
            </w:r>
          </w:p>
        </w:tc>
      </w:tr>
      <w:tr w14:paraId="73C17C01">
        <w:trPr>
          <w:wBefore w:w="0" w:type="auto"/>
          <w:tblCellSpacing w:w="0" w:type="dxa"/>
        </w:trPr>
        <w:tc>
          <w:tcPr>
            <w:tcW w:w="0" w:type="auto"/>
            <w:noWrap w:val="0"/>
            <w:vAlign w:val="center"/>
          </w:tcPr>
          <w:p w14:paraId="47039772">
            <w:r>
              <w:rPr>
                <w:rStyle w:val="10"/>
                <w:rFonts w:hint="eastAsia"/>
              </w:rPr>
              <w:t>剂型：</w:t>
            </w:r>
            <w:r>
              <w:rPr>
                <w:rFonts w:hint="eastAsia"/>
              </w:rPr>
              <w:t>悬浮剂</w:t>
            </w:r>
          </w:p>
        </w:tc>
      </w:tr>
      <w:tr w14:paraId="3E263258">
        <w:tblPrEx>
          <w:tblCellMar>
            <w:top w:w="0" w:type="dxa"/>
            <w:left w:w="0" w:type="dxa"/>
            <w:bottom w:w="0" w:type="dxa"/>
            <w:right w:w="0" w:type="dxa"/>
          </w:tblCellMar>
        </w:tblPrEx>
        <w:trPr>
          <w:wBefore w:w="0" w:type="auto"/>
          <w:tblCellSpacing w:w="0" w:type="dxa"/>
        </w:trPr>
        <w:tc>
          <w:tcPr>
            <w:tcW w:w="0" w:type="auto"/>
            <w:noWrap w:val="0"/>
            <w:vAlign w:val="center"/>
          </w:tcPr>
          <w:p w14:paraId="7A5CD302">
            <w:r>
              <w:rPr>
                <w:rStyle w:val="10"/>
                <w:rFonts w:hint="eastAsia"/>
              </w:rPr>
              <w:t>毒性及其标识：</w:t>
            </w:r>
            <w:r>
              <w:rPr>
                <w:rFonts w:hint="eastAsia"/>
              </w:rPr>
              <w:t xml:space="preserve"> </w:t>
            </w:r>
            <w:r>
              <w:rPr>
                <w:lang/>
              </w:rPr>
              <w:drawing>
                <wp:inline distT="0" distB="0" distL="114300" distR="114300">
                  <wp:extent cx="476250" cy="323850"/>
                  <wp:effectExtent l="0" t="0" r="0" b="0"/>
                  <wp:docPr id="282" name="图片 2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BF60E2">
        <w:tblPrEx>
          <w:tblCellMar>
            <w:top w:w="0" w:type="dxa"/>
            <w:left w:w="0" w:type="dxa"/>
            <w:bottom w:w="0" w:type="dxa"/>
            <w:right w:w="0" w:type="dxa"/>
          </w:tblCellMar>
        </w:tblPrEx>
        <w:trPr>
          <w:wBefore w:w="0" w:type="auto"/>
          <w:tblCellSpacing w:w="0" w:type="dxa"/>
        </w:trPr>
        <w:tc>
          <w:tcPr>
            <w:tcW w:w="0" w:type="auto"/>
            <w:noWrap w:val="0"/>
            <w:vAlign w:val="center"/>
          </w:tcPr>
          <w:p w14:paraId="53B5097C">
            <w:r>
              <w:rPr>
                <w:rStyle w:val="10"/>
                <w:rFonts w:hint="eastAsia"/>
              </w:rPr>
              <w:t>总有效成分含量：</w:t>
            </w:r>
            <w:r>
              <w:rPr>
                <w:rFonts w:hint="eastAsia"/>
              </w:rPr>
              <w:t>25%</w:t>
            </w:r>
          </w:p>
        </w:tc>
      </w:tr>
      <w:tr w14:paraId="5787405E">
        <w:tblPrEx>
          <w:tblCellMar>
            <w:top w:w="0" w:type="dxa"/>
            <w:left w:w="0" w:type="dxa"/>
            <w:bottom w:w="0" w:type="dxa"/>
            <w:right w:w="0" w:type="dxa"/>
          </w:tblCellMar>
        </w:tblPrEx>
        <w:trPr>
          <w:wBefore w:w="0" w:type="auto"/>
          <w:tblCellSpacing w:w="0" w:type="dxa"/>
        </w:trPr>
        <w:tc>
          <w:tcPr>
            <w:tcW w:w="0" w:type="auto"/>
            <w:noWrap w:val="0"/>
            <w:vAlign w:val="center"/>
          </w:tcPr>
          <w:p w14:paraId="070E0364">
            <w:r>
              <w:rPr>
                <w:rFonts w:hint="eastAsia"/>
              </w:rPr>
              <w:t xml:space="preserve">有效成分及其含量： </w:t>
            </w:r>
          </w:p>
          <w:p w14:paraId="4065E1B5">
            <w:r>
              <w:rPr>
                <w:rFonts w:hint="eastAsia"/>
              </w:rPr>
              <w:t xml:space="preserve">    氟环唑5%    甲基硫菌灵20%    </w:t>
            </w:r>
          </w:p>
        </w:tc>
      </w:tr>
      <w:tr w14:paraId="26BB9B92">
        <w:tblPrEx>
          <w:tblCellMar>
            <w:top w:w="0" w:type="dxa"/>
            <w:left w:w="0" w:type="dxa"/>
            <w:bottom w:w="0" w:type="dxa"/>
            <w:right w:w="0" w:type="dxa"/>
          </w:tblCellMar>
        </w:tblPrEx>
        <w:trPr>
          <w:wBefore w:w="0" w:type="auto"/>
          <w:tblCellSpacing w:w="0" w:type="dxa"/>
        </w:trPr>
        <w:tc>
          <w:tcPr>
            <w:tcW w:w="0" w:type="auto"/>
            <w:noWrap w:val="0"/>
            <w:vAlign w:val="center"/>
          </w:tcPr>
          <w:p w14:paraId="35722AC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04EC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5810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0545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47321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0624C0">
                  <w:r>
                    <w:rPr>
                      <w:rStyle w:val="11"/>
                      <w:rFonts w:hint="eastAsia"/>
                    </w:rPr>
                    <w:t>施用方式</w:t>
                  </w:r>
                </w:p>
              </w:tc>
            </w:tr>
            <w:tr w14:paraId="26400F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06AE50">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759929">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579F7E">
                  <w:r>
                    <w:rPr>
                      <w:rStyle w:val="11"/>
                      <w:rFonts w:hint="eastAsia"/>
                    </w:rPr>
                    <w:t>34-37毫升/亩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210657">
                  <w:r>
                    <w:rPr>
                      <w:rStyle w:val="11"/>
                      <w:rFonts w:hint="eastAsia"/>
                    </w:rPr>
                    <w:t>喷雾</w:t>
                  </w:r>
                </w:p>
              </w:tc>
            </w:tr>
          </w:tbl>
          <w:p w14:paraId="57F2E673">
            <w:pPr>
              <w:rPr>
                <w:rFonts w:ascii="Times New Roman" w:hAnsi="Times New Roman" w:cs="Times New Roman"/>
                <w:sz w:val="20"/>
                <w:szCs w:val="20"/>
              </w:rPr>
            </w:pPr>
          </w:p>
        </w:tc>
      </w:tr>
      <w:tr w14:paraId="4D16FA00">
        <w:tblPrEx>
          <w:tblCellMar>
            <w:top w:w="0" w:type="dxa"/>
            <w:left w:w="0" w:type="dxa"/>
            <w:bottom w:w="0" w:type="dxa"/>
            <w:right w:w="0" w:type="dxa"/>
          </w:tblCellMar>
        </w:tblPrEx>
        <w:trPr>
          <w:wBefore w:w="0" w:type="auto"/>
          <w:tblCellSpacing w:w="0" w:type="dxa"/>
        </w:trPr>
        <w:tc>
          <w:tcPr>
            <w:tcW w:w="0" w:type="auto"/>
            <w:noWrap w:val="0"/>
            <w:vAlign w:val="center"/>
          </w:tcPr>
          <w:p w14:paraId="18C63AA3">
            <w:r>
              <w:rPr>
                <w:rStyle w:val="10"/>
                <w:rFonts w:hint="eastAsia"/>
              </w:rPr>
              <w:t>使用技术要求:</w:t>
            </w:r>
            <w:r>
              <w:rPr>
                <w:rFonts w:hint="eastAsia"/>
              </w:rPr>
              <w:br w:type="textWrapping"/>
            </w:r>
            <w:r>
              <w:rPr>
                <w:rStyle w:val="11"/>
                <w:rFonts w:hint="eastAsia"/>
              </w:rPr>
              <w:t>1．本品应在小麦白粉病发病前或发病初期施药，可施药2~3次，间隔7天左右。 2．大风天或预计1小时内降雨，请勿施药。 3.本品在小麦上的安全间隔期为28天，每季最多施药3次。</w:t>
            </w:r>
          </w:p>
        </w:tc>
      </w:tr>
      <w:tr w14:paraId="1A328CDF">
        <w:tblPrEx>
          <w:tblCellMar>
            <w:top w:w="0" w:type="dxa"/>
            <w:left w:w="0" w:type="dxa"/>
            <w:bottom w:w="0" w:type="dxa"/>
            <w:right w:w="0" w:type="dxa"/>
          </w:tblCellMar>
        </w:tblPrEx>
        <w:trPr>
          <w:wBefore w:w="0" w:type="auto"/>
          <w:tblCellSpacing w:w="0" w:type="dxa"/>
        </w:trPr>
        <w:tc>
          <w:tcPr>
            <w:tcW w:w="0" w:type="auto"/>
            <w:noWrap w:val="0"/>
            <w:vAlign w:val="center"/>
          </w:tcPr>
          <w:p w14:paraId="5EBC0BB1">
            <w:r>
              <w:rPr>
                <w:rStyle w:val="10"/>
                <w:rFonts w:hint="eastAsia"/>
              </w:rPr>
              <w:t>产品性能:</w:t>
            </w:r>
            <w:r>
              <w:rPr>
                <w:rFonts w:hint="eastAsia"/>
              </w:rPr>
              <w:br w:type="textWrapping"/>
            </w:r>
            <w:r>
              <w:rPr>
                <w:rStyle w:val="11"/>
                <w:rFonts w:hint="eastAsia"/>
              </w:rPr>
              <w:t>本品是由甲基硫菌灵与氟环唑复配而成的内吸性杀菌剂，对子囊菌纲、担子菌纲和半知菌纲有效，对卵菌引起的病害无效，作用机理为干扰菌的有丝分裂中纺锤体的形成，从而影响细胞分裂。本品对小麦白粉病具有较好的防治效果。</w:t>
            </w:r>
          </w:p>
        </w:tc>
      </w:tr>
      <w:tr w14:paraId="526B7D01">
        <w:tblPrEx>
          <w:tblCellMar>
            <w:top w:w="0" w:type="dxa"/>
            <w:left w:w="0" w:type="dxa"/>
            <w:bottom w:w="0" w:type="dxa"/>
            <w:right w:w="0" w:type="dxa"/>
          </w:tblCellMar>
        </w:tblPrEx>
        <w:trPr>
          <w:wBefore w:w="0" w:type="auto"/>
          <w:tblCellSpacing w:w="0" w:type="dxa"/>
        </w:trPr>
        <w:tc>
          <w:tcPr>
            <w:tcW w:w="0" w:type="auto"/>
            <w:noWrap w:val="0"/>
            <w:vAlign w:val="center"/>
          </w:tcPr>
          <w:p w14:paraId="0C2C3577">
            <w:r>
              <w:rPr>
                <w:rStyle w:val="10"/>
                <w:rFonts w:hint="eastAsia"/>
              </w:rPr>
              <w:t>注意事项：</w:t>
            </w:r>
            <w:r>
              <w:rPr>
                <w:rFonts w:hint="eastAsia"/>
              </w:rPr>
              <w:br w:type="textWrapping"/>
            </w:r>
            <w:r>
              <w:rPr>
                <w:rStyle w:val="11"/>
                <w:rFonts w:hint="eastAsia"/>
              </w:rPr>
              <w:t>1、严格按规定用药量和方法使用。2、本品不能与铜制剂和碱性物质混用。3、本品对鸟类有毒，鸟类保护区禁用。4、本品对家蚕有毒，施用时若周围有桑园，最外围桑树设置为隔离带，不能用于饲养家蚕。5、远离水产养殖区、河塘等水体附近施用，禁止在河塘等水域清洗施药器具。6、用过的容器及废弃物要妥善处理，不可随意丢弃，也不可做他用。7、避免孕妇及哺乳期妇女接触本品。</w:t>
            </w:r>
          </w:p>
        </w:tc>
      </w:tr>
      <w:tr w14:paraId="31C70936">
        <w:tblPrEx>
          <w:tblCellMar>
            <w:top w:w="0" w:type="dxa"/>
            <w:left w:w="0" w:type="dxa"/>
            <w:bottom w:w="0" w:type="dxa"/>
            <w:right w:w="0" w:type="dxa"/>
          </w:tblCellMar>
        </w:tblPrEx>
        <w:trPr>
          <w:wBefore w:w="0" w:type="auto"/>
          <w:tblCellSpacing w:w="0" w:type="dxa"/>
        </w:trPr>
        <w:tc>
          <w:tcPr>
            <w:tcW w:w="0" w:type="auto"/>
            <w:noWrap w:val="0"/>
            <w:vAlign w:val="center"/>
          </w:tcPr>
          <w:p w14:paraId="31756AED">
            <w:r>
              <w:rPr>
                <w:rStyle w:val="10"/>
                <w:rFonts w:hint="eastAsia"/>
              </w:rPr>
              <w:t>中毒急救措施：</w:t>
            </w:r>
            <w:r>
              <w:rPr>
                <w:rFonts w:hint="eastAsia"/>
              </w:rPr>
              <w:br w:type="textWrapping"/>
            </w:r>
            <w:r>
              <w:rPr>
                <w:rStyle w:val="11"/>
                <w:rFonts w:hint="eastAsia"/>
              </w:rPr>
              <w:t>不慎接触皮肤或溅入眼睛，应用大量清水冲洗至少15分钟。误服则应立即携标签将患者送医院对症治疗。</w:t>
            </w:r>
          </w:p>
        </w:tc>
      </w:tr>
      <w:tr w14:paraId="077305B0">
        <w:tblPrEx>
          <w:tblCellMar>
            <w:top w:w="0" w:type="dxa"/>
            <w:left w:w="0" w:type="dxa"/>
            <w:bottom w:w="0" w:type="dxa"/>
            <w:right w:w="0" w:type="dxa"/>
          </w:tblCellMar>
        </w:tblPrEx>
        <w:trPr>
          <w:wBefore w:w="0" w:type="auto"/>
          <w:tblCellSpacing w:w="0" w:type="dxa"/>
        </w:trPr>
        <w:tc>
          <w:tcPr>
            <w:tcW w:w="0" w:type="auto"/>
            <w:noWrap w:val="0"/>
            <w:vAlign w:val="center"/>
          </w:tcPr>
          <w:p w14:paraId="6568446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33F04281">
        <w:tblPrEx>
          <w:tblCellMar>
            <w:top w:w="0" w:type="dxa"/>
            <w:left w:w="0" w:type="dxa"/>
            <w:bottom w:w="0" w:type="dxa"/>
            <w:right w:w="0" w:type="dxa"/>
          </w:tblCellMar>
        </w:tblPrEx>
        <w:trPr>
          <w:wBefore w:w="0" w:type="auto"/>
          <w:tblCellSpacing w:w="0" w:type="dxa"/>
        </w:trPr>
        <w:tc>
          <w:tcPr>
            <w:tcW w:w="0" w:type="auto"/>
            <w:noWrap w:val="0"/>
            <w:vAlign w:val="center"/>
          </w:tcPr>
          <w:p w14:paraId="5E70C46D">
            <w:r>
              <w:rPr>
                <w:rStyle w:val="10"/>
                <w:rFonts w:hint="eastAsia"/>
              </w:rPr>
              <w:t>质量保证期：</w:t>
            </w:r>
            <w:r>
              <w:rPr>
                <w:rStyle w:val="11"/>
                <w:rFonts w:hint="eastAsia"/>
              </w:rPr>
              <w:t>2年</w:t>
            </w:r>
          </w:p>
        </w:tc>
      </w:tr>
      <w:tr w14:paraId="37912466">
        <w:tblPrEx>
          <w:tblCellMar>
            <w:top w:w="0" w:type="dxa"/>
            <w:left w:w="0" w:type="dxa"/>
            <w:bottom w:w="0" w:type="dxa"/>
            <w:right w:w="0" w:type="dxa"/>
          </w:tblCellMar>
        </w:tblPrEx>
        <w:trPr>
          <w:wBefore w:w="0" w:type="auto"/>
          <w:tblCellSpacing w:w="0" w:type="dxa"/>
        </w:trPr>
        <w:tc>
          <w:tcPr>
            <w:tcW w:w="0" w:type="auto"/>
            <w:noWrap w:val="0"/>
            <w:vAlign w:val="center"/>
          </w:tcPr>
          <w:p w14:paraId="14F68B24">
            <w:r>
              <w:rPr>
                <w:rStyle w:val="10"/>
                <w:rFonts w:hint="eastAsia"/>
              </w:rPr>
              <w:t>备注：</w:t>
            </w:r>
          </w:p>
        </w:tc>
      </w:tr>
    </w:tbl>
    <w:p w14:paraId="4F4D80A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BEB692">
        <w:tblPrEx>
          <w:tblCellMar>
            <w:top w:w="0" w:type="dxa"/>
            <w:left w:w="0" w:type="dxa"/>
            <w:bottom w:w="0" w:type="dxa"/>
            <w:right w:w="0" w:type="dxa"/>
          </w:tblCellMar>
        </w:tblPrEx>
        <w:trPr>
          <w:wBefore w:w="0" w:type="auto"/>
          <w:tblCellSpacing w:w="0" w:type="dxa"/>
        </w:trPr>
        <w:tc>
          <w:tcPr>
            <w:tcW w:w="0" w:type="auto"/>
            <w:noWrap w:val="0"/>
            <w:vAlign w:val="center"/>
          </w:tcPr>
          <w:p w14:paraId="61C05DAC">
            <w:r>
              <w:rPr>
                <w:rStyle w:val="10"/>
                <w:rFonts w:hint="eastAsia"/>
              </w:rPr>
              <w:t>登记证号：</w:t>
            </w:r>
            <w:r>
              <w:rPr>
                <w:rFonts w:hint="eastAsia"/>
              </w:rPr>
              <w:t>PD20212447</w:t>
            </w:r>
          </w:p>
        </w:tc>
      </w:tr>
      <w:tr w14:paraId="74BDA4EC">
        <w:tblPrEx>
          <w:tblCellMar>
            <w:top w:w="0" w:type="dxa"/>
            <w:left w:w="0" w:type="dxa"/>
            <w:bottom w:w="0" w:type="dxa"/>
            <w:right w:w="0" w:type="dxa"/>
          </w:tblCellMar>
        </w:tblPrEx>
        <w:trPr>
          <w:wBefore w:w="0" w:type="auto"/>
          <w:tblCellSpacing w:w="0" w:type="dxa"/>
        </w:trPr>
        <w:tc>
          <w:tcPr>
            <w:tcW w:w="0" w:type="auto"/>
            <w:noWrap w:val="0"/>
            <w:vAlign w:val="center"/>
          </w:tcPr>
          <w:p w14:paraId="4250F71B">
            <w:r>
              <w:rPr>
                <w:rStyle w:val="10"/>
                <w:rFonts w:hint="eastAsia"/>
              </w:rPr>
              <w:t>登记证持有人：</w:t>
            </w:r>
            <w:r>
              <w:rPr>
                <w:rFonts w:hint="eastAsia"/>
              </w:rPr>
              <w:t>河南瀚斯作物保护有限公司</w:t>
            </w:r>
          </w:p>
        </w:tc>
      </w:tr>
      <w:tr w14:paraId="4589EAC2">
        <w:tblPrEx>
          <w:tblCellMar>
            <w:top w:w="0" w:type="dxa"/>
            <w:left w:w="0" w:type="dxa"/>
            <w:bottom w:w="0" w:type="dxa"/>
            <w:right w:w="0" w:type="dxa"/>
          </w:tblCellMar>
        </w:tblPrEx>
        <w:trPr>
          <w:wBefore w:w="0" w:type="auto"/>
          <w:tblCellSpacing w:w="0" w:type="dxa"/>
        </w:trPr>
        <w:tc>
          <w:tcPr>
            <w:tcW w:w="0" w:type="auto"/>
            <w:noWrap w:val="0"/>
            <w:vAlign w:val="center"/>
          </w:tcPr>
          <w:p w14:paraId="008FE791">
            <w:r>
              <w:rPr>
                <w:rStyle w:val="10"/>
                <w:rFonts w:hint="eastAsia"/>
              </w:rPr>
              <w:t>农药名称：</w:t>
            </w:r>
            <w:r>
              <w:rPr>
                <w:rFonts w:hint="eastAsia"/>
              </w:rPr>
              <w:t>联肼·乙螨唑</w:t>
            </w:r>
          </w:p>
        </w:tc>
      </w:tr>
      <w:tr w14:paraId="2D06A37B">
        <w:tblPrEx>
          <w:tblCellMar>
            <w:top w:w="0" w:type="dxa"/>
            <w:left w:w="0" w:type="dxa"/>
            <w:bottom w:w="0" w:type="dxa"/>
            <w:right w:w="0" w:type="dxa"/>
          </w:tblCellMar>
        </w:tblPrEx>
        <w:trPr>
          <w:wBefore w:w="0" w:type="auto"/>
          <w:tblCellSpacing w:w="0" w:type="dxa"/>
        </w:trPr>
        <w:tc>
          <w:tcPr>
            <w:tcW w:w="0" w:type="auto"/>
            <w:noWrap w:val="0"/>
            <w:vAlign w:val="center"/>
          </w:tcPr>
          <w:p w14:paraId="4D77B278">
            <w:r>
              <w:rPr>
                <w:rStyle w:val="10"/>
                <w:rFonts w:hint="eastAsia"/>
              </w:rPr>
              <w:t>剂型：</w:t>
            </w:r>
            <w:r>
              <w:rPr>
                <w:rFonts w:hint="eastAsia"/>
              </w:rPr>
              <w:t>悬浮剂</w:t>
            </w:r>
          </w:p>
        </w:tc>
      </w:tr>
      <w:tr w14:paraId="6E29CD05">
        <w:tblPrEx>
          <w:tblCellMar>
            <w:top w:w="0" w:type="dxa"/>
            <w:left w:w="0" w:type="dxa"/>
            <w:bottom w:w="0" w:type="dxa"/>
            <w:right w:w="0" w:type="dxa"/>
          </w:tblCellMar>
        </w:tblPrEx>
        <w:trPr>
          <w:wBefore w:w="0" w:type="auto"/>
          <w:tblCellSpacing w:w="0" w:type="dxa"/>
        </w:trPr>
        <w:tc>
          <w:tcPr>
            <w:tcW w:w="0" w:type="auto"/>
            <w:noWrap w:val="0"/>
            <w:vAlign w:val="center"/>
          </w:tcPr>
          <w:p w14:paraId="50944E4B">
            <w:r>
              <w:rPr>
                <w:rStyle w:val="10"/>
                <w:rFonts w:hint="eastAsia"/>
              </w:rPr>
              <w:t>毒性及其标识：</w:t>
            </w:r>
            <w:r>
              <w:rPr>
                <w:rFonts w:hint="eastAsia"/>
              </w:rPr>
              <w:t xml:space="preserve"> </w:t>
            </w:r>
            <w:r>
              <w:rPr>
                <w:lang/>
              </w:rPr>
              <w:drawing>
                <wp:inline distT="0" distB="0" distL="114300" distR="114300">
                  <wp:extent cx="476250" cy="323850"/>
                  <wp:effectExtent l="0" t="0" r="0" b="0"/>
                  <wp:docPr id="283" name="图片 2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03BFC6">
        <w:tblPrEx>
          <w:tblCellMar>
            <w:top w:w="0" w:type="dxa"/>
            <w:left w:w="0" w:type="dxa"/>
            <w:bottom w:w="0" w:type="dxa"/>
            <w:right w:w="0" w:type="dxa"/>
          </w:tblCellMar>
        </w:tblPrEx>
        <w:trPr>
          <w:wBefore w:w="0" w:type="auto"/>
          <w:tblCellSpacing w:w="0" w:type="dxa"/>
        </w:trPr>
        <w:tc>
          <w:tcPr>
            <w:tcW w:w="0" w:type="auto"/>
            <w:noWrap w:val="0"/>
            <w:vAlign w:val="center"/>
          </w:tcPr>
          <w:p w14:paraId="3D87624F">
            <w:r>
              <w:rPr>
                <w:rStyle w:val="10"/>
                <w:rFonts w:hint="eastAsia"/>
              </w:rPr>
              <w:t>总有效成分含量：</w:t>
            </w:r>
            <w:r>
              <w:rPr>
                <w:rFonts w:hint="eastAsia"/>
              </w:rPr>
              <w:t>40%</w:t>
            </w:r>
          </w:p>
        </w:tc>
      </w:tr>
      <w:tr w14:paraId="7D8DCC6C">
        <w:tblPrEx>
          <w:tblCellMar>
            <w:top w:w="0" w:type="dxa"/>
            <w:left w:w="0" w:type="dxa"/>
            <w:bottom w:w="0" w:type="dxa"/>
            <w:right w:w="0" w:type="dxa"/>
          </w:tblCellMar>
        </w:tblPrEx>
        <w:trPr>
          <w:wBefore w:w="0" w:type="auto"/>
          <w:tblCellSpacing w:w="0" w:type="dxa"/>
        </w:trPr>
        <w:tc>
          <w:tcPr>
            <w:tcW w:w="0" w:type="auto"/>
            <w:noWrap w:val="0"/>
            <w:vAlign w:val="center"/>
          </w:tcPr>
          <w:p w14:paraId="77B76A55">
            <w:r>
              <w:rPr>
                <w:rFonts w:hint="eastAsia"/>
              </w:rPr>
              <w:t xml:space="preserve">有效成分及其含量： </w:t>
            </w:r>
          </w:p>
          <w:p w14:paraId="3CBE0972">
            <w:r>
              <w:rPr>
                <w:rFonts w:hint="eastAsia"/>
              </w:rPr>
              <w:t xml:space="preserve">    乙螨唑15%    联苯肼酯25%    </w:t>
            </w:r>
          </w:p>
        </w:tc>
      </w:tr>
      <w:tr w14:paraId="3BD361EA">
        <w:tblPrEx>
          <w:tblCellMar>
            <w:top w:w="0" w:type="dxa"/>
            <w:left w:w="0" w:type="dxa"/>
            <w:bottom w:w="0" w:type="dxa"/>
            <w:right w:w="0" w:type="dxa"/>
          </w:tblCellMar>
        </w:tblPrEx>
        <w:trPr>
          <w:wBefore w:w="0" w:type="auto"/>
          <w:tblCellSpacing w:w="0" w:type="dxa"/>
        </w:trPr>
        <w:tc>
          <w:tcPr>
            <w:tcW w:w="0" w:type="auto"/>
            <w:noWrap w:val="0"/>
            <w:vAlign w:val="center"/>
          </w:tcPr>
          <w:p w14:paraId="16D9B57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FA05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043D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E29CE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498E9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016101">
                  <w:r>
                    <w:rPr>
                      <w:rStyle w:val="11"/>
                      <w:rFonts w:hint="eastAsia"/>
                    </w:rPr>
                    <w:t>施用方式</w:t>
                  </w:r>
                </w:p>
              </w:tc>
            </w:tr>
            <w:tr w14:paraId="1CFF72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E69567">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E6E561">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E5CF73">
                  <w:r>
                    <w:rPr>
                      <w:rStyle w:val="11"/>
                      <w:rFonts w:hint="eastAsia"/>
                    </w:rPr>
                    <w:t>8000-10000倍液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ED7CB">
                  <w:r>
                    <w:rPr>
                      <w:rStyle w:val="11"/>
                      <w:rFonts w:hint="eastAsia"/>
                    </w:rPr>
                    <w:t>喷雾</w:t>
                  </w:r>
                </w:p>
              </w:tc>
            </w:tr>
          </w:tbl>
          <w:p w14:paraId="06AD0D36">
            <w:pPr>
              <w:rPr>
                <w:rFonts w:ascii="Times New Roman" w:hAnsi="Times New Roman" w:cs="Times New Roman"/>
                <w:sz w:val="20"/>
                <w:szCs w:val="20"/>
              </w:rPr>
            </w:pPr>
          </w:p>
        </w:tc>
      </w:tr>
      <w:tr w14:paraId="46C80EC1">
        <w:tblPrEx>
          <w:tblCellMar>
            <w:top w:w="0" w:type="dxa"/>
            <w:left w:w="0" w:type="dxa"/>
            <w:bottom w:w="0" w:type="dxa"/>
            <w:right w:w="0" w:type="dxa"/>
          </w:tblCellMar>
        </w:tblPrEx>
        <w:trPr>
          <w:wBefore w:w="0" w:type="auto"/>
          <w:tblCellSpacing w:w="0" w:type="dxa"/>
        </w:trPr>
        <w:tc>
          <w:tcPr>
            <w:tcW w:w="0" w:type="auto"/>
            <w:noWrap w:val="0"/>
            <w:vAlign w:val="center"/>
          </w:tcPr>
          <w:p w14:paraId="15AF37BD">
            <w:r>
              <w:rPr>
                <w:rStyle w:val="10"/>
                <w:rFonts w:hint="eastAsia"/>
              </w:rPr>
              <w:t>使用技术要求:</w:t>
            </w:r>
            <w:r>
              <w:rPr>
                <w:rFonts w:hint="eastAsia"/>
              </w:rPr>
              <w:br w:type="textWrapping"/>
            </w:r>
            <w:r>
              <w:rPr>
                <w:rStyle w:val="11"/>
                <w:rFonts w:hint="eastAsia"/>
              </w:rPr>
              <w:t>1. 应于柑橘树红蜘蛛发生初期兑水均匀喷雾；每季最多使用1次,安全间隔期30天。 2. 大风天或预计1小时内降雨，请勿施药。</w:t>
            </w:r>
          </w:p>
        </w:tc>
      </w:tr>
      <w:tr w14:paraId="4208E7AD">
        <w:tblPrEx>
          <w:tblCellMar>
            <w:top w:w="0" w:type="dxa"/>
            <w:left w:w="0" w:type="dxa"/>
            <w:bottom w:w="0" w:type="dxa"/>
            <w:right w:w="0" w:type="dxa"/>
          </w:tblCellMar>
        </w:tblPrEx>
        <w:trPr>
          <w:wBefore w:w="0" w:type="auto"/>
          <w:tblCellSpacing w:w="0" w:type="dxa"/>
        </w:trPr>
        <w:tc>
          <w:tcPr>
            <w:tcW w:w="0" w:type="auto"/>
            <w:noWrap w:val="0"/>
            <w:vAlign w:val="center"/>
          </w:tcPr>
          <w:p w14:paraId="26E53A09">
            <w:r>
              <w:rPr>
                <w:rStyle w:val="10"/>
                <w:rFonts w:hint="eastAsia"/>
              </w:rPr>
              <w:t>产品性能:</w:t>
            </w:r>
            <w:r>
              <w:rPr>
                <w:rFonts w:hint="eastAsia"/>
              </w:rPr>
              <w:br w:type="textWrapping"/>
            </w:r>
            <w:r>
              <w:rPr>
                <w:rStyle w:val="11"/>
                <w:rFonts w:hint="eastAsia"/>
              </w:rPr>
              <w:t>联苯肼酯属非内吸性杀螨剂，具有触杀作用，可抑制螨类中枢神经传导系统氨基丁酸（GABA）受体，对螨的各个生活阶段均有效。乙螨唑为几丁质合成抑制剂，触杀性杀螨剂，能够抑制螨类蜕皮。两者混配可用于防治柑橘树红蜘蛛。</w:t>
            </w:r>
          </w:p>
        </w:tc>
      </w:tr>
      <w:tr w14:paraId="09C58FCE">
        <w:tblPrEx>
          <w:tblCellMar>
            <w:top w:w="0" w:type="dxa"/>
            <w:left w:w="0" w:type="dxa"/>
            <w:bottom w:w="0" w:type="dxa"/>
            <w:right w:w="0" w:type="dxa"/>
          </w:tblCellMar>
        </w:tblPrEx>
        <w:trPr>
          <w:wBefore w:w="0" w:type="auto"/>
          <w:tblCellSpacing w:w="0" w:type="dxa"/>
        </w:trPr>
        <w:tc>
          <w:tcPr>
            <w:tcW w:w="0" w:type="auto"/>
            <w:noWrap w:val="0"/>
            <w:vAlign w:val="center"/>
          </w:tcPr>
          <w:p w14:paraId="4D688650">
            <w:r>
              <w:rPr>
                <w:rStyle w:val="10"/>
                <w:rFonts w:hint="eastAsia"/>
              </w:rPr>
              <w:t>注意事项：</w:t>
            </w:r>
            <w:r>
              <w:rPr>
                <w:rFonts w:hint="eastAsia"/>
              </w:rPr>
              <w:br w:type="textWrapping"/>
            </w:r>
            <w:r>
              <w:rPr>
                <w:rStyle w:val="11"/>
                <w:rFonts w:hint="eastAsia"/>
              </w:rPr>
              <w:t>1. 本品不能与波尔多液等碱性农药混用。 2. 本品对鱼类等水生生物有毒，远离水产养殖区、河塘等水体施药，禁止在河塘等水体内清洗施药器具。赤眼蜂等天敌等放飞区域、鸟类保护区附近禁用。 3. 本品对眼睛有刺激性，使用时避免接触眼睛，穿戴长衣、长裤、帽子、口罩、手套等防护措施，避免皮肤接触及口鼻吸入。使用中不可吸烟、饮水及吃东西，使用后及时用大量清水和肥皂清洗脸等暴露部位皮肤并更换衣物。 4. 建议与作用机制不同的杀螨剂轮换使用，以延缓抗性产生。 5. 用过的容器和废弃物应妥善处理，不可做他用或随意丢弃。6. 禁止儿童、孕妇及哺乳期妇女接触。过敏者禁用，使用中有任何不良反应请及时就医。</w:t>
            </w:r>
          </w:p>
        </w:tc>
      </w:tr>
      <w:tr w14:paraId="56090D02">
        <w:tblPrEx>
          <w:tblCellMar>
            <w:top w:w="0" w:type="dxa"/>
            <w:left w:w="0" w:type="dxa"/>
            <w:bottom w:w="0" w:type="dxa"/>
            <w:right w:w="0" w:type="dxa"/>
          </w:tblCellMar>
        </w:tblPrEx>
        <w:trPr>
          <w:wBefore w:w="0" w:type="auto"/>
          <w:tblCellSpacing w:w="0" w:type="dxa"/>
        </w:trPr>
        <w:tc>
          <w:tcPr>
            <w:tcW w:w="0" w:type="auto"/>
            <w:noWrap w:val="0"/>
            <w:vAlign w:val="center"/>
          </w:tcPr>
          <w:p w14:paraId="6567B048">
            <w:r>
              <w:rPr>
                <w:rStyle w:val="10"/>
                <w:rFonts w:hint="eastAsia"/>
              </w:rPr>
              <w:t>中毒急救措施：</w:t>
            </w:r>
            <w:r>
              <w:rPr>
                <w:rFonts w:hint="eastAsia"/>
              </w:rPr>
              <w:br w:type="textWrapping"/>
            </w:r>
            <w:r>
              <w:rPr>
                <w:rStyle w:val="11"/>
                <w:rFonts w:hint="eastAsia"/>
              </w:rPr>
              <w:t>1. 中毒症状表现为头痛、呕吐、恶心、呼吸急促、抽搐、昏迷等。严重时对肝、肾损伤。2. 眼睛溅入：立刻用大量清水冲洗，如配戴隐形眼镜，冲洗1-2分钟后摘掉眼镜再冲洗数分钟。如症状持续，请就医。3. 不慎吸入，将病人移至空气流通处。4. 皮肤沾附∶除去被溅及衣物，并立刻用肥皂和大量清水冲洗皮肤。被溅及衣物须彻底清洗后方可再穿。5. 误食∶请勿引吐。如误食请就医，对症治疗。无特效解毒剂。</w:t>
            </w:r>
          </w:p>
        </w:tc>
      </w:tr>
      <w:tr w14:paraId="521FAE94">
        <w:tblPrEx>
          <w:tblCellMar>
            <w:top w:w="0" w:type="dxa"/>
            <w:left w:w="0" w:type="dxa"/>
            <w:bottom w:w="0" w:type="dxa"/>
            <w:right w:w="0" w:type="dxa"/>
          </w:tblCellMar>
        </w:tblPrEx>
        <w:trPr>
          <w:wBefore w:w="0" w:type="auto"/>
          <w:tblCellSpacing w:w="0" w:type="dxa"/>
        </w:trPr>
        <w:tc>
          <w:tcPr>
            <w:tcW w:w="0" w:type="auto"/>
            <w:noWrap w:val="0"/>
            <w:vAlign w:val="center"/>
          </w:tcPr>
          <w:p w14:paraId="4D7F94D9">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本品应贮存在干燥、阴凉、通风处、防雨防湿防潮，远离火源或热源。置于儿童、无关人员触及不到的地方，并加锁保存。勿与食品、饮料、种子、饲料等其他商品同贮同运。</w:t>
            </w:r>
          </w:p>
        </w:tc>
      </w:tr>
      <w:tr w14:paraId="492B2237">
        <w:tblPrEx>
          <w:tblCellMar>
            <w:top w:w="0" w:type="dxa"/>
            <w:left w:w="0" w:type="dxa"/>
            <w:bottom w:w="0" w:type="dxa"/>
            <w:right w:w="0" w:type="dxa"/>
          </w:tblCellMar>
        </w:tblPrEx>
        <w:trPr>
          <w:wBefore w:w="0" w:type="auto"/>
          <w:tblCellSpacing w:w="0" w:type="dxa"/>
        </w:trPr>
        <w:tc>
          <w:tcPr>
            <w:tcW w:w="0" w:type="auto"/>
            <w:noWrap w:val="0"/>
            <w:vAlign w:val="center"/>
          </w:tcPr>
          <w:p w14:paraId="5326CAC0">
            <w:r>
              <w:rPr>
                <w:rStyle w:val="10"/>
                <w:rFonts w:hint="eastAsia"/>
              </w:rPr>
              <w:t>质量保证期：</w:t>
            </w:r>
            <w:r>
              <w:rPr>
                <w:rStyle w:val="11"/>
                <w:rFonts w:hint="eastAsia"/>
              </w:rPr>
              <w:t>2年</w:t>
            </w:r>
          </w:p>
        </w:tc>
      </w:tr>
      <w:tr w14:paraId="31E4EB96">
        <w:tblPrEx>
          <w:tblCellMar>
            <w:top w:w="0" w:type="dxa"/>
            <w:left w:w="0" w:type="dxa"/>
            <w:bottom w:w="0" w:type="dxa"/>
            <w:right w:w="0" w:type="dxa"/>
          </w:tblCellMar>
        </w:tblPrEx>
        <w:trPr>
          <w:wBefore w:w="0" w:type="auto"/>
          <w:tblCellSpacing w:w="0" w:type="dxa"/>
        </w:trPr>
        <w:tc>
          <w:tcPr>
            <w:tcW w:w="0" w:type="auto"/>
            <w:noWrap w:val="0"/>
            <w:vAlign w:val="center"/>
          </w:tcPr>
          <w:p w14:paraId="4212323A">
            <w:r>
              <w:rPr>
                <w:rStyle w:val="10"/>
                <w:rFonts w:hint="eastAsia"/>
              </w:rPr>
              <w:t>备注：</w:t>
            </w:r>
          </w:p>
        </w:tc>
      </w:tr>
    </w:tbl>
    <w:p w14:paraId="6F4DCFB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B07101">
        <w:tblPrEx>
          <w:tblCellMar>
            <w:top w:w="0" w:type="dxa"/>
            <w:left w:w="0" w:type="dxa"/>
            <w:bottom w:w="0" w:type="dxa"/>
            <w:right w:w="0" w:type="dxa"/>
          </w:tblCellMar>
        </w:tblPrEx>
        <w:trPr>
          <w:wBefore w:w="0" w:type="auto"/>
          <w:tblCellSpacing w:w="0" w:type="dxa"/>
        </w:trPr>
        <w:tc>
          <w:tcPr>
            <w:tcW w:w="0" w:type="auto"/>
            <w:noWrap w:val="0"/>
            <w:vAlign w:val="center"/>
          </w:tcPr>
          <w:p w14:paraId="6F16ABCF">
            <w:r>
              <w:rPr>
                <w:rStyle w:val="10"/>
                <w:rFonts w:hint="eastAsia"/>
              </w:rPr>
              <w:t>登记证号：</w:t>
            </w:r>
            <w:r>
              <w:rPr>
                <w:rFonts w:hint="eastAsia"/>
              </w:rPr>
              <w:t>PD20212312</w:t>
            </w:r>
          </w:p>
        </w:tc>
      </w:tr>
      <w:tr w14:paraId="4209661F">
        <w:tblPrEx>
          <w:tblCellMar>
            <w:top w:w="0" w:type="dxa"/>
            <w:left w:w="0" w:type="dxa"/>
            <w:bottom w:w="0" w:type="dxa"/>
            <w:right w:w="0" w:type="dxa"/>
          </w:tblCellMar>
        </w:tblPrEx>
        <w:trPr>
          <w:wBefore w:w="0" w:type="auto"/>
          <w:tblCellSpacing w:w="0" w:type="dxa"/>
        </w:trPr>
        <w:tc>
          <w:tcPr>
            <w:tcW w:w="0" w:type="auto"/>
            <w:noWrap w:val="0"/>
            <w:vAlign w:val="center"/>
          </w:tcPr>
          <w:p w14:paraId="5E2C188A">
            <w:r>
              <w:rPr>
                <w:rStyle w:val="10"/>
                <w:rFonts w:hint="eastAsia"/>
              </w:rPr>
              <w:t>登记证持有人：</w:t>
            </w:r>
            <w:r>
              <w:rPr>
                <w:rFonts w:hint="eastAsia"/>
              </w:rPr>
              <w:t>先正达南通作物保护有限公司</w:t>
            </w:r>
          </w:p>
        </w:tc>
      </w:tr>
      <w:tr w14:paraId="4278F9E8">
        <w:tblPrEx>
          <w:tblCellMar>
            <w:top w:w="0" w:type="dxa"/>
            <w:left w:w="0" w:type="dxa"/>
            <w:bottom w:w="0" w:type="dxa"/>
            <w:right w:w="0" w:type="dxa"/>
          </w:tblCellMar>
        </w:tblPrEx>
        <w:trPr>
          <w:wBefore w:w="0" w:type="auto"/>
          <w:tblCellSpacing w:w="0" w:type="dxa"/>
        </w:trPr>
        <w:tc>
          <w:tcPr>
            <w:tcW w:w="0" w:type="auto"/>
            <w:noWrap w:val="0"/>
            <w:vAlign w:val="center"/>
          </w:tcPr>
          <w:p w14:paraId="58423CAD">
            <w:r>
              <w:rPr>
                <w:rStyle w:val="10"/>
                <w:rFonts w:hint="eastAsia"/>
              </w:rPr>
              <w:t>农药名称：</w:t>
            </w:r>
            <w:r>
              <w:rPr>
                <w:rFonts w:hint="eastAsia"/>
              </w:rPr>
              <w:t>氟唑菌酰羟胺</w:t>
            </w:r>
          </w:p>
        </w:tc>
      </w:tr>
      <w:tr w14:paraId="2045E224">
        <w:tblPrEx>
          <w:tblCellMar>
            <w:top w:w="0" w:type="dxa"/>
            <w:left w:w="0" w:type="dxa"/>
            <w:bottom w:w="0" w:type="dxa"/>
            <w:right w:w="0" w:type="dxa"/>
          </w:tblCellMar>
        </w:tblPrEx>
        <w:trPr>
          <w:wBefore w:w="0" w:type="auto"/>
          <w:tblCellSpacing w:w="0" w:type="dxa"/>
        </w:trPr>
        <w:tc>
          <w:tcPr>
            <w:tcW w:w="0" w:type="auto"/>
            <w:noWrap w:val="0"/>
            <w:vAlign w:val="center"/>
          </w:tcPr>
          <w:p w14:paraId="1AC2246A">
            <w:r>
              <w:rPr>
                <w:rStyle w:val="10"/>
                <w:rFonts w:hint="eastAsia"/>
              </w:rPr>
              <w:t>剂型：</w:t>
            </w:r>
            <w:r>
              <w:rPr>
                <w:rFonts w:hint="eastAsia"/>
              </w:rPr>
              <w:t>原药</w:t>
            </w:r>
          </w:p>
        </w:tc>
      </w:tr>
      <w:tr w14:paraId="45085EF1">
        <w:tblPrEx>
          <w:tblCellMar>
            <w:top w:w="0" w:type="dxa"/>
            <w:left w:w="0" w:type="dxa"/>
            <w:bottom w:w="0" w:type="dxa"/>
            <w:right w:w="0" w:type="dxa"/>
          </w:tblCellMar>
        </w:tblPrEx>
        <w:trPr>
          <w:wBefore w:w="0" w:type="auto"/>
          <w:tblCellSpacing w:w="0" w:type="dxa"/>
        </w:trPr>
        <w:tc>
          <w:tcPr>
            <w:tcW w:w="0" w:type="auto"/>
            <w:noWrap w:val="0"/>
            <w:vAlign w:val="center"/>
          </w:tcPr>
          <w:p w14:paraId="39FFFB0B">
            <w:r>
              <w:rPr>
                <w:rStyle w:val="10"/>
                <w:rFonts w:hint="eastAsia"/>
              </w:rPr>
              <w:t>毒性及其标识：</w:t>
            </w:r>
            <w:r>
              <w:rPr>
                <w:rFonts w:hint="eastAsia"/>
              </w:rPr>
              <w:t xml:space="preserve"> 微毒 </w:t>
            </w:r>
          </w:p>
        </w:tc>
      </w:tr>
      <w:tr w14:paraId="47E36F5D">
        <w:tblPrEx>
          <w:tblCellMar>
            <w:top w:w="0" w:type="dxa"/>
            <w:left w:w="0" w:type="dxa"/>
            <w:bottom w:w="0" w:type="dxa"/>
            <w:right w:w="0" w:type="dxa"/>
          </w:tblCellMar>
        </w:tblPrEx>
        <w:trPr>
          <w:wBefore w:w="0" w:type="auto"/>
          <w:tblCellSpacing w:w="0" w:type="dxa"/>
        </w:trPr>
        <w:tc>
          <w:tcPr>
            <w:tcW w:w="0" w:type="auto"/>
            <w:noWrap w:val="0"/>
            <w:vAlign w:val="center"/>
          </w:tcPr>
          <w:p w14:paraId="4DCCBA16">
            <w:r>
              <w:rPr>
                <w:rStyle w:val="10"/>
                <w:rFonts w:hint="eastAsia"/>
              </w:rPr>
              <w:t>总有效成分含量：</w:t>
            </w:r>
            <w:r>
              <w:rPr>
                <w:rFonts w:hint="eastAsia"/>
              </w:rPr>
              <w:t>98%</w:t>
            </w:r>
          </w:p>
        </w:tc>
      </w:tr>
      <w:tr w14:paraId="59879B87">
        <w:tblPrEx>
          <w:tblCellMar>
            <w:top w:w="0" w:type="dxa"/>
            <w:left w:w="0" w:type="dxa"/>
            <w:bottom w:w="0" w:type="dxa"/>
            <w:right w:w="0" w:type="dxa"/>
          </w:tblCellMar>
        </w:tblPrEx>
        <w:trPr>
          <w:wBefore w:w="0" w:type="auto"/>
          <w:tblCellSpacing w:w="0" w:type="dxa"/>
        </w:trPr>
        <w:tc>
          <w:tcPr>
            <w:tcW w:w="0" w:type="auto"/>
            <w:noWrap w:val="0"/>
            <w:vAlign w:val="center"/>
          </w:tcPr>
          <w:p w14:paraId="15D1A7CD">
            <w:r>
              <w:rPr>
                <w:rFonts w:hint="eastAsia"/>
              </w:rPr>
              <w:t xml:space="preserve">有效成分及其含量： </w:t>
            </w:r>
          </w:p>
          <w:p w14:paraId="6DDFA988">
            <w:r>
              <w:rPr>
                <w:rFonts w:hint="eastAsia"/>
              </w:rPr>
              <w:t xml:space="preserve">    氟唑菌酰羟胺98%    </w:t>
            </w:r>
          </w:p>
        </w:tc>
      </w:tr>
      <w:tr w14:paraId="1B5A4BDB">
        <w:tblPrEx>
          <w:tblCellMar>
            <w:top w:w="0" w:type="dxa"/>
            <w:left w:w="0" w:type="dxa"/>
            <w:bottom w:w="0" w:type="dxa"/>
            <w:right w:w="0" w:type="dxa"/>
          </w:tblCellMar>
        </w:tblPrEx>
        <w:trPr>
          <w:wBefore w:w="0" w:type="auto"/>
          <w:tblCellSpacing w:w="0" w:type="dxa"/>
        </w:trPr>
        <w:tc>
          <w:tcPr>
            <w:tcW w:w="0" w:type="auto"/>
            <w:noWrap w:val="0"/>
            <w:vAlign w:val="center"/>
          </w:tcPr>
          <w:p w14:paraId="00E766D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8BCF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591C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AE6F9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63CCD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968AFB">
                  <w:r>
                    <w:rPr>
                      <w:rStyle w:val="11"/>
                      <w:rFonts w:hint="eastAsia"/>
                    </w:rPr>
                    <w:t>施用方式</w:t>
                  </w:r>
                </w:p>
              </w:tc>
            </w:tr>
          </w:tbl>
          <w:p w14:paraId="40EDDE8F">
            <w:pPr>
              <w:rPr>
                <w:rFonts w:ascii="Times New Roman" w:hAnsi="Times New Roman" w:cs="Times New Roman"/>
                <w:sz w:val="20"/>
                <w:szCs w:val="20"/>
              </w:rPr>
            </w:pPr>
          </w:p>
        </w:tc>
      </w:tr>
      <w:tr w14:paraId="6AABA75C">
        <w:tblPrEx>
          <w:tblCellMar>
            <w:top w:w="0" w:type="dxa"/>
            <w:left w:w="0" w:type="dxa"/>
            <w:bottom w:w="0" w:type="dxa"/>
            <w:right w:w="0" w:type="dxa"/>
          </w:tblCellMar>
        </w:tblPrEx>
        <w:trPr>
          <w:wBefore w:w="0" w:type="auto"/>
          <w:tblCellSpacing w:w="0" w:type="dxa"/>
        </w:trPr>
        <w:tc>
          <w:tcPr>
            <w:tcW w:w="0" w:type="auto"/>
            <w:noWrap w:val="0"/>
            <w:vAlign w:val="center"/>
          </w:tcPr>
          <w:p w14:paraId="0C539B0A">
            <w:r>
              <w:rPr>
                <w:rStyle w:val="10"/>
                <w:rFonts w:hint="eastAsia"/>
              </w:rPr>
              <w:t>使用技术要求:</w:t>
            </w:r>
            <w:r>
              <w:rPr>
                <w:rFonts w:hint="eastAsia"/>
              </w:rPr>
              <w:br w:type="textWrapping"/>
            </w:r>
            <w:r>
              <w:rPr>
                <w:rStyle w:val="11"/>
                <w:rFonts w:hint="eastAsia"/>
              </w:rPr>
              <w:t>/</w:t>
            </w:r>
          </w:p>
        </w:tc>
      </w:tr>
      <w:tr w14:paraId="1F56DDCE">
        <w:tblPrEx>
          <w:tblCellMar>
            <w:top w:w="0" w:type="dxa"/>
            <w:left w:w="0" w:type="dxa"/>
            <w:bottom w:w="0" w:type="dxa"/>
            <w:right w:w="0" w:type="dxa"/>
          </w:tblCellMar>
        </w:tblPrEx>
        <w:trPr>
          <w:wBefore w:w="0" w:type="auto"/>
          <w:tblCellSpacing w:w="0" w:type="dxa"/>
        </w:trPr>
        <w:tc>
          <w:tcPr>
            <w:tcW w:w="0" w:type="auto"/>
            <w:noWrap w:val="0"/>
            <w:vAlign w:val="center"/>
          </w:tcPr>
          <w:p w14:paraId="23FA3703">
            <w:r>
              <w:rPr>
                <w:rStyle w:val="10"/>
                <w:rFonts w:hint="eastAsia"/>
              </w:rPr>
              <w:t>产品性能:</w:t>
            </w:r>
            <w:r>
              <w:rPr>
                <w:rFonts w:hint="eastAsia"/>
              </w:rPr>
              <w:br w:type="textWrapping"/>
            </w:r>
            <w:r>
              <w:rPr>
                <w:rStyle w:val="11"/>
                <w:rFonts w:hint="eastAsia"/>
              </w:rPr>
              <w:t>氟唑菌酰羟胺为吡唑羧酰胺类杀菌剂，作用机理属于琥珀酸脱氢酶抑制剂（SDHI）类。本品是农药制剂加工的原材料，不得用于农作物或者其他场所。</w:t>
            </w:r>
          </w:p>
        </w:tc>
      </w:tr>
      <w:tr w14:paraId="64A15639">
        <w:tblPrEx>
          <w:tblCellMar>
            <w:top w:w="0" w:type="dxa"/>
            <w:left w:w="0" w:type="dxa"/>
            <w:bottom w:w="0" w:type="dxa"/>
            <w:right w:w="0" w:type="dxa"/>
          </w:tblCellMar>
        </w:tblPrEx>
        <w:trPr>
          <w:wBefore w:w="0" w:type="auto"/>
          <w:tblCellSpacing w:w="0" w:type="dxa"/>
        </w:trPr>
        <w:tc>
          <w:tcPr>
            <w:tcW w:w="0" w:type="auto"/>
            <w:noWrap w:val="0"/>
            <w:vAlign w:val="center"/>
          </w:tcPr>
          <w:p w14:paraId="7999774F">
            <w:r>
              <w:rPr>
                <w:rStyle w:val="10"/>
                <w:rFonts w:hint="eastAsia"/>
              </w:rPr>
              <w:t>注意事项：</w:t>
            </w:r>
            <w:r>
              <w:rPr>
                <w:rFonts w:hint="eastAsia"/>
              </w:rPr>
              <w:br w:type="textWrapping"/>
            </w:r>
            <w:r>
              <w:rPr>
                <w:rStyle w:val="11"/>
                <w:rFonts w:hint="eastAsia"/>
              </w:rPr>
              <w:t>1. 生产操作时： 1.1请遵照农药安全使用准则使用本品。该产品对眼睛、皮肤有刺激性，注意安全防护。避免药液接触皮肤、眼睛和污染衣物。切勿在施药现场抽烟或饮食。在饮水、进食和抽烟前，应先洗手、洗脸。 1.2 操作本品时应注意人员安全防护，穿长袖衣、长裤、防护服、戴口罩、眼罩、穿防护靴，避免药剂接触皮肤和眼睛。 1.3 本品对鱼、水蚤，蜜蜂、家蚕高毒，在使用时应谨慎，防止药液污染鱼塘、蜂场、桑园等。 2. 设备检测时： 设备检测时应穿长袖衣、长裤、工作服、戴防渗手套、应戴眼罩和口罩、穿防护靴。 3. 废弃注意事项： 不要重复使用产品的包装容器。 根据当地的有关健康和环境法规来处置产品的包装容器、盛放废物的容器和残余物。 4.泄漏处理措施： 万一发生溢出或泄漏：在源头控制泄漏，防止漫延开来污染土地或进入下水道、排水沟及河、湖等水域。 立即将泄漏物打扫干净，并根据当地规定正确处理泄漏物。一旦发生泄漏物进入河、湖、下水道和排水沟中，请立即告知当地相关管理部门。 5. 灭火紧急措施： 一旦失火，采用适当灭火剂灭火，使用喷水，抗醇泡沫，干粉或者二氧化碳。在救火时应戴自给式空气呼吸器，立即撤离现场不相关人员，以防止有人接触到火，烟或燃烧产物。被污染的建筑、区域和设备净化后才可使用。如果用水救火，应收集冲洗液，避免冲洗液污染地下道和附近水源。 6. 避免孕妇及哺乳期妇女接触。制造厂敬告用户：严格按照推荐方法使用、操作和贮藏本品。</w:t>
            </w:r>
          </w:p>
        </w:tc>
      </w:tr>
      <w:tr w14:paraId="7AAE2521">
        <w:tblPrEx>
          <w:tblCellMar>
            <w:top w:w="0" w:type="dxa"/>
            <w:left w:w="0" w:type="dxa"/>
            <w:bottom w:w="0" w:type="dxa"/>
            <w:right w:w="0" w:type="dxa"/>
          </w:tblCellMar>
        </w:tblPrEx>
        <w:trPr>
          <w:wBefore w:w="0" w:type="auto"/>
          <w:tblCellSpacing w:w="0" w:type="dxa"/>
        </w:trPr>
        <w:tc>
          <w:tcPr>
            <w:tcW w:w="0" w:type="auto"/>
            <w:noWrap w:val="0"/>
            <w:vAlign w:val="center"/>
          </w:tcPr>
          <w:p w14:paraId="27ED4159">
            <w:r>
              <w:rPr>
                <w:rStyle w:val="10"/>
                <w:rFonts w:hint="eastAsia"/>
              </w:rPr>
              <w:t>中毒急救措施：</w:t>
            </w:r>
            <w:r>
              <w:rPr>
                <w:rFonts w:hint="eastAsia"/>
              </w:rPr>
              <w:br w:type="textWrapping"/>
            </w:r>
            <w:r>
              <w:rPr>
                <w:rStyle w:val="11"/>
                <w:rFonts w:hint="eastAsia"/>
              </w:rPr>
              <w:t>中毒急救： 1. 用药时如果感觉不适，立即停止工作，采取急救措施，并携此标签送医就诊。 2. 皮肤接触：立即脱掉被污染的衣 物，用大量清水冲洗被污染的皮肤。如果出现皮肤刺激症状，需请医生诊治。 3. 眼睛溅药：立即将眼睑翻开，用清水冲洗至少15 分钟，再请医生诊治。如果佩戴隐形眼镜，请立即摘掉。 4. 发生吸入：将吸入者转移到空气新鲜处，注意保暖和休息，如果出现 呼吸异常或停止呼吸，需进行人工呼吸，立即请医生诊治或拨打紧急救助电话。 5. 误服：请勿引吐，立即携带标签，送医就诊。紧急医疗措施：使用医用活性炭洗胃，注意防止胃容物进入呼吸道。注意：对于昏迷病人，切勿经口喂入任何东西或引吐。解毒剂：无专用解毒剂，对症治疗。 中毒时，请拨打中国疾控中心中毒控制中心咨询热线： 400 650 5726</w:t>
            </w:r>
          </w:p>
        </w:tc>
      </w:tr>
      <w:tr w14:paraId="2D21968F">
        <w:tblPrEx>
          <w:tblCellMar>
            <w:top w:w="0" w:type="dxa"/>
            <w:left w:w="0" w:type="dxa"/>
            <w:bottom w:w="0" w:type="dxa"/>
            <w:right w:w="0" w:type="dxa"/>
          </w:tblCellMar>
        </w:tblPrEx>
        <w:trPr>
          <w:wBefore w:w="0" w:type="auto"/>
          <w:tblCellSpacing w:w="0" w:type="dxa"/>
        </w:trPr>
        <w:tc>
          <w:tcPr>
            <w:tcW w:w="0" w:type="auto"/>
            <w:noWrap w:val="0"/>
            <w:vAlign w:val="center"/>
          </w:tcPr>
          <w:p w14:paraId="7C3AB16E">
            <w:r>
              <w:rPr>
                <w:rStyle w:val="10"/>
                <w:rFonts w:hint="eastAsia"/>
              </w:rPr>
              <w:t>储存和运输方法：</w:t>
            </w:r>
            <w:r>
              <w:rPr>
                <w:rFonts w:hint="eastAsia"/>
              </w:rPr>
              <w:br w:type="textWrapping"/>
            </w:r>
            <w:r>
              <w:rPr>
                <w:rStyle w:val="11"/>
                <w:rFonts w:hint="eastAsia"/>
              </w:rPr>
              <w:t>1. 未用完的产品，应放在原始包装中加锁储存。本品应加锁保存，置于儿童、无关人员和动物接触不到的地方。勿与食物、饮料、粮食和动物饲料在一起存放或运输。2. 本品应贮藏在避光、干燥、通风处。运输时应注意避光、防高温、雨淋。3. 产品码放高度不宜超过2 米，请勿将产品倒置，以免损坏包装。</w:t>
            </w:r>
          </w:p>
        </w:tc>
      </w:tr>
      <w:tr w14:paraId="20E80961">
        <w:tblPrEx>
          <w:tblCellMar>
            <w:top w:w="0" w:type="dxa"/>
            <w:left w:w="0" w:type="dxa"/>
            <w:bottom w:w="0" w:type="dxa"/>
            <w:right w:w="0" w:type="dxa"/>
          </w:tblCellMar>
        </w:tblPrEx>
        <w:trPr>
          <w:wBefore w:w="0" w:type="auto"/>
          <w:tblCellSpacing w:w="0" w:type="dxa"/>
        </w:trPr>
        <w:tc>
          <w:tcPr>
            <w:tcW w:w="0" w:type="auto"/>
            <w:noWrap w:val="0"/>
            <w:vAlign w:val="center"/>
          </w:tcPr>
          <w:p w14:paraId="580A3C60">
            <w:r>
              <w:rPr>
                <w:rStyle w:val="10"/>
                <w:rFonts w:hint="eastAsia"/>
              </w:rPr>
              <w:t>质量保证期：</w:t>
            </w:r>
            <w:r>
              <w:rPr>
                <w:rStyle w:val="11"/>
                <w:rFonts w:hint="eastAsia"/>
              </w:rPr>
              <w:t>2年</w:t>
            </w:r>
          </w:p>
        </w:tc>
      </w:tr>
      <w:tr w14:paraId="2269799F">
        <w:tblPrEx>
          <w:tblCellMar>
            <w:top w:w="0" w:type="dxa"/>
            <w:left w:w="0" w:type="dxa"/>
            <w:bottom w:w="0" w:type="dxa"/>
            <w:right w:w="0" w:type="dxa"/>
          </w:tblCellMar>
        </w:tblPrEx>
        <w:trPr>
          <w:wBefore w:w="0" w:type="auto"/>
          <w:tblCellSpacing w:w="0" w:type="dxa"/>
        </w:trPr>
        <w:tc>
          <w:tcPr>
            <w:tcW w:w="0" w:type="auto"/>
            <w:noWrap w:val="0"/>
            <w:vAlign w:val="center"/>
          </w:tcPr>
          <w:p w14:paraId="59EE18B5">
            <w:r>
              <w:rPr>
                <w:rStyle w:val="10"/>
                <w:rFonts w:hint="eastAsia"/>
              </w:rPr>
              <w:t>备注：</w:t>
            </w:r>
          </w:p>
        </w:tc>
      </w:tr>
    </w:tbl>
    <w:p w14:paraId="30957EA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49A8FE">
        <w:tblPrEx>
          <w:tblCellMar>
            <w:top w:w="0" w:type="dxa"/>
            <w:left w:w="0" w:type="dxa"/>
            <w:bottom w:w="0" w:type="dxa"/>
            <w:right w:w="0" w:type="dxa"/>
          </w:tblCellMar>
        </w:tblPrEx>
        <w:trPr>
          <w:wBefore w:w="0" w:type="auto"/>
          <w:tblCellSpacing w:w="0" w:type="dxa"/>
        </w:trPr>
        <w:tc>
          <w:tcPr>
            <w:tcW w:w="0" w:type="auto"/>
            <w:noWrap w:val="0"/>
            <w:vAlign w:val="center"/>
          </w:tcPr>
          <w:p w14:paraId="3A89DFB4">
            <w:r>
              <w:rPr>
                <w:rStyle w:val="10"/>
                <w:rFonts w:hint="eastAsia"/>
              </w:rPr>
              <w:t>登记证号：</w:t>
            </w:r>
            <w:r>
              <w:rPr>
                <w:rFonts w:hint="eastAsia"/>
              </w:rPr>
              <w:t>PD20212771</w:t>
            </w:r>
          </w:p>
        </w:tc>
      </w:tr>
      <w:tr w14:paraId="60281CAE">
        <w:tblPrEx>
          <w:tblCellMar>
            <w:top w:w="0" w:type="dxa"/>
            <w:left w:w="0" w:type="dxa"/>
            <w:bottom w:w="0" w:type="dxa"/>
            <w:right w:w="0" w:type="dxa"/>
          </w:tblCellMar>
        </w:tblPrEx>
        <w:trPr>
          <w:wBefore w:w="0" w:type="auto"/>
          <w:tblCellSpacing w:w="0" w:type="dxa"/>
        </w:trPr>
        <w:tc>
          <w:tcPr>
            <w:tcW w:w="0" w:type="auto"/>
            <w:noWrap w:val="0"/>
            <w:vAlign w:val="center"/>
          </w:tcPr>
          <w:p w14:paraId="41B92513">
            <w:r>
              <w:rPr>
                <w:rStyle w:val="10"/>
                <w:rFonts w:hint="eastAsia"/>
              </w:rPr>
              <w:t>登记证持有人：</w:t>
            </w:r>
            <w:r>
              <w:rPr>
                <w:rFonts w:hint="eastAsia"/>
              </w:rPr>
              <w:t>河南恒信农化有限公司</w:t>
            </w:r>
          </w:p>
        </w:tc>
      </w:tr>
      <w:tr w14:paraId="66CECE8A">
        <w:tblPrEx>
          <w:tblCellMar>
            <w:top w:w="0" w:type="dxa"/>
            <w:left w:w="0" w:type="dxa"/>
            <w:bottom w:w="0" w:type="dxa"/>
            <w:right w:w="0" w:type="dxa"/>
          </w:tblCellMar>
        </w:tblPrEx>
        <w:trPr>
          <w:wBefore w:w="0" w:type="auto"/>
          <w:tblCellSpacing w:w="0" w:type="dxa"/>
        </w:trPr>
        <w:tc>
          <w:tcPr>
            <w:tcW w:w="0" w:type="auto"/>
            <w:noWrap w:val="0"/>
            <w:vAlign w:val="center"/>
          </w:tcPr>
          <w:p w14:paraId="0AE8F3D7">
            <w:r>
              <w:rPr>
                <w:rStyle w:val="10"/>
                <w:rFonts w:hint="eastAsia"/>
              </w:rPr>
              <w:t>农药名称：</w:t>
            </w:r>
            <w:r>
              <w:rPr>
                <w:rFonts w:hint="eastAsia"/>
              </w:rPr>
              <w:t>吲丁·诱抗素</w:t>
            </w:r>
          </w:p>
        </w:tc>
      </w:tr>
      <w:tr w14:paraId="2C0DCFDA">
        <w:tblPrEx>
          <w:tblCellMar>
            <w:top w:w="0" w:type="dxa"/>
            <w:left w:w="0" w:type="dxa"/>
            <w:bottom w:w="0" w:type="dxa"/>
            <w:right w:w="0" w:type="dxa"/>
          </w:tblCellMar>
        </w:tblPrEx>
        <w:trPr>
          <w:wBefore w:w="0" w:type="auto"/>
          <w:tblCellSpacing w:w="0" w:type="dxa"/>
        </w:trPr>
        <w:tc>
          <w:tcPr>
            <w:tcW w:w="0" w:type="auto"/>
            <w:noWrap w:val="0"/>
            <w:vAlign w:val="center"/>
          </w:tcPr>
          <w:p w14:paraId="7C644F23">
            <w:r>
              <w:rPr>
                <w:rStyle w:val="10"/>
                <w:rFonts w:hint="eastAsia"/>
              </w:rPr>
              <w:t>剂型：</w:t>
            </w:r>
            <w:r>
              <w:rPr>
                <w:rFonts w:hint="eastAsia"/>
              </w:rPr>
              <w:t>微乳剂</w:t>
            </w:r>
          </w:p>
        </w:tc>
      </w:tr>
      <w:tr w14:paraId="5672B6BC">
        <w:tblPrEx>
          <w:tblCellMar>
            <w:top w:w="0" w:type="dxa"/>
            <w:left w:w="0" w:type="dxa"/>
            <w:bottom w:w="0" w:type="dxa"/>
            <w:right w:w="0" w:type="dxa"/>
          </w:tblCellMar>
        </w:tblPrEx>
        <w:trPr>
          <w:wBefore w:w="0" w:type="auto"/>
          <w:tblCellSpacing w:w="0" w:type="dxa"/>
        </w:trPr>
        <w:tc>
          <w:tcPr>
            <w:tcW w:w="0" w:type="auto"/>
            <w:noWrap w:val="0"/>
            <w:vAlign w:val="center"/>
          </w:tcPr>
          <w:p w14:paraId="256C3A96">
            <w:r>
              <w:rPr>
                <w:rStyle w:val="10"/>
                <w:rFonts w:hint="eastAsia"/>
              </w:rPr>
              <w:t>毒性及其标识：</w:t>
            </w:r>
            <w:r>
              <w:rPr>
                <w:rFonts w:hint="eastAsia"/>
              </w:rPr>
              <w:t xml:space="preserve"> </w:t>
            </w:r>
            <w:r>
              <w:rPr>
                <w:lang/>
              </w:rPr>
              <w:drawing>
                <wp:inline distT="0" distB="0" distL="114300" distR="114300">
                  <wp:extent cx="476250" cy="323850"/>
                  <wp:effectExtent l="0" t="0" r="0" b="0"/>
                  <wp:docPr id="284" name="图片 2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2693840">
        <w:tblPrEx>
          <w:tblCellMar>
            <w:top w:w="0" w:type="dxa"/>
            <w:left w:w="0" w:type="dxa"/>
            <w:bottom w:w="0" w:type="dxa"/>
            <w:right w:w="0" w:type="dxa"/>
          </w:tblCellMar>
        </w:tblPrEx>
        <w:trPr>
          <w:wBefore w:w="0" w:type="auto"/>
          <w:tblCellSpacing w:w="0" w:type="dxa"/>
        </w:trPr>
        <w:tc>
          <w:tcPr>
            <w:tcW w:w="0" w:type="auto"/>
            <w:noWrap w:val="0"/>
            <w:vAlign w:val="center"/>
          </w:tcPr>
          <w:p w14:paraId="4B819A9F">
            <w:r>
              <w:rPr>
                <w:rStyle w:val="10"/>
                <w:rFonts w:hint="eastAsia"/>
              </w:rPr>
              <w:t>总有效成分含量：</w:t>
            </w:r>
            <w:r>
              <w:rPr>
                <w:rFonts w:hint="eastAsia"/>
              </w:rPr>
              <w:t>1%</w:t>
            </w:r>
          </w:p>
        </w:tc>
      </w:tr>
      <w:tr w14:paraId="6773710E">
        <w:tblPrEx>
          <w:tblCellMar>
            <w:top w:w="0" w:type="dxa"/>
            <w:left w:w="0" w:type="dxa"/>
            <w:bottom w:w="0" w:type="dxa"/>
            <w:right w:w="0" w:type="dxa"/>
          </w:tblCellMar>
        </w:tblPrEx>
        <w:trPr>
          <w:wBefore w:w="0" w:type="auto"/>
          <w:tblCellSpacing w:w="0" w:type="dxa"/>
        </w:trPr>
        <w:tc>
          <w:tcPr>
            <w:tcW w:w="0" w:type="auto"/>
            <w:noWrap w:val="0"/>
            <w:vAlign w:val="center"/>
          </w:tcPr>
          <w:p w14:paraId="42530931">
            <w:r>
              <w:rPr>
                <w:rFonts w:hint="eastAsia"/>
              </w:rPr>
              <w:t xml:space="preserve">有效成分及其含量： </w:t>
            </w:r>
          </w:p>
          <w:p w14:paraId="5772FA4E">
            <w:r>
              <w:rPr>
                <w:rFonts w:hint="eastAsia"/>
              </w:rPr>
              <w:t xml:space="preserve">    吲哚丁酸0.9%    S-诱抗素0.1%    </w:t>
            </w:r>
          </w:p>
        </w:tc>
      </w:tr>
      <w:tr w14:paraId="63178491">
        <w:tblPrEx>
          <w:tblCellMar>
            <w:top w:w="0" w:type="dxa"/>
            <w:left w:w="0" w:type="dxa"/>
            <w:bottom w:w="0" w:type="dxa"/>
            <w:right w:w="0" w:type="dxa"/>
          </w:tblCellMar>
        </w:tblPrEx>
        <w:trPr>
          <w:wBefore w:w="0" w:type="auto"/>
          <w:tblCellSpacing w:w="0" w:type="dxa"/>
        </w:trPr>
        <w:tc>
          <w:tcPr>
            <w:tcW w:w="0" w:type="auto"/>
            <w:noWrap w:val="0"/>
            <w:vAlign w:val="center"/>
          </w:tcPr>
          <w:p w14:paraId="2C937DF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1238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40D5C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2543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33CD1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A4F36B">
                  <w:r>
                    <w:rPr>
                      <w:rStyle w:val="11"/>
                      <w:rFonts w:hint="eastAsia"/>
                    </w:rPr>
                    <w:t>施用方式</w:t>
                  </w:r>
                </w:p>
              </w:tc>
            </w:tr>
            <w:tr w14:paraId="4CC990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69BE7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C9A7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2A8881">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BA0F1A">
                  <w:r>
                    <w:rPr>
                      <w:rStyle w:val="11"/>
                      <w:rFonts w:hint="eastAsia"/>
                    </w:rPr>
                    <w:t>喷雾</w:t>
                  </w:r>
                </w:p>
              </w:tc>
            </w:tr>
          </w:tbl>
          <w:p w14:paraId="3C1C9AF5">
            <w:pPr>
              <w:rPr>
                <w:rFonts w:ascii="Times New Roman" w:hAnsi="Times New Roman" w:cs="Times New Roman"/>
                <w:sz w:val="20"/>
                <w:szCs w:val="20"/>
              </w:rPr>
            </w:pPr>
          </w:p>
        </w:tc>
      </w:tr>
      <w:tr w14:paraId="0A46E50B">
        <w:tblPrEx>
          <w:tblCellMar>
            <w:top w:w="0" w:type="dxa"/>
            <w:left w:w="0" w:type="dxa"/>
            <w:bottom w:w="0" w:type="dxa"/>
            <w:right w:w="0" w:type="dxa"/>
          </w:tblCellMar>
        </w:tblPrEx>
        <w:trPr>
          <w:wBefore w:w="0" w:type="auto"/>
          <w:tblCellSpacing w:w="0" w:type="dxa"/>
        </w:trPr>
        <w:tc>
          <w:tcPr>
            <w:tcW w:w="0" w:type="auto"/>
            <w:noWrap w:val="0"/>
            <w:vAlign w:val="center"/>
          </w:tcPr>
          <w:p w14:paraId="3B4D34F1">
            <w:r>
              <w:rPr>
                <w:rStyle w:val="10"/>
                <w:rFonts w:hint="eastAsia"/>
              </w:rPr>
              <w:t>使用技术要求:</w:t>
            </w:r>
            <w:r>
              <w:rPr>
                <w:rFonts w:hint="eastAsia"/>
              </w:rPr>
              <w:br w:type="textWrapping"/>
            </w:r>
            <w:r>
              <w:rPr>
                <w:rStyle w:val="11"/>
                <w:rFonts w:hint="eastAsia"/>
              </w:rPr>
              <w:t>1、水稻育秧田插秧前7天秧苗喷施或淋苗1次，注意喷雾均匀。 2.大风或预计1小时内有雨，请勿施药</w:t>
            </w:r>
          </w:p>
        </w:tc>
      </w:tr>
      <w:tr w14:paraId="211BF19F">
        <w:tblPrEx>
          <w:tblCellMar>
            <w:top w:w="0" w:type="dxa"/>
            <w:left w:w="0" w:type="dxa"/>
            <w:bottom w:w="0" w:type="dxa"/>
            <w:right w:w="0" w:type="dxa"/>
          </w:tblCellMar>
        </w:tblPrEx>
        <w:trPr>
          <w:wBefore w:w="0" w:type="auto"/>
          <w:tblCellSpacing w:w="0" w:type="dxa"/>
        </w:trPr>
        <w:tc>
          <w:tcPr>
            <w:tcW w:w="0" w:type="auto"/>
            <w:noWrap w:val="0"/>
            <w:vAlign w:val="center"/>
          </w:tcPr>
          <w:p w14:paraId="097F48D2">
            <w:r>
              <w:rPr>
                <w:rStyle w:val="10"/>
                <w:rFonts w:hint="eastAsia"/>
              </w:rPr>
              <w:t>产品性能:</w:t>
            </w:r>
            <w:r>
              <w:rPr>
                <w:rFonts w:hint="eastAsia"/>
              </w:rPr>
              <w:br w:type="textWrapping"/>
            </w:r>
            <w:r>
              <w:rPr>
                <w:rStyle w:val="11"/>
                <w:rFonts w:hint="eastAsia"/>
              </w:rPr>
              <w:t xml:space="preserve">本品是由吲哚丁酸和S-诱抗素复配而成，为生物化学农药类植物生长调节剂；在水稻育秧田期使用，能促进水稻生根，提高水稻分蘖率。 </w:t>
            </w:r>
          </w:p>
        </w:tc>
      </w:tr>
      <w:tr w14:paraId="18FAD76F">
        <w:tblPrEx>
          <w:tblCellMar>
            <w:top w:w="0" w:type="dxa"/>
            <w:left w:w="0" w:type="dxa"/>
            <w:bottom w:w="0" w:type="dxa"/>
            <w:right w:w="0" w:type="dxa"/>
          </w:tblCellMar>
        </w:tblPrEx>
        <w:trPr>
          <w:wBefore w:w="0" w:type="auto"/>
          <w:tblCellSpacing w:w="0" w:type="dxa"/>
        </w:trPr>
        <w:tc>
          <w:tcPr>
            <w:tcW w:w="0" w:type="auto"/>
            <w:noWrap w:val="0"/>
            <w:vAlign w:val="center"/>
          </w:tcPr>
          <w:p w14:paraId="095BB480">
            <w:r>
              <w:rPr>
                <w:rStyle w:val="10"/>
                <w:rFonts w:hint="eastAsia"/>
              </w:rPr>
              <w:t>注意事项：</w:t>
            </w:r>
            <w:r>
              <w:rPr>
                <w:rFonts w:hint="eastAsia"/>
              </w:rPr>
              <w:br w:type="textWrapping"/>
            </w:r>
            <w:r>
              <w:rPr>
                <w:rStyle w:val="11"/>
                <w:rFonts w:hint="eastAsia"/>
              </w:rPr>
              <w:t>1) 本品不可与碱性农药等物质混用；2)建议与其他不同作用机制的植物生长调节剂轮换使用，以延缓抗性产生。 3） 禁止在河塘等水体中清洗施药器具。 4） 使用本品时应穿防护服和戴手套，避免吸入药液。施药期间不可吃东西和饮水，施药后应及时洗手和洗脸。 5）用过的容器应妥善处理，不可做他用，也不可随意丢弃。 6）孕妇及哺乳期妇女禁止接触本品。</w:t>
            </w:r>
          </w:p>
        </w:tc>
      </w:tr>
      <w:tr w14:paraId="39642ABB">
        <w:tblPrEx>
          <w:tblCellMar>
            <w:top w:w="0" w:type="dxa"/>
            <w:left w:w="0" w:type="dxa"/>
            <w:bottom w:w="0" w:type="dxa"/>
            <w:right w:w="0" w:type="dxa"/>
          </w:tblCellMar>
        </w:tblPrEx>
        <w:trPr>
          <w:wBefore w:w="0" w:type="auto"/>
          <w:tblCellSpacing w:w="0" w:type="dxa"/>
        </w:trPr>
        <w:tc>
          <w:tcPr>
            <w:tcW w:w="0" w:type="auto"/>
            <w:noWrap w:val="0"/>
            <w:vAlign w:val="center"/>
          </w:tcPr>
          <w:p w14:paraId="5AF46B44">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5C03D7BA">
        <w:tblPrEx>
          <w:tblCellMar>
            <w:top w:w="0" w:type="dxa"/>
            <w:left w:w="0" w:type="dxa"/>
            <w:bottom w:w="0" w:type="dxa"/>
            <w:right w:w="0" w:type="dxa"/>
          </w:tblCellMar>
        </w:tblPrEx>
        <w:trPr>
          <w:wBefore w:w="0" w:type="auto"/>
          <w:tblCellSpacing w:w="0" w:type="dxa"/>
        </w:trPr>
        <w:tc>
          <w:tcPr>
            <w:tcW w:w="0" w:type="auto"/>
            <w:noWrap w:val="0"/>
            <w:vAlign w:val="center"/>
          </w:tcPr>
          <w:p w14:paraId="57397F86">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718FAB32">
        <w:tblPrEx>
          <w:tblCellMar>
            <w:top w:w="0" w:type="dxa"/>
            <w:left w:w="0" w:type="dxa"/>
            <w:bottom w:w="0" w:type="dxa"/>
            <w:right w:w="0" w:type="dxa"/>
          </w:tblCellMar>
        </w:tblPrEx>
        <w:trPr>
          <w:wBefore w:w="0" w:type="auto"/>
          <w:tblCellSpacing w:w="0" w:type="dxa"/>
        </w:trPr>
        <w:tc>
          <w:tcPr>
            <w:tcW w:w="0" w:type="auto"/>
            <w:noWrap w:val="0"/>
            <w:vAlign w:val="center"/>
          </w:tcPr>
          <w:p w14:paraId="6065B935">
            <w:r>
              <w:rPr>
                <w:rStyle w:val="10"/>
                <w:rFonts w:hint="eastAsia"/>
              </w:rPr>
              <w:t>质量保证期：</w:t>
            </w:r>
            <w:r>
              <w:rPr>
                <w:rStyle w:val="11"/>
                <w:rFonts w:hint="eastAsia"/>
              </w:rPr>
              <w:t>2年</w:t>
            </w:r>
          </w:p>
        </w:tc>
      </w:tr>
      <w:tr w14:paraId="3A4B4078">
        <w:tblPrEx>
          <w:tblCellMar>
            <w:top w:w="0" w:type="dxa"/>
            <w:left w:w="0" w:type="dxa"/>
            <w:bottom w:w="0" w:type="dxa"/>
            <w:right w:w="0" w:type="dxa"/>
          </w:tblCellMar>
        </w:tblPrEx>
        <w:trPr>
          <w:wBefore w:w="0" w:type="auto"/>
          <w:tblCellSpacing w:w="0" w:type="dxa"/>
        </w:trPr>
        <w:tc>
          <w:tcPr>
            <w:tcW w:w="0" w:type="auto"/>
            <w:noWrap w:val="0"/>
            <w:vAlign w:val="center"/>
          </w:tcPr>
          <w:p w14:paraId="4CA18FDD">
            <w:r>
              <w:rPr>
                <w:rStyle w:val="10"/>
                <w:rFonts w:hint="eastAsia"/>
              </w:rPr>
              <w:t>备注：</w:t>
            </w:r>
          </w:p>
        </w:tc>
      </w:tr>
    </w:tbl>
    <w:p w14:paraId="08C57E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549675">
        <w:tblPrEx>
          <w:tblCellMar>
            <w:top w:w="0" w:type="dxa"/>
            <w:left w:w="0" w:type="dxa"/>
            <w:bottom w:w="0" w:type="dxa"/>
            <w:right w:w="0" w:type="dxa"/>
          </w:tblCellMar>
        </w:tblPrEx>
        <w:trPr>
          <w:wBefore w:w="0" w:type="auto"/>
          <w:tblCellSpacing w:w="0" w:type="dxa"/>
        </w:trPr>
        <w:tc>
          <w:tcPr>
            <w:tcW w:w="0" w:type="auto"/>
            <w:noWrap w:val="0"/>
            <w:vAlign w:val="center"/>
          </w:tcPr>
          <w:p w14:paraId="4B8DF99D">
            <w:r>
              <w:rPr>
                <w:rStyle w:val="10"/>
                <w:rFonts w:hint="eastAsia"/>
              </w:rPr>
              <w:t>登记证号：</w:t>
            </w:r>
            <w:r>
              <w:rPr>
                <w:rFonts w:hint="eastAsia"/>
              </w:rPr>
              <w:t>PD20212641</w:t>
            </w:r>
          </w:p>
        </w:tc>
      </w:tr>
      <w:tr w14:paraId="153AC02B">
        <w:tblPrEx>
          <w:tblCellMar>
            <w:top w:w="0" w:type="dxa"/>
            <w:left w:w="0" w:type="dxa"/>
            <w:bottom w:w="0" w:type="dxa"/>
            <w:right w:w="0" w:type="dxa"/>
          </w:tblCellMar>
        </w:tblPrEx>
        <w:trPr>
          <w:wBefore w:w="0" w:type="auto"/>
          <w:tblCellSpacing w:w="0" w:type="dxa"/>
        </w:trPr>
        <w:tc>
          <w:tcPr>
            <w:tcW w:w="0" w:type="auto"/>
            <w:noWrap w:val="0"/>
            <w:vAlign w:val="center"/>
          </w:tcPr>
          <w:p w14:paraId="26D1702F">
            <w:r>
              <w:rPr>
                <w:rStyle w:val="10"/>
                <w:rFonts w:hint="eastAsia"/>
              </w:rPr>
              <w:t>登记证持有人：</w:t>
            </w:r>
            <w:r>
              <w:rPr>
                <w:rFonts w:hint="eastAsia"/>
              </w:rPr>
              <w:t>安徽隆冠生物科技有限公司</w:t>
            </w:r>
          </w:p>
        </w:tc>
      </w:tr>
      <w:tr w14:paraId="79C73AA5">
        <w:tblPrEx>
          <w:tblCellMar>
            <w:top w:w="0" w:type="dxa"/>
            <w:left w:w="0" w:type="dxa"/>
            <w:bottom w:w="0" w:type="dxa"/>
            <w:right w:w="0" w:type="dxa"/>
          </w:tblCellMar>
        </w:tblPrEx>
        <w:trPr>
          <w:wBefore w:w="0" w:type="auto"/>
          <w:tblCellSpacing w:w="0" w:type="dxa"/>
        </w:trPr>
        <w:tc>
          <w:tcPr>
            <w:tcW w:w="0" w:type="auto"/>
            <w:noWrap w:val="0"/>
            <w:vAlign w:val="center"/>
          </w:tcPr>
          <w:p w14:paraId="59914226">
            <w:r>
              <w:rPr>
                <w:rStyle w:val="10"/>
                <w:rFonts w:hint="eastAsia"/>
              </w:rPr>
              <w:t>农药名称：</w:t>
            </w:r>
            <w:r>
              <w:rPr>
                <w:rFonts w:hint="eastAsia"/>
              </w:rPr>
              <w:t>苄·丁</w:t>
            </w:r>
          </w:p>
        </w:tc>
      </w:tr>
      <w:tr w14:paraId="1F24720C">
        <w:tblPrEx>
          <w:tblCellMar>
            <w:top w:w="0" w:type="dxa"/>
            <w:left w:w="0" w:type="dxa"/>
            <w:bottom w:w="0" w:type="dxa"/>
            <w:right w:w="0" w:type="dxa"/>
          </w:tblCellMar>
        </w:tblPrEx>
        <w:trPr>
          <w:wBefore w:w="0" w:type="auto"/>
          <w:tblCellSpacing w:w="0" w:type="dxa"/>
        </w:trPr>
        <w:tc>
          <w:tcPr>
            <w:tcW w:w="0" w:type="auto"/>
            <w:noWrap w:val="0"/>
            <w:vAlign w:val="center"/>
          </w:tcPr>
          <w:p w14:paraId="74159431">
            <w:r>
              <w:rPr>
                <w:rStyle w:val="10"/>
                <w:rFonts w:hint="eastAsia"/>
              </w:rPr>
              <w:t>剂型：</w:t>
            </w:r>
            <w:r>
              <w:rPr>
                <w:rFonts w:hint="eastAsia"/>
              </w:rPr>
              <w:t>可分散油悬浮剂</w:t>
            </w:r>
          </w:p>
        </w:tc>
      </w:tr>
      <w:tr w14:paraId="69E41C42">
        <w:tblPrEx>
          <w:tblCellMar>
            <w:top w:w="0" w:type="dxa"/>
            <w:left w:w="0" w:type="dxa"/>
            <w:bottom w:w="0" w:type="dxa"/>
            <w:right w:w="0" w:type="dxa"/>
          </w:tblCellMar>
        </w:tblPrEx>
        <w:trPr>
          <w:wBefore w:w="0" w:type="auto"/>
          <w:tblCellSpacing w:w="0" w:type="dxa"/>
        </w:trPr>
        <w:tc>
          <w:tcPr>
            <w:tcW w:w="0" w:type="auto"/>
            <w:noWrap w:val="0"/>
            <w:vAlign w:val="center"/>
          </w:tcPr>
          <w:p w14:paraId="0AC5FDB7">
            <w:r>
              <w:rPr>
                <w:rStyle w:val="10"/>
                <w:rFonts w:hint="eastAsia"/>
              </w:rPr>
              <w:t>毒性及其标识：</w:t>
            </w:r>
            <w:r>
              <w:rPr>
                <w:rFonts w:hint="eastAsia"/>
              </w:rPr>
              <w:t xml:space="preserve"> </w:t>
            </w:r>
            <w:r>
              <w:rPr>
                <w:lang/>
              </w:rPr>
              <w:drawing>
                <wp:inline distT="0" distB="0" distL="114300" distR="114300">
                  <wp:extent cx="476250" cy="323850"/>
                  <wp:effectExtent l="0" t="0" r="0" b="0"/>
                  <wp:docPr id="285" name="图片 2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95F5834">
        <w:tblPrEx>
          <w:tblCellMar>
            <w:top w:w="0" w:type="dxa"/>
            <w:left w:w="0" w:type="dxa"/>
            <w:bottom w:w="0" w:type="dxa"/>
            <w:right w:w="0" w:type="dxa"/>
          </w:tblCellMar>
        </w:tblPrEx>
        <w:trPr>
          <w:wBefore w:w="0" w:type="auto"/>
          <w:tblCellSpacing w:w="0" w:type="dxa"/>
        </w:trPr>
        <w:tc>
          <w:tcPr>
            <w:tcW w:w="0" w:type="auto"/>
            <w:noWrap w:val="0"/>
            <w:vAlign w:val="center"/>
          </w:tcPr>
          <w:p w14:paraId="2B65BBDA">
            <w:r>
              <w:rPr>
                <w:rStyle w:val="10"/>
                <w:rFonts w:hint="eastAsia"/>
              </w:rPr>
              <w:t>总有效成分含量：</w:t>
            </w:r>
            <w:r>
              <w:rPr>
                <w:rFonts w:hint="eastAsia"/>
              </w:rPr>
              <w:t>53%</w:t>
            </w:r>
          </w:p>
        </w:tc>
      </w:tr>
      <w:tr w14:paraId="078E68F9">
        <w:tblPrEx>
          <w:tblCellMar>
            <w:top w:w="0" w:type="dxa"/>
            <w:left w:w="0" w:type="dxa"/>
            <w:bottom w:w="0" w:type="dxa"/>
            <w:right w:w="0" w:type="dxa"/>
          </w:tblCellMar>
        </w:tblPrEx>
        <w:trPr>
          <w:wBefore w:w="0" w:type="auto"/>
          <w:tblCellSpacing w:w="0" w:type="dxa"/>
        </w:trPr>
        <w:tc>
          <w:tcPr>
            <w:tcW w:w="0" w:type="auto"/>
            <w:noWrap w:val="0"/>
            <w:vAlign w:val="center"/>
          </w:tcPr>
          <w:p w14:paraId="159C4B30">
            <w:r>
              <w:rPr>
                <w:rFonts w:hint="eastAsia"/>
              </w:rPr>
              <w:t xml:space="preserve">有效成分及其含量： </w:t>
            </w:r>
          </w:p>
          <w:p w14:paraId="50FF3EF1">
            <w:r>
              <w:rPr>
                <w:rFonts w:hint="eastAsia"/>
              </w:rPr>
              <w:t xml:space="preserve">    丁草胺50%    苄嘧磺隆3%    </w:t>
            </w:r>
          </w:p>
        </w:tc>
      </w:tr>
      <w:tr w14:paraId="673E660B">
        <w:tblPrEx>
          <w:tblCellMar>
            <w:top w:w="0" w:type="dxa"/>
            <w:left w:w="0" w:type="dxa"/>
            <w:bottom w:w="0" w:type="dxa"/>
            <w:right w:w="0" w:type="dxa"/>
          </w:tblCellMar>
        </w:tblPrEx>
        <w:trPr>
          <w:wBefore w:w="0" w:type="auto"/>
          <w:tblCellSpacing w:w="0" w:type="dxa"/>
        </w:trPr>
        <w:tc>
          <w:tcPr>
            <w:tcW w:w="0" w:type="auto"/>
            <w:noWrap w:val="0"/>
            <w:vAlign w:val="center"/>
          </w:tcPr>
          <w:p w14:paraId="6136B78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1EE2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2F031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BCACA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BFC01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5474C4">
                  <w:r>
                    <w:rPr>
                      <w:rStyle w:val="11"/>
                      <w:rFonts w:hint="eastAsia"/>
                    </w:rPr>
                    <w:t>施用方式</w:t>
                  </w:r>
                </w:p>
              </w:tc>
            </w:tr>
            <w:tr w14:paraId="2BBC23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EC2AD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0755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16DDB4">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50074D">
                  <w:r>
                    <w:rPr>
                      <w:rStyle w:val="11"/>
                      <w:rFonts w:hint="eastAsia"/>
                    </w:rPr>
                    <w:t>土壤喷雾</w:t>
                  </w:r>
                </w:p>
              </w:tc>
            </w:tr>
          </w:tbl>
          <w:p w14:paraId="3CD9EE12">
            <w:pPr>
              <w:rPr>
                <w:rFonts w:ascii="Times New Roman" w:hAnsi="Times New Roman" w:cs="Times New Roman"/>
                <w:sz w:val="20"/>
                <w:szCs w:val="20"/>
              </w:rPr>
            </w:pPr>
          </w:p>
        </w:tc>
      </w:tr>
      <w:tr w14:paraId="584EF91D">
        <w:tblPrEx>
          <w:tblCellMar>
            <w:top w:w="0" w:type="dxa"/>
            <w:left w:w="0" w:type="dxa"/>
            <w:bottom w:w="0" w:type="dxa"/>
            <w:right w:w="0" w:type="dxa"/>
          </w:tblCellMar>
        </w:tblPrEx>
        <w:trPr>
          <w:wBefore w:w="0" w:type="auto"/>
          <w:tblCellSpacing w:w="0" w:type="dxa"/>
        </w:trPr>
        <w:tc>
          <w:tcPr>
            <w:tcW w:w="0" w:type="auto"/>
            <w:noWrap w:val="0"/>
            <w:vAlign w:val="center"/>
          </w:tcPr>
          <w:p w14:paraId="1174F4FA">
            <w:r>
              <w:rPr>
                <w:rStyle w:val="10"/>
                <w:rFonts w:hint="eastAsia"/>
              </w:rPr>
              <w:t>使用技术要求:</w:t>
            </w:r>
            <w:r>
              <w:rPr>
                <w:rFonts w:hint="eastAsia"/>
              </w:rPr>
              <w:br w:type="textWrapping"/>
            </w:r>
            <w:r>
              <w:rPr>
                <w:rStyle w:val="11"/>
                <w:rFonts w:hint="eastAsia"/>
              </w:rPr>
              <w:t>1. 直播稻播后苗前土壤喷雾施药一次，无积水，田面平整，雨天排水。施药时应均匀喷雾。 2. 大风天或预计1小时内降雨，请勿施药。 3. 每季作物最多使用1次。</w:t>
            </w:r>
          </w:p>
        </w:tc>
      </w:tr>
      <w:tr w14:paraId="0EA41981">
        <w:tblPrEx>
          <w:tblCellMar>
            <w:top w:w="0" w:type="dxa"/>
            <w:left w:w="0" w:type="dxa"/>
            <w:bottom w:w="0" w:type="dxa"/>
            <w:right w:w="0" w:type="dxa"/>
          </w:tblCellMar>
        </w:tblPrEx>
        <w:trPr>
          <w:wBefore w:w="0" w:type="auto"/>
          <w:tblCellSpacing w:w="0" w:type="dxa"/>
        </w:trPr>
        <w:tc>
          <w:tcPr>
            <w:tcW w:w="0" w:type="auto"/>
            <w:noWrap w:val="0"/>
            <w:vAlign w:val="center"/>
          </w:tcPr>
          <w:p w14:paraId="70029270">
            <w:r>
              <w:rPr>
                <w:rStyle w:val="10"/>
                <w:rFonts w:hint="eastAsia"/>
              </w:rPr>
              <w:t>产品性能:</w:t>
            </w:r>
            <w:r>
              <w:rPr>
                <w:rFonts w:hint="eastAsia"/>
              </w:rPr>
              <w:br w:type="textWrapping"/>
            </w:r>
            <w:r>
              <w:rPr>
                <w:rStyle w:val="11"/>
                <w:rFonts w:hint="eastAsia"/>
              </w:rPr>
              <w:t>本品由丁草胺和苄嘧磺隆复配的除草剂，具有抑制和破坏蛋白酶，影响蛋白质的形成，抑制杂草幼芽和幼根正常生长发育，从而使杂草死亡。而且具有阻碍支链氨基酸生物合成，敏感杂草生长机能受阻、幼嫩组织过早发黄，抑制叶部、根部生长等特点。施药后，可被作物较迅速地吸收，在植物体内渗透性较强，对一年生禾本科及阔叶杂草防治效果较好。</w:t>
            </w:r>
          </w:p>
        </w:tc>
      </w:tr>
      <w:tr w14:paraId="35E349C1">
        <w:tblPrEx>
          <w:tblCellMar>
            <w:top w:w="0" w:type="dxa"/>
            <w:left w:w="0" w:type="dxa"/>
            <w:bottom w:w="0" w:type="dxa"/>
            <w:right w:w="0" w:type="dxa"/>
          </w:tblCellMar>
        </w:tblPrEx>
        <w:trPr>
          <w:wBefore w:w="0" w:type="auto"/>
          <w:tblCellSpacing w:w="0" w:type="dxa"/>
        </w:trPr>
        <w:tc>
          <w:tcPr>
            <w:tcW w:w="0" w:type="auto"/>
            <w:noWrap w:val="0"/>
            <w:vAlign w:val="center"/>
          </w:tcPr>
          <w:p w14:paraId="1EDC0010">
            <w:r>
              <w:rPr>
                <w:rStyle w:val="10"/>
                <w:rFonts w:hint="eastAsia"/>
              </w:rPr>
              <w:t>注意事项：</w:t>
            </w:r>
            <w:r>
              <w:rPr>
                <w:rFonts w:hint="eastAsia"/>
              </w:rPr>
              <w:br w:type="textWrapping"/>
            </w:r>
            <w:r>
              <w:rPr>
                <w:rStyle w:val="11"/>
                <w:rFonts w:hint="eastAsia"/>
              </w:rPr>
              <w:t>1. 远离水产养殖区、河塘等水体施药。2. 本品对眼睛有刺激性，使用时避免接触眼睛，穿戴长衣、长裤、帽子、口罩、手套等防护措施。施药期间不可吃东西、抽烟和饮水等；施药后，立即用肥皂洗手和洗脸等。3. 远离水产养殖区、河塘等水体施药，禁止在河塘等水体中清洗施药器具。施药后彻底清洗器械，禁止在河塘等水体中清洗施药器具，清洗器具的废水不能排入河流、池塘等水源。 鱼或虾蟹套养稻田禁用、施药后的田水不得直接排入水体。4. 施药后的地块 24 小时内禁止放牧和畜禽进入。5. 未用完的制剂应放在原包装内密封保存，切勿将本品置于饮、食容器内，用过的容器应妥善处理，不可做他用，也不可随意丢弃。6. 建议与其它作用机制的除草剂轮换使用。7. 孕妇及哺乳期妇女及过敏者禁用。8. 桑园及蚕室附近禁用。</w:t>
            </w:r>
          </w:p>
        </w:tc>
      </w:tr>
      <w:tr w14:paraId="635DE070">
        <w:tblPrEx>
          <w:tblCellMar>
            <w:top w:w="0" w:type="dxa"/>
            <w:left w:w="0" w:type="dxa"/>
            <w:bottom w:w="0" w:type="dxa"/>
            <w:right w:w="0" w:type="dxa"/>
          </w:tblCellMar>
        </w:tblPrEx>
        <w:trPr>
          <w:wBefore w:w="0" w:type="auto"/>
          <w:tblCellSpacing w:w="0" w:type="dxa"/>
        </w:trPr>
        <w:tc>
          <w:tcPr>
            <w:tcW w:w="0" w:type="auto"/>
            <w:noWrap w:val="0"/>
            <w:vAlign w:val="center"/>
          </w:tcPr>
          <w:p w14:paraId="7725A877">
            <w:r>
              <w:rPr>
                <w:rStyle w:val="10"/>
                <w:rFonts w:hint="eastAsia"/>
              </w:rPr>
              <w:t>中毒急救措施：</w:t>
            </w:r>
            <w:r>
              <w:rPr>
                <w:rFonts w:hint="eastAsia"/>
              </w:rPr>
              <w:br w:type="textWrapping"/>
            </w:r>
            <w:r>
              <w:rPr>
                <w:rStyle w:val="11"/>
                <w:rFonts w:hint="eastAsia"/>
              </w:rPr>
              <w:t>皮肤接触：立即脱掉被污染的衣物，用大量清水彻底冲洗受污染皮肤，如皮肤刺激感持续，请医生诊治。眼睛溅药：立即将眼睑翻开，用清水冲洗至少15分钟，再请医生诊治。发生吸入：立即将吸入者转移到空气清新处，如果吸入者停止呼吸，需要进行人工呼吸。注意保暖和休息。请医生诊治。误服：立即携带标签送医院就诊。不要自行引吐，不可饮水。无专用解毒剂，对症治疗。</w:t>
            </w:r>
          </w:p>
        </w:tc>
      </w:tr>
      <w:tr w14:paraId="21C57A96">
        <w:tblPrEx>
          <w:tblCellMar>
            <w:top w:w="0" w:type="dxa"/>
            <w:left w:w="0" w:type="dxa"/>
            <w:bottom w:w="0" w:type="dxa"/>
            <w:right w:w="0" w:type="dxa"/>
          </w:tblCellMar>
        </w:tblPrEx>
        <w:trPr>
          <w:wBefore w:w="0" w:type="auto"/>
          <w:tblCellSpacing w:w="0" w:type="dxa"/>
        </w:trPr>
        <w:tc>
          <w:tcPr>
            <w:tcW w:w="0" w:type="auto"/>
            <w:noWrap w:val="0"/>
            <w:vAlign w:val="center"/>
          </w:tcPr>
          <w:p w14:paraId="522AF8AA">
            <w:r>
              <w:rPr>
                <w:rStyle w:val="10"/>
                <w:rFonts w:hint="eastAsia"/>
              </w:rPr>
              <w:t>储存和运输方法：</w:t>
            </w:r>
            <w:r>
              <w:rPr>
                <w:rFonts w:hint="eastAsia"/>
              </w:rPr>
              <w:br w:type="textWrapping"/>
            </w:r>
            <w:r>
              <w:rPr>
                <w:rStyle w:val="11"/>
                <w:rFonts w:hint="eastAsia"/>
              </w:rPr>
              <w:t>本品应贮存于通风、干燥、防雨、阴凉处，远离火源或热源。置于儿童、无关人员触及不到之处，并加锁，勿与食品、饮料、饲料、种子等混合储存。贮运时，严防潮湿和日晒，避免与皮肤、眼睛接触，防止口鼻吸入。运输前先检查包装容器是否完整、密封。运输过程中确保容器不泄漏、不倒塌、不坠落、不损坏。</w:t>
            </w:r>
          </w:p>
        </w:tc>
      </w:tr>
      <w:tr w14:paraId="3F3860CB">
        <w:tblPrEx>
          <w:tblCellMar>
            <w:top w:w="0" w:type="dxa"/>
            <w:left w:w="0" w:type="dxa"/>
            <w:bottom w:w="0" w:type="dxa"/>
            <w:right w:w="0" w:type="dxa"/>
          </w:tblCellMar>
        </w:tblPrEx>
        <w:trPr>
          <w:wBefore w:w="0" w:type="auto"/>
          <w:tblCellSpacing w:w="0" w:type="dxa"/>
        </w:trPr>
        <w:tc>
          <w:tcPr>
            <w:tcW w:w="0" w:type="auto"/>
            <w:noWrap w:val="0"/>
            <w:vAlign w:val="center"/>
          </w:tcPr>
          <w:p w14:paraId="213B3743">
            <w:r>
              <w:rPr>
                <w:rStyle w:val="10"/>
                <w:rFonts w:hint="eastAsia"/>
              </w:rPr>
              <w:t>质量保证期：</w:t>
            </w:r>
            <w:r>
              <w:rPr>
                <w:rStyle w:val="11"/>
                <w:rFonts w:hint="eastAsia"/>
              </w:rPr>
              <w:t>2年</w:t>
            </w:r>
          </w:p>
        </w:tc>
      </w:tr>
      <w:tr w14:paraId="454E2665">
        <w:tblPrEx>
          <w:tblCellMar>
            <w:top w:w="0" w:type="dxa"/>
            <w:left w:w="0" w:type="dxa"/>
            <w:bottom w:w="0" w:type="dxa"/>
            <w:right w:w="0" w:type="dxa"/>
          </w:tblCellMar>
        </w:tblPrEx>
        <w:trPr>
          <w:wBefore w:w="0" w:type="auto"/>
          <w:tblCellSpacing w:w="0" w:type="dxa"/>
        </w:trPr>
        <w:tc>
          <w:tcPr>
            <w:tcW w:w="0" w:type="auto"/>
            <w:noWrap w:val="0"/>
            <w:vAlign w:val="center"/>
          </w:tcPr>
          <w:p w14:paraId="1C46AE79">
            <w:r>
              <w:rPr>
                <w:rStyle w:val="10"/>
                <w:rFonts w:hint="eastAsia"/>
              </w:rPr>
              <w:t>备注：</w:t>
            </w:r>
          </w:p>
        </w:tc>
      </w:tr>
    </w:tbl>
    <w:p w14:paraId="75ACF2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A13483">
        <w:tblPrEx>
          <w:tblCellMar>
            <w:top w:w="0" w:type="dxa"/>
            <w:left w:w="0" w:type="dxa"/>
            <w:bottom w:w="0" w:type="dxa"/>
            <w:right w:w="0" w:type="dxa"/>
          </w:tblCellMar>
        </w:tblPrEx>
        <w:trPr>
          <w:wBefore w:w="0" w:type="auto"/>
          <w:tblCellSpacing w:w="0" w:type="dxa"/>
        </w:trPr>
        <w:tc>
          <w:tcPr>
            <w:tcW w:w="0" w:type="auto"/>
            <w:noWrap w:val="0"/>
            <w:vAlign w:val="center"/>
          </w:tcPr>
          <w:p w14:paraId="1309AE64">
            <w:r>
              <w:rPr>
                <w:rStyle w:val="10"/>
                <w:rFonts w:hint="eastAsia"/>
              </w:rPr>
              <w:t>登记证号：</w:t>
            </w:r>
            <w:r>
              <w:rPr>
                <w:rFonts w:hint="eastAsia"/>
              </w:rPr>
              <w:t>PD20212545</w:t>
            </w:r>
          </w:p>
        </w:tc>
      </w:tr>
      <w:tr w14:paraId="6A02DF7C">
        <w:tblPrEx>
          <w:tblCellMar>
            <w:top w:w="0" w:type="dxa"/>
            <w:left w:w="0" w:type="dxa"/>
            <w:bottom w:w="0" w:type="dxa"/>
            <w:right w:w="0" w:type="dxa"/>
          </w:tblCellMar>
        </w:tblPrEx>
        <w:trPr>
          <w:wBefore w:w="0" w:type="auto"/>
          <w:tblCellSpacing w:w="0" w:type="dxa"/>
        </w:trPr>
        <w:tc>
          <w:tcPr>
            <w:tcW w:w="0" w:type="auto"/>
            <w:noWrap w:val="0"/>
            <w:vAlign w:val="center"/>
          </w:tcPr>
          <w:p w14:paraId="3CFA775D">
            <w:r>
              <w:rPr>
                <w:rStyle w:val="10"/>
                <w:rFonts w:hint="eastAsia"/>
              </w:rPr>
              <w:t>登记证持有人：</w:t>
            </w:r>
            <w:r>
              <w:rPr>
                <w:rFonts w:hint="eastAsia"/>
              </w:rPr>
              <w:t>山东玥鸣生物科技有限公司</w:t>
            </w:r>
          </w:p>
        </w:tc>
      </w:tr>
      <w:tr w14:paraId="1CEC1BC2">
        <w:tblPrEx>
          <w:tblCellMar>
            <w:top w:w="0" w:type="dxa"/>
            <w:left w:w="0" w:type="dxa"/>
            <w:bottom w:w="0" w:type="dxa"/>
            <w:right w:w="0" w:type="dxa"/>
          </w:tblCellMar>
        </w:tblPrEx>
        <w:trPr>
          <w:wBefore w:w="0" w:type="auto"/>
          <w:tblCellSpacing w:w="0" w:type="dxa"/>
        </w:trPr>
        <w:tc>
          <w:tcPr>
            <w:tcW w:w="0" w:type="auto"/>
            <w:noWrap w:val="0"/>
            <w:vAlign w:val="center"/>
          </w:tcPr>
          <w:p w14:paraId="15B01C58">
            <w:r>
              <w:rPr>
                <w:rStyle w:val="10"/>
                <w:rFonts w:hint="eastAsia"/>
              </w:rPr>
              <w:t>农药名称：</w:t>
            </w:r>
            <w:r>
              <w:rPr>
                <w:rFonts w:hint="eastAsia"/>
              </w:rPr>
              <w:t>精草铵膦铵盐</w:t>
            </w:r>
          </w:p>
        </w:tc>
      </w:tr>
      <w:tr w14:paraId="5A51F9E3">
        <w:tblPrEx>
          <w:tblCellMar>
            <w:top w:w="0" w:type="dxa"/>
            <w:left w:w="0" w:type="dxa"/>
            <w:bottom w:w="0" w:type="dxa"/>
            <w:right w:w="0" w:type="dxa"/>
          </w:tblCellMar>
        </w:tblPrEx>
        <w:trPr>
          <w:wBefore w:w="0" w:type="auto"/>
          <w:tblCellSpacing w:w="0" w:type="dxa"/>
        </w:trPr>
        <w:tc>
          <w:tcPr>
            <w:tcW w:w="0" w:type="auto"/>
            <w:noWrap w:val="0"/>
            <w:vAlign w:val="center"/>
          </w:tcPr>
          <w:p w14:paraId="4A678ABB">
            <w:r>
              <w:rPr>
                <w:rStyle w:val="10"/>
                <w:rFonts w:hint="eastAsia"/>
              </w:rPr>
              <w:t>剂型：</w:t>
            </w:r>
            <w:r>
              <w:rPr>
                <w:rFonts w:hint="eastAsia"/>
              </w:rPr>
              <w:t>可溶液剂</w:t>
            </w:r>
          </w:p>
        </w:tc>
      </w:tr>
      <w:tr w14:paraId="1CFE6F47">
        <w:tblPrEx>
          <w:tblCellMar>
            <w:top w:w="0" w:type="dxa"/>
            <w:left w:w="0" w:type="dxa"/>
            <w:bottom w:w="0" w:type="dxa"/>
            <w:right w:w="0" w:type="dxa"/>
          </w:tblCellMar>
        </w:tblPrEx>
        <w:trPr>
          <w:wBefore w:w="0" w:type="auto"/>
          <w:tblCellSpacing w:w="0" w:type="dxa"/>
        </w:trPr>
        <w:tc>
          <w:tcPr>
            <w:tcW w:w="0" w:type="auto"/>
            <w:noWrap w:val="0"/>
            <w:vAlign w:val="center"/>
          </w:tcPr>
          <w:p w14:paraId="018C6D13">
            <w:r>
              <w:rPr>
                <w:rStyle w:val="10"/>
                <w:rFonts w:hint="eastAsia"/>
              </w:rPr>
              <w:t>毒性及其标识：</w:t>
            </w:r>
            <w:r>
              <w:rPr>
                <w:rFonts w:hint="eastAsia"/>
              </w:rPr>
              <w:t xml:space="preserve"> </w:t>
            </w:r>
            <w:r>
              <w:rPr>
                <w:lang/>
              </w:rPr>
              <w:drawing>
                <wp:inline distT="0" distB="0" distL="114300" distR="114300">
                  <wp:extent cx="476250" cy="323850"/>
                  <wp:effectExtent l="0" t="0" r="0" b="0"/>
                  <wp:docPr id="286" name="图片 2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0ED3202">
        <w:tblPrEx>
          <w:tblCellMar>
            <w:top w:w="0" w:type="dxa"/>
            <w:left w:w="0" w:type="dxa"/>
            <w:bottom w:w="0" w:type="dxa"/>
            <w:right w:w="0" w:type="dxa"/>
          </w:tblCellMar>
        </w:tblPrEx>
        <w:trPr>
          <w:wBefore w:w="0" w:type="auto"/>
          <w:tblCellSpacing w:w="0" w:type="dxa"/>
        </w:trPr>
        <w:tc>
          <w:tcPr>
            <w:tcW w:w="0" w:type="auto"/>
            <w:noWrap w:val="0"/>
            <w:vAlign w:val="center"/>
          </w:tcPr>
          <w:p w14:paraId="4AE7205C">
            <w:r>
              <w:rPr>
                <w:rStyle w:val="10"/>
                <w:rFonts w:hint="eastAsia"/>
              </w:rPr>
              <w:t>总有效成分含量：</w:t>
            </w:r>
            <w:r>
              <w:rPr>
                <w:rFonts w:hint="eastAsia"/>
              </w:rPr>
              <w:t>20%</w:t>
            </w:r>
          </w:p>
        </w:tc>
      </w:tr>
      <w:tr w14:paraId="5238F0B6">
        <w:tblPrEx>
          <w:tblCellMar>
            <w:top w:w="0" w:type="dxa"/>
            <w:left w:w="0" w:type="dxa"/>
            <w:bottom w:w="0" w:type="dxa"/>
            <w:right w:w="0" w:type="dxa"/>
          </w:tblCellMar>
        </w:tblPrEx>
        <w:trPr>
          <w:wBefore w:w="0" w:type="auto"/>
          <w:tblCellSpacing w:w="0" w:type="dxa"/>
        </w:trPr>
        <w:tc>
          <w:tcPr>
            <w:tcW w:w="0" w:type="auto"/>
            <w:noWrap w:val="0"/>
            <w:vAlign w:val="center"/>
          </w:tcPr>
          <w:p w14:paraId="1C9D8D9F">
            <w:r>
              <w:rPr>
                <w:rFonts w:hint="eastAsia"/>
              </w:rPr>
              <w:t xml:space="preserve">有效成分及其含量： </w:t>
            </w:r>
          </w:p>
          <w:p w14:paraId="3F06977F">
            <w:r>
              <w:rPr>
                <w:rFonts w:hint="eastAsia"/>
              </w:rPr>
              <w:t xml:space="preserve">    精草铵膦20%    </w:t>
            </w:r>
          </w:p>
        </w:tc>
      </w:tr>
      <w:tr w14:paraId="62B0AAC4">
        <w:tblPrEx>
          <w:tblCellMar>
            <w:top w:w="0" w:type="dxa"/>
            <w:left w:w="0" w:type="dxa"/>
            <w:bottom w:w="0" w:type="dxa"/>
            <w:right w:w="0" w:type="dxa"/>
          </w:tblCellMar>
        </w:tblPrEx>
        <w:trPr>
          <w:wBefore w:w="0" w:type="auto"/>
          <w:tblCellSpacing w:w="0" w:type="dxa"/>
        </w:trPr>
        <w:tc>
          <w:tcPr>
            <w:tcW w:w="0" w:type="auto"/>
            <w:noWrap w:val="0"/>
            <w:vAlign w:val="center"/>
          </w:tcPr>
          <w:p w14:paraId="673C5FF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16FB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D6C03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4E23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0DC97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87E50E">
                  <w:r>
                    <w:rPr>
                      <w:rStyle w:val="11"/>
                      <w:rFonts w:hint="eastAsia"/>
                    </w:rPr>
                    <w:t>施用方式</w:t>
                  </w:r>
                </w:p>
              </w:tc>
            </w:tr>
            <w:tr w14:paraId="7D40CE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3A27C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74F04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315073">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CFA93">
                  <w:r>
                    <w:rPr>
                      <w:rStyle w:val="11"/>
                      <w:rFonts w:hint="eastAsia"/>
                    </w:rPr>
                    <w:t>茎叶喷雾</w:t>
                  </w:r>
                </w:p>
              </w:tc>
            </w:tr>
          </w:tbl>
          <w:p w14:paraId="63FA9573">
            <w:pPr>
              <w:rPr>
                <w:rFonts w:ascii="Times New Roman" w:hAnsi="Times New Roman" w:cs="Times New Roman"/>
                <w:sz w:val="20"/>
                <w:szCs w:val="20"/>
              </w:rPr>
            </w:pPr>
          </w:p>
        </w:tc>
      </w:tr>
      <w:tr w14:paraId="6E8859E5">
        <w:tblPrEx>
          <w:tblCellMar>
            <w:top w:w="0" w:type="dxa"/>
            <w:left w:w="0" w:type="dxa"/>
            <w:bottom w:w="0" w:type="dxa"/>
            <w:right w:w="0" w:type="dxa"/>
          </w:tblCellMar>
        </w:tblPrEx>
        <w:trPr>
          <w:wBefore w:w="0" w:type="auto"/>
          <w:tblCellSpacing w:w="0" w:type="dxa"/>
        </w:trPr>
        <w:tc>
          <w:tcPr>
            <w:tcW w:w="0" w:type="auto"/>
            <w:noWrap w:val="0"/>
            <w:vAlign w:val="center"/>
          </w:tcPr>
          <w:p w14:paraId="55B9800B">
            <w:r>
              <w:rPr>
                <w:rStyle w:val="10"/>
                <w:rFonts w:hint="eastAsia"/>
              </w:rPr>
              <w:t>使用技术要求:</w:t>
            </w:r>
            <w:r>
              <w:rPr>
                <w:rFonts w:hint="eastAsia"/>
              </w:rPr>
              <w:br w:type="textWrapping"/>
            </w:r>
            <w:r>
              <w:rPr>
                <w:rStyle w:val="11"/>
                <w:rFonts w:hint="eastAsia"/>
              </w:rPr>
              <w:t>1. 在非耕地杂草旺盛生长期，以推荐剂量兑水均匀茎叶喷雾施药一次，每亩兑水30-50公斤，均匀茎叶喷雾1次。2.大风天或预计1小时内有雨，请勿施药。3. 避免飘移药害；禁止在田间道路、田埂、果树行间、休耕地、林场林地等农林业区域使用。</w:t>
            </w:r>
          </w:p>
        </w:tc>
      </w:tr>
      <w:tr w14:paraId="7F7B7110">
        <w:tblPrEx>
          <w:tblCellMar>
            <w:top w:w="0" w:type="dxa"/>
            <w:left w:w="0" w:type="dxa"/>
            <w:bottom w:w="0" w:type="dxa"/>
            <w:right w:w="0" w:type="dxa"/>
          </w:tblCellMar>
        </w:tblPrEx>
        <w:trPr>
          <w:wBefore w:w="0" w:type="auto"/>
          <w:tblCellSpacing w:w="0" w:type="dxa"/>
        </w:trPr>
        <w:tc>
          <w:tcPr>
            <w:tcW w:w="0" w:type="auto"/>
            <w:noWrap w:val="0"/>
            <w:vAlign w:val="center"/>
          </w:tcPr>
          <w:p w14:paraId="03561969">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 药后短时间内，植物体内铵代谢陷于紊乱，细胞毒剂铵离子在植物体内累积，与此同时，光合作用被 抑制，达到除草目的，适用于防除非耕地杂草。</w:t>
            </w:r>
          </w:p>
        </w:tc>
      </w:tr>
      <w:tr w14:paraId="13529818">
        <w:tblPrEx>
          <w:tblCellMar>
            <w:top w:w="0" w:type="dxa"/>
            <w:left w:w="0" w:type="dxa"/>
            <w:bottom w:w="0" w:type="dxa"/>
            <w:right w:w="0" w:type="dxa"/>
          </w:tblCellMar>
        </w:tblPrEx>
        <w:trPr>
          <w:wBefore w:w="0" w:type="auto"/>
          <w:tblCellSpacing w:w="0" w:type="dxa"/>
        </w:trPr>
        <w:tc>
          <w:tcPr>
            <w:tcW w:w="0" w:type="auto"/>
            <w:noWrap w:val="0"/>
            <w:vAlign w:val="center"/>
          </w:tcPr>
          <w:p w14:paraId="259840A5">
            <w:r>
              <w:rPr>
                <w:rStyle w:val="10"/>
                <w:rFonts w:hint="eastAsia"/>
              </w:rPr>
              <w:t>注意事项：</w:t>
            </w:r>
            <w:r>
              <w:rPr>
                <w:rFonts w:hint="eastAsia"/>
              </w:rPr>
              <w:br w:type="textWrapping"/>
            </w:r>
            <w:r>
              <w:rPr>
                <w:rStyle w:val="11"/>
                <w:rFonts w:hint="eastAsia"/>
              </w:rPr>
              <w:t>1. 使用时需均匀全面喷雾，喷湿喷透，施药时喷头上应加装保护罩，避免药液飘移到临近作物。具体施用时，需在当地农技植保部门指导下使用。2. 本品遇土钝化，因此在稀释和配制本品药液时，应使用清水，禁止用浑浊的河水或沟渠水配药，以最大限度地提高除草的效果。3. 施药时穿戴长衣、长裤、帽子、口罩、手套等防护措施，不能吃东西、喝水、吸烟等；施药完毕请立即用肥皂水清洗手和脸。4. 刚施药后的区域防止人畜进入；容器的洗涤用水和残留农药不得流入河流、鱼塘等水域。远离水产养殖区、河塘等水域施药，禁止在河塘等水体清洗施药器具。鸟类保护区附近禁用。蚕室及桑园附近禁用。瓢虫等天敌放飞区域禁用。5. 孕妇及哺乳期的妇女避免接触此药。6. 用过的容器应妥善处理，不可做它用，也不可随意丢弃。7. 使用中有任何不良反应请及时携标签就医。8. 避免与氧化剂接触。</w:t>
            </w:r>
          </w:p>
        </w:tc>
      </w:tr>
      <w:tr w14:paraId="0EAF53BB">
        <w:tblPrEx>
          <w:tblCellMar>
            <w:top w:w="0" w:type="dxa"/>
            <w:left w:w="0" w:type="dxa"/>
            <w:bottom w:w="0" w:type="dxa"/>
            <w:right w:w="0" w:type="dxa"/>
          </w:tblCellMar>
        </w:tblPrEx>
        <w:trPr>
          <w:wBefore w:w="0" w:type="auto"/>
          <w:tblCellSpacing w:w="0" w:type="dxa"/>
        </w:trPr>
        <w:tc>
          <w:tcPr>
            <w:tcW w:w="0" w:type="auto"/>
            <w:noWrap w:val="0"/>
            <w:vAlign w:val="center"/>
          </w:tcPr>
          <w:p w14:paraId="56117037">
            <w:r>
              <w:rPr>
                <w:rStyle w:val="10"/>
                <w:rFonts w:hint="eastAsia"/>
              </w:rPr>
              <w:t>中毒急救措施：</w:t>
            </w:r>
            <w:r>
              <w:rPr>
                <w:rFonts w:hint="eastAsia"/>
              </w:rPr>
              <w:br w:type="textWrapping"/>
            </w:r>
            <w:r>
              <w:rPr>
                <w:rStyle w:val="11"/>
                <w:rFonts w:hint="eastAsia"/>
              </w:rPr>
              <w:t>中毒症状：本品对皮肤和眼睛有刺激作用。如不慎接触皮肤，应立即用大 量清水冲洗；若溅到眼睛中，立即用大量清水冲洗至少15分钟，严重时就医；不慎吸入，应将病人立即移至空气清新处；如不慎误服，立即引吐，并携本标签及时把病人送往医院对症治疗。本品无特效解毒剂。</w:t>
            </w:r>
          </w:p>
        </w:tc>
      </w:tr>
      <w:tr w14:paraId="7F3C4050">
        <w:tblPrEx>
          <w:tblCellMar>
            <w:top w:w="0" w:type="dxa"/>
            <w:left w:w="0" w:type="dxa"/>
            <w:bottom w:w="0" w:type="dxa"/>
            <w:right w:w="0" w:type="dxa"/>
          </w:tblCellMar>
        </w:tblPrEx>
        <w:trPr>
          <w:wBefore w:w="0" w:type="auto"/>
          <w:tblCellSpacing w:w="0" w:type="dxa"/>
        </w:trPr>
        <w:tc>
          <w:tcPr>
            <w:tcW w:w="0" w:type="auto"/>
            <w:noWrap w:val="0"/>
            <w:vAlign w:val="center"/>
          </w:tcPr>
          <w:p w14:paraId="58E2B7F5">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本品应贮存在阴凉、干燥、通风、防雨处，远离火源和热源。置于儿童、无关人员或动物触及不到之处，并加锁。勿与食品、饮料、粮食、饲料等同贮同运。</w:t>
            </w:r>
          </w:p>
        </w:tc>
      </w:tr>
      <w:tr w14:paraId="7BF932E2">
        <w:tblPrEx>
          <w:tblCellMar>
            <w:top w:w="0" w:type="dxa"/>
            <w:left w:w="0" w:type="dxa"/>
            <w:bottom w:w="0" w:type="dxa"/>
            <w:right w:w="0" w:type="dxa"/>
          </w:tblCellMar>
        </w:tblPrEx>
        <w:trPr>
          <w:wBefore w:w="0" w:type="auto"/>
          <w:tblCellSpacing w:w="0" w:type="dxa"/>
        </w:trPr>
        <w:tc>
          <w:tcPr>
            <w:tcW w:w="0" w:type="auto"/>
            <w:noWrap w:val="0"/>
            <w:vAlign w:val="center"/>
          </w:tcPr>
          <w:p w14:paraId="1EE594F2">
            <w:r>
              <w:rPr>
                <w:rStyle w:val="10"/>
                <w:rFonts w:hint="eastAsia"/>
              </w:rPr>
              <w:t>质量保证期：</w:t>
            </w:r>
            <w:r>
              <w:rPr>
                <w:rStyle w:val="11"/>
                <w:rFonts w:hint="eastAsia"/>
              </w:rPr>
              <w:t>2年</w:t>
            </w:r>
          </w:p>
        </w:tc>
      </w:tr>
      <w:tr w14:paraId="4DB41CA4">
        <w:tblPrEx>
          <w:tblCellMar>
            <w:top w:w="0" w:type="dxa"/>
            <w:left w:w="0" w:type="dxa"/>
            <w:bottom w:w="0" w:type="dxa"/>
            <w:right w:w="0" w:type="dxa"/>
          </w:tblCellMar>
        </w:tblPrEx>
        <w:trPr>
          <w:wBefore w:w="0" w:type="auto"/>
          <w:tblCellSpacing w:w="0" w:type="dxa"/>
        </w:trPr>
        <w:tc>
          <w:tcPr>
            <w:tcW w:w="0" w:type="auto"/>
            <w:noWrap w:val="0"/>
            <w:vAlign w:val="center"/>
          </w:tcPr>
          <w:p w14:paraId="5BF74441">
            <w:r>
              <w:rPr>
                <w:rStyle w:val="10"/>
                <w:rFonts w:hint="eastAsia"/>
              </w:rPr>
              <w:t>备注：</w:t>
            </w:r>
            <w:r>
              <w:rPr>
                <w:rFonts w:hint="eastAsia"/>
              </w:rPr>
              <w:br w:type="textWrapping"/>
            </w:r>
            <w:r>
              <w:rPr>
                <w:rStyle w:val="11"/>
                <w:rFonts w:hint="eastAsia"/>
              </w:rPr>
              <w:t>精草铵膦铵盐21.9%。</w:t>
            </w:r>
          </w:p>
        </w:tc>
      </w:tr>
    </w:tbl>
    <w:p w14:paraId="4E4A00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86ABEF">
        <w:tblPrEx>
          <w:tblCellMar>
            <w:top w:w="0" w:type="dxa"/>
            <w:left w:w="0" w:type="dxa"/>
            <w:bottom w:w="0" w:type="dxa"/>
            <w:right w:w="0" w:type="dxa"/>
          </w:tblCellMar>
        </w:tblPrEx>
        <w:trPr>
          <w:wBefore w:w="0" w:type="auto"/>
          <w:tblCellSpacing w:w="0" w:type="dxa"/>
        </w:trPr>
        <w:tc>
          <w:tcPr>
            <w:tcW w:w="0" w:type="auto"/>
            <w:noWrap w:val="0"/>
            <w:vAlign w:val="center"/>
          </w:tcPr>
          <w:p w14:paraId="1A5B6BAD">
            <w:r>
              <w:rPr>
                <w:rStyle w:val="10"/>
                <w:rFonts w:hint="eastAsia"/>
              </w:rPr>
              <w:t>登记证号：</w:t>
            </w:r>
            <w:r>
              <w:rPr>
                <w:rFonts w:hint="eastAsia"/>
              </w:rPr>
              <w:t>PD20212378</w:t>
            </w:r>
          </w:p>
        </w:tc>
      </w:tr>
      <w:tr w14:paraId="1904EE10">
        <w:tblPrEx>
          <w:tblCellMar>
            <w:top w:w="0" w:type="dxa"/>
            <w:left w:w="0" w:type="dxa"/>
            <w:bottom w:w="0" w:type="dxa"/>
            <w:right w:w="0" w:type="dxa"/>
          </w:tblCellMar>
        </w:tblPrEx>
        <w:trPr>
          <w:wBefore w:w="0" w:type="auto"/>
          <w:tblCellSpacing w:w="0" w:type="dxa"/>
        </w:trPr>
        <w:tc>
          <w:tcPr>
            <w:tcW w:w="0" w:type="auto"/>
            <w:noWrap w:val="0"/>
            <w:vAlign w:val="center"/>
          </w:tcPr>
          <w:p w14:paraId="5B57309D">
            <w:r>
              <w:rPr>
                <w:rStyle w:val="10"/>
                <w:rFonts w:hint="eastAsia"/>
              </w:rPr>
              <w:t>登记证持有人：</w:t>
            </w:r>
            <w:r>
              <w:rPr>
                <w:rFonts w:hint="eastAsia"/>
              </w:rPr>
              <w:t>上海悦联生物科技有限公司</w:t>
            </w:r>
          </w:p>
        </w:tc>
      </w:tr>
      <w:tr w14:paraId="31B03CAD">
        <w:tblPrEx>
          <w:tblCellMar>
            <w:top w:w="0" w:type="dxa"/>
            <w:left w:w="0" w:type="dxa"/>
            <w:bottom w:w="0" w:type="dxa"/>
            <w:right w:w="0" w:type="dxa"/>
          </w:tblCellMar>
        </w:tblPrEx>
        <w:trPr>
          <w:wBefore w:w="0" w:type="auto"/>
          <w:tblCellSpacing w:w="0" w:type="dxa"/>
        </w:trPr>
        <w:tc>
          <w:tcPr>
            <w:tcW w:w="0" w:type="auto"/>
            <w:noWrap w:val="0"/>
            <w:vAlign w:val="center"/>
          </w:tcPr>
          <w:p w14:paraId="560DCE2D">
            <w:r>
              <w:rPr>
                <w:rStyle w:val="10"/>
                <w:rFonts w:hint="eastAsia"/>
              </w:rPr>
              <w:t>农药名称：</w:t>
            </w:r>
            <w:r>
              <w:rPr>
                <w:rFonts w:hint="eastAsia"/>
              </w:rPr>
              <w:t>丁醚·噻虫啉</w:t>
            </w:r>
          </w:p>
        </w:tc>
      </w:tr>
      <w:tr w14:paraId="2DBC0D1A">
        <w:tblPrEx>
          <w:tblCellMar>
            <w:top w:w="0" w:type="dxa"/>
            <w:left w:w="0" w:type="dxa"/>
            <w:bottom w:w="0" w:type="dxa"/>
            <w:right w:w="0" w:type="dxa"/>
          </w:tblCellMar>
        </w:tblPrEx>
        <w:trPr>
          <w:wBefore w:w="0" w:type="auto"/>
          <w:tblCellSpacing w:w="0" w:type="dxa"/>
        </w:trPr>
        <w:tc>
          <w:tcPr>
            <w:tcW w:w="0" w:type="auto"/>
            <w:noWrap w:val="0"/>
            <w:vAlign w:val="center"/>
          </w:tcPr>
          <w:p w14:paraId="3E3E9EC3">
            <w:r>
              <w:rPr>
                <w:rStyle w:val="10"/>
                <w:rFonts w:hint="eastAsia"/>
              </w:rPr>
              <w:t>剂型：</w:t>
            </w:r>
            <w:r>
              <w:rPr>
                <w:rFonts w:hint="eastAsia"/>
              </w:rPr>
              <w:t>悬浮剂</w:t>
            </w:r>
          </w:p>
        </w:tc>
      </w:tr>
      <w:tr w14:paraId="0843FF35">
        <w:tblPrEx>
          <w:tblCellMar>
            <w:top w:w="0" w:type="dxa"/>
            <w:left w:w="0" w:type="dxa"/>
            <w:bottom w:w="0" w:type="dxa"/>
            <w:right w:w="0" w:type="dxa"/>
          </w:tblCellMar>
        </w:tblPrEx>
        <w:trPr>
          <w:wBefore w:w="0" w:type="auto"/>
          <w:tblCellSpacing w:w="0" w:type="dxa"/>
        </w:trPr>
        <w:tc>
          <w:tcPr>
            <w:tcW w:w="0" w:type="auto"/>
            <w:noWrap w:val="0"/>
            <w:vAlign w:val="center"/>
          </w:tcPr>
          <w:p w14:paraId="21794A55">
            <w:r>
              <w:rPr>
                <w:rStyle w:val="10"/>
                <w:rFonts w:hint="eastAsia"/>
              </w:rPr>
              <w:t>毒性及其标识：</w:t>
            </w:r>
            <w:r>
              <w:rPr>
                <w:rFonts w:hint="eastAsia"/>
              </w:rPr>
              <w:t xml:space="preserve"> </w:t>
            </w:r>
            <w:r>
              <w:rPr>
                <w:lang/>
              </w:rPr>
              <w:drawing>
                <wp:inline distT="0" distB="0" distL="114300" distR="114300">
                  <wp:extent cx="476250" cy="323850"/>
                  <wp:effectExtent l="0" t="0" r="0" b="0"/>
                  <wp:docPr id="287" name="图片 2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19ED06">
        <w:tblPrEx>
          <w:tblCellMar>
            <w:top w:w="0" w:type="dxa"/>
            <w:left w:w="0" w:type="dxa"/>
            <w:bottom w:w="0" w:type="dxa"/>
            <w:right w:w="0" w:type="dxa"/>
          </w:tblCellMar>
        </w:tblPrEx>
        <w:trPr>
          <w:wBefore w:w="0" w:type="auto"/>
          <w:tblCellSpacing w:w="0" w:type="dxa"/>
        </w:trPr>
        <w:tc>
          <w:tcPr>
            <w:tcW w:w="0" w:type="auto"/>
            <w:noWrap w:val="0"/>
            <w:vAlign w:val="center"/>
          </w:tcPr>
          <w:p w14:paraId="3D1498A9">
            <w:r>
              <w:rPr>
                <w:rStyle w:val="10"/>
                <w:rFonts w:hint="eastAsia"/>
              </w:rPr>
              <w:t>总有效成分含量：</w:t>
            </w:r>
            <w:r>
              <w:rPr>
                <w:rFonts w:hint="eastAsia"/>
              </w:rPr>
              <w:t>40%</w:t>
            </w:r>
          </w:p>
        </w:tc>
      </w:tr>
      <w:tr w14:paraId="2F94ED94">
        <w:tblPrEx>
          <w:tblCellMar>
            <w:top w:w="0" w:type="dxa"/>
            <w:left w:w="0" w:type="dxa"/>
            <w:bottom w:w="0" w:type="dxa"/>
            <w:right w:w="0" w:type="dxa"/>
          </w:tblCellMar>
        </w:tblPrEx>
        <w:trPr>
          <w:wBefore w:w="0" w:type="auto"/>
          <w:tblCellSpacing w:w="0" w:type="dxa"/>
        </w:trPr>
        <w:tc>
          <w:tcPr>
            <w:tcW w:w="0" w:type="auto"/>
            <w:noWrap w:val="0"/>
            <w:vAlign w:val="center"/>
          </w:tcPr>
          <w:p w14:paraId="75C8AB44">
            <w:r>
              <w:rPr>
                <w:rFonts w:hint="eastAsia"/>
              </w:rPr>
              <w:t xml:space="preserve">有效成分及其含量： </w:t>
            </w:r>
          </w:p>
          <w:p w14:paraId="4D9D74E0">
            <w:r>
              <w:rPr>
                <w:rFonts w:hint="eastAsia"/>
              </w:rPr>
              <w:t xml:space="preserve">    噻虫啉8%    丁醚脲32%    </w:t>
            </w:r>
          </w:p>
        </w:tc>
      </w:tr>
      <w:tr w14:paraId="3E8657E6">
        <w:tblPrEx>
          <w:tblCellMar>
            <w:top w:w="0" w:type="dxa"/>
            <w:left w:w="0" w:type="dxa"/>
            <w:bottom w:w="0" w:type="dxa"/>
            <w:right w:w="0" w:type="dxa"/>
          </w:tblCellMar>
        </w:tblPrEx>
        <w:trPr>
          <w:wBefore w:w="0" w:type="auto"/>
          <w:tblCellSpacing w:w="0" w:type="dxa"/>
        </w:trPr>
        <w:tc>
          <w:tcPr>
            <w:tcW w:w="0" w:type="auto"/>
            <w:noWrap w:val="0"/>
            <w:vAlign w:val="center"/>
          </w:tcPr>
          <w:p w14:paraId="63D678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C54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560E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BB441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CEB07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ACD537">
                  <w:r>
                    <w:rPr>
                      <w:rStyle w:val="11"/>
                      <w:rFonts w:hint="eastAsia"/>
                    </w:rPr>
                    <w:t>施用方式</w:t>
                  </w:r>
                </w:p>
              </w:tc>
            </w:tr>
            <w:tr w14:paraId="6C0D86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91FDFC">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90A0D7">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109F58">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1D926B">
                  <w:r>
                    <w:rPr>
                      <w:rStyle w:val="11"/>
                      <w:rFonts w:hint="eastAsia"/>
                    </w:rPr>
                    <w:t>喷雾</w:t>
                  </w:r>
                </w:p>
              </w:tc>
            </w:tr>
          </w:tbl>
          <w:p w14:paraId="1586AC6E">
            <w:pPr>
              <w:rPr>
                <w:rFonts w:ascii="Times New Roman" w:hAnsi="Times New Roman" w:cs="Times New Roman"/>
                <w:sz w:val="20"/>
                <w:szCs w:val="20"/>
              </w:rPr>
            </w:pPr>
          </w:p>
        </w:tc>
      </w:tr>
      <w:tr w14:paraId="3BF5FE08">
        <w:tblPrEx>
          <w:tblCellMar>
            <w:top w:w="0" w:type="dxa"/>
            <w:left w:w="0" w:type="dxa"/>
            <w:bottom w:w="0" w:type="dxa"/>
            <w:right w:w="0" w:type="dxa"/>
          </w:tblCellMar>
        </w:tblPrEx>
        <w:trPr>
          <w:wBefore w:w="0" w:type="auto"/>
          <w:tblCellSpacing w:w="0" w:type="dxa"/>
        </w:trPr>
        <w:tc>
          <w:tcPr>
            <w:tcW w:w="0" w:type="auto"/>
            <w:noWrap w:val="0"/>
            <w:vAlign w:val="center"/>
          </w:tcPr>
          <w:p w14:paraId="527B14F2">
            <w:r>
              <w:rPr>
                <w:rStyle w:val="10"/>
                <w:rFonts w:hint="eastAsia"/>
              </w:rPr>
              <w:t>使用技术要求:</w:t>
            </w:r>
            <w:r>
              <w:rPr>
                <w:rFonts w:hint="eastAsia"/>
              </w:rPr>
              <w:br w:type="textWrapping"/>
            </w:r>
            <w:r>
              <w:rPr>
                <w:rStyle w:val="11"/>
                <w:rFonts w:hint="eastAsia"/>
              </w:rPr>
              <w:t>1.应于茶小绿叶蝉若虫期喷雾处理； 2.大风天或预计1小时内降雨，请勿施药； 3.本品在茶树上每季使用1次。</w:t>
            </w:r>
          </w:p>
        </w:tc>
      </w:tr>
      <w:tr w14:paraId="018E5223">
        <w:tblPrEx>
          <w:tblCellMar>
            <w:top w:w="0" w:type="dxa"/>
            <w:left w:w="0" w:type="dxa"/>
            <w:bottom w:w="0" w:type="dxa"/>
            <w:right w:w="0" w:type="dxa"/>
          </w:tblCellMar>
        </w:tblPrEx>
        <w:trPr>
          <w:wBefore w:w="0" w:type="auto"/>
          <w:tblCellSpacing w:w="0" w:type="dxa"/>
        </w:trPr>
        <w:tc>
          <w:tcPr>
            <w:tcW w:w="0" w:type="auto"/>
            <w:noWrap w:val="0"/>
            <w:vAlign w:val="center"/>
          </w:tcPr>
          <w:p w14:paraId="0FDE025B">
            <w:r>
              <w:rPr>
                <w:rStyle w:val="10"/>
                <w:rFonts w:hint="eastAsia"/>
              </w:rPr>
              <w:t>产品性能:</w:t>
            </w:r>
            <w:r>
              <w:rPr>
                <w:rFonts w:hint="eastAsia"/>
              </w:rPr>
              <w:br w:type="textWrapping"/>
            </w:r>
            <w:r>
              <w:rPr>
                <w:rStyle w:val="11"/>
                <w:rFonts w:hint="eastAsia"/>
              </w:rPr>
              <w:t>本品是由硫脲类杀虫剂丁醚脲和新型氯代烟碱类杀虫剂噻虫啉混配而成，具有触杀、胃毒、内吸作用，可用于刺吸式口器害虫的防治。</w:t>
            </w:r>
          </w:p>
        </w:tc>
      </w:tr>
      <w:tr w14:paraId="1147ADCF">
        <w:tblPrEx>
          <w:tblCellMar>
            <w:top w:w="0" w:type="dxa"/>
            <w:left w:w="0" w:type="dxa"/>
            <w:bottom w:w="0" w:type="dxa"/>
            <w:right w:w="0" w:type="dxa"/>
          </w:tblCellMar>
        </w:tblPrEx>
        <w:trPr>
          <w:wBefore w:w="0" w:type="auto"/>
          <w:tblCellSpacing w:w="0" w:type="dxa"/>
        </w:trPr>
        <w:tc>
          <w:tcPr>
            <w:tcW w:w="0" w:type="auto"/>
            <w:noWrap w:val="0"/>
            <w:vAlign w:val="center"/>
          </w:tcPr>
          <w:p w14:paraId="52622C7A">
            <w:r>
              <w:rPr>
                <w:rStyle w:val="10"/>
                <w:rFonts w:hint="eastAsia"/>
              </w:rPr>
              <w:t>注意事项：</w:t>
            </w:r>
            <w:r>
              <w:rPr>
                <w:rFonts w:hint="eastAsia"/>
              </w:rPr>
              <w:br w:type="textWrapping"/>
            </w:r>
            <w:r>
              <w:rPr>
                <w:rStyle w:val="11"/>
                <w:rFonts w:hint="eastAsia"/>
              </w:rPr>
              <w:t>1．使用本品时应采取相应的安全防护措施，穿戴长衣、长裤、帽子、口罩、手套等安全防护措施。避免皮肤接触及口鼻吸入药液。使用中不可吸烟、饮水、吃东西等；使用后及时清洗手、脸等暴露部位皮肤并更换衣物。 2．本品对水生生物有毒，水产养殖区、河塘等水体附近禁用，禁止在河塘等水域清洗施药器具。本品对蜜蜂、家蚕毒性较高，蚕室和桑园附近禁用，施药期间应密切注意对附近蜂群的影响，赤眼蜂等天敌放飞区域禁用。 3．建议与其他作用机制不同的杀虫剂轮换使用，以延缓抗性产生。 4．使用后的包装物应遵照农药包装废弃物回收准则的相关规定处理，不可作他用，也不可随意丢弃。 5．避免孕妇及哺乳期妇女接触。使用中有任何不良反应请及时就医。</w:t>
            </w:r>
          </w:p>
        </w:tc>
      </w:tr>
      <w:tr w14:paraId="7C323229">
        <w:tblPrEx>
          <w:tblCellMar>
            <w:top w:w="0" w:type="dxa"/>
            <w:left w:w="0" w:type="dxa"/>
            <w:bottom w:w="0" w:type="dxa"/>
            <w:right w:w="0" w:type="dxa"/>
          </w:tblCellMar>
        </w:tblPrEx>
        <w:trPr>
          <w:wBefore w:w="0" w:type="auto"/>
          <w:tblCellSpacing w:w="0" w:type="dxa"/>
        </w:trPr>
        <w:tc>
          <w:tcPr>
            <w:tcW w:w="0" w:type="auto"/>
            <w:noWrap w:val="0"/>
            <w:vAlign w:val="center"/>
          </w:tcPr>
          <w:p w14:paraId="4685F2BA">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1）皮肤接触：脱去污染的衣物，用软布去除沾染农药，立即用大量清水和肥皂冲洗。 2）眼睛溅入：立即用流动清水冲洗不少于15分钟，携带标签到医院就诊。 3）吸入：立即离开施药现场，转移到空气清新处。 4）误食：停止服用，用清水充分漱口后，立即携带标签到医院就诊。</w:t>
            </w:r>
          </w:p>
        </w:tc>
      </w:tr>
      <w:tr w14:paraId="5061B401">
        <w:tblPrEx>
          <w:tblCellMar>
            <w:top w:w="0" w:type="dxa"/>
            <w:left w:w="0" w:type="dxa"/>
            <w:bottom w:w="0" w:type="dxa"/>
            <w:right w:w="0" w:type="dxa"/>
          </w:tblCellMar>
        </w:tblPrEx>
        <w:trPr>
          <w:wBefore w:w="0" w:type="auto"/>
          <w:tblCellSpacing w:w="0" w:type="dxa"/>
        </w:trPr>
        <w:tc>
          <w:tcPr>
            <w:tcW w:w="0" w:type="auto"/>
            <w:noWrap w:val="0"/>
            <w:vAlign w:val="center"/>
          </w:tcPr>
          <w:p w14:paraId="17CA53AD">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2276E078">
        <w:tblPrEx>
          <w:tblCellMar>
            <w:top w:w="0" w:type="dxa"/>
            <w:left w:w="0" w:type="dxa"/>
            <w:bottom w:w="0" w:type="dxa"/>
            <w:right w:w="0" w:type="dxa"/>
          </w:tblCellMar>
        </w:tblPrEx>
        <w:trPr>
          <w:wBefore w:w="0" w:type="auto"/>
          <w:tblCellSpacing w:w="0" w:type="dxa"/>
        </w:trPr>
        <w:tc>
          <w:tcPr>
            <w:tcW w:w="0" w:type="auto"/>
            <w:noWrap w:val="0"/>
            <w:vAlign w:val="center"/>
          </w:tcPr>
          <w:p w14:paraId="7C59C88B">
            <w:r>
              <w:rPr>
                <w:rStyle w:val="10"/>
                <w:rFonts w:hint="eastAsia"/>
              </w:rPr>
              <w:t>质量保证期：</w:t>
            </w:r>
            <w:r>
              <w:rPr>
                <w:rStyle w:val="11"/>
                <w:rFonts w:hint="eastAsia"/>
              </w:rPr>
              <w:t>2年</w:t>
            </w:r>
          </w:p>
        </w:tc>
      </w:tr>
      <w:tr w14:paraId="1A2ADA0E">
        <w:tblPrEx>
          <w:tblCellMar>
            <w:top w:w="0" w:type="dxa"/>
            <w:left w:w="0" w:type="dxa"/>
            <w:bottom w:w="0" w:type="dxa"/>
            <w:right w:w="0" w:type="dxa"/>
          </w:tblCellMar>
        </w:tblPrEx>
        <w:trPr>
          <w:wBefore w:w="0" w:type="auto"/>
          <w:tblCellSpacing w:w="0" w:type="dxa"/>
        </w:trPr>
        <w:tc>
          <w:tcPr>
            <w:tcW w:w="0" w:type="auto"/>
            <w:noWrap w:val="0"/>
            <w:vAlign w:val="center"/>
          </w:tcPr>
          <w:p w14:paraId="7011B861">
            <w:r>
              <w:rPr>
                <w:rStyle w:val="10"/>
                <w:rFonts w:hint="eastAsia"/>
              </w:rPr>
              <w:t>备注：</w:t>
            </w:r>
          </w:p>
        </w:tc>
      </w:tr>
    </w:tbl>
    <w:p w14:paraId="076F08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3EE907">
        <w:tblPrEx>
          <w:tblCellMar>
            <w:top w:w="0" w:type="dxa"/>
            <w:left w:w="0" w:type="dxa"/>
            <w:bottom w:w="0" w:type="dxa"/>
            <w:right w:w="0" w:type="dxa"/>
          </w:tblCellMar>
        </w:tblPrEx>
        <w:trPr>
          <w:wBefore w:w="0" w:type="auto"/>
          <w:tblCellSpacing w:w="0" w:type="dxa"/>
        </w:trPr>
        <w:tc>
          <w:tcPr>
            <w:tcW w:w="0" w:type="auto"/>
            <w:noWrap w:val="0"/>
            <w:vAlign w:val="center"/>
          </w:tcPr>
          <w:p w14:paraId="2636EC94">
            <w:r>
              <w:rPr>
                <w:rStyle w:val="10"/>
                <w:rFonts w:hint="eastAsia"/>
              </w:rPr>
              <w:t>登记证号：</w:t>
            </w:r>
            <w:r>
              <w:rPr>
                <w:rFonts w:hint="eastAsia"/>
              </w:rPr>
              <w:t>WP20210413</w:t>
            </w:r>
          </w:p>
        </w:tc>
      </w:tr>
      <w:tr w14:paraId="097970CC">
        <w:tblPrEx>
          <w:tblCellMar>
            <w:top w:w="0" w:type="dxa"/>
            <w:left w:w="0" w:type="dxa"/>
            <w:bottom w:w="0" w:type="dxa"/>
            <w:right w:w="0" w:type="dxa"/>
          </w:tblCellMar>
        </w:tblPrEx>
        <w:trPr>
          <w:wBefore w:w="0" w:type="auto"/>
          <w:tblCellSpacing w:w="0" w:type="dxa"/>
        </w:trPr>
        <w:tc>
          <w:tcPr>
            <w:tcW w:w="0" w:type="auto"/>
            <w:noWrap w:val="0"/>
            <w:vAlign w:val="center"/>
          </w:tcPr>
          <w:p w14:paraId="532570B9">
            <w:r>
              <w:rPr>
                <w:rStyle w:val="10"/>
                <w:rFonts w:hint="eastAsia"/>
              </w:rPr>
              <w:t>登记证持有人：</w:t>
            </w:r>
            <w:r>
              <w:rPr>
                <w:rFonts w:hint="eastAsia"/>
              </w:rPr>
              <w:t>广东莱雅新化工科技有限公司</w:t>
            </w:r>
          </w:p>
        </w:tc>
      </w:tr>
      <w:tr w14:paraId="2D95B7B7">
        <w:tblPrEx>
          <w:tblCellMar>
            <w:top w:w="0" w:type="dxa"/>
            <w:left w:w="0" w:type="dxa"/>
            <w:bottom w:w="0" w:type="dxa"/>
            <w:right w:w="0" w:type="dxa"/>
          </w:tblCellMar>
        </w:tblPrEx>
        <w:trPr>
          <w:wBefore w:w="0" w:type="auto"/>
          <w:tblCellSpacing w:w="0" w:type="dxa"/>
        </w:trPr>
        <w:tc>
          <w:tcPr>
            <w:tcW w:w="0" w:type="auto"/>
            <w:noWrap w:val="0"/>
            <w:vAlign w:val="center"/>
          </w:tcPr>
          <w:p w14:paraId="2BBC8B90">
            <w:r>
              <w:rPr>
                <w:rStyle w:val="10"/>
                <w:rFonts w:hint="eastAsia"/>
              </w:rPr>
              <w:t>农药名称：</w:t>
            </w:r>
            <w:r>
              <w:rPr>
                <w:rFonts w:hint="eastAsia"/>
              </w:rPr>
              <w:t>杀虫气雾剂</w:t>
            </w:r>
          </w:p>
        </w:tc>
      </w:tr>
      <w:tr w14:paraId="2D108317">
        <w:tblPrEx>
          <w:tblCellMar>
            <w:top w:w="0" w:type="dxa"/>
            <w:left w:w="0" w:type="dxa"/>
            <w:bottom w:w="0" w:type="dxa"/>
            <w:right w:w="0" w:type="dxa"/>
          </w:tblCellMar>
        </w:tblPrEx>
        <w:trPr>
          <w:wBefore w:w="0" w:type="auto"/>
          <w:tblCellSpacing w:w="0" w:type="dxa"/>
        </w:trPr>
        <w:tc>
          <w:tcPr>
            <w:tcW w:w="0" w:type="auto"/>
            <w:noWrap w:val="0"/>
            <w:vAlign w:val="center"/>
          </w:tcPr>
          <w:p w14:paraId="2F99B641">
            <w:r>
              <w:rPr>
                <w:rStyle w:val="10"/>
                <w:rFonts w:hint="eastAsia"/>
              </w:rPr>
              <w:t>剂型：</w:t>
            </w:r>
            <w:r>
              <w:rPr>
                <w:rFonts w:hint="eastAsia"/>
              </w:rPr>
              <w:t>气雾剂</w:t>
            </w:r>
          </w:p>
        </w:tc>
      </w:tr>
      <w:tr w14:paraId="66203E0D">
        <w:tblPrEx>
          <w:tblCellMar>
            <w:top w:w="0" w:type="dxa"/>
            <w:left w:w="0" w:type="dxa"/>
            <w:bottom w:w="0" w:type="dxa"/>
            <w:right w:w="0" w:type="dxa"/>
          </w:tblCellMar>
        </w:tblPrEx>
        <w:trPr>
          <w:wBefore w:w="0" w:type="auto"/>
          <w:tblCellSpacing w:w="0" w:type="dxa"/>
        </w:trPr>
        <w:tc>
          <w:tcPr>
            <w:tcW w:w="0" w:type="auto"/>
            <w:noWrap w:val="0"/>
            <w:vAlign w:val="center"/>
          </w:tcPr>
          <w:p w14:paraId="02B336A1">
            <w:r>
              <w:rPr>
                <w:rStyle w:val="10"/>
                <w:rFonts w:hint="eastAsia"/>
              </w:rPr>
              <w:t>毒性及其标识：</w:t>
            </w:r>
            <w:r>
              <w:rPr>
                <w:rFonts w:hint="eastAsia"/>
              </w:rPr>
              <w:t xml:space="preserve"> 微毒 </w:t>
            </w:r>
          </w:p>
        </w:tc>
      </w:tr>
      <w:tr w14:paraId="4B48BA69">
        <w:tblPrEx>
          <w:tblCellMar>
            <w:top w:w="0" w:type="dxa"/>
            <w:left w:w="0" w:type="dxa"/>
            <w:bottom w:w="0" w:type="dxa"/>
            <w:right w:w="0" w:type="dxa"/>
          </w:tblCellMar>
        </w:tblPrEx>
        <w:trPr>
          <w:wBefore w:w="0" w:type="auto"/>
          <w:tblCellSpacing w:w="0" w:type="dxa"/>
        </w:trPr>
        <w:tc>
          <w:tcPr>
            <w:tcW w:w="0" w:type="auto"/>
            <w:noWrap w:val="0"/>
            <w:vAlign w:val="center"/>
          </w:tcPr>
          <w:p w14:paraId="4A0419AD">
            <w:r>
              <w:rPr>
                <w:rStyle w:val="10"/>
                <w:rFonts w:hint="eastAsia"/>
              </w:rPr>
              <w:t>总有效成分含量：</w:t>
            </w:r>
            <w:r>
              <w:rPr>
                <w:rFonts w:hint="eastAsia"/>
              </w:rPr>
              <w:t>0.4%</w:t>
            </w:r>
          </w:p>
        </w:tc>
      </w:tr>
      <w:tr w14:paraId="59899F50">
        <w:tblPrEx>
          <w:tblCellMar>
            <w:top w:w="0" w:type="dxa"/>
            <w:left w:w="0" w:type="dxa"/>
            <w:bottom w:w="0" w:type="dxa"/>
            <w:right w:w="0" w:type="dxa"/>
          </w:tblCellMar>
        </w:tblPrEx>
        <w:trPr>
          <w:wBefore w:w="0" w:type="auto"/>
          <w:tblCellSpacing w:w="0" w:type="dxa"/>
        </w:trPr>
        <w:tc>
          <w:tcPr>
            <w:tcW w:w="0" w:type="auto"/>
            <w:noWrap w:val="0"/>
            <w:vAlign w:val="center"/>
          </w:tcPr>
          <w:p w14:paraId="7A522AF2">
            <w:r>
              <w:rPr>
                <w:rFonts w:hint="eastAsia"/>
              </w:rPr>
              <w:t xml:space="preserve">有效成分及其含量： </w:t>
            </w:r>
          </w:p>
          <w:p w14:paraId="648E460F">
            <w:r>
              <w:rPr>
                <w:rFonts w:hint="eastAsia"/>
              </w:rPr>
              <w:t xml:space="preserve">    四氟苯菊酯0.1%    氯菊酯0.3%    </w:t>
            </w:r>
          </w:p>
        </w:tc>
      </w:tr>
      <w:tr w14:paraId="1B2BD50E">
        <w:tblPrEx>
          <w:tblCellMar>
            <w:top w:w="0" w:type="dxa"/>
            <w:left w:w="0" w:type="dxa"/>
            <w:bottom w:w="0" w:type="dxa"/>
            <w:right w:w="0" w:type="dxa"/>
          </w:tblCellMar>
        </w:tblPrEx>
        <w:trPr>
          <w:wBefore w:w="0" w:type="auto"/>
          <w:tblCellSpacing w:w="0" w:type="dxa"/>
        </w:trPr>
        <w:tc>
          <w:tcPr>
            <w:tcW w:w="0" w:type="auto"/>
            <w:noWrap w:val="0"/>
            <w:vAlign w:val="center"/>
          </w:tcPr>
          <w:p w14:paraId="2F24B92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6148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D234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8B73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160B4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210785">
                  <w:r>
                    <w:rPr>
                      <w:rStyle w:val="11"/>
                      <w:rFonts w:hint="eastAsia"/>
                    </w:rPr>
                    <w:t>施用方式</w:t>
                  </w:r>
                </w:p>
              </w:tc>
            </w:tr>
            <w:tr w14:paraId="465273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AEA49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BF7446">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4234B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7F0182">
                  <w:r>
                    <w:rPr>
                      <w:rStyle w:val="11"/>
                      <w:rFonts w:hint="eastAsia"/>
                    </w:rPr>
                    <w:t>空间喷雾</w:t>
                  </w:r>
                </w:p>
              </w:tc>
            </w:tr>
          </w:tbl>
          <w:p w14:paraId="6AF4B8A1">
            <w:pPr>
              <w:rPr>
                <w:rFonts w:ascii="Times New Roman" w:hAnsi="Times New Roman" w:cs="Times New Roman"/>
                <w:sz w:val="20"/>
                <w:szCs w:val="20"/>
              </w:rPr>
            </w:pPr>
          </w:p>
        </w:tc>
      </w:tr>
      <w:tr w14:paraId="53F6F774">
        <w:tblPrEx>
          <w:tblCellMar>
            <w:top w:w="0" w:type="dxa"/>
            <w:left w:w="0" w:type="dxa"/>
            <w:bottom w:w="0" w:type="dxa"/>
            <w:right w:w="0" w:type="dxa"/>
          </w:tblCellMar>
        </w:tblPrEx>
        <w:trPr>
          <w:wBefore w:w="0" w:type="auto"/>
          <w:tblCellSpacing w:w="0" w:type="dxa"/>
        </w:trPr>
        <w:tc>
          <w:tcPr>
            <w:tcW w:w="0" w:type="auto"/>
            <w:noWrap w:val="0"/>
            <w:vAlign w:val="center"/>
          </w:tcPr>
          <w:p w14:paraId="7006BC4B">
            <w:r>
              <w:rPr>
                <w:rStyle w:val="10"/>
                <w:rFonts w:hint="eastAsia"/>
              </w:rPr>
              <w:t>使用技术要求:</w:t>
            </w:r>
            <w:r>
              <w:rPr>
                <w:rFonts w:hint="eastAsia"/>
              </w:rPr>
              <w:br w:type="textWrapping"/>
            </w:r>
            <w:r>
              <w:rPr>
                <w:rStyle w:val="11"/>
                <w:rFonts w:hint="eastAsia"/>
              </w:rPr>
              <w:t>1、用前先摇匀，罐体直立喷射，不可倒置罐喷射。 2、驱杀蚊、蝇时，根据房间面积向空间适量喷雾。驱杀蜚蠊（俗称蟑螂）时，向其出没或栖息处适量喷雾。 3、使用后人、畜立即离开房间，关闭门窗，20分钟后打开门窗，充分通风后方可再次进入房间。</w:t>
            </w:r>
          </w:p>
        </w:tc>
      </w:tr>
      <w:tr w14:paraId="2782CE38">
        <w:tblPrEx>
          <w:tblCellMar>
            <w:top w:w="0" w:type="dxa"/>
            <w:left w:w="0" w:type="dxa"/>
            <w:bottom w:w="0" w:type="dxa"/>
            <w:right w:w="0" w:type="dxa"/>
          </w:tblCellMar>
        </w:tblPrEx>
        <w:trPr>
          <w:wBefore w:w="0" w:type="auto"/>
          <w:tblCellSpacing w:w="0" w:type="dxa"/>
        </w:trPr>
        <w:tc>
          <w:tcPr>
            <w:tcW w:w="0" w:type="auto"/>
            <w:noWrap w:val="0"/>
            <w:vAlign w:val="center"/>
          </w:tcPr>
          <w:p w14:paraId="5A0F34FE">
            <w:r>
              <w:rPr>
                <w:rStyle w:val="10"/>
                <w:rFonts w:hint="eastAsia"/>
              </w:rPr>
              <w:t>产品性能:</w:t>
            </w:r>
            <w:r>
              <w:rPr>
                <w:rFonts w:hint="eastAsia"/>
              </w:rPr>
              <w:br w:type="textWrapping"/>
            </w:r>
            <w:r>
              <w:rPr>
                <w:rStyle w:val="11"/>
                <w:rFonts w:hint="eastAsia"/>
              </w:rPr>
              <w:t>本产品采用四氟苯菊酯和氯菊酯为有效成分配制而成，能有效驱杀蚊、蝇、蜚蠊（蟑螂），适合于家庭、宾馆、办公室等室内场所使用。</w:t>
            </w:r>
          </w:p>
        </w:tc>
      </w:tr>
      <w:tr w14:paraId="565BDAD2">
        <w:tblPrEx>
          <w:tblCellMar>
            <w:top w:w="0" w:type="dxa"/>
            <w:left w:w="0" w:type="dxa"/>
            <w:bottom w:w="0" w:type="dxa"/>
            <w:right w:w="0" w:type="dxa"/>
          </w:tblCellMar>
        </w:tblPrEx>
        <w:trPr>
          <w:wBefore w:w="0" w:type="auto"/>
          <w:tblCellSpacing w:w="0" w:type="dxa"/>
        </w:trPr>
        <w:tc>
          <w:tcPr>
            <w:tcW w:w="0" w:type="auto"/>
            <w:noWrap w:val="0"/>
            <w:vAlign w:val="center"/>
          </w:tcPr>
          <w:p w14:paraId="003FF87F">
            <w:r>
              <w:rPr>
                <w:rStyle w:val="10"/>
                <w:rFonts w:hint="eastAsia"/>
              </w:rPr>
              <w:t>注意事项：</w:t>
            </w:r>
            <w:r>
              <w:rPr>
                <w:rFonts w:hint="eastAsia"/>
              </w:rPr>
              <w:br w:type="textWrapping"/>
            </w:r>
            <w:r>
              <w:rPr>
                <w:rStyle w:val="11"/>
                <w:rFonts w:hint="eastAsia"/>
              </w:rPr>
              <w:t>1、请按指示使用，置于儿童接触不到的地方，远离儿童。 2、使用后注意通风。勿倒置使用。用后洗手。勿向人体及食物喷雾。 3、本品对鱼、蚕有毒，蚕室内及其附近禁用。 4、过敏者禁用。使用中有任何不良反应请及时就医。 5、本品属压力包装，切勿毁坏及焚烧，勿近火喷射，空罐勿投入火中。 6、切勿撞击，切勿空罐再次充装，切勿将罐体戳破。 7、避免孕妇和哺乳期妇女接触。</w:t>
            </w:r>
          </w:p>
        </w:tc>
      </w:tr>
      <w:tr w14:paraId="5F921457">
        <w:tblPrEx>
          <w:tblCellMar>
            <w:top w:w="0" w:type="dxa"/>
            <w:left w:w="0" w:type="dxa"/>
            <w:bottom w:w="0" w:type="dxa"/>
            <w:right w:w="0" w:type="dxa"/>
          </w:tblCellMar>
        </w:tblPrEx>
        <w:trPr>
          <w:wBefore w:w="0" w:type="auto"/>
          <w:tblCellSpacing w:w="0" w:type="dxa"/>
        </w:trPr>
        <w:tc>
          <w:tcPr>
            <w:tcW w:w="0" w:type="auto"/>
            <w:noWrap w:val="0"/>
            <w:vAlign w:val="center"/>
          </w:tcPr>
          <w:p w14:paraId="60ABEB66">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4、误食：立即停止服用，用清水充分漱口后，立即携带农药标签到医院就诊。</w:t>
            </w:r>
          </w:p>
        </w:tc>
      </w:tr>
      <w:tr w14:paraId="39CD3534">
        <w:tblPrEx>
          <w:tblCellMar>
            <w:top w:w="0" w:type="dxa"/>
            <w:left w:w="0" w:type="dxa"/>
            <w:bottom w:w="0" w:type="dxa"/>
            <w:right w:w="0" w:type="dxa"/>
          </w:tblCellMar>
        </w:tblPrEx>
        <w:trPr>
          <w:wBefore w:w="0" w:type="auto"/>
          <w:tblCellSpacing w:w="0" w:type="dxa"/>
        </w:trPr>
        <w:tc>
          <w:tcPr>
            <w:tcW w:w="0" w:type="auto"/>
            <w:noWrap w:val="0"/>
            <w:vAlign w:val="center"/>
          </w:tcPr>
          <w:p w14:paraId="21A45C67">
            <w:r>
              <w:rPr>
                <w:rStyle w:val="10"/>
                <w:rFonts w:hint="eastAsia"/>
              </w:rPr>
              <w:t>储存和运输方法：</w:t>
            </w:r>
            <w:r>
              <w:rPr>
                <w:rFonts w:hint="eastAsia"/>
              </w:rPr>
              <w:br w:type="textWrapping"/>
            </w:r>
            <w:r>
              <w:rPr>
                <w:rStyle w:val="11"/>
                <w:rFonts w:hint="eastAsia"/>
              </w:rPr>
              <w:t>本品应置于50℃以下通风、阴凉、干燥、防雨处，远离火源或热源；置于儿童触及不到之处；勿与食品、种子、饮料、饲料、粮食及易燃易爆品同贮同运。搬运时要轻取轻放，防止猛烈碰撞、日晒、重压。</w:t>
            </w:r>
          </w:p>
        </w:tc>
      </w:tr>
      <w:tr w14:paraId="60CA04CD">
        <w:tblPrEx>
          <w:tblCellMar>
            <w:top w:w="0" w:type="dxa"/>
            <w:left w:w="0" w:type="dxa"/>
            <w:bottom w:w="0" w:type="dxa"/>
            <w:right w:w="0" w:type="dxa"/>
          </w:tblCellMar>
        </w:tblPrEx>
        <w:trPr>
          <w:wBefore w:w="0" w:type="auto"/>
          <w:tblCellSpacing w:w="0" w:type="dxa"/>
        </w:trPr>
        <w:tc>
          <w:tcPr>
            <w:tcW w:w="0" w:type="auto"/>
            <w:noWrap w:val="0"/>
            <w:vAlign w:val="center"/>
          </w:tcPr>
          <w:p w14:paraId="454A87AE">
            <w:r>
              <w:rPr>
                <w:rStyle w:val="10"/>
                <w:rFonts w:hint="eastAsia"/>
              </w:rPr>
              <w:t>质量保证期：</w:t>
            </w:r>
            <w:r>
              <w:rPr>
                <w:rStyle w:val="11"/>
                <w:rFonts w:hint="eastAsia"/>
              </w:rPr>
              <w:t>2年</w:t>
            </w:r>
          </w:p>
        </w:tc>
      </w:tr>
      <w:tr w14:paraId="28C97F3D">
        <w:tblPrEx>
          <w:tblCellMar>
            <w:top w:w="0" w:type="dxa"/>
            <w:left w:w="0" w:type="dxa"/>
            <w:bottom w:w="0" w:type="dxa"/>
            <w:right w:w="0" w:type="dxa"/>
          </w:tblCellMar>
        </w:tblPrEx>
        <w:trPr>
          <w:wBefore w:w="0" w:type="auto"/>
          <w:tblCellSpacing w:w="0" w:type="dxa"/>
        </w:trPr>
        <w:tc>
          <w:tcPr>
            <w:tcW w:w="0" w:type="auto"/>
            <w:noWrap w:val="0"/>
            <w:vAlign w:val="center"/>
          </w:tcPr>
          <w:p w14:paraId="60C84703">
            <w:r>
              <w:rPr>
                <w:rStyle w:val="10"/>
                <w:rFonts w:hint="eastAsia"/>
              </w:rPr>
              <w:t>备注：</w:t>
            </w:r>
          </w:p>
        </w:tc>
      </w:tr>
    </w:tbl>
    <w:p w14:paraId="6DF6B2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FF92E1">
        <w:tblPrEx>
          <w:tblCellMar>
            <w:top w:w="0" w:type="dxa"/>
            <w:left w:w="0" w:type="dxa"/>
            <w:bottom w:w="0" w:type="dxa"/>
            <w:right w:w="0" w:type="dxa"/>
          </w:tblCellMar>
        </w:tblPrEx>
        <w:trPr>
          <w:wBefore w:w="0" w:type="auto"/>
          <w:tblCellSpacing w:w="0" w:type="dxa"/>
        </w:trPr>
        <w:tc>
          <w:tcPr>
            <w:tcW w:w="0" w:type="auto"/>
            <w:noWrap w:val="0"/>
            <w:vAlign w:val="center"/>
          </w:tcPr>
          <w:p w14:paraId="3BDF09F1">
            <w:r>
              <w:rPr>
                <w:rStyle w:val="10"/>
                <w:rFonts w:hint="eastAsia"/>
              </w:rPr>
              <w:t>登记证号：</w:t>
            </w:r>
            <w:r>
              <w:rPr>
                <w:rFonts w:hint="eastAsia"/>
              </w:rPr>
              <w:t>WP20210415</w:t>
            </w:r>
          </w:p>
        </w:tc>
      </w:tr>
      <w:tr w14:paraId="1C6B6CA3">
        <w:tblPrEx>
          <w:tblCellMar>
            <w:top w:w="0" w:type="dxa"/>
            <w:left w:w="0" w:type="dxa"/>
            <w:bottom w:w="0" w:type="dxa"/>
            <w:right w:w="0" w:type="dxa"/>
          </w:tblCellMar>
        </w:tblPrEx>
        <w:trPr>
          <w:wBefore w:w="0" w:type="auto"/>
          <w:tblCellSpacing w:w="0" w:type="dxa"/>
        </w:trPr>
        <w:tc>
          <w:tcPr>
            <w:tcW w:w="0" w:type="auto"/>
            <w:noWrap w:val="0"/>
            <w:vAlign w:val="center"/>
          </w:tcPr>
          <w:p w14:paraId="6D22BD52">
            <w:r>
              <w:rPr>
                <w:rStyle w:val="10"/>
                <w:rFonts w:hint="eastAsia"/>
              </w:rPr>
              <w:t>登记证持有人：</w:t>
            </w:r>
            <w:r>
              <w:rPr>
                <w:rFonts w:hint="eastAsia"/>
              </w:rPr>
              <w:t>杨凌翔林农业生物科技有限公司</w:t>
            </w:r>
          </w:p>
        </w:tc>
      </w:tr>
      <w:tr w14:paraId="33B04135">
        <w:tblPrEx>
          <w:tblCellMar>
            <w:top w:w="0" w:type="dxa"/>
            <w:left w:w="0" w:type="dxa"/>
            <w:bottom w:w="0" w:type="dxa"/>
            <w:right w:w="0" w:type="dxa"/>
          </w:tblCellMar>
        </w:tblPrEx>
        <w:trPr>
          <w:wBefore w:w="0" w:type="auto"/>
          <w:tblCellSpacing w:w="0" w:type="dxa"/>
        </w:trPr>
        <w:tc>
          <w:tcPr>
            <w:tcW w:w="0" w:type="auto"/>
            <w:noWrap w:val="0"/>
            <w:vAlign w:val="center"/>
          </w:tcPr>
          <w:p w14:paraId="5C09E0E9">
            <w:r>
              <w:rPr>
                <w:rStyle w:val="10"/>
                <w:rFonts w:hint="eastAsia"/>
              </w:rPr>
              <w:t>农药名称：</w:t>
            </w:r>
            <w:r>
              <w:rPr>
                <w:rFonts w:hint="eastAsia"/>
              </w:rPr>
              <w:t>驱蚊乳</w:t>
            </w:r>
          </w:p>
        </w:tc>
      </w:tr>
      <w:tr w14:paraId="37745128">
        <w:tblPrEx>
          <w:tblCellMar>
            <w:top w:w="0" w:type="dxa"/>
            <w:left w:w="0" w:type="dxa"/>
            <w:bottom w:w="0" w:type="dxa"/>
            <w:right w:w="0" w:type="dxa"/>
          </w:tblCellMar>
        </w:tblPrEx>
        <w:trPr>
          <w:wBefore w:w="0" w:type="auto"/>
          <w:tblCellSpacing w:w="0" w:type="dxa"/>
        </w:trPr>
        <w:tc>
          <w:tcPr>
            <w:tcW w:w="0" w:type="auto"/>
            <w:noWrap w:val="0"/>
            <w:vAlign w:val="center"/>
          </w:tcPr>
          <w:p w14:paraId="59F2FA73">
            <w:r>
              <w:rPr>
                <w:rStyle w:val="10"/>
                <w:rFonts w:hint="eastAsia"/>
              </w:rPr>
              <w:t>剂型：</w:t>
            </w:r>
            <w:r>
              <w:rPr>
                <w:rFonts w:hint="eastAsia"/>
              </w:rPr>
              <w:t>驱蚊乳</w:t>
            </w:r>
          </w:p>
        </w:tc>
      </w:tr>
      <w:tr w14:paraId="630FFE46">
        <w:tblPrEx>
          <w:tblCellMar>
            <w:top w:w="0" w:type="dxa"/>
            <w:left w:w="0" w:type="dxa"/>
            <w:bottom w:w="0" w:type="dxa"/>
            <w:right w:w="0" w:type="dxa"/>
          </w:tblCellMar>
        </w:tblPrEx>
        <w:trPr>
          <w:wBefore w:w="0" w:type="auto"/>
          <w:tblCellSpacing w:w="0" w:type="dxa"/>
        </w:trPr>
        <w:tc>
          <w:tcPr>
            <w:tcW w:w="0" w:type="auto"/>
            <w:noWrap w:val="0"/>
            <w:vAlign w:val="center"/>
          </w:tcPr>
          <w:p w14:paraId="2B4112F4">
            <w:r>
              <w:rPr>
                <w:rStyle w:val="10"/>
                <w:rFonts w:hint="eastAsia"/>
              </w:rPr>
              <w:t>毒性及其标识：</w:t>
            </w:r>
            <w:r>
              <w:rPr>
                <w:rFonts w:hint="eastAsia"/>
              </w:rPr>
              <w:t xml:space="preserve"> </w:t>
            </w:r>
            <w:r>
              <w:rPr>
                <w:lang/>
              </w:rPr>
              <w:drawing>
                <wp:inline distT="0" distB="0" distL="114300" distR="114300">
                  <wp:extent cx="476250" cy="323850"/>
                  <wp:effectExtent l="0" t="0" r="0" b="0"/>
                  <wp:docPr id="288" name="图片 2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D328A8">
        <w:tblPrEx>
          <w:tblCellMar>
            <w:top w:w="0" w:type="dxa"/>
            <w:left w:w="0" w:type="dxa"/>
            <w:bottom w:w="0" w:type="dxa"/>
            <w:right w:w="0" w:type="dxa"/>
          </w:tblCellMar>
        </w:tblPrEx>
        <w:trPr>
          <w:wBefore w:w="0" w:type="auto"/>
          <w:tblCellSpacing w:w="0" w:type="dxa"/>
        </w:trPr>
        <w:tc>
          <w:tcPr>
            <w:tcW w:w="0" w:type="auto"/>
            <w:noWrap w:val="0"/>
            <w:vAlign w:val="center"/>
          </w:tcPr>
          <w:p w14:paraId="2439F761">
            <w:r>
              <w:rPr>
                <w:rStyle w:val="10"/>
                <w:rFonts w:hint="eastAsia"/>
              </w:rPr>
              <w:t>总有效成分含量：</w:t>
            </w:r>
            <w:r>
              <w:rPr>
                <w:rFonts w:hint="eastAsia"/>
              </w:rPr>
              <w:t>20%</w:t>
            </w:r>
          </w:p>
        </w:tc>
      </w:tr>
      <w:tr w14:paraId="0712B0C7">
        <w:tblPrEx>
          <w:tblCellMar>
            <w:top w:w="0" w:type="dxa"/>
            <w:left w:w="0" w:type="dxa"/>
            <w:bottom w:w="0" w:type="dxa"/>
            <w:right w:w="0" w:type="dxa"/>
          </w:tblCellMar>
        </w:tblPrEx>
        <w:trPr>
          <w:wBefore w:w="0" w:type="auto"/>
          <w:tblCellSpacing w:w="0" w:type="dxa"/>
        </w:trPr>
        <w:tc>
          <w:tcPr>
            <w:tcW w:w="0" w:type="auto"/>
            <w:noWrap w:val="0"/>
            <w:vAlign w:val="center"/>
          </w:tcPr>
          <w:p w14:paraId="5099F22E">
            <w:r>
              <w:rPr>
                <w:rFonts w:hint="eastAsia"/>
              </w:rPr>
              <w:t xml:space="preserve">有效成分及其含量： </w:t>
            </w:r>
          </w:p>
          <w:p w14:paraId="14DB56CA">
            <w:r>
              <w:rPr>
                <w:rFonts w:hint="eastAsia"/>
              </w:rPr>
              <w:t xml:space="preserve">    羟哌酯20%    </w:t>
            </w:r>
          </w:p>
        </w:tc>
      </w:tr>
      <w:tr w14:paraId="2526219E">
        <w:tblPrEx>
          <w:tblCellMar>
            <w:top w:w="0" w:type="dxa"/>
            <w:left w:w="0" w:type="dxa"/>
            <w:bottom w:w="0" w:type="dxa"/>
            <w:right w:w="0" w:type="dxa"/>
          </w:tblCellMar>
        </w:tblPrEx>
        <w:trPr>
          <w:wBefore w:w="0" w:type="auto"/>
          <w:tblCellSpacing w:w="0" w:type="dxa"/>
        </w:trPr>
        <w:tc>
          <w:tcPr>
            <w:tcW w:w="0" w:type="auto"/>
            <w:noWrap w:val="0"/>
            <w:vAlign w:val="center"/>
          </w:tcPr>
          <w:p w14:paraId="6714E9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714E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B111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C722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5F15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6C7930E">
                  <w:r>
                    <w:rPr>
                      <w:rStyle w:val="11"/>
                      <w:rFonts w:hint="eastAsia"/>
                    </w:rPr>
                    <w:t>施用方式</w:t>
                  </w:r>
                </w:p>
              </w:tc>
            </w:tr>
            <w:tr w14:paraId="63C235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16B835">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75EF5F">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ECE3A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962E9C">
                  <w:r>
                    <w:rPr>
                      <w:rStyle w:val="11"/>
                      <w:rFonts w:hint="eastAsia"/>
                    </w:rPr>
                    <w:t>涂抹</w:t>
                  </w:r>
                </w:p>
              </w:tc>
            </w:tr>
          </w:tbl>
          <w:p w14:paraId="46422C4E">
            <w:pPr>
              <w:rPr>
                <w:rFonts w:ascii="Times New Roman" w:hAnsi="Times New Roman" w:cs="Times New Roman"/>
                <w:sz w:val="20"/>
                <w:szCs w:val="20"/>
              </w:rPr>
            </w:pPr>
          </w:p>
        </w:tc>
      </w:tr>
      <w:tr w14:paraId="70A0C0F8">
        <w:tblPrEx>
          <w:tblCellMar>
            <w:top w:w="0" w:type="dxa"/>
            <w:left w:w="0" w:type="dxa"/>
            <w:bottom w:w="0" w:type="dxa"/>
            <w:right w:w="0" w:type="dxa"/>
          </w:tblCellMar>
        </w:tblPrEx>
        <w:trPr>
          <w:wBefore w:w="0" w:type="auto"/>
          <w:tblCellSpacing w:w="0" w:type="dxa"/>
        </w:trPr>
        <w:tc>
          <w:tcPr>
            <w:tcW w:w="0" w:type="auto"/>
            <w:noWrap w:val="0"/>
            <w:vAlign w:val="center"/>
          </w:tcPr>
          <w:p w14:paraId="4EBB1107">
            <w:r>
              <w:rPr>
                <w:rStyle w:val="10"/>
                <w:rFonts w:hint="eastAsia"/>
              </w:rPr>
              <w:t>使用技术要求:</w:t>
            </w:r>
            <w:r>
              <w:rPr>
                <w:rFonts w:hint="eastAsia"/>
              </w:rPr>
              <w:br w:type="textWrapping"/>
            </w:r>
            <w:r>
              <w:rPr>
                <w:rStyle w:val="11"/>
                <w:rFonts w:hint="eastAsia"/>
              </w:rPr>
              <w:t>直接将本品涂抹于颈部、手、脚踝等皮肤裸露部位，即可避免蚊的叮咬。也可将本品先少量涂于手掌，摊匀后涂抹于肌肤裸露部位。</w:t>
            </w:r>
          </w:p>
        </w:tc>
      </w:tr>
      <w:tr w14:paraId="361245E3">
        <w:tblPrEx>
          <w:tblCellMar>
            <w:top w:w="0" w:type="dxa"/>
            <w:left w:w="0" w:type="dxa"/>
            <w:bottom w:w="0" w:type="dxa"/>
            <w:right w:w="0" w:type="dxa"/>
          </w:tblCellMar>
        </w:tblPrEx>
        <w:trPr>
          <w:wBefore w:w="0" w:type="auto"/>
          <w:tblCellSpacing w:w="0" w:type="dxa"/>
        </w:trPr>
        <w:tc>
          <w:tcPr>
            <w:tcW w:w="0" w:type="auto"/>
            <w:noWrap w:val="0"/>
            <w:vAlign w:val="center"/>
          </w:tcPr>
          <w:p w14:paraId="56AC5B3A">
            <w:r>
              <w:rPr>
                <w:rStyle w:val="10"/>
                <w:rFonts w:hint="eastAsia"/>
              </w:rPr>
              <w:t>产品性能:</w:t>
            </w:r>
            <w:r>
              <w:rPr>
                <w:rFonts w:hint="eastAsia"/>
              </w:rPr>
              <w:br w:type="textWrapping"/>
            </w:r>
            <w:r>
              <w:rPr>
                <w:rStyle w:val="11"/>
                <w:rFonts w:hint="eastAsia"/>
              </w:rPr>
              <w:t>本品能有效驱避蚊，能有效驱蚊达6小时以上。</w:t>
            </w:r>
          </w:p>
        </w:tc>
      </w:tr>
      <w:tr w14:paraId="7BAEC664">
        <w:tblPrEx>
          <w:tblCellMar>
            <w:top w:w="0" w:type="dxa"/>
            <w:left w:w="0" w:type="dxa"/>
            <w:bottom w:w="0" w:type="dxa"/>
            <w:right w:w="0" w:type="dxa"/>
          </w:tblCellMar>
        </w:tblPrEx>
        <w:trPr>
          <w:wBefore w:w="0" w:type="auto"/>
          <w:tblCellSpacing w:w="0" w:type="dxa"/>
        </w:trPr>
        <w:tc>
          <w:tcPr>
            <w:tcW w:w="0" w:type="auto"/>
            <w:noWrap w:val="0"/>
            <w:vAlign w:val="center"/>
          </w:tcPr>
          <w:p w14:paraId="02E57A6E">
            <w:r>
              <w:rPr>
                <w:rStyle w:val="10"/>
                <w:rFonts w:hint="eastAsia"/>
              </w:rPr>
              <w:t>注意事项：</w:t>
            </w:r>
            <w:r>
              <w:rPr>
                <w:rFonts w:hint="eastAsia"/>
              </w:rPr>
              <w:br w:type="textWrapping"/>
            </w:r>
            <w:r>
              <w:rPr>
                <w:rStyle w:val="11"/>
                <w:rFonts w:hint="eastAsia"/>
              </w:rPr>
              <w:t>本品为外用，忌食。六个月以下婴儿及孕妇禁用。有皮炎及皮肤破损，或对其过敏者禁用。避免施用于眼部、唇部等处。对眼有一定刺激性，使用时需注意防护。置于婴幼儿触及不到的地方。本品避免与氧化剂接触.</w:t>
            </w:r>
          </w:p>
        </w:tc>
      </w:tr>
      <w:tr w14:paraId="7E4C5478">
        <w:tblPrEx>
          <w:tblCellMar>
            <w:top w:w="0" w:type="dxa"/>
            <w:left w:w="0" w:type="dxa"/>
            <w:bottom w:w="0" w:type="dxa"/>
            <w:right w:w="0" w:type="dxa"/>
          </w:tblCellMar>
        </w:tblPrEx>
        <w:trPr>
          <w:wBefore w:w="0" w:type="auto"/>
          <w:tblCellSpacing w:w="0" w:type="dxa"/>
        </w:trPr>
        <w:tc>
          <w:tcPr>
            <w:tcW w:w="0" w:type="auto"/>
            <w:noWrap w:val="0"/>
            <w:vAlign w:val="center"/>
          </w:tcPr>
          <w:p w14:paraId="75DA5EBA">
            <w:r>
              <w:rPr>
                <w:rStyle w:val="10"/>
                <w:rFonts w:hint="eastAsia"/>
              </w:rPr>
              <w:t>中毒急救措施：</w:t>
            </w:r>
            <w:r>
              <w:rPr>
                <w:rFonts w:hint="eastAsia"/>
              </w:rPr>
              <w:br w:type="textWrapping"/>
            </w:r>
            <w:r>
              <w:rPr>
                <w:rStyle w:val="11"/>
                <w:rFonts w:hint="eastAsia"/>
              </w:rPr>
              <w:t>对眼睛有刺激性，使用时避免接触眼睛。使用中有任何不良反应请及时就医。若不慎入眼，请用大量清水冲洗，必要时携标签就医。若误食，请大量饮水，必要时携标签就医。</w:t>
            </w:r>
          </w:p>
        </w:tc>
      </w:tr>
      <w:tr w14:paraId="47C782DB">
        <w:tblPrEx>
          <w:tblCellMar>
            <w:top w:w="0" w:type="dxa"/>
            <w:left w:w="0" w:type="dxa"/>
            <w:bottom w:w="0" w:type="dxa"/>
            <w:right w:w="0" w:type="dxa"/>
          </w:tblCellMar>
        </w:tblPrEx>
        <w:trPr>
          <w:wBefore w:w="0" w:type="auto"/>
          <w:tblCellSpacing w:w="0" w:type="dxa"/>
        </w:trPr>
        <w:tc>
          <w:tcPr>
            <w:tcW w:w="0" w:type="auto"/>
            <w:noWrap w:val="0"/>
            <w:vAlign w:val="center"/>
          </w:tcPr>
          <w:p w14:paraId="776030C4">
            <w:r>
              <w:rPr>
                <w:rStyle w:val="10"/>
                <w:rFonts w:hint="eastAsia"/>
              </w:rPr>
              <w:t>储存和运输方法：</w:t>
            </w:r>
            <w:r>
              <w:rPr>
                <w:rFonts w:hint="eastAsia"/>
              </w:rPr>
              <w:br w:type="textWrapping"/>
            </w:r>
            <w:r>
              <w:rPr>
                <w:rStyle w:val="11"/>
                <w:rFonts w:hint="eastAsia"/>
              </w:rPr>
              <w:t>本品应贮存于阴凉、干燥、通风、避光处，并远离火源和热源。应置于婴幼儿及宠物触及不到之处。运输时，请注意防雨淋、高温，轻拿轻放，不得损坏包装。请勿与食品、饮料、粮食、饲料等其它商品同贮同运。</w:t>
            </w:r>
          </w:p>
        </w:tc>
      </w:tr>
      <w:tr w14:paraId="3A67F366">
        <w:tblPrEx>
          <w:tblCellMar>
            <w:top w:w="0" w:type="dxa"/>
            <w:left w:w="0" w:type="dxa"/>
            <w:bottom w:w="0" w:type="dxa"/>
            <w:right w:w="0" w:type="dxa"/>
          </w:tblCellMar>
        </w:tblPrEx>
        <w:trPr>
          <w:wBefore w:w="0" w:type="auto"/>
          <w:tblCellSpacing w:w="0" w:type="dxa"/>
        </w:trPr>
        <w:tc>
          <w:tcPr>
            <w:tcW w:w="0" w:type="auto"/>
            <w:noWrap w:val="0"/>
            <w:vAlign w:val="center"/>
          </w:tcPr>
          <w:p w14:paraId="30F5D0AE">
            <w:r>
              <w:rPr>
                <w:rStyle w:val="10"/>
                <w:rFonts w:hint="eastAsia"/>
              </w:rPr>
              <w:t>质量保证期：</w:t>
            </w:r>
            <w:r>
              <w:rPr>
                <w:rStyle w:val="11"/>
                <w:rFonts w:hint="eastAsia"/>
              </w:rPr>
              <w:t>3年</w:t>
            </w:r>
          </w:p>
        </w:tc>
      </w:tr>
      <w:tr w14:paraId="5B2C5A66">
        <w:tblPrEx>
          <w:tblCellMar>
            <w:top w:w="0" w:type="dxa"/>
            <w:left w:w="0" w:type="dxa"/>
            <w:bottom w:w="0" w:type="dxa"/>
            <w:right w:w="0" w:type="dxa"/>
          </w:tblCellMar>
        </w:tblPrEx>
        <w:trPr>
          <w:wBefore w:w="0" w:type="auto"/>
          <w:tblCellSpacing w:w="0" w:type="dxa"/>
        </w:trPr>
        <w:tc>
          <w:tcPr>
            <w:tcW w:w="0" w:type="auto"/>
            <w:noWrap w:val="0"/>
            <w:vAlign w:val="center"/>
          </w:tcPr>
          <w:p w14:paraId="3B41CC77">
            <w:r>
              <w:rPr>
                <w:rStyle w:val="10"/>
                <w:rFonts w:hint="eastAsia"/>
              </w:rPr>
              <w:t>备注：</w:t>
            </w:r>
          </w:p>
        </w:tc>
      </w:tr>
    </w:tbl>
    <w:p w14:paraId="660656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400BD4">
        <w:tblPrEx>
          <w:tblCellMar>
            <w:top w:w="0" w:type="dxa"/>
            <w:left w:w="0" w:type="dxa"/>
            <w:bottom w:w="0" w:type="dxa"/>
            <w:right w:w="0" w:type="dxa"/>
          </w:tblCellMar>
        </w:tblPrEx>
        <w:trPr>
          <w:wBefore w:w="0" w:type="auto"/>
          <w:tblCellSpacing w:w="0" w:type="dxa"/>
        </w:trPr>
        <w:tc>
          <w:tcPr>
            <w:tcW w:w="0" w:type="auto"/>
            <w:noWrap w:val="0"/>
            <w:vAlign w:val="center"/>
          </w:tcPr>
          <w:p w14:paraId="0584970C">
            <w:r>
              <w:rPr>
                <w:rStyle w:val="10"/>
                <w:rFonts w:hint="eastAsia"/>
              </w:rPr>
              <w:t>登记证号：</w:t>
            </w:r>
            <w:r>
              <w:rPr>
                <w:rFonts w:hint="eastAsia"/>
              </w:rPr>
              <w:t>PD20212414</w:t>
            </w:r>
          </w:p>
        </w:tc>
      </w:tr>
      <w:tr w14:paraId="3585D986">
        <w:tblPrEx>
          <w:tblCellMar>
            <w:top w:w="0" w:type="dxa"/>
            <w:left w:w="0" w:type="dxa"/>
            <w:bottom w:w="0" w:type="dxa"/>
            <w:right w:w="0" w:type="dxa"/>
          </w:tblCellMar>
        </w:tblPrEx>
        <w:trPr>
          <w:wBefore w:w="0" w:type="auto"/>
          <w:tblCellSpacing w:w="0" w:type="dxa"/>
        </w:trPr>
        <w:tc>
          <w:tcPr>
            <w:tcW w:w="0" w:type="auto"/>
            <w:noWrap w:val="0"/>
            <w:vAlign w:val="center"/>
          </w:tcPr>
          <w:p w14:paraId="5FC980AE">
            <w:r>
              <w:rPr>
                <w:rStyle w:val="10"/>
                <w:rFonts w:hint="eastAsia"/>
              </w:rPr>
              <w:t>登记证持有人：</w:t>
            </w:r>
            <w:r>
              <w:rPr>
                <w:rFonts w:hint="eastAsia"/>
              </w:rPr>
              <w:t>河北兴柏农业科技有限公司</w:t>
            </w:r>
          </w:p>
        </w:tc>
      </w:tr>
      <w:tr w14:paraId="59F26B85">
        <w:tblPrEx>
          <w:tblCellMar>
            <w:top w:w="0" w:type="dxa"/>
            <w:left w:w="0" w:type="dxa"/>
            <w:bottom w:w="0" w:type="dxa"/>
            <w:right w:w="0" w:type="dxa"/>
          </w:tblCellMar>
        </w:tblPrEx>
        <w:trPr>
          <w:wBefore w:w="0" w:type="auto"/>
          <w:tblCellSpacing w:w="0" w:type="dxa"/>
        </w:trPr>
        <w:tc>
          <w:tcPr>
            <w:tcW w:w="0" w:type="auto"/>
            <w:noWrap w:val="0"/>
            <w:vAlign w:val="center"/>
          </w:tcPr>
          <w:p w14:paraId="3C8266CA">
            <w:r>
              <w:rPr>
                <w:rStyle w:val="10"/>
                <w:rFonts w:hint="eastAsia"/>
              </w:rPr>
              <w:t>农药名称：</w:t>
            </w:r>
            <w:r>
              <w:rPr>
                <w:rFonts w:hint="eastAsia"/>
              </w:rPr>
              <w:t>联苯肼酯</w:t>
            </w:r>
          </w:p>
        </w:tc>
      </w:tr>
      <w:tr w14:paraId="7243BE0E">
        <w:tblPrEx>
          <w:tblCellMar>
            <w:top w:w="0" w:type="dxa"/>
            <w:left w:w="0" w:type="dxa"/>
            <w:bottom w:w="0" w:type="dxa"/>
            <w:right w:w="0" w:type="dxa"/>
          </w:tblCellMar>
        </w:tblPrEx>
        <w:trPr>
          <w:wBefore w:w="0" w:type="auto"/>
          <w:tblCellSpacing w:w="0" w:type="dxa"/>
        </w:trPr>
        <w:tc>
          <w:tcPr>
            <w:tcW w:w="0" w:type="auto"/>
            <w:noWrap w:val="0"/>
            <w:vAlign w:val="center"/>
          </w:tcPr>
          <w:p w14:paraId="1E02F7F7">
            <w:r>
              <w:rPr>
                <w:rStyle w:val="10"/>
                <w:rFonts w:hint="eastAsia"/>
              </w:rPr>
              <w:t>剂型：</w:t>
            </w:r>
            <w:r>
              <w:rPr>
                <w:rFonts w:hint="eastAsia"/>
              </w:rPr>
              <w:t>悬浮剂</w:t>
            </w:r>
          </w:p>
        </w:tc>
      </w:tr>
      <w:tr w14:paraId="42E8F802">
        <w:tblPrEx>
          <w:tblCellMar>
            <w:top w:w="0" w:type="dxa"/>
            <w:left w:w="0" w:type="dxa"/>
            <w:bottom w:w="0" w:type="dxa"/>
            <w:right w:w="0" w:type="dxa"/>
          </w:tblCellMar>
        </w:tblPrEx>
        <w:trPr>
          <w:wBefore w:w="0" w:type="auto"/>
          <w:tblCellSpacing w:w="0" w:type="dxa"/>
        </w:trPr>
        <w:tc>
          <w:tcPr>
            <w:tcW w:w="0" w:type="auto"/>
            <w:noWrap w:val="0"/>
            <w:vAlign w:val="center"/>
          </w:tcPr>
          <w:p w14:paraId="40F66AF8">
            <w:r>
              <w:rPr>
                <w:rStyle w:val="10"/>
                <w:rFonts w:hint="eastAsia"/>
              </w:rPr>
              <w:t>毒性及其标识：</w:t>
            </w:r>
            <w:r>
              <w:rPr>
                <w:rFonts w:hint="eastAsia"/>
              </w:rPr>
              <w:t xml:space="preserve"> 微毒 </w:t>
            </w:r>
          </w:p>
        </w:tc>
      </w:tr>
      <w:tr w14:paraId="09D5E6DC">
        <w:tblPrEx>
          <w:tblCellMar>
            <w:top w:w="0" w:type="dxa"/>
            <w:left w:w="0" w:type="dxa"/>
            <w:bottom w:w="0" w:type="dxa"/>
            <w:right w:w="0" w:type="dxa"/>
          </w:tblCellMar>
        </w:tblPrEx>
        <w:trPr>
          <w:wBefore w:w="0" w:type="auto"/>
          <w:tblCellSpacing w:w="0" w:type="dxa"/>
        </w:trPr>
        <w:tc>
          <w:tcPr>
            <w:tcW w:w="0" w:type="auto"/>
            <w:noWrap w:val="0"/>
            <w:vAlign w:val="center"/>
          </w:tcPr>
          <w:p w14:paraId="16F1A277">
            <w:r>
              <w:rPr>
                <w:rStyle w:val="10"/>
                <w:rFonts w:hint="eastAsia"/>
              </w:rPr>
              <w:t>总有效成分含量：</w:t>
            </w:r>
            <w:r>
              <w:rPr>
                <w:rFonts w:hint="eastAsia"/>
              </w:rPr>
              <w:t>43%</w:t>
            </w:r>
          </w:p>
        </w:tc>
      </w:tr>
      <w:tr w14:paraId="086C7EE0">
        <w:tblPrEx>
          <w:tblCellMar>
            <w:top w:w="0" w:type="dxa"/>
            <w:left w:w="0" w:type="dxa"/>
            <w:bottom w:w="0" w:type="dxa"/>
            <w:right w:w="0" w:type="dxa"/>
          </w:tblCellMar>
        </w:tblPrEx>
        <w:trPr>
          <w:wBefore w:w="0" w:type="auto"/>
          <w:tblCellSpacing w:w="0" w:type="dxa"/>
        </w:trPr>
        <w:tc>
          <w:tcPr>
            <w:tcW w:w="0" w:type="auto"/>
            <w:noWrap w:val="0"/>
            <w:vAlign w:val="center"/>
          </w:tcPr>
          <w:p w14:paraId="05984F22">
            <w:r>
              <w:rPr>
                <w:rFonts w:hint="eastAsia"/>
              </w:rPr>
              <w:t xml:space="preserve">有效成分及其含量： </w:t>
            </w:r>
          </w:p>
          <w:p w14:paraId="28930C8E">
            <w:r>
              <w:rPr>
                <w:rFonts w:hint="eastAsia"/>
              </w:rPr>
              <w:t xml:space="preserve">    联苯肼酯43%    </w:t>
            </w:r>
          </w:p>
        </w:tc>
      </w:tr>
      <w:tr w14:paraId="68969BC2">
        <w:tblPrEx>
          <w:tblCellMar>
            <w:top w:w="0" w:type="dxa"/>
            <w:left w:w="0" w:type="dxa"/>
            <w:bottom w:w="0" w:type="dxa"/>
            <w:right w:w="0" w:type="dxa"/>
          </w:tblCellMar>
        </w:tblPrEx>
        <w:trPr>
          <w:wBefore w:w="0" w:type="auto"/>
          <w:tblCellSpacing w:w="0" w:type="dxa"/>
        </w:trPr>
        <w:tc>
          <w:tcPr>
            <w:tcW w:w="0" w:type="auto"/>
            <w:noWrap w:val="0"/>
            <w:vAlign w:val="center"/>
          </w:tcPr>
          <w:p w14:paraId="73ADDC5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2235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13A8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51FC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3955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D3EDDF">
                  <w:r>
                    <w:rPr>
                      <w:rStyle w:val="11"/>
                      <w:rFonts w:hint="eastAsia"/>
                    </w:rPr>
                    <w:t>施用方式</w:t>
                  </w:r>
                </w:p>
              </w:tc>
            </w:tr>
            <w:tr w14:paraId="397BB1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681906">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033EE8">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74184C">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3E7DE4">
                  <w:r>
                    <w:rPr>
                      <w:rStyle w:val="11"/>
                      <w:rFonts w:hint="eastAsia"/>
                    </w:rPr>
                    <w:t>喷雾</w:t>
                  </w:r>
                </w:p>
              </w:tc>
            </w:tr>
          </w:tbl>
          <w:p w14:paraId="002CBFB6">
            <w:pPr>
              <w:rPr>
                <w:rFonts w:ascii="Times New Roman" w:hAnsi="Times New Roman" w:cs="Times New Roman"/>
                <w:sz w:val="20"/>
                <w:szCs w:val="20"/>
              </w:rPr>
            </w:pPr>
          </w:p>
        </w:tc>
      </w:tr>
      <w:tr w14:paraId="00FFB5DE">
        <w:tblPrEx>
          <w:tblCellMar>
            <w:top w:w="0" w:type="dxa"/>
            <w:left w:w="0" w:type="dxa"/>
            <w:bottom w:w="0" w:type="dxa"/>
            <w:right w:w="0" w:type="dxa"/>
          </w:tblCellMar>
        </w:tblPrEx>
        <w:trPr>
          <w:wBefore w:w="0" w:type="auto"/>
          <w:tblCellSpacing w:w="0" w:type="dxa"/>
        </w:trPr>
        <w:tc>
          <w:tcPr>
            <w:tcW w:w="0" w:type="auto"/>
            <w:noWrap w:val="0"/>
            <w:vAlign w:val="center"/>
          </w:tcPr>
          <w:p w14:paraId="39226B93">
            <w:r>
              <w:rPr>
                <w:rStyle w:val="10"/>
                <w:rFonts w:hint="eastAsia"/>
              </w:rPr>
              <w:t>使用技术要求:</w:t>
            </w:r>
            <w:r>
              <w:rPr>
                <w:rFonts w:hint="eastAsia"/>
              </w:rPr>
              <w:br w:type="textWrapping"/>
            </w:r>
            <w:r>
              <w:rPr>
                <w:rStyle w:val="11"/>
                <w:rFonts w:hint="eastAsia"/>
              </w:rPr>
              <w:t>1、本品适宜在红蜘蛛发生始盛期施药。 2、本品没有内吸性，为保证药效，喷药时应保证叶片两面及果实表面都均匀喷到。 3、大风天或预计1小时内降雨，请勿施药。 4、每季作物最多使用1次，安全间隔期为21天。</w:t>
            </w:r>
          </w:p>
        </w:tc>
      </w:tr>
      <w:tr w14:paraId="49CD282F">
        <w:tblPrEx>
          <w:tblCellMar>
            <w:top w:w="0" w:type="dxa"/>
            <w:left w:w="0" w:type="dxa"/>
            <w:bottom w:w="0" w:type="dxa"/>
            <w:right w:w="0" w:type="dxa"/>
          </w:tblCellMar>
        </w:tblPrEx>
        <w:trPr>
          <w:wBefore w:w="0" w:type="auto"/>
          <w:tblCellSpacing w:w="0" w:type="dxa"/>
        </w:trPr>
        <w:tc>
          <w:tcPr>
            <w:tcW w:w="0" w:type="auto"/>
            <w:noWrap w:val="0"/>
            <w:vAlign w:val="center"/>
          </w:tcPr>
          <w:p w14:paraId="6BD4BCCC">
            <w:r>
              <w:rPr>
                <w:rStyle w:val="10"/>
                <w:rFonts w:hint="eastAsia"/>
              </w:rPr>
              <w:t>产品性能:</w:t>
            </w:r>
            <w:r>
              <w:rPr>
                <w:rFonts w:hint="eastAsia"/>
              </w:rPr>
              <w:br w:type="textWrapping"/>
            </w:r>
            <w:r>
              <w:rPr>
                <w:rStyle w:val="11"/>
                <w:rFonts w:hint="eastAsia"/>
              </w:rPr>
              <w:t>本品是一种新型选择性叶面喷雾用杀虫剂，作用于螨类的中枢神经传导系统的γ-氨基丁酸（GABA）的受体。对螨的各个生活阶段均有效，害螨接触药剂后，很快停止进食、运动和产卵。本品对苹果树红蜘蛛有较好的防治效果。</w:t>
            </w:r>
          </w:p>
        </w:tc>
      </w:tr>
      <w:tr w14:paraId="4798FC38">
        <w:tblPrEx>
          <w:tblCellMar>
            <w:top w:w="0" w:type="dxa"/>
            <w:left w:w="0" w:type="dxa"/>
            <w:bottom w:w="0" w:type="dxa"/>
            <w:right w:w="0" w:type="dxa"/>
          </w:tblCellMar>
        </w:tblPrEx>
        <w:trPr>
          <w:wBefore w:w="0" w:type="auto"/>
          <w:tblCellSpacing w:w="0" w:type="dxa"/>
        </w:trPr>
        <w:tc>
          <w:tcPr>
            <w:tcW w:w="0" w:type="auto"/>
            <w:noWrap w:val="0"/>
            <w:vAlign w:val="center"/>
          </w:tcPr>
          <w:p w14:paraId="2F80AF45">
            <w:r>
              <w:rPr>
                <w:rStyle w:val="10"/>
                <w:rFonts w:hint="eastAsia"/>
              </w:rPr>
              <w:t>注意事项：</w:t>
            </w:r>
            <w:r>
              <w:rPr>
                <w:rFonts w:hint="eastAsia"/>
              </w:rPr>
              <w:br w:type="textWrapping"/>
            </w:r>
            <w:r>
              <w:rPr>
                <w:rStyle w:val="11"/>
                <w:rFonts w:hint="eastAsia"/>
              </w:rPr>
              <w:t>1、用药前应仔细阅读标签，按照标签的推荐使用和处置本品。2、配药和施药时应穿防护服，戴手套、面罩，严格按照农药安全使用规则操作，避免接触皮肤、眼睛和污染衣物，避免吸入药滴，勿在施药现场抽烟、饮水、进食。施药后应及时洗手、洗脸，并更换和清洗工作服。 3、本品对鱼类等水生生物毒性高，水产养殖区、河塘等水体附近禁用，禁止在河塘等水域清洗施药器具。 4、本品鸟类保护区禁用。蜜源植物花期，蚕室及桑园附近禁用。瓢虫等天敌放飞区域禁用。 5、用过的包装应妥善处理，不可做他用，也不可随意丢弃。 6、建议与其他作用机制不同的杀螨剂轮换使用。 7、孕妇、哺乳期妇女及过敏者禁用。</w:t>
            </w:r>
          </w:p>
        </w:tc>
      </w:tr>
      <w:tr w14:paraId="40826659">
        <w:tblPrEx>
          <w:tblCellMar>
            <w:top w:w="0" w:type="dxa"/>
            <w:left w:w="0" w:type="dxa"/>
            <w:bottom w:w="0" w:type="dxa"/>
            <w:right w:w="0" w:type="dxa"/>
          </w:tblCellMar>
        </w:tblPrEx>
        <w:trPr>
          <w:wBefore w:w="0" w:type="auto"/>
          <w:tblCellSpacing w:w="0" w:type="dxa"/>
        </w:trPr>
        <w:tc>
          <w:tcPr>
            <w:tcW w:w="0" w:type="auto"/>
            <w:noWrap w:val="0"/>
            <w:vAlign w:val="center"/>
          </w:tcPr>
          <w:p w14:paraId="13D76237">
            <w:r>
              <w:rPr>
                <w:rStyle w:val="10"/>
                <w:rFonts w:hint="eastAsia"/>
              </w:rPr>
              <w:t>中毒急救措施：</w:t>
            </w:r>
            <w:r>
              <w:rPr>
                <w:rFonts w:hint="eastAsia"/>
              </w:rPr>
              <w:br w:type="textWrapping"/>
            </w:r>
            <w:r>
              <w:rPr>
                <w:rStyle w:val="11"/>
                <w:rFonts w:hint="eastAsia"/>
              </w:rPr>
              <w:t>对眼睛有刺激性，使用时避免接触眼睛。1、如吸入：将患者移至新鲜空气处，请医生诊治。 2、如眼睛接触：立即用大量清水冲洗眼至少15分钟，并携带标签请医生治疗。 3、如皮肤接触：脱掉被污染的衣物，立即用肥皂及清水冲洗15-20分钟，并携带标签请医生治疗。 4、如误服：应立即携带标签送医就诊。除非在医生的指导下否则勿给昏迷患者催吐，对症治疗，无特效解毒剂。</w:t>
            </w:r>
          </w:p>
        </w:tc>
      </w:tr>
      <w:tr w14:paraId="4A50BB4A">
        <w:tblPrEx>
          <w:tblCellMar>
            <w:top w:w="0" w:type="dxa"/>
            <w:left w:w="0" w:type="dxa"/>
            <w:bottom w:w="0" w:type="dxa"/>
            <w:right w:w="0" w:type="dxa"/>
          </w:tblCellMar>
        </w:tblPrEx>
        <w:trPr>
          <w:wBefore w:w="0" w:type="auto"/>
          <w:tblCellSpacing w:w="0" w:type="dxa"/>
        </w:trPr>
        <w:tc>
          <w:tcPr>
            <w:tcW w:w="0" w:type="auto"/>
            <w:noWrap w:val="0"/>
            <w:vAlign w:val="center"/>
          </w:tcPr>
          <w:p w14:paraId="231DD17A">
            <w:r>
              <w:rPr>
                <w:rStyle w:val="10"/>
                <w:rFonts w:hint="eastAsia"/>
              </w:rPr>
              <w:t>储存和运输方法：</w:t>
            </w:r>
            <w:r>
              <w:rPr>
                <w:rFonts w:hint="eastAsia"/>
              </w:rPr>
              <w:br w:type="textWrapping"/>
            </w:r>
            <w:r>
              <w:rPr>
                <w:rStyle w:val="11"/>
                <w:rFonts w:hint="eastAsia"/>
              </w:rPr>
              <w:t>本品应贮存在阴凉、干燥、通风处，远离火源，不能与食品、饮料、粮食、饲料等物品同贮同运。运输时要严防潮湿和日晒，搬运时要轻拿轻放，不可倒置。本品应置于儿童触及不到的地方，并加锁保存。 质量保证期：2年</w:t>
            </w:r>
          </w:p>
        </w:tc>
      </w:tr>
      <w:tr w14:paraId="28F108B8">
        <w:tblPrEx>
          <w:tblCellMar>
            <w:top w:w="0" w:type="dxa"/>
            <w:left w:w="0" w:type="dxa"/>
            <w:bottom w:w="0" w:type="dxa"/>
            <w:right w:w="0" w:type="dxa"/>
          </w:tblCellMar>
        </w:tblPrEx>
        <w:trPr>
          <w:wBefore w:w="0" w:type="auto"/>
          <w:tblCellSpacing w:w="0" w:type="dxa"/>
        </w:trPr>
        <w:tc>
          <w:tcPr>
            <w:tcW w:w="0" w:type="auto"/>
            <w:noWrap w:val="0"/>
            <w:vAlign w:val="center"/>
          </w:tcPr>
          <w:p w14:paraId="50B82430">
            <w:r>
              <w:rPr>
                <w:rStyle w:val="10"/>
                <w:rFonts w:hint="eastAsia"/>
              </w:rPr>
              <w:t>质量保证期：</w:t>
            </w:r>
            <w:r>
              <w:rPr>
                <w:rStyle w:val="11"/>
                <w:rFonts w:hint="eastAsia"/>
              </w:rPr>
              <w:t>2年</w:t>
            </w:r>
          </w:p>
        </w:tc>
      </w:tr>
      <w:tr w14:paraId="7EB81F24">
        <w:tblPrEx>
          <w:tblCellMar>
            <w:top w:w="0" w:type="dxa"/>
            <w:left w:w="0" w:type="dxa"/>
            <w:bottom w:w="0" w:type="dxa"/>
            <w:right w:w="0" w:type="dxa"/>
          </w:tblCellMar>
        </w:tblPrEx>
        <w:trPr>
          <w:wBefore w:w="0" w:type="auto"/>
          <w:tblCellSpacing w:w="0" w:type="dxa"/>
        </w:trPr>
        <w:tc>
          <w:tcPr>
            <w:tcW w:w="0" w:type="auto"/>
            <w:noWrap w:val="0"/>
            <w:vAlign w:val="center"/>
          </w:tcPr>
          <w:p w14:paraId="5FDECB9F">
            <w:r>
              <w:rPr>
                <w:rStyle w:val="10"/>
                <w:rFonts w:hint="eastAsia"/>
              </w:rPr>
              <w:t>备注：</w:t>
            </w:r>
          </w:p>
        </w:tc>
      </w:tr>
    </w:tbl>
    <w:p w14:paraId="484D99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D5CDBE">
        <w:tblPrEx>
          <w:tblCellMar>
            <w:top w:w="0" w:type="dxa"/>
            <w:left w:w="0" w:type="dxa"/>
            <w:bottom w:w="0" w:type="dxa"/>
            <w:right w:w="0" w:type="dxa"/>
          </w:tblCellMar>
        </w:tblPrEx>
        <w:trPr>
          <w:wBefore w:w="0" w:type="auto"/>
          <w:tblCellSpacing w:w="0" w:type="dxa"/>
        </w:trPr>
        <w:tc>
          <w:tcPr>
            <w:tcW w:w="0" w:type="auto"/>
            <w:noWrap w:val="0"/>
            <w:vAlign w:val="center"/>
          </w:tcPr>
          <w:p w14:paraId="75B5BBF3">
            <w:r>
              <w:rPr>
                <w:rStyle w:val="10"/>
                <w:rFonts w:hint="eastAsia"/>
              </w:rPr>
              <w:t>登记证号：</w:t>
            </w:r>
            <w:r>
              <w:rPr>
                <w:rFonts w:hint="eastAsia"/>
              </w:rPr>
              <w:t>PD20212708</w:t>
            </w:r>
          </w:p>
        </w:tc>
      </w:tr>
      <w:tr w14:paraId="6D0D2AF4">
        <w:tblPrEx>
          <w:tblCellMar>
            <w:top w:w="0" w:type="dxa"/>
            <w:left w:w="0" w:type="dxa"/>
            <w:bottom w:w="0" w:type="dxa"/>
            <w:right w:w="0" w:type="dxa"/>
          </w:tblCellMar>
        </w:tblPrEx>
        <w:trPr>
          <w:wBefore w:w="0" w:type="auto"/>
          <w:tblCellSpacing w:w="0" w:type="dxa"/>
        </w:trPr>
        <w:tc>
          <w:tcPr>
            <w:tcW w:w="0" w:type="auto"/>
            <w:noWrap w:val="0"/>
            <w:vAlign w:val="center"/>
          </w:tcPr>
          <w:p w14:paraId="77E6C55A">
            <w:r>
              <w:rPr>
                <w:rStyle w:val="10"/>
                <w:rFonts w:hint="eastAsia"/>
              </w:rPr>
              <w:t>登记证持有人：</w:t>
            </w:r>
            <w:r>
              <w:rPr>
                <w:rFonts w:hint="eastAsia"/>
              </w:rPr>
              <w:t>浙江大鹏药业股份有限公司</w:t>
            </w:r>
          </w:p>
        </w:tc>
      </w:tr>
      <w:tr w14:paraId="5CD625F1">
        <w:tblPrEx>
          <w:tblCellMar>
            <w:top w:w="0" w:type="dxa"/>
            <w:left w:w="0" w:type="dxa"/>
            <w:bottom w:w="0" w:type="dxa"/>
            <w:right w:w="0" w:type="dxa"/>
          </w:tblCellMar>
        </w:tblPrEx>
        <w:trPr>
          <w:wBefore w:w="0" w:type="auto"/>
          <w:tblCellSpacing w:w="0" w:type="dxa"/>
        </w:trPr>
        <w:tc>
          <w:tcPr>
            <w:tcW w:w="0" w:type="auto"/>
            <w:noWrap w:val="0"/>
            <w:vAlign w:val="center"/>
          </w:tcPr>
          <w:p w14:paraId="6B7AFAFE">
            <w:r>
              <w:rPr>
                <w:rStyle w:val="10"/>
                <w:rFonts w:hint="eastAsia"/>
              </w:rPr>
              <w:t>农药名称：</w:t>
            </w:r>
            <w:r>
              <w:rPr>
                <w:rFonts w:hint="eastAsia"/>
              </w:rPr>
              <w:t>威百亩</w:t>
            </w:r>
          </w:p>
        </w:tc>
      </w:tr>
      <w:tr w14:paraId="42B6E46F">
        <w:tblPrEx>
          <w:tblCellMar>
            <w:top w:w="0" w:type="dxa"/>
            <w:left w:w="0" w:type="dxa"/>
            <w:bottom w:w="0" w:type="dxa"/>
            <w:right w:w="0" w:type="dxa"/>
          </w:tblCellMar>
        </w:tblPrEx>
        <w:trPr>
          <w:wBefore w:w="0" w:type="auto"/>
          <w:tblCellSpacing w:w="0" w:type="dxa"/>
        </w:trPr>
        <w:tc>
          <w:tcPr>
            <w:tcW w:w="0" w:type="auto"/>
            <w:noWrap w:val="0"/>
            <w:vAlign w:val="center"/>
          </w:tcPr>
          <w:p w14:paraId="1AB535C2">
            <w:r>
              <w:rPr>
                <w:rStyle w:val="10"/>
                <w:rFonts w:hint="eastAsia"/>
              </w:rPr>
              <w:t>剂型：</w:t>
            </w:r>
            <w:r>
              <w:rPr>
                <w:rFonts w:hint="eastAsia"/>
              </w:rPr>
              <w:t>可溶液剂</w:t>
            </w:r>
          </w:p>
        </w:tc>
      </w:tr>
      <w:tr w14:paraId="0821EB14">
        <w:tblPrEx>
          <w:tblCellMar>
            <w:top w:w="0" w:type="dxa"/>
            <w:left w:w="0" w:type="dxa"/>
            <w:bottom w:w="0" w:type="dxa"/>
            <w:right w:w="0" w:type="dxa"/>
          </w:tblCellMar>
        </w:tblPrEx>
        <w:trPr>
          <w:wBefore w:w="0" w:type="auto"/>
          <w:tblCellSpacing w:w="0" w:type="dxa"/>
        </w:trPr>
        <w:tc>
          <w:tcPr>
            <w:tcW w:w="0" w:type="auto"/>
            <w:noWrap w:val="0"/>
            <w:vAlign w:val="center"/>
          </w:tcPr>
          <w:p w14:paraId="1E5E60CF">
            <w:r>
              <w:rPr>
                <w:rStyle w:val="10"/>
                <w:rFonts w:hint="eastAsia"/>
              </w:rPr>
              <w:t>毒性及其标识：</w:t>
            </w:r>
            <w:r>
              <w:rPr>
                <w:rFonts w:hint="eastAsia"/>
              </w:rPr>
              <w:t xml:space="preserve"> </w:t>
            </w:r>
            <w:r>
              <w:rPr>
                <w:lang/>
              </w:rPr>
              <w:drawing>
                <wp:inline distT="0" distB="0" distL="114300" distR="114300">
                  <wp:extent cx="476250" cy="323850"/>
                  <wp:effectExtent l="0" t="0" r="0" b="0"/>
                  <wp:docPr id="289" name="图片 2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88D913">
        <w:tblPrEx>
          <w:tblCellMar>
            <w:top w:w="0" w:type="dxa"/>
            <w:left w:w="0" w:type="dxa"/>
            <w:bottom w:w="0" w:type="dxa"/>
            <w:right w:w="0" w:type="dxa"/>
          </w:tblCellMar>
        </w:tblPrEx>
        <w:trPr>
          <w:wBefore w:w="0" w:type="auto"/>
          <w:tblCellSpacing w:w="0" w:type="dxa"/>
        </w:trPr>
        <w:tc>
          <w:tcPr>
            <w:tcW w:w="0" w:type="auto"/>
            <w:noWrap w:val="0"/>
            <w:vAlign w:val="center"/>
          </w:tcPr>
          <w:p w14:paraId="4291D58F">
            <w:r>
              <w:rPr>
                <w:rStyle w:val="10"/>
                <w:rFonts w:hint="eastAsia"/>
              </w:rPr>
              <w:t>总有效成分含量：</w:t>
            </w:r>
            <w:r>
              <w:rPr>
                <w:rFonts w:hint="eastAsia"/>
              </w:rPr>
              <w:t>42%</w:t>
            </w:r>
          </w:p>
        </w:tc>
      </w:tr>
      <w:tr w14:paraId="0079059E">
        <w:tblPrEx>
          <w:tblCellMar>
            <w:top w:w="0" w:type="dxa"/>
            <w:left w:w="0" w:type="dxa"/>
            <w:bottom w:w="0" w:type="dxa"/>
            <w:right w:w="0" w:type="dxa"/>
          </w:tblCellMar>
        </w:tblPrEx>
        <w:trPr>
          <w:wBefore w:w="0" w:type="auto"/>
          <w:tblCellSpacing w:w="0" w:type="dxa"/>
        </w:trPr>
        <w:tc>
          <w:tcPr>
            <w:tcW w:w="0" w:type="auto"/>
            <w:noWrap w:val="0"/>
            <w:vAlign w:val="center"/>
          </w:tcPr>
          <w:p w14:paraId="41489269">
            <w:r>
              <w:rPr>
                <w:rFonts w:hint="eastAsia"/>
              </w:rPr>
              <w:t xml:space="preserve">有效成分及其含量： </w:t>
            </w:r>
          </w:p>
          <w:p w14:paraId="2707ABA0">
            <w:r>
              <w:rPr>
                <w:rFonts w:hint="eastAsia"/>
              </w:rPr>
              <w:t xml:space="preserve">    威百亩42%    </w:t>
            </w:r>
          </w:p>
        </w:tc>
      </w:tr>
      <w:tr w14:paraId="508B7A8C">
        <w:tblPrEx>
          <w:tblCellMar>
            <w:top w:w="0" w:type="dxa"/>
            <w:left w:w="0" w:type="dxa"/>
            <w:bottom w:w="0" w:type="dxa"/>
            <w:right w:w="0" w:type="dxa"/>
          </w:tblCellMar>
        </w:tblPrEx>
        <w:trPr>
          <w:wBefore w:w="0" w:type="auto"/>
          <w:tblCellSpacing w:w="0" w:type="dxa"/>
        </w:trPr>
        <w:tc>
          <w:tcPr>
            <w:tcW w:w="0" w:type="auto"/>
            <w:noWrap w:val="0"/>
            <w:vAlign w:val="center"/>
          </w:tcPr>
          <w:p w14:paraId="244485A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59A7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15C6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051A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674D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20C22A">
                  <w:r>
                    <w:rPr>
                      <w:rStyle w:val="11"/>
                      <w:rFonts w:hint="eastAsia"/>
                    </w:rPr>
                    <w:t>施用方式</w:t>
                  </w:r>
                </w:p>
              </w:tc>
            </w:tr>
            <w:tr w14:paraId="0D4500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DE5405">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871DBE">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30149F">
                  <w:r>
                    <w:rPr>
                      <w:rStyle w:val="11"/>
                      <w:rFonts w:hint="eastAsia"/>
                    </w:rPr>
                    <w:t>3300-5000毫升/亩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47A868">
                  <w:r>
                    <w:rPr>
                      <w:rStyle w:val="11"/>
                      <w:rFonts w:hint="eastAsia"/>
                    </w:rPr>
                    <w:t>土壤熏蒸</w:t>
                  </w:r>
                </w:p>
              </w:tc>
            </w:tr>
          </w:tbl>
          <w:p w14:paraId="1761EB7C">
            <w:pPr>
              <w:rPr>
                <w:rFonts w:ascii="Times New Roman" w:hAnsi="Times New Roman" w:cs="Times New Roman"/>
                <w:sz w:val="20"/>
                <w:szCs w:val="20"/>
              </w:rPr>
            </w:pPr>
          </w:p>
        </w:tc>
      </w:tr>
      <w:tr w14:paraId="26D46057">
        <w:tblPrEx>
          <w:tblCellMar>
            <w:top w:w="0" w:type="dxa"/>
            <w:left w:w="0" w:type="dxa"/>
            <w:bottom w:w="0" w:type="dxa"/>
            <w:right w:w="0" w:type="dxa"/>
          </w:tblCellMar>
        </w:tblPrEx>
        <w:trPr>
          <w:wBefore w:w="0" w:type="auto"/>
          <w:tblCellSpacing w:w="0" w:type="dxa"/>
        </w:trPr>
        <w:tc>
          <w:tcPr>
            <w:tcW w:w="0" w:type="auto"/>
            <w:noWrap w:val="0"/>
            <w:vAlign w:val="center"/>
          </w:tcPr>
          <w:p w14:paraId="0CD0ABE0">
            <w:r>
              <w:rPr>
                <w:rStyle w:val="10"/>
                <w:rFonts w:hint="eastAsia"/>
              </w:rPr>
              <w:t>使用技术要求:</w:t>
            </w:r>
            <w:r>
              <w:rPr>
                <w:rFonts w:hint="eastAsia"/>
              </w:rPr>
              <w:br w:type="textWrapping"/>
            </w:r>
            <w:r>
              <w:rPr>
                <w:rStyle w:val="11"/>
                <w:rFonts w:hint="eastAsia"/>
              </w:rPr>
              <w:t>本剂为土壤熏蒸剂不可直接喷洒于作物，于黄瓜移栽前施药1次，药剂稀释后施于沟内，压土后覆盖地膜熏蒸15天左右，揭掉地膜，翻耕透气5天以上再移栽作物。确定药气散尽后即可播种或移栽。该药在稀溶液中易分解，使用时要现配。大风天或预计1小时内降雨，请勿施药。每季使用1次。</w:t>
            </w:r>
          </w:p>
        </w:tc>
      </w:tr>
      <w:tr w14:paraId="2B5754EE">
        <w:tblPrEx>
          <w:tblCellMar>
            <w:top w:w="0" w:type="dxa"/>
            <w:left w:w="0" w:type="dxa"/>
            <w:bottom w:w="0" w:type="dxa"/>
            <w:right w:w="0" w:type="dxa"/>
          </w:tblCellMar>
        </w:tblPrEx>
        <w:trPr>
          <w:wBefore w:w="0" w:type="auto"/>
          <w:tblCellSpacing w:w="0" w:type="dxa"/>
        </w:trPr>
        <w:tc>
          <w:tcPr>
            <w:tcW w:w="0" w:type="auto"/>
            <w:noWrap w:val="0"/>
            <w:vAlign w:val="center"/>
          </w:tcPr>
          <w:p w14:paraId="674A128C">
            <w:r>
              <w:rPr>
                <w:rStyle w:val="10"/>
                <w:rFonts w:hint="eastAsia"/>
              </w:rPr>
              <w:t>产品性能:</w:t>
            </w:r>
            <w:r>
              <w:rPr>
                <w:rFonts w:hint="eastAsia"/>
              </w:rPr>
              <w:br w:type="textWrapping"/>
            </w:r>
            <w:r>
              <w:rPr>
                <w:rStyle w:val="11"/>
                <w:rFonts w:hint="eastAsia"/>
              </w:rPr>
              <w:t>一种具有熏蒸作用的二硫代氨基甲酸酯类杀线虫剂。在土壤中逐渐放出异硫氰酸甲酯，杀灭土壤中的线虫。</w:t>
            </w:r>
          </w:p>
        </w:tc>
      </w:tr>
      <w:tr w14:paraId="70FC12DD">
        <w:tblPrEx>
          <w:tblCellMar>
            <w:top w:w="0" w:type="dxa"/>
            <w:left w:w="0" w:type="dxa"/>
            <w:bottom w:w="0" w:type="dxa"/>
            <w:right w:w="0" w:type="dxa"/>
          </w:tblCellMar>
        </w:tblPrEx>
        <w:trPr>
          <w:wBefore w:w="0" w:type="auto"/>
          <w:tblCellSpacing w:w="0" w:type="dxa"/>
        </w:trPr>
        <w:tc>
          <w:tcPr>
            <w:tcW w:w="0" w:type="auto"/>
            <w:noWrap w:val="0"/>
            <w:vAlign w:val="center"/>
          </w:tcPr>
          <w:p w14:paraId="1511C277">
            <w:r>
              <w:rPr>
                <w:rStyle w:val="10"/>
                <w:rFonts w:hint="eastAsia"/>
              </w:rPr>
              <w:t>注意事项：</w:t>
            </w:r>
            <w:r>
              <w:rPr>
                <w:rFonts w:hint="eastAsia"/>
              </w:rPr>
              <w:br w:type="textWrapping"/>
            </w:r>
            <w:r>
              <w:rPr>
                <w:rStyle w:val="11"/>
                <w:rFonts w:hint="eastAsia"/>
              </w:rPr>
              <w:t>1. 该产品对皮肤有刺激性，使用时避免接触皮肤。配药时，配药人员要戴胶皮手套，不得随意增加用量，严禁用手搅药。2. 配药时应远离饮用水源和居民区，要专人看管，严防农药丢失或被人、畜禽误食。大风或中午高温时，应停止施药。3. 本剂为土壤熏蒸剂不可直接喷洒于作物，使用时要现配。使用本剂地温15℃以上效果优良，地温低时熏蒸时间需加长。不能与其它类农药混用。4. 施药结束后，应马上用清水冲洗受药液污染的身体部位。清洗药械的污水应选在安全地点妥善处理，不准随地泼洒。远离水产养殖区、河塘等水体施药，禁止在河塘等水体中清洗施药器具；地下水、饮用水水源地禁用。5. 施药人员要注意个人防护。在操作时禁止吸烟、喝水、吃东西。工作后要用肥皂洗手、脸并漱口，有条件的应洗澡。工作服要及时换洗。6. 患皮肤病及其它疾病尚未恢复健康者，以及哺乳期、孕妇、经期的妇女暂停施药。7. 用过的容器应妥善处理，不可做他用，也不可随意丢弃。8. 避免与氧化剂接触。</w:t>
            </w:r>
          </w:p>
        </w:tc>
      </w:tr>
      <w:tr w14:paraId="2DEDAF9A">
        <w:tblPrEx>
          <w:tblCellMar>
            <w:top w:w="0" w:type="dxa"/>
            <w:left w:w="0" w:type="dxa"/>
            <w:bottom w:w="0" w:type="dxa"/>
            <w:right w:w="0" w:type="dxa"/>
          </w:tblCellMar>
        </w:tblPrEx>
        <w:trPr>
          <w:wBefore w:w="0" w:type="auto"/>
          <w:tblCellSpacing w:w="0" w:type="dxa"/>
        </w:trPr>
        <w:tc>
          <w:tcPr>
            <w:tcW w:w="0" w:type="auto"/>
            <w:noWrap w:val="0"/>
            <w:vAlign w:val="center"/>
          </w:tcPr>
          <w:p w14:paraId="51C91D7B">
            <w:r>
              <w:rPr>
                <w:rStyle w:val="10"/>
                <w:rFonts w:hint="eastAsia"/>
              </w:rPr>
              <w:t>中毒急救措施：</w:t>
            </w:r>
            <w:r>
              <w:rPr>
                <w:rFonts w:hint="eastAsia"/>
              </w:rPr>
              <w:br w:type="textWrapping"/>
            </w:r>
            <w:r>
              <w:rPr>
                <w:rStyle w:val="11"/>
                <w:rFonts w:hint="eastAsia"/>
              </w:rPr>
              <w:t>皮肤接触：立即脱掉被污染的衣物，用肥皂和大量清水彻底清洗受污染的皮肤15分 钟。 眼睛溅药：立即将眼睑翻开，用清水冲洗10-15分钟，再请医生诊治。操作人员如有头痛、头昏、恶心、呕吐等症状，应立即离开施药现场，脱去污染的衣服，漱口，擦洗手、脸和皮肤等暴露部位，并及时到医院对症治疗。在一般情况下中毒，心脏活动减弱时，可用浓茶、浓咖啡暖和身体、偶然进入人体内部，可使中毒者呕吐，用1-3%单宁溶液洗胃。</w:t>
            </w:r>
          </w:p>
        </w:tc>
      </w:tr>
      <w:tr w14:paraId="408E6E21">
        <w:tblPrEx>
          <w:tblCellMar>
            <w:top w:w="0" w:type="dxa"/>
            <w:left w:w="0" w:type="dxa"/>
            <w:bottom w:w="0" w:type="dxa"/>
            <w:right w:w="0" w:type="dxa"/>
          </w:tblCellMar>
        </w:tblPrEx>
        <w:trPr>
          <w:wBefore w:w="0" w:type="auto"/>
          <w:tblCellSpacing w:w="0" w:type="dxa"/>
        </w:trPr>
        <w:tc>
          <w:tcPr>
            <w:tcW w:w="0" w:type="auto"/>
            <w:noWrap w:val="0"/>
            <w:vAlign w:val="center"/>
          </w:tcPr>
          <w:p w14:paraId="6C4AA5F5">
            <w:r>
              <w:rPr>
                <w:rStyle w:val="10"/>
                <w:rFonts w:hint="eastAsia"/>
              </w:rPr>
              <w:t>储存和运输方法：</w:t>
            </w:r>
            <w:r>
              <w:rPr>
                <w:rFonts w:hint="eastAsia"/>
              </w:rPr>
              <w:br w:type="textWrapping"/>
            </w:r>
            <w:r>
              <w:rPr>
                <w:rStyle w:val="11"/>
                <w:rFonts w:hint="eastAsia"/>
              </w:rPr>
              <w:t>贮存、运输时，严禁日晒、雨淋。本品贮存于阴凉，干燥及通风良好的场所中，注意防潮，远离火源或热源。 药品应贮存在儿童、无关人员触及不到的地方，并加锁。不能与食品、饮料、食具、饲料、种子等其他物品同贮同运。</w:t>
            </w:r>
          </w:p>
        </w:tc>
      </w:tr>
      <w:tr w14:paraId="5B7F493A">
        <w:tblPrEx>
          <w:tblCellMar>
            <w:top w:w="0" w:type="dxa"/>
            <w:left w:w="0" w:type="dxa"/>
            <w:bottom w:w="0" w:type="dxa"/>
            <w:right w:w="0" w:type="dxa"/>
          </w:tblCellMar>
        </w:tblPrEx>
        <w:trPr>
          <w:wBefore w:w="0" w:type="auto"/>
          <w:tblCellSpacing w:w="0" w:type="dxa"/>
        </w:trPr>
        <w:tc>
          <w:tcPr>
            <w:tcW w:w="0" w:type="auto"/>
            <w:noWrap w:val="0"/>
            <w:vAlign w:val="center"/>
          </w:tcPr>
          <w:p w14:paraId="18DBBC9D">
            <w:r>
              <w:rPr>
                <w:rStyle w:val="10"/>
                <w:rFonts w:hint="eastAsia"/>
              </w:rPr>
              <w:t>质量保证期：</w:t>
            </w:r>
            <w:r>
              <w:rPr>
                <w:rStyle w:val="11"/>
                <w:rFonts w:hint="eastAsia"/>
              </w:rPr>
              <w:t>2年</w:t>
            </w:r>
          </w:p>
        </w:tc>
      </w:tr>
      <w:tr w14:paraId="2AB2FC25">
        <w:tblPrEx>
          <w:tblCellMar>
            <w:top w:w="0" w:type="dxa"/>
            <w:left w:w="0" w:type="dxa"/>
            <w:bottom w:w="0" w:type="dxa"/>
            <w:right w:w="0" w:type="dxa"/>
          </w:tblCellMar>
        </w:tblPrEx>
        <w:trPr>
          <w:wBefore w:w="0" w:type="auto"/>
          <w:tblCellSpacing w:w="0" w:type="dxa"/>
        </w:trPr>
        <w:tc>
          <w:tcPr>
            <w:tcW w:w="0" w:type="auto"/>
            <w:noWrap w:val="0"/>
            <w:vAlign w:val="center"/>
          </w:tcPr>
          <w:p w14:paraId="67811A60">
            <w:r>
              <w:rPr>
                <w:rStyle w:val="10"/>
                <w:rFonts w:hint="eastAsia"/>
              </w:rPr>
              <w:t>备注：</w:t>
            </w:r>
          </w:p>
        </w:tc>
      </w:tr>
    </w:tbl>
    <w:p w14:paraId="5430EC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63A9EC">
        <w:tblPrEx>
          <w:tblCellMar>
            <w:top w:w="0" w:type="dxa"/>
            <w:left w:w="0" w:type="dxa"/>
            <w:bottom w:w="0" w:type="dxa"/>
            <w:right w:w="0" w:type="dxa"/>
          </w:tblCellMar>
        </w:tblPrEx>
        <w:trPr>
          <w:wBefore w:w="0" w:type="auto"/>
          <w:tblCellSpacing w:w="0" w:type="dxa"/>
        </w:trPr>
        <w:tc>
          <w:tcPr>
            <w:tcW w:w="0" w:type="auto"/>
            <w:noWrap w:val="0"/>
            <w:vAlign w:val="center"/>
          </w:tcPr>
          <w:p w14:paraId="0028BB26">
            <w:r>
              <w:rPr>
                <w:rStyle w:val="10"/>
                <w:rFonts w:hint="eastAsia"/>
              </w:rPr>
              <w:t>登记证号：</w:t>
            </w:r>
            <w:r>
              <w:rPr>
                <w:rFonts w:hint="eastAsia"/>
              </w:rPr>
              <w:t>PD20212389</w:t>
            </w:r>
          </w:p>
        </w:tc>
      </w:tr>
      <w:tr w14:paraId="7BDAFC19">
        <w:tblPrEx>
          <w:tblCellMar>
            <w:top w:w="0" w:type="dxa"/>
            <w:left w:w="0" w:type="dxa"/>
            <w:bottom w:w="0" w:type="dxa"/>
            <w:right w:w="0" w:type="dxa"/>
          </w:tblCellMar>
        </w:tblPrEx>
        <w:trPr>
          <w:wBefore w:w="0" w:type="auto"/>
          <w:tblCellSpacing w:w="0" w:type="dxa"/>
        </w:trPr>
        <w:tc>
          <w:tcPr>
            <w:tcW w:w="0" w:type="auto"/>
            <w:noWrap w:val="0"/>
            <w:vAlign w:val="center"/>
          </w:tcPr>
          <w:p w14:paraId="49B3B3C6">
            <w:r>
              <w:rPr>
                <w:rStyle w:val="10"/>
                <w:rFonts w:hint="eastAsia"/>
              </w:rPr>
              <w:t>登记证持有人：</w:t>
            </w:r>
            <w:r>
              <w:rPr>
                <w:rFonts w:hint="eastAsia"/>
              </w:rPr>
              <w:t>广东省湛江市甘丰农药厂</w:t>
            </w:r>
          </w:p>
        </w:tc>
      </w:tr>
      <w:tr w14:paraId="75D5B78D">
        <w:tblPrEx>
          <w:tblCellMar>
            <w:top w:w="0" w:type="dxa"/>
            <w:left w:w="0" w:type="dxa"/>
            <w:bottom w:w="0" w:type="dxa"/>
            <w:right w:w="0" w:type="dxa"/>
          </w:tblCellMar>
        </w:tblPrEx>
        <w:trPr>
          <w:wBefore w:w="0" w:type="auto"/>
          <w:tblCellSpacing w:w="0" w:type="dxa"/>
        </w:trPr>
        <w:tc>
          <w:tcPr>
            <w:tcW w:w="0" w:type="auto"/>
            <w:noWrap w:val="0"/>
            <w:vAlign w:val="center"/>
          </w:tcPr>
          <w:p w14:paraId="3C96AF10">
            <w:r>
              <w:rPr>
                <w:rStyle w:val="10"/>
                <w:rFonts w:hint="eastAsia"/>
              </w:rPr>
              <w:t>农药名称：</w:t>
            </w:r>
            <w:r>
              <w:rPr>
                <w:rFonts w:hint="eastAsia"/>
              </w:rPr>
              <w:t>吡虫啉</w:t>
            </w:r>
          </w:p>
        </w:tc>
      </w:tr>
      <w:tr w14:paraId="25C4FDB3">
        <w:tblPrEx>
          <w:tblCellMar>
            <w:top w:w="0" w:type="dxa"/>
            <w:left w:w="0" w:type="dxa"/>
            <w:bottom w:w="0" w:type="dxa"/>
            <w:right w:w="0" w:type="dxa"/>
          </w:tblCellMar>
        </w:tblPrEx>
        <w:trPr>
          <w:wBefore w:w="0" w:type="auto"/>
          <w:tblCellSpacing w:w="0" w:type="dxa"/>
        </w:trPr>
        <w:tc>
          <w:tcPr>
            <w:tcW w:w="0" w:type="auto"/>
            <w:noWrap w:val="0"/>
            <w:vAlign w:val="center"/>
          </w:tcPr>
          <w:p w14:paraId="3DAC0B91">
            <w:r>
              <w:rPr>
                <w:rStyle w:val="10"/>
                <w:rFonts w:hint="eastAsia"/>
              </w:rPr>
              <w:t>剂型：</w:t>
            </w:r>
            <w:r>
              <w:rPr>
                <w:rFonts w:hint="eastAsia"/>
              </w:rPr>
              <w:t>颗粒剂</w:t>
            </w:r>
          </w:p>
        </w:tc>
      </w:tr>
      <w:tr w14:paraId="1AEAA614">
        <w:tblPrEx>
          <w:tblCellMar>
            <w:top w:w="0" w:type="dxa"/>
            <w:left w:w="0" w:type="dxa"/>
            <w:bottom w:w="0" w:type="dxa"/>
            <w:right w:w="0" w:type="dxa"/>
          </w:tblCellMar>
        </w:tblPrEx>
        <w:trPr>
          <w:wBefore w:w="0" w:type="auto"/>
          <w:tblCellSpacing w:w="0" w:type="dxa"/>
        </w:trPr>
        <w:tc>
          <w:tcPr>
            <w:tcW w:w="0" w:type="auto"/>
            <w:noWrap w:val="0"/>
            <w:vAlign w:val="center"/>
          </w:tcPr>
          <w:p w14:paraId="34FB532C">
            <w:r>
              <w:rPr>
                <w:rStyle w:val="10"/>
                <w:rFonts w:hint="eastAsia"/>
              </w:rPr>
              <w:t>毒性及其标识：</w:t>
            </w:r>
            <w:r>
              <w:rPr>
                <w:rFonts w:hint="eastAsia"/>
              </w:rPr>
              <w:t xml:space="preserve"> </w:t>
            </w:r>
            <w:r>
              <w:rPr>
                <w:lang/>
              </w:rPr>
              <w:drawing>
                <wp:inline distT="0" distB="0" distL="114300" distR="114300">
                  <wp:extent cx="476250" cy="323850"/>
                  <wp:effectExtent l="0" t="0" r="0" b="0"/>
                  <wp:docPr id="290" name="图片 2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2DA2F8B">
        <w:tblPrEx>
          <w:tblCellMar>
            <w:top w:w="0" w:type="dxa"/>
            <w:left w:w="0" w:type="dxa"/>
            <w:bottom w:w="0" w:type="dxa"/>
            <w:right w:w="0" w:type="dxa"/>
          </w:tblCellMar>
        </w:tblPrEx>
        <w:trPr>
          <w:wBefore w:w="0" w:type="auto"/>
          <w:tblCellSpacing w:w="0" w:type="dxa"/>
        </w:trPr>
        <w:tc>
          <w:tcPr>
            <w:tcW w:w="0" w:type="auto"/>
            <w:noWrap w:val="0"/>
            <w:vAlign w:val="center"/>
          </w:tcPr>
          <w:p w14:paraId="2DA9C38C">
            <w:r>
              <w:rPr>
                <w:rStyle w:val="10"/>
                <w:rFonts w:hint="eastAsia"/>
              </w:rPr>
              <w:t>总有效成分含量：</w:t>
            </w:r>
            <w:r>
              <w:rPr>
                <w:rFonts w:hint="eastAsia"/>
              </w:rPr>
              <w:t>0.1%</w:t>
            </w:r>
          </w:p>
        </w:tc>
      </w:tr>
      <w:tr w14:paraId="4B790CE7">
        <w:tblPrEx>
          <w:tblCellMar>
            <w:top w:w="0" w:type="dxa"/>
            <w:left w:w="0" w:type="dxa"/>
            <w:bottom w:w="0" w:type="dxa"/>
            <w:right w:w="0" w:type="dxa"/>
          </w:tblCellMar>
        </w:tblPrEx>
        <w:trPr>
          <w:wBefore w:w="0" w:type="auto"/>
          <w:tblCellSpacing w:w="0" w:type="dxa"/>
        </w:trPr>
        <w:tc>
          <w:tcPr>
            <w:tcW w:w="0" w:type="auto"/>
            <w:noWrap w:val="0"/>
            <w:vAlign w:val="center"/>
          </w:tcPr>
          <w:p w14:paraId="3522DB25">
            <w:r>
              <w:rPr>
                <w:rFonts w:hint="eastAsia"/>
              </w:rPr>
              <w:t xml:space="preserve">有效成分及其含量： </w:t>
            </w:r>
          </w:p>
          <w:p w14:paraId="0D142AA6">
            <w:r>
              <w:rPr>
                <w:rFonts w:hint="eastAsia"/>
              </w:rPr>
              <w:t xml:space="preserve">    吡虫啉0.1%    </w:t>
            </w:r>
          </w:p>
        </w:tc>
      </w:tr>
      <w:tr w14:paraId="68A5AECC">
        <w:tblPrEx>
          <w:tblCellMar>
            <w:top w:w="0" w:type="dxa"/>
            <w:left w:w="0" w:type="dxa"/>
            <w:bottom w:w="0" w:type="dxa"/>
            <w:right w:w="0" w:type="dxa"/>
          </w:tblCellMar>
        </w:tblPrEx>
        <w:trPr>
          <w:wBefore w:w="0" w:type="auto"/>
          <w:tblCellSpacing w:w="0" w:type="dxa"/>
        </w:trPr>
        <w:tc>
          <w:tcPr>
            <w:tcW w:w="0" w:type="auto"/>
            <w:noWrap w:val="0"/>
            <w:vAlign w:val="center"/>
          </w:tcPr>
          <w:p w14:paraId="4E4414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E31C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78E5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AE38F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5142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D932DC">
                  <w:r>
                    <w:rPr>
                      <w:rStyle w:val="11"/>
                      <w:rFonts w:hint="eastAsia"/>
                    </w:rPr>
                    <w:t>施用方式</w:t>
                  </w:r>
                </w:p>
              </w:tc>
            </w:tr>
            <w:tr w14:paraId="4E2308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6214EF">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3B8FCB">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4B053A">
                  <w:r>
                    <w:rPr>
                      <w:rStyle w:val="11"/>
                      <w:rFonts w:hint="eastAsia"/>
                    </w:rPr>
                    <w:t>60-80千克/亩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2C6FF6">
                  <w:r>
                    <w:rPr>
                      <w:rStyle w:val="11"/>
                      <w:rFonts w:hint="eastAsia"/>
                    </w:rPr>
                    <w:t>撒施</w:t>
                  </w:r>
                </w:p>
              </w:tc>
            </w:tr>
          </w:tbl>
          <w:p w14:paraId="5BBA7CA3">
            <w:pPr>
              <w:rPr>
                <w:rFonts w:ascii="Times New Roman" w:hAnsi="Times New Roman" w:cs="Times New Roman"/>
                <w:sz w:val="20"/>
                <w:szCs w:val="20"/>
              </w:rPr>
            </w:pPr>
          </w:p>
        </w:tc>
      </w:tr>
      <w:tr w14:paraId="593C5454">
        <w:tblPrEx>
          <w:tblCellMar>
            <w:top w:w="0" w:type="dxa"/>
            <w:left w:w="0" w:type="dxa"/>
            <w:bottom w:w="0" w:type="dxa"/>
            <w:right w:w="0" w:type="dxa"/>
          </w:tblCellMar>
        </w:tblPrEx>
        <w:trPr>
          <w:wBefore w:w="0" w:type="auto"/>
          <w:tblCellSpacing w:w="0" w:type="dxa"/>
        </w:trPr>
        <w:tc>
          <w:tcPr>
            <w:tcW w:w="0" w:type="auto"/>
            <w:noWrap w:val="0"/>
            <w:vAlign w:val="center"/>
          </w:tcPr>
          <w:p w14:paraId="075E8BDA">
            <w:r>
              <w:rPr>
                <w:rStyle w:val="10"/>
                <w:rFonts w:hint="eastAsia"/>
              </w:rPr>
              <w:t>使用技术要求:</w:t>
            </w:r>
            <w:r>
              <w:rPr>
                <w:rFonts w:hint="eastAsia"/>
              </w:rPr>
              <w:br w:type="textWrapping"/>
            </w:r>
            <w:r>
              <w:rPr>
                <w:rStyle w:val="11"/>
                <w:rFonts w:hint="eastAsia"/>
              </w:rPr>
              <w:t>1. 施药时期：在甘蔗种植时施药，下种后将药剂均匀撒施于蔗种附近的植沟中然后覆土，施药一次。2.大风天或预计1小时内降雨，请勿施药。3.每季最多使用1次。</w:t>
            </w:r>
          </w:p>
        </w:tc>
      </w:tr>
      <w:tr w14:paraId="401FB964">
        <w:tblPrEx>
          <w:tblCellMar>
            <w:top w:w="0" w:type="dxa"/>
            <w:left w:w="0" w:type="dxa"/>
            <w:bottom w:w="0" w:type="dxa"/>
            <w:right w:w="0" w:type="dxa"/>
          </w:tblCellMar>
        </w:tblPrEx>
        <w:trPr>
          <w:wBefore w:w="0" w:type="auto"/>
          <w:tblCellSpacing w:w="0" w:type="dxa"/>
        </w:trPr>
        <w:tc>
          <w:tcPr>
            <w:tcW w:w="0" w:type="auto"/>
            <w:noWrap w:val="0"/>
            <w:vAlign w:val="center"/>
          </w:tcPr>
          <w:p w14:paraId="76E850D7">
            <w:r>
              <w:rPr>
                <w:rStyle w:val="10"/>
                <w:rFonts w:hint="eastAsia"/>
              </w:rPr>
              <w:t>产品性能:</w:t>
            </w:r>
            <w:r>
              <w:rPr>
                <w:rFonts w:hint="eastAsia"/>
              </w:rPr>
              <w:br w:type="textWrapping"/>
            </w:r>
            <w:r>
              <w:rPr>
                <w:rStyle w:val="11"/>
                <w:rFonts w:hint="eastAsia"/>
              </w:rPr>
              <w:t>本品为药肥混剂，吡虫啉属硝基亚甲基类内吸杀虫剂，是烟酸乙酰胆碱酯酶受体的作用体，干扰害虫运动神经系统使化学信号传递失灵，无交互抗性问题。对防治甘蔗蔗螟有较好的效果。</w:t>
            </w:r>
          </w:p>
        </w:tc>
      </w:tr>
      <w:tr w14:paraId="008D9F0E">
        <w:tblPrEx>
          <w:tblCellMar>
            <w:top w:w="0" w:type="dxa"/>
            <w:left w:w="0" w:type="dxa"/>
            <w:bottom w:w="0" w:type="dxa"/>
            <w:right w:w="0" w:type="dxa"/>
          </w:tblCellMar>
        </w:tblPrEx>
        <w:trPr>
          <w:wBefore w:w="0" w:type="auto"/>
          <w:tblCellSpacing w:w="0" w:type="dxa"/>
        </w:trPr>
        <w:tc>
          <w:tcPr>
            <w:tcW w:w="0" w:type="auto"/>
            <w:noWrap w:val="0"/>
            <w:vAlign w:val="center"/>
          </w:tcPr>
          <w:p w14:paraId="6513E3CD">
            <w:r>
              <w:rPr>
                <w:rStyle w:val="10"/>
                <w:rFonts w:hint="eastAsia"/>
              </w:rPr>
              <w:t>注意事项：</w:t>
            </w:r>
            <w:r>
              <w:rPr>
                <w:rFonts w:hint="eastAsia"/>
              </w:rPr>
              <w:br w:type="textWrapping"/>
            </w:r>
            <w:r>
              <w:rPr>
                <w:rStyle w:val="11"/>
                <w:rFonts w:hint="eastAsia"/>
              </w:rPr>
              <w:t>1. 严格按照农药安全使用规则使用本品，做好安全防护，使用时穿戴长衣、长裤、帽子、口罩、手套等安全防护措施。2. 本品不可与呈强碱性的农药等物质混合使用。3. 本品对蜜蜂、家蚕有毒，施药期间应避免对周围蜂群的影响、开花植物花期、蚕室和桑园附近禁用。禁止在河塘等水体中清洗施药器具，防止药液污染水源地，鸟类保护区禁用，施药后立即覆土。4. 孕妇及哺乳期妇女禁止接触。5. 用过的容器应妥善处理，不可做他用，也不可随意丢弃。</w:t>
            </w:r>
          </w:p>
        </w:tc>
      </w:tr>
      <w:tr w14:paraId="0F88CC18">
        <w:tblPrEx>
          <w:tblCellMar>
            <w:top w:w="0" w:type="dxa"/>
            <w:left w:w="0" w:type="dxa"/>
            <w:bottom w:w="0" w:type="dxa"/>
            <w:right w:w="0" w:type="dxa"/>
          </w:tblCellMar>
        </w:tblPrEx>
        <w:trPr>
          <w:wBefore w:w="0" w:type="auto"/>
          <w:tblCellSpacing w:w="0" w:type="dxa"/>
        </w:trPr>
        <w:tc>
          <w:tcPr>
            <w:tcW w:w="0" w:type="auto"/>
            <w:noWrap w:val="0"/>
            <w:vAlign w:val="center"/>
          </w:tcPr>
          <w:p w14:paraId="79776178">
            <w:r>
              <w:rPr>
                <w:rStyle w:val="10"/>
                <w:rFonts w:hint="eastAsia"/>
              </w:rPr>
              <w:t>中毒急救措施：</w:t>
            </w:r>
            <w:r>
              <w:rPr>
                <w:rFonts w:hint="eastAsia"/>
              </w:rPr>
              <w:br w:type="textWrapping"/>
            </w:r>
            <w:r>
              <w:rPr>
                <w:rStyle w:val="11"/>
                <w:rFonts w:hint="eastAsia"/>
              </w:rPr>
              <w:t>1.眼睛溅入：立刻用大量清水冲洗，如配戴隐形眼镜，冲洗1-2分钟后摘掉眼镜再冲洗数分钟。如症状持续，请就医。2.误食：请勿自行引吐。请即就医。3.皮肤接触：脱去被污染衣物。立刻用大量清水冲洗皮肤。如症状持续，请就医。衣物彻底清洗后方可再穿。丢弃无法清洗的物件如皮革制品。4.误吸：转移至空气清新处，如症状持续，请就医。5. 无特效解毒药，如误服应立即送医院，对症治疗。</w:t>
            </w:r>
          </w:p>
        </w:tc>
      </w:tr>
      <w:tr w14:paraId="11187E69">
        <w:tblPrEx>
          <w:tblCellMar>
            <w:top w:w="0" w:type="dxa"/>
            <w:left w:w="0" w:type="dxa"/>
            <w:bottom w:w="0" w:type="dxa"/>
            <w:right w:w="0" w:type="dxa"/>
          </w:tblCellMar>
        </w:tblPrEx>
        <w:trPr>
          <w:wBefore w:w="0" w:type="auto"/>
          <w:tblCellSpacing w:w="0" w:type="dxa"/>
        </w:trPr>
        <w:tc>
          <w:tcPr>
            <w:tcW w:w="0" w:type="auto"/>
            <w:noWrap w:val="0"/>
            <w:vAlign w:val="center"/>
          </w:tcPr>
          <w:p w14:paraId="54F3FC43">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w:t>
            </w:r>
          </w:p>
        </w:tc>
      </w:tr>
      <w:tr w14:paraId="5FDBA8F9">
        <w:tblPrEx>
          <w:tblCellMar>
            <w:top w:w="0" w:type="dxa"/>
            <w:left w:w="0" w:type="dxa"/>
            <w:bottom w:w="0" w:type="dxa"/>
            <w:right w:w="0" w:type="dxa"/>
          </w:tblCellMar>
        </w:tblPrEx>
        <w:trPr>
          <w:wBefore w:w="0" w:type="auto"/>
          <w:tblCellSpacing w:w="0" w:type="dxa"/>
        </w:trPr>
        <w:tc>
          <w:tcPr>
            <w:tcW w:w="0" w:type="auto"/>
            <w:noWrap w:val="0"/>
            <w:vAlign w:val="center"/>
          </w:tcPr>
          <w:p w14:paraId="78039E71">
            <w:r>
              <w:rPr>
                <w:rStyle w:val="10"/>
                <w:rFonts w:hint="eastAsia"/>
              </w:rPr>
              <w:t>质量保证期：</w:t>
            </w:r>
            <w:r>
              <w:rPr>
                <w:rStyle w:val="11"/>
                <w:rFonts w:hint="eastAsia"/>
              </w:rPr>
              <w:t>2年</w:t>
            </w:r>
          </w:p>
        </w:tc>
      </w:tr>
      <w:tr w14:paraId="2272C33C">
        <w:tblPrEx>
          <w:tblCellMar>
            <w:top w:w="0" w:type="dxa"/>
            <w:left w:w="0" w:type="dxa"/>
            <w:bottom w:w="0" w:type="dxa"/>
            <w:right w:w="0" w:type="dxa"/>
          </w:tblCellMar>
        </w:tblPrEx>
        <w:trPr>
          <w:wBefore w:w="0" w:type="auto"/>
          <w:tblCellSpacing w:w="0" w:type="dxa"/>
        </w:trPr>
        <w:tc>
          <w:tcPr>
            <w:tcW w:w="0" w:type="auto"/>
            <w:noWrap w:val="0"/>
            <w:vAlign w:val="center"/>
          </w:tcPr>
          <w:p w14:paraId="2C3FF845">
            <w:r>
              <w:rPr>
                <w:rStyle w:val="10"/>
                <w:rFonts w:hint="eastAsia"/>
              </w:rPr>
              <w:t>备注：</w:t>
            </w:r>
          </w:p>
        </w:tc>
      </w:tr>
    </w:tbl>
    <w:p w14:paraId="753017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50C59F">
        <w:tblPrEx>
          <w:tblCellMar>
            <w:top w:w="0" w:type="dxa"/>
            <w:left w:w="0" w:type="dxa"/>
            <w:bottom w:w="0" w:type="dxa"/>
            <w:right w:w="0" w:type="dxa"/>
          </w:tblCellMar>
        </w:tblPrEx>
        <w:trPr>
          <w:wBefore w:w="0" w:type="auto"/>
          <w:tblCellSpacing w:w="0" w:type="dxa"/>
        </w:trPr>
        <w:tc>
          <w:tcPr>
            <w:tcW w:w="0" w:type="auto"/>
            <w:noWrap w:val="0"/>
            <w:vAlign w:val="center"/>
          </w:tcPr>
          <w:p w14:paraId="5C4F9883">
            <w:r>
              <w:rPr>
                <w:rStyle w:val="10"/>
                <w:rFonts w:hint="eastAsia"/>
              </w:rPr>
              <w:t>登记证号：</w:t>
            </w:r>
            <w:r>
              <w:rPr>
                <w:rFonts w:hint="eastAsia"/>
              </w:rPr>
              <w:t>PD20212515</w:t>
            </w:r>
          </w:p>
        </w:tc>
      </w:tr>
      <w:tr w14:paraId="27B5A0BE">
        <w:tblPrEx>
          <w:tblCellMar>
            <w:top w:w="0" w:type="dxa"/>
            <w:left w:w="0" w:type="dxa"/>
            <w:bottom w:w="0" w:type="dxa"/>
            <w:right w:w="0" w:type="dxa"/>
          </w:tblCellMar>
        </w:tblPrEx>
        <w:trPr>
          <w:wBefore w:w="0" w:type="auto"/>
          <w:tblCellSpacing w:w="0" w:type="dxa"/>
        </w:trPr>
        <w:tc>
          <w:tcPr>
            <w:tcW w:w="0" w:type="auto"/>
            <w:noWrap w:val="0"/>
            <w:vAlign w:val="center"/>
          </w:tcPr>
          <w:p w14:paraId="5206AC99">
            <w:r>
              <w:rPr>
                <w:rStyle w:val="10"/>
                <w:rFonts w:hint="eastAsia"/>
              </w:rPr>
              <w:t>登记证持有人：</w:t>
            </w:r>
            <w:r>
              <w:rPr>
                <w:rFonts w:hint="eastAsia"/>
              </w:rPr>
              <w:t>山东奥坤作物科学股份有限公司</w:t>
            </w:r>
          </w:p>
        </w:tc>
      </w:tr>
      <w:tr w14:paraId="0719AF9D">
        <w:tblPrEx>
          <w:tblCellMar>
            <w:top w:w="0" w:type="dxa"/>
            <w:left w:w="0" w:type="dxa"/>
            <w:bottom w:w="0" w:type="dxa"/>
            <w:right w:w="0" w:type="dxa"/>
          </w:tblCellMar>
        </w:tblPrEx>
        <w:trPr>
          <w:wBefore w:w="0" w:type="auto"/>
          <w:tblCellSpacing w:w="0" w:type="dxa"/>
        </w:trPr>
        <w:tc>
          <w:tcPr>
            <w:tcW w:w="0" w:type="auto"/>
            <w:noWrap w:val="0"/>
            <w:vAlign w:val="center"/>
          </w:tcPr>
          <w:p w14:paraId="32B364A0">
            <w:r>
              <w:rPr>
                <w:rStyle w:val="10"/>
                <w:rFonts w:hint="eastAsia"/>
              </w:rPr>
              <w:t>农药名称：</w:t>
            </w:r>
            <w:r>
              <w:rPr>
                <w:rFonts w:hint="eastAsia"/>
              </w:rPr>
              <w:t>吡·松·丁草胺</w:t>
            </w:r>
          </w:p>
        </w:tc>
      </w:tr>
      <w:tr w14:paraId="3BA33C13">
        <w:tblPrEx>
          <w:tblCellMar>
            <w:top w:w="0" w:type="dxa"/>
            <w:left w:w="0" w:type="dxa"/>
            <w:bottom w:w="0" w:type="dxa"/>
            <w:right w:w="0" w:type="dxa"/>
          </w:tblCellMar>
        </w:tblPrEx>
        <w:trPr>
          <w:wBefore w:w="0" w:type="auto"/>
          <w:tblCellSpacing w:w="0" w:type="dxa"/>
        </w:trPr>
        <w:tc>
          <w:tcPr>
            <w:tcW w:w="0" w:type="auto"/>
            <w:noWrap w:val="0"/>
            <w:vAlign w:val="center"/>
          </w:tcPr>
          <w:p w14:paraId="746B10FC">
            <w:r>
              <w:rPr>
                <w:rStyle w:val="10"/>
                <w:rFonts w:hint="eastAsia"/>
              </w:rPr>
              <w:t>剂型：</w:t>
            </w:r>
            <w:r>
              <w:rPr>
                <w:rFonts w:hint="eastAsia"/>
              </w:rPr>
              <w:t>乳油</w:t>
            </w:r>
          </w:p>
        </w:tc>
      </w:tr>
      <w:tr w14:paraId="3C372997">
        <w:tblPrEx>
          <w:tblCellMar>
            <w:top w:w="0" w:type="dxa"/>
            <w:left w:w="0" w:type="dxa"/>
            <w:bottom w:w="0" w:type="dxa"/>
            <w:right w:w="0" w:type="dxa"/>
          </w:tblCellMar>
        </w:tblPrEx>
        <w:trPr>
          <w:wBefore w:w="0" w:type="auto"/>
          <w:tblCellSpacing w:w="0" w:type="dxa"/>
        </w:trPr>
        <w:tc>
          <w:tcPr>
            <w:tcW w:w="0" w:type="auto"/>
            <w:noWrap w:val="0"/>
            <w:vAlign w:val="center"/>
          </w:tcPr>
          <w:p w14:paraId="1175576C">
            <w:r>
              <w:rPr>
                <w:rStyle w:val="10"/>
                <w:rFonts w:hint="eastAsia"/>
              </w:rPr>
              <w:t>毒性及其标识：</w:t>
            </w:r>
            <w:r>
              <w:rPr>
                <w:rFonts w:hint="eastAsia"/>
              </w:rPr>
              <w:t xml:space="preserve"> </w:t>
            </w:r>
            <w:r>
              <w:rPr>
                <w:lang/>
              </w:rPr>
              <w:drawing>
                <wp:inline distT="0" distB="0" distL="114300" distR="114300">
                  <wp:extent cx="476250" cy="323850"/>
                  <wp:effectExtent l="0" t="0" r="0" b="0"/>
                  <wp:docPr id="291" name="图片 2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36F184">
        <w:tblPrEx>
          <w:tblCellMar>
            <w:top w:w="0" w:type="dxa"/>
            <w:left w:w="0" w:type="dxa"/>
            <w:bottom w:w="0" w:type="dxa"/>
            <w:right w:w="0" w:type="dxa"/>
          </w:tblCellMar>
        </w:tblPrEx>
        <w:trPr>
          <w:wBefore w:w="0" w:type="auto"/>
          <w:tblCellSpacing w:w="0" w:type="dxa"/>
        </w:trPr>
        <w:tc>
          <w:tcPr>
            <w:tcW w:w="0" w:type="auto"/>
            <w:noWrap w:val="0"/>
            <w:vAlign w:val="center"/>
          </w:tcPr>
          <w:p w14:paraId="30577252">
            <w:r>
              <w:rPr>
                <w:rStyle w:val="10"/>
                <w:rFonts w:hint="eastAsia"/>
              </w:rPr>
              <w:t>总有效成分含量：</w:t>
            </w:r>
            <w:r>
              <w:rPr>
                <w:rFonts w:hint="eastAsia"/>
              </w:rPr>
              <w:t>70%</w:t>
            </w:r>
          </w:p>
        </w:tc>
      </w:tr>
      <w:tr w14:paraId="6CDD2BCC">
        <w:tblPrEx>
          <w:tblCellMar>
            <w:top w:w="0" w:type="dxa"/>
            <w:left w:w="0" w:type="dxa"/>
            <w:bottom w:w="0" w:type="dxa"/>
            <w:right w:w="0" w:type="dxa"/>
          </w:tblCellMar>
        </w:tblPrEx>
        <w:trPr>
          <w:wBefore w:w="0" w:type="auto"/>
          <w:tblCellSpacing w:w="0" w:type="dxa"/>
        </w:trPr>
        <w:tc>
          <w:tcPr>
            <w:tcW w:w="0" w:type="auto"/>
            <w:noWrap w:val="0"/>
            <w:vAlign w:val="center"/>
          </w:tcPr>
          <w:p w14:paraId="6D61CAEA">
            <w:r>
              <w:rPr>
                <w:rFonts w:hint="eastAsia"/>
              </w:rPr>
              <w:t xml:space="preserve">有效成分及其含量： </w:t>
            </w:r>
          </w:p>
          <w:p w14:paraId="15932D9F">
            <w:r>
              <w:rPr>
                <w:rFonts w:hint="eastAsia"/>
              </w:rPr>
              <w:t xml:space="preserve">    吡嘧磺隆2%    丁草胺60%    异噁草松8%    </w:t>
            </w:r>
          </w:p>
        </w:tc>
      </w:tr>
      <w:tr w14:paraId="1FB8517F">
        <w:tblPrEx>
          <w:tblCellMar>
            <w:top w:w="0" w:type="dxa"/>
            <w:left w:w="0" w:type="dxa"/>
            <w:bottom w:w="0" w:type="dxa"/>
            <w:right w:w="0" w:type="dxa"/>
          </w:tblCellMar>
        </w:tblPrEx>
        <w:trPr>
          <w:wBefore w:w="0" w:type="auto"/>
          <w:tblCellSpacing w:w="0" w:type="dxa"/>
        </w:trPr>
        <w:tc>
          <w:tcPr>
            <w:tcW w:w="0" w:type="auto"/>
            <w:noWrap w:val="0"/>
            <w:vAlign w:val="center"/>
          </w:tcPr>
          <w:p w14:paraId="7895D9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41B2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81A74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10DF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E7CD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CD0171">
                  <w:r>
                    <w:rPr>
                      <w:rStyle w:val="11"/>
                      <w:rFonts w:hint="eastAsia"/>
                    </w:rPr>
                    <w:t>施用方式</w:t>
                  </w:r>
                </w:p>
              </w:tc>
            </w:tr>
            <w:tr w14:paraId="0ED21B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30B176">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F4780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1615BC">
                  <w:r>
                    <w:rPr>
                      <w:rStyle w:val="11"/>
                      <w:rFonts w:hint="eastAsia"/>
                    </w:rPr>
                    <w:t>100-140毫升/亩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49AE92">
                  <w:r>
                    <w:rPr>
                      <w:rStyle w:val="11"/>
                      <w:rFonts w:hint="eastAsia"/>
                    </w:rPr>
                    <w:t>土壤喷雾</w:t>
                  </w:r>
                </w:p>
              </w:tc>
            </w:tr>
          </w:tbl>
          <w:p w14:paraId="7F3750BA">
            <w:pPr>
              <w:rPr>
                <w:rFonts w:ascii="Times New Roman" w:hAnsi="Times New Roman" w:cs="Times New Roman"/>
                <w:sz w:val="20"/>
                <w:szCs w:val="20"/>
              </w:rPr>
            </w:pPr>
          </w:p>
        </w:tc>
      </w:tr>
      <w:tr w14:paraId="03A13739">
        <w:tblPrEx>
          <w:tblCellMar>
            <w:top w:w="0" w:type="dxa"/>
            <w:left w:w="0" w:type="dxa"/>
            <w:bottom w:w="0" w:type="dxa"/>
            <w:right w:w="0" w:type="dxa"/>
          </w:tblCellMar>
        </w:tblPrEx>
        <w:trPr>
          <w:wBefore w:w="0" w:type="auto"/>
          <w:tblCellSpacing w:w="0" w:type="dxa"/>
        </w:trPr>
        <w:tc>
          <w:tcPr>
            <w:tcW w:w="0" w:type="auto"/>
            <w:noWrap w:val="0"/>
            <w:vAlign w:val="center"/>
          </w:tcPr>
          <w:p w14:paraId="68F124DF">
            <w:r>
              <w:rPr>
                <w:rStyle w:val="10"/>
                <w:rFonts w:hint="eastAsia"/>
              </w:rPr>
              <w:t>使用技术要求:</w:t>
            </w:r>
            <w:r>
              <w:rPr>
                <w:rFonts w:hint="eastAsia"/>
              </w:rPr>
              <w:br w:type="textWrapping"/>
            </w:r>
            <w:r>
              <w:rPr>
                <w:rStyle w:val="11"/>
                <w:rFonts w:hint="eastAsia"/>
              </w:rPr>
              <w:t>1. 于直播水稻田播后1-3天，杂草出土前，土壤喷雾施药，施药前排干田水，保持田间湿润无积水，药后2-5天恢复正常管理。2. 大风天或预计1小时内降雨，请勿施药。3. 每季最多使用1次。</w:t>
            </w:r>
          </w:p>
        </w:tc>
      </w:tr>
      <w:tr w14:paraId="68FF7EE0">
        <w:tblPrEx>
          <w:tblCellMar>
            <w:top w:w="0" w:type="dxa"/>
            <w:left w:w="0" w:type="dxa"/>
            <w:bottom w:w="0" w:type="dxa"/>
            <w:right w:w="0" w:type="dxa"/>
          </w:tblCellMar>
        </w:tblPrEx>
        <w:trPr>
          <w:wBefore w:w="0" w:type="auto"/>
          <w:tblCellSpacing w:w="0" w:type="dxa"/>
        </w:trPr>
        <w:tc>
          <w:tcPr>
            <w:tcW w:w="0" w:type="auto"/>
            <w:noWrap w:val="0"/>
            <w:vAlign w:val="center"/>
          </w:tcPr>
          <w:p w14:paraId="25DC9266">
            <w:r>
              <w:rPr>
                <w:rStyle w:val="10"/>
                <w:rFonts w:hint="eastAsia"/>
              </w:rPr>
              <w:t>产品性能:</w:t>
            </w:r>
            <w:r>
              <w:rPr>
                <w:rFonts w:hint="eastAsia"/>
              </w:rPr>
              <w:br w:type="textWrapping"/>
            </w:r>
            <w:r>
              <w:rPr>
                <w:rStyle w:val="11"/>
                <w:rFonts w:hint="eastAsia"/>
              </w:rPr>
              <w:t>本品为选择性内吸传导型除草剂,通过植物幼芽、根系吸收传导阻碍杂草幼苗生长而死亡，是一种高效、一次性水田除草剂。除草活性较高，对水稻田较顽固的恶性杂草效果较好。可有效防除千金子、马塘、双穗雀稗、稻稗、稗草、三棱草、泽泻、萤蔺、眼子菜、蟋蟀草、狼巴草、雨久花、节节菜、陌上菜、水莎草、野荸荠、牛毛毡、异型莎草、稻李氏禾等多种一年生禾本科和阔叶杂草及莎草科杂草有较好的防效</w:t>
            </w:r>
          </w:p>
        </w:tc>
      </w:tr>
      <w:tr w14:paraId="6BD65C08">
        <w:tblPrEx>
          <w:tblCellMar>
            <w:top w:w="0" w:type="dxa"/>
            <w:left w:w="0" w:type="dxa"/>
            <w:bottom w:w="0" w:type="dxa"/>
            <w:right w:w="0" w:type="dxa"/>
          </w:tblCellMar>
        </w:tblPrEx>
        <w:trPr>
          <w:wBefore w:w="0" w:type="auto"/>
          <w:tblCellSpacing w:w="0" w:type="dxa"/>
        </w:trPr>
        <w:tc>
          <w:tcPr>
            <w:tcW w:w="0" w:type="auto"/>
            <w:noWrap w:val="0"/>
            <w:vAlign w:val="center"/>
          </w:tcPr>
          <w:p w14:paraId="58B208FD">
            <w:r>
              <w:rPr>
                <w:rStyle w:val="10"/>
                <w:rFonts w:hint="eastAsia"/>
              </w:rPr>
              <w:t>注意事项：</w:t>
            </w:r>
            <w:r>
              <w:rPr>
                <w:rFonts w:hint="eastAsia"/>
              </w:rPr>
              <w:br w:type="textWrapping"/>
            </w:r>
            <w:r>
              <w:rPr>
                <w:rStyle w:val="11"/>
                <w:rFonts w:hint="eastAsia"/>
              </w:rPr>
              <w:t>1. 本品对眼睛、皮肤有刺激性，使用时避免接触眼睛、皮肤穿戴长衣、长裤、帽子、口罩、手套等防护措施。施药期间不可吃东西和饮水。施药后就及时洗手、洗脸。2. 本品对蜜蜂、家蚕和鱼类等水生生物有毒。开花植物花期、蚕室、桑园附近禁用，赤眼蜂等天敌放飞区禁用。3. 水产养殖区、河塘等水体附近禁用，禁止在河塘等水域清洗施药器具；鱼或虾蟹套养稻田禁用、施药后的田水不得直接排入水体。 4. 建议与不同作用机制除草剂轮换使用。 5. 孕妇及哺乳期妇女禁止接触本品。6. 废弃物、用过的容器应妥善处理，不可做他用，也不可随意丢弃。</w:t>
            </w:r>
          </w:p>
        </w:tc>
      </w:tr>
      <w:tr w14:paraId="5B401363">
        <w:tblPrEx>
          <w:tblCellMar>
            <w:top w:w="0" w:type="dxa"/>
            <w:left w:w="0" w:type="dxa"/>
            <w:bottom w:w="0" w:type="dxa"/>
            <w:right w:w="0" w:type="dxa"/>
          </w:tblCellMar>
        </w:tblPrEx>
        <w:trPr>
          <w:wBefore w:w="0" w:type="auto"/>
          <w:tblCellSpacing w:w="0" w:type="dxa"/>
        </w:trPr>
        <w:tc>
          <w:tcPr>
            <w:tcW w:w="0" w:type="auto"/>
            <w:noWrap w:val="0"/>
            <w:vAlign w:val="center"/>
          </w:tcPr>
          <w:p w14:paraId="510DA52A">
            <w:r>
              <w:rPr>
                <w:rStyle w:val="10"/>
                <w:rFonts w:hint="eastAsia"/>
              </w:rPr>
              <w:t>中毒急救措施：</w:t>
            </w:r>
            <w:r>
              <w:rPr>
                <w:rFonts w:hint="eastAsia"/>
              </w:rPr>
              <w:br w:type="textWrapping"/>
            </w:r>
            <w:r>
              <w:rPr>
                <w:rStyle w:val="11"/>
                <w:rFonts w:hint="eastAsia"/>
              </w:rPr>
              <w:t>不慎接触皮肤或溅入眼睛，应用大量清水冲洗至少15分钟；若不慎吸入，应将病人移至空气流通处；若误食，应携带标签及时送医院对症治疗。</w:t>
            </w:r>
          </w:p>
        </w:tc>
      </w:tr>
      <w:tr w14:paraId="7BA2AE23">
        <w:tblPrEx>
          <w:tblCellMar>
            <w:top w:w="0" w:type="dxa"/>
            <w:left w:w="0" w:type="dxa"/>
            <w:bottom w:w="0" w:type="dxa"/>
            <w:right w:w="0" w:type="dxa"/>
          </w:tblCellMar>
        </w:tblPrEx>
        <w:trPr>
          <w:wBefore w:w="0" w:type="auto"/>
          <w:tblCellSpacing w:w="0" w:type="dxa"/>
        </w:trPr>
        <w:tc>
          <w:tcPr>
            <w:tcW w:w="0" w:type="auto"/>
            <w:noWrap w:val="0"/>
            <w:vAlign w:val="center"/>
          </w:tcPr>
          <w:p w14:paraId="0E15A14C">
            <w:r>
              <w:rPr>
                <w:rStyle w:val="10"/>
                <w:rFonts w:hint="eastAsia"/>
              </w:rPr>
              <w:t>储存和运输方法：</w:t>
            </w:r>
            <w:r>
              <w:rPr>
                <w:rFonts w:hint="eastAsia"/>
              </w:rPr>
              <w:br w:type="textWrapping"/>
            </w:r>
            <w:r>
              <w:rPr>
                <w:rStyle w:val="11"/>
                <w:rFonts w:hint="eastAsia"/>
              </w:rPr>
              <w:t>1. 本品属于易燃液体，应密封贮存在干燥、阴凉、通风、防雨处，远离火源或热源。 2. 存放于儿童、无关人员触及不到之处，并加锁。 3. 勿与食品、饮料、粮食、饲料等其他商品同贮同运。</w:t>
            </w:r>
          </w:p>
        </w:tc>
      </w:tr>
      <w:tr w14:paraId="4249C030">
        <w:tblPrEx>
          <w:tblCellMar>
            <w:top w:w="0" w:type="dxa"/>
            <w:left w:w="0" w:type="dxa"/>
            <w:bottom w:w="0" w:type="dxa"/>
            <w:right w:w="0" w:type="dxa"/>
          </w:tblCellMar>
        </w:tblPrEx>
        <w:trPr>
          <w:wBefore w:w="0" w:type="auto"/>
          <w:tblCellSpacing w:w="0" w:type="dxa"/>
        </w:trPr>
        <w:tc>
          <w:tcPr>
            <w:tcW w:w="0" w:type="auto"/>
            <w:noWrap w:val="0"/>
            <w:vAlign w:val="center"/>
          </w:tcPr>
          <w:p w14:paraId="7EB27FB6">
            <w:r>
              <w:rPr>
                <w:rStyle w:val="10"/>
                <w:rFonts w:hint="eastAsia"/>
              </w:rPr>
              <w:t>质量保证期：</w:t>
            </w:r>
            <w:r>
              <w:rPr>
                <w:rStyle w:val="11"/>
                <w:rFonts w:hint="eastAsia"/>
              </w:rPr>
              <w:t>2年</w:t>
            </w:r>
          </w:p>
        </w:tc>
      </w:tr>
      <w:tr w14:paraId="037F6A4B">
        <w:tblPrEx>
          <w:tblCellMar>
            <w:top w:w="0" w:type="dxa"/>
            <w:left w:w="0" w:type="dxa"/>
            <w:bottom w:w="0" w:type="dxa"/>
            <w:right w:w="0" w:type="dxa"/>
          </w:tblCellMar>
        </w:tblPrEx>
        <w:trPr>
          <w:wBefore w:w="0" w:type="auto"/>
          <w:tblCellSpacing w:w="0" w:type="dxa"/>
        </w:trPr>
        <w:tc>
          <w:tcPr>
            <w:tcW w:w="0" w:type="auto"/>
            <w:noWrap w:val="0"/>
            <w:vAlign w:val="center"/>
          </w:tcPr>
          <w:p w14:paraId="4AF80291">
            <w:r>
              <w:rPr>
                <w:rStyle w:val="10"/>
                <w:rFonts w:hint="eastAsia"/>
              </w:rPr>
              <w:t>备注：</w:t>
            </w:r>
          </w:p>
        </w:tc>
      </w:tr>
    </w:tbl>
    <w:p w14:paraId="21FB83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DFA591">
        <w:tblPrEx>
          <w:tblCellMar>
            <w:top w:w="0" w:type="dxa"/>
            <w:left w:w="0" w:type="dxa"/>
            <w:bottom w:w="0" w:type="dxa"/>
            <w:right w:w="0" w:type="dxa"/>
          </w:tblCellMar>
        </w:tblPrEx>
        <w:trPr>
          <w:wBefore w:w="0" w:type="auto"/>
          <w:tblCellSpacing w:w="0" w:type="dxa"/>
        </w:trPr>
        <w:tc>
          <w:tcPr>
            <w:tcW w:w="0" w:type="auto"/>
            <w:noWrap w:val="0"/>
            <w:vAlign w:val="center"/>
          </w:tcPr>
          <w:p w14:paraId="59B168D7">
            <w:r>
              <w:rPr>
                <w:rStyle w:val="10"/>
                <w:rFonts w:hint="eastAsia"/>
              </w:rPr>
              <w:t>登记证号：</w:t>
            </w:r>
            <w:r>
              <w:rPr>
                <w:rFonts w:hint="eastAsia"/>
              </w:rPr>
              <w:t>WP20210399</w:t>
            </w:r>
          </w:p>
        </w:tc>
      </w:tr>
      <w:tr w14:paraId="0C2CD47B">
        <w:tblPrEx>
          <w:tblCellMar>
            <w:top w:w="0" w:type="dxa"/>
            <w:left w:w="0" w:type="dxa"/>
            <w:bottom w:w="0" w:type="dxa"/>
            <w:right w:w="0" w:type="dxa"/>
          </w:tblCellMar>
        </w:tblPrEx>
        <w:trPr>
          <w:wBefore w:w="0" w:type="auto"/>
          <w:tblCellSpacing w:w="0" w:type="dxa"/>
        </w:trPr>
        <w:tc>
          <w:tcPr>
            <w:tcW w:w="0" w:type="auto"/>
            <w:noWrap w:val="0"/>
            <w:vAlign w:val="center"/>
          </w:tcPr>
          <w:p w14:paraId="11EE80B9">
            <w:r>
              <w:rPr>
                <w:rStyle w:val="10"/>
                <w:rFonts w:hint="eastAsia"/>
              </w:rPr>
              <w:t>登记证持有人：</w:t>
            </w:r>
            <w:r>
              <w:rPr>
                <w:rFonts w:hint="eastAsia"/>
              </w:rPr>
              <w:t>中山榄菊日化实业有限公司</w:t>
            </w:r>
          </w:p>
        </w:tc>
      </w:tr>
      <w:tr w14:paraId="64935C6C">
        <w:tblPrEx>
          <w:tblCellMar>
            <w:top w:w="0" w:type="dxa"/>
            <w:left w:w="0" w:type="dxa"/>
            <w:bottom w:w="0" w:type="dxa"/>
            <w:right w:w="0" w:type="dxa"/>
          </w:tblCellMar>
        </w:tblPrEx>
        <w:trPr>
          <w:wBefore w:w="0" w:type="auto"/>
          <w:tblCellSpacing w:w="0" w:type="dxa"/>
        </w:trPr>
        <w:tc>
          <w:tcPr>
            <w:tcW w:w="0" w:type="auto"/>
            <w:noWrap w:val="0"/>
            <w:vAlign w:val="center"/>
          </w:tcPr>
          <w:p w14:paraId="0CAAC0C1">
            <w:r>
              <w:rPr>
                <w:rStyle w:val="10"/>
                <w:rFonts w:hint="eastAsia"/>
              </w:rPr>
              <w:t>农药名称：</w:t>
            </w:r>
            <w:r>
              <w:rPr>
                <w:rFonts w:hint="eastAsia"/>
              </w:rPr>
              <w:t>杀蝇饵剂</w:t>
            </w:r>
          </w:p>
        </w:tc>
      </w:tr>
      <w:tr w14:paraId="7162D4B0">
        <w:tblPrEx>
          <w:tblCellMar>
            <w:top w:w="0" w:type="dxa"/>
            <w:left w:w="0" w:type="dxa"/>
            <w:bottom w:w="0" w:type="dxa"/>
            <w:right w:w="0" w:type="dxa"/>
          </w:tblCellMar>
        </w:tblPrEx>
        <w:trPr>
          <w:wBefore w:w="0" w:type="auto"/>
          <w:tblCellSpacing w:w="0" w:type="dxa"/>
        </w:trPr>
        <w:tc>
          <w:tcPr>
            <w:tcW w:w="0" w:type="auto"/>
            <w:noWrap w:val="0"/>
            <w:vAlign w:val="center"/>
          </w:tcPr>
          <w:p w14:paraId="061B13C8">
            <w:r>
              <w:rPr>
                <w:rStyle w:val="10"/>
                <w:rFonts w:hint="eastAsia"/>
              </w:rPr>
              <w:t>剂型：</w:t>
            </w:r>
            <w:r>
              <w:rPr>
                <w:rFonts w:hint="eastAsia"/>
              </w:rPr>
              <w:t>饵剂</w:t>
            </w:r>
          </w:p>
        </w:tc>
      </w:tr>
      <w:tr w14:paraId="0CCC90F7">
        <w:tblPrEx>
          <w:tblCellMar>
            <w:top w:w="0" w:type="dxa"/>
            <w:left w:w="0" w:type="dxa"/>
            <w:bottom w:w="0" w:type="dxa"/>
            <w:right w:w="0" w:type="dxa"/>
          </w:tblCellMar>
        </w:tblPrEx>
        <w:trPr>
          <w:wBefore w:w="0" w:type="auto"/>
          <w:tblCellSpacing w:w="0" w:type="dxa"/>
        </w:trPr>
        <w:tc>
          <w:tcPr>
            <w:tcW w:w="0" w:type="auto"/>
            <w:noWrap w:val="0"/>
            <w:vAlign w:val="center"/>
          </w:tcPr>
          <w:p w14:paraId="747C7A1D">
            <w:r>
              <w:rPr>
                <w:rStyle w:val="10"/>
                <w:rFonts w:hint="eastAsia"/>
              </w:rPr>
              <w:t>毒性及其标识：</w:t>
            </w:r>
            <w:r>
              <w:rPr>
                <w:rFonts w:hint="eastAsia"/>
              </w:rPr>
              <w:t xml:space="preserve"> 微毒 </w:t>
            </w:r>
          </w:p>
        </w:tc>
      </w:tr>
      <w:tr w14:paraId="3B993B1B">
        <w:tblPrEx>
          <w:tblCellMar>
            <w:top w:w="0" w:type="dxa"/>
            <w:left w:w="0" w:type="dxa"/>
            <w:bottom w:w="0" w:type="dxa"/>
            <w:right w:w="0" w:type="dxa"/>
          </w:tblCellMar>
        </w:tblPrEx>
        <w:trPr>
          <w:wBefore w:w="0" w:type="auto"/>
          <w:tblCellSpacing w:w="0" w:type="dxa"/>
        </w:trPr>
        <w:tc>
          <w:tcPr>
            <w:tcW w:w="0" w:type="auto"/>
            <w:noWrap w:val="0"/>
            <w:vAlign w:val="center"/>
          </w:tcPr>
          <w:p w14:paraId="59835B80">
            <w:r>
              <w:rPr>
                <w:rStyle w:val="10"/>
                <w:rFonts w:hint="eastAsia"/>
              </w:rPr>
              <w:t>总有效成分含量：</w:t>
            </w:r>
            <w:r>
              <w:rPr>
                <w:rFonts w:hint="eastAsia"/>
              </w:rPr>
              <w:t>0.15%</w:t>
            </w:r>
          </w:p>
        </w:tc>
      </w:tr>
      <w:tr w14:paraId="70F37BFA">
        <w:tblPrEx>
          <w:tblCellMar>
            <w:top w:w="0" w:type="dxa"/>
            <w:left w:w="0" w:type="dxa"/>
            <w:bottom w:w="0" w:type="dxa"/>
            <w:right w:w="0" w:type="dxa"/>
          </w:tblCellMar>
        </w:tblPrEx>
        <w:trPr>
          <w:wBefore w:w="0" w:type="auto"/>
          <w:tblCellSpacing w:w="0" w:type="dxa"/>
        </w:trPr>
        <w:tc>
          <w:tcPr>
            <w:tcW w:w="0" w:type="auto"/>
            <w:noWrap w:val="0"/>
            <w:vAlign w:val="center"/>
          </w:tcPr>
          <w:p w14:paraId="70CC6C6F">
            <w:r>
              <w:rPr>
                <w:rFonts w:hint="eastAsia"/>
              </w:rPr>
              <w:t xml:space="preserve">有效成分及其含量： </w:t>
            </w:r>
          </w:p>
          <w:p w14:paraId="59C9865B">
            <w:r>
              <w:rPr>
                <w:rFonts w:hint="eastAsia"/>
              </w:rPr>
              <w:t xml:space="preserve">    呋虫胺0.15%    </w:t>
            </w:r>
          </w:p>
        </w:tc>
      </w:tr>
      <w:tr w14:paraId="37936386">
        <w:tblPrEx>
          <w:tblCellMar>
            <w:top w:w="0" w:type="dxa"/>
            <w:left w:w="0" w:type="dxa"/>
            <w:bottom w:w="0" w:type="dxa"/>
            <w:right w:w="0" w:type="dxa"/>
          </w:tblCellMar>
        </w:tblPrEx>
        <w:trPr>
          <w:wBefore w:w="0" w:type="auto"/>
          <w:tblCellSpacing w:w="0" w:type="dxa"/>
        </w:trPr>
        <w:tc>
          <w:tcPr>
            <w:tcW w:w="0" w:type="auto"/>
            <w:noWrap w:val="0"/>
            <w:vAlign w:val="center"/>
          </w:tcPr>
          <w:p w14:paraId="4518C43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4CCE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F397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081E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8B422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F8763C">
                  <w:r>
                    <w:rPr>
                      <w:rStyle w:val="11"/>
                      <w:rFonts w:hint="eastAsia"/>
                    </w:rPr>
                    <w:t>施用方式</w:t>
                  </w:r>
                </w:p>
              </w:tc>
            </w:tr>
            <w:tr w14:paraId="6E17D7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BA98A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F2F319">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7D2EB3">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09510D">
                  <w:r>
                    <w:rPr>
                      <w:rStyle w:val="11"/>
                      <w:rFonts w:hint="eastAsia"/>
                    </w:rPr>
                    <w:t>投放</w:t>
                  </w:r>
                </w:p>
              </w:tc>
            </w:tr>
          </w:tbl>
          <w:p w14:paraId="60402BF3">
            <w:pPr>
              <w:rPr>
                <w:rFonts w:ascii="Times New Roman" w:hAnsi="Times New Roman" w:cs="Times New Roman"/>
                <w:sz w:val="20"/>
                <w:szCs w:val="20"/>
              </w:rPr>
            </w:pPr>
          </w:p>
        </w:tc>
      </w:tr>
      <w:tr w14:paraId="1DD17894">
        <w:tblPrEx>
          <w:tblCellMar>
            <w:top w:w="0" w:type="dxa"/>
            <w:left w:w="0" w:type="dxa"/>
            <w:bottom w:w="0" w:type="dxa"/>
            <w:right w:w="0" w:type="dxa"/>
          </w:tblCellMar>
        </w:tblPrEx>
        <w:trPr>
          <w:wBefore w:w="0" w:type="auto"/>
          <w:tblCellSpacing w:w="0" w:type="dxa"/>
        </w:trPr>
        <w:tc>
          <w:tcPr>
            <w:tcW w:w="0" w:type="auto"/>
            <w:noWrap w:val="0"/>
            <w:vAlign w:val="center"/>
          </w:tcPr>
          <w:p w14:paraId="54D3F13E">
            <w:r>
              <w:rPr>
                <w:rStyle w:val="10"/>
                <w:rFonts w:hint="eastAsia"/>
              </w:rPr>
              <w:t>使用技术要求:</w:t>
            </w:r>
            <w:r>
              <w:rPr>
                <w:rFonts w:hint="eastAsia"/>
              </w:rPr>
              <w:br w:type="textWrapping"/>
            </w:r>
            <w:r>
              <w:rPr>
                <w:rStyle w:val="11"/>
                <w:rFonts w:hint="eastAsia"/>
              </w:rPr>
              <w:t>1. 取出容器，撕开下封膜。2. 将下容器和盖子按照箭头的位置扣好。 将本品投放在厨房、垃圾箱等容易产生蝇的地方。本品的果冻变小了或覆盖灰尘时请及时更换新的饵剂。</w:t>
            </w:r>
          </w:p>
        </w:tc>
      </w:tr>
      <w:tr w14:paraId="232937D4">
        <w:tblPrEx>
          <w:tblCellMar>
            <w:top w:w="0" w:type="dxa"/>
            <w:left w:w="0" w:type="dxa"/>
            <w:bottom w:w="0" w:type="dxa"/>
            <w:right w:w="0" w:type="dxa"/>
          </w:tblCellMar>
        </w:tblPrEx>
        <w:trPr>
          <w:wBefore w:w="0" w:type="auto"/>
          <w:tblCellSpacing w:w="0" w:type="dxa"/>
        </w:trPr>
        <w:tc>
          <w:tcPr>
            <w:tcW w:w="0" w:type="auto"/>
            <w:noWrap w:val="0"/>
            <w:vAlign w:val="center"/>
          </w:tcPr>
          <w:p w14:paraId="5E09F9D6">
            <w:r>
              <w:rPr>
                <w:rStyle w:val="10"/>
                <w:rFonts w:hint="eastAsia"/>
              </w:rPr>
              <w:t>产品性能:</w:t>
            </w:r>
            <w:r>
              <w:rPr>
                <w:rFonts w:hint="eastAsia"/>
              </w:rPr>
              <w:br w:type="textWrapping"/>
            </w:r>
            <w:r>
              <w:rPr>
                <w:rStyle w:val="11"/>
                <w:rFonts w:hint="eastAsia"/>
              </w:rPr>
              <w:t>本品以呋虫胺为有效成分，属于第三代烟碱类杀虫剂，通过作用于昆虫神经传递系统而导致害虫死亡，能有效杀灭室内蝇，可适用于家庭居室、酒店、宾馆、食品加工、餐饮、学校、医院、交通工具、办公室以及商超等各类场所。</w:t>
            </w:r>
          </w:p>
        </w:tc>
      </w:tr>
      <w:tr w14:paraId="1AC46E6B">
        <w:tblPrEx>
          <w:tblCellMar>
            <w:top w:w="0" w:type="dxa"/>
            <w:left w:w="0" w:type="dxa"/>
            <w:bottom w:w="0" w:type="dxa"/>
            <w:right w:w="0" w:type="dxa"/>
          </w:tblCellMar>
        </w:tblPrEx>
        <w:trPr>
          <w:wBefore w:w="0" w:type="auto"/>
          <w:tblCellSpacing w:w="0" w:type="dxa"/>
        </w:trPr>
        <w:tc>
          <w:tcPr>
            <w:tcW w:w="0" w:type="auto"/>
            <w:noWrap w:val="0"/>
            <w:vAlign w:val="center"/>
          </w:tcPr>
          <w:p w14:paraId="73B42045">
            <w:r>
              <w:rPr>
                <w:rStyle w:val="10"/>
                <w:rFonts w:hint="eastAsia"/>
              </w:rPr>
              <w:t>注意事项：</w:t>
            </w:r>
            <w:r>
              <w:rPr>
                <w:rFonts w:hint="eastAsia"/>
              </w:rPr>
              <w:br w:type="textWrapping"/>
            </w:r>
            <w:r>
              <w:rPr>
                <w:rStyle w:val="11"/>
                <w:rFonts w:hint="eastAsia"/>
              </w:rPr>
              <w:t>仅限在室内使用。切勿污染食品及饮用水。禁止在河塘等水体中清洗施药器具。用后洗手。放置在儿童接触不到的位置，过敏者禁用。</w:t>
            </w:r>
          </w:p>
        </w:tc>
      </w:tr>
      <w:tr w14:paraId="7EFEDCD9">
        <w:tblPrEx>
          <w:tblCellMar>
            <w:top w:w="0" w:type="dxa"/>
            <w:left w:w="0" w:type="dxa"/>
            <w:bottom w:w="0" w:type="dxa"/>
            <w:right w:w="0" w:type="dxa"/>
          </w:tblCellMar>
        </w:tblPrEx>
        <w:trPr>
          <w:wBefore w:w="0" w:type="auto"/>
          <w:tblCellSpacing w:w="0" w:type="dxa"/>
        </w:trPr>
        <w:tc>
          <w:tcPr>
            <w:tcW w:w="0" w:type="auto"/>
            <w:noWrap w:val="0"/>
            <w:vAlign w:val="center"/>
          </w:tcPr>
          <w:p w14:paraId="1B5F71F8">
            <w:r>
              <w:rPr>
                <w:rStyle w:val="10"/>
                <w:rFonts w:hint="eastAsia"/>
              </w:rPr>
              <w:t>中毒急救措施：</w:t>
            </w:r>
            <w:r>
              <w:rPr>
                <w:rFonts w:hint="eastAsia"/>
              </w:rPr>
              <w:br w:type="textWrapping"/>
            </w:r>
            <w:r>
              <w:rPr>
                <w:rStyle w:val="11"/>
                <w:rFonts w:hint="eastAsia"/>
              </w:rPr>
              <w:t>若药剂沾染皮肤或眼睛，请及时用清水冲洗至少15分钟。 若误食，请立即携标签就医对症治疗。</w:t>
            </w:r>
          </w:p>
        </w:tc>
      </w:tr>
      <w:tr w14:paraId="5B2FE598">
        <w:tblPrEx>
          <w:tblCellMar>
            <w:top w:w="0" w:type="dxa"/>
            <w:left w:w="0" w:type="dxa"/>
            <w:bottom w:w="0" w:type="dxa"/>
            <w:right w:w="0" w:type="dxa"/>
          </w:tblCellMar>
        </w:tblPrEx>
        <w:trPr>
          <w:wBefore w:w="0" w:type="auto"/>
          <w:tblCellSpacing w:w="0" w:type="dxa"/>
        </w:trPr>
        <w:tc>
          <w:tcPr>
            <w:tcW w:w="0" w:type="auto"/>
            <w:noWrap w:val="0"/>
            <w:vAlign w:val="center"/>
          </w:tcPr>
          <w:p w14:paraId="50E5D28C">
            <w:r>
              <w:rPr>
                <w:rStyle w:val="10"/>
                <w:rFonts w:hint="eastAsia"/>
              </w:rPr>
              <w:t>储存和运输方法：</w:t>
            </w:r>
            <w:r>
              <w:rPr>
                <w:rFonts w:hint="eastAsia"/>
              </w:rPr>
              <w:br w:type="textWrapping"/>
            </w:r>
            <w:r>
              <w:rPr>
                <w:rStyle w:val="11"/>
                <w:rFonts w:hint="eastAsia"/>
              </w:rPr>
              <w:t>本品应贮存于阴凉、干燥、通风、避光处，并远离火源和热源。 应置于儿童及宠物触及不到之处，并加锁。 运输时，请防雨淋、高温，注意轻拿轻放，不得损坏包装。 请勿与食品、饮料、粮食、种子、饲料等其他商品同贮同运。</w:t>
            </w:r>
          </w:p>
        </w:tc>
      </w:tr>
      <w:tr w14:paraId="009CB1D8">
        <w:tblPrEx>
          <w:tblCellMar>
            <w:top w:w="0" w:type="dxa"/>
            <w:left w:w="0" w:type="dxa"/>
            <w:bottom w:w="0" w:type="dxa"/>
            <w:right w:w="0" w:type="dxa"/>
          </w:tblCellMar>
        </w:tblPrEx>
        <w:trPr>
          <w:wBefore w:w="0" w:type="auto"/>
          <w:tblCellSpacing w:w="0" w:type="dxa"/>
        </w:trPr>
        <w:tc>
          <w:tcPr>
            <w:tcW w:w="0" w:type="auto"/>
            <w:noWrap w:val="0"/>
            <w:vAlign w:val="center"/>
          </w:tcPr>
          <w:p w14:paraId="5D436F87">
            <w:r>
              <w:rPr>
                <w:rStyle w:val="10"/>
                <w:rFonts w:hint="eastAsia"/>
              </w:rPr>
              <w:t>质量保证期：</w:t>
            </w:r>
            <w:r>
              <w:rPr>
                <w:rStyle w:val="11"/>
                <w:rFonts w:hint="eastAsia"/>
              </w:rPr>
              <w:t>3年</w:t>
            </w:r>
          </w:p>
        </w:tc>
      </w:tr>
      <w:tr w14:paraId="23A48C28">
        <w:tblPrEx>
          <w:tblCellMar>
            <w:top w:w="0" w:type="dxa"/>
            <w:left w:w="0" w:type="dxa"/>
            <w:bottom w:w="0" w:type="dxa"/>
            <w:right w:w="0" w:type="dxa"/>
          </w:tblCellMar>
        </w:tblPrEx>
        <w:trPr>
          <w:wBefore w:w="0" w:type="auto"/>
          <w:tblCellSpacing w:w="0" w:type="dxa"/>
        </w:trPr>
        <w:tc>
          <w:tcPr>
            <w:tcW w:w="0" w:type="auto"/>
            <w:noWrap w:val="0"/>
            <w:vAlign w:val="center"/>
          </w:tcPr>
          <w:p w14:paraId="79CAB1BE">
            <w:r>
              <w:rPr>
                <w:rStyle w:val="10"/>
                <w:rFonts w:hint="eastAsia"/>
              </w:rPr>
              <w:t>备注：</w:t>
            </w:r>
          </w:p>
        </w:tc>
      </w:tr>
    </w:tbl>
    <w:p w14:paraId="3410E1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5804B4">
        <w:tblPrEx>
          <w:tblCellMar>
            <w:top w:w="0" w:type="dxa"/>
            <w:left w:w="0" w:type="dxa"/>
            <w:bottom w:w="0" w:type="dxa"/>
            <w:right w:w="0" w:type="dxa"/>
          </w:tblCellMar>
        </w:tblPrEx>
        <w:trPr>
          <w:wBefore w:w="0" w:type="auto"/>
          <w:tblCellSpacing w:w="0" w:type="dxa"/>
        </w:trPr>
        <w:tc>
          <w:tcPr>
            <w:tcW w:w="0" w:type="auto"/>
            <w:noWrap w:val="0"/>
            <w:vAlign w:val="center"/>
          </w:tcPr>
          <w:p w14:paraId="0E7D3575">
            <w:r>
              <w:rPr>
                <w:rStyle w:val="10"/>
                <w:rFonts w:hint="eastAsia"/>
              </w:rPr>
              <w:t>登记证号：</w:t>
            </w:r>
            <w:r>
              <w:rPr>
                <w:rFonts w:hint="eastAsia"/>
              </w:rPr>
              <w:t>PD20212762</w:t>
            </w:r>
          </w:p>
        </w:tc>
      </w:tr>
      <w:tr w14:paraId="1ECB4000">
        <w:tblPrEx>
          <w:tblCellMar>
            <w:top w:w="0" w:type="dxa"/>
            <w:left w:w="0" w:type="dxa"/>
            <w:bottom w:w="0" w:type="dxa"/>
            <w:right w:w="0" w:type="dxa"/>
          </w:tblCellMar>
        </w:tblPrEx>
        <w:trPr>
          <w:wBefore w:w="0" w:type="auto"/>
          <w:tblCellSpacing w:w="0" w:type="dxa"/>
        </w:trPr>
        <w:tc>
          <w:tcPr>
            <w:tcW w:w="0" w:type="auto"/>
            <w:noWrap w:val="0"/>
            <w:vAlign w:val="center"/>
          </w:tcPr>
          <w:p w14:paraId="7725DF2A">
            <w:r>
              <w:rPr>
                <w:rStyle w:val="10"/>
                <w:rFonts w:hint="eastAsia"/>
              </w:rPr>
              <w:t>登记证持有人：</w:t>
            </w:r>
            <w:r>
              <w:rPr>
                <w:rFonts w:hint="eastAsia"/>
              </w:rPr>
              <w:t>青岛中达农业科技有限公司</w:t>
            </w:r>
          </w:p>
        </w:tc>
      </w:tr>
      <w:tr w14:paraId="44237FBF">
        <w:tblPrEx>
          <w:tblCellMar>
            <w:top w:w="0" w:type="dxa"/>
            <w:left w:w="0" w:type="dxa"/>
            <w:bottom w:w="0" w:type="dxa"/>
            <w:right w:w="0" w:type="dxa"/>
          </w:tblCellMar>
        </w:tblPrEx>
        <w:trPr>
          <w:wBefore w:w="0" w:type="auto"/>
          <w:tblCellSpacing w:w="0" w:type="dxa"/>
        </w:trPr>
        <w:tc>
          <w:tcPr>
            <w:tcW w:w="0" w:type="auto"/>
            <w:noWrap w:val="0"/>
            <w:vAlign w:val="center"/>
          </w:tcPr>
          <w:p w14:paraId="1E995E11">
            <w:r>
              <w:rPr>
                <w:rStyle w:val="10"/>
                <w:rFonts w:hint="eastAsia"/>
              </w:rPr>
              <w:t>农药名称：</w:t>
            </w:r>
            <w:r>
              <w:rPr>
                <w:rFonts w:hint="eastAsia"/>
              </w:rPr>
              <w:t>28-高芸·寡糖</w:t>
            </w:r>
          </w:p>
        </w:tc>
      </w:tr>
      <w:tr w14:paraId="3E4F2653">
        <w:tblPrEx>
          <w:tblCellMar>
            <w:top w:w="0" w:type="dxa"/>
            <w:left w:w="0" w:type="dxa"/>
            <w:bottom w:w="0" w:type="dxa"/>
            <w:right w:w="0" w:type="dxa"/>
          </w:tblCellMar>
        </w:tblPrEx>
        <w:trPr>
          <w:wBefore w:w="0" w:type="auto"/>
          <w:tblCellSpacing w:w="0" w:type="dxa"/>
        </w:trPr>
        <w:tc>
          <w:tcPr>
            <w:tcW w:w="0" w:type="auto"/>
            <w:noWrap w:val="0"/>
            <w:vAlign w:val="center"/>
          </w:tcPr>
          <w:p w14:paraId="579D3991">
            <w:r>
              <w:rPr>
                <w:rStyle w:val="10"/>
                <w:rFonts w:hint="eastAsia"/>
              </w:rPr>
              <w:t>剂型：</w:t>
            </w:r>
            <w:r>
              <w:rPr>
                <w:rFonts w:hint="eastAsia"/>
              </w:rPr>
              <w:t>可溶液剂</w:t>
            </w:r>
          </w:p>
        </w:tc>
      </w:tr>
      <w:tr w14:paraId="193AD46C">
        <w:tblPrEx>
          <w:tblCellMar>
            <w:top w:w="0" w:type="dxa"/>
            <w:left w:w="0" w:type="dxa"/>
            <w:bottom w:w="0" w:type="dxa"/>
            <w:right w:w="0" w:type="dxa"/>
          </w:tblCellMar>
        </w:tblPrEx>
        <w:trPr>
          <w:wBefore w:w="0" w:type="auto"/>
          <w:tblCellSpacing w:w="0" w:type="dxa"/>
        </w:trPr>
        <w:tc>
          <w:tcPr>
            <w:tcW w:w="0" w:type="auto"/>
            <w:noWrap w:val="0"/>
            <w:vAlign w:val="center"/>
          </w:tcPr>
          <w:p w14:paraId="4D6FE381">
            <w:r>
              <w:rPr>
                <w:rStyle w:val="10"/>
                <w:rFonts w:hint="eastAsia"/>
              </w:rPr>
              <w:t>毒性及其标识：</w:t>
            </w:r>
            <w:r>
              <w:rPr>
                <w:rFonts w:hint="eastAsia"/>
              </w:rPr>
              <w:t xml:space="preserve"> 微毒 </w:t>
            </w:r>
          </w:p>
        </w:tc>
      </w:tr>
      <w:tr w14:paraId="1CD5F565">
        <w:tblPrEx>
          <w:tblCellMar>
            <w:top w:w="0" w:type="dxa"/>
            <w:left w:w="0" w:type="dxa"/>
            <w:bottom w:w="0" w:type="dxa"/>
            <w:right w:w="0" w:type="dxa"/>
          </w:tblCellMar>
        </w:tblPrEx>
        <w:trPr>
          <w:wBefore w:w="0" w:type="auto"/>
          <w:tblCellSpacing w:w="0" w:type="dxa"/>
        </w:trPr>
        <w:tc>
          <w:tcPr>
            <w:tcW w:w="0" w:type="auto"/>
            <w:noWrap w:val="0"/>
            <w:vAlign w:val="center"/>
          </w:tcPr>
          <w:p w14:paraId="084FC4AA">
            <w:r>
              <w:rPr>
                <w:rStyle w:val="10"/>
                <w:rFonts w:hint="eastAsia"/>
              </w:rPr>
              <w:t>总有效成分含量：</w:t>
            </w:r>
            <w:r>
              <w:rPr>
                <w:rFonts w:hint="eastAsia"/>
              </w:rPr>
              <w:t>6%</w:t>
            </w:r>
          </w:p>
        </w:tc>
      </w:tr>
      <w:tr w14:paraId="2A301B33">
        <w:tblPrEx>
          <w:tblCellMar>
            <w:top w:w="0" w:type="dxa"/>
            <w:left w:w="0" w:type="dxa"/>
            <w:bottom w:w="0" w:type="dxa"/>
            <w:right w:w="0" w:type="dxa"/>
          </w:tblCellMar>
        </w:tblPrEx>
        <w:trPr>
          <w:wBefore w:w="0" w:type="auto"/>
          <w:tblCellSpacing w:w="0" w:type="dxa"/>
        </w:trPr>
        <w:tc>
          <w:tcPr>
            <w:tcW w:w="0" w:type="auto"/>
            <w:noWrap w:val="0"/>
            <w:vAlign w:val="center"/>
          </w:tcPr>
          <w:p w14:paraId="516844C3">
            <w:r>
              <w:rPr>
                <w:rFonts w:hint="eastAsia"/>
              </w:rPr>
              <w:t xml:space="preserve">有效成分及其含量： </w:t>
            </w:r>
          </w:p>
          <w:p w14:paraId="4BBD059D">
            <w:r>
              <w:rPr>
                <w:rFonts w:hint="eastAsia"/>
              </w:rPr>
              <w:t xml:space="preserve">    28-高芸苔素内酯0.005%    氨基寡糖素5.995%    </w:t>
            </w:r>
          </w:p>
        </w:tc>
      </w:tr>
      <w:tr w14:paraId="46BB147A">
        <w:tblPrEx>
          <w:tblCellMar>
            <w:top w:w="0" w:type="dxa"/>
            <w:left w:w="0" w:type="dxa"/>
            <w:bottom w:w="0" w:type="dxa"/>
            <w:right w:w="0" w:type="dxa"/>
          </w:tblCellMar>
        </w:tblPrEx>
        <w:trPr>
          <w:wBefore w:w="0" w:type="auto"/>
          <w:tblCellSpacing w:w="0" w:type="dxa"/>
        </w:trPr>
        <w:tc>
          <w:tcPr>
            <w:tcW w:w="0" w:type="auto"/>
            <w:noWrap w:val="0"/>
            <w:vAlign w:val="center"/>
          </w:tcPr>
          <w:p w14:paraId="57E435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1736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CC59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644C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A8A83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7C8209">
                  <w:r>
                    <w:rPr>
                      <w:rStyle w:val="11"/>
                      <w:rFonts w:hint="eastAsia"/>
                    </w:rPr>
                    <w:t>施用方式</w:t>
                  </w:r>
                </w:p>
              </w:tc>
            </w:tr>
            <w:tr w14:paraId="397BD2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FBD911">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66D885">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42E4F4">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1EB9C9">
                  <w:r>
                    <w:rPr>
                      <w:rStyle w:val="11"/>
                      <w:rFonts w:hint="eastAsia"/>
                    </w:rPr>
                    <w:t>茎叶喷雾</w:t>
                  </w:r>
                </w:p>
              </w:tc>
            </w:tr>
          </w:tbl>
          <w:p w14:paraId="147E3722">
            <w:pPr>
              <w:rPr>
                <w:rFonts w:ascii="Times New Roman" w:hAnsi="Times New Roman" w:cs="Times New Roman"/>
                <w:sz w:val="20"/>
                <w:szCs w:val="20"/>
              </w:rPr>
            </w:pPr>
          </w:p>
        </w:tc>
      </w:tr>
      <w:tr w14:paraId="08FAE7F2">
        <w:tblPrEx>
          <w:tblCellMar>
            <w:top w:w="0" w:type="dxa"/>
            <w:left w:w="0" w:type="dxa"/>
            <w:bottom w:w="0" w:type="dxa"/>
            <w:right w:w="0" w:type="dxa"/>
          </w:tblCellMar>
        </w:tblPrEx>
        <w:trPr>
          <w:wBefore w:w="0" w:type="auto"/>
          <w:tblCellSpacing w:w="0" w:type="dxa"/>
        </w:trPr>
        <w:tc>
          <w:tcPr>
            <w:tcW w:w="0" w:type="auto"/>
            <w:noWrap w:val="0"/>
            <w:vAlign w:val="center"/>
          </w:tcPr>
          <w:p w14:paraId="1520A072">
            <w:r>
              <w:rPr>
                <w:rStyle w:val="10"/>
                <w:rFonts w:hint="eastAsia"/>
              </w:rPr>
              <w:t>使用技术要求:</w:t>
            </w:r>
            <w:r>
              <w:rPr>
                <w:rFonts w:hint="eastAsia"/>
              </w:rPr>
              <w:br w:type="textWrapping"/>
            </w:r>
            <w:r>
              <w:rPr>
                <w:rStyle w:val="11"/>
                <w:rFonts w:hint="eastAsia"/>
              </w:rPr>
              <w:t>1.于番茄苗期、初花期和幼果期茎叶喷雾施药，共计施药3次。注意喷雾均匀。 2.大风或预计4个小时内下雨，请勿施药。</w:t>
            </w:r>
          </w:p>
        </w:tc>
      </w:tr>
      <w:tr w14:paraId="1E30E64B">
        <w:tblPrEx>
          <w:tblCellMar>
            <w:top w:w="0" w:type="dxa"/>
            <w:left w:w="0" w:type="dxa"/>
            <w:bottom w:w="0" w:type="dxa"/>
            <w:right w:w="0" w:type="dxa"/>
          </w:tblCellMar>
        </w:tblPrEx>
        <w:trPr>
          <w:wBefore w:w="0" w:type="auto"/>
          <w:tblCellSpacing w:w="0" w:type="dxa"/>
        </w:trPr>
        <w:tc>
          <w:tcPr>
            <w:tcW w:w="0" w:type="auto"/>
            <w:noWrap w:val="0"/>
            <w:vAlign w:val="center"/>
          </w:tcPr>
          <w:p w14:paraId="426B5CBC">
            <w:r>
              <w:rPr>
                <w:rStyle w:val="10"/>
                <w:rFonts w:hint="eastAsia"/>
              </w:rPr>
              <w:t>产品性能:</w:t>
            </w:r>
            <w:r>
              <w:rPr>
                <w:rFonts w:hint="eastAsia"/>
              </w:rPr>
              <w:br w:type="textWrapping"/>
            </w:r>
            <w:r>
              <w:rPr>
                <w:rStyle w:val="11"/>
                <w:rFonts w:hint="eastAsia"/>
              </w:rPr>
              <w:t>28-高芸苔素内酯属植物生长调节剂，氨基寡糖素属植物诱导抗病剂，在抵御病原菌侵蚀的过程中，能诱导激发植物产生一系列的防御反应，直接抑制病原物生长或释放一些寡聚糖素（具有活性的寡聚糖），在细胞表面参与对病原物的限制作用。二者在功能上相似，在番茄上可有效保花保果。</w:t>
            </w:r>
          </w:p>
        </w:tc>
      </w:tr>
      <w:tr w14:paraId="7E3B9D3C">
        <w:tblPrEx>
          <w:tblCellMar>
            <w:top w:w="0" w:type="dxa"/>
            <w:left w:w="0" w:type="dxa"/>
            <w:bottom w:w="0" w:type="dxa"/>
            <w:right w:w="0" w:type="dxa"/>
          </w:tblCellMar>
        </w:tblPrEx>
        <w:trPr>
          <w:wBefore w:w="0" w:type="auto"/>
          <w:tblCellSpacing w:w="0" w:type="dxa"/>
        </w:trPr>
        <w:tc>
          <w:tcPr>
            <w:tcW w:w="0" w:type="auto"/>
            <w:noWrap w:val="0"/>
            <w:vAlign w:val="center"/>
          </w:tcPr>
          <w:p w14:paraId="6FE58E05">
            <w:r>
              <w:rPr>
                <w:rStyle w:val="10"/>
                <w:rFonts w:hint="eastAsia"/>
              </w:rPr>
              <w:t>注意事项：</w:t>
            </w:r>
            <w:r>
              <w:rPr>
                <w:rFonts w:hint="eastAsia"/>
              </w:rPr>
              <w:br w:type="textWrapping"/>
            </w:r>
            <w:r>
              <w:rPr>
                <w:rStyle w:val="11"/>
                <w:rFonts w:hint="eastAsia"/>
              </w:rPr>
              <w:t>1.本品为植物生长调节剂，使用时加强作物的水肥管理以便能更好的生 长。2.禁止在河塘等水体中清洗施药器具，避免污染水源。3.使用本品时，应穿防护服，戴口罩或防毒面具以及胶皮手套，避免吸 入药液，污染皮肤和眼睛，施药期间不可吸烟、进食和饮水。施药完毕 后应及时换洗衣物，洗净手和脸等。 4、用过的容器应妥善处理，不可做他用，也不可随意丢弃。5.孕妇及哺乳期妇女禁止接触本品。</w:t>
            </w:r>
          </w:p>
        </w:tc>
      </w:tr>
      <w:tr w14:paraId="2A13E2F2">
        <w:tblPrEx>
          <w:tblCellMar>
            <w:top w:w="0" w:type="dxa"/>
            <w:left w:w="0" w:type="dxa"/>
            <w:bottom w:w="0" w:type="dxa"/>
            <w:right w:w="0" w:type="dxa"/>
          </w:tblCellMar>
        </w:tblPrEx>
        <w:trPr>
          <w:wBefore w:w="0" w:type="auto"/>
          <w:tblCellSpacing w:w="0" w:type="dxa"/>
        </w:trPr>
        <w:tc>
          <w:tcPr>
            <w:tcW w:w="0" w:type="auto"/>
            <w:noWrap w:val="0"/>
            <w:vAlign w:val="center"/>
          </w:tcPr>
          <w:p w14:paraId="7B22CBA8">
            <w:r>
              <w:rPr>
                <w:rStyle w:val="10"/>
                <w:rFonts w:hint="eastAsia"/>
              </w:rPr>
              <w:t>中毒急救措施：</w:t>
            </w:r>
            <w:r>
              <w:rPr>
                <w:rFonts w:hint="eastAsia"/>
              </w:rPr>
              <w:br w:type="textWrapping"/>
            </w:r>
            <w:r>
              <w:rPr>
                <w:rStyle w:val="11"/>
                <w:rFonts w:hint="eastAsia"/>
              </w:rPr>
              <w:t>急救措施：不慎接触皮肤，应脱去污染的衣物，用软布去除沾染农药，立即用肥皂水彻底清洗；不慎溅入眼睛，应用大量清水冲洗至少15分钟；不慎吸入，立即离开施药现场，转移到空气清新处；误服而发生中毒现象时，禁止引吐，请速携标签就医，并依据中毒情况对症治疗。无特效解毒剂。</w:t>
            </w:r>
          </w:p>
        </w:tc>
      </w:tr>
      <w:tr w14:paraId="36F6E205">
        <w:tblPrEx>
          <w:tblCellMar>
            <w:top w:w="0" w:type="dxa"/>
            <w:left w:w="0" w:type="dxa"/>
            <w:bottom w:w="0" w:type="dxa"/>
            <w:right w:w="0" w:type="dxa"/>
          </w:tblCellMar>
        </w:tblPrEx>
        <w:trPr>
          <w:wBefore w:w="0" w:type="auto"/>
          <w:tblCellSpacing w:w="0" w:type="dxa"/>
        </w:trPr>
        <w:tc>
          <w:tcPr>
            <w:tcW w:w="0" w:type="auto"/>
            <w:noWrap w:val="0"/>
            <w:vAlign w:val="center"/>
          </w:tcPr>
          <w:p w14:paraId="1E48B80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1582B1CE">
        <w:tblPrEx>
          <w:tblCellMar>
            <w:top w:w="0" w:type="dxa"/>
            <w:left w:w="0" w:type="dxa"/>
            <w:bottom w:w="0" w:type="dxa"/>
            <w:right w:w="0" w:type="dxa"/>
          </w:tblCellMar>
        </w:tblPrEx>
        <w:trPr>
          <w:wBefore w:w="0" w:type="auto"/>
          <w:tblCellSpacing w:w="0" w:type="dxa"/>
        </w:trPr>
        <w:tc>
          <w:tcPr>
            <w:tcW w:w="0" w:type="auto"/>
            <w:noWrap w:val="0"/>
            <w:vAlign w:val="center"/>
          </w:tcPr>
          <w:p w14:paraId="740C9C7D">
            <w:r>
              <w:rPr>
                <w:rStyle w:val="10"/>
                <w:rFonts w:hint="eastAsia"/>
              </w:rPr>
              <w:t>质量保证期：</w:t>
            </w:r>
            <w:r>
              <w:rPr>
                <w:rStyle w:val="11"/>
                <w:rFonts w:hint="eastAsia"/>
              </w:rPr>
              <w:t>2年</w:t>
            </w:r>
          </w:p>
        </w:tc>
      </w:tr>
      <w:tr w14:paraId="529CA537">
        <w:tblPrEx>
          <w:tblCellMar>
            <w:top w:w="0" w:type="dxa"/>
            <w:left w:w="0" w:type="dxa"/>
            <w:bottom w:w="0" w:type="dxa"/>
            <w:right w:w="0" w:type="dxa"/>
          </w:tblCellMar>
        </w:tblPrEx>
        <w:trPr>
          <w:wBefore w:w="0" w:type="auto"/>
          <w:tblCellSpacing w:w="0" w:type="dxa"/>
        </w:trPr>
        <w:tc>
          <w:tcPr>
            <w:tcW w:w="0" w:type="auto"/>
            <w:noWrap w:val="0"/>
            <w:vAlign w:val="center"/>
          </w:tcPr>
          <w:p w14:paraId="45C414C1">
            <w:r>
              <w:rPr>
                <w:rStyle w:val="10"/>
                <w:rFonts w:hint="eastAsia"/>
              </w:rPr>
              <w:t>备注：</w:t>
            </w:r>
          </w:p>
        </w:tc>
      </w:tr>
    </w:tbl>
    <w:p w14:paraId="61C1DB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B124EA">
        <w:tblPrEx>
          <w:tblCellMar>
            <w:top w:w="0" w:type="dxa"/>
            <w:left w:w="0" w:type="dxa"/>
            <w:bottom w:w="0" w:type="dxa"/>
            <w:right w:w="0" w:type="dxa"/>
          </w:tblCellMar>
        </w:tblPrEx>
        <w:trPr>
          <w:wBefore w:w="0" w:type="auto"/>
          <w:tblCellSpacing w:w="0" w:type="dxa"/>
        </w:trPr>
        <w:tc>
          <w:tcPr>
            <w:tcW w:w="0" w:type="auto"/>
            <w:noWrap w:val="0"/>
            <w:vAlign w:val="center"/>
          </w:tcPr>
          <w:p w14:paraId="2CDDF9F4">
            <w:r>
              <w:rPr>
                <w:rStyle w:val="10"/>
                <w:rFonts w:hint="eastAsia"/>
              </w:rPr>
              <w:t>登记证号：</w:t>
            </w:r>
            <w:r>
              <w:rPr>
                <w:rFonts w:hint="eastAsia"/>
              </w:rPr>
              <w:t>PD20212317</w:t>
            </w:r>
          </w:p>
        </w:tc>
      </w:tr>
      <w:tr w14:paraId="0EEE04F8">
        <w:tblPrEx>
          <w:tblCellMar>
            <w:top w:w="0" w:type="dxa"/>
            <w:left w:w="0" w:type="dxa"/>
            <w:bottom w:w="0" w:type="dxa"/>
            <w:right w:w="0" w:type="dxa"/>
          </w:tblCellMar>
        </w:tblPrEx>
        <w:trPr>
          <w:wBefore w:w="0" w:type="auto"/>
          <w:tblCellSpacing w:w="0" w:type="dxa"/>
        </w:trPr>
        <w:tc>
          <w:tcPr>
            <w:tcW w:w="0" w:type="auto"/>
            <w:noWrap w:val="0"/>
            <w:vAlign w:val="center"/>
          </w:tcPr>
          <w:p w14:paraId="6290EF4E">
            <w:r>
              <w:rPr>
                <w:rStyle w:val="10"/>
                <w:rFonts w:hint="eastAsia"/>
              </w:rPr>
              <w:t>登记证持有人：</w:t>
            </w:r>
            <w:r>
              <w:rPr>
                <w:rFonts w:hint="eastAsia"/>
              </w:rPr>
              <w:t>浙江世佳科技股份有限公司</w:t>
            </w:r>
          </w:p>
        </w:tc>
      </w:tr>
      <w:tr w14:paraId="03741C0B">
        <w:tblPrEx>
          <w:tblCellMar>
            <w:top w:w="0" w:type="dxa"/>
            <w:left w:w="0" w:type="dxa"/>
            <w:bottom w:w="0" w:type="dxa"/>
            <w:right w:w="0" w:type="dxa"/>
          </w:tblCellMar>
        </w:tblPrEx>
        <w:trPr>
          <w:wBefore w:w="0" w:type="auto"/>
          <w:tblCellSpacing w:w="0" w:type="dxa"/>
        </w:trPr>
        <w:tc>
          <w:tcPr>
            <w:tcW w:w="0" w:type="auto"/>
            <w:noWrap w:val="0"/>
            <w:vAlign w:val="center"/>
          </w:tcPr>
          <w:p w14:paraId="479EE442">
            <w:r>
              <w:rPr>
                <w:rStyle w:val="10"/>
                <w:rFonts w:hint="eastAsia"/>
              </w:rPr>
              <w:t>农药名称：</w:t>
            </w:r>
            <w:r>
              <w:rPr>
                <w:rFonts w:hint="eastAsia"/>
              </w:rPr>
              <w:t>二化螟性诱剂</w:t>
            </w:r>
          </w:p>
        </w:tc>
      </w:tr>
      <w:tr w14:paraId="12E5BF73">
        <w:tblPrEx>
          <w:tblCellMar>
            <w:top w:w="0" w:type="dxa"/>
            <w:left w:w="0" w:type="dxa"/>
            <w:bottom w:w="0" w:type="dxa"/>
            <w:right w:w="0" w:type="dxa"/>
          </w:tblCellMar>
        </w:tblPrEx>
        <w:trPr>
          <w:wBefore w:w="0" w:type="auto"/>
          <w:tblCellSpacing w:w="0" w:type="dxa"/>
        </w:trPr>
        <w:tc>
          <w:tcPr>
            <w:tcW w:w="0" w:type="auto"/>
            <w:noWrap w:val="0"/>
            <w:vAlign w:val="center"/>
          </w:tcPr>
          <w:p w14:paraId="1DA7D5C0">
            <w:r>
              <w:rPr>
                <w:rStyle w:val="10"/>
                <w:rFonts w:hint="eastAsia"/>
              </w:rPr>
              <w:t>剂型：</w:t>
            </w:r>
            <w:r>
              <w:rPr>
                <w:rFonts w:hint="eastAsia"/>
              </w:rPr>
              <w:t>挥散芯</w:t>
            </w:r>
          </w:p>
        </w:tc>
      </w:tr>
      <w:tr w14:paraId="2F241EED">
        <w:tblPrEx>
          <w:tblCellMar>
            <w:top w:w="0" w:type="dxa"/>
            <w:left w:w="0" w:type="dxa"/>
            <w:bottom w:w="0" w:type="dxa"/>
            <w:right w:w="0" w:type="dxa"/>
          </w:tblCellMar>
        </w:tblPrEx>
        <w:trPr>
          <w:wBefore w:w="0" w:type="auto"/>
          <w:tblCellSpacing w:w="0" w:type="dxa"/>
        </w:trPr>
        <w:tc>
          <w:tcPr>
            <w:tcW w:w="0" w:type="auto"/>
            <w:noWrap w:val="0"/>
            <w:vAlign w:val="center"/>
          </w:tcPr>
          <w:p w14:paraId="2E23D5D3">
            <w:r>
              <w:rPr>
                <w:rStyle w:val="10"/>
                <w:rFonts w:hint="eastAsia"/>
              </w:rPr>
              <w:t>毒性及其标识：</w:t>
            </w:r>
            <w:r>
              <w:rPr>
                <w:rFonts w:hint="eastAsia"/>
              </w:rPr>
              <w:t xml:space="preserve"> </w:t>
            </w:r>
            <w:r>
              <w:rPr>
                <w:lang/>
              </w:rPr>
              <w:drawing>
                <wp:inline distT="0" distB="0" distL="114300" distR="114300">
                  <wp:extent cx="476250" cy="323850"/>
                  <wp:effectExtent l="0" t="0" r="0" b="0"/>
                  <wp:docPr id="292" name="图片 2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688D05">
        <w:tblPrEx>
          <w:tblCellMar>
            <w:top w:w="0" w:type="dxa"/>
            <w:left w:w="0" w:type="dxa"/>
            <w:bottom w:w="0" w:type="dxa"/>
            <w:right w:w="0" w:type="dxa"/>
          </w:tblCellMar>
        </w:tblPrEx>
        <w:trPr>
          <w:wBefore w:w="0" w:type="auto"/>
          <w:tblCellSpacing w:w="0" w:type="dxa"/>
        </w:trPr>
        <w:tc>
          <w:tcPr>
            <w:tcW w:w="0" w:type="auto"/>
            <w:noWrap w:val="0"/>
            <w:vAlign w:val="center"/>
          </w:tcPr>
          <w:p w14:paraId="72CEC558">
            <w:r>
              <w:rPr>
                <w:rStyle w:val="10"/>
                <w:rFonts w:hint="eastAsia"/>
              </w:rPr>
              <w:t>总有效成分含量：</w:t>
            </w:r>
            <w:r>
              <w:rPr>
                <w:rFonts w:hint="eastAsia"/>
              </w:rPr>
              <w:t>0.61%</w:t>
            </w:r>
          </w:p>
        </w:tc>
      </w:tr>
      <w:tr w14:paraId="6FFAE83E">
        <w:tblPrEx>
          <w:tblCellMar>
            <w:top w:w="0" w:type="dxa"/>
            <w:left w:w="0" w:type="dxa"/>
            <w:bottom w:w="0" w:type="dxa"/>
            <w:right w:w="0" w:type="dxa"/>
          </w:tblCellMar>
        </w:tblPrEx>
        <w:trPr>
          <w:wBefore w:w="0" w:type="auto"/>
          <w:tblCellSpacing w:w="0" w:type="dxa"/>
        </w:trPr>
        <w:tc>
          <w:tcPr>
            <w:tcW w:w="0" w:type="auto"/>
            <w:noWrap w:val="0"/>
            <w:vAlign w:val="center"/>
          </w:tcPr>
          <w:p w14:paraId="76562A62">
            <w:r>
              <w:rPr>
                <w:rFonts w:hint="eastAsia"/>
              </w:rPr>
              <w:t xml:space="preserve">有效成分及其含量： </w:t>
            </w:r>
          </w:p>
          <w:p w14:paraId="511A9815">
            <w:r>
              <w:rPr>
                <w:rFonts w:hint="eastAsia"/>
              </w:rPr>
              <w:t xml:space="preserve">    顺-9-十六碳烯醛0.05%    顺-11-十六碳烯醛0.5%    顺-13-十八碳烯醛0.06%    </w:t>
            </w:r>
          </w:p>
        </w:tc>
      </w:tr>
      <w:tr w14:paraId="5897579D">
        <w:tblPrEx>
          <w:tblCellMar>
            <w:top w:w="0" w:type="dxa"/>
            <w:left w:w="0" w:type="dxa"/>
            <w:bottom w:w="0" w:type="dxa"/>
            <w:right w:w="0" w:type="dxa"/>
          </w:tblCellMar>
        </w:tblPrEx>
        <w:trPr>
          <w:wBefore w:w="0" w:type="auto"/>
          <w:tblCellSpacing w:w="0" w:type="dxa"/>
        </w:trPr>
        <w:tc>
          <w:tcPr>
            <w:tcW w:w="0" w:type="auto"/>
            <w:noWrap w:val="0"/>
            <w:vAlign w:val="center"/>
          </w:tcPr>
          <w:p w14:paraId="2D6646E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EDB16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ED52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B25A1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80EC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6D175E">
                  <w:r>
                    <w:rPr>
                      <w:rStyle w:val="11"/>
                      <w:rFonts w:hint="eastAsia"/>
                    </w:rPr>
                    <w:t>施用方式</w:t>
                  </w:r>
                </w:p>
              </w:tc>
            </w:tr>
            <w:tr w14:paraId="36F797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4791F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DCD365">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288BA5">
                  <w:r>
                    <w:rPr>
                      <w:rStyle w:val="11"/>
                      <w:rFonts w:hint="eastAsia"/>
                    </w:rPr>
                    <w:t>2-3个挥散芯/亩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BC72D8">
                  <w:r>
                    <w:rPr>
                      <w:rStyle w:val="11"/>
                      <w:rFonts w:hint="eastAsia"/>
                    </w:rPr>
                    <w:t>诱捕</w:t>
                  </w:r>
                </w:p>
              </w:tc>
            </w:tr>
          </w:tbl>
          <w:p w14:paraId="6EBF1176">
            <w:pPr>
              <w:rPr>
                <w:rFonts w:ascii="Times New Roman" w:hAnsi="Times New Roman" w:cs="Times New Roman"/>
                <w:sz w:val="20"/>
                <w:szCs w:val="20"/>
              </w:rPr>
            </w:pPr>
          </w:p>
        </w:tc>
      </w:tr>
      <w:tr w14:paraId="28217880">
        <w:tblPrEx>
          <w:tblCellMar>
            <w:top w:w="0" w:type="dxa"/>
            <w:left w:w="0" w:type="dxa"/>
            <w:bottom w:w="0" w:type="dxa"/>
            <w:right w:w="0" w:type="dxa"/>
          </w:tblCellMar>
        </w:tblPrEx>
        <w:trPr>
          <w:wBefore w:w="0" w:type="auto"/>
          <w:tblCellSpacing w:w="0" w:type="dxa"/>
        </w:trPr>
        <w:tc>
          <w:tcPr>
            <w:tcW w:w="0" w:type="auto"/>
            <w:noWrap w:val="0"/>
            <w:vAlign w:val="center"/>
          </w:tcPr>
          <w:p w14:paraId="5D573EEE">
            <w:r>
              <w:rPr>
                <w:rStyle w:val="10"/>
                <w:rFonts w:hint="eastAsia"/>
              </w:rPr>
              <w:t>使用技术要求:</w:t>
            </w:r>
            <w:r>
              <w:rPr>
                <w:rFonts w:hint="eastAsia"/>
              </w:rPr>
              <w:br w:type="textWrapping"/>
            </w:r>
            <w:r>
              <w:rPr>
                <w:rStyle w:val="11"/>
                <w:rFonts w:hint="eastAsia"/>
              </w:rPr>
              <w:t>1.诱芯需要与新飞蛾诱捕器配套使用，每个诱捕器配一枚诱芯。 2.于二化螟成虫羽化前或羽化初期，将挥散芯安装在诱捕器中，每个诱捕器1个挥散芯，诱捕器底部离地面0.8米。每隔4-6周更换一次诱芯。</w:t>
            </w:r>
          </w:p>
        </w:tc>
      </w:tr>
      <w:tr w14:paraId="7EF3ADDA">
        <w:tblPrEx>
          <w:tblCellMar>
            <w:top w:w="0" w:type="dxa"/>
            <w:left w:w="0" w:type="dxa"/>
            <w:bottom w:w="0" w:type="dxa"/>
            <w:right w:w="0" w:type="dxa"/>
          </w:tblCellMar>
        </w:tblPrEx>
        <w:trPr>
          <w:wBefore w:w="0" w:type="auto"/>
          <w:tblCellSpacing w:w="0" w:type="dxa"/>
        </w:trPr>
        <w:tc>
          <w:tcPr>
            <w:tcW w:w="0" w:type="auto"/>
            <w:noWrap w:val="0"/>
            <w:vAlign w:val="center"/>
          </w:tcPr>
          <w:p w14:paraId="1340FE14">
            <w:r>
              <w:rPr>
                <w:rStyle w:val="10"/>
                <w:rFonts w:hint="eastAsia"/>
              </w:rPr>
              <w:t>产品性能:</w:t>
            </w:r>
            <w:r>
              <w:rPr>
                <w:rFonts w:hint="eastAsia"/>
              </w:rPr>
              <w:br w:type="textWrapping"/>
            </w:r>
            <w:r>
              <w:rPr>
                <w:rStyle w:val="11"/>
                <w:rFonts w:hint="eastAsia"/>
              </w:rPr>
              <w:t>本品属于昆虫性信息素类产品，对二化螟雄成虫具有显著的引诱效果。于越冬代二化螟羽化前与飞蛾诱捕器配合使用，可明显控制下代二化螟虫口数量，达到防治效果。</w:t>
            </w:r>
          </w:p>
        </w:tc>
      </w:tr>
      <w:tr w14:paraId="394A5EB0">
        <w:tblPrEx>
          <w:tblCellMar>
            <w:top w:w="0" w:type="dxa"/>
            <w:left w:w="0" w:type="dxa"/>
            <w:bottom w:w="0" w:type="dxa"/>
            <w:right w:w="0" w:type="dxa"/>
          </w:tblCellMar>
        </w:tblPrEx>
        <w:trPr>
          <w:wBefore w:w="0" w:type="auto"/>
          <w:tblCellSpacing w:w="0" w:type="dxa"/>
        </w:trPr>
        <w:tc>
          <w:tcPr>
            <w:tcW w:w="0" w:type="auto"/>
            <w:noWrap w:val="0"/>
            <w:vAlign w:val="center"/>
          </w:tcPr>
          <w:p w14:paraId="4A204DEC">
            <w:r>
              <w:rPr>
                <w:rStyle w:val="10"/>
                <w:rFonts w:hint="eastAsia"/>
              </w:rPr>
              <w:t>注意事项：</w:t>
            </w:r>
            <w:r>
              <w:rPr>
                <w:rFonts w:hint="eastAsia"/>
              </w:rPr>
              <w:br w:type="textWrapping"/>
            </w:r>
            <w:r>
              <w:rPr>
                <w:rStyle w:val="11"/>
                <w:rFonts w:hint="eastAsia"/>
              </w:rPr>
              <w:t>1.本品不可单独使用，必须与飞蛾诱捕器配合使用，才可达到诱捕防治的效果；使用时诱捕器的高度、方位等要严格按照使用说明放置。 2.使用时要严格掌握使用时间，宁早勿晚，于二化螟成虫羽化前1周开始使用，否则诱捕效果会降低。 3.诱捕器内虫量过多时，需要及时清除诱捕器内的死虫。诱芯产品每隔4-6周天需要更换一次。4.本品对蜜蜂、家蚕、鱼类及周围环境等都没有不良影响。在作物生长的各个时期均可以使用。 5.更换不同种类的诱芯产品时需要戴手套或用肥皂洗手，避免不同诱芯间的相互影响。更换诱芯后应及时洗手。 6.使用过程中产生的包装袋、失效的诱芯等，要集中放置，与其他农药包装袋等垃圾妥善处理。7.孕妇与哺乳期妇女禁止接触本品。</w:t>
            </w:r>
          </w:p>
        </w:tc>
      </w:tr>
      <w:tr w14:paraId="323A811E">
        <w:tblPrEx>
          <w:tblCellMar>
            <w:top w:w="0" w:type="dxa"/>
            <w:left w:w="0" w:type="dxa"/>
            <w:bottom w:w="0" w:type="dxa"/>
            <w:right w:w="0" w:type="dxa"/>
          </w:tblCellMar>
        </w:tblPrEx>
        <w:trPr>
          <w:wBefore w:w="0" w:type="auto"/>
          <w:tblCellSpacing w:w="0" w:type="dxa"/>
        </w:trPr>
        <w:tc>
          <w:tcPr>
            <w:tcW w:w="0" w:type="auto"/>
            <w:noWrap w:val="0"/>
            <w:vAlign w:val="center"/>
          </w:tcPr>
          <w:p w14:paraId="03B4A920">
            <w:r>
              <w:rPr>
                <w:rStyle w:val="10"/>
                <w:rFonts w:hint="eastAsia"/>
              </w:rPr>
              <w:t>中毒急救措施：</w:t>
            </w:r>
            <w:r>
              <w:rPr>
                <w:rFonts w:hint="eastAsia"/>
              </w:rPr>
              <w:br w:type="textWrapping"/>
            </w:r>
            <w:r>
              <w:rPr>
                <w:rStyle w:val="11"/>
                <w:rFonts w:hint="eastAsia"/>
              </w:rPr>
              <w:t>管内液体如不慎大量接触皮肤，请使用大量清水冲洗，若仍有不适送医诊治。管内液体如不慎溅入眼睛，应立即使用大量清水冲洗，若仍有不适送医诊治。如不慎吸入大量挥发物，应将病人移至空气新鲜处。有中毒症状应立即送医。如不慎误食，不要随意催吐，建议尽快就医。</w:t>
            </w:r>
          </w:p>
        </w:tc>
      </w:tr>
      <w:tr w14:paraId="6C95D96D">
        <w:tblPrEx>
          <w:tblCellMar>
            <w:top w:w="0" w:type="dxa"/>
            <w:left w:w="0" w:type="dxa"/>
            <w:bottom w:w="0" w:type="dxa"/>
            <w:right w:w="0" w:type="dxa"/>
          </w:tblCellMar>
        </w:tblPrEx>
        <w:trPr>
          <w:wBefore w:w="0" w:type="auto"/>
          <w:tblCellSpacing w:w="0" w:type="dxa"/>
        </w:trPr>
        <w:tc>
          <w:tcPr>
            <w:tcW w:w="0" w:type="auto"/>
            <w:noWrap w:val="0"/>
            <w:vAlign w:val="center"/>
          </w:tcPr>
          <w:p w14:paraId="6230658E">
            <w:r>
              <w:rPr>
                <w:rStyle w:val="10"/>
                <w:rFonts w:hint="eastAsia"/>
              </w:rPr>
              <w:t>储存和运输方法：</w:t>
            </w:r>
            <w:r>
              <w:rPr>
                <w:rFonts w:hint="eastAsia"/>
              </w:rPr>
              <w:br w:type="textWrapping"/>
            </w:r>
            <w:r>
              <w:rPr>
                <w:rStyle w:val="11"/>
                <w:rFonts w:hint="eastAsia"/>
              </w:rPr>
              <w:t>本品应贮存在-5℃至-15℃条件下。置于儿童接触不到的地方，并加锁保存。不能与食品、饮料、粮食、饲料等混合储存。</w:t>
            </w:r>
          </w:p>
        </w:tc>
      </w:tr>
      <w:tr w14:paraId="3F56970F">
        <w:tblPrEx>
          <w:tblCellMar>
            <w:top w:w="0" w:type="dxa"/>
            <w:left w:w="0" w:type="dxa"/>
            <w:bottom w:w="0" w:type="dxa"/>
            <w:right w:w="0" w:type="dxa"/>
          </w:tblCellMar>
        </w:tblPrEx>
        <w:trPr>
          <w:wBefore w:w="0" w:type="auto"/>
          <w:tblCellSpacing w:w="0" w:type="dxa"/>
        </w:trPr>
        <w:tc>
          <w:tcPr>
            <w:tcW w:w="0" w:type="auto"/>
            <w:noWrap w:val="0"/>
            <w:vAlign w:val="center"/>
          </w:tcPr>
          <w:p w14:paraId="3B101E6C">
            <w:r>
              <w:rPr>
                <w:rStyle w:val="10"/>
                <w:rFonts w:hint="eastAsia"/>
              </w:rPr>
              <w:t>质量保证期：</w:t>
            </w:r>
            <w:r>
              <w:rPr>
                <w:rStyle w:val="11"/>
                <w:rFonts w:hint="eastAsia"/>
              </w:rPr>
              <w:t>2年</w:t>
            </w:r>
          </w:p>
        </w:tc>
      </w:tr>
      <w:tr w14:paraId="46E25645">
        <w:tblPrEx>
          <w:tblCellMar>
            <w:top w:w="0" w:type="dxa"/>
            <w:left w:w="0" w:type="dxa"/>
            <w:bottom w:w="0" w:type="dxa"/>
            <w:right w:w="0" w:type="dxa"/>
          </w:tblCellMar>
        </w:tblPrEx>
        <w:trPr>
          <w:wBefore w:w="0" w:type="auto"/>
          <w:tblCellSpacing w:w="0" w:type="dxa"/>
        </w:trPr>
        <w:tc>
          <w:tcPr>
            <w:tcW w:w="0" w:type="auto"/>
            <w:noWrap w:val="0"/>
            <w:vAlign w:val="center"/>
          </w:tcPr>
          <w:p w14:paraId="5729D2B5">
            <w:r>
              <w:rPr>
                <w:rStyle w:val="10"/>
                <w:rFonts w:hint="eastAsia"/>
              </w:rPr>
              <w:t>备注：</w:t>
            </w:r>
          </w:p>
        </w:tc>
      </w:tr>
    </w:tbl>
    <w:p w14:paraId="16512A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B64869">
        <w:tblPrEx>
          <w:tblCellMar>
            <w:top w:w="0" w:type="dxa"/>
            <w:left w:w="0" w:type="dxa"/>
            <w:bottom w:w="0" w:type="dxa"/>
            <w:right w:w="0" w:type="dxa"/>
          </w:tblCellMar>
        </w:tblPrEx>
        <w:trPr>
          <w:wBefore w:w="0" w:type="auto"/>
          <w:tblCellSpacing w:w="0" w:type="dxa"/>
        </w:trPr>
        <w:tc>
          <w:tcPr>
            <w:tcW w:w="0" w:type="auto"/>
            <w:noWrap w:val="0"/>
            <w:vAlign w:val="center"/>
          </w:tcPr>
          <w:p w14:paraId="57EBB52A">
            <w:r>
              <w:rPr>
                <w:rStyle w:val="10"/>
                <w:rFonts w:hint="eastAsia"/>
              </w:rPr>
              <w:t>登记证号：</w:t>
            </w:r>
            <w:r>
              <w:rPr>
                <w:rFonts w:hint="eastAsia"/>
              </w:rPr>
              <w:t>PD20212770</w:t>
            </w:r>
          </w:p>
        </w:tc>
      </w:tr>
      <w:tr w14:paraId="12173CE7">
        <w:tblPrEx>
          <w:tblCellMar>
            <w:top w:w="0" w:type="dxa"/>
            <w:left w:w="0" w:type="dxa"/>
            <w:bottom w:w="0" w:type="dxa"/>
            <w:right w:w="0" w:type="dxa"/>
          </w:tblCellMar>
        </w:tblPrEx>
        <w:trPr>
          <w:wBefore w:w="0" w:type="auto"/>
          <w:tblCellSpacing w:w="0" w:type="dxa"/>
        </w:trPr>
        <w:tc>
          <w:tcPr>
            <w:tcW w:w="0" w:type="auto"/>
            <w:noWrap w:val="0"/>
            <w:vAlign w:val="center"/>
          </w:tcPr>
          <w:p w14:paraId="1069E9EC">
            <w:r>
              <w:rPr>
                <w:rStyle w:val="10"/>
                <w:rFonts w:hint="eastAsia"/>
              </w:rPr>
              <w:t>登记证持有人：</w:t>
            </w:r>
            <w:r>
              <w:rPr>
                <w:rFonts w:hint="eastAsia"/>
              </w:rPr>
              <w:t>河南瀚正益农农业科技有限公司</w:t>
            </w:r>
          </w:p>
        </w:tc>
      </w:tr>
      <w:tr w14:paraId="2B9C3213">
        <w:tblPrEx>
          <w:tblCellMar>
            <w:top w:w="0" w:type="dxa"/>
            <w:left w:w="0" w:type="dxa"/>
            <w:bottom w:w="0" w:type="dxa"/>
            <w:right w:w="0" w:type="dxa"/>
          </w:tblCellMar>
        </w:tblPrEx>
        <w:trPr>
          <w:wBefore w:w="0" w:type="auto"/>
          <w:tblCellSpacing w:w="0" w:type="dxa"/>
        </w:trPr>
        <w:tc>
          <w:tcPr>
            <w:tcW w:w="0" w:type="auto"/>
            <w:noWrap w:val="0"/>
            <w:vAlign w:val="center"/>
          </w:tcPr>
          <w:p w14:paraId="35265A83">
            <w:r>
              <w:rPr>
                <w:rStyle w:val="10"/>
                <w:rFonts w:hint="eastAsia"/>
              </w:rPr>
              <w:t>农药名称：</w:t>
            </w:r>
            <w:r>
              <w:rPr>
                <w:rFonts w:hint="eastAsia"/>
              </w:rPr>
              <w:t>28-表芸·甲哌鎓</w:t>
            </w:r>
          </w:p>
        </w:tc>
      </w:tr>
      <w:tr w14:paraId="7B799622">
        <w:tblPrEx>
          <w:tblCellMar>
            <w:top w:w="0" w:type="dxa"/>
            <w:left w:w="0" w:type="dxa"/>
            <w:bottom w:w="0" w:type="dxa"/>
            <w:right w:w="0" w:type="dxa"/>
          </w:tblCellMar>
        </w:tblPrEx>
        <w:trPr>
          <w:wBefore w:w="0" w:type="auto"/>
          <w:tblCellSpacing w:w="0" w:type="dxa"/>
        </w:trPr>
        <w:tc>
          <w:tcPr>
            <w:tcW w:w="0" w:type="auto"/>
            <w:noWrap w:val="0"/>
            <w:vAlign w:val="center"/>
          </w:tcPr>
          <w:p w14:paraId="437DAA25">
            <w:r>
              <w:rPr>
                <w:rStyle w:val="10"/>
                <w:rFonts w:hint="eastAsia"/>
              </w:rPr>
              <w:t>剂型：</w:t>
            </w:r>
            <w:r>
              <w:rPr>
                <w:rFonts w:hint="eastAsia"/>
              </w:rPr>
              <w:t>可溶液剂</w:t>
            </w:r>
          </w:p>
        </w:tc>
      </w:tr>
      <w:tr w14:paraId="7BB2FB12">
        <w:tblPrEx>
          <w:tblCellMar>
            <w:top w:w="0" w:type="dxa"/>
            <w:left w:w="0" w:type="dxa"/>
            <w:bottom w:w="0" w:type="dxa"/>
            <w:right w:w="0" w:type="dxa"/>
          </w:tblCellMar>
        </w:tblPrEx>
        <w:trPr>
          <w:wBefore w:w="0" w:type="auto"/>
          <w:tblCellSpacing w:w="0" w:type="dxa"/>
        </w:trPr>
        <w:tc>
          <w:tcPr>
            <w:tcW w:w="0" w:type="auto"/>
            <w:noWrap w:val="0"/>
            <w:vAlign w:val="center"/>
          </w:tcPr>
          <w:p w14:paraId="60265E93">
            <w:r>
              <w:rPr>
                <w:rStyle w:val="10"/>
                <w:rFonts w:hint="eastAsia"/>
              </w:rPr>
              <w:t>毒性及其标识：</w:t>
            </w:r>
            <w:r>
              <w:rPr>
                <w:rFonts w:hint="eastAsia"/>
              </w:rPr>
              <w:t xml:space="preserve"> </w:t>
            </w:r>
            <w:r>
              <w:rPr>
                <w:lang/>
              </w:rPr>
              <w:drawing>
                <wp:inline distT="0" distB="0" distL="114300" distR="114300">
                  <wp:extent cx="476250" cy="323850"/>
                  <wp:effectExtent l="0" t="0" r="0" b="0"/>
                  <wp:docPr id="293" name="图片 2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6DED1F">
        <w:tblPrEx>
          <w:tblCellMar>
            <w:top w:w="0" w:type="dxa"/>
            <w:left w:w="0" w:type="dxa"/>
            <w:bottom w:w="0" w:type="dxa"/>
            <w:right w:w="0" w:type="dxa"/>
          </w:tblCellMar>
        </w:tblPrEx>
        <w:trPr>
          <w:wBefore w:w="0" w:type="auto"/>
          <w:tblCellSpacing w:w="0" w:type="dxa"/>
        </w:trPr>
        <w:tc>
          <w:tcPr>
            <w:tcW w:w="0" w:type="auto"/>
            <w:noWrap w:val="0"/>
            <w:vAlign w:val="center"/>
          </w:tcPr>
          <w:p w14:paraId="29DBF3F4">
            <w:r>
              <w:rPr>
                <w:rStyle w:val="10"/>
                <w:rFonts w:hint="eastAsia"/>
              </w:rPr>
              <w:t>总有效成分含量：</w:t>
            </w:r>
            <w:r>
              <w:rPr>
                <w:rFonts w:hint="eastAsia"/>
              </w:rPr>
              <w:t>22.5%</w:t>
            </w:r>
          </w:p>
        </w:tc>
      </w:tr>
      <w:tr w14:paraId="3B19B7F3">
        <w:tblPrEx>
          <w:tblCellMar>
            <w:top w:w="0" w:type="dxa"/>
            <w:left w:w="0" w:type="dxa"/>
            <w:bottom w:w="0" w:type="dxa"/>
            <w:right w:w="0" w:type="dxa"/>
          </w:tblCellMar>
        </w:tblPrEx>
        <w:trPr>
          <w:wBefore w:w="0" w:type="auto"/>
          <w:tblCellSpacing w:w="0" w:type="dxa"/>
        </w:trPr>
        <w:tc>
          <w:tcPr>
            <w:tcW w:w="0" w:type="auto"/>
            <w:noWrap w:val="0"/>
            <w:vAlign w:val="center"/>
          </w:tcPr>
          <w:p w14:paraId="0AC1464C">
            <w:r>
              <w:rPr>
                <w:rFonts w:hint="eastAsia"/>
              </w:rPr>
              <w:t xml:space="preserve">有效成分及其含量： </w:t>
            </w:r>
          </w:p>
          <w:p w14:paraId="77426BDF">
            <w:r>
              <w:rPr>
                <w:rFonts w:hint="eastAsia"/>
              </w:rPr>
              <w:t xml:space="preserve">    28-表高芸苔素内酯0.002%    甲哌鎓22.498%    </w:t>
            </w:r>
          </w:p>
        </w:tc>
      </w:tr>
      <w:tr w14:paraId="627CA547">
        <w:tblPrEx>
          <w:tblCellMar>
            <w:top w:w="0" w:type="dxa"/>
            <w:left w:w="0" w:type="dxa"/>
            <w:bottom w:w="0" w:type="dxa"/>
            <w:right w:w="0" w:type="dxa"/>
          </w:tblCellMar>
        </w:tblPrEx>
        <w:trPr>
          <w:wBefore w:w="0" w:type="auto"/>
          <w:tblCellSpacing w:w="0" w:type="dxa"/>
        </w:trPr>
        <w:tc>
          <w:tcPr>
            <w:tcW w:w="0" w:type="auto"/>
            <w:noWrap w:val="0"/>
            <w:vAlign w:val="center"/>
          </w:tcPr>
          <w:p w14:paraId="162E6B1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907A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D32CC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CCC0B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9E64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E41F5C">
                  <w:r>
                    <w:rPr>
                      <w:rStyle w:val="11"/>
                      <w:rFonts w:hint="eastAsia"/>
                    </w:rPr>
                    <w:t>施用方式</w:t>
                  </w:r>
                </w:p>
              </w:tc>
            </w:tr>
            <w:tr w14:paraId="7C2BA1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C16BE6">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7B15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2E2D7B">
                  <w:r>
                    <w:rPr>
                      <w:rStyle w:val="11"/>
                      <w:rFonts w:hint="eastAsia"/>
                    </w:rPr>
                    <w:t>45-67.5毫升/亩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212BCD">
                  <w:r>
                    <w:rPr>
                      <w:rStyle w:val="11"/>
                      <w:rFonts w:hint="eastAsia"/>
                    </w:rPr>
                    <w:t>茎叶喷雾</w:t>
                  </w:r>
                </w:p>
              </w:tc>
            </w:tr>
          </w:tbl>
          <w:p w14:paraId="22134A12">
            <w:pPr>
              <w:rPr>
                <w:rFonts w:ascii="Times New Roman" w:hAnsi="Times New Roman" w:cs="Times New Roman"/>
                <w:sz w:val="20"/>
                <w:szCs w:val="20"/>
              </w:rPr>
            </w:pPr>
          </w:p>
        </w:tc>
      </w:tr>
      <w:tr w14:paraId="50897263">
        <w:tblPrEx>
          <w:tblCellMar>
            <w:top w:w="0" w:type="dxa"/>
            <w:left w:w="0" w:type="dxa"/>
            <w:bottom w:w="0" w:type="dxa"/>
            <w:right w:w="0" w:type="dxa"/>
          </w:tblCellMar>
        </w:tblPrEx>
        <w:trPr>
          <w:wBefore w:w="0" w:type="auto"/>
          <w:tblCellSpacing w:w="0" w:type="dxa"/>
        </w:trPr>
        <w:tc>
          <w:tcPr>
            <w:tcW w:w="0" w:type="auto"/>
            <w:noWrap w:val="0"/>
            <w:vAlign w:val="center"/>
          </w:tcPr>
          <w:p w14:paraId="68E6F557">
            <w:r>
              <w:rPr>
                <w:rStyle w:val="10"/>
                <w:rFonts w:hint="eastAsia"/>
              </w:rPr>
              <w:t>使用技术要求:</w:t>
            </w:r>
            <w:r>
              <w:rPr>
                <w:rFonts w:hint="eastAsia"/>
              </w:rPr>
              <w:br w:type="textWrapping"/>
            </w:r>
            <w:r>
              <w:rPr>
                <w:rStyle w:val="11"/>
                <w:rFonts w:hint="eastAsia"/>
              </w:rPr>
              <w:t>1. 按照推荐剂量稀释后在花蕾期、初花期各施药1次，共喷施2次。 大风或预计1小时内有降雨，请勿施药。 2. 每季作物最多使用2次。</w:t>
            </w:r>
          </w:p>
        </w:tc>
      </w:tr>
      <w:tr w14:paraId="164F830A">
        <w:tblPrEx>
          <w:tblCellMar>
            <w:top w:w="0" w:type="dxa"/>
            <w:left w:w="0" w:type="dxa"/>
            <w:bottom w:w="0" w:type="dxa"/>
            <w:right w:w="0" w:type="dxa"/>
          </w:tblCellMar>
        </w:tblPrEx>
        <w:trPr>
          <w:wBefore w:w="0" w:type="auto"/>
          <w:tblCellSpacing w:w="0" w:type="dxa"/>
        </w:trPr>
        <w:tc>
          <w:tcPr>
            <w:tcW w:w="0" w:type="auto"/>
            <w:noWrap w:val="0"/>
            <w:vAlign w:val="center"/>
          </w:tcPr>
          <w:p w14:paraId="2BC5612F">
            <w:r>
              <w:rPr>
                <w:rStyle w:val="10"/>
                <w:rFonts w:hint="eastAsia"/>
              </w:rPr>
              <w:t>产品性能:</w:t>
            </w:r>
            <w:r>
              <w:rPr>
                <w:rFonts w:hint="eastAsia"/>
              </w:rPr>
              <w:br w:type="textWrapping"/>
            </w:r>
            <w:r>
              <w:rPr>
                <w:rStyle w:val="11"/>
                <w:rFonts w:hint="eastAsia"/>
              </w:rPr>
              <w:t xml:space="preserve">本品由控制徒长和促进发育的两种植物生长调节剂（缩节胺和芸苔素内脂）复配成的植物生长调节剂。本品具有：1.促进根系发育、提高根系吸收能力。 2.控制棉花的营养生长，降低植株高度，缩短节间，分枝变短，植株紧凑，叶面加厚，叶绿素含量增加；3.促进多结蕾铃，并减少棉花蕾铃脱落； 4.延长采摘期，提高产量。 </w:t>
            </w:r>
          </w:p>
        </w:tc>
      </w:tr>
      <w:tr w14:paraId="76BB281C">
        <w:tblPrEx>
          <w:tblCellMar>
            <w:top w:w="0" w:type="dxa"/>
            <w:left w:w="0" w:type="dxa"/>
            <w:bottom w:w="0" w:type="dxa"/>
            <w:right w:w="0" w:type="dxa"/>
          </w:tblCellMar>
        </w:tblPrEx>
        <w:trPr>
          <w:wBefore w:w="0" w:type="auto"/>
          <w:tblCellSpacing w:w="0" w:type="dxa"/>
        </w:trPr>
        <w:tc>
          <w:tcPr>
            <w:tcW w:w="0" w:type="auto"/>
            <w:noWrap w:val="0"/>
            <w:vAlign w:val="center"/>
          </w:tcPr>
          <w:p w14:paraId="65C92943">
            <w:r>
              <w:rPr>
                <w:rStyle w:val="10"/>
                <w:rFonts w:hint="eastAsia"/>
              </w:rPr>
              <w:t>注意事项：</w:t>
            </w:r>
            <w:r>
              <w:rPr>
                <w:rFonts w:hint="eastAsia"/>
              </w:rPr>
              <w:br w:type="textWrapping"/>
            </w:r>
            <w:r>
              <w:rPr>
                <w:rStyle w:val="11"/>
                <w:rFonts w:hint="eastAsia"/>
              </w:rPr>
              <w:t>1.本品不可与碱性农药混用。 2.使用本品时应穿戴长衣、长裤、帽子、口罩、手套等防护措施，避免吸入药液；施药期间不能吃东西、饮水等；施药后应及时洗手、洗脸等。 3.请按推荐时期及剂量施用，不可随意加大用量，同时加强肥水管理。 4.蚕室及桑园附近禁用。若附近有桑园，将最外围桑树设置为隔离带。 5.远离水产养殖区、河塘等水体施药；禁止在河塘等水体中清洗施药器具。清洗器具的废水，不能排入河流、池塘等水域。 6.用过的容器应妥善处理，不可做他用，也不可随意丢弃。 7.避免孕妇和哺乳期妇女接触本品.</w:t>
            </w:r>
          </w:p>
        </w:tc>
      </w:tr>
      <w:tr w14:paraId="1B98C200">
        <w:tblPrEx>
          <w:tblCellMar>
            <w:top w:w="0" w:type="dxa"/>
            <w:left w:w="0" w:type="dxa"/>
            <w:bottom w:w="0" w:type="dxa"/>
            <w:right w:w="0" w:type="dxa"/>
          </w:tblCellMar>
        </w:tblPrEx>
        <w:trPr>
          <w:wBefore w:w="0" w:type="auto"/>
          <w:tblCellSpacing w:w="0" w:type="dxa"/>
        </w:trPr>
        <w:tc>
          <w:tcPr>
            <w:tcW w:w="0" w:type="auto"/>
            <w:noWrap w:val="0"/>
            <w:vAlign w:val="center"/>
          </w:tcPr>
          <w:p w14:paraId="2E23710B">
            <w:r>
              <w:rPr>
                <w:rStyle w:val="10"/>
                <w:rFonts w:hint="eastAsia"/>
              </w:rPr>
              <w:t>中毒急救措施：</w:t>
            </w:r>
            <w:r>
              <w:rPr>
                <w:rFonts w:hint="eastAsia"/>
              </w:rPr>
              <w:br w:type="textWrapping"/>
            </w:r>
            <w:r>
              <w:rPr>
                <w:rStyle w:val="11"/>
                <w:rFonts w:hint="eastAsia"/>
              </w:rPr>
              <w:t xml:space="preserve">中毒症状：无明显症状。中毒急救：不慎接触皮肤干净；不慎溅入眼睛，应用大量清水冲洗至少15分钟，仍有不适时，就医。若误服则应立即携此标签病人送医院，对应治疗。无特制解毒剂。 </w:t>
            </w:r>
          </w:p>
        </w:tc>
      </w:tr>
      <w:tr w14:paraId="3C758FC4">
        <w:tblPrEx>
          <w:tblCellMar>
            <w:top w:w="0" w:type="dxa"/>
            <w:left w:w="0" w:type="dxa"/>
            <w:bottom w:w="0" w:type="dxa"/>
            <w:right w:w="0" w:type="dxa"/>
          </w:tblCellMar>
        </w:tblPrEx>
        <w:trPr>
          <w:wBefore w:w="0" w:type="auto"/>
          <w:tblCellSpacing w:w="0" w:type="dxa"/>
        </w:trPr>
        <w:tc>
          <w:tcPr>
            <w:tcW w:w="0" w:type="auto"/>
            <w:noWrap w:val="0"/>
            <w:vAlign w:val="center"/>
          </w:tcPr>
          <w:p w14:paraId="35736D0C">
            <w:r>
              <w:rPr>
                <w:rStyle w:val="10"/>
                <w:rFonts w:hint="eastAsia"/>
              </w:rPr>
              <w:t>储存和运输方法：</w:t>
            </w:r>
            <w:r>
              <w:rPr>
                <w:rFonts w:hint="eastAsia"/>
              </w:rPr>
              <w:br w:type="textWrapping"/>
            </w:r>
            <w:r>
              <w:rPr>
                <w:rStyle w:val="11"/>
                <w:rFonts w:hint="eastAsia"/>
              </w:rPr>
              <w:t xml:space="preserve">本品应贮存在干燥、阴凉、通风、防雨处。远离火源或热源。置儿童、无关人员触及不到之处，并加锁。勿与食品、饮料、饲料、粮食等其它商品同贮同运。 </w:t>
            </w:r>
          </w:p>
        </w:tc>
      </w:tr>
      <w:tr w14:paraId="65044B0C">
        <w:tblPrEx>
          <w:tblCellMar>
            <w:top w:w="0" w:type="dxa"/>
            <w:left w:w="0" w:type="dxa"/>
            <w:bottom w:w="0" w:type="dxa"/>
            <w:right w:w="0" w:type="dxa"/>
          </w:tblCellMar>
        </w:tblPrEx>
        <w:trPr>
          <w:wBefore w:w="0" w:type="auto"/>
          <w:tblCellSpacing w:w="0" w:type="dxa"/>
        </w:trPr>
        <w:tc>
          <w:tcPr>
            <w:tcW w:w="0" w:type="auto"/>
            <w:noWrap w:val="0"/>
            <w:vAlign w:val="center"/>
          </w:tcPr>
          <w:p w14:paraId="58019A0D">
            <w:r>
              <w:rPr>
                <w:rStyle w:val="10"/>
                <w:rFonts w:hint="eastAsia"/>
              </w:rPr>
              <w:t>质量保证期：</w:t>
            </w:r>
            <w:r>
              <w:rPr>
                <w:rStyle w:val="11"/>
                <w:rFonts w:hint="eastAsia"/>
              </w:rPr>
              <w:t>2年</w:t>
            </w:r>
          </w:p>
        </w:tc>
      </w:tr>
      <w:tr w14:paraId="4F36CD7B">
        <w:tblPrEx>
          <w:tblCellMar>
            <w:top w:w="0" w:type="dxa"/>
            <w:left w:w="0" w:type="dxa"/>
            <w:bottom w:w="0" w:type="dxa"/>
            <w:right w:w="0" w:type="dxa"/>
          </w:tblCellMar>
        </w:tblPrEx>
        <w:trPr>
          <w:wBefore w:w="0" w:type="auto"/>
          <w:tblCellSpacing w:w="0" w:type="dxa"/>
        </w:trPr>
        <w:tc>
          <w:tcPr>
            <w:tcW w:w="0" w:type="auto"/>
            <w:noWrap w:val="0"/>
            <w:vAlign w:val="center"/>
          </w:tcPr>
          <w:p w14:paraId="3539821C">
            <w:r>
              <w:rPr>
                <w:rStyle w:val="10"/>
                <w:rFonts w:hint="eastAsia"/>
              </w:rPr>
              <w:t>备注：</w:t>
            </w:r>
          </w:p>
        </w:tc>
      </w:tr>
    </w:tbl>
    <w:p w14:paraId="5212491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06123F">
        <w:tblPrEx>
          <w:tblCellMar>
            <w:top w:w="0" w:type="dxa"/>
            <w:left w:w="0" w:type="dxa"/>
            <w:bottom w:w="0" w:type="dxa"/>
            <w:right w:w="0" w:type="dxa"/>
          </w:tblCellMar>
        </w:tblPrEx>
        <w:trPr>
          <w:wBefore w:w="0" w:type="auto"/>
          <w:tblCellSpacing w:w="0" w:type="dxa"/>
        </w:trPr>
        <w:tc>
          <w:tcPr>
            <w:tcW w:w="0" w:type="auto"/>
            <w:noWrap w:val="0"/>
            <w:vAlign w:val="center"/>
          </w:tcPr>
          <w:p w14:paraId="332A7C4F">
            <w:r>
              <w:rPr>
                <w:rStyle w:val="10"/>
                <w:rFonts w:hint="eastAsia"/>
              </w:rPr>
              <w:t>登记证号：</w:t>
            </w:r>
            <w:r>
              <w:rPr>
                <w:rFonts w:hint="eastAsia"/>
              </w:rPr>
              <w:t>PD20212629</w:t>
            </w:r>
          </w:p>
        </w:tc>
      </w:tr>
      <w:tr w14:paraId="161FA26F">
        <w:tblPrEx>
          <w:tblCellMar>
            <w:top w:w="0" w:type="dxa"/>
            <w:left w:w="0" w:type="dxa"/>
            <w:bottom w:w="0" w:type="dxa"/>
            <w:right w:w="0" w:type="dxa"/>
          </w:tblCellMar>
        </w:tblPrEx>
        <w:trPr>
          <w:wBefore w:w="0" w:type="auto"/>
          <w:tblCellSpacing w:w="0" w:type="dxa"/>
        </w:trPr>
        <w:tc>
          <w:tcPr>
            <w:tcW w:w="0" w:type="auto"/>
            <w:noWrap w:val="0"/>
            <w:vAlign w:val="center"/>
          </w:tcPr>
          <w:p w14:paraId="064B73D1">
            <w:r>
              <w:rPr>
                <w:rStyle w:val="10"/>
                <w:rFonts w:hint="eastAsia"/>
              </w:rPr>
              <w:t>登记证持有人：</w:t>
            </w:r>
            <w:r>
              <w:rPr>
                <w:rFonts w:hint="eastAsia"/>
              </w:rPr>
              <w:t>山东省梁山川田化学有限公司</w:t>
            </w:r>
          </w:p>
        </w:tc>
      </w:tr>
      <w:tr w14:paraId="7053C2A2">
        <w:tblPrEx>
          <w:tblCellMar>
            <w:top w:w="0" w:type="dxa"/>
            <w:left w:w="0" w:type="dxa"/>
            <w:bottom w:w="0" w:type="dxa"/>
            <w:right w:w="0" w:type="dxa"/>
          </w:tblCellMar>
        </w:tblPrEx>
        <w:trPr>
          <w:wBefore w:w="0" w:type="auto"/>
          <w:tblCellSpacing w:w="0" w:type="dxa"/>
        </w:trPr>
        <w:tc>
          <w:tcPr>
            <w:tcW w:w="0" w:type="auto"/>
            <w:noWrap w:val="0"/>
            <w:vAlign w:val="center"/>
          </w:tcPr>
          <w:p w14:paraId="70D89836">
            <w:r>
              <w:rPr>
                <w:rStyle w:val="10"/>
                <w:rFonts w:hint="eastAsia"/>
              </w:rPr>
              <w:t>农药名称：</w:t>
            </w:r>
            <w:r>
              <w:rPr>
                <w:rFonts w:hint="eastAsia"/>
              </w:rPr>
              <w:t>草铵膦</w:t>
            </w:r>
          </w:p>
        </w:tc>
      </w:tr>
      <w:tr w14:paraId="4AA54E15">
        <w:tblPrEx>
          <w:tblCellMar>
            <w:top w:w="0" w:type="dxa"/>
            <w:left w:w="0" w:type="dxa"/>
            <w:bottom w:w="0" w:type="dxa"/>
            <w:right w:w="0" w:type="dxa"/>
          </w:tblCellMar>
        </w:tblPrEx>
        <w:trPr>
          <w:wBefore w:w="0" w:type="auto"/>
          <w:tblCellSpacing w:w="0" w:type="dxa"/>
        </w:trPr>
        <w:tc>
          <w:tcPr>
            <w:tcW w:w="0" w:type="auto"/>
            <w:noWrap w:val="0"/>
            <w:vAlign w:val="center"/>
          </w:tcPr>
          <w:p w14:paraId="1262AA74">
            <w:r>
              <w:rPr>
                <w:rStyle w:val="10"/>
                <w:rFonts w:hint="eastAsia"/>
              </w:rPr>
              <w:t>剂型：</w:t>
            </w:r>
            <w:r>
              <w:rPr>
                <w:rFonts w:hint="eastAsia"/>
              </w:rPr>
              <w:t>可溶液剂</w:t>
            </w:r>
          </w:p>
        </w:tc>
      </w:tr>
      <w:tr w14:paraId="6F866CDE">
        <w:tblPrEx>
          <w:tblCellMar>
            <w:top w:w="0" w:type="dxa"/>
            <w:left w:w="0" w:type="dxa"/>
            <w:bottom w:w="0" w:type="dxa"/>
            <w:right w:w="0" w:type="dxa"/>
          </w:tblCellMar>
        </w:tblPrEx>
        <w:trPr>
          <w:wBefore w:w="0" w:type="auto"/>
          <w:tblCellSpacing w:w="0" w:type="dxa"/>
        </w:trPr>
        <w:tc>
          <w:tcPr>
            <w:tcW w:w="0" w:type="auto"/>
            <w:noWrap w:val="0"/>
            <w:vAlign w:val="center"/>
          </w:tcPr>
          <w:p w14:paraId="19BB96AE">
            <w:r>
              <w:rPr>
                <w:rStyle w:val="10"/>
                <w:rFonts w:hint="eastAsia"/>
              </w:rPr>
              <w:t>毒性及其标识：</w:t>
            </w:r>
            <w:r>
              <w:rPr>
                <w:rFonts w:hint="eastAsia"/>
              </w:rPr>
              <w:t xml:space="preserve"> </w:t>
            </w:r>
            <w:r>
              <w:rPr>
                <w:lang/>
              </w:rPr>
              <w:drawing>
                <wp:inline distT="0" distB="0" distL="114300" distR="114300">
                  <wp:extent cx="476250" cy="323850"/>
                  <wp:effectExtent l="0" t="0" r="0" b="0"/>
                  <wp:docPr id="294" name="图片 2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E75856">
        <w:tblPrEx>
          <w:tblCellMar>
            <w:top w:w="0" w:type="dxa"/>
            <w:left w:w="0" w:type="dxa"/>
            <w:bottom w:w="0" w:type="dxa"/>
            <w:right w:w="0" w:type="dxa"/>
          </w:tblCellMar>
        </w:tblPrEx>
        <w:trPr>
          <w:wBefore w:w="0" w:type="auto"/>
          <w:tblCellSpacing w:w="0" w:type="dxa"/>
        </w:trPr>
        <w:tc>
          <w:tcPr>
            <w:tcW w:w="0" w:type="auto"/>
            <w:noWrap w:val="0"/>
            <w:vAlign w:val="center"/>
          </w:tcPr>
          <w:p w14:paraId="5F3ED522">
            <w:r>
              <w:rPr>
                <w:rStyle w:val="10"/>
                <w:rFonts w:hint="eastAsia"/>
              </w:rPr>
              <w:t>总有效成分含量：</w:t>
            </w:r>
            <w:r>
              <w:rPr>
                <w:rFonts w:hint="eastAsia"/>
              </w:rPr>
              <w:t>30%</w:t>
            </w:r>
          </w:p>
        </w:tc>
      </w:tr>
      <w:tr w14:paraId="7590670E">
        <w:tblPrEx>
          <w:tblCellMar>
            <w:top w:w="0" w:type="dxa"/>
            <w:left w:w="0" w:type="dxa"/>
            <w:bottom w:w="0" w:type="dxa"/>
            <w:right w:w="0" w:type="dxa"/>
          </w:tblCellMar>
        </w:tblPrEx>
        <w:trPr>
          <w:wBefore w:w="0" w:type="auto"/>
          <w:tblCellSpacing w:w="0" w:type="dxa"/>
        </w:trPr>
        <w:tc>
          <w:tcPr>
            <w:tcW w:w="0" w:type="auto"/>
            <w:noWrap w:val="0"/>
            <w:vAlign w:val="center"/>
          </w:tcPr>
          <w:p w14:paraId="3F86861D">
            <w:r>
              <w:rPr>
                <w:rFonts w:hint="eastAsia"/>
              </w:rPr>
              <w:t xml:space="preserve">有效成分及其含量： </w:t>
            </w:r>
          </w:p>
          <w:p w14:paraId="305EEDF8">
            <w:r>
              <w:rPr>
                <w:rFonts w:hint="eastAsia"/>
              </w:rPr>
              <w:t xml:space="preserve">    草铵膦30%    </w:t>
            </w:r>
          </w:p>
        </w:tc>
      </w:tr>
      <w:tr w14:paraId="4BEF6F88">
        <w:tblPrEx>
          <w:tblCellMar>
            <w:top w:w="0" w:type="dxa"/>
            <w:left w:w="0" w:type="dxa"/>
            <w:bottom w:w="0" w:type="dxa"/>
            <w:right w:w="0" w:type="dxa"/>
          </w:tblCellMar>
        </w:tblPrEx>
        <w:trPr>
          <w:wBefore w:w="0" w:type="auto"/>
          <w:tblCellSpacing w:w="0" w:type="dxa"/>
        </w:trPr>
        <w:tc>
          <w:tcPr>
            <w:tcW w:w="0" w:type="auto"/>
            <w:noWrap w:val="0"/>
            <w:vAlign w:val="center"/>
          </w:tcPr>
          <w:p w14:paraId="77E55A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CC3C8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5344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1E31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5700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C16511">
                  <w:r>
                    <w:rPr>
                      <w:rStyle w:val="11"/>
                      <w:rFonts w:hint="eastAsia"/>
                    </w:rPr>
                    <w:t>施用方式</w:t>
                  </w:r>
                </w:p>
              </w:tc>
            </w:tr>
            <w:tr w14:paraId="3D374F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E885A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8AB88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9ED104">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A40734">
                  <w:r>
                    <w:rPr>
                      <w:rStyle w:val="11"/>
                      <w:rFonts w:hint="eastAsia"/>
                    </w:rPr>
                    <w:t>茎叶喷雾</w:t>
                  </w:r>
                </w:p>
              </w:tc>
            </w:tr>
          </w:tbl>
          <w:p w14:paraId="6ACD78A9">
            <w:pPr>
              <w:rPr>
                <w:rFonts w:ascii="Times New Roman" w:hAnsi="Times New Roman" w:cs="Times New Roman"/>
                <w:sz w:val="20"/>
                <w:szCs w:val="20"/>
              </w:rPr>
            </w:pPr>
          </w:p>
        </w:tc>
      </w:tr>
      <w:tr w14:paraId="5D16AC65">
        <w:tblPrEx>
          <w:tblCellMar>
            <w:top w:w="0" w:type="dxa"/>
            <w:left w:w="0" w:type="dxa"/>
            <w:bottom w:w="0" w:type="dxa"/>
            <w:right w:w="0" w:type="dxa"/>
          </w:tblCellMar>
        </w:tblPrEx>
        <w:trPr>
          <w:wBefore w:w="0" w:type="auto"/>
          <w:tblCellSpacing w:w="0" w:type="dxa"/>
        </w:trPr>
        <w:tc>
          <w:tcPr>
            <w:tcW w:w="0" w:type="auto"/>
            <w:noWrap w:val="0"/>
            <w:vAlign w:val="center"/>
          </w:tcPr>
          <w:p w14:paraId="61D7C032">
            <w:r>
              <w:rPr>
                <w:rStyle w:val="10"/>
                <w:rFonts w:hint="eastAsia"/>
              </w:rPr>
              <w:t>使用技术要求:</w:t>
            </w:r>
            <w:r>
              <w:rPr>
                <w:rFonts w:hint="eastAsia"/>
              </w:rPr>
              <w:br w:type="textWrapping"/>
            </w:r>
            <w:r>
              <w:rPr>
                <w:rStyle w:val="11"/>
                <w:rFonts w:hint="eastAsia"/>
              </w:rPr>
              <w:t>1.本品于杂草生长旺盛期茎叶喷雾施药。 2.每季作物最多使用1次。 3. 大风天或预计1小时内降雨，请勿施药。</w:t>
            </w:r>
          </w:p>
        </w:tc>
      </w:tr>
      <w:tr w14:paraId="4DB126B0">
        <w:tblPrEx>
          <w:tblCellMar>
            <w:top w:w="0" w:type="dxa"/>
            <w:left w:w="0" w:type="dxa"/>
            <w:bottom w:w="0" w:type="dxa"/>
            <w:right w:w="0" w:type="dxa"/>
          </w:tblCellMar>
        </w:tblPrEx>
        <w:trPr>
          <w:wBefore w:w="0" w:type="auto"/>
          <w:tblCellSpacing w:w="0" w:type="dxa"/>
        </w:trPr>
        <w:tc>
          <w:tcPr>
            <w:tcW w:w="0" w:type="auto"/>
            <w:noWrap w:val="0"/>
            <w:vAlign w:val="center"/>
          </w:tcPr>
          <w:p w14:paraId="0AA49FAE">
            <w:r>
              <w:rPr>
                <w:rStyle w:val="10"/>
                <w:rFonts w:hint="eastAsia"/>
              </w:rPr>
              <w:t>产品性能:</w:t>
            </w:r>
            <w:r>
              <w:rPr>
                <w:rFonts w:hint="eastAsia"/>
              </w:rPr>
              <w:br w:type="textWrapping"/>
            </w:r>
            <w:r>
              <w:rPr>
                <w:rStyle w:val="11"/>
                <w:rFonts w:hint="eastAsia"/>
              </w:rPr>
              <w:t xml:space="preserve">本品是一种内吸兼触杀型非选择性除草剂，属于谷氨酰胺合成抑制剂，施药后短时间内可以导致植物体内氮代谢紊乱及铵的过量积累、叶绿体解体，从而光合作用受抑制，最终导致杂草死亡。对非耕地的杂草有较好防效。 </w:t>
            </w:r>
          </w:p>
        </w:tc>
      </w:tr>
      <w:tr w14:paraId="33AEFA3A">
        <w:tblPrEx>
          <w:tblCellMar>
            <w:top w:w="0" w:type="dxa"/>
            <w:left w:w="0" w:type="dxa"/>
            <w:bottom w:w="0" w:type="dxa"/>
            <w:right w:w="0" w:type="dxa"/>
          </w:tblCellMar>
        </w:tblPrEx>
        <w:trPr>
          <w:wBefore w:w="0" w:type="auto"/>
          <w:tblCellSpacing w:w="0" w:type="dxa"/>
        </w:trPr>
        <w:tc>
          <w:tcPr>
            <w:tcW w:w="0" w:type="auto"/>
            <w:noWrap w:val="0"/>
            <w:vAlign w:val="center"/>
          </w:tcPr>
          <w:p w14:paraId="2ACBDE3D">
            <w:r>
              <w:rPr>
                <w:rStyle w:val="10"/>
                <w:rFonts w:hint="eastAsia"/>
              </w:rPr>
              <w:t>注意事项：</w:t>
            </w:r>
            <w:r>
              <w:rPr>
                <w:rFonts w:hint="eastAsia"/>
              </w:rPr>
              <w:br w:type="textWrapping"/>
            </w:r>
            <w:r>
              <w:rPr>
                <w:rStyle w:val="11"/>
                <w:rFonts w:hint="eastAsia"/>
              </w:rPr>
              <w:t>1.禁止在田间道路、田埂、果树行间、休耕地、林场地等农林区域使用。施药时应避免药液飘移到邻近作物田。 2.使用本品时应穿戴防护服、口罩、手套和护目镜等防护用具，避免眼睛接触药液，口鼻吸入药液。施药期间不可吃东西、喝水和吸烟等。施药后应及时洗手和洗脸等。 3.禁止在河塘等水体中清洗施药器具；禁止在河塘等水域清洗施药器具或将清洗施药器具的废水倒入河流、池塘等水源。4.蚕室及桑园附近禁用；鸟类保护区附近禁用。5.废弃物要回收并妥善处理，不可随意丢弃，也不可做他用。6.孕妇及哺乳期妇女避免接触此药。</w:t>
            </w:r>
          </w:p>
        </w:tc>
      </w:tr>
      <w:tr w14:paraId="05048651">
        <w:tblPrEx>
          <w:tblCellMar>
            <w:top w:w="0" w:type="dxa"/>
            <w:left w:w="0" w:type="dxa"/>
            <w:bottom w:w="0" w:type="dxa"/>
            <w:right w:w="0" w:type="dxa"/>
          </w:tblCellMar>
        </w:tblPrEx>
        <w:trPr>
          <w:wBefore w:w="0" w:type="auto"/>
          <w:tblCellSpacing w:w="0" w:type="dxa"/>
        </w:trPr>
        <w:tc>
          <w:tcPr>
            <w:tcW w:w="0" w:type="auto"/>
            <w:noWrap w:val="0"/>
            <w:vAlign w:val="center"/>
          </w:tcPr>
          <w:p w14:paraId="5898C2D7">
            <w:r>
              <w:rPr>
                <w:rStyle w:val="10"/>
                <w:rFonts w:hint="eastAsia"/>
              </w:rPr>
              <w:t>中毒急救措施：</w:t>
            </w:r>
            <w:r>
              <w:rPr>
                <w:rFonts w:hint="eastAsia"/>
              </w:rPr>
              <w:br w:type="textWrapping"/>
            </w:r>
            <w:r>
              <w:rPr>
                <w:rStyle w:val="11"/>
                <w:rFonts w:hint="eastAsia"/>
              </w:rPr>
              <w:t>1.本品对眼睛有刺激性，如溅入眼睛：清水彻底冲洗至少15分钟。若症状持续，就医。皮肤接触后用肥皂水和清水彻底冲洗皮肤。不慎吸入，转移至空气清新处。 2.若误服，立即带标签就医诊治。 3.尚无特效解毒剂。及时就医，对症治疗。</w:t>
            </w:r>
          </w:p>
        </w:tc>
      </w:tr>
      <w:tr w14:paraId="4F286064">
        <w:tblPrEx>
          <w:tblCellMar>
            <w:top w:w="0" w:type="dxa"/>
            <w:left w:w="0" w:type="dxa"/>
            <w:bottom w:w="0" w:type="dxa"/>
            <w:right w:w="0" w:type="dxa"/>
          </w:tblCellMar>
        </w:tblPrEx>
        <w:trPr>
          <w:wBefore w:w="0" w:type="auto"/>
          <w:tblCellSpacing w:w="0" w:type="dxa"/>
        </w:trPr>
        <w:tc>
          <w:tcPr>
            <w:tcW w:w="0" w:type="auto"/>
            <w:noWrap w:val="0"/>
            <w:vAlign w:val="center"/>
          </w:tcPr>
          <w:p w14:paraId="0FCCF239">
            <w:r>
              <w:rPr>
                <w:rStyle w:val="10"/>
                <w:rFonts w:hint="eastAsia"/>
              </w:rPr>
              <w:t>储存和运输方法：</w:t>
            </w:r>
            <w:r>
              <w:rPr>
                <w:rFonts w:hint="eastAsia"/>
              </w:rPr>
              <w:br w:type="textWrapping"/>
            </w:r>
            <w:r>
              <w:rPr>
                <w:rStyle w:val="11"/>
                <w:rFonts w:hint="eastAsia"/>
              </w:rPr>
              <w:t>1.本品应贮存在干燥、阴凉、通风、防雨处,防太阳直射。保持容器密封。 2.置于儿童、无关人员触及不到之处，远离火源和热源，加锁贮存。3.不能与食品，饮料、粮食、饲料等混合储运。</w:t>
            </w:r>
          </w:p>
        </w:tc>
      </w:tr>
      <w:tr w14:paraId="2263020D">
        <w:tblPrEx>
          <w:tblCellMar>
            <w:top w:w="0" w:type="dxa"/>
            <w:left w:w="0" w:type="dxa"/>
            <w:bottom w:w="0" w:type="dxa"/>
            <w:right w:w="0" w:type="dxa"/>
          </w:tblCellMar>
        </w:tblPrEx>
        <w:trPr>
          <w:wBefore w:w="0" w:type="auto"/>
          <w:tblCellSpacing w:w="0" w:type="dxa"/>
        </w:trPr>
        <w:tc>
          <w:tcPr>
            <w:tcW w:w="0" w:type="auto"/>
            <w:noWrap w:val="0"/>
            <w:vAlign w:val="center"/>
          </w:tcPr>
          <w:p w14:paraId="7A9DAD8A">
            <w:r>
              <w:rPr>
                <w:rStyle w:val="10"/>
                <w:rFonts w:hint="eastAsia"/>
              </w:rPr>
              <w:t>质量保证期：</w:t>
            </w:r>
            <w:r>
              <w:rPr>
                <w:rStyle w:val="11"/>
                <w:rFonts w:hint="eastAsia"/>
              </w:rPr>
              <w:t>2年</w:t>
            </w:r>
          </w:p>
        </w:tc>
      </w:tr>
      <w:tr w14:paraId="6B96CFD3">
        <w:tblPrEx>
          <w:tblCellMar>
            <w:top w:w="0" w:type="dxa"/>
            <w:left w:w="0" w:type="dxa"/>
            <w:bottom w:w="0" w:type="dxa"/>
            <w:right w:w="0" w:type="dxa"/>
          </w:tblCellMar>
        </w:tblPrEx>
        <w:trPr>
          <w:wBefore w:w="0" w:type="auto"/>
          <w:tblCellSpacing w:w="0" w:type="dxa"/>
        </w:trPr>
        <w:tc>
          <w:tcPr>
            <w:tcW w:w="0" w:type="auto"/>
            <w:noWrap w:val="0"/>
            <w:vAlign w:val="center"/>
          </w:tcPr>
          <w:p w14:paraId="5952A1F5">
            <w:r>
              <w:rPr>
                <w:rStyle w:val="10"/>
                <w:rFonts w:hint="eastAsia"/>
              </w:rPr>
              <w:t>备注：</w:t>
            </w:r>
          </w:p>
        </w:tc>
      </w:tr>
    </w:tbl>
    <w:p w14:paraId="153E49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6A8F24">
        <w:tblPrEx>
          <w:tblCellMar>
            <w:top w:w="0" w:type="dxa"/>
            <w:left w:w="0" w:type="dxa"/>
            <w:bottom w:w="0" w:type="dxa"/>
            <w:right w:w="0" w:type="dxa"/>
          </w:tblCellMar>
        </w:tblPrEx>
        <w:trPr>
          <w:wBefore w:w="0" w:type="auto"/>
          <w:tblCellSpacing w:w="0" w:type="dxa"/>
        </w:trPr>
        <w:tc>
          <w:tcPr>
            <w:tcW w:w="0" w:type="auto"/>
            <w:noWrap w:val="0"/>
            <w:vAlign w:val="center"/>
          </w:tcPr>
          <w:p w14:paraId="6148A88B">
            <w:r>
              <w:rPr>
                <w:rStyle w:val="10"/>
                <w:rFonts w:hint="eastAsia"/>
              </w:rPr>
              <w:t>登记证号：</w:t>
            </w:r>
            <w:r>
              <w:rPr>
                <w:rFonts w:hint="eastAsia"/>
              </w:rPr>
              <w:t>PD20212631</w:t>
            </w:r>
          </w:p>
        </w:tc>
      </w:tr>
      <w:tr w14:paraId="2E1FFEE7">
        <w:tblPrEx>
          <w:tblCellMar>
            <w:top w:w="0" w:type="dxa"/>
            <w:left w:w="0" w:type="dxa"/>
            <w:bottom w:w="0" w:type="dxa"/>
            <w:right w:w="0" w:type="dxa"/>
          </w:tblCellMar>
        </w:tblPrEx>
        <w:trPr>
          <w:wBefore w:w="0" w:type="auto"/>
          <w:tblCellSpacing w:w="0" w:type="dxa"/>
        </w:trPr>
        <w:tc>
          <w:tcPr>
            <w:tcW w:w="0" w:type="auto"/>
            <w:noWrap w:val="0"/>
            <w:vAlign w:val="center"/>
          </w:tcPr>
          <w:p w14:paraId="08377C6B">
            <w:r>
              <w:rPr>
                <w:rStyle w:val="10"/>
                <w:rFonts w:hint="eastAsia"/>
              </w:rPr>
              <w:t>登记证持有人：</w:t>
            </w:r>
            <w:r>
              <w:rPr>
                <w:rFonts w:hint="eastAsia"/>
              </w:rPr>
              <w:t>安徽喜田生物科技有限公司</w:t>
            </w:r>
          </w:p>
        </w:tc>
      </w:tr>
      <w:tr w14:paraId="2008635D">
        <w:tblPrEx>
          <w:tblCellMar>
            <w:top w:w="0" w:type="dxa"/>
            <w:left w:w="0" w:type="dxa"/>
            <w:bottom w:w="0" w:type="dxa"/>
            <w:right w:w="0" w:type="dxa"/>
          </w:tblCellMar>
        </w:tblPrEx>
        <w:trPr>
          <w:wBefore w:w="0" w:type="auto"/>
          <w:tblCellSpacing w:w="0" w:type="dxa"/>
        </w:trPr>
        <w:tc>
          <w:tcPr>
            <w:tcW w:w="0" w:type="auto"/>
            <w:noWrap w:val="0"/>
            <w:vAlign w:val="center"/>
          </w:tcPr>
          <w:p w14:paraId="78151A95">
            <w:r>
              <w:rPr>
                <w:rStyle w:val="10"/>
                <w:rFonts w:hint="eastAsia"/>
              </w:rPr>
              <w:t>农药名称：</w:t>
            </w:r>
            <w:r>
              <w:rPr>
                <w:rFonts w:hint="eastAsia"/>
              </w:rPr>
              <w:t>噁唑·氰氟</w:t>
            </w:r>
          </w:p>
        </w:tc>
      </w:tr>
      <w:tr w14:paraId="5F290E8B">
        <w:tblPrEx>
          <w:tblCellMar>
            <w:top w:w="0" w:type="dxa"/>
            <w:left w:w="0" w:type="dxa"/>
            <w:bottom w:w="0" w:type="dxa"/>
            <w:right w:w="0" w:type="dxa"/>
          </w:tblCellMar>
        </w:tblPrEx>
        <w:trPr>
          <w:wBefore w:w="0" w:type="auto"/>
          <w:tblCellSpacing w:w="0" w:type="dxa"/>
        </w:trPr>
        <w:tc>
          <w:tcPr>
            <w:tcW w:w="0" w:type="auto"/>
            <w:noWrap w:val="0"/>
            <w:vAlign w:val="center"/>
          </w:tcPr>
          <w:p w14:paraId="00ED3A55">
            <w:r>
              <w:rPr>
                <w:rStyle w:val="10"/>
                <w:rFonts w:hint="eastAsia"/>
              </w:rPr>
              <w:t>剂型：</w:t>
            </w:r>
            <w:r>
              <w:rPr>
                <w:rFonts w:hint="eastAsia"/>
              </w:rPr>
              <w:t>乳油</w:t>
            </w:r>
          </w:p>
        </w:tc>
      </w:tr>
      <w:tr w14:paraId="03B0805D">
        <w:tblPrEx>
          <w:tblCellMar>
            <w:top w:w="0" w:type="dxa"/>
            <w:left w:w="0" w:type="dxa"/>
            <w:bottom w:w="0" w:type="dxa"/>
            <w:right w:w="0" w:type="dxa"/>
          </w:tblCellMar>
        </w:tblPrEx>
        <w:trPr>
          <w:wBefore w:w="0" w:type="auto"/>
          <w:tblCellSpacing w:w="0" w:type="dxa"/>
        </w:trPr>
        <w:tc>
          <w:tcPr>
            <w:tcW w:w="0" w:type="auto"/>
            <w:noWrap w:val="0"/>
            <w:vAlign w:val="center"/>
          </w:tcPr>
          <w:p w14:paraId="053DC8E3">
            <w:r>
              <w:rPr>
                <w:rStyle w:val="10"/>
                <w:rFonts w:hint="eastAsia"/>
              </w:rPr>
              <w:t>毒性及其标识：</w:t>
            </w:r>
            <w:r>
              <w:rPr>
                <w:rFonts w:hint="eastAsia"/>
              </w:rPr>
              <w:t xml:space="preserve"> </w:t>
            </w:r>
            <w:r>
              <w:rPr>
                <w:lang/>
              </w:rPr>
              <w:drawing>
                <wp:inline distT="0" distB="0" distL="114300" distR="114300">
                  <wp:extent cx="476250" cy="323850"/>
                  <wp:effectExtent l="0" t="0" r="0" b="0"/>
                  <wp:docPr id="295" name="图片 2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79CC8B">
        <w:tblPrEx>
          <w:tblCellMar>
            <w:top w:w="0" w:type="dxa"/>
            <w:left w:w="0" w:type="dxa"/>
            <w:bottom w:w="0" w:type="dxa"/>
            <w:right w:w="0" w:type="dxa"/>
          </w:tblCellMar>
        </w:tblPrEx>
        <w:trPr>
          <w:wBefore w:w="0" w:type="auto"/>
          <w:tblCellSpacing w:w="0" w:type="dxa"/>
        </w:trPr>
        <w:tc>
          <w:tcPr>
            <w:tcW w:w="0" w:type="auto"/>
            <w:noWrap w:val="0"/>
            <w:vAlign w:val="center"/>
          </w:tcPr>
          <w:p w14:paraId="2C95E9B8">
            <w:r>
              <w:rPr>
                <w:rStyle w:val="10"/>
                <w:rFonts w:hint="eastAsia"/>
              </w:rPr>
              <w:t>总有效成分含量：</w:t>
            </w:r>
            <w:r>
              <w:rPr>
                <w:rFonts w:hint="eastAsia"/>
              </w:rPr>
              <w:t>20%</w:t>
            </w:r>
          </w:p>
        </w:tc>
      </w:tr>
      <w:tr w14:paraId="695B2858">
        <w:tblPrEx>
          <w:tblCellMar>
            <w:top w:w="0" w:type="dxa"/>
            <w:left w:w="0" w:type="dxa"/>
            <w:bottom w:w="0" w:type="dxa"/>
            <w:right w:w="0" w:type="dxa"/>
          </w:tblCellMar>
        </w:tblPrEx>
        <w:trPr>
          <w:wBefore w:w="0" w:type="auto"/>
          <w:tblCellSpacing w:w="0" w:type="dxa"/>
        </w:trPr>
        <w:tc>
          <w:tcPr>
            <w:tcW w:w="0" w:type="auto"/>
            <w:noWrap w:val="0"/>
            <w:vAlign w:val="center"/>
          </w:tcPr>
          <w:p w14:paraId="194275CF">
            <w:r>
              <w:rPr>
                <w:rFonts w:hint="eastAsia"/>
              </w:rPr>
              <w:t xml:space="preserve">有效成分及其含量： </w:t>
            </w:r>
          </w:p>
          <w:p w14:paraId="52D7BE96">
            <w:r>
              <w:rPr>
                <w:rFonts w:hint="eastAsia"/>
              </w:rPr>
              <w:t xml:space="preserve">    噁唑酰草胺10%    氰氟草酯10%    </w:t>
            </w:r>
          </w:p>
        </w:tc>
      </w:tr>
      <w:tr w14:paraId="1B4FF1A7">
        <w:tblPrEx>
          <w:tblCellMar>
            <w:top w:w="0" w:type="dxa"/>
            <w:left w:w="0" w:type="dxa"/>
            <w:bottom w:w="0" w:type="dxa"/>
            <w:right w:w="0" w:type="dxa"/>
          </w:tblCellMar>
        </w:tblPrEx>
        <w:trPr>
          <w:wBefore w:w="0" w:type="auto"/>
          <w:tblCellSpacing w:w="0" w:type="dxa"/>
        </w:trPr>
        <w:tc>
          <w:tcPr>
            <w:tcW w:w="0" w:type="auto"/>
            <w:noWrap w:val="0"/>
            <w:vAlign w:val="center"/>
          </w:tcPr>
          <w:p w14:paraId="11D14DA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B840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092D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7A2C2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0283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9A34AC">
                  <w:r>
                    <w:rPr>
                      <w:rStyle w:val="11"/>
                      <w:rFonts w:hint="eastAsia"/>
                    </w:rPr>
                    <w:t>施用方式</w:t>
                  </w:r>
                </w:p>
              </w:tc>
            </w:tr>
            <w:tr w14:paraId="3F1355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252394">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ECA91F">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87C1CF">
                  <w:r>
                    <w:rPr>
                      <w:rStyle w:val="11"/>
                      <w:rFonts w:hint="eastAsia"/>
                    </w:rPr>
                    <w:t>45-75毫升/亩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68DB5">
                  <w:r>
                    <w:rPr>
                      <w:rStyle w:val="11"/>
                      <w:rFonts w:hint="eastAsia"/>
                    </w:rPr>
                    <w:t>茎叶喷雾</w:t>
                  </w:r>
                </w:p>
              </w:tc>
            </w:tr>
          </w:tbl>
          <w:p w14:paraId="13AA65E6">
            <w:pPr>
              <w:rPr>
                <w:rFonts w:ascii="Times New Roman" w:hAnsi="Times New Roman" w:cs="Times New Roman"/>
                <w:sz w:val="20"/>
                <w:szCs w:val="20"/>
              </w:rPr>
            </w:pPr>
          </w:p>
        </w:tc>
      </w:tr>
      <w:tr w14:paraId="0A8AD567">
        <w:tblPrEx>
          <w:tblCellMar>
            <w:top w:w="0" w:type="dxa"/>
            <w:left w:w="0" w:type="dxa"/>
            <w:bottom w:w="0" w:type="dxa"/>
            <w:right w:w="0" w:type="dxa"/>
          </w:tblCellMar>
        </w:tblPrEx>
        <w:trPr>
          <w:wBefore w:w="0" w:type="auto"/>
          <w:tblCellSpacing w:w="0" w:type="dxa"/>
        </w:trPr>
        <w:tc>
          <w:tcPr>
            <w:tcW w:w="0" w:type="auto"/>
            <w:noWrap w:val="0"/>
            <w:vAlign w:val="center"/>
          </w:tcPr>
          <w:p w14:paraId="51957A75">
            <w:r>
              <w:rPr>
                <w:rStyle w:val="10"/>
                <w:rFonts w:hint="eastAsia"/>
              </w:rPr>
              <w:t>使用技术要求:</w:t>
            </w:r>
            <w:r>
              <w:rPr>
                <w:rFonts w:hint="eastAsia"/>
              </w:rPr>
              <w:br w:type="textWrapping"/>
            </w:r>
            <w:r>
              <w:rPr>
                <w:rStyle w:val="11"/>
                <w:rFonts w:hint="eastAsia"/>
              </w:rPr>
              <w:t>1.在直播稻田杂草2-5叶期，施药前排田水，以推荐剂量兑水均匀茎叶喷雾施药一次，药后1-2天灌水回田，保浅水层5-7天。2.喷液量: 30升/亩。3.注意水层勿淹没水稻心叶避免药害。4.施药时防止药液飘移到邻近作物，以免产生药害。5.每季作物最多使用1次。</w:t>
            </w:r>
          </w:p>
        </w:tc>
      </w:tr>
      <w:tr w14:paraId="346155BE">
        <w:tblPrEx>
          <w:tblCellMar>
            <w:top w:w="0" w:type="dxa"/>
            <w:left w:w="0" w:type="dxa"/>
            <w:bottom w:w="0" w:type="dxa"/>
            <w:right w:w="0" w:type="dxa"/>
          </w:tblCellMar>
        </w:tblPrEx>
        <w:trPr>
          <w:wBefore w:w="0" w:type="auto"/>
          <w:tblCellSpacing w:w="0" w:type="dxa"/>
        </w:trPr>
        <w:tc>
          <w:tcPr>
            <w:tcW w:w="0" w:type="auto"/>
            <w:noWrap w:val="0"/>
            <w:vAlign w:val="center"/>
          </w:tcPr>
          <w:p w14:paraId="20D3016E">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推荐剂量下使用，对水稻安全。</w:t>
            </w:r>
          </w:p>
        </w:tc>
      </w:tr>
      <w:tr w14:paraId="58C125C4">
        <w:tblPrEx>
          <w:tblCellMar>
            <w:top w:w="0" w:type="dxa"/>
            <w:left w:w="0" w:type="dxa"/>
            <w:bottom w:w="0" w:type="dxa"/>
            <w:right w:w="0" w:type="dxa"/>
          </w:tblCellMar>
        </w:tblPrEx>
        <w:trPr>
          <w:wBefore w:w="0" w:type="auto"/>
          <w:tblCellSpacing w:w="0" w:type="dxa"/>
        </w:trPr>
        <w:tc>
          <w:tcPr>
            <w:tcW w:w="0" w:type="auto"/>
            <w:noWrap w:val="0"/>
            <w:vAlign w:val="center"/>
          </w:tcPr>
          <w:p w14:paraId="2BFE05D1">
            <w:r>
              <w:rPr>
                <w:rStyle w:val="10"/>
                <w:rFonts w:hint="eastAsia"/>
              </w:rPr>
              <w:t>注意事项：</w:t>
            </w:r>
            <w:r>
              <w:rPr>
                <w:rFonts w:hint="eastAsia"/>
              </w:rPr>
              <w:br w:type="textWrapping"/>
            </w:r>
            <w:r>
              <w:rPr>
                <w:rStyle w:val="11"/>
                <w:rFonts w:hint="eastAsia"/>
              </w:rPr>
              <w:t>1.使用时穿戴长衣、长裤、帽子、口罩、手套等防护措施。避免吸入药液；施药期间不可吃东西、饮水、吸烟等；施药后应及时洗手、洗脸并洗涤施药时穿着的衣物。2.在水产养殖区，河塘等水体附近禁用，禁止在河塘等水体中清洗施药器具，避免药液流入湖泊，河流或鱼塘中污染水源。鱼或虾蟹套养稻田禁用，施药后的田水不得直接排入水体； 蚕室及桑园附近禁用。药后及时彻底清洗药械，废弃物切勿污染水源或水体。3.废弃物应妥善处理，不可做他用，也不可随意丢弃。 4.避免孕妇及哺乳期的妇女接触本品。5.该产品为易燃液体。</w:t>
            </w:r>
          </w:p>
        </w:tc>
      </w:tr>
      <w:tr w14:paraId="50863FAA">
        <w:tblPrEx>
          <w:tblCellMar>
            <w:top w:w="0" w:type="dxa"/>
            <w:left w:w="0" w:type="dxa"/>
            <w:bottom w:w="0" w:type="dxa"/>
            <w:right w:w="0" w:type="dxa"/>
          </w:tblCellMar>
        </w:tblPrEx>
        <w:trPr>
          <w:wBefore w:w="0" w:type="auto"/>
          <w:tblCellSpacing w:w="0" w:type="dxa"/>
        </w:trPr>
        <w:tc>
          <w:tcPr>
            <w:tcW w:w="0" w:type="auto"/>
            <w:noWrap w:val="0"/>
            <w:vAlign w:val="center"/>
          </w:tcPr>
          <w:p w14:paraId="489D393F">
            <w:r>
              <w:rPr>
                <w:rStyle w:val="10"/>
                <w:rFonts w:hint="eastAsia"/>
              </w:rPr>
              <w:t>中毒急救措施：</w:t>
            </w:r>
            <w:r>
              <w:rPr>
                <w:rFonts w:hint="eastAsia"/>
              </w:rPr>
              <w:br w:type="textWrapping"/>
            </w:r>
            <w:r>
              <w:rPr>
                <w:rStyle w:val="11"/>
                <w:rFonts w:hint="eastAsia"/>
              </w:rPr>
              <w:t>中毒症状：本品对皮肤、眼睛有刺激性，使用时要注意避免与皮肤、眼睛接触。中毒急救：1．眼睛溅入:对眼睛有刺激性，立刻用大量清水冲洗15-20分钟，如佩戴隐形眼镜，冲洗5分钟后摘掉眼镜再冲洗15分钟。携带此标签去医院诊治。2.误食：不要自行引吐，携此标签送医诊治。3.皮肤沾附：脱去被溅衣服，立即用大量清水冲洗皮肤。衣服彻底清洗后方可再穿。4.给医护人员的提示：无特殊解毒药，请医生根据症状治疗。</w:t>
            </w:r>
          </w:p>
        </w:tc>
      </w:tr>
      <w:tr w14:paraId="331A485C">
        <w:tblPrEx>
          <w:tblCellMar>
            <w:top w:w="0" w:type="dxa"/>
            <w:left w:w="0" w:type="dxa"/>
            <w:bottom w:w="0" w:type="dxa"/>
            <w:right w:w="0" w:type="dxa"/>
          </w:tblCellMar>
        </w:tblPrEx>
        <w:trPr>
          <w:wBefore w:w="0" w:type="auto"/>
          <w:tblCellSpacing w:w="0" w:type="dxa"/>
        </w:trPr>
        <w:tc>
          <w:tcPr>
            <w:tcW w:w="0" w:type="auto"/>
            <w:noWrap w:val="0"/>
            <w:vAlign w:val="center"/>
          </w:tcPr>
          <w:p w14:paraId="68A22299">
            <w:r>
              <w:rPr>
                <w:rStyle w:val="10"/>
                <w:rFonts w:hint="eastAsia"/>
              </w:rPr>
              <w:t>储存和运输方法：</w:t>
            </w:r>
            <w:r>
              <w:rPr>
                <w:rFonts w:hint="eastAsia"/>
              </w:rPr>
              <w:br w:type="textWrapping"/>
            </w:r>
            <w:r>
              <w:rPr>
                <w:rStyle w:val="11"/>
                <w:rFonts w:hint="eastAsia"/>
              </w:rPr>
              <w:t>1.本品应贮存在干燥、阴凉、通风、防雨处，远离热源或火源。置于儿童与无关人员接触不到的地方，并加锁保管，不能与食品、饮料、粮食、饲料等混合贮存。2.运输时，严防潮湿和日晒雨淋，搬运时轻搬轻放，避免与眼睛接触，防止由口鼻吸入。</w:t>
            </w:r>
          </w:p>
        </w:tc>
      </w:tr>
      <w:tr w14:paraId="6F63B932">
        <w:tblPrEx>
          <w:tblCellMar>
            <w:top w:w="0" w:type="dxa"/>
            <w:left w:w="0" w:type="dxa"/>
            <w:bottom w:w="0" w:type="dxa"/>
            <w:right w:w="0" w:type="dxa"/>
          </w:tblCellMar>
        </w:tblPrEx>
        <w:trPr>
          <w:wBefore w:w="0" w:type="auto"/>
          <w:tblCellSpacing w:w="0" w:type="dxa"/>
        </w:trPr>
        <w:tc>
          <w:tcPr>
            <w:tcW w:w="0" w:type="auto"/>
            <w:noWrap w:val="0"/>
            <w:vAlign w:val="center"/>
          </w:tcPr>
          <w:p w14:paraId="1C6211F9">
            <w:r>
              <w:rPr>
                <w:rStyle w:val="10"/>
                <w:rFonts w:hint="eastAsia"/>
              </w:rPr>
              <w:t>质量保证期：</w:t>
            </w:r>
            <w:r>
              <w:rPr>
                <w:rStyle w:val="11"/>
                <w:rFonts w:hint="eastAsia"/>
              </w:rPr>
              <w:t>2年</w:t>
            </w:r>
          </w:p>
        </w:tc>
      </w:tr>
      <w:tr w14:paraId="41B41E9D">
        <w:tblPrEx>
          <w:tblCellMar>
            <w:top w:w="0" w:type="dxa"/>
            <w:left w:w="0" w:type="dxa"/>
            <w:bottom w:w="0" w:type="dxa"/>
            <w:right w:w="0" w:type="dxa"/>
          </w:tblCellMar>
        </w:tblPrEx>
        <w:trPr>
          <w:wBefore w:w="0" w:type="auto"/>
          <w:tblCellSpacing w:w="0" w:type="dxa"/>
        </w:trPr>
        <w:tc>
          <w:tcPr>
            <w:tcW w:w="0" w:type="auto"/>
            <w:noWrap w:val="0"/>
            <w:vAlign w:val="center"/>
          </w:tcPr>
          <w:p w14:paraId="66D4863E">
            <w:r>
              <w:rPr>
                <w:rStyle w:val="10"/>
                <w:rFonts w:hint="eastAsia"/>
              </w:rPr>
              <w:t>备注：</w:t>
            </w:r>
          </w:p>
        </w:tc>
      </w:tr>
    </w:tbl>
    <w:p w14:paraId="7DDA78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19D31A">
        <w:tblPrEx>
          <w:tblCellMar>
            <w:top w:w="0" w:type="dxa"/>
            <w:left w:w="0" w:type="dxa"/>
            <w:bottom w:w="0" w:type="dxa"/>
            <w:right w:w="0" w:type="dxa"/>
          </w:tblCellMar>
        </w:tblPrEx>
        <w:trPr>
          <w:wBefore w:w="0" w:type="auto"/>
          <w:tblCellSpacing w:w="0" w:type="dxa"/>
        </w:trPr>
        <w:tc>
          <w:tcPr>
            <w:tcW w:w="0" w:type="auto"/>
            <w:noWrap w:val="0"/>
            <w:vAlign w:val="center"/>
          </w:tcPr>
          <w:p w14:paraId="2E51343E">
            <w:r>
              <w:rPr>
                <w:rStyle w:val="10"/>
                <w:rFonts w:hint="eastAsia"/>
              </w:rPr>
              <w:t>登记证号：</w:t>
            </w:r>
            <w:r>
              <w:rPr>
                <w:rFonts w:hint="eastAsia"/>
              </w:rPr>
              <w:t>PD20212695</w:t>
            </w:r>
          </w:p>
        </w:tc>
      </w:tr>
      <w:tr w14:paraId="7A778B38">
        <w:tblPrEx>
          <w:tblCellMar>
            <w:top w:w="0" w:type="dxa"/>
            <w:left w:w="0" w:type="dxa"/>
            <w:bottom w:w="0" w:type="dxa"/>
            <w:right w:w="0" w:type="dxa"/>
          </w:tblCellMar>
        </w:tblPrEx>
        <w:trPr>
          <w:wBefore w:w="0" w:type="auto"/>
          <w:tblCellSpacing w:w="0" w:type="dxa"/>
        </w:trPr>
        <w:tc>
          <w:tcPr>
            <w:tcW w:w="0" w:type="auto"/>
            <w:noWrap w:val="0"/>
            <w:vAlign w:val="center"/>
          </w:tcPr>
          <w:p w14:paraId="5F420285">
            <w:r>
              <w:rPr>
                <w:rStyle w:val="10"/>
                <w:rFonts w:hint="eastAsia"/>
              </w:rPr>
              <w:t>登记证持有人：</w:t>
            </w:r>
            <w:r>
              <w:rPr>
                <w:rFonts w:hint="eastAsia"/>
              </w:rPr>
              <w:t>江苏优嘉植物保护有限公司</w:t>
            </w:r>
          </w:p>
        </w:tc>
      </w:tr>
      <w:tr w14:paraId="44CF15D8">
        <w:tblPrEx>
          <w:tblCellMar>
            <w:top w:w="0" w:type="dxa"/>
            <w:left w:w="0" w:type="dxa"/>
            <w:bottom w:w="0" w:type="dxa"/>
            <w:right w:w="0" w:type="dxa"/>
          </w:tblCellMar>
        </w:tblPrEx>
        <w:trPr>
          <w:wBefore w:w="0" w:type="auto"/>
          <w:tblCellSpacing w:w="0" w:type="dxa"/>
        </w:trPr>
        <w:tc>
          <w:tcPr>
            <w:tcW w:w="0" w:type="auto"/>
            <w:noWrap w:val="0"/>
            <w:vAlign w:val="center"/>
          </w:tcPr>
          <w:p w14:paraId="65A71304">
            <w:r>
              <w:rPr>
                <w:rStyle w:val="10"/>
                <w:rFonts w:hint="eastAsia"/>
              </w:rPr>
              <w:t>农药名称：</w:t>
            </w:r>
            <w:r>
              <w:rPr>
                <w:rFonts w:hint="eastAsia"/>
              </w:rPr>
              <w:t>唑醚·代森联</w:t>
            </w:r>
          </w:p>
        </w:tc>
      </w:tr>
      <w:tr w14:paraId="2A7F6681">
        <w:tblPrEx>
          <w:tblCellMar>
            <w:top w:w="0" w:type="dxa"/>
            <w:left w:w="0" w:type="dxa"/>
            <w:bottom w:w="0" w:type="dxa"/>
            <w:right w:w="0" w:type="dxa"/>
          </w:tblCellMar>
        </w:tblPrEx>
        <w:trPr>
          <w:wBefore w:w="0" w:type="auto"/>
          <w:tblCellSpacing w:w="0" w:type="dxa"/>
        </w:trPr>
        <w:tc>
          <w:tcPr>
            <w:tcW w:w="0" w:type="auto"/>
            <w:noWrap w:val="0"/>
            <w:vAlign w:val="center"/>
          </w:tcPr>
          <w:p w14:paraId="631C5D8A">
            <w:r>
              <w:rPr>
                <w:rStyle w:val="10"/>
                <w:rFonts w:hint="eastAsia"/>
              </w:rPr>
              <w:t>剂型：</w:t>
            </w:r>
            <w:r>
              <w:rPr>
                <w:rFonts w:hint="eastAsia"/>
              </w:rPr>
              <w:t>水分散粒剂</w:t>
            </w:r>
          </w:p>
        </w:tc>
      </w:tr>
      <w:tr w14:paraId="3B9758DB">
        <w:tblPrEx>
          <w:tblCellMar>
            <w:top w:w="0" w:type="dxa"/>
            <w:left w:w="0" w:type="dxa"/>
            <w:bottom w:w="0" w:type="dxa"/>
            <w:right w:w="0" w:type="dxa"/>
          </w:tblCellMar>
        </w:tblPrEx>
        <w:trPr>
          <w:wBefore w:w="0" w:type="auto"/>
          <w:tblCellSpacing w:w="0" w:type="dxa"/>
        </w:trPr>
        <w:tc>
          <w:tcPr>
            <w:tcW w:w="0" w:type="auto"/>
            <w:noWrap w:val="0"/>
            <w:vAlign w:val="center"/>
          </w:tcPr>
          <w:p w14:paraId="62756332">
            <w:r>
              <w:rPr>
                <w:rStyle w:val="10"/>
                <w:rFonts w:hint="eastAsia"/>
              </w:rPr>
              <w:t>毒性及其标识：</w:t>
            </w:r>
            <w:r>
              <w:rPr>
                <w:rFonts w:hint="eastAsia"/>
              </w:rPr>
              <w:t xml:space="preserve"> 微毒 </w:t>
            </w:r>
          </w:p>
        </w:tc>
      </w:tr>
      <w:tr w14:paraId="7065E11A">
        <w:tblPrEx>
          <w:tblCellMar>
            <w:top w:w="0" w:type="dxa"/>
            <w:left w:w="0" w:type="dxa"/>
            <w:bottom w:w="0" w:type="dxa"/>
            <w:right w:w="0" w:type="dxa"/>
          </w:tblCellMar>
        </w:tblPrEx>
        <w:trPr>
          <w:wBefore w:w="0" w:type="auto"/>
          <w:tblCellSpacing w:w="0" w:type="dxa"/>
        </w:trPr>
        <w:tc>
          <w:tcPr>
            <w:tcW w:w="0" w:type="auto"/>
            <w:noWrap w:val="0"/>
            <w:vAlign w:val="center"/>
          </w:tcPr>
          <w:p w14:paraId="39CBE284">
            <w:r>
              <w:rPr>
                <w:rStyle w:val="10"/>
                <w:rFonts w:hint="eastAsia"/>
              </w:rPr>
              <w:t>总有效成分含量：</w:t>
            </w:r>
            <w:r>
              <w:rPr>
                <w:rFonts w:hint="eastAsia"/>
              </w:rPr>
              <w:t>60%</w:t>
            </w:r>
          </w:p>
        </w:tc>
      </w:tr>
      <w:tr w14:paraId="366A3C9C">
        <w:tblPrEx>
          <w:tblCellMar>
            <w:top w:w="0" w:type="dxa"/>
            <w:left w:w="0" w:type="dxa"/>
            <w:bottom w:w="0" w:type="dxa"/>
            <w:right w:w="0" w:type="dxa"/>
          </w:tblCellMar>
        </w:tblPrEx>
        <w:trPr>
          <w:wBefore w:w="0" w:type="auto"/>
          <w:tblCellSpacing w:w="0" w:type="dxa"/>
        </w:trPr>
        <w:tc>
          <w:tcPr>
            <w:tcW w:w="0" w:type="auto"/>
            <w:noWrap w:val="0"/>
            <w:vAlign w:val="center"/>
          </w:tcPr>
          <w:p w14:paraId="41C10227">
            <w:r>
              <w:rPr>
                <w:rFonts w:hint="eastAsia"/>
              </w:rPr>
              <w:t xml:space="preserve">有效成分及其含量： </w:t>
            </w:r>
          </w:p>
          <w:p w14:paraId="5F3C69D6">
            <w:r>
              <w:rPr>
                <w:rFonts w:hint="eastAsia"/>
              </w:rPr>
              <w:t xml:space="preserve">    吡唑醚菌酯5%    代森联55%    </w:t>
            </w:r>
          </w:p>
        </w:tc>
      </w:tr>
      <w:tr w14:paraId="358F8F89">
        <w:tblPrEx>
          <w:tblCellMar>
            <w:top w:w="0" w:type="dxa"/>
            <w:left w:w="0" w:type="dxa"/>
            <w:bottom w:w="0" w:type="dxa"/>
            <w:right w:w="0" w:type="dxa"/>
          </w:tblCellMar>
        </w:tblPrEx>
        <w:trPr>
          <w:wBefore w:w="0" w:type="auto"/>
          <w:tblCellSpacing w:w="0" w:type="dxa"/>
        </w:trPr>
        <w:tc>
          <w:tcPr>
            <w:tcW w:w="0" w:type="auto"/>
            <w:noWrap w:val="0"/>
            <w:vAlign w:val="center"/>
          </w:tcPr>
          <w:p w14:paraId="464441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56B9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88A1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061EC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BCC5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2874C3">
                  <w:r>
                    <w:rPr>
                      <w:rStyle w:val="11"/>
                      <w:rFonts w:hint="eastAsia"/>
                    </w:rPr>
                    <w:t>施用方式</w:t>
                  </w:r>
                </w:p>
              </w:tc>
            </w:tr>
            <w:tr w14:paraId="67B225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76A5E8">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5902A5">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B27F16">
                  <w:r>
                    <w:rPr>
                      <w:rStyle w:val="11"/>
                      <w:rFonts w:hint="eastAsia"/>
                    </w:rPr>
                    <w:t>750-1000倍液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94CAF1">
                  <w:r>
                    <w:rPr>
                      <w:rStyle w:val="11"/>
                      <w:rFonts w:hint="eastAsia"/>
                    </w:rPr>
                    <w:t>喷雾</w:t>
                  </w:r>
                </w:p>
              </w:tc>
            </w:tr>
            <w:tr w14:paraId="0071AB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CB0DF9">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512DA9">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F57549">
                  <w:r>
                    <w:rPr>
                      <w:rStyle w:val="11"/>
                      <w:rFonts w:hint="eastAsia"/>
                    </w:rPr>
                    <w:t>50-60克/亩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9079AF">
                  <w:r>
                    <w:rPr>
                      <w:rStyle w:val="11"/>
                      <w:rFonts w:hint="eastAsia"/>
                    </w:rPr>
                    <w:t>喷雾</w:t>
                  </w:r>
                </w:p>
              </w:tc>
            </w:tr>
          </w:tbl>
          <w:p w14:paraId="29945235">
            <w:pPr>
              <w:rPr>
                <w:rFonts w:ascii="Times New Roman" w:hAnsi="Times New Roman" w:cs="Times New Roman"/>
                <w:sz w:val="20"/>
                <w:szCs w:val="20"/>
              </w:rPr>
            </w:pPr>
          </w:p>
        </w:tc>
      </w:tr>
      <w:tr w14:paraId="27DC6604">
        <w:tblPrEx>
          <w:tblCellMar>
            <w:top w:w="0" w:type="dxa"/>
            <w:left w:w="0" w:type="dxa"/>
            <w:bottom w:w="0" w:type="dxa"/>
            <w:right w:w="0" w:type="dxa"/>
          </w:tblCellMar>
        </w:tblPrEx>
        <w:trPr>
          <w:wBefore w:w="0" w:type="auto"/>
          <w:tblCellSpacing w:w="0" w:type="dxa"/>
        </w:trPr>
        <w:tc>
          <w:tcPr>
            <w:tcW w:w="0" w:type="auto"/>
            <w:noWrap w:val="0"/>
            <w:vAlign w:val="center"/>
          </w:tcPr>
          <w:p w14:paraId="569A5955">
            <w:r>
              <w:rPr>
                <w:rStyle w:val="10"/>
                <w:rFonts w:hint="eastAsia"/>
              </w:rPr>
              <w:t>使用技术要求:</w:t>
            </w:r>
            <w:r>
              <w:rPr>
                <w:rFonts w:hint="eastAsia"/>
              </w:rPr>
              <w:br w:type="textWrapping"/>
            </w:r>
            <w:r>
              <w:rPr>
                <w:rStyle w:val="11"/>
                <w:rFonts w:hint="eastAsia"/>
              </w:rPr>
              <w:t>1.在黄瓜霜霉病发病前或发病初期施药，施药2-3次，间隔7天。在柑橘树炭疽病发病前或发病初期施药，施药3次，间隔10-14天。2．大风天、预计1小时内降雨或中午高温期间，请勿施药。3.在黄瓜安全间隔期2天，最多施药3次。在柑橘树上安全间隔期28天，最多施药3次。</w:t>
            </w:r>
          </w:p>
        </w:tc>
      </w:tr>
      <w:tr w14:paraId="567F932D">
        <w:tblPrEx>
          <w:tblCellMar>
            <w:top w:w="0" w:type="dxa"/>
            <w:left w:w="0" w:type="dxa"/>
            <w:bottom w:w="0" w:type="dxa"/>
            <w:right w:w="0" w:type="dxa"/>
          </w:tblCellMar>
        </w:tblPrEx>
        <w:trPr>
          <w:wBefore w:w="0" w:type="auto"/>
          <w:tblCellSpacing w:w="0" w:type="dxa"/>
        </w:trPr>
        <w:tc>
          <w:tcPr>
            <w:tcW w:w="0" w:type="auto"/>
            <w:noWrap w:val="0"/>
            <w:vAlign w:val="center"/>
          </w:tcPr>
          <w:p w14:paraId="651418EC">
            <w:r>
              <w:rPr>
                <w:rStyle w:val="10"/>
                <w:rFonts w:hint="eastAsia"/>
              </w:rPr>
              <w:t>产品性能:</w:t>
            </w:r>
            <w:r>
              <w:rPr>
                <w:rFonts w:hint="eastAsia"/>
              </w:rPr>
              <w:br w:type="textWrapping"/>
            </w:r>
            <w:r>
              <w:rPr>
                <w:rStyle w:val="11"/>
                <w:rFonts w:hint="eastAsia"/>
              </w:rPr>
              <w:t>本产品是由吡唑醚菌酯和代森联混配而成的杀菌剂，早期使用可阻止病菌侵入并提高植物体免疫能力，减少植物发病次数和用药次数。具有阻止病菌侵入，防止病菌扩散和清除体内病菌等多种作用。主要用于防治柑橘树炭疽病和黄瓜霜霉病。</w:t>
            </w:r>
          </w:p>
        </w:tc>
      </w:tr>
      <w:tr w14:paraId="3E4B155F">
        <w:tblPrEx>
          <w:tblCellMar>
            <w:top w:w="0" w:type="dxa"/>
            <w:left w:w="0" w:type="dxa"/>
            <w:bottom w:w="0" w:type="dxa"/>
            <w:right w:w="0" w:type="dxa"/>
          </w:tblCellMar>
        </w:tblPrEx>
        <w:trPr>
          <w:wBefore w:w="0" w:type="auto"/>
          <w:tblCellSpacing w:w="0" w:type="dxa"/>
        </w:trPr>
        <w:tc>
          <w:tcPr>
            <w:tcW w:w="0" w:type="auto"/>
            <w:noWrap w:val="0"/>
            <w:vAlign w:val="center"/>
          </w:tcPr>
          <w:p w14:paraId="3A7769F7">
            <w:r>
              <w:rPr>
                <w:rStyle w:val="10"/>
                <w:rFonts w:hint="eastAsia"/>
              </w:rPr>
              <w:t>注意事项：</w:t>
            </w:r>
            <w:r>
              <w:rPr>
                <w:rFonts w:hint="eastAsia"/>
              </w:rPr>
              <w:br w:type="textWrapping"/>
            </w:r>
            <w:r>
              <w:rPr>
                <w:rStyle w:val="11"/>
                <w:rFonts w:hint="eastAsia"/>
              </w:rPr>
              <w:t>1.使用本品应采取相应的安全防护措施，穿靴子、长袖衣和长裤，戴防护手套、口罩等， 避免皮肤、眼睛接触及口鼻吸入。使用中不可吸烟、饮水及吃东西，使用后及时用大量清水和肥皂清洗手、脸等暴露部位皮肤并更换衣物。2.药剂应现混现兑，配好的药液要立即使用。3.远离水产养殖区、河塘等水体施药；禁止在河塘等水体中清洗施药器具。4.蚕室及桑园附近禁用；鸟类保护区附近禁用。5.用过的容器应妥善处理，不可做他用，也不可随意丢弃。6.禁止儿童、孕妇及哺乳期的妇女接触。过敏者禁用，使用中有任何不良反应请及时就医。</w:t>
            </w:r>
          </w:p>
        </w:tc>
      </w:tr>
      <w:tr w14:paraId="706730D2">
        <w:tblPrEx>
          <w:tblCellMar>
            <w:top w:w="0" w:type="dxa"/>
            <w:left w:w="0" w:type="dxa"/>
            <w:bottom w:w="0" w:type="dxa"/>
            <w:right w:w="0" w:type="dxa"/>
          </w:tblCellMar>
        </w:tblPrEx>
        <w:trPr>
          <w:wBefore w:w="0" w:type="auto"/>
          <w:tblCellSpacing w:w="0" w:type="dxa"/>
        </w:trPr>
        <w:tc>
          <w:tcPr>
            <w:tcW w:w="0" w:type="auto"/>
            <w:noWrap w:val="0"/>
            <w:vAlign w:val="center"/>
          </w:tcPr>
          <w:p w14:paraId="2989F586">
            <w:r>
              <w:rPr>
                <w:rStyle w:val="10"/>
                <w:rFonts w:hint="eastAsia"/>
              </w:rPr>
              <w:t>中毒急救措施：</w:t>
            </w:r>
            <w:r>
              <w:rPr>
                <w:rFonts w:hint="eastAsia"/>
              </w:rPr>
              <w:br w:type="textWrapping"/>
            </w:r>
            <w:r>
              <w:rPr>
                <w:rStyle w:val="11"/>
                <w:rFonts w:hint="eastAsia"/>
              </w:rPr>
              <w:t>中毒症状：本品对眼睛、皮肤有刺激性。眼睛溅入∶立刻用大量清水冲洗15-20分钟，如仍感觉不适，应当尽快携此标签去医院诊治。 皮肤接触∶用软布去除沾染农药，然后用肥皂水和清水冲洗；脱去污染的衣物；如仍感觉不适，应当尽快携带标签到医院就医。 误吸：转移至空气清新处，如仍感不适需请医生治疗。 误 食∶不要自行引吐，携标签送医诊治。 给医护人员的提示：无特殊解毒药，请医生根据症状治疗。</w:t>
            </w:r>
          </w:p>
        </w:tc>
      </w:tr>
      <w:tr w14:paraId="72EC7134">
        <w:tblPrEx>
          <w:tblCellMar>
            <w:top w:w="0" w:type="dxa"/>
            <w:left w:w="0" w:type="dxa"/>
            <w:bottom w:w="0" w:type="dxa"/>
            <w:right w:w="0" w:type="dxa"/>
          </w:tblCellMar>
        </w:tblPrEx>
        <w:trPr>
          <w:wBefore w:w="0" w:type="auto"/>
          <w:tblCellSpacing w:w="0" w:type="dxa"/>
        </w:trPr>
        <w:tc>
          <w:tcPr>
            <w:tcW w:w="0" w:type="auto"/>
            <w:noWrap w:val="0"/>
            <w:vAlign w:val="center"/>
          </w:tcPr>
          <w:p w14:paraId="6D567A23">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本品应贮存于干燥、阴凉、通风、防雨处，远离火源或热源。置于儿童触及不到之处，应加锁保存。不能与食品、饮料、种子、粮食、饲料等同贮同运。装卸时，注意轻拿轻放，运输时要防潮防晒。</w:t>
            </w:r>
          </w:p>
        </w:tc>
      </w:tr>
      <w:tr w14:paraId="5FC4729E">
        <w:tblPrEx>
          <w:tblCellMar>
            <w:top w:w="0" w:type="dxa"/>
            <w:left w:w="0" w:type="dxa"/>
            <w:bottom w:w="0" w:type="dxa"/>
            <w:right w:w="0" w:type="dxa"/>
          </w:tblCellMar>
        </w:tblPrEx>
        <w:trPr>
          <w:wBefore w:w="0" w:type="auto"/>
          <w:tblCellSpacing w:w="0" w:type="dxa"/>
        </w:trPr>
        <w:tc>
          <w:tcPr>
            <w:tcW w:w="0" w:type="auto"/>
            <w:noWrap w:val="0"/>
            <w:vAlign w:val="center"/>
          </w:tcPr>
          <w:p w14:paraId="46C08F53">
            <w:r>
              <w:rPr>
                <w:rStyle w:val="10"/>
                <w:rFonts w:hint="eastAsia"/>
              </w:rPr>
              <w:t>质量保证期：</w:t>
            </w:r>
            <w:r>
              <w:rPr>
                <w:rStyle w:val="11"/>
                <w:rFonts w:hint="eastAsia"/>
              </w:rPr>
              <w:t>2年</w:t>
            </w:r>
          </w:p>
        </w:tc>
      </w:tr>
      <w:tr w14:paraId="6B0D3864">
        <w:tblPrEx>
          <w:tblCellMar>
            <w:top w:w="0" w:type="dxa"/>
            <w:left w:w="0" w:type="dxa"/>
            <w:bottom w:w="0" w:type="dxa"/>
            <w:right w:w="0" w:type="dxa"/>
          </w:tblCellMar>
        </w:tblPrEx>
        <w:trPr>
          <w:wBefore w:w="0" w:type="auto"/>
          <w:tblCellSpacing w:w="0" w:type="dxa"/>
        </w:trPr>
        <w:tc>
          <w:tcPr>
            <w:tcW w:w="0" w:type="auto"/>
            <w:noWrap w:val="0"/>
            <w:vAlign w:val="center"/>
          </w:tcPr>
          <w:p w14:paraId="05229F13">
            <w:r>
              <w:rPr>
                <w:rStyle w:val="10"/>
                <w:rFonts w:hint="eastAsia"/>
              </w:rPr>
              <w:t>备注：</w:t>
            </w:r>
          </w:p>
        </w:tc>
      </w:tr>
    </w:tbl>
    <w:p w14:paraId="4BBCE4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3CD19BF">
        <w:tblPrEx>
          <w:tblCellMar>
            <w:top w:w="0" w:type="dxa"/>
            <w:left w:w="0" w:type="dxa"/>
            <w:bottom w:w="0" w:type="dxa"/>
            <w:right w:w="0" w:type="dxa"/>
          </w:tblCellMar>
        </w:tblPrEx>
        <w:trPr>
          <w:wBefore w:w="0" w:type="auto"/>
          <w:tblCellSpacing w:w="0" w:type="dxa"/>
        </w:trPr>
        <w:tc>
          <w:tcPr>
            <w:tcW w:w="0" w:type="auto"/>
            <w:noWrap w:val="0"/>
            <w:vAlign w:val="center"/>
          </w:tcPr>
          <w:p w14:paraId="2E91074E">
            <w:r>
              <w:rPr>
                <w:rStyle w:val="10"/>
                <w:rFonts w:hint="eastAsia"/>
              </w:rPr>
              <w:t>登记证号：</w:t>
            </w:r>
            <w:r>
              <w:rPr>
                <w:rFonts w:hint="eastAsia"/>
              </w:rPr>
              <w:t>PD20212766</w:t>
            </w:r>
          </w:p>
        </w:tc>
      </w:tr>
      <w:tr w14:paraId="37DA936A">
        <w:tblPrEx>
          <w:tblCellMar>
            <w:top w:w="0" w:type="dxa"/>
            <w:left w:w="0" w:type="dxa"/>
            <w:bottom w:w="0" w:type="dxa"/>
            <w:right w:w="0" w:type="dxa"/>
          </w:tblCellMar>
        </w:tblPrEx>
        <w:trPr>
          <w:wBefore w:w="0" w:type="auto"/>
          <w:tblCellSpacing w:w="0" w:type="dxa"/>
        </w:trPr>
        <w:tc>
          <w:tcPr>
            <w:tcW w:w="0" w:type="auto"/>
            <w:noWrap w:val="0"/>
            <w:vAlign w:val="center"/>
          </w:tcPr>
          <w:p w14:paraId="1877A7F6">
            <w:r>
              <w:rPr>
                <w:rStyle w:val="10"/>
                <w:rFonts w:hint="eastAsia"/>
              </w:rPr>
              <w:t>登记证持有人：</w:t>
            </w:r>
            <w:r>
              <w:rPr>
                <w:rFonts w:hint="eastAsia"/>
              </w:rPr>
              <w:t>河南锦绣之星作物保护有限公司</w:t>
            </w:r>
          </w:p>
        </w:tc>
      </w:tr>
      <w:tr w14:paraId="0A65E8B1">
        <w:tblPrEx>
          <w:tblCellMar>
            <w:top w:w="0" w:type="dxa"/>
            <w:left w:w="0" w:type="dxa"/>
            <w:bottom w:w="0" w:type="dxa"/>
            <w:right w:w="0" w:type="dxa"/>
          </w:tblCellMar>
        </w:tblPrEx>
        <w:trPr>
          <w:wBefore w:w="0" w:type="auto"/>
          <w:tblCellSpacing w:w="0" w:type="dxa"/>
        </w:trPr>
        <w:tc>
          <w:tcPr>
            <w:tcW w:w="0" w:type="auto"/>
            <w:noWrap w:val="0"/>
            <w:vAlign w:val="center"/>
          </w:tcPr>
          <w:p w14:paraId="365C1577">
            <w:r>
              <w:rPr>
                <w:rStyle w:val="10"/>
                <w:rFonts w:hint="eastAsia"/>
              </w:rPr>
              <w:t>农药名称：</w:t>
            </w:r>
            <w:r>
              <w:rPr>
                <w:rFonts w:hint="eastAsia"/>
              </w:rPr>
              <w:t>赤霉·噻苯隆</w:t>
            </w:r>
          </w:p>
        </w:tc>
      </w:tr>
      <w:tr w14:paraId="5133E56F">
        <w:tblPrEx>
          <w:tblCellMar>
            <w:top w:w="0" w:type="dxa"/>
            <w:left w:w="0" w:type="dxa"/>
            <w:bottom w:w="0" w:type="dxa"/>
            <w:right w:w="0" w:type="dxa"/>
          </w:tblCellMar>
        </w:tblPrEx>
        <w:trPr>
          <w:wBefore w:w="0" w:type="auto"/>
          <w:tblCellSpacing w:w="0" w:type="dxa"/>
        </w:trPr>
        <w:tc>
          <w:tcPr>
            <w:tcW w:w="0" w:type="auto"/>
            <w:noWrap w:val="0"/>
            <w:vAlign w:val="center"/>
          </w:tcPr>
          <w:p w14:paraId="19665B7B">
            <w:r>
              <w:rPr>
                <w:rStyle w:val="10"/>
                <w:rFonts w:hint="eastAsia"/>
              </w:rPr>
              <w:t>剂型：</w:t>
            </w:r>
            <w:r>
              <w:rPr>
                <w:rFonts w:hint="eastAsia"/>
              </w:rPr>
              <w:t>可溶液剂</w:t>
            </w:r>
          </w:p>
        </w:tc>
      </w:tr>
      <w:tr w14:paraId="287FD568">
        <w:tblPrEx>
          <w:tblCellMar>
            <w:top w:w="0" w:type="dxa"/>
            <w:left w:w="0" w:type="dxa"/>
            <w:bottom w:w="0" w:type="dxa"/>
            <w:right w:w="0" w:type="dxa"/>
          </w:tblCellMar>
        </w:tblPrEx>
        <w:trPr>
          <w:wBefore w:w="0" w:type="auto"/>
          <w:tblCellSpacing w:w="0" w:type="dxa"/>
        </w:trPr>
        <w:tc>
          <w:tcPr>
            <w:tcW w:w="0" w:type="auto"/>
            <w:noWrap w:val="0"/>
            <w:vAlign w:val="center"/>
          </w:tcPr>
          <w:p w14:paraId="5A104C46">
            <w:r>
              <w:rPr>
                <w:rStyle w:val="10"/>
                <w:rFonts w:hint="eastAsia"/>
              </w:rPr>
              <w:t>毒性及其标识：</w:t>
            </w:r>
            <w:r>
              <w:rPr>
                <w:rFonts w:hint="eastAsia"/>
              </w:rPr>
              <w:t xml:space="preserve"> </w:t>
            </w:r>
            <w:r>
              <w:rPr>
                <w:lang/>
              </w:rPr>
              <w:drawing>
                <wp:inline distT="0" distB="0" distL="114300" distR="114300">
                  <wp:extent cx="476250" cy="323850"/>
                  <wp:effectExtent l="0" t="0" r="0" b="0"/>
                  <wp:docPr id="296" name="图片 2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650C17">
        <w:tblPrEx>
          <w:tblCellMar>
            <w:top w:w="0" w:type="dxa"/>
            <w:left w:w="0" w:type="dxa"/>
            <w:bottom w:w="0" w:type="dxa"/>
            <w:right w:w="0" w:type="dxa"/>
          </w:tblCellMar>
        </w:tblPrEx>
        <w:trPr>
          <w:wBefore w:w="0" w:type="auto"/>
          <w:tblCellSpacing w:w="0" w:type="dxa"/>
        </w:trPr>
        <w:tc>
          <w:tcPr>
            <w:tcW w:w="0" w:type="auto"/>
            <w:noWrap w:val="0"/>
            <w:vAlign w:val="center"/>
          </w:tcPr>
          <w:p w14:paraId="7F6B44ED">
            <w:r>
              <w:rPr>
                <w:rStyle w:val="10"/>
                <w:rFonts w:hint="eastAsia"/>
              </w:rPr>
              <w:t>总有效成分含量：</w:t>
            </w:r>
            <w:r>
              <w:rPr>
                <w:rFonts w:hint="eastAsia"/>
              </w:rPr>
              <w:t>3%</w:t>
            </w:r>
          </w:p>
        </w:tc>
      </w:tr>
      <w:tr w14:paraId="4AFEE4E1">
        <w:tblPrEx>
          <w:tblCellMar>
            <w:top w:w="0" w:type="dxa"/>
            <w:left w:w="0" w:type="dxa"/>
            <w:bottom w:w="0" w:type="dxa"/>
            <w:right w:w="0" w:type="dxa"/>
          </w:tblCellMar>
        </w:tblPrEx>
        <w:trPr>
          <w:wBefore w:w="0" w:type="auto"/>
          <w:tblCellSpacing w:w="0" w:type="dxa"/>
        </w:trPr>
        <w:tc>
          <w:tcPr>
            <w:tcW w:w="0" w:type="auto"/>
            <w:noWrap w:val="0"/>
            <w:vAlign w:val="center"/>
          </w:tcPr>
          <w:p w14:paraId="55809DC7">
            <w:r>
              <w:rPr>
                <w:rFonts w:hint="eastAsia"/>
              </w:rPr>
              <w:t xml:space="preserve">有效成分及其含量： </w:t>
            </w:r>
          </w:p>
          <w:p w14:paraId="6FDA90EE">
            <w:r>
              <w:rPr>
                <w:rFonts w:hint="eastAsia"/>
              </w:rPr>
              <w:t xml:space="preserve">    赤霉酸2.8%    噻苯隆0.2%    </w:t>
            </w:r>
          </w:p>
        </w:tc>
      </w:tr>
      <w:tr w14:paraId="0C55DBC6">
        <w:tblPrEx>
          <w:tblCellMar>
            <w:top w:w="0" w:type="dxa"/>
            <w:left w:w="0" w:type="dxa"/>
            <w:bottom w:w="0" w:type="dxa"/>
            <w:right w:w="0" w:type="dxa"/>
          </w:tblCellMar>
        </w:tblPrEx>
        <w:trPr>
          <w:wBefore w:w="0" w:type="auto"/>
          <w:tblCellSpacing w:w="0" w:type="dxa"/>
        </w:trPr>
        <w:tc>
          <w:tcPr>
            <w:tcW w:w="0" w:type="auto"/>
            <w:noWrap w:val="0"/>
            <w:vAlign w:val="center"/>
          </w:tcPr>
          <w:p w14:paraId="279C1F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ADF4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DA8F8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B262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470A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B9ED5D">
                  <w:r>
                    <w:rPr>
                      <w:rStyle w:val="11"/>
                      <w:rFonts w:hint="eastAsia"/>
                    </w:rPr>
                    <w:t>施用方式</w:t>
                  </w:r>
                </w:p>
              </w:tc>
            </w:tr>
            <w:tr w14:paraId="2921BB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8326BC">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12ED0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EE4BE">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88409D">
                  <w:r>
                    <w:rPr>
                      <w:rStyle w:val="11"/>
                      <w:rFonts w:hint="eastAsia"/>
                    </w:rPr>
                    <w:t>浸果穗</w:t>
                  </w:r>
                </w:p>
              </w:tc>
            </w:tr>
          </w:tbl>
          <w:p w14:paraId="16A3EAB6">
            <w:pPr>
              <w:rPr>
                <w:rFonts w:ascii="Times New Roman" w:hAnsi="Times New Roman" w:cs="Times New Roman"/>
                <w:sz w:val="20"/>
                <w:szCs w:val="20"/>
              </w:rPr>
            </w:pPr>
          </w:p>
        </w:tc>
      </w:tr>
      <w:tr w14:paraId="135D4F87">
        <w:tblPrEx>
          <w:tblCellMar>
            <w:top w:w="0" w:type="dxa"/>
            <w:left w:w="0" w:type="dxa"/>
            <w:bottom w:w="0" w:type="dxa"/>
            <w:right w:w="0" w:type="dxa"/>
          </w:tblCellMar>
        </w:tblPrEx>
        <w:trPr>
          <w:wBefore w:w="0" w:type="auto"/>
          <w:tblCellSpacing w:w="0" w:type="dxa"/>
        </w:trPr>
        <w:tc>
          <w:tcPr>
            <w:tcW w:w="0" w:type="auto"/>
            <w:noWrap w:val="0"/>
            <w:vAlign w:val="center"/>
          </w:tcPr>
          <w:p w14:paraId="626A1D5C">
            <w:r>
              <w:rPr>
                <w:rStyle w:val="10"/>
                <w:rFonts w:hint="eastAsia"/>
              </w:rPr>
              <w:t>使用技术要求:</w:t>
            </w:r>
            <w:r>
              <w:rPr>
                <w:rFonts w:hint="eastAsia"/>
              </w:rPr>
              <w:br w:type="textWrapping"/>
            </w:r>
            <w:r>
              <w:rPr>
                <w:rStyle w:val="11"/>
                <w:rFonts w:hint="eastAsia"/>
              </w:rPr>
              <w:t>1.应于葡萄谢花15天左右，幼果横径约12-14毫米时浸果穗。2.大风天或预计1小时内降雨，请勿施药。3.每季最多使用1次。</w:t>
            </w:r>
          </w:p>
        </w:tc>
      </w:tr>
      <w:tr w14:paraId="74EE820B">
        <w:tblPrEx>
          <w:tblCellMar>
            <w:top w:w="0" w:type="dxa"/>
            <w:left w:w="0" w:type="dxa"/>
            <w:bottom w:w="0" w:type="dxa"/>
            <w:right w:w="0" w:type="dxa"/>
          </w:tblCellMar>
        </w:tblPrEx>
        <w:trPr>
          <w:wBefore w:w="0" w:type="auto"/>
          <w:tblCellSpacing w:w="0" w:type="dxa"/>
        </w:trPr>
        <w:tc>
          <w:tcPr>
            <w:tcW w:w="0" w:type="auto"/>
            <w:noWrap w:val="0"/>
            <w:vAlign w:val="center"/>
          </w:tcPr>
          <w:p w14:paraId="78D40059">
            <w:r>
              <w:rPr>
                <w:rStyle w:val="10"/>
                <w:rFonts w:hint="eastAsia"/>
              </w:rPr>
              <w:t>产品性能:</w:t>
            </w:r>
            <w:r>
              <w:rPr>
                <w:rFonts w:hint="eastAsia"/>
              </w:rPr>
              <w:br w:type="textWrapping"/>
            </w:r>
            <w:r>
              <w:rPr>
                <w:rStyle w:val="11"/>
                <w:rFonts w:hint="eastAsia"/>
              </w:rPr>
              <w:t>本品为赤霉酸和噻苯隆混配制剂，赤霉酸一个广谱性植物生长调节剂，可促进作物生长发育，刺激细胞分裂和伸长，噻苯隆是一种新型高效的细胞分裂素，两者混配后可用于葡萄调节生长，促进葡萄果穗生长，增加葡萄果粒的横径与纵径，从而可提高葡萄的单果重，能有效提高产量。</w:t>
            </w:r>
          </w:p>
        </w:tc>
      </w:tr>
      <w:tr w14:paraId="585F0A24">
        <w:tblPrEx>
          <w:tblCellMar>
            <w:top w:w="0" w:type="dxa"/>
            <w:left w:w="0" w:type="dxa"/>
            <w:bottom w:w="0" w:type="dxa"/>
            <w:right w:w="0" w:type="dxa"/>
          </w:tblCellMar>
        </w:tblPrEx>
        <w:trPr>
          <w:wBefore w:w="0" w:type="auto"/>
          <w:tblCellSpacing w:w="0" w:type="dxa"/>
        </w:trPr>
        <w:tc>
          <w:tcPr>
            <w:tcW w:w="0" w:type="auto"/>
            <w:noWrap w:val="0"/>
            <w:vAlign w:val="center"/>
          </w:tcPr>
          <w:p w14:paraId="662CC385">
            <w:r>
              <w:rPr>
                <w:rStyle w:val="10"/>
                <w:rFonts w:hint="eastAsia"/>
              </w:rPr>
              <w:t>注意事项：</w:t>
            </w:r>
            <w:r>
              <w:rPr>
                <w:rFonts w:hint="eastAsia"/>
              </w:rPr>
              <w:br w:type="textWrapping"/>
            </w:r>
            <w:r>
              <w:rPr>
                <w:rStyle w:val="11"/>
                <w:rFonts w:hint="eastAsia"/>
              </w:rPr>
              <w:t>1.使用本品应采取相应的安全防护措施，穿防护服，戴防护口罩、手套等，避免眼睛、皮肤接触及口鼻吸入。使用中不可吸烟、饮水及吃东西，使用后及时用大量清水和肥皂清洗手、脸等暴露部位皮肤并更换衣物。 2.本品对水生生物有毒，远离水产养殖区、河塘等水体施药，禁止在河塘等水体中清洗施药器具。 3.避免与氧化剂接触。 4.用过的容器应妥善处理，不可做他用，也不可随意丢弃。 5.禁止儿童、孕妇及哺乳期的妇女接触。过敏者禁用，使用中有任何不良反应请及时就医。</w:t>
            </w:r>
          </w:p>
        </w:tc>
      </w:tr>
      <w:tr w14:paraId="1E6C1C25">
        <w:tblPrEx>
          <w:tblCellMar>
            <w:top w:w="0" w:type="dxa"/>
            <w:left w:w="0" w:type="dxa"/>
            <w:bottom w:w="0" w:type="dxa"/>
            <w:right w:w="0" w:type="dxa"/>
          </w:tblCellMar>
        </w:tblPrEx>
        <w:trPr>
          <w:wBefore w:w="0" w:type="auto"/>
          <w:tblCellSpacing w:w="0" w:type="dxa"/>
        </w:trPr>
        <w:tc>
          <w:tcPr>
            <w:tcW w:w="0" w:type="auto"/>
            <w:noWrap w:val="0"/>
            <w:vAlign w:val="center"/>
          </w:tcPr>
          <w:p w14:paraId="1A5B9AF6">
            <w:r>
              <w:rPr>
                <w:rStyle w:val="10"/>
                <w:rFonts w:hint="eastAsia"/>
              </w:rPr>
              <w:t>中毒急救措施：</w:t>
            </w:r>
            <w:r>
              <w:rPr>
                <w:rFonts w:hint="eastAsia"/>
              </w:rPr>
              <w:br w:type="textWrapping"/>
            </w:r>
            <w:r>
              <w:rPr>
                <w:rStyle w:val="11"/>
                <w:rFonts w:hint="eastAsia"/>
              </w:rPr>
              <w:t xml:space="preserve">中毒症状：对眼睛有刺激性，使用时请注意防护，无其他明显中毒症状。 急救措施：使用中或使用后如感觉不适，应立即停止工作，采取急救措施，携带本标签到医院就诊。 皮肤接触：脱去污染的衣服，用大量清水和肥皂冲洗皮肤。 眼睛溅入：立即用清水冲洗眼睛至少15分钟。 吸入：立即离开施药现场，转移至空气新鲜处。 误服：不慎误服，立即携带标签送医院就诊。本品尚无特效解毒剂，对症治疗。 </w:t>
            </w:r>
          </w:p>
        </w:tc>
      </w:tr>
      <w:tr w14:paraId="08DE6888">
        <w:tblPrEx>
          <w:tblCellMar>
            <w:top w:w="0" w:type="dxa"/>
            <w:left w:w="0" w:type="dxa"/>
            <w:bottom w:w="0" w:type="dxa"/>
            <w:right w:w="0" w:type="dxa"/>
          </w:tblCellMar>
        </w:tblPrEx>
        <w:trPr>
          <w:wBefore w:w="0" w:type="auto"/>
          <w:tblCellSpacing w:w="0" w:type="dxa"/>
        </w:trPr>
        <w:tc>
          <w:tcPr>
            <w:tcW w:w="0" w:type="auto"/>
            <w:noWrap w:val="0"/>
            <w:vAlign w:val="center"/>
          </w:tcPr>
          <w:p w14:paraId="21DCFA9F">
            <w:r>
              <w:rPr>
                <w:rStyle w:val="10"/>
                <w:rFonts w:hint="eastAsia"/>
              </w:rPr>
              <w:t>储存和运输方法：</w:t>
            </w:r>
            <w:r>
              <w:rPr>
                <w:rFonts w:hint="eastAsia"/>
              </w:rPr>
              <w:br w:type="textWrapping"/>
            </w:r>
            <w:r>
              <w:rPr>
                <w:rStyle w:val="11"/>
                <w:rFonts w:hint="eastAsia"/>
              </w:rPr>
              <w:t>本品为易燃液体，应贮存在干燥、阴凉、通风、防雨处，远离火源或热源。置于儿童、无关人员及动物接触不到的地方，并加锁保存。勿与食品、饮料、种子、粮食、饲料等同贮同运。</w:t>
            </w:r>
          </w:p>
        </w:tc>
      </w:tr>
      <w:tr w14:paraId="03E91FE8">
        <w:tblPrEx>
          <w:tblCellMar>
            <w:top w:w="0" w:type="dxa"/>
            <w:left w:w="0" w:type="dxa"/>
            <w:bottom w:w="0" w:type="dxa"/>
            <w:right w:w="0" w:type="dxa"/>
          </w:tblCellMar>
        </w:tblPrEx>
        <w:trPr>
          <w:wBefore w:w="0" w:type="auto"/>
          <w:tblCellSpacing w:w="0" w:type="dxa"/>
        </w:trPr>
        <w:tc>
          <w:tcPr>
            <w:tcW w:w="0" w:type="auto"/>
            <w:noWrap w:val="0"/>
            <w:vAlign w:val="center"/>
          </w:tcPr>
          <w:p w14:paraId="7D485D4B">
            <w:r>
              <w:rPr>
                <w:rStyle w:val="10"/>
                <w:rFonts w:hint="eastAsia"/>
              </w:rPr>
              <w:t>质量保证期：</w:t>
            </w:r>
            <w:r>
              <w:rPr>
                <w:rStyle w:val="11"/>
                <w:rFonts w:hint="eastAsia"/>
              </w:rPr>
              <w:t>2年</w:t>
            </w:r>
          </w:p>
        </w:tc>
      </w:tr>
      <w:tr w14:paraId="343A7765">
        <w:tblPrEx>
          <w:tblCellMar>
            <w:top w:w="0" w:type="dxa"/>
            <w:left w:w="0" w:type="dxa"/>
            <w:bottom w:w="0" w:type="dxa"/>
            <w:right w:w="0" w:type="dxa"/>
          </w:tblCellMar>
        </w:tblPrEx>
        <w:trPr>
          <w:wBefore w:w="0" w:type="auto"/>
          <w:tblCellSpacing w:w="0" w:type="dxa"/>
        </w:trPr>
        <w:tc>
          <w:tcPr>
            <w:tcW w:w="0" w:type="auto"/>
            <w:noWrap w:val="0"/>
            <w:vAlign w:val="center"/>
          </w:tcPr>
          <w:p w14:paraId="292152C2">
            <w:r>
              <w:rPr>
                <w:rStyle w:val="10"/>
                <w:rFonts w:hint="eastAsia"/>
              </w:rPr>
              <w:t>备注：</w:t>
            </w:r>
          </w:p>
        </w:tc>
      </w:tr>
    </w:tbl>
    <w:p w14:paraId="2D20C0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CB0717">
        <w:tblPrEx>
          <w:tblCellMar>
            <w:top w:w="0" w:type="dxa"/>
            <w:left w:w="0" w:type="dxa"/>
            <w:bottom w:w="0" w:type="dxa"/>
            <w:right w:w="0" w:type="dxa"/>
          </w:tblCellMar>
        </w:tblPrEx>
        <w:trPr>
          <w:wBefore w:w="0" w:type="auto"/>
          <w:tblCellSpacing w:w="0" w:type="dxa"/>
        </w:trPr>
        <w:tc>
          <w:tcPr>
            <w:tcW w:w="0" w:type="auto"/>
            <w:noWrap w:val="0"/>
            <w:vAlign w:val="center"/>
          </w:tcPr>
          <w:p w14:paraId="24E8429E">
            <w:r>
              <w:rPr>
                <w:rStyle w:val="10"/>
                <w:rFonts w:hint="eastAsia"/>
              </w:rPr>
              <w:t>登记证号：</w:t>
            </w:r>
            <w:r>
              <w:rPr>
                <w:rFonts w:hint="eastAsia"/>
              </w:rPr>
              <w:t>PD20212747</w:t>
            </w:r>
          </w:p>
        </w:tc>
      </w:tr>
      <w:tr w14:paraId="41FCF224">
        <w:tblPrEx>
          <w:tblCellMar>
            <w:top w:w="0" w:type="dxa"/>
            <w:left w:w="0" w:type="dxa"/>
            <w:bottom w:w="0" w:type="dxa"/>
            <w:right w:w="0" w:type="dxa"/>
          </w:tblCellMar>
        </w:tblPrEx>
        <w:trPr>
          <w:wBefore w:w="0" w:type="auto"/>
          <w:tblCellSpacing w:w="0" w:type="dxa"/>
        </w:trPr>
        <w:tc>
          <w:tcPr>
            <w:tcW w:w="0" w:type="auto"/>
            <w:noWrap w:val="0"/>
            <w:vAlign w:val="center"/>
          </w:tcPr>
          <w:p w14:paraId="21DB59F0">
            <w:r>
              <w:rPr>
                <w:rStyle w:val="10"/>
                <w:rFonts w:hint="eastAsia"/>
              </w:rPr>
              <w:t>登记证持有人：</w:t>
            </w:r>
            <w:r>
              <w:rPr>
                <w:rFonts w:hint="eastAsia"/>
              </w:rPr>
              <w:t>河南省安阳市锐普农化有限责任公司</w:t>
            </w:r>
          </w:p>
        </w:tc>
      </w:tr>
      <w:tr w14:paraId="2A0E8682">
        <w:tblPrEx>
          <w:tblCellMar>
            <w:top w:w="0" w:type="dxa"/>
            <w:left w:w="0" w:type="dxa"/>
            <w:bottom w:w="0" w:type="dxa"/>
            <w:right w:w="0" w:type="dxa"/>
          </w:tblCellMar>
        </w:tblPrEx>
        <w:trPr>
          <w:wBefore w:w="0" w:type="auto"/>
          <w:tblCellSpacing w:w="0" w:type="dxa"/>
        </w:trPr>
        <w:tc>
          <w:tcPr>
            <w:tcW w:w="0" w:type="auto"/>
            <w:noWrap w:val="0"/>
            <w:vAlign w:val="center"/>
          </w:tcPr>
          <w:p w14:paraId="4F3C5886">
            <w:r>
              <w:rPr>
                <w:rStyle w:val="10"/>
                <w:rFonts w:hint="eastAsia"/>
              </w:rPr>
              <w:t>农药名称：</w:t>
            </w:r>
            <w:r>
              <w:rPr>
                <w:rFonts w:hint="eastAsia"/>
              </w:rPr>
              <w:t>吲丁·萘乙酸</w:t>
            </w:r>
          </w:p>
        </w:tc>
      </w:tr>
      <w:tr w14:paraId="2CAB4EEE">
        <w:tblPrEx>
          <w:tblCellMar>
            <w:top w:w="0" w:type="dxa"/>
            <w:left w:w="0" w:type="dxa"/>
            <w:bottom w:w="0" w:type="dxa"/>
            <w:right w:w="0" w:type="dxa"/>
          </w:tblCellMar>
        </w:tblPrEx>
        <w:trPr>
          <w:wBefore w:w="0" w:type="auto"/>
          <w:tblCellSpacing w:w="0" w:type="dxa"/>
        </w:trPr>
        <w:tc>
          <w:tcPr>
            <w:tcW w:w="0" w:type="auto"/>
            <w:noWrap w:val="0"/>
            <w:vAlign w:val="center"/>
          </w:tcPr>
          <w:p w14:paraId="2124F15F">
            <w:r>
              <w:rPr>
                <w:rStyle w:val="10"/>
                <w:rFonts w:hint="eastAsia"/>
              </w:rPr>
              <w:t>剂型：</w:t>
            </w:r>
            <w:r>
              <w:rPr>
                <w:rFonts w:hint="eastAsia"/>
              </w:rPr>
              <w:t>种子处理可溶粉剂</w:t>
            </w:r>
          </w:p>
        </w:tc>
      </w:tr>
      <w:tr w14:paraId="76ADC7BB">
        <w:tblPrEx>
          <w:tblCellMar>
            <w:top w:w="0" w:type="dxa"/>
            <w:left w:w="0" w:type="dxa"/>
            <w:bottom w:w="0" w:type="dxa"/>
            <w:right w:w="0" w:type="dxa"/>
          </w:tblCellMar>
        </w:tblPrEx>
        <w:trPr>
          <w:wBefore w:w="0" w:type="auto"/>
          <w:tblCellSpacing w:w="0" w:type="dxa"/>
        </w:trPr>
        <w:tc>
          <w:tcPr>
            <w:tcW w:w="0" w:type="auto"/>
            <w:noWrap w:val="0"/>
            <w:vAlign w:val="center"/>
          </w:tcPr>
          <w:p w14:paraId="6E173908">
            <w:r>
              <w:rPr>
                <w:rStyle w:val="10"/>
                <w:rFonts w:hint="eastAsia"/>
              </w:rPr>
              <w:t>毒性及其标识：</w:t>
            </w:r>
            <w:r>
              <w:rPr>
                <w:rFonts w:hint="eastAsia"/>
              </w:rPr>
              <w:t xml:space="preserve"> </w:t>
            </w:r>
            <w:r>
              <w:rPr>
                <w:lang/>
              </w:rPr>
              <w:drawing>
                <wp:inline distT="0" distB="0" distL="114300" distR="114300">
                  <wp:extent cx="476250" cy="323850"/>
                  <wp:effectExtent l="0" t="0" r="0" b="0"/>
                  <wp:docPr id="297" name="图片 2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72662D">
        <w:tblPrEx>
          <w:tblCellMar>
            <w:top w:w="0" w:type="dxa"/>
            <w:left w:w="0" w:type="dxa"/>
            <w:bottom w:w="0" w:type="dxa"/>
            <w:right w:w="0" w:type="dxa"/>
          </w:tblCellMar>
        </w:tblPrEx>
        <w:trPr>
          <w:wBefore w:w="0" w:type="auto"/>
          <w:tblCellSpacing w:w="0" w:type="dxa"/>
        </w:trPr>
        <w:tc>
          <w:tcPr>
            <w:tcW w:w="0" w:type="auto"/>
            <w:noWrap w:val="0"/>
            <w:vAlign w:val="center"/>
          </w:tcPr>
          <w:p w14:paraId="0F647146">
            <w:r>
              <w:rPr>
                <w:rStyle w:val="10"/>
                <w:rFonts w:hint="eastAsia"/>
              </w:rPr>
              <w:t>总有效成分含量：</w:t>
            </w:r>
            <w:r>
              <w:rPr>
                <w:rFonts w:hint="eastAsia"/>
              </w:rPr>
              <w:t>2%</w:t>
            </w:r>
          </w:p>
        </w:tc>
      </w:tr>
      <w:tr w14:paraId="2F232B86">
        <w:tblPrEx>
          <w:tblCellMar>
            <w:top w:w="0" w:type="dxa"/>
            <w:left w:w="0" w:type="dxa"/>
            <w:bottom w:w="0" w:type="dxa"/>
            <w:right w:w="0" w:type="dxa"/>
          </w:tblCellMar>
        </w:tblPrEx>
        <w:trPr>
          <w:wBefore w:w="0" w:type="auto"/>
          <w:tblCellSpacing w:w="0" w:type="dxa"/>
        </w:trPr>
        <w:tc>
          <w:tcPr>
            <w:tcW w:w="0" w:type="auto"/>
            <w:noWrap w:val="0"/>
            <w:vAlign w:val="center"/>
          </w:tcPr>
          <w:p w14:paraId="7D223388">
            <w:r>
              <w:rPr>
                <w:rFonts w:hint="eastAsia"/>
              </w:rPr>
              <w:t xml:space="preserve">有效成分及其含量： </w:t>
            </w:r>
          </w:p>
          <w:p w14:paraId="77E01742">
            <w:r>
              <w:rPr>
                <w:rFonts w:hint="eastAsia"/>
              </w:rPr>
              <w:t xml:space="preserve">    萘乙酸1%    吲哚丁酸1%    </w:t>
            </w:r>
          </w:p>
        </w:tc>
      </w:tr>
      <w:tr w14:paraId="7EBF691E">
        <w:tblPrEx>
          <w:tblCellMar>
            <w:top w:w="0" w:type="dxa"/>
            <w:left w:w="0" w:type="dxa"/>
            <w:bottom w:w="0" w:type="dxa"/>
            <w:right w:w="0" w:type="dxa"/>
          </w:tblCellMar>
        </w:tblPrEx>
        <w:trPr>
          <w:wBefore w:w="0" w:type="auto"/>
          <w:tblCellSpacing w:w="0" w:type="dxa"/>
        </w:trPr>
        <w:tc>
          <w:tcPr>
            <w:tcW w:w="0" w:type="auto"/>
            <w:noWrap w:val="0"/>
            <w:vAlign w:val="center"/>
          </w:tcPr>
          <w:p w14:paraId="48723C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0D5F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86F7B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582B9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D616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BD1796">
                  <w:r>
                    <w:rPr>
                      <w:rStyle w:val="11"/>
                      <w:rFonts w:hint="eastAsia"/>
                    </w:rPr>
                    <w:t>施用方式</w:t>
                  </w:r>
                </w:p>
              </w:tc>
            </w:tr>
            <w:tr w14:paraId="16DF85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76F6D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AF0246">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DF017F">
                  <w:r>
                    <w:rPr>
                      <w:rStyle w:val="11"/>
                      <w:rFonts w:hint="eastAsia"/>
                    </w:rPr>
                    <w:t>500-700倍液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C7FE57">
                  <w:r>
                    <w:rPr>
                      <w:rStyle w:val="11"/>
                      <w:rFonts w:hint="eastAsia"/>
                    </w:rPr>
                    <w:t>浸种</w:t>
                  </w:r>
                </w:p>
              </w:tc>
            </w:tr>
          </w:tbl>
          <w:p w14:paraId="7EF4469E">
            <w:pPr>
              <w:rPr>
                <w:rFonts w:ascii="Times New Roman" w:hAnsi="Times New Roman" w:cs="Times New Roman"/>
                <w:sz w:val="20"/>
                <w:szCs w:val="20"/>
              </w:rPr>
            </w:pPr>
          </w:p>
        </w:tc>
      </w:tr>
      <w:tr w14:paraId="0F999C85">
        <w:tblPrEx>
          <w:tblCellMar>
            <w:top w:w="0" w:type="dxa"/>
            <w:left w:w="0" w:type="dxa"/>
            <w:bottom w:w="0" w:type="dxa"/>
            <w:right w:w="0" w:type="dxa"/>
          </w:tblCellMar>
        </w:tblPrEx>
        <w:trPr>
          <w:wBefore w:w="0" w:type="auto"/>
          <w:tblCellSpacing w:w="0" w:type="dxa"/>
        </w:trPr>
        <w:tc>
          <w:tcPr>
            <w:tcW w:w="0" w:type="auto"/>
            <w:noWrap w:val="0"/>
            <w:vAlign w:val="center"/>
          </w:tcPr>
          <w:p w14:paraId="6D4F0AB5">
            <w:r>
              <w:rPr>
                <w:rStyle w:val="10"/>
                <w:rFonts w:hint="eastAsia"/>
              </w:rPr>
              <w:t>使用技术要求:</w:t>
            </w:r>
            <w:r>
              <w:rPr>
                <w:rFonts w:hint="eastAsia"/>
              </w:rPr>
              <w:br w:type="textWrapping"/>
            </w:r>
            <w:r>
              <w:rPr>
                <w:rStyle w:val="11"/>
                <w:rFonts w:hint="eastAsia"/>
              </w:rPr>
              <w:t>在水稻播种前浸种用药一次。</w:t>
            </w:r>
          </w:p>
        </w:tc>
      </w:tr>
      <w:tr w14:paraId="2851B883">
        <w:tblPrEx>
          <w:tblCellMar>
            <w:top w:w="0" w:type="dxa"/>
            <w:left w:w="0" w:type="dxa"/>
            <w:bottom w:w="0" w:type="dxa"/>
            <w:right w:w="0" w:type="dxa"/>
          </w:tblCellMar>
        </w:tblPrEx>
        <w:trPr>
          <w:wBefore w:w="0" w:type="auto"/>
          <w:tblCellSpacing w:w="0" w:type="dxa"/>
        </w:trPr>
        <w:tc>
          <w:tcPr>
            <w:tcW w:w="0" w:type="auto"/>
            <w:noWrap w:val="0"/>
            <w:vAlign w:val="center"/>
          </w:tcPr>
          <w:p w14:paraId="28030AC7">
            <w:r>
              <w:rPr>
                <w:rStyle w:val="10"/>
                <w:rFonts w:hint="eastAsia"/>
              </w:rPr>
              <w:t>产品性能:</w:t>
            </w:r>
            <w:r>
              <w:rPr>
                <w:rFonts w:hint="eastAsia"/>
              </w:rPr>
              <w:br w:type="textWrapping"/>
            </w:r>
            <w:r>
              <w:rPr>
                <w:rStyle w:val="11"/>
                <w:rFonts w:hint="eastAsia"/>
              </w:rPr>
              <w:t>本品由两种生长素类植物生长调节剂复配而成。能促进作物根原基分化，加速根系生长和发育，大大增加须根数量和长度，有利于形成多而壮的植株根系群，缩短植株移栽返青天数。</w:t>
            </w:r>
          </w:p>
        </w:tc>
      </w:tr>
      <w:tr w14:paraId="17526696">
        <w:tblPrEx>
          <w:tblCellMar>
            <w:top w:w="0" w:type="dxa"/>
            <w:left w:w="0" w:type="dxa"/>
            <w:bottom w:w="0" w:type="dxa"/>
            <w:right w:w="0" w:type="dxa"/>
          </w:tblCellMar>
        </w:tblPrEx>
        <w:trPr>
          <w:wBefore w:w="0" w:type="auto"/>
          <w:tblCellSpacing w:w="0" w:type="dxa"/>
        </w:trPr>
        <w:tc>
          <w:tcPr>
            <w:tcW w:w="0" w:type="auto"/>
            <w:noWrap w:val="0"/>
            <w:vAlign w:val="center"/>
          </w:tcPr>
          <w:p w14:paraId="02FA288A">
            <w:r>
              <w:rPr>
                <w:rStyle w:val="10"/>
                <w:rFonts w:hint="eastAsia"/>
              </w:rPr>
              <w:t>注意事项：</w:t>
            </w:r>
            <w:r>
              <w:rPr>
                <w:rFonts w:hint="eastAsia"/>
              </w:rPr>
              <w:br w:type="textWrapping"/>
            </w:r>
            <w:r>
              <w:rPr>
                <w:rStyle w:val="11"/>
                <w:rFonts w:hint="eastAsia"/>
              </w:rPr>
              <w:t>1.使用本品时应穿防护服，戴帽子、手套、口罩等适当的防护用具，避免皮肤接触及口鼻吸入；施药期间不可吃东西、饮水、吸烟等。2. 施药后应及时换洗衣物，洗手和洗脸及其他被污染的部位。3、施药后立即清洗裸露部位的皮肤，更换并清洗工作服。4、禁止在河塘等水体中清洗施药器具，避免药液污染水源地。鸟类保护区附近禁用。5、 空容器应土埋或烧毁，切勿他用或随意丢弃。6. 孕妇及哺乳期妇女禁止接触本品。</w:t>
            </w:r>
          </w:p>
        </w:tc>
      </w:tr>
      <w:tr w14:paraId="42CFB23B">
        <w:tblPrEx>
          <w:tblCellMar>
            <w:top w:w="0" w:type="dxa"/>
            <w:left w:w="0" w:type="dxa"/>
            <w:bottom w:w="0" w:type="dxa"/>
            <w:right w:w="0" w:type="dxa"/>
          </w:tblCellMar>
        </w:tblPrEx>
        <w:trPr>
          <w:wBefore w:w="0" w:type="auto"/>
          <w:tblCellSpacing w:w="0" w:type="dxa"/>
        </w:trPr>
        <w:tc>
          <w:tcPr>
            <w:tcW w:w="0" w:type="auto"/>
            <w:noWrap w:val="0"/>
            <w:vAlign w:val="center"/>
          </w:tcPr>
          <w:p w14:paraId="3F59E181">
            <w:r>
              <w:rPr>
                <w:rStyle w:val="10"/>
                <w:rFonts w:hint="eastAsia"/>
              </w:rPr>
              <w:t>中毒急救措施：</w:t>
            </w:r>
            <w:r>
              <w:rPr>
                <w:rFonts w:hint="eastAsia"/>
              </w:rPr>
              <w:br w:type="textWrapping"/>
            </w:r>
            <w:r>
              <w:rPr>
                <w:rStyle w:val="11"/>
                <w:rFonts w:hint="eastAsia"/>
              </w:rPr>
              <w:t>中毒急救措施：如不慎溅入眼睛或接触皮肤， 应立即用大量清水冲洗至少15分钟；如不慎吸入，应立即转移至空气流通处；如不慎误服，立即携此标签送医治疗。</w:t>
            </w:r>
          </w:p>
        </w:tc>
      </w:tr>
      <w:tr w14:paraId="1B2E0587">
        <w:tblPrEx>
          <w:tblCellMar>
            <w:top w:w="0" w:type="dxa"/>
            <w:left w:w="0" w:type="dxa"/>
            <w:bottom w:w="0" w:type="dxa"/>
            <w:right w:w="0" w:type="dxa"/>
          </w:tblCellMar>
        </w:tblPrEx>
        <w:trPr>
          <w:wBefore w:w="0" w:type="auto"/>
          <w:tblCellSpacing w:w="0" w:type="dxa"/>
        </w:trPr>
        <w:tc>
          <w:tcPr>
            <w:tcW w:w="0" w:type="auto"/>
            <w:noWrap w:val="0"/>
            <w:vAlign w:val="center"/>
          </w:tcPr>
          <w:p w14:paraId="68C99AEB">
            <w:r>
              <w:rPr>
                <w:rStyle w:val="10"/>
                <w:rFonts w:hint="eastAsia"/>
              </w:rPr>
              <w:t>储存和运输方法：</w:t>
            </w:r>
            <w:r>
              <w:rPr>
                <w:rFonts w:hint="eastAsia"/>
              </w:rPr>
              <w:br w:type="textWrapping"/>
            </w:r>
            <w:r>
              <w:rPr>
                <w:rStyle w:val="11"/>
                <w:rFonts w:hint="eastAsia"/>
              </w:rPr>
              <w:t>1、本品应贮存于阴凉、干燥、通风、防雨处，远离火源及热源。2、本品应远离家禽，不能与食品、 饮料、饲料和粮食等同贮同运。3、本品应贮存于儿童触及不到的地方并加锁保存。</w:t>
            </w:r>
          </w:p>
        </w:tc>
      </w:tr>
      <w:tr w14:paraId="64FE5BDF">
        <w:tblPrEx>
          <w:tblCellMar>
            <w:top w:w="0" w:type="dxa"/>
            <w:left w:w="0" w:type="dxa"/>
            <w:bottom w:w="0" w:type="dxa"/>
            <w:right w:w="0" w:type="dxa"/>
          </w:tblCellMar>
        </w:tblPrEx>
        <w:trPr>
          <w:wBefore w:w="0" w:type="auto"/>
          <w:tblCellSpacing w:w="0" w:type="dxa"/>
        </w:trPr>
        <w:tc>
          <w:tcPr>
            <w:tcW w:w="0" w:type="auto"/>
            <w:noWrap w:val="0"/>
            <w:vAlign w:val="center"/>
          </w:tcPr>
          <w:p w14:paraId="1F0E6608">
            <w:r>
              <w:rPr>
                <w:rStyle w:val="10"/>
                <w:rFonts w:hint="eastAsia"/>
              </w:rPr>
              <w:t>质量保证期：</w:t>
            </w:r>
            <w:r>
              <w:rPr>
                <w:rStyle w:val="11"/>
                <w:rFonts w:hint="eastAsia"/>
              </w:rPr>
              <w:t>2年</w:t>
            </w:r>
          </w:p>
        </w:tc>
      </w:tr>
      <w:tr w14:paraId="55B48414">
        <w:tblPrEx>
          <w:tblCellMar>
            <w:top w:w="0" w:type="dxa"/>
            <w:left w:w="0" w:type="dxa"/>
            <w:bottom w:w="0" w:type="dxa"/>
            <w:right w:w="0" w:type="dxa"/>
          </w:tblCellMar>
        </w:tblPrEx>
        <w:trPr>
          <w:wBefore w:w="0" w:type="auto"/>
          <w:tblCellSpacing w:w="0" w:type="dxa"/>
        </w:trPr>
        <w:tc>
          <w:tcPr>
            <w:tcW w:w="0" w:type="auto"/>
            <w:noWrap w:val="0"/>
            <w:vAlign w:val="center"/>
          </w:tcPr>
          <w:p w14:paraId="2F1E1910">
            <w:r>
              <w:rPr>
                <w:rStyle w:val="10"/>
                <w:rFonts w:hint="eastAsia"/>
              </w:rPr>
              <w:t>备注：</w:t>
            </w:r>
          </w:p>
        </w:tc>
      </w:tr>
    </w:tbl>
    <w:p w14:paraId="65CA2C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37102E">
        <w:tblPrEx>
          <w:tblCellMar>
            <w:top w:w="0" w:type="dxa"/>
            <w:left w:w="0" w:type="dxa"/>
            <w:bottom w:w="0" w:type="dxa"/>
            <w:right w:w="0" w:type="dxa"/>
          </w:tblCellMar>
        </w:tblPrEx>
        <w:trPr>
          <w:wBefore w:w="0" w:type="auto"/>
          <w:tblCellSpacing w:w="0" w:type="dxa"/>
        </w:trPr>
        <w:tc>
          <w:tcPr>
            <w:tcW w:w="0" w:type="auto"/>
            <w:noWrap w:val="0"/>
            <w:vAlign w:val="center"/>
          </w:tcPr>
          <w:p w14:paraId="4291A594">
            <w:r>
              <w:rPr>
                <w:rStyle w:val="10"/>
                <w:rFonts w:hint="eastAsia"/>
              </w:rPr>
              <w:t>登记证号：</w:t>
            </w:r>
            <w:r>
              <w:rPr>
                <w:rFonts w:hint="eastAsia"/>
              </w:rPr>
              <w:t>PD20212731</w:t>
            </w:r>
          </w:p>
        </w:tc>
      </w:tr>
      <w:tr w14:paraId="2AE94D98">
        <w:tblPrEx>
          <w:tblCellMar>
            <w:top w:w="0" w:type="dxa"/>
            <w:left w:w="0" w:type="dxa"/>
            <w:bottom w:w="0" w:type="dxa"/>
            <w:right w:w="0" w:type="dxa"/>
          </w:tblCellMar>
        </w:tblPrEx>
        <w:trPr>
          <w:wBefore w:w="0" w:type="auto"/>
          <w:tblCellSpacing w:w="0" w:type="dxa"/>
        </w:trPr>
        <w:tc>
          <w:tcPr>
            <w:tcW w:w="0" w:type="auto"/>
            <w:noWrap w:val="0"/>
            <w:vAlign w:val="center"/>
          </w:tcPr>
          <w:p w14:paraId="234858EF">
            <w:r>
              <w:rPr>
                <w:rStyle w:val="10"/>
                <w:rFonts w:hint="eastAsia"/>
              </w:rPr>
              <w:t>登记证持有人：</w:t>
            </w:r>
            <w:r>
              <w:rPr>
                <w:rFonts w:hint="eastAsia"/>
              </w:rPr>
              <w:t>四川润尔科技有限公司</w:t>
            </w:r>
          </w:p>
        </w:tc>
      </w:tr>
      <w:tr w14:paraId="16EE5A10">
        <w:tblPrEx>
          <w:tblCellMar>
            <w:top w:w="0" w:type="dxa"/>
            <w:left w:w="0" w:type="dxa"/>
            <w:bottom w:w="0" w:type="dxa"/>
            <w:right w:w="0" w:type="dxa"/>
          </w:tblCellMar>
        </w:tblPrEx>
        <w:trPr>
          <w:wBefore w:w="0" w:type="auto"/>
          <w:tblCellSpacing w:w="0" w:type="dxa"/>
        </w:trPr>
        <w:tc>
          <w:tcPr>
            <w:tcW w:w="0" w:type="auto"/>
            <w:noWrap w:val="0"/>
            <w:vAlign w:val="center"/>
          </w:tcPr>
          <w:p w14:paraId="4EB1007D">
            <w:r>
              <w:rPr>
                <w:rStyle w:val="10"/>
                <w:rFonts w:hint="eastAsia"/>
              </w:rPr>
              <w:t>农药名称：</w:t>
            </w:r>
            <w:r>
              <w:rPr>
                <w:rFonts w:hint="eastAsia"/>
              </w:rPr>
              <w:t>对氯苯氧乙酸钠</w:t>
            </w:r>
          </w:p>
        </w:tc>
      </w:tr>
      <w:tr w14:paraId="7CBBF0F3">
        <w:tblPrEx>
          <w:tblCellMar>
            <w:top w:w="0" w:type="dxa"/>
            <w:left w:w="0" w:type="dxa"/>
            <w:bottom w:w="0" w:type="dxa"/>
            <w:right w:w="0" w:type="dxa"/>
          </w:tblCellMar>
        </w:tblPrEx>
        <w:trPr>
          <w:wBefore w:w="0" w:type="auto"/>
          <w:tblCellSpacing w:w="0" w:type="dxa"/>
        </w:trPr>
        <w:tc>
          <w:tcPr>
            <w:tcW w:w="0" w:type="auto"/>
            <w:noWrap w:val="0"/>
            <w:vAlign w:val="center"/>
          </w:tcPr>
          <w:p w14:paraId="1B5E7B99">
            <w:r>
              <w:rPr>
                <w:rStyle w:val="10"/>
                <w:rFonts w:hint="eastAsia"/>
              </w:rPr>
              <w:t>剂型：</w:t>
            </w:r>
            <w:r>
              <w:rPr>
                <w:rFonts w:hint="eastAsia"/>
              </w:rPr>
              <w:t>可溶液剂</w:t>
            </w:r>
          </w:p>
        </w:tc>
      </w:tr>
      <w:tr w14:paraId="236B4A16">
        <w:tblPrEx>
          <w:tblCellMar>
            <w:top w:w="0" w:type="dxa"/>
            <w:left w:w="0" w:type="dxa"/>
            <w:bottom w:w="0" w:type="dxa"/>
            <w:right w:w="0" w:type="dxa"/>
          </w:tblCellMar>
        </w:tblPrEx>
        <w:trPr>
          <w:wBefore w:w="0" w:type="auto"/>
          <w:tblCellSpacing w:w="0" w:type="dxa"/>
        </w:trPr>
        <w:tc>
          <w:tcPr>
            <w:tcW w:w="0" w:type="auto"/>
            <w:noWrap w:val="0"/>
            <w:vAlign w:val="center"/>
          </w:tcPr>
          <w:p w14:paraId="4CFBAC28">
            <w:r>
              <w:rPr>
                <w:rStyle w:val="10"/>
                <w:rFonts w:hint="eastAsia"/>
              </w:rPr>
              <w:t>毒性及其标识：</w:t>
            </w:r>
            <w:r>
              <w:rPr>
                <w:rFonts w:hint="eastAsia"/>
              </w:rPr>
              <w:t xml:space="preserve"> </w:t>
            </w:r>
            <w:r>
              <w:rPr>
                <w:lang/>
              </w:rPr>
              <w:drawing>
                <wp:inline distT="0" distB="0" distL="114300" distR="114300">
                  <wp:extent cx="476250" cy="323850"/>
                  <wp:effectExtent l="0" t="0" r="0" b="0"/>
                  <wp:docPr id="298" name="图片 2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D8BB73">
        <w:tblPrEx>
          <w:tblCellMar>
            <w:top w:w="0" w:type="dxa"/>
            <w:left w:w="0" w:type="dxa"/>
            <w:bottom w:w="0" w:type="dxa"/>
            <w:right w:w="0" w:type="dxa"/>
          </w:tblCellMar>
        </w:tblPrEx>
        <w:trPr>
          <w:wBefore w:w="0" w:type="auto"/>
          <w:tblCellSpacing w:w="0" w:type="dxa"/>
        </w:trPr>
        <w:tc>
          <w:tcPr>
            <w:tcW w:w="0" w:type="auto"/>
            <w:noWrap w:val="0"/>
            <w:vAlign w:val="center"/>
          </w:tcPr>
          <w:p w14:paraId="1F713769">
            <w:r>
              <w:rPr>
                <w:rStyle w:val="10"/>
                <w:rFonts w:hint="eastAsia"/>
              </w:rPr>
              <w:t>总有效成分含量：</w:t>
            </w:r>
            <w:r>
              <w:rPr>
                <w:rFonts w:hint="eastAsia"/>
              </w:rPr>
              <w:t>1%</w:t>
            </w:r>
          </w:p>
        </w:tc>
      </w:tr>
      <w:tr w14:paraId="1E8CAD7E">
        <w:tblPrEx>
          <w:tblCellMar>
            <w:top w:w="0" w:type="dxa"/>
            <w:left w:w="0" w:type="dxa"/>
            <w:bottom w:w="0" w:type="dxa"/>
            <w:right w:w="0" w:type="dxa"/>
          </w:tblCellMar>
        </w:tblPrEx>
        <w:trPr>
          <w:wBefore w:w="0" w:type="auto"/>
          <w:tblCellSpacing w:w="0" w:type="dxa"/>
        </w:trPr>
        <w:tc>
          <w:tcPr>
            <w:tcW w:w="0" w:type="auto"/>
            <w:noWrap w:val="0"/>
            <w:vAlign w:val="center"/>
          </w:tcPr>
          <w:p w14:paraId="0B2968CD">
            <w:r>
              <w:rPr>
                <w:rFonts w:hint="eastAsia"/>
              </w:rPr>
              <w:t xml:space="preserve">有效成分及其含量： </w:t>
            </w:r>
          </w:p>
          <w:p w14:paraId="3168C280">
            <w:r>
              <w:rPr>
                <w:rFonts w:hint="eastAsia"/>
              </w:rPr>
              <w:t xml:space="preserve">    对氯苯氧乙酸钠1%    </w:t>
            </w:r>
          </w:p>
        </w:tc>
      </w:tr>
      <w:tr w14:paraId="30B25FAA">
        <w:tblPrEx>
          <w:tblCellMar>
            <w:top w:w="0" w:type="dxa"/>
            <w:left w:w="0" w:type="dxa"/>
            <w:bottom w:w="0" w:type="dxa"/>
            <w:right w:w="0" w:type="dxa"/>
          </w:tblCellMar>
        </w:tblPrEx>
        <w:trPr>
          <w:wBefore w:w="0" w:type="auto"/>
          <w:tblCellSpacing w:w="0" w:type="dxa"/>
        </w:trPr>
        <w:tc>
          <w:tcPr>
            <w:tcW w:w="0" w:type="auto"/>
            <w:noWrap w:val="0"/>
            <w:vAlign w:val="center"/>
          </w:tcPr>
          <w:p w14:paraId="081E71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F2FB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6F42E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57BC8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B755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353C15">
                  <w:r>
                    <w:rPr>
                      <w:rStyle w:val="11"/>
                      <w:rFonts w:hint="eastAsia"/>
                    </w:rPr>
                    <w:t>施用方式</w:t>
                  </w:r>
                </w:p>
              </w:tc>
            </w:tr>
            <w:tr w14:paraId="513893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7072B3">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A0ABF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2A9332">
                  <w:r>
                    <w:rPr>
                      <w:rStyle w:val="11"/>
                      <w:rFonts w:hint="eastAsia"/>
                    </w:rPr>
                    <w:t>400-670倍液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E6F5C6">
                  <w:r>
                    <w:rPr>
                      <w:rStyle w:val="11"/>
                      <w:rFonts w:hint="eastAsia"/>
                    </w:rPr>
                    <w:t>喷花</w:t>
                  </w:r>
                </w:p>
              </w:tc>
            </w:tr>
            <w:tr w14:paraId="51D7EB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B31924">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F94BB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2C0DD2">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76787E">
                  <w:r>
                    <w:rPr>
                      <w:rStyle w:val="11"/>
                      <w:rFonts w:hint="eastAsia"/>
                    </w:rPr>
                    <w:t>喷雾</w:t>
                  </w:r>
                </w:p>
              </w:tc>
            </w:tr>
            <w:tr w14:paraId="7582DA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9AAE54">
                  <w:r>
                    <w:rPr>
                      <w:rStyle w:val="11"/>
                      <w:rFonts w:hint="eastAsia"/>
                    </w:rPr>
                    <w:t>观赏石榴</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DB1B37">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13BE67">
                  <w:r>
                    <w:rPr>
                      <w:rStyle w:val="11"/>
                      <w:rFonts w:hint="eastAsia"/>
                    </w:rPr>
                    <w:t>800-1300倍液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F53A1B">
                  <w:r>
                    <w:rPr>
                      <w:rStyle w:val="11"/>
                      <w:rFonts w:hint="eastAsia"/>
                    </w:rPr>
                    <w:t>喷雾</w:t>
                  </w:r>
                </w:p>
              </w:tc>
            </w:tr>
          </w:tbl>
          <w:p w14:paraId="3D099F7D">
            <w:pPr>
              <w:rPr>
                <w:rFonts w:ascii="Times New Roman" w:hAnsi="Times New Roman" w:cs="Times New Roman"/>
                <w:sz w:val="20"/>
                <w:szCs w:val="20"/>
              </w:rPr>
            </w:pPr>
          </w:p>
        </w:tc>
      </w:tr>
      <w:tr w14:paraId="6E6B3F1C">
        <w:tblPrEx>
          <w:tblCellMar>
            <w:top w:w="0" w:type="dxa"/>
            <w:left w:w="0" w:type="dxa"/>
            <w:bottom w:w="0" w:type="dxa"/>
            <w:right w:w="0" w:type="dxa"/>
          </w:tblCellMar>
        </w:tblPrEx>
        <w:trPr>
          <w:wBefore w:w="0" w:type="auto"/>
          <w:tblCellSpacing w:w="0" w:type="dxa"/>
        </w:trPr>
        <w:tc>
          <w:tcPr>
            <w:tcW w:w="0" w:type="auto"/>
            <w:noWrap w:val="0"/>
            <w:vAlign w:val="center"/>
          </w:tcPr>
          <w:p w14:paraId="59E85750">
            <w:r>
              <w:rPr>
                <w:rStyle w:val="10"/>
                <w:rFonts w:hint="eastAsia"/>
              </w:rPr>
              <w:t>使用技术要求:</w:t>
            </w:r>
            <w:r>
              <w:rPr>
                <w:rFonts w:hint="eastAsia"/>
              </w:rPr>
              <w:br w:type="textWrapping"/>
            </w:r>
            <w:r>
              <w:rPr>
                <w:rStyle w:val="11"/>
                <w:rFonts w:hint="eastAsia"/>
              </w:rPr>
              <w:t>柑橘树：在柑橘谢花末期叶面喷施（重点喷花果）第1次，间隔10-15天使用第2次，共施药2次。采收间隔期大于30天。未用过的新品种或无用药经验的应先小面积试验成功后再扩大使用。 番茄：在番茄单个花序开花2-3朵时，用手持式小喷雾器均匀喷施盛开花朵。每个花朵用药1次，不重复喷施，喷湿为度。由于同一植株上不同花序开花时间先后不一，因此应根据不同花序开花盛期出现的早、晚分别进行施药，用药后的花序可作标记以便区分。安全间隔期30天。未用过的新品种或无用药经验的应先小面积试验成功后再扩大使用。 观赏石榴：盛花末期进行叶面喷施（重点喷花果）1次。未用过的新品种或无用药经验的应先小面积试验成功后再扩大使用。</w:t>
            </w:r>
          </w:p>
        </w:tc>
      </w:tr>
      <w:tr w14:paraId="17D89191">
        <w:tblPrEx>
          <w:tblCellMar>
            <w:top w:w="0" w:type="dxa"/>
            <w:left w:w="0" w:type="dxa"/>
            <w:bottom w:w="0" w:type="dxa"/>
            <w:right w:w="0" w:type="dxa"/>
          </w:tblCellMar>
        </w:tblPrEx>
        <w:trPr>
          <w:wBefore w:w="0" w:type="auto"/>
          <w:tblCellSpacing w:w="0" w:type="dxa"/>
        </w:trPr>
        <w:tc>
          <w:tcPr>
            <w:tcW w:w="0" w:type="auto"/>
            <w:noWrap w:val="0"/>
            <w:vAlign w:val="center"/>
          </w:tcPr>
          <w:p w14:paraId="6D13FE27">
            <w:r>
              <w:rPr>
                <w:rStyle w:val="10"/>
                <w:rFonts w:hint="eastAsia"/>
              </w:rPr>
              <w:t>产品性能:</w:t>
            </w:r>
            <w:r>
              <w:rPr>
                <w:rFonts w:hint="eastAsia"/>
              </w:rPr>
              <w:br w:type="textWrapping"/>
            </w:r>
            <w:r>
              <w:rPr>
                <w:rStyle w:val="11"/>
                <w:rFonts w:hint="eastAsia"/>
              </w:rPr>
              <w:t>本品为生长素类植物生长调节剂，活性较高，具有防止落花落果，提高坐果率，加速幼果生长发育，提高产量等作用。</w:t>
            </w:r>
          </w:p>
        </w:tc>
      </w:tr>
      <w:tr w14:paraId="48F65F63">
        <w:tblPrEx>
          <w:tblCellMar>
            <w:top w:w="0" w:type="dxa"/>
            <w:left w:w="0" w:type="dxa"/>
            <w:bottom w:w="0" w:type="dxa"/>
            <w:right w:w="0" w:type="dxa"/>
          </w:tblCellMar>
        </w:tblPrEx>
        <w:trPr>
          <w:wBefore w:w="0" w:type="auto"/>
          <w:tblCellSpacing w:w="0" w:type="dxa"/>
        </w:trPr>
        <w:tc>
          <w:tcPr>
            <w:tcW w:w="0" w:type="auto"/>
            <w:noWrap w:val="0"/>
            <w:vAlign w:val="center"/>
          </w:tcPr>
          <w:p w14:paraId="77C136CE">
            <w:r>
              <w:rPr>
                <w:rStyle w:val="10"/>
                <w:rFonts w:hint="eastAsia"/>
              </w:rPr>
              <w:t>注意事项：</w:t>
            </w:r>
            <w:r>
              <w:rPr>
                <w:rFonts w:hint="eastAsia"/>
              </w:rPr>
              <w:br w:type="textWrapping"/>
            </w:r>
            <w:r>
              <w:rPr>
                <w:rStyle w:val="11"/>
                <w:rFonts w:hint="eastAsia"/>
              </w:rPr>
              <w:t>1、配制药液时，计量一定要准确，药液配好后要充分溶解并搅拌均匀。2、施药浓度与气温高低有关，气温较高时，采用相对较低浓度，气温低时，采用相对较高浓度但不能超过最高推荐使用浓度；3、本品对植株幼嫩枝梢和叶片较敏感，因此施药时应喷花序或花果为主，不要把药液大量喷到新梢和嫩叶上。4、留种田不能使用本品。5、某些化学成分可能会与本品发生反应，请勿私自混配使用。本品不具备营养功能，主要靠调节养分分配及流向起作用，应结合科学良好的肥水管理、合理负载，并做好园区通风、培养健壮的树势等配套管理，以利于药剂效果表现。6、本品对鸟类有毒，施药期间应避免在鸟类保护区及其觅食区使用。7、禁止在河塘等水体清洗施药器具。清洗器具的废水不能排入河流、池塘等水源。用过的包装物及未用完的药液不能随意丢弃，也不能做他用，应交当地农业部门或环保部门指定的单位进行回收处理。8、施药时穿长衣长裤、戴手套、眼镜、戴口罩等；此时不能吸烟、饮水等；施药后清洗干净手脸及暴露部位皮肤并更换衣物。9、避免孕妇及哺乳期的妇女接触。过敏者禁用，使用中有任何不良反应及时就医。</w:t>
            </w:r>
          </w:p>
        </w:tc>
      </w:tr>
      <w:tr w14:paraId="0DCF4642">
        <w:tblPrEx>
          <w:tblCellMar>
            <w:top w:w="0" w:type="dxa"/>
            <w:left w:w="0" w:type="dxa"/>
            <w:bottom w:w="0" w:type="dxa"/>
            <w:right w:w="0" w:type="dxa"/>
          </w:tblCellMar>
        </w:tblPrEx>
        <w:trPr>
          <w:wBefore w:w="0" w:type="auto"/>
          <w:tblCellSpacing w:w="0" w:type="dxa"/>
        </w:trPr>
        <w:tc>
          <w:tcPr>
            <w:tcW w:w="0" w:type="auto"/>
            <w:noWrap w:val="0"/>
            <w:vAlign w:val="center"/>
          </w:tcPr>
          <w:p w14:paraId="6F5DA835">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本品无特效解药，中毒或误服应及时送进医院催吐、洗胃并对症治疗。中毒急救电话：中国预防医学科学院中毒控制中心24小时服务电话:010-83132345。</w:t>
            </w:r>
          </w:p>
        </w:tc>
      </w:tr>
      <w:tr w14:paraId="27FD75FC">
        <w:tblPrEx>
          <w:tblCellMar>
            <w:top w:w="0" w:type="dxa"/>
            <w:left w:w="0" w:type="dxa"/>
            <w:bottom w:w="0" w:type="dxa"/>
            <w:right w:w="0" w:type="dxa"/>
          </w:tblCellMar>
        </w:tblPrEx>
        <w:trPr>
          <w:wBefore w:w="0" w:type="auto"/>
          <w:tblCellSpacing w:w="0" w:type="dxa"/>
        </w:trPr>
        <w:tc>
          <w:tcPr>
            <w:tcW w:w="0" w:type="auto"/>
            <w:noWrap w:val="0"/>
            <w:vAlign w:val="center"/>
          </w:tcPr>
          <w:p w14:paraId="4245B403">
            <w:r>
              <w:rPr>
                <w:rStyle w:val="10"/>
                <w:rFonts w:hint="eastAsia"/>
              </w:rPr>
              <w:t>储存和运输方法：</w:t>
            </w:r>
            <w:r>
              <w:rPr>
                <w:rFonts w:hint="eastAsia"/>
              </w:rPr>
              <w:br w:type="textWrapping"/>
            </w:r>
            <w:r>
              <w:rPr>
                <w:rStyle w:val="11"/>
                <w:rFonts w:hint="eastAsia"/>
              </w:rPr>
              <w:t>1、本品应贮存在阴凉干燥通风处，严防受潮或雨淋，远离火源或热源。 2、置于儿童、无关人员触及不到之处，并加锁保存。勿与食品、饮料、饲料等其他商品同贮同运。</w:t>
            </w:r>
          </w:p>
        </w:tc>
      </w:tr>
      <w:tr w14:paraId="51B8D6D3">
        <w:trPr>
          <w:wBefore w:w="0" w:type="auto"/>
          <w:tblCellSpacing w:w="0" w:type="dxa"/>
        </w:trPr>
        <w:tc>
          <w:tcPr>
            <w:tcW w:w="0" w:type="auto"/>
            <w:noWrap w:val="0"/>
            <w:vAlign w:val="center"/>
          </w:tcPr>
          <w:p w14:paraId="7032FFAC">
            <w:r>
              <w:rPr>
                <w:rStyle w:val="10"/>
                <w:rFonts w:hint="eastAsia"/>
              </w:rPr>
              <w:t>质量保证期：</w:t>
            </w:r>
            <w:r>
              <w:rPr>
                <w:rStyle w:val="11"/>
                <w:rFonts w:hint="eastAsia"/>
              </w:rPr>
              <w:t>2年</w:t>
            </w:r>
          </w:p>
        </w:tc>
      </w:tr>
      <w:tr w14:paraId="6B6D3131">
        <w:tblPrEx>
          <w:tblCellMar>
            <w:top w:w="0" w:type="dxa"/>
            <w:left w:w="0" w:type="dxa"/>
            <w:bottom w:w="0" w:type="dxa"/>
            <w:right w:w="0" w:type="dxa"/>
          </w:tblCellMar>
        </w:tblPrEx>
        <w:trPr>
          <w:wBefore w:w="0" w:type="auto"/>
          <w:tblCellSpacing w:w="0" w:type="dxa"/>
        </w:trPr>
        <w:tc>
          <w:tcPr>
            <w:tcW w:w="0" w:type="auto"/>
            <w:noWrap w:val="0"/>
            <w:vAlign w:val="center"/>
          </w:tcPr>
          <w:p w14:paraId="0DD44843">
            <w:r>
              <w:rPr>
                <w:rStyle w:val="10"/>
                <w:rFonts w:hint="eastAsia"/>
              </w:rPr>
              <w:t>备注：</w:t>
            </w:r>
          </w:p>
        </w:tc>
      </w:tr>
    </w:tbl>
    <w:p w14:paraId="080B171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3EC356">
        <w:tblPrEx>
          <w:tblCellMar>
            <w:top w:w="0" w:type="dxa"/>
            <w:left w:w="0" w:type="dxa"/>
            <w:bottom w:w="0" w:type="dxa"/>
            <w:right w:w="0" w:type="dxa"/>
          </w:tblCellMar>
        </w:tblPrEx>
        <w:trPr>
          <w:wBefore w:w="0" w:type="auto"/>
          <w:tblCellSpacing w:w="0" w:type="dxa"/>
        </w:trPr>
        <w:tc>
          <w:tcPr>
            <w:tcW w:w="0" w:type="auto"/>
            <w:noWrap w:val="0"/>
            <w:vAlign w:val="center"/>
          </w:tcPr>
          <w:p w14:paraId="49E4C72F">
            <w:r>
              <w:rPr>
                <w:rStyle w:val="10"/>
                <w:rFonts w:hint="eastAsia"/>
              </w:rPr>
              <w:t>登记证号：</w:t>
            </w:r>
            <w:r>
              <w:rPr>
                <w:rFonts w:hint="eastAsia"/>
              </w:rPr>
              <w:t>PD20212470</w:t>
            </w:r>
          </w:p>
        </w:tc>
      </w:tr>
      <w:tr w14:paraId="2805E417">
        <w:tblPrEx>
          <w:tblCellMar>
            <w:top w:w="0" w:type="dxa"/>
            <w:left w:w="0" w:type="dxa"/>
            <w:bottom w:w="0" w:type="dxa"/>
            <w:right w:w="0" w:type="dxa"/>
          </w:tblCellMar>
        </w:tblPrEx>
        <w:trPr>
          <w:wBefore w:w="0" w:type="auto"/>
          <w:tblCellSpacing w:w="0" w:type="dxa"/>
        </w:trPr>
        <w:tc>
          <w:tcPr>
            <w:tcW w:w="0" w:type="auto"/>
            <w:noWrap w:val="0"/>
            <w:vAlign w:val="center"/>
          </w:tcPr>
          <w:p w14:paraId="1E97FF07">
            <w:r>
              <w:rPr>
                <w:rStyle w:val="10"/>
                <w:rFonts w:hint="eastAsia"/>
              </w:rPr>
              <w:t>登记证持有人：</w:t>
            </w:r>
            <w:r>
              <w:rPr>
                <w:rFonts w:hint="eastAsia"/>
              </w:rPr>
              <w:t>黑龙江省绥化农垦晨环生物制剂有限责任公司</w:t>
            </w:r>
          </w:p>
        </w:tc>
      </w:tr>
      <w:tr w14:paraId="04CBD0F6">
        <w:tblPrEx>
          <w:tblCellMar>
            <w:top w:w="0" w:type="dxa"/>
            <w:left w:w="0" w:type="dxa"/>
            <w:bottom w:w="0" w:type="dxa"/>
            <w:right w:w="0" w:type="dxa"/>
          </w:tblCellMar>
        </w:tblPrEx>
        <w:trPr>
          <w:wBefore w:w="0" w:type="auto"/>
          <w:tblCellSpacing w:w="0" w:type="dxa"/>
        </w:trPr>
        <w:tc>
          <w:tcPr>
            <w:tcW w:w="0" w:type="auto"/>
            <w:noWrap w:val="0"/>
            <w:vAlign w:val="center"/>
          </w:tcPr>
          <w:p w14:paraId="62EC9A44">
            <w:r>
              <w:rPr>
                <w:rStyle w:val="10"/>
                <w:rFonts w:hint="eastAsia"/>
              </w:rPr>
              <w:t>农药名称：</w:t>
            </w:r>
            <w:r>
              <w:rPr>
                <w:rFonts w:hint="eastAsia"/>
              </w:rPr>
              <w:t>丙噁·丙草胺</w:t>
            </w:r>
          </w:p>
        </w:tc>
      </w:tr>
      <w:tr w14:paraId="1B24D56D">
        <w:tblPrEx>
          <w:tblCellMar>
            <w:top w:w="0" w:type="dxa"/>
            <w:left w:w="0" w:type="dxa"/>
            <w:bottom w:w="0" w:type="dxa"/>
            <w:right w:w="0" w:type="dxa"/>
          </w:tblCellMar>
        </w:tblPrEx>
        <w:trPr>
          <w:wBefore w:w="0" w:type="auto"/>
          <w:tblCellSpacing w:w="0" w:type="dxa"/>
        </w:trPr>
        <w:tc>
          <w:tcPr>
            <w:tcW w:w="0" w:type="auto"/>
            <w:noWrap w:val="0"/>
            <w:vAlign w:val="center"/>
          </w:tcPr>
          <w:p w14:paraId="7D422DF8">
            <w:r>
              <w:rPr>
                <w:rStyle w:val="10"/>
                <w:rFonts w:hint="eastAsia"/>
              </w:rPr>
              <w:t>剂型：</w:t>
            </w:r>
            <w:r>
              <w:rPr>
                <w:rFonts w:hint="eastAsia"/>
              </w:rPr>
              <w:t>可分散油悬浮剂</w:t>
            </w:r>
          </w:p>
        </w:tc>
      </w:tr>
      <w:tr w14:paraId="21B5A8C2">
        <w:tblPrEx>
          <w:tblCellMar>
            <w:top w:w="0" w:type="dxa"/>
            <w:left w:w="0" w:type="dxa"/>
            <w:bottom w:w="0" w:type="dxa"/>
            <w:right w:w="0" w:type="dxa"/>
          </w:tblCellMar>
        </w:tblPrEx>
        <w:trPr>
          <w:wBefore w:w="0" w:type="auto"/>
          <w:tblCellSpacing w:w="0" w:type="dxa"/>
        </w:trPr>
        <w:tc>
          <w:tcPr>
            <w:tcW w:w="0" w:type="auto"/>
            <w:noWrap w:val="0"/>
            <w:vAlign w:val="center"/>
          </w:tcPr>
          <w:p w14:paraId="244FB472">
            <w:r>
              <w:rPr>
                <w:rStyle w:val="10"/>
                <w:rFonts w:hint="eastAsia"/>
              </w:rPr>
              <w:t>毒性及其标识：</w:t>
            </w:r>
            <w:r>
              <w:rPr>
                <w:rFonts w:hint="eastAsia"/>
              </w:rPr>
              <w:t xml:space="preserve"> </w:t>
            </w:r>
            <w:r>
              <w:rPr>
                <w:lang/>
              </w:rPr>
              <w:drawing>
                <wp:inline distT="0" distB="0" distL="114300" distR="114300">
                  <wp:extent cx="476250" cy="323850"/>
                  <wp:effectExtent l="0" t="0" r="0" b="0"/>
                  <wp:docPr id="299" name="图片 2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79E412">
        <w:tblPrEx>
          <w:tblCellMar>
            <w:top w:w="0" w:type="dxa"/>
            <w:left w:w="0" w:type="dxa"/>
            <w:bottom w:w="0" w:type="dxa"/>
            <w:right w:w="0" w:type="dxa"/>
          </w:tblCellMar>
        </w:tblPrEx>
        <w:trPr>
          <w:wBefore w:w="0" w:type="auto"/>
          <w:tblCellSpacing w:w="0" w:type="dxa"/>
        </w:trPr>
        <w:tc>
          <w:tcPr>
            <w:tcW w:w="0" w:type="auto"/>
            <w:noWrap w:val="0"/>
            <w:vAlign w:val="center"/>
          </w:tcPr>
          <w:p w14:paraId="1846C46A">
            <w:r>
              <w:rPr>
                <w:rStyle w:val="10"/>
                <w:rFonts w:hint="eastAsia"/>
              </w:rPr>
              <w:t>总有效成分含量：</w:t>
            </w:r>
            <w:r>
              <w:rPr>
                <w:rFonts w:hint="eastAsia"/>
              </w:rPr>
              <w:t>35%</w:t>
            </w:r>
          </w:p>
        </w:tc>
      </w:tr>
      <w:tr w14:paraId="52A14ACC">
        <w:tblPrEx>
          <w:tblCellMar>
            <w:top w:w="0" w:type="dxa"/>
            <w:left w:w="0" w:type="dxa"/>
            <w:bottom w:w="0" w:type="dxa"/>
            <w:right w:w="0" w:type="dxa"/>
          </w:tblCellMar>
        </w:tblPrEx>
        <w:trPr>
          <w:wBefore w:w="0" w:type="auto"/>
          <w:tblCellSpacing w:w="0" w:type="dxa"/>
        </w:trPr>
        <w:tc>
          <w:tcPr>
            <w:tcW w:w="0" w:type="auto"/>
            <w:noWrap w:val="0"/>
            <w:vAlign w:val="center"/>
          </w:tcPr>
          <w:p w14:paraId="6AF17A82">
            <w:r>
              <w:rPr>
                <w:rFonts w:hint="eastAsia"/>
              </w:rPr>
              <w:t xml:space="preserve">有效成分及其含量： </w:t>
            </w:r>
          </w:p>
          <w:p w14:paraId="1E931B7C">
            <w:r>
              <w:rPr>
                <w:rFonts w:hint="eastAsia"/>
              </w:rPr>
              <w:t xml:space="preserve">    丙炔噁草酮5%    丙草胺30%    </w:t>
            </w:r>
          </w:p>
        </w:tc>
      </w:tr>
      <w:tr w14:paraId="425CF432">
        <w:tblPrEx>
          <w:tblCellMar>
            <w:top w:w="0" w:type="dxa"/>
            <w:left w:w="0" w:type="dxa"/>
            <w:bottom w:w="0" w:type="dxa"/>
            <w:right w:w="0" w:type="dxa"/>
          </w:tblCellMar>
        </w:tblPrEx>
        <w:trPr>
          <w:wBefore w:w="0" w:type="auto"/>
          <w:tblCellSpacing w:w="0" w:type="dxa"/>
        </w:trPr>
        <w:tc>
          <w:tcPr>
            <w:tcW w:w="0" w:type="auto"/>
            <w:noWrap w:val="0"/>
            <w:vAlign w:val="center"/>
          </w:tcPr>
          <w:p w14:paraId="0C2BD0F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4509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9B54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1C45A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130BB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E59724">
                  <w:r>
                    <w:rPr>
                      <w:rStyle w:val="11"/>
                      <w:rFonts w:hint="eastAsia"/>
                    </w:rPr>
                    <w:t>施用方式</w:t>
                  </w:r>
                </w:p>
              </w:tc>
            </w:tr>
            <w:tr w14:paraId="1B2379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F20C41">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C6CA6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18F3D8">
                  <w:r>
                    <w:rPr>
                      <w:rStyle w:val="11"/>
                      <w:rFonts w:hint="eastAsia"/>
                    </w:rPr>
                    <w:t>80-120毫升/亩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949BD7">
                  <w:r>
                    <w:rPr>
                      <w:rStyle w:val="11"/>
                      <w:rFonts w:hint="eastAsia"/>
                    </w:rPr>
                    <w:t>甩施</w:t>
                  </w:r>
                </w:p>
              </w:tc>
            </w:tr>
          </w:tbl>
          <w:p w14:paraId="4D6563DB">
            <w:pPr>
              <w:rPr>
                <w:rFonts w:ascii="Times New Roman" w:hAnsi="Times New Roman" w:cs="Times New Roman"/>
                <w:sz w:val="20"/>
                <w:szCs w:val="20"/>
              </w:rPr>
            </w:pPr>
          </w:p>
        </w:tc>
      </w:tr>
      <w:tr w14:paraId="7DBE1BC9">
        <w:tblPrEx>
          <w:tblCellMar>
            <w:top w:w="0" w:type="dxa"/>
            <w:left w:w="0" w:type="dxa"/>
            <w:bottom w:w="0" w:type="dxa"/>
            <w:right w:w="0" w:type="dxa"/>
          </w:tblCellMar>
        </w:tblPrEx>
        <w:trPr>
          <w:wBefore w:w="0" w:type="auto"/>
          <w:tblCellSpacing w:w="0" w:type="dxa"/>
        </w:trPr>
        <w:tc>
          <w:tcPr>
            <w:tcW w:w="0" w:type="auto"/>
            <w:noWrap w:val="0"/>
            <w:vAlign w:val="center"/>
          </w:tcPr>
          <w:p w14:paraId="31C12133">
            <w:r>
              <w:rPr>
                <w:rStyle w:val="10"/>
                <w:rFonts w:hint="eastAsia"/>
              </w:rPr>
              <w:t>使用技术要求:</w:t>
            </w:r>
            <w:r>
              <w:rPr>
                <w:rFonts w:hint="eastAsia"/>
              </w:rPr>
              <w:br w:type="textWrapping"/>
            </w:r>
            <w:r>
              <w:rPr>
                <w:rStyle w:val="11"/>
                <w:rFonts w:hint="eastAsia"/>
              </w:rPr>
              <w:t>本品应于水稻移栽前的3-7天内，稗草1叶期以前，稻田灌水整平后呈泥水或清水状时，将亩药量倒入甩施瓶中，加水500～600毫升，用力摇瓶至本剂彻底混匀后，均匀甩施到5～7厘米水层的稻田中，2.药后2天内不排水，插秧后保持3-5厘米水层10天以上，避免淹没稻苗心叶。3.水稻整个生育期最多使用1次。</w:t>
            </w:r>
          </w:p>
        </w:tc>
      </w:tr>
      <w:tr w14:paraId="13B8B46E">
        <w:tblPrEx>
          <w:tblCellMar>
            <w:top w:w="0" w:type="dxa"/>
            <w:left w:w="0" w:type="dxa"/>
            <w:bottom w:w="0" w:type="dxa"/>
            <w:right w:w="0" w:type="dxa"/>
          </w:tblCellMar>
        </w:tblPrEx>
        <w:trPr>
          <w:wBefore w:w="0" w:type="auto"/>
          <w:tblCellSpacing w:w="0" w:type="dxa"/>
        </w:trPr>
        <w:tc>
          <w:tcPr>
            <w:tcW w:w="0" w:type="auto"/>
            <w:noWrap w:val="0"/>
            <w:vAlign w:val="center"/>
          </w:tcPr>
          <w:p w14:paraId="37DC981F">
            <w:r>
              <w:rPr>
                <w:rStyle w:val="10"/>
                <w:rFonts w:hint="eastAsia"/>
              </w:rPr>
              <w:t>产品性能:</w:t>
            </w:r>
            <w:r>
              <w:rPr>
                <w:rFonts w:hint="eastAsia"/>
              </w:rPr>
              <w:br w:type="textWrapping"/>
            </w:r>
            <w:r>
              <w:rPr>
                <w:rStyle w:val="11"/>
                <w:rFonts w:hint="eastAsia"/>
              </w:rPr>
              <w:t>本品施用后，其有效成分可在水面迅速扩散后沉入土壤表层形成药膜，从而将靶标杂草消灭在萌芽状态，可防治水稻移栽田中的稗草、千金子、水绵、小茨藻、异型莎草、碎米莎草、牛毛毡、鸭舌草、节节菜、陌上菜等一年生杂草。具有施用方便快捷、杀草谱广、持效期长等特点。</w:t>
            </w:r>
          </w:p>
        </w:tc>
      </w:tr>
      <w:tr w14:paraId="19B7A957">
        <w:tblPrEx>
          <w:tblCellMar>
            <w:top w:w="0" w:type="dxa"/>
            <w:left w:w="0" w:type="dxa"/>
            <w:bottom w:w="0" w:type="dxa"/>
            <w:right w:w="0" w:type="dxa"/>
          </w:tblCellMar>
        </w:tblPrEx>
        <w:trPr>
          <w:wBefore w:w="0" w:type="auto"/>
          <w:tblCellSpacing w:w="0" w:type="dxa"/>
        </w:trPr>
        <w:tc>
          <w:tcPr>
            <w:tcW w:w="0" w:type="auto"/>
            <w:noWrap w:val="0"/>
            <w:vAlign w:val="center"/>
          </w:tcPr>
          <w:p w14:paraId="26FDDAB4">
            <w:r>
              <w:rPr>
                <w:rStyle w:val="10"/>
                <w:rFonts w:hint="eastAsia"/>
              </w:rPr>
              <w:t>注意事项：</w:t>
            </w:r>
            <w:r>
              <w:rPr>
                <w:rFonts w:hint="eastAsia"/>
              </w:rPr>
              <w:br w:type="textWrapping"/>
            </w:r>
            <w:r>
              <w:rPr>
                <w:rStyle w:val="11"/>
                <w:rFonts w:hint="eastAsia"/>
              </w:rPr>
              <w:t>1.严格按农药安全使用规则正确使用，不推荐用于抛秧和直播水稻及盐碱地水稻田。2.使用本品时应采取相应的安全防护措施，穿防护服，戴防护手套、口罩等，避免皮肤接触。使用中不可吸烟、饮水及吃东西，使用后及时清洗手、脸等暴露部位的皮肤并更换衣物，并及时清洗施药器具及受药剂污染的衣物等，避免清洗液污染生态环境。3.喷雾器使用后彻底清洗干净，用过的容器和废弃的包装袋要妥善处理，不可作他用，也不可随意丢弃。4.本品对水生生物鱼、溞、藻高毒，使用时应注意避免其污染江河、鱼塘等水域。鱼或蟹虾套养稻田禁用，施药后的田水不得直接排入水体。5.避免与非靶标生物接触，做好安全工作，应远离水产养殖区喷药，禁止在河塘清洗施药器具，清洗器具的废水不能排入河流、池塘等水源，以免造成不必要的环境污染。6.蚕室和桑园附近禁止施用本产品，禁止采摘最外围桑叶饲喂家蚕。7.赤眼蜂等天敌放飞区域禁用本产品。8.孕妇及哺乳期妇女避免接触此药。</w:t>
            </w:r>
          </w:p>
        </w:tc>
      </w:tr>
      <w:tr w14:paraId="43FC9220">
        <w:tblPrEx>
          <w:tblCellMar>
            <w:top w:w="0" w:type="dxa"/>
            <w:left w:w="0" w:type="dxa"/>
            <w:bottom w:w="0" w:type="dxa"/>
            <w:right w:w="0" w:type="dxa"/>
          </w:tblCellMar>
        </w:tblPrEx>
        <w:trPr>
          <w:wBefore w:w="0" w:type="auto"/>
          <w:tblCellSpacing w:w="0" w:type="dxa"/>
        </w:trPr>
        <w:tc>
          <w:tcPr>
            <w:tcW w:w="0" w:type="auto"/>
            <w:noWrap w:val="0"/>
            <w:vAlign w:val="center"/>
          </w:tcPr>
          <w:p w14:paraId="46C46B49">
            <w:r>
              <w:rPr>
                <w:rStyle w:val="10"/>
                <w:rFonts w:hint="eastAsia"/>
              </w:rPr>
              <w:t>中毒急救措施：</w:t>
            </w:r>
            <w:r>
              <w:rPr>
                <w:rFonts w:hint="eastAsia"/>
              </w:rPr>
              <w:br w:type="textWrapping"/>
            </w:r>
            <w:r>
              <w:rPr>
                <w:rStyle w:val="11"/>
                <w:rFonts w:hint="eastAsia"/>
              </w:rPr>
              <w:t>中毒症状：本品对眼睛和皮肤具有刺激作用，严格按照标签推荐方法使用。 皮肤接触：立即脱去被污染的衣物，用肥皂和大量清水冲洗皮肤暴露部位。如皮肤刺激感持续，请医生诊治。眼睛溅入：立即翻开眼睑，用清水冲洗至少15分钟，再请医生诊治。吸入：立即将吸入者转移到通风处，后请医生诊治。误食：迅速饮下大量牛奶或水，不可饮酒，不要催吐，应使病人静卧勿动，并带标签就医，请医生诊治，无特效解毒剂。</w:t>
            </w:r>
          </w:p>
        </w:tc>
      </w:tr>
      <w:tr w14:paraId="7320B109">
        <w:tblPrEx>
          <w:tblCellMar>
            <w:top w:w="0" w:type="dxa"/>
            <w:left w:w="0" w:type="dxa"/>
            <w:bottom w:w="0" w:type="dxa"/>
            <w:right w:w="0" w:type="dxa"/>
          </w:tblCellMar>
        </w:tblPrEx>
        <w:trPr>
          <w:wBefore w:w="0" w:type="auto"/>
          <w:tblCellSpacing w:w="0" w:type="dxa"/>
        </w:trPr>
        <w:tc>
          <w:tcPr>
            <w:tcW w:w="0" w:type="auto"/>
            <w:noWrap w:val="0"/>
            <w:vAlign w:val="center"/>
          </w:tcPr>
          <w:p w14:paraId="4CEA7537">
            <w:r>
              <w:rPr>
                <w:rStyle w:val="10"/>
                <w:rFonts w:hint="eastAsia"/>
              </w:rPr>
              <w:t>储存和运输方法：</w:t>
            </w:r>
            <w:r>
              <w:rPr>
                <w:rFonts w:hint="eastAsia"/>
              </w:rPr>
              <w:br w:type="textWrapping"/>
            </w:r>
            <w:r>
              <w:rPr>
                <w:rStyle w:val="11"/>
                <w:rFonts w:hint="eastAsia"/>
              </w:rPr>
              <w:t>本品应储存在干燥、阴凉、通风、防雨处。本品易燃，远离火源或热源，置于儿童触及不到的地方，并加锁。装卸、运输过程中，需专门车辆运输，轻拿轻放，确保包装不泄露、不损坏。不能与食品、饮料、粮食、饲料等混合储存。</w:t>
            </w:r>
          </w:p>
        </w:tc>
      </w:tr>
      <w:tr w14:paraId="135A3212">
        <w:tblPrEx>
          <w:tblCellMar>
            <w:top w:w="0" w:type="dxa"/>
            <w:left w:w="0" w:type="dxa"/>
            <w:bottom w:w="0" w:type="dxa"/>
            <w:right w:w="0" w:type="dxa"/>
          </w:tblCellMar>
        </w:tblPrEx>
        <w:trPr>
          <w:wBefore w:w="0" w:type="auto"/>
          <w:tblCellSpacing w:w="0" w:type="dxa"/>
        </w:trPr>
        <w:tc>
          <w:tcPr>
            <w:tcW w:w="0" w:type="auto"/>
            <w:noWrap w:val="0"/>
            <w:vAlign w:val="center"/>
          </w:tcPr>
          <w:p w14:paraId="5E21C7B5">
            <w:r>
              <w:rPr>
                <w:rStyle w:val="10"/>
                <w:rFonts w:hint="eastAsia"/>
              </w:rPr>
              <w:t>质量保证期：</w:t>
            </w:r>
            <w:r>
              <w:rPr>
                <w:rStyle w:val="11"/>
                <w:rFonts w:hint="eastAsia"/>
              </w:rPr>
              <w:t>2年</w:t>
            </w:r>
          </w:p>
        </w:tc>
      </w:tr>
      <w:tr w14:paraId="39636522">
        <w:tblPrEx>
          <w:tblCellMar>
            <w:top w:w="0" w:type="dxa"/>
            <w:left w:w="0" w:type="dxa"/>
            <w:bottom w:w="0" w:type="dxa"/>
            <w:right w:w="0" w:type="dxa"/>
          </w:tblCellMar>
        </w:tblPrEx>
        <w:trPr>
          <w:wBefore w:w="0" w:type="auto"/>
          <w:tblCellSpacing w:w="0" w:type="dxa"/>
        </w:trPr>
        <w:tc>
          <w:tcPr>
            <w:tcW w:w="0" w:type="auto"/>
            <w:noWrap w:val="0"/>
            <w:vAlign w:val="center"/>
          </w:tcPr>
          <w:p w14:paraId="7BBE2D15">
            <w:r>
              <w:rPr>
                <w:rStyle w:val="10"/>
                <w:rFonts w:hint="eastAsia"/>
              </w:rPr>
              <w:t>备注：</w:t>
            </w:r>
          </w:p>
        </w:tc>
      </w:tr>
    </w:tbl>
    <w:p w14:paraId="41D2D5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C90E72">
        <w:tblPrEx>
          <w:tblCellMar>
            <w:top w:w="0" w:type="dxa"/>
            <w:left w:w="0" w:type="dxa"/>
            <w:bottom w:w="0" w:type="dxa"/>
            <w:right w:w="0" w:type="dxa"/>
          </w:tblCellMar>
        </w:tblPrEx>
        <w:trPr>
          <w:wBefore w:w="0" w:type="auto"/>
          <w:tblCellSpacing w:w="0" w:type="dxa"/>
        </w:trPr>
        <w:tc>
          <w:tcPr>
            <w:tcW w:w="0" w:type="auto"/>
            <w:noWrap w:val="0"/>
            <w:vAlign w:val="center"/>
          </w:tcPr>
          <w:p w14:paraId="62A4D141">
            <w:r>
              <w:rPr>
                <w:rStyle w:val="10"/>
                <w:rFonts w:hint="eastAsia"/>
              </w:rPr>
              <w:t>登记证号：</w:t>
            </w:r>
            <w:r>
              <w:rPr>
                <w:rFonts w:hint="eastAsia"/>
              </w:rPr>
              <w:t>PD20212687</w:t>
            </w:r>
          </w:p>
        </w:tc>
      </w:tr>
      <w:tr w14:paraId="6140E641">
        <w:tblPrEx>
          <w:tblCellMar>
            <w:top w:w="0" w:type="dxa"/>
            <w:left w:w="0" w:type="dxa"/>
            <w:bottom w:w="0" w:type="dxa"/>
            <w:right w:w="0" w:type="dxa"/>
          </w:tblCellMar>
        </w:tblPrEx>
        <w:trPr>
          <w:wBefore w:w="0" w:type="auto"/>
          <w:tblCellSpacing w:w="0" w:type="dxa"/>
        </w:trPr>
        <w:tc>
          <w:tcPr>
            <w:tcW w:w="0" w:type="auto"/>
            <w:noWrap w:val="0"/>
            <w:vAlign w:val="center"/>
          </w:tcPr>
          <w:p w14:paraId="5EAD41E0">
            <w:r>
              <w:rPr>
                <w:rStyle w:val="10"/>
                <w:rFonts w:hint="eastAsia"/>
              </w:rPr>
              <w:t>登记证持有人：</w:t>
            </w:r>
            <w:r>
              <w:rPr>
                <w:rFonts w:hint="eastAsia"/>
              </w:rPr>
              <w:t>江西田友生化有限公司</w:t>
            </w:r>
          </w:p>
        </w:tc>
      </w:tr>
      <w:tr w14:paraId="081F9CA7">
        <w:tblPrEx>
          <w:tblCellMar>
            <w:top w:w="0" w:type="dxa"/>
            <w:left w:w="0" w:type="dxa"/>
            <w:bottom w:w="0" w:type="dxa"/>
            <w:right w:w="0" w:type="dxa"/>
          </w:tblCellMar>
        </w:tblPrEx>
        <w:trPr>
          <w:wBefore w:w="0" w:type="auto"/>
          <w:tblCellSpacing w:w="0" w:type="dxa"/>
        </w:trPr>
        <w:tc>
          <w:tcPr>
            <w:tcW w:w="0" w:type="auto"/>
            <w:noWrap w:val="0"/>
            <w:vAlign w:val="center"/>
          </w:tcPr>
          <w:p w14:paraId="407CD73D">
            <w:r>
              <w:rPr>
                <w:rStyle w:val="10"/>
                <w:rFonts w:hint="eastAsia"/>
              </w:rPr>
              <w:t>农药名称：</w:t>
            </w:r>
            <w:r>
              <w:rPr>
                <w:rFonts w:hint="eastAsia"/>
              </w:rPr>
              <w:t>唑醚·喹啉铜</w:t>
            </w:r>
          </w:p>
        </w:tc>
      </w:tr>
      <w:tr w14:paraId="542C3969">
        <w:tblPrEx>
          <w:tblCellMar>
            <w:top w:w="0" w:type="dxa"/>
            <w:left w:w="0" w:type="dxa"/>
            <w:bottom w:w="0" w:type="dxa"/>
            <w:right w:w="0" w:type="dxa"/>
          </w:tblCellMar>
        </w:tblPrEx>
        <w:trPr>
          <w:wBefore w:w="0" w:type="auto"/>
          <w:tblCellSpacing w:w="0" w:type="dxa"/>
        </w:trPr>
        <w:tc>
          <w:tcPr>
            <w:tcW w:w="0" w:type="auto"/>
            <w:noWrap w:val="0"/>
            <w:vAlign w:val="center"/>
          </w:tcPr>
          <w:p w14:paraId="4E77A9FF">
            <w:r>
              <w:rPr>
                <w:rStyle w:val="10"/>
                <w:rFonts w:hint="eastAsia"/>
              </w:rPr>
              <w:t>剂型：</w:t>
            </w:r>
            <w:r>
              <w:rPr>
                <w:rFonts w:hint="eastAsia"/>
              </w:rPr>
              <w:t>悬浮剂</w:t>
            </w:r>
          </w:p>
        </w:tc>
      </w:tr>
      <w:tr w14:paraId="08F39CE8">
        <w:tblPrEx>
          <w:tblCellMar>
            <w:top w:w="0" w:type="dxa"/>
            <w:left w:w="0" w:type="dxa"/>
            <w:bottom w:w="0" w:type="dxa"/>
            <w:right w:w="0" w:type="dxa"/>
          </w:tblCellMar>
        </w:tblPrEx>
        <w:trPr>
          <w:wBefore w:w="0" w:type="auto"/>
          <w:tblCellSpacing w:w="0" w:type="dxa"/>
        </w:trPr>
        <w:tc>
          <w:tcPr>
            <w:tcW w:w="0" w:type="auto"/>
            <w:noWrap w:val="0"/>
            <w:vAlign w:val="center"/>
          </w:tcPr>
          <w:p w14:paraId="7111E796">
            <w:r>
              <w:rPr>
                <w:rStyle w:val="10"/>
                <w:rFonts w:hint="eastAsia"/>
              </w:rPr>
              <w:t>毒性及其标识：</w:t>
            </w:r>
            <w:r>
              <w:rPr>
                <w:rFonts w:hint="eastAsia"/>
              </w:rPr>
              <w:t xml:space="preserve"> </w:t>
            </w:r>
            <w:r>
              <w:rPr>
                <w:lang/>
              </w:rPr>
              <w:drawing>
                <wp:inline distT="0" distB="0" distL="114300" distR="114300">
                  <wp:extent cx="476250" cy="323850"/>
                  <wp:effectExtent l="0" t="0" r="0" b="0"/>
                  <wp:docPr id="300" name="图片 3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10905D">
        <w:tblPrEx>
          <w:tblCellMar>
            <w:top w:w="0" w:type="dxa"/>
            <w:left w:w="0" w:type="dxa"/>
            <w:bottom w:w="0" w:type="dxa"/>
            <w:right w:w="0" w:type="dxa"/>
          </w:tblCellMar>
        </w:tblPrEx>
        <w:trPr>
          <w:wBefore w:w="0" w:type="auto"/>
          <w:tblCellSpacing w:w="0" w:type="dxa"/>
        </w:trPr>
        <w:tc>
          <w:tcPr>
            <w:tcW w:w="0" w:type="auto"/>
            <w:noWrap w:val="0"/>
            <w:vAlign w:val="center"/>
          </w:tcPr>
          <w:p w14:paraId="1EE656A0">
            <w:r>
              <w:rPr>
                <w:rStyle w:val="10"/>
                <w:rFonts w:hint="eastAsia"/>
              </w:rPr>
              <w:t>总有效成分含量：</w:t>
            </w:r>
            <w:r>
              <w:rPr>
                <w:rFonts w:hint="eastAsia"/>
              </w:rPr>
              <w:t>40%</w:t>
            </w:r>
          </w:p>
        </w:tc>
      </w:tr>
      <w:tr w14:paraId="7C3EAD8A">
        <w:tblPrEx>
          <w:tblCellMar>
            <w:top w:w="0" w:type="dxa"/>
            <w:left w:w="0" w:type="dxa"/>
            <w:bottom w:w="0" w:type="dxa"/>
            <w:right w:w="0" w:type="dxa"/>
          </w:tblCellMar>
        </w:tblPrEx>
        <w:trPr>
          <w:wBefore w:w="0" w:type="auto"/>
          <w:tblCellSpacing w:w="0" w:type="dxa"/>
        </w:trPr>
        <w:tc>
          <w:tcPr>
            <w:tcW w:w="0" w:type="auto"/>
            <w:noWrap w:val="0"/>
            <w:vAlign w:val="center"/>
          </w:tcPr>
          <w:p w14:paraId="5268381A">
            <w:r>
              <w:rPr>
                <w:rFonts w:hint="eastAsia"/>
              </w:rPr>
              <w:t xml:space="preserve">有效成分及其含量： </w:t>
            </w:r>
          </w:p>
          <w:p w14:paraId="593F21A9">
            <w:r>
              <w:rPr>
                <w:rFonts w:hint="eastAsia"/>
              </w:rPr>
              <w:t xml:space="preserve">    吡唑醚菌酯10%    喹啉铜30%    </w:t>
            </w:r>
          </w:p>
        </w:tc>
      </w:tr>
      <w:tr w14:paraId="2A609FDE">
        <w:tblPrEx>
          <w:tblCellMar>
            <w:top w:w="0" w:type="dxa"/>
            <w:left w:w="0" w:type="dxa"/>
            <w:bottom w:w="0" w:type="dxa"/>
            <w:right w:w="0" w:type="dxa"/>
          </w:tblCellMar>
        </w:tblPrEx>
        <w:trPr>
          <w:wBefore w:w="0" w:type="auto"/>
          <w:tblCellSpacing w:w="0" w:type="dxa"/>
        </w:trPr>
        <w:tc>
          <w:tcPr>
            <w:tcW w:w="0" w:type="auto"/>
            <w:noWrap w:val="0"/>
            <w:vAlign w:val="center"/>
          </w:tcPr>
          <w:p w14:paraId="285A1D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2704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C0C4F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C919B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D2496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8BCF1F">
                  <w:r>
                    <w:rPr>
                      <w:rStyle w:val="11"/>
                      <w:rFonts w:hint="eastAsia"/>
                    </w:rPr>
                    <w:t>施用方式</w:t>
                  </w:r>
                </w:p>
              </w:tc>
            </w:tr>
            <w:tr w14:paraId="481FC5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685FD7">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32AFC2">
                  <w:r>
                    <w:rPr>
                      <w:rStyle w:val="11"/>
                      <w:rFonts w:hint="eastAsia"/>
                    </w:rPr>
                    <w:t>树脂病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BA5D59">
                  <w:r>
                    <w:rPr>
                      <w:rStyle w:val="11"/>
                      <w:rFonts w:hint="eastAsia"/>
                    </w:rPr>
                    <w:t>1500-1700倍液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B7DB62">
                  <w:r>
                    <w:rPr>
                      <w:rStyle w:val="11"/>
                      <w:rFonts w:hint="eastAsia"/>
                    </w:rPr>
                    <w:t>喷雾</w:t>
                  </w:r>
                </w:p>
              </w:tc>
            </w:tr>
          </w:tbl>
          <w:p w14:paraId="7D8A9E78">
            <w:pPr>
              <w:rPr>
                <w:rFonts w:ascii="Times New Roman" w:hAnsi="Times New Roman" w:cs="Times New Roman"/>
                <w:sz w:val="20"/>
                <w:szCs w:val="20"/>
              </w:rPr>
            </w:pPr>
          </w:p>
        </w:tc>
      </w:tr>
      <w:tr w14:paraId="3DC38C31">
        <w:tblPrEx>
          <w:tblCellMar>
            <w:top w:w="0" w:type="dxa"/>
            <w:left w:w="0" w:type="dxa"/>
            <w:bottom w:w="0" w:type="dxa"/>
            <w:right w:w="0" w:type="dxa"/>
          </w:tblCellMar>
        </w:tblPrEx>
        <w:trPr>
          <w:wBefore w:w="0" w:type="auto"/>
          <w:tblCellSpacing w:w="0" w:type="dxa"/>
        </w:trPr>
        <w:tc>
          <w:tcPr>
            <w:tcW w:w="0" w:type="auto"/>
            <w:noWrap w:val="0"/>
            <w:vAlign w:val="center"/>
          </w:tcPr>
          <w:p w14:paraId="7E538C21">
            <w:r>
              <w:rPr>
                <w:rStyle w:val="10"/>
                <w:rFonts w:hint="eastAsia"/>
              </w:rPr>
              <w:t>使用技术要求:</w:t>
            </w:r>
            <w:r>
              <w:rPr>
                <w:rFonts w:hint="eastAsia"/>
              </w:rPr>
              <w:br w:type="textWrapping"/>
            </w:r>
            <w:r>
              <w:rPr>
                <w:rStyle w:val="11"/>
                <w:rFonts w:hint="eastAsia"/>
              </w:rPr>
              <w:t>1、在柑橘树树脂病发病前或发病初期施药，施药3次，间隔10-15天。 2、大风天或预计1小时内有雨，请勿施药。 3、本品在柑橘树上的安全间隔期为14天，每季最多施药3次。</w:t>
            </w:r>
          </w:p>
        </w:tc>
      </w:tr>
      <w:tr w14:paraId="49F843FD">
        <w:tblPrEx>
          <w:tblCellMar>
            <w:top w:w="0" w:type="dxa"/>
            <w:left w:w="0" w:type="dxa"/>
            <w:bottom w:w="0" w:type="dxa"/>
            <w:right w:w="0" w:type="dxa"/>
          </w:tblCellMar>
        </w:tblPrEx>
        <w:trPr>
          <w:wBefore w:w="0" w:type="auto"/>
          <w:tblCellSpacing w:w="0" w:type="dxa"/>
        </w:trPr>
        <w:tc>
          <w:tcPr>
            <w:tcW w:w="0" w:type="auto"/>
            <w:noWrap w:val="0"/>
            <w:vAlign w:val="center"/>
          </w:tcPr>
          <w:p w14:paraId="5268CBC5">
            <w:r>
              <w:rPr>
                <w:rStyle w:val="10"/>
                <w:rFonts w:hint="eastAsia"/>
              </w:rPr>
              <w:t>产品性能:</w:t>
            </w:r>
            <w:r>
              <w:rPr>
                <w:rFonts w:hint="eastAsia"/>
              </w:rPr>
              <w:br w:type="textWrapping"/>
            </w:r>
            <w:r>
              <w:rPr>
                <w:rStyle w:val="11"/>
                <w:rFonts w:hint="eastAsia"/>
              </w:rPr>
              <w:t>本品是由吡唑醚菌酯和喹啉铜复配而成的杀菌剂，吡唑醚菌酯为线粒体呼吸抑制剂，具有保护、治疗、叶片渗透传导作用；喹啉铜喷于作物表面可形成一层严密的保护膜，直接杀死膜内病原菌，防止再浸染发病，具有治疗和保护作用。本品对柑橘树树脂病（砂皮病）有较好的防效。</w:t>
            </w:r>
          </w:p>
        </w:tc>
      </w:tr>
      <w:tr w14:paraId="090FEB3B">
        <w:tblPrEx>
          <w:tblCellMar>
            <w:top w:w="0" w:type="dxa"/>
            <w:left w:w="0" w:type="dxa"/>
            <w:bottom w:w="0" w:type="dxa"/>
            <w:right w:w="0" w:type="dxa"/>
          </w:tblCellMar>
        </w:tblPrEx>
        <w:trPr>
          <w:wBefore w:w="0" w:type="auto"/>
          <w:tblCellSpacing w:w="0" w:type="dxa"/>
        </w:trPr>
        <w:tc>
          <w:tcPr>
            <w:tcW w:w="0" w:type="auto"/>
            <w:noWrap w:val="0"/>
            <w:vAlign w:val="center"/>
          </w:tcPr>
          <w:p w14:paraId="5D422C18">
            <w:r>
              <w:rPr>
                <w:rStyle w:val="10"/>
                <w:rFonts w:hint="eastAsia"/>
              </w:rPr>
              <w:t>注意事项：</w:t>
            </w:r>
            <w:r>
              <w:rPr>
                <w:rFonts w:hint="eastAsia"/>
              </w:rPr>
              <w:br w:type="textWrapping"/>
            </w:r>
            <w:r>
              <w:rPr>
                <w:rStyle w:val="11"/>
                <w:rFonts w:hint="eastAsia"/>
              </w:rPr>
              <w:t>1、使用时应穿防护服和戴手套，避免吸入药液，施药期间不可吃东西和饮水，施药后应及时洗手和洗脸。 2、应远离水产养殖区、河塘等水体施药，禁止在河塘等水体中清洗施药器具。 3、蚕室及桑园附近禁用。 4、用过的容器要妥善处理，不可作他用，也不可随意丢弃。 5、孕妇及哺乳期妇女禁止接触。6、避免与氧化剂接触。</w:t>
            </w:r>
          </w:p>
        </w:tc>
      </w:tr>
      <w:tr w14:paraId="67495FFD">
        <w:tblPrEx>
          <w:tblCellMar>
            <w:top w:w="0" w:type="dxa"/>
            <w:left w:w="0" w:type="dxa"/>
            <w:bottom w:w="0" w:type="dxa"/>
            <w:right w:w="0" w:type="dxa"/>
          </w:tblCellMar>
        </w:tblPrEx>
        <w:trPr>
          <w:wBefore w:w="0" w:type="auto"/>
          <w:tblCellSpacing w:w="0" w:type="dxa"/>
        </w:trPr>
        <w:tc>
          <w:tcPr>
            <w:tcW w:w="0" w:type="auto"/>
            <w:noWrap w:val="0"/>
            <w:vAlign w:val="center"/>
          </w:tcPr>
          <w:p w14:paraId="4F59AB4B">
            <w:r>
              <w:rPr>
                <w:rStyle w:val="10"/>
                <w:rFonts w:hint="eastAsia"/>
              </w:rPr>
              <w:t>中毒急救措施：</w:t>
            </w:r>
            <w:r>
              <w:rPr>
                <w:rFonts w:hint="eastAsia"/>
              </w:rPr>
              <w:br w:type="textWrapping"/>
            </w:r>
            <w:r>
              <w:rPr>
                <w:rStyle w:val="11"/>
                <w:rFonts w:hint="eastAsia"/>
              </w:rPr>
              <w:t>对眼睛有刺激性，使用时避免接触眼睛。使用中或使用后若感觉不适，应立即停止工作，采取急救措施。不慎吸入，应将病人移到通风处。如不慎接触皮肤或溅入眼内，立即用大量清水冲洗至少15分钟。误食应立即携带此标签送医院对症治疗。</w:t>
            </w:r>
          </w:p>
        </w:tc>
      </w:tr>
      <w:tr w14:paraId="05093F7B">
        <w:tblPrEx>
          <w:tblCellMar>
            <w:top w:w="0" w:type="dxa"/>
            <w:left w:w="0" w:type="dxa"/>
            <w:bottom w:w="0" w:type="dxa"/>
            <w:right w:w="0" w:type="dxa"/>
          </w:tblCellMar>
        </w:tblPrEx>
        <w:trPr>
          <w:wBefore w:w="0" w:type="auto"/>
          <w:tblCellSpacing w:w="0" w:type="dxa"/>
        </w:trPr>
        <w:tc>
          <w:tcPr>
            <w:tcW w:w="0" w:type="auto"/>
            <w:noWrap w:val="0"/>
            <w:vAlign w:val="center"/>
          </w:tcPr>
          <w:p w14:paraId="165D8A0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本品应贮存在干燥、阴凉、通风、防雨处，远离火源或热源。置于儿童、无关人员触及不到之处，并加锁。不能与食品、饮料、粮食、饲料等混合储运。</w:t>
            </w:r>
          </w:p>
        </w:tc>
      </w:tr>
      <w:tr w14:paraId="44811FD5">
        <w:tblPrEx>
          <w:tblCellMar>
            <w:top w:w="0" w:type="dxa"/>
            <w:left w:w="0" w:type="dxa"/>
            <w:bottom w:w="0" w:type="dxa"/>
            <w:right w:w="0" w:type="dxa"/>
          </w:tblCellMar>
        </w:tblPrEx>
        <w:trPr>
          <w:wBefore w:w="0" w:type="auto"/>
          <w:tblCellSpacing w:w="0" w:type="dxa"/>
        </w:trPr>
        <w:tc>
          <w:tcPr>
            <w:tcW w:w="0" w:type="auto"/>
            <w:noWrap w:val="0"/>
            <w:vAlign w:val="center"/>
          </w:tcPr>
          <w:p w14:paraId="54126264">
            <w:r>
              <w:rPr>
                <w:rStyle w:val="10"/>
                <w:rFonts w:hint="eastAsia"/>
              </w:rPr>
              <w:t>质量保证期：</w:t>
            </w:r>
            <w:r>
              <w:rPr>
                <w:rStyle w:val="11"/>
                <w:rFonts w:hint="eastAsia"/>
              </w:rPr>
              <w:t>2年</w:t>
            </w:r>
          </w:p>
        </w:tc>
      </w:tr>
      <w:tr w14:paraId="5EE2C94C">
        <w:tblPrEx>
          <w:tblCellMar>
            <w:top w:w="0" w:type="dxa"/>
            <w:left w:w="0" w:type="dxa"/>
            <w:bottom w:w="0" w:type="dxa"/>
            <w:right w:w="0" w:type="dxa"/>
          </w:tblCellMar>
        </w:tblPrEx>
        <w:trPr>
          <w:wBefore w:w="0" w:type="auto"/>
          <w:tblCellSpacing w:w="0" w:type="dxa"/>
        </w:trPr>
        <w:tc>
          <w:tcPr>
            <w:tcW w:w="0" w:type="auto"/>
            <w:noWrap w:val="0"/>
            <w:vAlign w:val="center"/>
          </w:tcPr>
          <w:p w14:paraId="0D81711B">
            <w:r>
              <w:rPr>
                <w:rStyle w:val="10"/>
                <w:rFonts w:hint="eastAsia"/>
              </w:rPr>
              <w:t>备注：</w:t>
            </w:r>
          </w:p>
        </w:tc>
      </w:tr>
    </w:tbl>
    <w:p w14:paraId="2577FC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AD1990">
        <w:tblPrEx>
          <w:tblCellMar>
            <w:top w:w="0" w:type="dxa"/>
            <w:left w:w="0" w:type="dxa"/>
            <w:bottom w:w="0" w:type="dxa"/>
            <w:right w:w="0" w:type="dxa"/>
          </w:tblCellMar>
        </w:tblPrEx>
        <w:trPr>
          <w:wBefore w:w="0" w:type="auto"/>
          <w:tblCellSpacing w:w="0" w:type="dxa"/>
        </w:trPr>
        <w:tc>
          <w:tcPr>
            <w:tcW w:w="0" w:type="auto"/>
            <w:noWrap w:val="0"/>
            <w:vAlign w:val="center"/>
          </w:tcPr>
          <w:p w14:paraId="0C132058">
            <w:r>
              <w:rPr>
                <w:rStyle w:val="10"/>
                <w:rFonts w:hint="eastAsia"/>
              </w:rPr>
              <w:t>登记证号：</w:t>
            </w:r>
            <w:r>
              <w:rPr>
                <w:rFonts w:hint="eastAsia"/>
              </w:rPr>
              <w:t>PD20212568</w:t>
            </w:r>
          </w:p>
        </w:tc>
      </w:tr>
      <w:tr w14:paraId="0A5579AB">
        <w:tblPrEx>
          <w:tblCellMar>
            <w:top w:w="0" w:type="dxa"/>
            <w:left w:w="0" w:type="dxa"/>
            <w:bottom w:w="0" w:type="dxa"/>
            <w:right w:w="0" w:type="dxa"/>
          </w:tblCellMar>
        </w:tblPrEx>
        <w:trPr>
          <w:wBefore w:w="0" w:type="auto"/>
          <w:tblCellSpacing w:w="0" w:type="dxa"/>
        </w:trPr>
        <w:tc>
          <w:tcPr>
            <w:tcW w:w="0" w:type="auto"/>
            <w:noWrap w:val="0"/>
            <w:vAlign w:val="center"/>
          </w:tcPr>
          <w:p w14:paraId="3FEFAF27">
            <w:r>
              <w:rPr>
                <w:rStyle w:val="10"/>
                <w:rFonts w:hint="eastAsia"/>
              </w:rPr>
              <w:t>登记证持有人：</w:t>
            </w:r>
            <w:r>
              <w:rPr>
                <w:rFonts w:hint="eastAsia"/>
              </w:rPr>
              <w:t>江西惠超化工有限公司</w:t>
            </w:r>
          </w:p>
        </w:tc>
      </w:tr>
      <w:tr w14:paraId="5204B0F3">
        <w:tblPrEx>
          <w:tblCellMar>
            <w:top w:w="0" w:type="dxa"/>
            <w:left w:w="0" w:type="dxa"/>
            <w:bottom w:w="0" w:type="dxa"/>
            <w:right w:w="0" w:type="dxa"/>
          </w:tblCellMar>
        </w:tblPrEx>
        <w:trPr>
          <w:wBefore w:w="0" w:type="auto"/>
          <w:tblCellSpacing w:w="0" w:type="dxa"/>
        </w:trPr>
        <w:tc>
          <w:tcPr>
            <w:tcW w:w="0" w:type="auto"/>
            <w:noWrap w:val="0"/>
            <w:vAlign w:val="center"/>
          </w:tcPr>
          <w:p w14:paraId="49B1EE50">
            <w:r>
              <w:rPr>
                <w:rStyle w:val="10"/>
                <w:rFonts w:hint="eastAsia"/>
              </w:rPr>
              <w:t>农药名称：</w:t>
            </w:r>
            <w:r>
              <w:rPr>
                <w:rFonts w:hint="eastAsia"/>
              </w:rPr>
              <w:t>噁唑·氰氟</w:t>
            </w:r>
          </w:p>
        </w:tc>
      </w:tr>
      <w:tr w14:paraId="5986938B">
        <w:tblPrEx>
          <w:tblCellMar>
            <w:top w:w="0" w:type="dxa"/>
            <w:left w:w="0" w:type="dxa"/>
            <w:bottom w:w="0" w:type="dxa"/>
            <w:right w:w="0" w:type="dxa"/>
          </w:tblCellMar>
        </w:tblPrEx>
        <w:trPr>
          <w:wBefore w:w="0" w:type="auto"/>
          <w:tblCellSpacing w:w="0" w:type="dxa"/>
        </w:trPr>
        <w:tc>
          <w:tcPr>
            <w:tcW w:w="0" w:type="auto"/>
            <w:noWrap w:val="0"/>
            <w:vAlign w:val="center"/>
          </w:tcPr>
          <w:p w14:paraId="61BFE54A">
            <w:r>
              <w:rPr>
                <w:rStyle w:val="10"/>
                <w:rFonts w:hint="eastAsia"/>
              </w:rPr>
              <w:t>剂型：</w:t>
            </w:r>
            <w:r>
              <w:rPr>
                <w:rFonts w:hint="eastAsia"/>
              </w:rPr>
              <w:t>乳油</w:t>
            </w:r>
          </w:p>
        </w:tc>
      </w:tr>
      <w:tr w14:paraId="32A75FE4">
        <w:tblPrEx>
          <w:tblCellMar>
            <w:top w:w="0" w:type="dxa"/>
            <w:left w:w="0" w:type="dxa"/>
            <w:bottom w:w="0" w:type="dxa"/>
            <w:right w:w="0" w:type="dxa"/>
          </w:tblCellMar>
        </w:tblPrEx>
        <w:trPr>
          <w:wBefore w:w="0" w:type="auto"/>
          <w:tblCellSpacing w:w="0" w:type="dxa"/>
        </w:trPr>
        <w:tc>
          <w:tcPr>
            <w:tcW w:w="0" w:type="auto"/>
            <w:noWrap w:val="0"/>
            <w:vAlign w:val="center"/>
          </w:tcPr>
          <w:p w14:paraId="03C22D05">
            <w:r>
              <w:rPr>
                <w:rStyle w:val="10"/>
                <w:rFonts w:hint="eastAsia"/>
              </w:rPr>
              <w:t>毒性及其标识：</w:t>
            </w:r>
            <w:r>
              <w:rPr>
                <w:rFonts w:hint="eastAsia"/>
              </w:rPr>
              <w:t xml:space="preserve"> </w:t>
            </w:r>
            <w:r>
              <w:rPr>
                <w:lang/>
              </w:rPr>
              <w:drawing>
                <wp:inline distT="0" distB="0" distL="114300" distR="114300">
                  <wp:extent cx="476250" cy="323850"/>
                  <wp:effectExtent l="0" t="0" r="0" b="0"/>
                  <wp:docPr id="301" name="图片 3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1AE767">
        <w:tblPrEx>
          <w:tblCellMar>
            <w:top w:w="0" w:type="dxa"/>
            <w:left w:w="0" w:type="dxa"/>
            <w:bottom w:w="0" w:type="dxa"/>
            <w:right w:w="0" w:type="dxa"/>
          </w:tblCellMar>
        </w:tblPrEx>
        <w:trPr>
          <w:wBefore w:w="0" w:type="auto"/>
          <w:tblCellSpacing w:w="0" w:type="dxa"/>
        </w:trPr>
        <w:tc>
          <w:tcPr>
            <w:tcW w:w="0" w:type="auto"/>
            <w:noWrap w:val="0"/>
            <w:vAlign w:val="center"/>
          </w:tcPr>
          <w:p w14:paraId="5E04C76D">
            <w:r>
              <w:rPr>
                <w:rStyle w:val="10"/>
                <w:rFonts w:hint="eastAsia"/>
              </w:rPr>
              <w:t>总有效成分含量：</w:t>
            </w:r>
            <w:r>
              <w:rPr>
                <w:rFonts w:hint="eastAsia"/>
              </w:rPr>
              <w:t>20%</w:t>
            </w:r>
          </w:p>
        </w:tc>
      </w:tr>
      <w:tr w14:paraId="1E464AD0">
        <w:tblPrEx>
          <w:tblCellMar>
            <w:top w:w="0" w:type="dxa"/>
            <w:left w:w="0" w:type="dxa"/>
            <w:bottom w:w="0" w:type="dxa"/>
            <w:right w:w="0" w:type="dxa"/>
          </w:tblCellMar>
        </w:tblPrEx>
        <w:trPr>
          <w:wBefore w:w="0" w:type="auto"/>
          <w:tblCellSpacing w:w="0" w:type="dxa"/>
        </w:trPr>
        <w:tc>
          <w:tcPr>
            <w:tcW w:w="0" w:type="auto"/>
            <w:noWrap w:val="0"/>
            <w:vAlign w:val="center"/>
          </w:tcPr>
          <w:p w14:paraId="2C0D9227">
            <w:r>
              <w:rPr>
                <w:rFonts w:hint="eastAsia"/>
              </w:rPr>
              <w:t xml:space="preserve">有效成分及其含量： </w:t>
            </w:r>
          </w:p>
          <w:p w14:paraId="65E59829">
            <w:r>
              <w:rPr>
                <w:rFonts w:hint="eastAsia"/>
              </w:rPr>
              <w:t xml:space="preserve">    氰氟草酯10%    噁唑酰草胺10%    </w:t>
            </w:r>
          </w:p>
        </w:tc>
      </w:tr>
      <w:tr w14:paraId="0FBD7483">
        <w:tblPrEx>
          <w:tblCellMar>
            <w:top w:w="0" w:type="dxa"/>
            <w:left w:w="0" w:type="dxa"/>
            <w:bottom w:w="0" w:type="dxa"/>
            <w:right w:w="0" w:type="dxa"/>
          </w:tblCellMar>
        </w:tblPrEx>
        <w:trPr>
          <w:wBefore w:w="0" w:type="auto"/>
          <w:tblCellSpacing w:w="0" w:type="dxa"/>
        </w:trPr>
        <w:tc>
          <w:tcPr>
            <w:tcW w:w="0" w:type="auto"/>
            <w:noWrap w:val="0"/>
            <w:vAlign w:val="center"/>
          </w:tcPr>
          <w:p w14:paraId="066FB0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BA5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97B15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99E27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5A85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D38D2B">
                  <w:r>
                    <w:rPr>
                      <w:rStyle w:val="11"/>
                      <w:rFonts w:hint="eastAsia"/>
                    </w:rPr>
                    <w:t>施用方式</w:t>
                  </w:r>
                </w:p>
              </w:tc>
            </w:tr>
            <w:tr w14:paraId="7AFAB9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A813C7">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8FBCC9">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87277B">
                  <w:r>
                    <w:rPr>
                      <w:rStyle w:val="11"/>
                      <w:rFonts w:hint="eastAsia"/>
                    </w:rPr>
                    <w:t>60-75毫升/亩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F7F2CC">
                  <w:r>
                    <w:rPr>
                      <w:rStyle w:val="11"/>
                      <w:rFonts w:hint="eastAsia"/>
                    </w:rPr>
                    <w:t>茎叶喷雾</w:t>
                  </w:r>
                </w:p>
              </w:tc>
            </w:tr>
          </w:tbl>
          <w:p w14:paraId="72B1EACC">
            <w:pPr>
              <w:rPr>
                <w:rFonts w:ascii="Times New Roman" w:hAnsi="Times New Roman" w:cs="Times New Roman"/>
                <w:sz w:val="20"/>
                <w:szCs w:val="20"/>
              </w:rPr>
            </w:pPr>
          </w:p>
        </w:tc>
      </w:tr>
      <w:tr w14:paraId="5CC493B4">
        <w:tblPrEx>
          <w:tblCellMar>
            <w:top w:w="0" w:type="dxa"/>
            <w:left w:w="0" w:type="dxa"/>
            <w:bottom w:w="0" w:type="dxa"/>
            <w:right w:w="0" w:type="dxa"/>
          </w:tblCellMar>
        </w:tblPrEx>
        <w:trPr>
          <w:wBefore w:w="0" w:type="auto"/>
          <w:tblCellSpacing w:w="0" w:type="dxa"/>
        </w:trPr>
        <w:tc>
          <w:tcPr>
            <w:tcW w:w="0" w:type="auto"/>
            <w:noWrap w:val="0"/>
            <w:vAlign w:val="center"/>
          </w:tcPr>
          <w:p w14:paraId="57BEF3E7">
            <w:r>
              <w:rPr>
                <w:rStyle w:val="10"/>
                <w:rFonts w:hint="eastAsia"/>
              </w:rPr>
              <w:t>使用技术要求:</w:t>
            </w:r>
            <w:r>
              <w:rPr>
                <w:rFonts w:hint="eastAsia"/>
              </w:rPr>
              <w:br w:type="textWrapping"/>
            </w:r>
            <w:r>
              <w:rPr>
                <w:rStyle w:val="11"/>
                <w:rFonts w:hint="eastAsia"/>
              </w:rPr>
              <w:t>1. 于直播稻3叶期，禾草2-4叶期茎叶喷雾施药一次，水层勿淹没水稻心叶避免药害。2. 施药前排干田间水，兑水茎叶喷雾，药后1-2天灌水，保水7天；3. 喷液量: 30升/亩；4. 每季作物最多使用1次。</w:t>
            </w:r>
          </w:p>
        </w:tc>
      </w:tr>
      <w:tr w14:paraId="4096B984">
        <w:tblPrEx>
          <w:tblCellMar>
            <w:top w:w="0" w:type="dxa"/>
            <w:left w:w="0" w:type="dxa"/>
            <w:bottom w:w="0" w:type="dxa"/>
            <w:right w:w="0" w:type="dxa"/>
          </w:tblCellMar>
        </w:tblPrEx>
        <w:trPr>
          <w:wBefore w:w="0" w:type="auto"/>
          <w:tblCellSpacing w:w="0" w:type="dxa"/>
        </w:trPr>
        <w:tc>
          <w:tcPr>
            <w:tcW w:w="0" w:type="auto"/>
            <w:noWrap w:val="0"/>
            <w:vAlign w:val="center"/>
          </w:tcPr>
          <w:p w14:paraId="0AB7436A">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推荐剂量下使用，对水稻安全。</w:t>
            </w:r>
          </w:p>
        </w:tc>
      </w:tr>
      <w:tr w14:paraId="6A627D3D">
        <w:tblPrEx>
          <w:tblCellMar>
            <w:top w:w="0" w:type="dxa"/>
            <w:left w:w="0" w:type="dxa"/>
            <w:bottom w:w="0" w:type="dxa"/>
            <w:right w:w="0" w:type="dxa"/>
          </w:tblCellMar>
        </w:tblPrEx>
        <w:trPr>
          <w:wBefore w:w="0" w:type="auto"/>
          <w:tblCellSpacing w:w="0" w:type="dxa"/>
        </w:trPr>
        <w:tc>
          <w:tcPr>
            <w:tcW w:w="0" w:type="auto"/>
            <w:noWrap w:val="0"/>
            <w:vAlign w:val="center"/>
          </w:tcPr>
          <w:p w14:paraId="4A307854">
            <w:r>
              <w:rPr>
                <w:rStyle w:val="10"/>
                <w:rFonts w:hint="eastAsia"/>
              </w:rPr>
              <w:t>注意事项：</w:t>
            </w:r>
            <w:r>
              <w:rPr>
                <w:rFonts w:hint="eastAsia"/>
              </w:rPr>
              <w:br w:type="textWrapping"/>
            </w:r>
            <w:r>
              <w:rPr>
                <w:rStyle w:val="11"/>
                <w:rFonts w:hint="eastAsia"/>
              </w:rPr>
              <w:t>1. 正常使用技术条件下对后茬作物安全。 2. 如需与其他助剂或药剂混用，请先进行小面积试验以确认安全性和有效性。 3. 本品对眼睛、皮肤有刺激性，使用时避免接触眼睛、皮肤，穿戴长衣、长裤、帽子、口罩、手套等防护措施。，避免吸入药液；施药期间不可吃东西、饮水、吸烟等；施药后应及时洗手、洗脸并洗涤施药时穿着的衣物。 4. 本品对鱼类等水生生物有毒，远离水产养殖区、河塘等水体施药；禁止在河塘等水体中清洗施药器具；鱼或虾蟹套养稻田禁用；施药后的田水不得直接排入水体。用过的容器应妥善处理，不可做他用，也不可随意丢弃。 5. 本产品对赤眼蜂高风险，对鸟类中毒，施药时需注意保护天敌生物。 6. 本产品符合标签说明，请严格按照标签说明使用。 7. 避免孕妇及哺乳期的妇女接触本品。</w:t>
            </w:r>
          </w:p>
        </w:tc>
      </w:tr>
      <w:tr w14:paraId="50D4CF05">
        <w:tblPrEx>
          <w:tblCellMar>
            <w:top w:w="0" w:type="dxa"/>
            <w:left w:w="0" w:type="dxa"/>
            <w:bottom w:w="0" w:type="dxa"/>
            <w:right w:w="0" w:type="dxa"/>
          </w:tblCellMar>
        </w:tblPrEx>
        <w:trPr>
          <w:wBefore w:w="0" w:type="auto"/>
          <w:tblCellSpacing w:w="0" w:type="dxa"/>
        </w:trPr>
        <w:tc>
          <w:tcPr>
            <w:tcW w:w="0" w:type="auto"/>
            <w:noWrap w:val="0"/>
            <w:vAlign w:val="center"/>
          </w:tcPr>
          <w:p w14:paraId="44BDAFA6">
            <w:r>
              <w:rPr>
                <w:rStyle w:val="10"/>
                <w:rFonts w:hint="eastAsia"/>
              </w:rPr>
              <w:t>中毒急救措施：</w:t>
            </w:r>
            <w:r>
              <w:rPr>
                <w:rFonts w:hint="eastAsia"/>
              </w:rPr>
              <w:br w:type="textWrapping"/>
            </w:r>
            <w:r>
              <w:rPr>
                <w:rStyle w:val="11"/>
                <w:rFonts w:hint="eastAsia"/>
              </w:rPr>
              <w:t>眼睛溅入∶立刻用大量清水冲洗15-20分钟，如配戴隐形眼镜，冲洗5分钟后摘掉眼镜再冲洗15分钟。携此标签去医院诊治。2．误食∶立即饮用一杯或两杯水，用一只手指按住咽喉的后面部位，引吐。任何时候，不要试图让失去知觉的人呕吐或通过口部为其喂食。并请立即带标签就医。3．皮肤沾附∶脱去被溅到衣服。立即用大量清水冲洗皮肤。衣服彻底清洗后方可再穿。4．误吸∶转移至空气清新处，如症状持续，向医生咨询。 5．给医护人员的提示：无特效解毒药，请医生根据症状治疗。</w:t>
            </w:r>
          </w:p>
        </w:tc>
      </w:tr>
      <w:tr w14:paraId="2F6FA718">
        <w:tblPrEx>
          <w:tblCellMar>
            <w:top w:w="0" w:type="dxa"/>
            <w:left w:w="0" w:type="dxa"/>
            <w:bottom w:w="0" w:type="dxa"/>
            <w:right w:w="0" w:type="dxa"/>
          </w:tblCellMar>
        </w:tblPrEx>
        <w:trPr>
          <w:wBefore w:w="0" w:type="auto"/>
          <w:tblCellSpacing w:w="0" w:type="dxa"/>
        </w:trPr>
        <w:tc>
          <w:tcPr>
            <w:tcW w:w="0" w:type="auto"/>
            <w:noWrap w:val="0"/>
            <w:vAlign w:val="center"/>
          </w:tcPr>
          <w:p w14:paraId="67A7781B">
            <w:r>
              <w:rPr>
                <w:rStyle w:val="10"/>
                <w:rFonts w:hint="eastAsia"/>
              </w:rPr>
              <w:t>储存和运输方法：</w:t>
            </w:r>
            <w:r>
              <w:rPr>
                <w:rFonts w:hint="eastAsia"/>
              </w:rPr>
              <w:br w:type="textWrapping"/>
            </w:r>
            <w:r>
              <w:rPr>
                <w:rStyle w:val="11"/>
                <w:rFonts w:hint="eastAsia"/>
              </w:rPr>
              <w:t>1. 本品应在原包装袋中密封贮存于干燥、阴凉、通风、防雨处，本品属易燃液体，远离火源或热源。2. 存放于儿童、无关人员触及不到之处，并加锁。3. 勿与食品、饮料、粮食、饲料等其他商品同贮同运。贮存或运输时堆层不得超过规定，注意轻拿轻放，以免损坏包装，导致产品泄漏。 净含量（重量）</w:t>
            </w:r>
          </w:p>
        </w:tc>
      </w:tr>
      <w:tr w14:paraId="3AC88188">
        <w:tblPrEx>
          <w:tblCellMar>
            <w:top w:w="0" w:type="dxa"/>
            <w:left w:w="0" w:type="dxa"/>
            <w:bottom w:w="0" w:type="dxa"/>
            <w:right w:w="0" w:type="dxa"/>
          </w:tblCellMar>
        </w:tblPrEx>
        <w:trPr>
          <w:wBefore w:w="0" w:type="auto"/>
          <w:tblCellSpacing w:w="0" w:type="dxa"/>
        </w:trPr>
        <w:tc>
          <w:tcPr>
            <w:tcW w:w="0" w:type="auto"/>
            <w:noWrap w:val="0"/>
            <w:vAlign w:val="center"/>
          </w:tcPr>
          <w:p w14:paraId="07FEED90">
            <w:r>
              <w:rPr>
                <w:rStyle w:val="10"/>
                <w:rFonts w:hint="eastAsia"/>
              </w:rPr>
              <w:t>质量保证期：</w:t>
            </w:r>
            <w:r>
              <w:rPr>
                <w:rStyle w:val="11"/>
                <w:rFonts w:hint="eastAsia"/>
              </w:rPr>
              <w:t>2年</w:t>
            </w:r>
          </w:p>
        </w:tc>
      </w:tr>
      <w:tr w14:paraId="04A01699">
        <w:tblPrEx>
          <w:tblCellMar>
            <w:top w:w="0" w:type="dxa"/>
            <w:left w:w="0" w:type="dxa"/>
            <w:bottom w:w="0" w:type="dxa"/>
            <w:right w:w="0" w:type="dxa"/>
          </w:tblCellMar>
        </w:tblPrEx>
        <w:trPr>
          <w:wBefore w:w="0" w:type="auto"/>
          <w:tblCellSpacing w:w="0" w:type="dxa"/>
        </w:trPr>
        <w:tc>
          <w:tcPr>
            <w:tcW w:w="0" w:type="auto"/>
            <w:noWrap w:val="0"/>
            <w:vAlign w:val="center"/>
          </w:tcPr>
          <w:p w14:paraId="43CBFA8C">
            <w:r>
              <w:rPr>
                <w:rStyle w:val="10"/>
                <w:rFonts w:hint="eastAsia"/>
              </w:rPr>
              <w:t>备注：</w:t>
            </w:r>
          </w:p>
        </w:tc>
      </w:tr>
    </w:tbl>
    <w:p w14:paraId="67C5A1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81AADC">
        <w:tblPrEx>
          <w:tblCellMar>
            <w:top w:w="0" w:type="dxa"/>
            <w:left w:w="0" w:type="dxa"/>
            <w:bottom w:w="0" w:type="dxa"/>
            <w:right w:w="0" w:type="dxa"/>
          </w:tblCellMar>
        </w:tblPrEx>
        <w:trPr>
          <w:wBefore w:w="0" w:type="auto"/>
          <w:tblCellSpacing w:w="0" w:type="dxa"/>
        </w:trPr>
        <w:tc>
          <w:tcPr>
            <w:tcW w:w="0" w:type="auto"/>
            <w:noWrap w:val="0"/>
            <w:vAlign w:val="center"/>
          </w:tcPr>
          <w:p w14:paraId="3B579165">
            <w:r>
              <w:rPr>
                <w:rStyle w:val="10"/>
                <w:rFonts w:hint="eastAsia"/>
              </w:rPr>
              <w:t>登记证号：</w:t>
            </w:r>
            <w:r>
              <w:rPr>
                <w:rFonts w:hint="eastAsia"/>
              </w:rPr>
              <w:t>WP20210370</w:t>
            </w:r>
          </w:p>
        </w:tc>
      </w:tr>
      <w:tr w14:paraId="3C197847">
        <w:tblPrEx>
          <w:tblCellMar>
            <w:top w:w="0" w:type="dxa"/>
            <w:left w:w="0" w:type="dxa"/>
            <w:bottom w:w="0" w:type="dxa"/>
            <w:right w:w="0" w:type="dxa"/>
          </w:tblCellMar>
        </w:tblPrEx>
        <w:trPr>
          <w:wBefore w:w="0" w:type="auto"/>
          <w:tblCellSpacing w:w="0" w:type="dxa"/>
        </w:trPr>
        <w:tc>
          <w:tcPr>
            <w:tcW w:w="0" w:type="auto"/>
            <w:noWrap w:val="0"/>
            <w:vAlign w:val="center"/>
          </w:tcPr>
          <w:p w14:paraId="3D5C5FAC">
            <w:r>
              <w:rPr>
                <w:rStyle w:val="10"/>
                <w:rFonts w:hint="eastAsia"/>
              </w:rPr>
              <w:t>登记证持有人：</w:t>
            </w:r>
            <w:r>
              <w:rPr>
                <w:rFonts w:hint="eastAsia"/>
              </w:rPr>
              <w:t>广东黑旋风日用制品有限公司</w:t>
            </w:r>
          </w:p>
        </w:tc>
      </w:tr>
      <w:tr w14:paraId="00CECBB9">
        <w:tblPrEx>
          <w:tblCellMar>
            <w:top w:w="0" w:type="dxa"/>
            <w:left w:w="0" w:type="dxa"/>
            <w:bottom w:w="0" w:type="dxa"/>
            <w:right w:w="0" w:type="dxa"/>
          </w:tblCellMar>
        </w:tblPrEx>
        <w:trPr>
          <w:wBefore w:w="0" w:type="auto"/>
          <w:tblCellSpacing w:w="0" w:type="dxa"/>
        </w:trPr>
        <w:tc>
          <w:tcPr>
            <w:tcW w:w="0" w:type="auto"/>
            <w:noWrap w:val="0"/>
            <w:vAlign w:val="center"/>
          </w:tcPr>
          <w:p w14:paraId="1C4BC997">
            <w:r>
              <w:rPr>
                <w:rStyle w:val="10"/>
                <w:rFonts w:hint="eastAsia"/>
              </w:rPr>
              <w:t>农药名称：</w:t>
            </w:r>
            <w:r>
              <w:rPr>
                <w:rFonts w:hint="eastAsia"/>
              </w:rPr>
              <w:t>杀蟑饵剂</w:t>
            </w:r>
          </w:p>
        </w:tc>
      </w:tr>
      <w:tr w14:paraId="1574D514">
        <w:tblPrEx>
          <w:tblCellMar>
            <w:top w:w="0" w:type="dxa"/>
            <w:left w:w="0" w:type="dxa"/>
            <w:bottom w:w="0" w:type="dxa"/>
            <w:right w:w="0" w:type="dxa"/>
          </w:tblCellMar>
        </w:tblPrEx>
        <w:trPr>
          <w:wBefore w:w="0" w:type="auto"/>
          <w:tblCellSpacing w:w="0" w:type="dxa"/>
        </w:trPr>
        <w:tc>
          <w:tcPr>
            <w:tcW w:w="0" w:type="auto"/>
            <w:noWrap w:val="0"/>
            <w:vAlign w:val="center"/>
          </w:tcPr>
          <w:p w14:paraId="7C683385">
            <w:r>
              <w:rPr>
                <w:rStyle w:val="10"/>
                <w:rFonts w:hint="eastAsia"/>
              </w:rPr>
              <w:t>剂型：</w:t>
            </w:r>
            <w:r>
              <w:rPr>
                <w:rFonts w:hint="eastAsia"/>
              </w:rPr>
              <w:t>饵剂</w:t>
            </w:r>
          </w:p>
        </w:tc>
      </w:tr>
      <w:tr w14:paraId="13C9C4FE">
        <w:tblPrEx>
          <w:tblCellMar>
            <w:top w:w="0" w:type="dxa"/>
            <w:left w:w="0" w:type="dxa"/>
            <w:bottom w:w="0" w:type="dxa"/>
            <w:right w:w="0" w:type="dxa"/>
          </w:tblCellMar>
        </w:tblPrEx>
        <w:trPr>
          <w:wBefore w:w="0" w:type="auto"/>
          <w:tblCellSpacing w:w="0" w:type="dxa"/>
        </w:trPr>
        <w:tc>
          <w:tcPr>
            <w:tcW w:w="0" w:type="auto"/>
            <w:noWrap w:val="0"/>
            <w:vAlign w:val="center"/>
          </w:tcPr>
          <w:p w14:paraId="1CBDB78C">
            <w:r>
              <w:rPr>
                <w:rStyle w:val="10"/>
                <w:rFonts w:hint="eastAsia"/>
              </w:rPr>
              <w:t>毒性及其标识：</w:t>
            </w:r>
            <w:r>
              <w:rPr>
                <w:rFonts w:hint="eastAsia"/>
              </w:rPr>
              <w:t xml:space="preserve"> 微毒 </w:t>
            </w:r>
          </w:p>
        </w:tc>
      </w:tr>
      <w:tr w14:paraId="0001BEDA">
        <w:tblPrEx>
          <w:tblCellMar>
            <w:top w:w="0" w:type="dxa"/>
            <w:left w:w="0" w:type="dxa"/>
            <w:bottom w:w="0" w:type="dxa"/>
            <w:right w:w="0" w:type="dxa"/>
          </w:tblCellMar>
        </w:tblPrEx>
        <w:trPr>
          <w:wBefore w:w="0" w:type="auto"/>
          <w:tblCellSpacing w:w="0" w:type="dxa"/>
        </w:trPr>
        <w:tc>
          <w:tcPr>
            <w:tcW w:w="0" w:type="auto"/>
            <w:noWrap w:val="0"/>
            <w:vAlign w:val="center"/>
          </w:tcPr>
          <w:p w14:paraId="6EBF06AB">
            <w:r>
              <w:rPr>
                <w:rStyle w:val="10"/>
                <w:rFonts w:hint="eastAsia"/>
              </w:rPr>
              <w:t>总有效成分含量：</w:t>
            </w:r>
            <w:r>
              <w:rPr>
                <w:rFonts w:hint="eastAsia"/>
              </w:rPr>
              <w:t>2.5%</w:t>
            </w:r>
          </w:p>
        </w:tc>
      </w:tr>
      <w:tr w14:paraId="7DDE058A">
        <w:tblPrEx>
          <w:tblCellMar>
            <w:top w:w="0" w:type="dxa"/>
            <w:left w:w="0" w:type="dxa"/>
            <w:bottom w:w="0" w:type="dxa"/>
            <w:right w:w="0" w:type="dxa"/>
          </w:tblCellMar>
        </w:tblPrEx>
        <w:trPr>
          <w:wBefore w:w="0" w:type="auto"/>
          <w:tblCellSpacing w:w="0" w:type="dxa"/>
        </w:trPr>
        <w:tc>
          <w:tcPr>
            <w:tcW w:w="0" w:type="auto"/>
            <w:noWrap w:val="0"/>
            <w:vAlign w:val="center"/>
          </w:tcPr>
          <w:p w14:paraId="574E056F">
            <w:r>
              <w:rPr>
                <w:rFonts w:hint="eastAsia"/>
              </w:rPr>
              <w:t xml:space="preserve">有效成分及其含量： </w:t>
            </w:r>
          </w:p>
          <w:p w14:paraId="6AC20D34">
            <w:r>
              <w:rPr>
                <w:rFonts w:hint="eastAsia"/>
              </w:rPr>
              <w:t xml:space="preserve">    吡虫啉2.5%    </w:t>
            </w:r>
          </w:p>
        </w:tc>
      </w:tr>
      <w:tr w14:paraId="11004451">
        <w:tblPrEx>
          <w:tblCellMar>
            <w:top w:w="0" w:type="dxa"/>
            <w:left w:w="0" w:type="dxa"/>
            <w:bottom w:w="0" w:type="dxa"/>
            <w:right w:w="0" w:type="dxa"/>
          </w:tblCellMar>
        </w:tblPrEx>
        <w:trPr>
          <w:wBefore w:w="0" w:type="auto"/>
          <w:tblCellSpacing w:w="0" w:type="dxa"/>
        </w:trPr>
        <w:tc>
          <w:tcPr>
            <w:tcW w:w="0" w:type="auto"/>
            <w:noWrap w:val="0"/>
            <w:vAlign w:val="center"/>
          </w:tcPr>
          <w:p w14:paraId="653C493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1EB1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609E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243C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FC93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D04A0A">
                  <w:r>
                    <w:rPr>
                      <w:rStyle w:val="11"/>
                      <w:rFonts w:hint="eastAsia"/>
                    </w:rPr>
                    <w:t>施用方式</w:t>
                  </w:r>
                </w:p>
              </w:tc>
            </w:tr>
            <w:tr w14:paraId="445748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CCCC3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0F793D">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51269D">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C84FF8">
                  <w:r>
                    <w:rPr>
                      <w:rStyle w:val="11"/>
                      <w:rFonts w:hint="eastAsia"/>
                    </w:rPr>
                    <w:t>投放</w:t>
                  </w:r>
                </w:p>
              </w:tc>
            </w:tr>
          </w:tbl>
          <w:p w14:paraId="5C1D7C26">
            <w:pPr>
              <w:rPr>
                <w:rFonts w:ascii="Times New Roman" w:hAnsi="Times New Roman" w:cs="Times New Roman"/>
                <w:sz w:val="20"/>
                <w:szCs w:val="20"/>
              </w:rPr>
            </w:pPr>
          </w:p>
        </w:tc>
      </w:tr>
      <w:tr w14:paraId="3CEFE18D">
        <w:tblPrEx>
          <w:tblCellMar>
            <w:top w:w="0" w:type="dxa"/>
            <w:left w:w="0" w:type="dxa"/>
            <w:bottom w:w="0" w:type="dxa"/>
            <w:right w:w="0" w:type="dxa"/>
          </w:tblCellMar>
        </w:tblPrEx>
        <w:trPr>
          <w:wBefore w:w="0" w:type="auto"/>
          <w:tblCellSpacing w:w="0" w:type="dxa"/>
        </w:trPr>
        <w:tc>
          <w:tcPr>
            <w:tcW w:w="0" w:type="auto"/>
            <w:noWrap w:val="0"/>
            <w:vAlign w:val="center"/>
          </w:tcPr>
          <w:p w14:paraId="4E078449">
            <w:r>
              <w:rPr>
                <w:rStyle w:val="10"/>
                <w:rFonts w:hint="eastAsia"/>
              </w:rPr>
              <w:t>使用技术要求:</w:t>
            </w:r>
            <w:r>
              <w:rPr>
                <w:rFonts w:hint="eastAsia"/>
              </w:rPr>
              <w:br w:type="textWrapping"/>
            </w:r>
            <w:r>
              <w:rPr>
                <w:rStyle w:val="11"/>
                <w:rFonts w:hint="eastAsia"/>
              </w:rPr>
              <w:t xml:space="preserve">将本品投放于蟑螂经常出没及繁殖的区域，如缝隙、边角、孔洞。一旦饵剂被蟑螂吃尽后，应立即补充施药，以达到最佳防治效果。 </w:t>
            </w:r>
          </w:p>
        </w:tc>
      </w:tr>
      <w:tr w14:paraId="61E449A8">
        <w:tblPrEx>
          <w:tblCellMar>
            <w:top w:w="0" w:type="dxa"/>
            <w:left w:w="0" w:type="dxa"/>
            <w:bottom w:w="0" w:type="dxa"/>
            <w:right w:w="0" w:type="dxa"/>
          </w:tblCellMar>
        </w:tblPrEx>
        <w:trPr>
          <w:wBefore w:w="0" w:type="auto"/>
          <w:tblCellSpacing w:w="0" w:type="dxa"/>
        </w:trPr>
        <w:tc>
          <w:tcPr>
            <w:tcW w:w="0" w:type="auto"/>
            <w:noWrap w:val="0"/>
            <w:vAlign w:val="center"/>
          </w:tcPr>
          <w:p w14:paraId="52379123">
            <w:r>
              <w:rPr>
                <w:rStyle w:val="10"/>
                <w:rFonts w:hint="eastAsia"/>
              </w:rPr>
              <w:t>产品性能:</w:t>
            </w:r>
            <w:r>
              <w:rPr>
                <w:rFonts w:hint="eastAsia"/>
              </w:rPr>
              <w:br w:type="textWrapping"/>
            </w:r>
            <w:r>
              <w:rPr>
                <w:rStyle w:val="11"/>
                <w:rFonts w:hint="eastAsia"/>
              </w:rPr>
              <w:t xml:space="preserve">本品对蟑螂具有防治作用，适用于家庭、宾馆、办公室等室内场所使用。 </w:t>
            </w:r>
          </w:p>
        </w:tc>
      </w:tr>
      <w:tr w14:paraId="6C0CC288">
        <w:tblPrEx>
          <w:tblCellMar>
            <w:top w:w="0" w:type="dxa"/>
            <w:left w:w="0" w:type="dxa"/>
            <w:bottom w:w="0" w:type="dxa"/>
            <w:right w:w="0" w:type="dxa"/>
          </w:tblCellMar>
        </w:tblPrEx>
        <w:trPr>
          <w:wBefore w:w="0" w:type="auto"/>
          <w:tblCellSpacing w:w="0" w:type="dxa"/>
        </w:trPr>
        <w:tc>
          <w:tcPr>
            <w:tcW w:w="0" w:type="auto"/>
            <w:noWrap w:val="0"/>
            <w:vAlign w:val="center"/>
          </w:tcPr>
          <w:p w14:paraId="23C3723C">
            <w:r>
              <w:rPr>
                <w:rStyle w:val="10"/>
                <w:rFonts w:hint="eastAsia"/>
              </w:rPr>
              <w:t>注意事项：</w:t>
            </w:r>
            <w:r>
              <w:rPr>
                <w:rFonts w:hint="eastAsia"/>
              </w:rPr>
              <w:br w:type="textWrapping"/>
            </w:r>
            <w:r>
              <w:rPr>
                <w:rStyle w:val="11"/>
                <w:rFonts w:hint="eastAsia"/>
              </w:rPr>
              <w:t>1. 本品仅限室内使用，应置于儿童接触不到的地方，避免误服。 2. 不要将本品施放于水流通道处，以免影响本品的持效作用。 3. 施药后应清洗双手。 4. 使用时切勿污染食品及饮用水。 5. 蚕室及其附近禁用。过敏者禁用。使用中有任何不良反应请及时就医。 6. 避免孕妇及哺乳期妇女接触。 7. 废弃物应妥善处理，不能乱丢乱放，也不能做他用。</w:t>
            </w:r>
          </w:p>
        </w:tc>
      </w:tr>
      <w:tr w14:paraId="37E22183">
        <w:tblPrEx>
          <w:tblCellMar>
            <w:top w:w="0" w:type="dxa"/>
            <w:left w:w="0" w:type="dxa"/>
            <w:bottom w:w="0" w:type="dxa"/>
            <w:right w:w="0" w:type="dxa"/>
          </w:tblCellMar>
        </w:tblPrEx>
        <w:trPr>
          <w:wBefore w:w="0" w:type="auto"/>
          <w:tblCellSpacing w:w="0" w:type="dxa"/>
        </w:trPr>
        <w:tc>
          <w:tcPr>
            <w:tcW w:w="0" w:type="auto"/>
            <w:noWrap w:val="0"/>
            <w:vAlign w:val="center"/>
          </w:tcPr>
          <w:p w14:paraId="6B7212EE">
            <w:r>
              <w:rPr>
                <w:rStyle w:val="10"/>
                <w:rFonts w:hint="eastAsia"/>
              </w:rPr>
              <w:t>中毒急救措施：</w:t>
            </w:r>
            <w:r>
              <w:rPr>
                <w:rFonts w:hint="eastAsia"/>
              </w:rPr>
              <w:br w:type="textWrapping"/>
            </w:r>
            <w:r>
              <w:rPr>
                <w:rStyle w:val="11"/>
                <w:rFonts w:hint="eastAsia"/>
              </w:rPr>
              <w:t>施药后与药饵接触部位应清洗干净。本品无特殊解毒剂，误服则应立即携此标签将病人送医院诊治</w:t>
            </w:r>
          </w:p>
        </w:tc>
      </w:tr>
      <w:tr w14:paraId="18709CF9">
        <w:tblPrEx>
          <w:tblCellMar>
            <w:top w:w="0" w:type="dxa"/>
            <w:left w:w="0" w:type="dxa"/>
            <w:bottom w:w="0" w:type="dxa"/>
            <w:right w:w="0" w:type="dxa"/>
          </w:tblCellMar>
        </w:tblPrEx>
        <w:trPr>
          <w:wBefore w:w="0" w:type="auto"/>
          <w:tblCellSpacing w:w="0" w:type="dxa"/>
        </w:trPr>
        <w:tc>
          <w:tcPr>
            <w:tcW w:w="0" w:type="auto"/>
            <w:noWrap w:val="0"/>
            <w:vAlign w:val="center"/>
          </w:tcPr>
          <w:p w14:paraId="0A9A818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58B93793">
        <w:tblPrEx>
          <w:tblCellMar>
            <w:top w:w="0" w:type="dxa"/>
            <w:left w:w="0" w:type="dxa"/>
            <w:bottom w:w="0" w:type="dxa"/>
            <w:right w:w="0" w:type="dxa"/>
          </w:tblCellMar>
        </w:tblPrEx>
        <w:trPr>
          <w:wBefore w:w="0" w:type="auto"/>
          <w:tblCellSpacing w:w="0" w:type="dxa"/>
        </w:trPr>
        <w:tc>
          <w:tcPr>
            <w:tcW w:w="0" w:type="auto"/>
            <w:noWrap w:val="0"/>
            <w:vAlign w:val="center"/>
          </w:tcPr>
          <w:p w14:paraId="236EFFD1">
            <w:r>
              <w:rPr>
                <w:rStyle w:val="10"/>
                <w:rFonts w:hint="eastAsia"/>
              </w:rPr>
              <w:t>质量保证期：</w:t>
            </w:r>
            <w:r>
              <w:rPr>
                <w:rStyle w:val="11"/>
                <w:rFonts w:hint="eastAsia"/>
              </w:rPr>
              <w:t>3年</w:t>
            </w:r>
          </w:p>
        </w:tc>
      </w:tr>
      <w:tr w14:paraId="0C04EBF6">
        <w:tblPrEx>
          <w:tblCellMar>
            <w:top w:w="0" w:type="dxa"/>
            <w:left w:w="0" w:type="dxa"/>
            <w:bottom w:w="0" w:type="dxa"/>
            <w:right w:w="0" w:type="dxa"/>
          </w:tblCellMar>
        </w:tblPrEx>
        <w:trPr>
          <w:wBefore w:w="0" w:type="auto"/>
          <w:tblCellSpacing w:w="0" w:type="dxa"/>
        </w:trPr>
        <w:tc>
          <w:tcPr>
            <w:tcW w:w="0" w:type="auto"/>
            <w:noWrap w:val="0"/>
            <w:vAlign w:val="center"/>
          </w:tcPr>
          <w:p w14:paraId="3AAE028F">
            <w:r>
              <w:rPr>
                <w:rStyle w:val="10"/>
                <w:rFonts w:hint="eastAsia"/>
              </w:rPr>
              <w:t>备注：</w:t>
            </w:r>
          </w:p>
        </w:tc>
      </w:tr>
    </w:tbl>
    <w:p w14:paraId="1D7608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39F7F2">
        <w:tblPrEx>
          <w:tblCellMar>
            <w:top w:w="0" w:type="dxa"/>
            <w:left w:w="0" w:type="dxa"/>
            <w:bottom w:w="0" w:type="dxa"/>
            <w:right w:w="0" w:type="dxa"/>
          </w:tblCellMar>
        </w:tblPrEx>
        <w:trPr>
          <w:wBefore w:w="0" w:type="auto"/>
          <w:tblCellSpacing w:w="0" w:type="dxa"/>
        </w:trPr>
        <w:tc>
          <w:tcPr>
            <w:tcW w:w="0" w:type="auto"/>
            <w:noWrap w:val="0"/>
            <w:vAlign w:val="center"/>
          </w:tcPr>
          <w:p w14:paraId="1B474BBF">
            <w:r>
              <w:rPr>
                <w:rStyle w:val="10"/>
                <w:rFonts w:hint="eastAsia"/>
              </w:rPr>
              <w:t>登记证号：</w:t>
            </w:r>
            <w:r>
              <w:rPr>
                <w:rFonts w:hint="eastAsia"/>
              </w:rPr>
              <w:t>PD20212596</w:t>
            </w:r>
          </w:p>
        </w:tc>
      </w:tr>
      <w:tr w14:paraId="371FDD3D">
        <w:tblPrEx>
          <w:tblCellMar>
            <w:top w:w="0" w:type="dxa"/>
            <w:left w:w="0" w:type="dxa"/>
            <w:bottom w:w="0" w:type="dxa"/>
            <w:right w:w="0" w:type="dxa"/>
          </w:tblCellMar>
        </w:tblPrEx>
        <w:trPr>
          <w:wBefore w:w="0" w:type="auto"/>
          <w:tblCellSpacing w:w="0" w:type="dxa"/>
        </w:trPr>
        <w:tc>
          <w:tcPr>
            <w:tcW w:w="0" w:type="auto"/>
            <w:noWrap w:val="0"/>
            <w:vAlign w:val="center"/>
          </w:tcPr>
          <w:p w14:paraId="13D9E8A7">
            <w:r>
              <w:rPr>
                <w:rStyle w:val="10"/>
                <w:rFonts w:hint="eastAsia"/>
              </w:rPr>
              <w:t>登记证持有人：</w:t>
            </w:r>
            <w:r>
              <w:rPr>
                <w:rFonts w:hint="eastAsia"/>
              </w:rPr>
              <w:t>安徽华旗农化有限公司</w:t>
            </w:r>
          </w:p>
        </w:tc>
      </w:tr>
      <w:tr w14:paraId="768BA6FC">
        <w:tblPrEx>
          <w:tblCellMar>
            <w:top w:w="0" w:type="dxa"/>
            <w:left w:w="0" w:type="dxa"/>
            <w:bottom w:w="0" w:type="dxa"/>
            <w:right w:w="0" w:type="dxa"/>
          </w:tblCellMar>
        </w:tblPrEx>
        <w:trPr>
          <w:wBefore w:w="0" w:type="auto"/>
          <w:tblCellSpacing w:w="0" w:type="dxa"/>
        </w:trPr>
        <w:tc>
          <w:tcPr>
            <w:tcW w:w="0" w:type="auto"/>
            <w:noWrap w:val="0"/>
            <w:vAlign w:val="center"/>
          </w:tcPr>
          <w:p w14:paraId="2F3F073E">
            <w:r>
              <w:rPr>
                <w:rStyle w:val="10"/>
                <w:rFonts w:hint="eastAsia"/>
              </w:rPr>
              <w:t>农药名称：</w:t>
            </w:r>
            <w:r>
              <w:rPr>
                <w:rFonts w:hint="eastAsia"/>
              </w:rPr>
              <w:t>敌稗·氰氟草酯</w:t>
            </w:r>
          </w:p>
        </w:tc>
      </w:tr>
      <w:tr w14:paraId="065E992C">
        <w:tblPrEx>
          <w:tblCellMar>
            <w:top w:w="0" w:type="dxa"/>
            <w:left w:w="0" w:type="dxa"/>
            <w:bottom w:w="0" w:type="dxa"/>
            <w:right w:w="0" w:type="dxa"/>
          </w:tblCellMar>
        </w:tblPrEx>
        <w:trPr>
          <w:wBefore w:w="0" w:type="auto"/>
          <w:tblCellSpacing w:w="0" w:type="dxa"/>
        </w:trPr>
        <w:tc>
          <w:tcPr>
            <w:tcW w:w="0" w:type="auto"/>
            <w:noWrap w:val="0"/>
            <w:vAlign w:val="center"/>
          </w:tcPr>
          <w:p w14:paraId="78389388">
            <w:r>
              <w:rPr>
                <w:rStyle w:val="10"/>
                <w:rFonts w:hint="eastAsia"/>
              </w:rPr>
              <w:t>剂型：</w:t>
            </w:r>
            <w:r>
              <w:rPr>
                <w:rFonts w:hint="eastAsia"/>
              </w:rPr>
              <w:t>乳油</w:t>
            </w:r>
          </w:p>
        </w:tc>
      </w:tr>
      <w:tr w14:paraId="0C96E473">
        <w:tblPrEx>
          <w:tblCellMar>
            <w:top w:w="0" w:type="dxa"/>
            <w:left w:w="0" w:type="dxa"/>
            <w:bottom w:w="0" w:type="dxa"/>
            <w:right w:w="0" w:type="dxa"/>
          </w:tblCellMar>
        </w:tblPrEx>
        <w:trPr>
          <w:wBefore w:w="0" w:type="auto"/>
          <w:tblCellSpacing w:w="0" w:type="dxa"/>
        </w:trPr>
        <w:tc>
          <w:tcPr>
            <w:tcW w:w="0" w:type="auto"/>
            <w:noWrap w:val="0"/>
            <w:vAlign w:val="center"/>
          </w:tcPr>
          <w:p w14:paraId="15133E46">
            <w:r>
              <w:rPr>
                <w:rStyle w:val="10"/>
                <w:rFonts w:hint="eastAsia"/>
              </w:rPr>
              <w:t>毒性及其标识：</w:t>
            </w:r>
            <w:r>
              <w:rPr>
                <w:rFonts w:hint="eastAsia"/>
              </w:rPr>
              <w:t xml:space="preserve"> </w:t>
            </w:r>
            <w:r>
              <w:rPr>
                <w:lang/>
              </w:rPr>
              <w:drawing>
                <wp:inline distT="0" distB="0" distL="114300" distR="114300">
                  <wp:extent cx="476250" cy="323850"/>
                  <wp:effectExtent l="0" t="0" r="0" b="0"/>
                  <wp:docPr id="302" name="图片 3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CEB71F">
        <w:tblPrEx>
          <w:tblCellMar>
            <w:top w:w="0" w:type="dxa"/>
            <w:left w:w="0" w:type="dxa"/>
            <w:bottom w:w="0" w:type="dxa"/>
            <w:right w:w="0" w:type="dxa"/>
          </w:tblCellMar>
        </w:tblPrEx>
        <w:trPr>
          <w:wBefore w:w="0" w:type="auto"/>
          <w:tblCellSpacing w:w="0" w:type="dxa"/>
        </w:trPr>
        <w:tc>
          <w:tcPr>
            <w:tcW w:w="0" w:type="auto"/>
            <w:noWrap w:val="0"/>
            <w:vAlign w:val="center"/>
          </w:tcPr>
          <w:p w14:paraId="2EF5089C">
            <w:r>
              <w:rPr>
                <w:rStyle w:val="10"/>
                <w:rFonts w:hint="eastAsia"/>
              </w:rPr>
              <w:t>总有效成分含量：</w:t>
            </w:r>
            <w:r>
              <w:rPr>
                <w:rFonts w:hint="eastAsia"/>
              </w:rPr>
              <w:t>40%</w:t>
            </w:r>
          </w:p>
        </w:tc>
      </w:tr>
      <w:tr w14:paraId="3EBCB863">
        <w:tblPrEx>
          <w:tblCellMar>
            <w:top w:w="0" w:type="dxa"/>
            <w:left w:w="0" w:type="dxa"/>
            <w:bottom w:w="0" w:type="dxa"/>
            <w:right w:w="0" w:type="dxa"/>
          </w:tblCellMar>
        </w:tblPrEx>
        <w:trPr>
          <w:wBefore w:w="0" w:type="auto"/>
          <w:tblCellSpacing w:w="0" w:type="dxa"/>
        </w:trPr>
        <w:tc>
          <w:tcPr>
            <w:tcW w:w="0" w:type="auto"/>
            <w:noWrap w:val="0"/>
            <w:vAlign w:val="center"/>
          </w:tcPr>
          <w:p w14:paraId="16F9C0E8">
            <w:r>
              <w:rPr>
                <w:rFonts w:hint="eastAsia"/>
              </w:rPr>
              <w:t xml:space="preserve">有效成分及其含量： </w:t>
            </w:r>
          </w:p>
          <w:p w14:paraId="79E3A15F">
            <w:r>
              <w:rPr>
                <w:rFonts w:hint="eastAsia"/>
              </w:rPr>
              <w:t xml:space="preserve">    敌稗30%    氰氟草酯10%    </w:t>
            </w:r>
          </w:p>
        </w:tc>
      </w:tr>
      <w:tr w14:paraId="5888E3AF">
        <w:tblPrEx>
          <w:tblCellMar>
            <w:top w:w="0" w:type="dxa"/>
            <w:left w:w="0" w:type="dxa"/>
            <w:bottom w:w="0" w:type="dxa"/>
            <w:right w:w="0" w:type="dxa"/>
          </w:tblCellMar>
        </w:tblPrEx>
        <w:trPr>
          <w:wBefore w:w="0" w:type="auto"/>
          <w:tblCellSpacing w:w="0" w:type="dxa"/>
        </w:trPr>
        <w:tc>
          <w:tcPr>
            <w:tcW w:w="0" w:type="auto"/>
            <w:noWrap w:val="0"/>
            <w:vAlign w:val="center"/>
          </w:tcPr>
          <w:p w14:paraId="60928E0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9829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A6E7F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88FB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9C259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C02430">
                  <w:r>
                    <w:rPr>
                      <w:rStyle w:val="11"/>
                      <w:rFonts w:hint="eastAsia"/>
                    </w:rPr>
                    <w:t>施用方式</w:t>
                  </w:r>
                </w:p>
              </w:tc>
            </w:tr>
            <w:tr w14:paraId="0FD357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6F5E68">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8758B6">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67684D">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5230EF">
                  <w:r>
                    <w:rPr>
                      <w:rStyle w:val="11"/>
                      <w:rFonts w:hint="eastAsia"/>
                    </w:rPr>
                    <w:t>茎叶喷雾</w:t>
                  </w:r>
                </w:p>
              </w:tc>
            </w:tr>
          </w:tbl>
          <w:p w14:paraId="0EC292B1">
            <w:pPr>
              <w:rPr>
                <w:rFonts w:ascii="Times New Roman" w:hAnsi="Times New Roman" w:cs="Times New Roman"/>
                <w:sz w:val="20"/>
                <w:szCs w:val="20"/>
              </w:rPr>
            </w:pPr>
          </w:p>
        </w:tc>
      </w:tr>
      <w:tr w14:paraId="57D71714">
        <w:tblPrEx>
          <w:tblCellMar>
            <w:top w:w="0" w:type="dxa"/>
            <w:left w:w="0" w:type="dxa"/>
            <w:bottom w:w="0" w:type="dxa"/>
            <w:right w:w="0" w:type="dxa"/>
          </w:tblCellMar>
        </w:tblPrEx>
        <w:trPr>
          <w:wBefore w:w="0" w:type="auto"/>
          <w:tblCellSpacing w:w="0" w:type="dxa"/>
        </w:trPr>
        <w:tc>
          <w:tcPr>
            <w:tcW w:w="0" w:type="auto"/>
            <w:noWrap w:val="0"/>
            <w:vAlign w:val="center"/>
          </w:tcPr>
          <w:p w14:paraId="608E7B92">
            <w:r>
              <w:rPr>
                <w:rStyle w:val="10"/>
                <w:rFonts w:hint="eastAsia"/>
              </w:rPr>
              <w:t>使用技术要求:</w:t>
            </w:r>
            <w:r>
              <w:rPr>
                <w:rFonts w:hint="eastAsia"/>
              </w:rPr>
              <w:br w:type="textWrapping"/>
            </w:r>
            <w:r>
              <w:rPr>
                <w:rStyle w:val="11"/>
                <w:rFonts w:hint="eastAsia"/>
              </w:rPr>
              <w:t>1.于水稻（直播田）禾本科杂草2-4叶期施药，茎叶喷雾施药一次，兑水30-40公斤/亩。2.施药前排干田水，保持土壤湿润，药后2天正常栽培管理，但水深不淹没稻苗心叶。3.每季最多施药1次。</w:t>
            </w:r>
          </w:p>
        </w:tc>
      </w:tr>
      <w:tr w14:paraId="34E539E6">
        <w:tblPrEx>
          <w:tblCellMar>
            <w:top w:w="0" w:type="dxa"/>
            <w:left w:w="0" w:type="dxa"/>
            <w:bottom w:w="0" w:type="dxa"/>
            <w:right w:w="0" w:type="dxa"/>
          </w:tblCellMar>
        </w:tblPrEx>
        <w:trPr>
          <w:wBefore w:w="0" w:type="auto"/>
          <w:tblCellSpacing w:w="0" w:type="dxa"/>
        </w:trPr>
        <w:tc>
          <w:tcPr>
            <w:tcW w:w="0" w:type="auto"/>
            <w:noWrap w:val="0"/>
            <w:vAlign w:val="center"/>
          </w:tcPr>
          <w:p w14:paraId="75DFED57">
            <w:r>
              <w:rPr>
                <w:rStyle w:val="10"/>
                <w:rFonts w:hint="eastAsia"/>
              </w:rPr>
              <w:t>产品性能:</w:t>
            </w:r>
            <w:r>
              <w:rPr>
                <w:rFonts w:hint="eastAsia"/>
              </w:rPr>
              <w:br w:type="textWrapping"/>
            </w:r>
            <w:r>
              <w:rPr>
                <w:rStyle w:val="11"/>
                <w:rFonts w:hint="eastAsia"/>
              </w:rPr>
              <w:t>本品是一种芳氧基苯氧基丙酸类与酰胺类除草混剂。通过茎叶吸收，传导至生长点，达到杀草效果。可防治直播水稻田一年生禾本科杂草，稗草效果最好。</w:t>
            </w:r>
          </w:p>
        </w:tc>
      </w:tr>
      <w:tr w14:paraId="78F15F2E">
        <w:tblPrEx>
          <w:tblCellMar>
            <w:top w:w="0" w:type="dxa"/>
            <w:left w:w="0" w:type="dxa"/>
            <w:bottom w:w="0" w:type="dxa"/>
            <w:right w:w="0" w:type="dxa"/>
          </w:tblCellMar>
        </w:tblPrEx>
        <w:trPr>
          <w:wBefore w:w="0" w:type="auto"/>
          <w:tblCellSpacing w:w="0" w:type="dxa"/>
        </w:trPr>
        <w:tc>
          <w:tcPr>
            <w:tcW w:w="0" w:type="auto"/>
            <w:noWrap w:val="0"/>
            <w:vAlign w:val="center"/>
          </w:tcPr>
          <w:p w14:paraId="599A5625">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鱼或虾蟹套养稻田禁用、施药后的田水不得直接排入水体。3.鸟类保护区附近禁用。4.废弃物应妥善处理，不可做他用，也不可随意丢弃。5.避免孕妇及哺乳期的妇女接触本品。6.对眼睛有刺激性，使用时要注意避免药液与眼睛接触。</w:t>
            </w:r>
          </w:p>
        </w:tc>
      </w:tr>
      <w:tr w14:paraId="6F861825">
        <w:tblPrEx>
          <w:tblCellMar>
            <w:top w:w="0" w:type="dxa"/>
            <w:left w:w="0" w:type="dxa"/>
            <w:bottom w:w="0" w:type="dxa"/>
            <w:right w:w="0" w:type="dxa"/>
          </w:tblCellMar>
        </w:tblPrEx>
        <w:trPr>
          <w:wBefore w:w="0" w:type="auto"/>
          <w:tblCellSpacing w:w="0" w:type="dxa"/>
        </w:trPr>
        <w:tc>
          <w:tcPr>
            <w:tcW w:w="0" w:type="auto"/>
            <w:noWrap w:val="0"/>
            <w:vAlign w:val="center"/>
          </w:tcPr>
          <w:p w14:paraId="4250DEF2">
            <w:r>
              <w:rPr>
                <w:rStyle w:val="10"/>
                <w:rFonts w:hint="eastAsia"/>
              </w:rPr>
              <w:t>中毒急救措施：</w:t>
            </w:r>
            <w:r>
              <w:rPr>
                <w:rFonts w:hint="eastAsia"/>
              </w:rPr>
              <w:br w:type="textWrapping"/>
            </w:r>
            <w:r>
              <w:rPr>
                <w:rStyle w:val="11"/>
                <w:rFonts w:hint="eastAsia"/>
              </w:rPr>
              <w:t>急救措施：1.皮肤接触：立即脱掉污染的衣物，用肥皂和大量清水彻底清洗污染的皮肤。 2.眼睛接触：立即分开眼睑，用清水冲洗眼至少15分钟，再请医生诊治。 3.吸入：立即将患者转移到空气新鲜处，再请医生诊治。4.误服：立即携带标签，送医院就诊，对症治疗。 5.本品无特效解毒剂，应对症治疗。</w:t>
            </w:r>
          </w:p>
        </w:tc>
      </w:tr>
      <w:tr w14:paraId="05719341">
        <w:tblPrEx>
          <w:tblCellMar>
            <w:top w:w="0" w:type="dxa"/>
            <w:left w:w="0" w:type="dxa"/>
            <w:bottom w:w="0" w:type="dxa"/>
            <w:right w:w="0" w:type="dxa"/>
          </w:tblCellMar>
        </w:tblPrEx>
        <w:trPr>
          <w:wBefore w:w="0" w:type="auto"/>
          <w:tblCellSpacing w:w="0" w:type="dxa"/>
        </w:trPr>
        <w:tc>
          <w:tcPr>
            <w:tcW w:w="0" w:type="auto"/>
            <w:noWrap w:val="0"/>
            <w:vAlign w:val="center"/>
          </w:tcPr>
          <w:p w14:paraId="3288398A">
            <w:r>
              <w:rPr>
                <w:rStyle w:val="10"/>
                <w:rFonts w:hint="eastAsia"/>
              </w:rPr>
              <w:t>储存和运输方法：</w:t>
            </w:r>
            <w:r>
              <w:rPr>
                <w:rFonts w:hint="eastAsia"/>
              </w:rPr>
              <w:br w:type="textWrapping"/>
            </w:r>
            <w:r>
              <w:rPr>
                <w:rStyle w:val="11"/>
                <w:rFonts w:hint="eastAsia"/>
              </w:rPr>
              <w:t>1.本品应密封贮存在干燥、阴凉、通风、防雨处，远离火源或热源。 2.置于儿童触及不到之处，并加锁。 3.勿与食品、饮料、粮食、饲料等同贮同运。</w:t>
            </w:r>
          </w:p>
        </w:tc>
      </w:tr>
      <w:tr w14:paraId="62B4A1E8">
        <w:tblPrEx>
          <w:tblCellMar>
            <w:top w:w="0" w:type="dxa"/>
            <w:left w:w="0" w:type="dxa"/>
            <w:bottom w:w="0" w:type="dxa"/>
            <w:right w:w="0" w:type="dxa"/>
          </w:tblCellMar>
        </w:tblPrEx>
        <w:trPr>
          <w:wBefore w:w="0" w:type="auto"/>
          <w:tblCellSpacing w:w="0" w:type="dxa"/>
        </w:trPr>
        <w:tc>
          <w:tcPr>
            <w:tcW w:w="0" w:type="auto"/>
            <w:noWrap w:val="0"/>
            <w:vAlign w:val="center"/>
          </w:tcPr>
          <w:p w14:paraId="53447987">
            <w:r>
              <w:rPr>
                <w:rStyle w:val="10"/>
                <w:rFonts w:hint="eastAsia"/>
              </w:rPr>
              <w:t>质量保证期：</w:t>
            </w:r>
            <w:r>
              <w:rPr>
                <w:rStyle w:val="11"/>
                <w:rFonts w:hint="eastAsia"/>
              </w:rPr>
              <w:t>2年</w:t>
            </w:r>
          </w:p>
        </w:tc>
      </w:tr>
      <w:tr w14:paraId="217405EB">
        <w:tblPrEx>
          <w:tblCellMar>
            <w:top w:w="0" w:type="dxa"/>
            <w:left w:w="0" w:type="dxa"/>
            <w:bottom w:w="0" w:type="dxa"/>
            <w:right w:w="0" w:type="dxa"/>
          </w:tblCellMar>
        </w:tblPrEx>
        <w:trPr>
          <w:wBefore w:w="0" w:type="auto"/>
          <w:tblCellSpacing w:w="0" w:type="dxa"/>
        </w:trPr>
        <w:tc>
          <w:tcPr>
            <w:tcW w:w="0" w:type="auto"/>
            <w:noWrap w:val="0"/>
            <w:vAlign w:val="center"/>
          </w:tcPr>
          <w:p w14:paraId="4740CD52">
            <w:r>
              <w:rPr>
                <w:rStyle w:val="10"/>
                <w:rFonts w:hint="eastAsia"/>
              </w:rPr>
              <w:t>备注：</w:t>
            </w:r>
          </w:p>
        </w:tc>
      </w:tr>
    </w:tbl>
    <w:p w14:paraId="397BFBE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D711FE">
        <w:tblPrEx>
          <w:tblCellMar>
            <w:top w:w="0" w:type="dxa"/>
            <w:left w:w="0" w:type="dxa"/>
            <w:bottom w:w="0" w:type="dxa"/>
            <w:right w:w="0" w:type="dxa"/>
          </w:tblCellMar>
        </w:tblPrEx>
        <w:trPr>
          <w:wBefore w:w="0" w:type="auto"/>
          <w:tblCellSpacing w:w="0" w:type="dxa"/>
        </w:trPr>
        <w:tc>
          <w:tcPr>
            <w:tcW w:w="0" w:type="auto"/>
            <w:noWrap w:val="0"/>
            <w:vAlign w:val="center"/>
          </w:tcPr>
          <w:p w14:paraId="6B6B2DD1">
            <w:r>
              <w:rPr>
                <w:rStyle w:val="10"/>
                <w:rFonts w:hint="eastAsia"/>
              </w:rPr>
              <w:t>登记证号：</w:t>
            </w:r>
            <w:r>
              <w:rPr>
                <w:rFonts w:hint="eastAsia"/>
              </w:rPr>
              <w:t>PD20212625</w:t>
            </w:r>
          </w:p>
        </w:tc>
      </w:tr>
      <w:tr w14:paraId="7B5DFBC9">
        <w:tblPrEx>
          <w:tblCellMar>
            <w:top w:w="0" w:type="dxa"/>
            <w:left w:w="0" w:type="dxa"/>
            <w:bottom w:w="0" w:type="dxa"/>
            <w:right w:w="0" w:type="dxa"/>
          </w:tblCellMar>
        </w:tblPrEx>
        <w:trPr>
          <w:wBefore w:w="0" w:type="auto"/>
          <w:tblCellSpacing w:w="0" w:type="dxa"/>
        </w:trPr>
        <w:tc>
          <w:tcPr>
            <w:tcW w:w="0" w:type="auto"/>
            <w:noWrap w:val="0"/>
            <w:vAlign w:val="center"/>
          </w:tcPr>
          <w:p w14:paraId="30C4432B">
            <w:r>
              <w:rPr>
                <w:rStyle w:val="10"/>
                <w:rFonts w:hint="eastAsia"/>
              </w:rPr>
              <w:t>登记证持有人：</w:t>
            </w:r>
            <w:r>
              <w:rPr>
                <w:rFonts w:hint="eastAsia"/>
              </w:rPr>
              <w:t>山东亿星生物科技有限公司</w:t>
            </w:r>
          </w:p>
        </w:tc>
      </w:tr>
      <w:tr w14:paraId="6CB90FB9">
        <w:tblPrEx>
          <w:tblCellMar>
            <w:top w:w="0" w:type="dxa"/>
            <w:left w:w="0" w:type="dxa"/>
            <w:bottom w:w="0" w:type="dxa"/>
            <w:right w:w="0" w:type="dxa"/>
          </w:tblCellMar>
        </w:tblPrEx>
        <w:trPr>
          <w:wBefore w:w="0" w:type="auto"/>
          <w:tblCellSpacing w:w="0" w:type="dxa"/>
        </w:trPr>
        <w:tc>
          <w:tcPr>
            <w:tcW w:w="0" w:type="auto"/>
            <w:noWrap w:val="0"/>
            <w:vAlign w:val="center"/>
          </w:tcPr>
          <w:p w14:paraId="1D0E925F">
            <w:r>
              <w:rPr>
                <w:rStyle w:val="10"/>
                <w:rFonts w:hint="eastAsia"/>
              </w:rPr>
              <w:t>农药名称：</w:t>
            </w:r>
            <w:r>
              <w:rPr>
                <w:rFonts w:hint="eastAsia"/>
              </w:rPr>
              <w:t>2甲4氯钠</w:t>
            </w:r>
          </w:p>
        </w:tc>
      </w:tr>
      <w:tr w14:paraId="2F2AEDB2">
        <w:tblPrEx>
          <w:tblCellMar>
            <w:top w:w="0" w:type="dxa"/>
            <w:left w:w="0" w:type="dxa"/>
            <w:bottom w:w="0" w:type="dxa"/>
            <w:right w:w="0" w:type="dxa"/>
          </w:tblCellMar>
        </w:tblPrEx>
        <w:trPr>
          <w:wBefore w:w="0" w:type="auto"/>
          <w:tblCellSpacing w:w="0" w:type="dxa"/>
        </w:trPr>
        <w:tc>
          <w:tcPr>
            <w:tcW w:w="0" w:type="auto"/>
            <w:noWrap w:val="0"/>
            <w:vAlign w:val="center"/>
          </w:tcPr>
          <w:p w14:paraId="3CA4EBD4">
            <w:r>
              <w:rPr>
                <w:rStyle w:val="10"/>
                <w:rFonts w:hint="eastAsia"/>
              </w:rPr>
              <w:t>剂型：</w:t>
            </w:r>
            <w:r>
              <w:rPr>
                <w:rFonts w:hint="eastAsia"/>
              </w:rPr>
              <w:t>可溶粉剂</w:t>
            </w:r>
          </w:p>
        </w:tc>
      </w:tr>
      <w:tr w14:paraId="59F673C9">
        <w:tblPrEx>
          <w:tblCellMar>
            <w:top w:w="0" w:type="dxa"/>
            <w:left w:w="0" w:type="dxa"/>
            <w:bottom w:w="0" w:type="dxa"/>
            <w:right w:w="0" w:type="dxa"/>
          </w:tblCellMar>
        </w:tblPrEx>
        <w:trPr>
          <w:wBefore w:w="0" w:type="auto"/>
          <w:tblCellSpacing w:w="0" w:type="dxa"/>
        </w:trPr>
        <w:tc>
          <w:tcPr>
            <w:tcW w:w="0" w:type="auto"/>
            <w:noWrap w:val="0"/>
            <w:vAlign w:val="center"/>
          </w:tcPr>
          <w:p w14:paraId="16A251C3">
            <w:r>
              <w:rPr>
                <w:rStyle w:val="10"/>
                <w:rFonts w:hint="eastAsia"/>
              </w:rPr>
              <w:t>毒性及其标识：</w:t>
            </w:r>
            <w:r>
              <w:rPr>
                <w:rFonts w:hint="eastAsia"/>
              </w:rPr>
              <w:t xml:space="preserve"> </w:t>
            </w:r>
            <w:r>
              <w:rPr>
                <w:lang/>
              </w:rPr>
              <w:drawing>
                <wp:inline distT="0" distB="0" distL="114300" distR="114300">
                  <wp:extent cx="476250" cy="323850"/>
                  <wp:effectExtent l="0" t="0" r="0" b="0"/>
                  <wp:docPr id="303" name="图片 3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5119A3">
        <w:tblPrEx>
          <w:tblCellMar>
            <w:top w:w="0" w:type="dxa"/>
            <w:left w:w="0" w:type="dxa"/>
            <w:bottom w:w="0" w:type="dxa"/>
            <w:right w:w="0" w:type="dxa"/>
          </w:tblCellMar>
        </w:tblPrEx>
        <w:trPr>
          <w:wBefore w:w="0" w:type="auto"/>
          <w:tblCellSpacing w:w="0" w:type="dxa"/>
        </w:trPr>
        <w:tc>
          <w:tcPr>
            <w:tcW w:w="0" w:type="auto"/>
            <w:noWrap w:val="0"/>
            <w:vAlign w:val="center"/>
          </w:tcPr>
          <w:p w14:paraId="422AD607">
            <w:r>
              <w:rPr>
                <w:rStyle w:val="10"/>
                <w:rFonts w:hint="eastAsia"/>
              </w:rPr>
              <w:t>总有效成分含量：</w:t>
            </w:r>
            <w:r>
              <w:rPr>
                <w:rFonts w:hint="eastAsia"/>
              </w:rPr>
              <w:t>50.5%</w:t>
            </w:r>
          </w:p>
        </w:tc>
      </w:tr>
      <w:tr w14:paraId="08ADE27A">
        <w:tblPrEx>
          <w:tblCellMar>
            <w:top w:w="0" w:type="dxa"/>
            <w:left w:w="0" w:type="dxa"/>
            <w:bottom w:w="0" w:type="dxa"/>
            <w:right w:w="0" w:type="dxa"/>
          </w:tblCellMar>
        </w:tblPrEx>
        <w:trPr>
          <w:wBefore w:w="0" w:type="auto"/>
          <w:tblCellSpacing w:w="0" w:type="dxa"/>
        </w:trPr>
        <w:tc>
          <w:tcPr>
            <w:tcW w:w="0" w:type="auto"/>
            <w:noWrap w:val="0"/>
            <w:vAlign w:val="center"/>
          </w:tcPr>
          <w:p w14:paraId="5730C002">
            <w:r>
              <w:rPr>
                <w:rFonts w:hint="eastAsia"/>
              </w:rPr>
              <w:t xml:space="preserve">有效成分及其含量： </w:t>
            </w:r>
          </w:p>
          <w:p w14:paraId="2188E06C">
            <w:r>
              <w:rPr>
                <w:rFonts w:hint="eastAsia"/>
              </w:rPr>
              <w:t xml:space="preserve">    2甲4氯50.5%    </w:t>
            </w:r>
          </w:p>
        </w:tc>
      </w:tr>
      <w:tr w14:paraId="5920996E">
        <w:tblPrEx>
          <w:tblCellMar>
            <w:top w:w="0" w:type="dxa"/>
            <w:left w:w="0" w:type="dxa"/>
            <w:bottom w:w="0" w:type="dxa"/>
            <w:right w:w="0" w:type="dxa"/>
          </w:tblCellMar>
        </w:tblPrEx>
        <w:trPr>
          <w:wBefore w:w="0" w:type="auto"/>
          <w:tblCellSpacing w:w="0" w:type="dxa"/>
        </w:trPr>
        <w:tc>
          <w:tcPr>
            <w:tcW w:w="0" w:type="auto"/>
            <w:noWrap w:val="0"/>
            <w:vAlign w:val="center"/>
          </w:tcPr>
          <w:p w14:paraId="547152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43377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93A06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A48C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CBC4E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CA6B83">
                  <w:r>
                    <w:rPr>
                      <w:rStyle w:val="11"/>
                      <w:rFonts w:hint="eastAsia"/>
                    </w:rPr>
                    <w:t>施用方式</w:t>
                  </w:r>
                </w:p>
              </w:tc>
            </w:tr>
            <w:tr w14:paraId="35A63D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06444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8EC863">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6CB550">
                  <w:r>
                    <w:rPr>
                      <w:rStyle w:val="11"/>
                      <w:rFonts w:hint="eastAsia"/>
                    </w:rPr>
                    <w:t>115-150克/亩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3F1A60">
                  <w:r>
                    <w:rPr>
                      <w:rStyle w:val="11"/>
                      <w:rFonts w:hint="eastAsia"/>
                    </w:rPr>
                    <w:t>茎叶喷雾</w:t>
                  </w:r>
                </w:p>
              </w:tc>
            </w:tr>
          </w:tbl>
          <w:p w14:paraId="19CAEB51">
            <w:pPr>
              <w:rPr>
                <w:rFonts w:ascii="Times New Roman" w:hAnsi="Times New Roman" w:cs="Times New Roman"/>
                <w:sz w:val="20"/>
                <w:szCs w:val="20"/>
              </w:rPr>
            </w:pPr>
          </w:p>
        </w:tc>
      </w:tr>
      <w:tr w14:paraId="50FBDCCA">
        <w:tblPrEx>
          <w:tblCellMar>
            <w:top w:w="0" w:type="dxa"/>
            <w:left w:w="0" w:type="dxa"/>
            <w:bottom w:w="0" w:type="dxa"/>
            <w:right w:w="0" w:type="dxa"/>
          </w:tblCellMar>
        </w:tblPrEx>
        <w:trPr>
          <w:wBefore w:w="0" w:type="auto"/>
          <w:tblCellSpacing w:w="0" w:type="dxa"/>
        </w:trPr>
        <w:tc>
          <w:tcPr>
            <w:tcW w:w="0" w:type="auto"/>
            <w:noWrap w:val="0"/>
            <w:vAlign w:val="center"/>
          </w:tcPr>
          <w:p w14:paraId="3FB2BC91">
            <w:r>
              <w:rPr>
                <w:rStyle w:val="10"/>
                <w:rFonts w:hint="eastAsia"/>
              </w:rPr>
              <w:t>使用技术要求:</w:t>
            </w:r>
            <w:r>
              <w:rPr>
                <w:rFonts w:hint="eastAsia"/>
              </w:rPr>
              <w:br w:type="textWrapping"/>
            </w:r>
            <w:r>
              <w:rPr>
                <w:rStyle w:val="11"/>
                <w:rFonts w:hint="eastAsia"/>
              </w:rPr>
              <w:t>1、本产品适用于小麦3叶期至拔节前，田间一年生阔叶杂草2-5叶期，每亩兑水30kg，进行茎叶喷雾处理。2. 施药选在晴天用药，喷药12小时内下雨应重喷。3、本品每季只用1次。</w:t>
            </w:r>
          </w:p>
        </w:tc>
      </w:tr>
      <w:tr w14:paraId="3A5FC73B">
        <w:tblPrEx>
          <w:tblCellMar>
            <w:top w:w="0" w:type="dxa"/>
            <w:left w:w="0" w:type="dxa"/>
            <w:bottom w:w="0" w:type="dxa"/>
            <w:right w:w="0" w:type="dxa"/>
          </w:tblCellMar>
        </w:tblPrEx>
        <w:trPr>
          <w:wBefore w:w="0" w:type="auto"/>
          <w:tblCellSpacing w:w="0" w:type="dxa"/>
        </w:trPr>
        <w:tc>
          <w:tcPr>
            <w:tcW w:w="0" w:type="auto"/>
            <w:noWrap w:val="0"/>
            <w:vAlign w:val="center"/>
          </w:tcPr>
          <w:p w14:paraId="08794903">
            <w:r>
              <w:rPr>
                <w:rStyle w:val="10"/>
                <w:rFonts w:hint="eastAsia"/>
              </w:rPr>
              <w:t>产品性能:</w:t>
            </w:r>
            <w:r>
              <w:rPr>
                <w:rFonts w:hint="eastAsia"/>
              </w:rPr>
              <w:br w:type="textWrapping"/>
            </w:r>
            <w:r>
              <w:rPr>
                <w:rStyle w:val="11"/>
                <w:rFonts w:hint="eastAsia"/>
              </w:rPr>
              <w:t>本品属苯氧乙酸类选择性激素类除草剂，具有较强的内吸传导性。主要用于苗后茎叶处理，穿过角质层和细胞膜，最后传导到各部分。在不同部位对核酸和蛋白质的合成产生不同影响，在植物顶端抑制核酸代谢和蛋白质的合成，使生长点停止生长。用于防除小麦田多种阔叶杂草。</w:t>
            </w:r>
          </w:p>
        </w:tc>
      </w:tr>
      <w:tr w14:paraId="75D057E8">
        <w:tblPrEx>
          <w:tblCellMar>
            <w:top w:w="0" w:type="dxa"/>
            <w:left w:w="0" w:type="dxa"/>
            <w:bottom w:w="0" w:type="dxa"/>
            <w:right w:w="0" w:type="dxa"/>
          </w:tblCellMar>
        </w:tblPrEx>
        <w:trPr>
          <w:wBefore w:w="0" w:type="auto"/>
          <w:tblCellSpacing w:w="0" w:type="dxa"/>
        </w:trPr>
        <w:tc>
          <w:tcPr>
            <w:tcW w:w="0" w:type="auto"/>
            <w:noWrap w:val="0"/>
            <w:vAlign w:val="center"/>
          </w:tcPr>
          <w:p w14:paraId="0A8DA7EE">
            <w:r>
              <w:rPr>
                <w:rStyle w:val="10"/>
                <w:rFonts w:hint="eastAsia"/>
              </w:rPr>
              <w:t>注意事项：</w:t>
            </w:r>
            <w:r>
              <w:rPr>
                <w:rFonts w:hint="eastAsia"/>
              </w:rPr>
              <w:br w:type="textWrapping"/>
            </w:r>
            <w:r>
              <w:rPr>
                <w:rStyle w:val="11"/>
                <w:rFonts w:hint="eastAsia"/>
              </w:rPr>
              <w:t>1. 对没有使用经验的地区和作物，应先小区试验，并在植保部门指导下使用。2. 对棉花、油菜、豆类、蔬菜等阔叶作物较敏感，喷药时应避免药液漂移到上述作物田，在间、套作有阔叶作物的小麦田，禁用本品。3. 该药与喷雾机接触部分的结合力很强，最好喷雾机专用，否则需彻底清洗干净，清洗器具的废水不能排入河流、池塘等；废弃物要妥善处理，不能随意丢弃，也不能做他用。4. 本品对眼睛有刺激性，使用时避免接触眼睛，穿戴长衣、长裤、帽子、口罩、手套等防护措施，此时不能吸烟、饮水等；施药后，洗干净手脸等。5. 避免孕妇及哺乳期的妇女接触本品。6. 禁止在河塘等水域清洗施药器具，赤眼蜂等天敌放飞区禁用。7. 本品对蜜蜂、鱼类等水生生物、家蚕有毒，施药期间应避免对周围蜂群的影响，禁止在开花植物花期、蚕室和桑园附近使用，不可使用最外围桑树上的桑叶饲喂家蚕。8. 赤眼蜂等天敌放飞区域禁用。地下水、饮用水水源地禁用。9. 远离水产养殖区、河塘等水域施药。</w:t>
            </w:r>
          </w:p>
        </w:tc>
      </w:tr>
      <w:tr w14:paraId="13918EE6">
        <w:tblPrEx>
          <w:tblCellMar>
            <w:top w:w="0" w:type="dxa"/>
            <w:left w:w="0" w:type="dxa"/>
            <w:bottom w:w="0" w:type="dxa"/>
            <w:right w:w="0" w:type="dxa"/>
          </w:tblCellMar>
        </w:tblPrEx>
        <w:trPr>
          <w:wBefore w:w="0" w:type="auto"/>
          <w:tblCellSpacing w:w="0" w:type="dxa"/>
        </w:trPr>
        <w:tc>
          <w:tcPr>
            <w:tcW w:w="0" w:type="auto"/>
            <w:noWrap w:val="0"/>
            <w:vAlign w:val="center"/>
          </w:tcPr>
          <w:p w14:paraId="2EAB2951">
            <w:r>
              <w:rPr>
                <w:rStyle w:val="10"/>
                <w:rFonts w:hint="eastAsia"/>
              </w:rPr>
              <w:t>中毒急救措施：</w:t>
            </w:r>
            <w:r>
              <w:rPr>
                <w:rFonts w:hint="eastAsia"/>
              </w:rPr>
              <w:br w:type="textWrapping"/>
            </w:r>
            <w:r>
              <w:rPr>
                <w:rStyle w:val="11"/>
                <w:rFonts w:hint="eastAsia"/>
              </w:rPr>
              <w:t>中毒症状：呕吐、恶心、步态不稳、肌肉纤维颤动、反射降低、瞳孔缩小、抽搐、昏迷、休克等。皮肤接触时，要用大量清水冲洗干净；溅入眼睛中，立即用大量清水清洗至少15分钟，仍有不适时，就医。如有误服，立即携带此标签送医院。催吐，对症治疗，注意保护脑和肝脏。无特效解毒剂。</w:t>
            </w:r>
          </w:p>
        </w:tc>
      </w:tr>
      <w:tr w14:paraId="2B5897E6">
        <w:tblPrEx>
          <w:tblCellMar>
            <w:top w:w="0" w:type="dxa"/>
            <w:left w:w="0" w:type="dxa"/>
            <w:bottom w:w="0" w:type="dxa"/>
            <w:right w:w="0" w:type="dxa"/>
          </w:tblCellMar>
        </w:tblPrEx>
        <w:trPr>
          <w:wBefore w:w="0" w:type="auto"/>
          <w:tblCellSpacing w:w="0" w:type="dxa"/>
        </w:trPr>
        <w:tc>
          <w:tcPr>
            <w:tcW w:w="0" w:type="auto"/>
            <w:noWrap w:val="0"/>
            <w:vAlign w:val="center"/>
          </w:tcPr>
          <w:p w14:paraId="4AF0363C">
            <w:r>
              <w:rPr>
                <w:rStyle w:val="10"/>
                <w:rFonts w:hint="eastAsia"/>
              </w:rPr>
              <w:t>储存和运输方法：</w:t>
            </w:r>
            <w:r>
              <w:rPr>
                <w:rFonts w:hint="eastAsia"/>
              </w:rPr>
              <w:br w:type="textWrapping"/>
            </w:r>
            <w:r>
              <w:rPr>
                <w:rStyle w:val="11"/>
                <w:rFonts w:hint="eastAsia"/>
              </w:rPr>
              <w:t>1. 本品应贮存在干燥、阴凉、通风、防雨处，远离火源或热源。2. 置于儿童及无关人员触及不到之处，并加锁。3. 勿与食品、饮料、粮食、饲料等物品同贮同运。</w:t>
            </w:r>
          </w:p>
        </w:tc>
      </w:tr>
      <w:tr w14:paraId="0A1BDACB">
        <w:tblPrEx>
          <w:tblCellMar>
            <w:top w:w="0" w:type="dxa"/>
            <w:left w:w="0" w:type="dxa"/>
            <w:bottom w:w="0" w:type="dxa"/>
            <w:right w:w="0" w:type="dxa"/>
          </w:tblCellMar>
        </w:tblPrEx>
        <w:trPr>
          <w:wBefore w:w="0" w:type="auto"/>
          <w:tblCellSpacing w:w="0" w:type="dxa"/>
        </w:trPr>
        <w:tc>
          <w:tcPr>
            <w:tcW w:w="0" w:type="auto"/>
            <w:noWrap w:val="0"/>
            <w:vAlign w:val="center"/>
          </w:tcPr>
          <w:p w14:paraId="6DB50BAA">
            <w:r>
              <w:rPr>
                <w:rStyle w:val="10"/>
                <w:rFonts w:hint="eastAsia"/>
              </w:rPr>
              <w:t>质量保证期：</w:t>
            </w:r>
            <w:r>
              <w:rPr>
                <w:rStyle w:val="11"/>
                <w:rFonts w:hint="eastAsia"/>
              </w:rPr>
              <w:t>2年</w:t>
            </w:r>
          </w:p>
        </w:tc>
      </w:tr>
      <w:tr w14:paraId="37516335">
        <w:tblPrEx>
          <w:tblCellMar>
            <w:top w:w="0" w:type="dxa"/>
            <w:left w:w="0" w:type="dxa"/>
            <w:bottom w:w="0" w:type="dxa"/>
            <w:right w:w="0" w:type="dxa"/>
          </w:tblCellMar>
        </w:tblPrEx>
        <w:trPr>
          <w:wBefore w:w="0" w:type="auto"/>
          <w:tblCellSpacing w:w="0" w:type="dxa"/>
        </w:trPr>
        <w:tc>
          <w:tcPr>
            <w:tcW w:w="0" w:type="auto"/>
            <w:noWrap w:val="0"/>
            <w:vAlign w:val="center"/>
          </w:tcPr>
          <w:p w14:paraId="7B9FACA8">
            <w:r>
              <w:rPr>
                <w:rStyle w:val="10"/>
                <w:rFonts w:hint="eastAsia"/>
              </w:rPr>
              <w:t>备注：</w:t>
            </w:r>
            <w:r>
              <w:rPr>
                <w:rFonts w:hint="eastAsia"/>
              </w:rPr>
              <w:br w:type="textWrapping"/>
            </w:r>
            <w:r>
              <w:rPr>
                <w:rStyle w:val="11"/>
                <w:rFonts w:hint="eastAsia"/>
              </w:rPr>
              <w:t>2甲4氯钠56%。</w:t>
            </w:r>
          </w:p>
        </w:tc>
      </w:tr>
    </w:tbl>
    <w:p w14:paraId="227C544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7CB843">
        <w:tblPrEx>
          <w:tblCellMar>
            <w:top w:w="0" w:type="dxa"/>
            <w:left w:w="0" w:type="dxa"/>
            <w:bottom w:w="0" w:type="dxa"/>
            <w:right w:w="0" w:type="dxa"/>
          </w:tblCellMar>
        </w:tblPrEx>
        <w:trPr>
          <w:wBefore w:w="0" w:type="auto"/>
          <w:tblCellSpacing w:w="0" w:type="dxa"/>
        </w:trPr>
        <w:tc>
          <w:tcPr>
            <w:tcW w:w="0" w:type="auto"/>
            <w:noWrap w:val="0"/>
            <w:vAlign w:val="center"/>
          </w:tcPr>
          <w:p w14:paraId="25FACFB4">
            <w:r>
              <w:rPr>
                <w:rStyle w:val="10"/>
                <w:rFonts w:hint="eastAsia"/>
              </w:rPr>
              <w:t>登记证号：</w:t>
            </w:r>
            <w:r>
              <w:rPr>
                <w:rFonts w:hint="eastAsia"/>
              </w:rPr>
              <w:t>PD20212628</w:t>
            </w:r>
          </w:p>
        </w:tc>
      </w:tr>
      <w:tr w14:paraId="233562BE">
        <w:tblPrEx>
          <w:tblCellMar>
            <w:top w:w="0" w:type="dxa"/>
            <w:left w:w="0" w:type="dxa"/>
            <w:bottom w:w="0" w:type="dxa"/>
            <w:right w:w="0" w:type="dxa"/>
          </w:tblCellMar>
        </w:tblPrEx>
        <w:trPr>
          <w:wBefore w:w="0" w:type="auto"/>
          <w:tblCellSpacing w:w="0" w:type="dxa"/>
        </w:trPr>
        <w:tc>
          <w:tcPr>
            <w:tcW w:w="0" w:type="auto"/>
            <w:noWrap w:val="0"/>
            <w:vAlign w:val="center"/>
          </w:tcPr>
          <w:p w14:paraId="212F27F9">
            <w:r>
              <w:rPr>
                <w:rStyle w:val="10"/>
                <w:rFonts w:hint="eastAsia"/>
              </w:rPr>
              <w:t>登记证持有人：</w:t>
            </w:r>
            <w:r>
              <w:rPr>
                <w:rFonts w:hint="eastAsia"/>
              </w:rPr>
              <w:t>山东润扬化学有限公司</w:t>
            </w:r>
          </w:p>
        </w:tc>
      </w:tr>
      <w:tr w14:paraId="503D8682">
        <w:tblPrEx>
          <w:tblCellMar>
            <w:top w:w="0" w:type="dxa"/>
            <w:left w:w="0" w:type="dxa"/>
            <w:bottom w:w="0" w:type="dxa"/>
            <w:right w:w="0" w:type="dxa"/>
          </w:tblCellMar>
        </w:tblPrEx>
        <w:trPr>
          <w:wBefore w:w="0" w:type="auto"/>
          <w:tblCellSpacing w:w="0" w:type="dxa"/>
        </w:trPr>
        <w:tc>
          <w:tcPr>
            <w:tcW w:w="0" w:type="auto"/>
            <w:noWrap w:val="0"/>
            <w:vAlign w:val="center"/>
          </w:tcPr>
          <w:p w14:paraId="0FBAC6E5">
            <w:r>
              <w:rPr>
                <w:rStyle w:val="10"/>
                <w:rFonts w:hint="eastAsia"/>
              </w:rPr>
              <w:t>农药名称：</w:t>
            </w:r>
            <w:r>
              <w:rPr>
                <w:rFonts w:hint="eastAsia"/>
              </w:rPr>
              <w:t>甲基二磺隆</w:t>
            </w:r>
          </w:p>
        </w:tc>
      </w:tr>
      <w:tr w14:paraId="0AD8E304">
        <w:tblPrEx>
          <w:tblCellMar>
            <w:top w:w="0" w:type="dxa"/>
            <w:left w:w="0" w:type="dxa"/>
            <w:bottom w:w="0" w:type="dxa"/>
            <w:right w:w="0" w:type="dxa"/>
          </w:tblCellMar>
        </w:tblPrEx>
        <w:trPr>
          <w:wBefore w:w="0" w:type="auto"/>
          <w:tblCellSpacing w:w="0" w:type="dxa"/>
        </w:trPr>
        <w:tc>
          <w:tcPr>
            <w:tcW w:w="0" w:type="auto"/>
            <w:noWrap w:val="0"/>
            <w:vAlign w:val="center"/>
          </w:tcPr>
          <w:p w14:paraId="1BF409A1">
            <w:r>
              <w:rPr>
                <w:rStyle w:val="10"/>
                <w:rFonts w:hint="eastAsia"/>
              </w:rPr>
              <w:t>剂型：</w:t>
            </w:r>
            <w:r>
              <w:rPr>
                <w:rFonts w:hint="eastAsia"/>
              </w:rPr>
              <w:t>可分散油悬浮剂</w:t>
            </w:r>
          </w:p>
        </w:tc>
      </w:tr>
      <w:tr w14:paraId="1DFAD0D0">
        <w:tblPrEx>
          <w:tblCellMar>
            <w:top w:w="0" w:type="dxa"/>
            <w:left w:w="0" w:type="dxa"/>
            <w:bottom w:w="0" w:type="dxa"/>
            <w:right w:w="0" w:type="dxa"/>
          </w:tblCellMar>
        </w:tblPrEx>
        <w:trPr>
          <w:wBefore w:w="0" w:type="auto"/>
          <w:tblCellSpacing w:w="0" w:type="dxa"/>
        </w:trPr>
        <w:tc>
          <w:tcPr>
            <w:tcW w:w="0" w:type="auto"/>
            <w:noWrap w:val="0"/>
            <w:vAlign w:val="center"/>
          </w:tcPr>
          <w:p w14:paraId="0C629B94">
            <w:r>
              <w:rPr>
                <w:rStyle w:val="10"/>
                <w:rFonts w:hint="eastAsia"/>
              </w:rPr>
              <w:t>毒性及其标识：</w:t>
            </w:r>
            <w:r>
              <w:rPr>
                <w:rFonts w:hint="eastAsia"/>
              </w:rPr>
              <w:t xml:space="preserve"> </w:t>
            </w:r>
            <w:r>
              <w:rPr>
                <w:lang/>
              </w:rPr>
              <w:drawing>
                <wp:inline distT="0" distB="0" distL="114300" distR="114300">
                  <wp:extent cx="476250" cy="323850"/>
                  <wp:effectExtent l="0" t="0" r="0" b="0"/>
                  <wp:docPr id="304" name="图片 3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321288">
        <w:tblPrEx>
          <w:tblCellMar>
            <w:top w:w="0" w:type="dxa"/>
            <w:left w:w="0" w:type="dxa"/>
            <w:bottom w:w="0" w:type="dxa"/>
            <w:right w:w="0" w:type="dxa"/>
          </w:tblCellMar>
        </w:tblPrEx>
        <w:trPr>
          <w:wBefore w:w="0" w:type="auto"/>
          <w:tblCellSpacing w:w="0" w:type="dxa"/>
        </w:trPr>
        <w:tc>
          <w:tcPr>
            <w:tcW w:w="0" w:type="auto"/>
            <w:noWrap w:val="0"/>
            <w:vAlign w:val="center"/>
          </w:tcPr>
          <w:p w14:paraId="47CF70D0">
            <w:r>
              <w:rPr>
                <w:rStyle w:val="10"/>
                <w:rFonts w:hint="eastAsia"/>
              </w:rPr>
              <w:t>总有效成分含量：</w:t>
            </w:r>
            <w:r>
              <w:rPr>
                <w:rFonts w:hint="eastAsia"/>
              </w:rPr>
              <w:t>30克/升</w:t>
            </w:r>
          </w:p>
        </w:tc>
      </w:tr>
      <w:tr w14:paraId="40651AE7">
        <w:tblPrEx>
          <w:tblCellMar>
            <w:top w:w="0" w:type="dxa"/>
            <w:left w:w="0" w:type="dxa"/>
            <w:bottom w:w="0" w:type="dxa"/>
            <w:right w:w="0" w:type="dxa"/>
          </w:tblCellMar>
        </w:tblPrEx>
        <w:trPr>
          <w:wBefore w:w="0" w:type="auto"/>
          <w:tblCellSpacing w:w="0" w:type="dxa"/>
        </w:trPr>
        <w:tc>
          <w:tcPr>
            <w:tcW w:w="0" w:type="auto"/>
            <w:noWrap w:val="0"/>
            <w:vAlign w:val="center"/>
          </w:tcPr>
          <w:p w14:paraId="21647D2D">
            <w:r>
              <w:rPr>
                <w:rFonts w:hint="eastAsia"/>
              </w:rPr>
              <w:t xml:space="preserve">有效成分及其含量： </w:t>
            </w:r>
          </w:p>
          <w:p w14:paraId="7B27D6CD">
            <w:r>
              <w:rPr>
                <w:rFonts w:hint="eastAsia"/>
              </w:rPr>
              <w:t xml:space="preserve">    甲基二磺隆30克/升    </w:t>
            </w:r>
          </w:p>
        </w:tc>
      </w:tr>
      <w:tr w14:paraId="0EF15EA7">
        <w:tblPrEx>
          <w:tblCellMar>
            <w:top w:w="0" w:type="dxa"/>
            <w:left w:w="0" w:type="dxa"/>
            <w:bottom w:w="0" w:type="dxa"/>
            <w:right w:w="0" w:type="dxa"/>
          </w:tblCellMar>
        </w:tblPrEx>
        <w:trPr>
          <w:wBefore w:w="0" w:type="auto"/>
          <w:tblCellSpacing w:w="0" w:type="dxa"/>
        </w:trPr>
        <w:tc>
          <w:tcPr>
            <w:tcW w:w="0" w:type="auto"/>
            <w:noWrap w:val="0"/>
            <w:vAlign w:val="center"/>
          </w:tcPr>
          <w:p w14:paraId="61D8F8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8F85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F89E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675A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097EF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7FA6AC">
                  <w:r>
                    <w:rPr>
                      <w:rStyle w:val="11"/>
                      <w:rFonts w:hint="eastAsia"/>
                    </w:rPr>
                    <w:t>施用方式</w:t>
                  </w:r>
                </w:p>
              </w:tc>
            </w:tr>
            <w:tr w14:paraId="5C4440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3CAE85">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989D4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4B3CC2">
                  <w:r>
                    <w:rPr>
                      <w:rStyle w:val="11"/>
                      <w:rFonts w:hint="eastAsia"/>
                    </w:rPr>
                    <w:t>20-35毫升/亩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7580E6">
                  <w:r>
                    <w:rPr>
                      <w:rStyle w:val="11"/>
                      <w:rFonts w:hint="eastAsia"/>
                    </w:rPr>
                    <w:t>茎叶喷雾</w:t>
                  </w:r>
                </w:p>
              </w:tc>
            </w:tr>
          </w:tbl>
          <w:p w14:paraId="4BAFEFC7">
            <w:pPr>
              <w:rPr>
                <w:rFonts w:ascii="Times New Roman" w:hAnsi="Times New Roman" w:cs="Times New Roman"/>
                <w:sz w:val="20"/>
                <w:szCs w:val="20"/>
              </w:rPr>
            </w:pPr>
          </w:p>
        </w:tc>
      </w:tr>
      <w:tr w14:paraId="775AA1A3">
        <w:tblPrEx>
          <w:tblCellMar>
            <w:top w:w="0" w:type="dxa"/>
            <w:left w:w="0" w:type="dxa"/>
            <w:bottom w:w="0" w:type="dxa"/>
            <w:right w:w="0" w:type="dxa"/>
          </w:tblCellMar>
        </w:tblPrEx>
        <w:trPr>
          <w:wBefore w:w="0" w:type="auto"/>
          <w:tblCellSpacing w:w="0" w:type="dxa"/>
        </w:trPr>
        <w:tc>
          <w:tcPr>
            <w:tcW w:w="0" w:type="auto"/>
            <w:noWrap w:val="0"/>
            <w:vAlign w:val="center"/>
          </w:tcPr>
          <w:p w14:paraId="0ADA27D0">
            <w:r>
              <w:rPr>
                <w:rStyle w:val="10"/>
                <w:rFonts w:hint="eastAsia"/>
              </w:rPr>
              <w:t>使用技术要求:</w:t>
            </w:r>
            <w:r>
              <w:rPr>
                <w:rFonts w:hint="eastAsia"/>
              </w:rPr>
              <w:br w:type="textWrapping"/>
            </w:r>
            <w:r>
              <w:rPr>
                <w:rStyle w:val="11"/>
                <w:rFonts w:hint="eastAsia"/>
              </w:rPr>
              <w:t>1. 于小麦3～6叶期至拔节前，杂草出齐苗（2～5叶期），茎叶喷雾。 2. 大风天或1小时内有降雨，请勿施药。3. 本品每季最多使用1次。</w:t>
            </w:r>
          </w:p>
        </w:tc>
      </w:tr>
      <w:tr w14:paraId="0E0E1324">
        <w:tblPrEx>
          <w:tblCellMar>
            <w:top w:w="0" w:type="dxa"/>
            <w:left w:w="0" w:type="dxa"/>
            <w:bottom w:w="0" w:type="dxa"/>
            <w:right w:w="0" w:type="dxa"/>
          </w:tblCellMar>
        </w:tblPrEx>
        <w:trPr>
          <w:wBefore w:w="0" w:type="auto"/>
          <w:tblCellSpacing w:w="0" w:type="dxa"/>
        </w:trPr>
        <w:tc>
          <w:tcPr>
            <w:tcW w:w="0" w:type="auto"/>
            <w:noWrap w:val="0"/>
            <w:vAlign w:val="center"/>
          </w:tcPr>
          <w:p w14:paraId="0BF50264">
            <w:r>
              <w:rPr>
                <w:rStyle w:val="10"/>
                <w:rFonts w:hint="eastAsia"/>
              </w:rPr>
              <w:t>产品性能:</w:t>
            </w:r>
            <w:r>
              <w:rPr>
                <w:rFonts w:hint="eastAsia"/>
              </w:rPr>
              <w:br w:type="textWrapping"/>
            </w:r>
            <w:r>
              <w:rPr>
                <w:rStyle w:val="11"/>
                <w:rFonts w:hint="eastAsia"/>
              </w:rPr>
              <w:t>本品为小麦田苗后防除禾本科杂草的内吸选择性茎叶除草剂，对节节麦有特殊的防除作用，同时对硬草、早熟禾、棒头草、看麦娘、菵草、多花黑麦草、野燕麦、蜡烛草等一年生禾本科杂草，以及牛繁缕、荠菜等麦田阔叶杂草也有较好控制效果；使用时期宽泛，正确剂量使用下对小麦及后茬作物安全。</w:t>
            </w:r>
          </w:p>
        </w:tc>
      </w:tr>
      <w:tr w14:paraId="4B781783">
        <w:tblPrEx>
          <w:tblCellMar>
            <w:top w:w="0" w:type="dxa"/>
            <w:left w:w="0" w:type="dxa"/>
            <w:bottom w:w="0" w:type="dxa"/>
            <w:right w:w="0" w:type="dxa"/>
          </w:tblCellMar>
        </w:tblPrEx>
        <w:trPr>
          <w:wBefore w:w="0" w:type="auto"/>
          <w:tblCellSpacing w:w="0" w:type="dxa"/>
        </w:trPr>
        <w:tc>
          <w:tcPr>
            <w:tcW w:w="0" w:type="auto"/>
            <w:noWrap w:val="0"/>
            <w:vAlign w:val="center"/>
          </w:tcPr>
          <w:p w14:paraId="471B292B">
            <w:r>
              <w:rPr>
                <w:rStyle w:val="10"/>
                <w:rFonts w:hint="eastAsia"/>
              </w:rPr>
              <w:t>注意事项：</w:t>
            </w:r>
            <w:r>
              <w:rPr>
                <w:rFonts w:hint="eastAsia"/>
              </w:rPr>
              <w:br w:type="textWrapping"/>
            </w:r>
            <w:r>
              <w:rPr>
                <w:rStyle w:val="11"/>
                <w:rFonts w:hint="eastAsia"/>
              </w:rPr>
              <w:t>1. 开启包装时注意用力不要过大，以免药液散溅。2. 本品对眼睛有刺激性，使用时避免接触眼睛，穿戴长衣、长裤、帽子、口罩、手套等防护措施。施药期间不可吃东西、饮水等；施药后应及时洗手和洗脸。3. 本品对其他双子叶作物敏感，最好喷雾机专用，否则需彻底清洗干净；使用本品前后7天不能使用有机磷农药。 4. 本品对鱼、藻类有毒，远离水产养殖区、河塘等水体施药，禁止在河塘等水体中清洗施药器具，赤眼蜂等天敌放飞区禁用。5. 避免孕妇及哺乳期妇女接触本品。 6. 用过的容器应妥善处理，不可做他用，也不可随意丢弃。7. 避免与氧化剂接触。</w:t>
            </w:r>
          </w:p>
        </w:tc>
      </w:tr>
      <w:tr w14:paraId="5DB22EAD">
        <w:tblPrEx>
          <w:tblCellMar>
            <w:top w:w="0" w:type="dxa"/>
            <w:left w:w="0" w:type="dxa"/>
            <w:bottom w:w="0" w:type="dxa"/>
            <w:right w:w="0" w:type="dxa"/>
          </w:tblCellMar>
        </w:tblPrEx>
        <w:trPr>
          <w:wBefore w:w="0" w:type="auto"/>
          <w:tblCellSpacing w:w="0" w:type="dxa"/>
        </w:trPr>
        <w:tc>
          <w:tcPr>
            <w:tcW w:w="0" w:type="auto"/>
            <w:noWrap w:val="0"/>
            <w:vAlign w:val="center"/>
          </w:tcPr>
          <w:p w14:paraId="1CBCA306">
            <w:r>
              <w:rPr>
                <w:rStyle w:val="10"/>
                <w:rFonts w:hint="eastAsia"/>
              </w:rPr>
              <w:t>中毒急救措施：</w:t>
            </w:r>
            <w:r>
              <w:rPr>
                <w:rFonts w:hint="eastAsia"/>
              </w:rPr>
              <w:br w:type="textWrapping"/>
            </w:r>
            <w:r>
              <w:rPr>
                <w:rStyle w:val="11"/>
                <w:rFonts w:hint="eastAsia"/>
              </w:rPr>
              <w:t>不慎接触皮肤或溅入眼睛，应用大量清水冲洗至少15分钟。若误服，立即携此标签将病人送医院对症治疗，无特殊解毒剂。</w:t>
            </w:r>
          </w:p>
        </w:tc>
      </w:tr>
      <w:tr w14:paraId="62DC1B09">
        <w:tblPrEx>
          <w:tblCellMar>
            <w:top w:w="0" w:type="dxa"/>
            <w:left w:w="0" w:type="dxa"/>
            <w:bottom w:w="0" w:type="dxa"/>
            <w:right w:w="0" w:type="dxa"/>
          </w:tblCellMar>
        </w:tblPrEx>
        <w:trPr>
          <w:wBefore w:w="0" w:type="auto"/>
          <w:tblCellSpacing w:w="0" w:type="dxa"/>
        </w:trPr>
        <w:tc>
          <w:tcPr>
            <w:tcW w:w="0" w:type="auto"/>
            <w:noWrap w:val="0"/>
            <w:vAlign w:val="center"/>
          </w:tcPr>
          <w:p w14:paraId="5429DD0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本品应贮存在干燥、阴凉、通风、防雨处，远离火源或热源。置于儿童、无关人员及动物接触不到的地方，并加锁保存。勿与食品、饮料、饲料和粮食等其他商品同贮同运。</w:t>
            </w:r>
          </w:p>
        </w:tc>
      </w:tr>
      <w:tr w14:paraId="5F82EBC2">
        <w:tblPrEx>
          <w:tblCellMar>
            <w:top w:w="0" w:type="dxa"/>
            <w:left w:w="0" w:type="dxa"/>
            <w:bottom w:w="0" w:type="dxa"/>
            <w:right w:w="0" w:type="dxa"/>
          </w:tblCellMar>
        </w:tblPrEx>
        <w:trPr>
          <w:wBefore w:w="0" w:type="auto"/>
          <w:tblCellSpacing w:w="0" w:type="dxa"/>
        </w:trPr>
        <w:tc>
          <w:tcPr>
            <w:tcW w:w="0" w:type="auto"/>
            <w:noWrap w:val="0"/>
            <w:vAlign w:val="center"/>
          </w:tcPr>
          <w:p w14:paraId="4844C437">
            <w:r>
              <w:rPr>
                <w:rStyle w:val="10"/>
                <w:rFonts w:hint="eastAsia"/>
              </w:rPr>
              <w:t>质量保证期：</w:t>
            </w:r>
            <w:r>
              <w:rPr>
                <w:rStyle w:val="11"/>
                <w:rFonts w:hint="eastAsia"/>
              </w:rPr>
              <w:t>2年</w:t>
            </w:r>
          </w:p>
        </w:tc>
      </w:tr>
      <w:tr w14:paraId="340DF578">
        <w:tblPrEx>
          <w:tblCellMar>
            <w:top w:w="0" w:type="dxa"/>
            <w:left w:w="0" w:type="dxa"/>
            <w:bottom w:w="0" w:type="dxa"/>
            <w:right w:w="0" w:type="dxa"/>
          </w:tblCellMar>
        </w:tblPrEx>
        <w:trPr>
          <w:wBefore w:w="0" w:type="auto"/>
          <w:tblCellSpacing w:w="0" w:type="dxa"/>
        </w:trPr>
        <w:tc>
          <w:tcPr>
            <w:tcW w:w="0" w:type="auto"/>
            <w:noWrap w:val="0"/>
            <w:vAlign w:val="center"/>
          </w:tcPr>
          <w:p w14:paraId="1B6BB3E5">
            <w:r>
              <w:rPr>
                <w:rStyle w:val="10"/>
                <w:rFonts w:hint="eastAsia"/>
              </w:rPr>
              <w:t>备注：</w:t>
            </w:r>
            <w:r>
              <w:rPr>
                <w:rFonts w:hint="eastAsia"/>
              </w:rPr>
              <w:br w:type="textWrapping"/>
            </w:r>
            <w:r>
              <w:rPr>
                <w:rStyle w:val="11"/>
                <w:rFonts w:hint="eastAsia"/>
              </w:rPr>
              <w:t>质量分数3%。</w:t>
            </w:r>
          </w:p>
        </w:tc>
      </w:tr>
    </w:tbl>
    <w:p w14:paraId="56B8BE4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FC710D">
        <w:tblPrEx>
          <w:tblCellMar>
            <w:top w:w="0" w:type="dxa"/>
            <w:left w:w="0" w:type="dxa"/>
            <w:bottom w:w="0" w:type="dxa"/>
            <w:right w:w="0" w:type="dxa"/>
          </w:tblCellMar>
        </w:tblPrEx>
        <w:trPr>
          <w:wBefore w:w="0" w:type="auto"/>
          <w:tblCellSpacing w:w="0" w:type="dxa"/>
        </w:trPr>
        <w:tc>
          <w:tcPr>
            <w:tcW w:w="0" w:type="auto"/>
            <w:noWrap w:val="0"/>
            <w:vAlign w:val="center"/>
          </w:tcPr>
          <w:p w14:paraId="036D07EA">
            <w:r>
              <w:rPr>
                <w:rStyle w:val="10"/>
                <w:rFonts w:hint="eastAsia"/>
              </w:rPr>
              <w:t>登记证号：</w:t>
            </w:r>
            <w:r>
              <w:rPr>
                <w:rFonts w:hint="eastAsia"/>
              </w:rPr>
              <w:t>WP20210418</w:t>
            </w:r>
          </w:p>
        </w:tc>
      </w:tr>
      <w:tr w14:paraId="2374BD25">
        <w:tblPrEx>
          <w:tblCellMar>
            <w:top w:w="0" w:type="dxa"/>
            <w:left w:w="0" w:type="dxa"/>
            <w:bottom w:w="0" w:type="dxa"/>
            <w:right w:w="0" w:type="dxa"/>
          </w:tblCellMar>
        </w:tblPrEx>
        <w:trPr>
          <w:wBefore w:w="0" w:type="auto"/>
          <w:tblCellSpacing w:w="0" w:type="dxa"/>
        </w:trPr>
        <w:tc>
          <w:tcPr>
            <w:tcW w:w="0" w:type="auto"/>
            <w:noWrap w:val="0"/>
            <w:vAlign w:val="center"/>
          </w:tcPr>
          <w:p w14:paraId="073C2DEA">
            <w:r>
              <w:rPr>
                <w:rStyle w:val="10"/>
                <w:rFonts w:hint="eastAsia"/>
              </w:rPr>
              <w:t>登记证持有人：</w:t>
            </w:r>
            <w:r>
              <w:rPr>
                <w:rFonts w:hint="eastAsia"/>
              </w:rPr>
              <w:t>山东洁保生物科技有限公司</w:t>
            </w:r>
          </w:p>
        </w:tc>
      </w:tr>
      <w:tr w14:paraId="7AE744A4">
        <w:tblPrEx>
          <w:tblCellMar>
            <w:top w:w="0" w:type="dxa"/>
            <w:left w:w="0" w:type="dxa"/>
            <w:bottom w:w="0" w:type="dxa"/>
            <w:right w:w="0" w:type="dxa"/>
          </w:tblCellMar>
        </w:tblPrEx>
        <w:trPr>
          <w:wBefore w:w="0" w:type="auto"/>
          <w:tblCellSpacing w:w="0" w:type="dxa"/>
        </w:trPr>
        <w:tc>
          <w:tcPr>
            <w:tcW w:w="0" w:type="auto"/>
            <w:noWrap w:val="0"/>
            <w:vAlign w:val="center"/>
          </w:tcPr>
          <w:p w14:paraId="07CED275">
            <w:r>
              <w:rPr>
                <w:rStyle w:val="10"/>
                <w:rFonts w:hint="eastAsia"/>
              </w:rPr>
              <w:t>农药名称：</w:t>
            </w:r>
            <w:r>
              <w:rPr>
                <w:rFonts w:hint="eastAsia"/>
              </w:rPr>
              <w:t>杀蟑饵剂</w:t>
            </w:r>
          </w:p>
        </w:tc>
      </w:tr>
      <w:tr w14:paraId="4968F21C">
        <w:tblPrEx>
          <w:tblCellMar>
            <w:top w:w="0" w:type="dxa"/>
            <w:left w:w="0" w:type="dxa"/>
            <w:bottom w:w="0" w:type="dxa"/>
            <w:right w:w="0" w:type="dxa"/>
          </w:tblCellMar>
        </w:tblPrEx>
        <w:trPr>
          <w:wBefore w:w="0" w:type="auto"/>
          <w:tblCellSpacing w:w="0" w:type="dxa"/>
        </w:trPr>
        <w:tc>
          <w:tcPr>
            <w:tcW w:w="0" w:type="auto"/>
            <w:noWrap w:val="0"/>
            <w:vAlign w:val="center"/>
          </w:tcPr>
          <w:p w14:paraId="2B532A81">
            <w:r>
              <w:rPr>
                <w:rStyle w:val="10"/>
                <w:rFonts w:hint="eastAsia"/>
              </w:rPr>
              <w:t>剂型：</w:t>
            </w:r>
            <w:r>
              <w:rPr>
                <w:rFonts w:hint="eastAsia"/>
              </w:rPr>
              <w:t>饵剂</w:t>
            </w:r>
          </w:p>
        </w:tc>
      </w:tr>
      <w:tr w14:paraId="67EB3D0D">
        <w:tblPrEx>
          <w:tblCellMar>
            <w:top w:w="0" w:type="dxa"/>
            <w:left w:w="0" w:type="dxa"/>
            <w:bottom w:w="0" w:type="dxa"/>
            <w:right w:w="0" w:type="dxa"/>
          </w:tblCellMar>
        </w:tblPrEx>
        <w:trPr>
          <w:wBefore w:w="0" w:type="auto"/>
          <w:tblCellSpacing w:w="0" w:type="dxa"/>
        </w:trPr>
        <w:tc>
          <w:tcPr>
            <w:tcW w:w="0" w:type="auto"/>
            <w:noWrap w:val="0"/>
            <w:vAlign w:val="center"/>
          </w:tcPr>
          <w:p w14:paraId="2F6D29A2">
            <w:r>
              <w:rPr>
                <w:rStyle w:val="10"/>
                <w:rFonts w:hint="eastAsia"/>
              </w:rPr>
              <w:t>毒性及其标识：</w:t>
            </w:r>
            <w:r>
              <w:rPr>
                <w:rFonts w:hint="eastAsia"/>
              </w:rPr>
              <w:t xml:space="preserve"> </w:t>
            </w:r>
            <w:r>
              <w:rPr>
                <w:lang/>
              </w:rPr>
              <w:drawing>
                <wp:inline distT="0" distB="0" distL="114300" distR="114300">
                  <wp:extent cx="476250" cy="323850"/>
                  <wp:effectExtent l="0" t="0" r="0" b="0"/>
                  <wp:docPr id="305" name="图片 3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662926">
        <w:tblPrEx>
          <w:tblCellMar>
            <w:top w:w="0" w:type="dxa"/>
            <w:left w:w="0" w:type="dxa"/>
            <w:bottom w:w="0" w:type="dxa"/>
            <w:right w:w="0" w:type="dxa"/>
          </w:tblCellMar>
        </w:tblPrEx>
        <w:trPr>
          <w:wBefore w:w="0" w:type="auto"/>
          <w:tblCellSpacing w:w="0" w:type="dxa"/>
        </w:trPr>
        <w:tc>
          <w:tcPr>
            <w:tcW w:w="0" w:type="auto"/>
            <w:noWrap w:val="0"/>
            <w:vAlign w:val="center"/>
          </w:tcPr>
          <w:p w14:paraId="3B3A6C45">
            <w:r>
              <w:rPr>
                <w:rStyle w:val="10"/>
                <w:rFonts w:hint="eastAsia"/>
              </w:rPr>
              <w:t>总有效成分含量：</w:t>
            </w:r>
            <w:r>
              <w:rPr>
                <w:rFonts w:hint="eastAsia"/>
              </w:rPr>
              <w:t>0.5%</w:t>
            </w:r>
          </w:p>
        </w:tc>
      </w:tr>
      <w:tr w14:paraId="49CFA946">
        <w:tblPrEx>
          <w:tblCellMar>
            <w:top w:w="0" w:type="dxa"/>
            <w:left w:w="0" w:type="dxa"/>
            <w:bottom w:w="0" w:type="dxa"/>
            <w:right w:w="0" w:type="dxa"/>
          </w:tblCellMar>
        </w:tblPrEx>
        <w:trPr>
          <w:wBefore w:w="0" w:type="auto"/>
          <w:tblCellSpacing w:w="0" w:type="dxa"/>
        </w:trPr>
        <w:tc>
          <w:tcPr>
            <w:tcW w:w="0" w:type="auto"/>
            <w:noWrap w:val="0"/>
            <w:vAlign w:val="center"/>
          </w:tcPr>
          <w:p w14:paraId="3C3C54B7">
            <w:r>
              <w:rPr>
                <w:rFonts w:hint="eastAsia"/>
              </w:rPr>
              <w:t xml:space="preserve">有效成分及其含量： </w:t>
            </w:r>
          </w:p>
          <w:p w14:paraId="02939041">
            <w:r>
              <w:rPr>
                <w:rFonts w:hint="eastAsia"/>
              </w:rPr>
              <w:t xml:space="preserve">    呋虫胺0.5%    </w:t>
            </w:r>
          </w:p>
        </w:tc>
      </w:tr>
      <w:tr w14:paraId="114305A2">
        <w:tblPrEx>
          <w:tblCellMar>
            <w:top w:w="0" w:type="dxa"/>
            <w:left w:w="0" w:type="dxa"/>
            <w:bottom w:w="0" w:type="dxa"/>
            <w:right w:w="0" w:type="dxa"/>
          </w:tblCellMar>
        </w:tblPrEx>
        <w:trPr>
          <w:wBefore w:w="0" w:type="auto"/>
          <w:tblCellSpacing w:w="0" w:type="dxa"/>
        </w:trPr>
        <w:tc>
          <w:tcPr>
            <w:tcW w:w="0" w:type="auto"/>
            <w:noWrap w:val="0"/>
            <w:vAlign w:val="center"/>
          </w:tcPr>
          <w:p w14:paraId="3066E79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52BC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2449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ED9B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04EF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A9091B">
                  <w:r>
                    <w:rPr>
                      <w:rStyle w:val="11"/>
                      <w:rFonts w:hint="eastAsia"/>
                    </w:rPr>
                    <w:t>施用方式</w:t>
                  </w:r>
                </w:p>
              </w:tc>
            </w:tr>
            <w:tr w14:paraId="251BDC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66D28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13FE65">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8D3B3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EACBBE">
                  <w:r>
                    <w:rPr>
                      <w:rStyle w:val="11"/>
                      <w:rFonts w:hint="eastAsia"/>
                    </w:rPr>
                    <w:t>投放</w:t>
                  </w:r>
                </w:p>
              </w:tc>
            </w:tr>
          </w:tbl>
          <w:p w14:paraId="3DE515A9">
            <w:pPr>
              <w:rPr>
                <w:rFonts w:ascii="Times New Roman" w:hAnsi="Times New Roman" w:cs="Times New Roman"/>
                <w:sz w:val="20"/>
                <w:szCs w:val="20"/>
              </w:rPr>
            </w:pPr>
          </w:p>
        </w:tc>
      </w:tr>
      <w:tr w14:paraId="099CE8AF">
        <w:tblPrEx>
          <w:tblCellMar>
            <w:top w:w="0" w:type="dxa"/>
            <w:left w:w="0" w:type="dxa"/>
            <w:bottom w:w="0" w:type="dxa"/>
            <w:right w:w="0" w:type="dxa"/>
          </w:tblCellMar>
        </w:tblPrEx>
        <w:trPr>
          <w:wBefore w:w="0" w:type="auto"/>
          <w:tblCellSpacing w:w="0" w:type="dxa"/>
        </w:trPr>
        <w:tc>
          <w:tcPr>
            <w:tcW w:w="0" w:type="auto"/>
            <w:noWrap w:val="0"/>
            <w:vAlign w:val="center"/>
          </w:tcPr>
          <w:p w14:paraId="4E55644B">
            <w:r>
              <w:rPr>
                <w:rStyle w:val="10"/>
                <w:rFonts w:hint="eastAsia"/>
              </w:rPr>
              <w:t>使用技术要求:</w:t>
            </w:r>
            <w:r>
              <w:rPr>
                <w:rFonts w:hint="eastAsia"/>
              </w:rPr>
              <w:br w:type="textWrapping"/>
            </w:r>
            <w:r>
              <w:rPr>
                <w:rStyle w:val="11"/>
                <w:rFonts w:hint="eastAsia"/>
              </w:rPr>
              <w:t>本品以注射方式点状投放，施用于蜚蠊（俗称蟑螂）经常出没及繁殖的区域，如缝隙、边角、孔洞等。每10克可均匀布施40-50点。在蟑螂孳生密度较低场所，按1点／平方米（或每1米直线距离）用量处理；在蟑螂孳生密度较高场所，按2点／平方米用量处理。</w:t>
            </w:r>
          </w:p>
        </w:tc>
      </w:tr>
      <w:tr w14:paraId="48FE7538">
        <w:tblPrEx>
          <w:tblCellMar>
            <w:top w:w="0" w:type="dxa"/>
            <w:left w:w="0" w:type="dxa"/>
            <w:bottom w:w="0" w:type="dxa"/>
            <w:right w:w="0" w:type="dxa"/>
          </w:tblCellMar>
        </w:tblPrEx>
        <w:trPr>
          <w:wBefore w:w="0" w:type="auto"/>
          <w:tblCellSpacing w:w="0" w:type="dxa"/>
        </w:trPr>
        <w:tc>
          <w:tcPr>
            <w:tcW w:w="0" w:type="auto"/>
            <w:noWrap w:val="0"/>
            <w:vAlign w:val="center"/>
          </w:tcPr>
          <w:p w14:paraId="6F9E1460">
            <w:r>
              <w:rPr>
                <w:rStyle w:val="10"/>
                <w:rFonts w:hint="eastAsia"/>
              </w:rPr>
              <w:t>产品性能:</w:t>
            </w:r>
            <w:r>
              <w:rPr>
                <w:rFonts w:hint="eastAsia"/>
              </w:rPr>
              <w:br w:type="textWrapping"/>
            </w:r>
            <w:r>
              <w:rPr>
                <w:rStyle w:val="11"/>
                <w:rFonts w:hint="eastAsia"/>
              </w:rPr>
              <w:t>本品为专用杀蟑产品，适用于室内使用。如住所、餐厅、宾馆、办公室等场所。</w:t>
            </w:r>
          </w:p>
        </w:tc>
      </w:tr>
      <w:tr w14:paraId="029A5AEF">
        <w:tblPrEx>
          <w:tblCellMar>
            <w:top w:w="0" w:type="dxa"/>
            <w:left w:w="0" w:type="dxa"/>
            <w:bottom w:w="0" w:type="dxa"/>
            <w:right w:w="0" w:type="dxa"/>
          </w:tblCellMar>
        </w:tblPrEx>
        <w:trPr>
          <w:wBefore w:w="0" w:type="auto"/>
          <w:tblCellSpacing w:w="0" w:type="dxa"/>
        </w:trPr>
        <w:tc>
          <w:tcPr>
            <w:tcW w:w="0" w:type="auto"/>
            <w:noWrap w:val="0"/>
            <w:vAlign w:val="center"/>
          </w:tcPr>
          <w:p w14:paraId="3D1E3E37">
            <w:r>
              <w:rPr>
                <w:rStyle w:val="10"/>
                <w:rFonts w:hint="eastAsia"/>
              </w:rPr>
              <w:t>注意事项：</w:t>
            </w:r>
            <w:r>
              <w:rPr>
                <w:rFonts w:hint="eastAsia"/>
              </w:rPr>
              <w:br w:type="textWrapping"/>
            </w:r>
            <w:r>
              <w:rPr>
                <w:rStyle w:val="11"/>
                <w:rFonts w:hint="eastAsia"/>
              </w:rPr>
              <w:t>①使用时切勿污染食品及饮用水，置于儿童及宠物接触不到的地方，避免误服。 ②用后请洗手。 ③仅用于室内，蚕室及其附近禁用。 ④过敏者禁用。使用中有任何不良反应请及时就医。</w:t>
            </w:r>
          </w:p>
        </w:tc>
      </w:tr>
      <w:tr w14:paraId="154B0268">
        <w:tblPrEx>
          <w:tblCellMar>
            <w:top w:w="0" w:type="dxa"/>
            <w:left w:w="0" w:type="dxa"/>
            <w:bottom w:w="0" w:type="dxa"/>
            <w:right w:w="0" w:type="dxa"/>
          </w:tblCellMar>
        </w:tblPrEx>
        <w:trPr>
          <w:wBefore w:w="0" w:type="auto"/>
          <w:tblCellSpacing w:w="0" w:type="dxa"/>
        </w:trPr>
        <w:tc>
          <w:tcPr>
            <w:tcW w:w="0" w:type="auto"/>
            <w:noWrap w:val="0"/>
            <w:vAlign w:val="center"/>
          </w:tcPr>
          <w:p w14:paraId="33FFF3C6">
            <w:r>
              <w:rPr>
                <w:rStyle w:val="10"/>
                <w:rFonts w:hint="eastAsia"/>
              </w:rPr>
              <w:t>中毒急救措施：</w:t>
            </w:r>
            <w:r>
              <w:rPr>
                <w:rFonts w:hint="eastAsia"/>
              </w:rPr>
              <w:br w:type="textWrapping"/>
            </w:r>
            <w:r>
              <w:rPr>
                <w:rStyle w:val="11"/>
                <w:rFonts w:hint="eastAsia"/>
              </w:rPr>
              <w:t>①中毒症状：目前尚未人类对其中毒症状出现。 ②若不慎接触皮肤或眼睛，用大量清水清洗并就医。 ③若误服，不要引吐，漱口并就医。</w:t>
            </w:r>
          </w:p>
        </w:tc>
      </w:tr>
      <w:tr w14:paraId="0436043C">
        <w:tblPrEx>
          <w:tblCellMar>
            <w:top w:w="0" w:type="dxa"/>
            <w:left w:w="0" w:type="dxa"/>
            <w:bottom w:w="0" w:type="dxa"/>
            <w:right w:w="0" w:type="dxa"/>
          </w:tblCellMar>
        </w:tblPrEx>
        <w:trPr>
          <w:wBefore w:w="0" w:type="auto"/>
          <w:tblCellSpacing w:w="0" w:type="dxa"/>
        </w:trPr>
        <w:tc>
          <w:tcPr>
            <w:tcW w:w="0" w:type="auto"/>
            <w:noWrap w:val="0"/>
            <w:vAlign w:val="center"/>
          </w:tcPr>
          <w:p w14:paraId="035C6F46">
            <w:r>
              <w:rPr>
                <w:rStyle w:val="10"/>
                <w:rFonts w:hint="eastAsia"/>
              </w:rPr>
              <w:t>储存和运输方法：</w:t>
            </w:r>
            <w:r>
              <w:rPr>
                <w:rFonts w:hint="eastAsia"/>
              </w:rPr>
              <w:br w:type="textWrapping"/>
            </w:r>
            <w:r>
              <w:rPr>
                <w:rStyle w:val="11"/>
                <w:rFonts w:hint="eastAsia"/>
              </w:rPr>
              <w:t>①本品应以原包装置于阴凉、干燥、通风避光处。 ②应置于儿童及宠物触及不到之处，并加锁。 ③运输时，请注意防雨淋、高温，轻拿轻放，不得损坏包装。 ④请勿与食品、饮料、种子、饲料、肥料等其他商品同贮同运。</w:t>
            </w:r>
          </w:p>
        </w:tc>
      </w:tr>
      <w:tr w14:paraId="300E6CC3">
        <w:tblPrEx>
          <w:tblCellMar>
            <w:top w:w="0" w:type="dxa"/>
            <w:left w:w="0" w:type="dxa"/>
            <w:bottom w:w="0" w:type="dxa"/>
            <w:right w:w="0" w:type="dxa"/>
          </w:tblCellMar>
        </w:tblPrEx>
        <w:trPr>
          <w:wBefore w:w="0" w:type="auto"/>
          <w:tblCellSpacing w:w="0" w:type="dxa"/>
        </w:trPr>
        <w:tc>
          <w:tcPr>
            <w:tcW w:w="0" w:type="auto"/>
            <w:noWrap w:val="0"/>
            <w:vAlign w:val="center"/>
          </w:tcPr>
          <w:p w14:paraId="1A044D51">
            <w:r>
              <w:rPr>
                <w:rStyle w:val="10"/>
                <w:rFonts w:hint="eastAsia"/>
              </w:rPr>
              <w:t>质量保证期：</w:t>
            </w:r>
            <w:r>
              <w:rPr>
                <w:rStyle w:val="11"/>
                <w:rFonts w:hint="eastAsia"/>
              </w:rPr>
              <w:t>2年</w:t>
            </w:r>
          </w:p>
        </w:tc>
      </w:tr>
      <w:tr w14:paraId="1625B0C2">
        <w:tblPrEx>
          <w:tblCellMar>
            <w:top w:w="0" w:type="dxa"/>
            <w:left w:w="0" w:type="dxa"/>
            <w:bottom w:w="0" w:type="dxa"/>
            <w:right w:w="0" w:type="dxa"/>
          </w:tblCellMar>
        </w:tblPrEx>
        <w:trPr>
          <w:wBefore w:w="0" w:type="auto"/>
          <w:tblCellSpacing w:w="0" w:type="dxa"/>
        </w:trPr>
        <w:tc>
          <w:tcPr>
            <w:tcW w:w="0" w:type="auto"/>
            <w:noWrap w:val="0"/>
            <w:vAlign w:val="center"/>
          </w:tcPr>
          <w:p w14:paraId="5B2D45CA">
            <w:r>
              <w:rPr>
                <w:rStyle w:val="10"/>
                <w:rFonts w:hint="eastAsia"/>
              </w:rPr>
              <w:t>备注：</w:t>
            </w:r>
          </w:p>
        </w:tc>
      </w:tr>
    </w:tbl>
    <w:p w14:paraId="2C840C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2A4B33">
        <w:tblPrEx>
          <w:tblCellMar>
            <w:top w:w="0" w:type="dxa"/>
            <w:left w:w="0" w:type="dxa"/>
            <w:bottom w:w="0" w:type="dxa"/>
            <w:right w:w="0" w:type="dxa"/>
          </w:tblCellMar>
        </w:tblPrEx>
        <w:trPr>
          <w:wBefore w:w="0" w:type="auto"/>
          <w:tblCellSpacing w:w="0" w:type="dxa"/>
        </w:trPr>
        <w:tc>
          <w:tcPr>
            <w:tcW w:w="0" w:type="auto"/>
            <w:noWrap w:val="0"/>
            <w:vAlign w:val="center"/>
          </w:tcPr>
          <w:p w14:paraId="0B242B20">
            <w:r>
              <w:rPr>
                <w:rStyle w:val="10"/>
                <w:rFonts w:hint="eastAsia"/>
              </w:rPr>
              <w:t>登记证号：</w:t>
            </w:r>
            <w:r>
              <w:rPr>
                <w:rFonts w:hint="eastAsia"/>
              </w:rPr>
              <w:t>PD20212456</w:t>
            </w:r>
          </w:p>
        </w:tc>
      </w:tr>
      <w:tr w14:paraId="0E9F6423">
        <w:tblPrEx>
          <w:tblCellMar>
            <w:top w:w="0" w:type="dxa"/>
            <w:left w:w="0" w:type="dxa"/>
            <w:bottom w:w="0" w:type="dxa"/>
            <w:right w:w="0" w:type="dxa"/>
          </w:tblCellMar>
        </w:tblPrEx>
        <w:trPr>
          <w:wBefore w:w="0" w:type="auto"/>
          <w:tblCellSpacing w:w="0" w:type="dxa"/>
        </w:trPr>
        <w:tc>
          <w:tcPr>
            <w:tcW w:w="0" w:type="auto"/>
            <w:noWrap w:val="0"/>
            <w:vAlign w:val="center"/>
          </w:tcPr>
          <w:p w14:paraId="79568B05">
            <w:r>
              <w:rPr>
                <w:rStyle w:val="10"/>
                <w:rFonts w:hint="eastAsia"/>
              </w:rPr>
              <w:t>登记证持有人：</w:t>
            </w:r>
            <w:r>
              <w:rPr>
                <w:rFonts w:hint="eastAsia"/>
              </w:rPr>
              <w:t>河北八源生物制品有限公司</w:t>
            </w:r>
          </w:p>
        </w:tc>
      </w:tr>
      <w:tr w14:paraId="11209F08">
        <w:tblPrEx>
          <w:tblCellMar>
            <w:top w:w="0" w:type="dxa"/>
            <w:left w:w="0" w:type="dxa"/>
            <w:bottom w:w="0" w:type="dxa"/>
            <w:right w:w="0" w:type="dxa"/>
          </w:tblCellMar>
        </w:tblPrEx>
        <w:trPr>
          <w:wBefore w:w="0" w:type="auto"/>
          <w:tblCellSpacing w:w="0" w:type="dxa"/>
        </w:trPr>
        <w:tc>
          <w:tcPr>
            <w:tcW w:w="0" w:type="auto"/>
            <w:noWrap w:val="0"/>
            <w:vAlign w:val="center"/>
          </w:tcPr>
          <w:p w14:paraId="5FCB2447">
            <w:r>
              <w:rPr>
                <w:rStyle w:val="10"/>
                <w:rFonts w:hint="eastAsia"/>
              </w:rPr>
              <w:t>农药名称：</w:t>
            </w:r>
            <w:r>
              <w:rPr>
                <w:rFonts w:hint="eastAsia"/>
              </w:rPr>
              <w:t>噻虫嗪·咯菌腈·氟氯氰</w:t>
            </w:r>
          </w:p>
        </w:tc>
      </w:tr>
      <w:tr w14:paraId="67D7E785">
        <w:tblPrEx>
          <w:tblCellMar>
            <w:top w:w="0" w:type="dxa"/>
            <w:left w:w="0" w:type="dxa"/>
            <w:bottom w:w="0" w:type="dxa"/>
            <w:right w:w="0" w:type="dxa"/>
          </w:tblCellMar>
        </w:tblPrEx>
        <w:trPr>
          <w:wBefore w:w="0" w:type="auto"/>
          <w:tblCellSpacing w:w="0" w:type="dxa"/>
        </w:trPr>
        <w:tc>
          <w:tcPr>
            <w:tcW w:w="0" w:type="auto"/>
            <w:noWrap w:val="0"/>
            <w:vAlign w:val="center"/>
          </w:tcPr>
          <w:p w14:paraId="4D001ADB">
            <w:r>
              <w:rPr>
                <w:rStyle w:val="10"/>
                <w:rFonts w:hint="eastAsia"/>
              </w:rPr>
              <w:t>剂型：</w:t>
            </w:r>
            <w:r>
              <w:rPr>
                <w:rFonts w:hint="eastAsia"/>
              </w:rPr>
              <w:t>种子处理悬浮剂</w:t>
            </w:r>
          </w:p>
        </w:tc>
      </w:tr>
      <w:tr w14:paraId="625E51FB">
        <w:tblPrEx>
          <w:tblCellMar>
            <w:top w:w="0" w:type="dxa"/>
            <w:left w:w="0" w:type="dxa"/>
            <w:bottom w:w="0" w:type="dxa"/>
            <w:right w:w="0" w:type="dxa"/>
          </w:tblCellMar>
        </w:tblPrEx>
        <w:trPr>
          <w:wBefore w:w="0" w:type="auto"/>
          <w:tblCellSpacing w:w="0" w:type="dxa"/>
        </w:trPr>
        <w:tc>
          <w:tcPr>
            <w:tcW w:w="0" w:type="auto"/>
            <w:noWrap w:val="0"/>
            <w:vAlign w:val="center"/>
          </w:tcPr>
          <w:p w14:paraId="30B2DD07">
            <w:r>
              <w:rPr>
                <w:rStyle w:val="10"/>
                <w:rFonts w:hint="eastAsia"/>
              </w:rPr>
              <w:t>毒性及其标识：</w:t>
            </w:r>
            <w:r>
              <w:rPr>
                <w:rFonts w:hint="eastAsia"/>
              </w:rPr>
              <w:t xml:space="preserve"> </w:t>
            </w:r>
            <w:r>
              <w:rPr>
                <w:lang/>
              </w:rPr>
              <w:drawing>
                <wp:inline distT="0" distB="0" distL="114300" distR="114300">
                  <wp:extent cx="476250" cy="323850"/>
                  <wp:effectExtent l="0" t="0" r="0" b="0"/>
                  <wp:docPr id="306" name="图片 3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539306">
        <w:tblPrEx>
          <w:tblCellMar>
            <w:top w:w="0" w:type="dxa"/>
            <w:left w:w="0" w:type="dxa"/>
            <w:bottom w:w="0" w:type="dxa"/>
            <w:right w:w="0" w:type="dxa"/>
          </w:tblCellMar>
        </w:tblPrEx>
        <w:trPr>
          <w:wBefore w:w="0" w:type="auto"/>
          <w:tblCellSpacing w:w="0" w:type="dxa"/>
        </w:trPr>
        <w:tc>
          <w:tcPr>
            <w:tcW w:w="0" w:type="auto"/>
            <w:noWrap w:val="0"/>
            <w:vAlign w:val="center"/>
          </w:tcPr>
          <w:p w14:paraId="23893A81">
            <w:r>
              <w:rPr>
                <w:rStyle w:val="10"/>
                <w:rFonts w:hint="eastAsia"/>
              </w:rPr>
              <w:t>总有效成分含量：</w:t>
            </w:r>
            <w:r>
              <w:rPr>
                <w:rFonts w:hint="eastAsia"/>
              </w:rPr>
              <w:t>12%</w:t>
            </w:r>
          </w:p>
        </w:tc>
      </w:tr>
      <w:tr w14:paraId="32C0B6DC">
        <w:tblPrEx>
          <w:tblCellMar>
            <w:top w:w="0" w:type="dxa"/>
            <w:left w:w="0" w:type="dxa"/>
            <w:bottom w:w="0" w:type="dxa"/>
            <w:right w:w="0" w:type="dxa"/>
          </w:tblCellMar>
        </w:tblPrEx>
        <w:trPr>
          <w:wBefore w:w="0" w:type="auto"/>
          <w:tblCellSpacing w:w="0" w:type="dxa"/>
        </w:trPr>
        <w:tc>
          <w:tcPr>
            <w:tcW w:w="0" w:type="auto"/>
            <w:noWrap w:val="0"/>
            <w:vAlign w:val="center"/>
          </w:tcPr>
          <w:p w14:paraId="6A30B7B7">
            <w:r>
              <w:rPr>
                <w:rFonts w:hint="eastAsia"/>
              </w:rPr>
              <w:t xml:space="preserve">有效成分及其含量： </w:t>
            </w:r>
          </w:p>
          <w:p w14:paraId="62EBDE27">
            <w:r>
              <w:rPr>
                <w:rFonts w:hint="eastAsia"/>
              </w:rPr>
              <w:t xml:space="preserve">    噻虫嗪7.9%    咯菌腈0.1%    氟氯氰菊酯4%    </w:t>
            </w:r>
          </w:p>
        </w:tc>
      </w:tr>
      <w:tr w14:paraId="174368B0">
        <w:tblPrEx>
          <w:tblCellMar>
            <w:top w:w="0" w:type="dxa"/>
            <w:left w:w="0" w:type="dxa"/>
            <w:bottom w:w="0" w:type="dxa"/>
            <w:right w:w="0" w:type="dxa"/>
          </w:tblCellMar>
        </w:tblPrEx>
        <w:trPr>
          <w:wBefore w:w="0" w:type="auto"/>
          <w:tblCellSpacing w:w="0" w:type="dxa"/>
        </w:trPr>
        <w:tc>
          <w:tcPr>
            <w:tcW w:w="0" w:type="auto"/>
            <w:noWrap w:val="0"/>
            <w:vAlign w:val="center"/>
          </w:tcPr>
          <w:p w14:paraId="41BD080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CB3E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ED185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DF13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0C443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BFCF31">
                  <w:r>
                    <w:rPr>
                      <w:rStyle w:val="11"/>
                      <w:rFonts w:hint="eastAsia"/>
                    </w:rPr>
                    <w:t>施用方式</w:t>
                  </w:r>
                </w:p>
              </w:tc>
            </w:tr>
            <w:tr w14:paraId="25F213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427E79">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214419">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FE18AE">
                  <w:r>
                    <w:rPr>
                      <w:rStyle w:val="11"/>
                      <w:rFonts w:hint="eastAsia"/>
                    </w:rPr>
                    <w:t>2250-3000毫升/100千克种子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EC91B3">
                  <w:r>
                    <w:rPr>
                      <w:rStyle w:val="11"/>
                      <w:rFonts w:hint="eastAsia"/>
                    </w:rPr>
                    <w:t>种子包衣</w:t>
                  </w:r>
                </w:p>
              </w:tc>
            </w:tr>
            <w:tr w14:paraId="1F3B46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6AC198">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392C46">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4A7DB1">
                  <w:r>
                    <w:rPr>
                      <w:rStyle w:val="11"/>
                      <w:rFonts w:hint="eastAsia"/>
                    </w:rPr>
                    <w:t>2250-3000毫升/100千克种子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E67416">
                  <w:r>
                    <w:rPr>
                      <w:rStyle w:val="11"/>
                      <w:rFonts w:hint="eastAsia"/>
                    </w:rPr>
                    <w:t>种子包衣</w:t>
                  </w:r>
                </w:p>
              </w:tc>
            </w:tr>
          </w:tbl>
          <w:p w14:paraId="5CBFBA25">
            <w:pPr>
              <w:rPr>
                <w:rFonts w:ascii="Times New Roman" w:hAnsi="Times New Roman" w:cs="Times New Roman"/>
                <w:sz w:val="20"/>
                <w:szCs w:val="20"/>
              </w:rPr>
            </w:pPr>
          </w:p>
        </w:tc>
      </w:tr>
      <w:tr w14:paraId="5933DA82">
        <w:tblPrEx>
          <w:tblCellMar>
            <w:top w:w="0" w:type="dxa"/>
            <w:left w:w="0" w:type="dxa"/>
            <w:bottom w:w="0" w:type="dxa"/>
            <w:right w:w="0" w:type="dxa"/>
          </w:tblCellMar>
        </w:tblPrEx>
        <w:trPr>
          <w:wBefore w:w="0" w:type="auto"/>
          <w:tblCellSpacing w:w="0" w:type="dxa"/>
        </w:trPr>
        <w:tc>
          <w:tcPr>
            <w:tcW w:w="0" w:type="auto"/>
            <w:noWrap w:val="0"/>
            <w:vAlign w:val="center"/>
          </w:tcPr>
          <w:p w14:paraId="4D5DAE2F">
            <w:r>
              <w:rPr>
                <w:rStyle w:val="10"/>
                <w:rFonts w:hint="eastAsia"/>
              </w:rPr>
              <w:t>使用技术要求:</w:t>
            </w:r>
            <w:r>
              <w:rPr>
                <w:rFonts w:hint="eastAsia"/>
              </w:rPr>
              <w:br w:type="textWrapping"/>
            </w:r>
            <w:r>
              <w:rPr>
                <w:rStyle w:val="11"/>
                <w:rFonts w:hint="eastAsia"/>
              </w:rPr>
              <w:t>1. 本品在玉米上进行种子包衣，每季最多使用1次。2、本品应于播种前用常规方法，取规定用量，将药剂用适量清水稀释后与种子混合均匀，自然晾干后播种。</w:t>
            </w:r>
          </w:p>
        </w:tc>
      </w:tr>
      <w:tr w14:paraId="707FE937">
        <w:tblPrEx>
          <w:tblCellMar>
            <w:top w:w="0" w:type="dxa"/>
            <w:left w:w="0" w:type="dxa"/>
            <w:bottom w:w="0" w:type="dxa"/>
            <w:right w:w="0" w:type="dxa"/>
          </w:tblCellMar>
        </w:tblPrEx>
        <w:trPr>
          <w:wBefore w:w="0" w:type="auto"/>
          <w:tblCellSpacing w:w="0" w:type="dxa"/>
        </w:trPr>
        <w:tc>
          <w:tcPr>
            <w:tcW w:w="0" w:type="auto"/>
            <w:noWrap w:val="0"/>
            <w:vAlign w:val="center"/>
          </w:tcPr>
          <w:p w14:paraId="6E0E6941">
            <w:r>
              <w:rPr>
                <w:rStyle w:val="10"/>
                <w:rFonts w:hint="eastAsia"/>
              </w:rPr>
              <w:t>产品性能:</w:t>
            </w:r>
            <w:r>
              <w:rPr>
                <w:rFonts w:hint="eastAsia"/>
              </w:rPr>
              <w:br w:type="textWrapping"/>
            </w:r>
            <w:r>
              <w:rPr>
                <w:rStyle w:val="11"/>
                <w:rFonts w:hint="eastAsia"/>
              </w:rPr>
              <w:t>本品为三元复配杀虫杀菌种衣剂。噻虫嗪是一种结构全新的烟碱类杀虫剂，用于种子处理，可被作物根迅速内吸，并传导到植株各部位，能有效防治玉米蛴螬；咯菌腈对许多病原菌引起的种传和土传病害有较好的防效；氟氯氰菊酯为拟除虫菊酯类杀虫剂，杀虫谱广、持效期长。三者混配能有效防治玉米蛴螬、茎基腐病</w:t>
            </w:r>
          </w:p>
        </w:tc>
      </w:tr>
      <w:tr w14:paraId="3B1B3530">
        <w:tblPrEx>
          <w:tblCellMar>
            <w:top w:w="0" w:type="dxa"/>
            <w:left w:w="0" w:type="dxa"/>
            <w:bottom w:w="0" w:type="dxa"/>
            <w:right w:w="0" w:type="dxa"/>
          </w:tblCellMar>
        </w:tblPrEx>
        <w:trPr>
          <w:wBefore w:w="0" w:type="auto"/>
          <w:tblCellSpacing w:w="0" w:type="dxa"/>
        </w:trPr>
        <w:tc>
          <w:tcPr>
            <w:tcW w:w="0" w:type="auto"/>
            <w:noWrap w:val="0"/>
            <w:vAlign w:val="center"/>
          </w:tcPr>
          <w:p w14:paraId="65304720">
            <w:r>
              <w:rPr>
                <w:rStyle w:val="10"/>
                <w:rFonts w:hint="eastAsia"/>
              </w:rPr>
              <w:t>注意事项：</w:t>
            </w:r>
            <w:r>
              <w:rPr>
                <w:rFonts w:hint="eastAsia"/>
              </w:rPr>
              <w:br w:type="textWrapping"/>
            </w:r>
            <w:r>
              <w:rPr>
                <w:rStyle w:val="11"/>
                <w:rFonts w:hint="eastAsia"/>
              </w:rPr>
              <w:t>1.本品仅限于种子处理 ，请按照农药安全使用准则使用本品。药液及其废液不得污染各类水域，土壤等环境。2.配药和种子处理应在通风处进行，本品对眼睛、皮肤有刺激性，使用时避免接触眼睛、皮肤，穿戴长衣、长裤、帽子、口罩、手套等防护措施。。 此时不可饮食、吸烟等。种子处理结束后，彻底清洗防护用具，洗澡，并更换和清洗工作服。 3.处理过的种子必须放置在有明显标签的容器内。勿与食物、饲料放在一起，不得饲喂禽畜，更不得用来加工饲料或食品。 4.播种后必须覆土，严禁畜禽进入。 5.鸟类保护区禁用，施药后应立即覆土。6. 本品对蜜蜂剧毒，（周围）开花植物花期禁用。7. 禁止在河塘等水域清洗施药器具，勿将本品及其废液弃于池塘、河溪、湖泊等，以免污染水源。未用完的制剂应放在原包装内密封保存，切勿将本品置于饮、食容器内。8. 孕妇及哺乳期的妇女避免接触本品。9.用过的空容器请妥善处理，不可随意抛弃，不可用作他用。</w:t>
            </w:r>
          </w:p>
        </w:tc>
      </w:tr>
      <w:tr w14:paraId="66600AE3">
        <w:tblPrEx>
          <w:tblCellMar>
            <w:top w:w="0" w:type="dxa"/>
            <w:left w:w="0" w:type="dxa"/>
            <w:bottom w:w="0" w:type="dxa"/>
            <w:right w:w="0" w:type="dxa"/>
          </w:tblCellMar>
        </w:tblPrEx>
        <w:trPr>
          <w:wBefore w:w="0" w:type="auto"/>
          <w:tblCellSpacing w:w="0" w:type="dxa"/>
        </w:trPr>
        <w:tc>
          <w:tcPr>
            <w:tcW w:w="0" w:type="auto"/>
            <w:noWrap w:val="0"/>
            <w:vAlign w:val="center"/>
          </w:tcPr>
          <w:p w14:paraId="3590A4BF">
            <w:r>
              <w:rPr>
                <w:rStyle w:val="10"/>
                <w:rFonts w:hint="eastAsia"/>
              </w:rPr>
              <w:t>中毒急救措施：</w:t>
            </w:r>
            <w:r>
              <w:rPr>
                <w:rFonts w:hint="eastAsia"/>
              </w:rPr>
              <w:br w:type="textWrapping"/>
            </w:r>
            <w:r>
              <w:rPr>
                <w:rStyle w:val="11"/>
                <w:rFonts w:hint="eastAsia"/>
              </w:rPr>
              <w:t>中毒症状：头痛、恶心、呕吐、抽搐、昏迷、休克等。1.用药时如果感觉不适，立即停止工作，采取急救措施，并携此标签送医就诊。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4.不慎吸入：立即将吸入者转移到空气新鲜处，注意保暖和休息，请医生诊治。 5.误服：请勿引吐。立即携带标签，送医就诊。紧急医疗措施：使用医用活性炭洗胃，洗胃时注意防止胃容物进入呼吸道。注意：对昏迷病人，切勿经口喂入任何东西或引吐。 解毒剂：无专用解毒剂，对症治疗。</w:t>
            </w:r>
          </w:p>
        </w:tc>
      </w:tr>
      <w:tr w14:paraId="544F6561">
        <w:tblPrEx>
          <w:tblCellMar>
            <w:top w:w="0" w:type="dxa"/>
            <w:left w:w="0" w:type="dxa"/>
            <w:bottom w:w="0" w:type="dxa"/>
            <w:right w:w="0" w:type="dxa"/>
          </w:tblCellMar>
        </w:tblPrEx>
        <w:trPr>
          <w:wBefore w:w="0" w:type="auto"/>
          <w:tblCellSpacing w:w="0" w:type="dxa"/>
        </w:trPr>
        <w:tc>
          <w:tcPr>
            <w:tcW w:w="0" w:type="auto"/>
            <w:noWrap w:val="0"/>
            <w:vAlign w:val="center"/>
          </w:tcPr>
          <w:p w14:paraId="6DADA8E9">
            <w:r>
              <w:rPr>
                <w:rStyle w:val="10"/>
                <w:rFonts w:hint="eastAsia"/>
              </w:rPr>
              <w:t>储存和运输方法：</w:t>
            </w:r>
            <w:r>
              <w:rPr>
                <w:rFonts w:hint="eastAsia"/>
              </w:rPr>
              <w:br w:type="textWrapping"/>
            </w:r>
            <w:r>
              <w:rPr>
                <w:rStyle w:val="11"/>
                <w:rFonts w:hint="eastAsia"/>
              </w:rPr>
              <w:t>1. 本品应贮存在干燥、阴凉、通风、防雨处，远离火源或热源。2. 置于儿童、无关人员及动物接触不到的地方，并加锁保存。3、勿与食品、饮料、粮食、饲料等其他商品同贮同运</w:t>
            </w:r>
          </w:p>
        </w:tc>
      </w:tr>
      <w:tr w14:paraId="046A5446">
        <w:tblPrEx>
          <w:tblCellMar>
            <w:top w:w="0" w:type="dxa"/>
            <w:left w:w="0" w:type="dxa"/>
            <w:bottom w:w="0" w:type="dxa"/>
            <w:right w:w="0" w:type="dxa"/>
          </w:tblCellMar>
        </w:tblPrEx>
        <w:trPr>
          <w:wBefore w:w="0" w:type="auto"/>
          <w:tblCellSpacing w:w="0" w:type="dxa"/>
        </w:trPr>
        <w:tc>
          <w:tcPr>
            <w:tcW w:w="0" w:type="auto"/>
            <w:noWrap w:val="0"/>
            <w:vAlign w:val="center"/>
          </w:tcPr>
          <w:p w14:paraId="30FC6390">
            <w:r>
              <w:rPr>
                <w:rStyle w:val="10"/>
                <w:rFonts w:hint="eastAsia"/>
              </w:rPr>
              <w:t>质量保证期：</w:t>
            </w:r>
            <w:r>
              <w:rPr>
                <w:rStyle w:val="11"/>
                <w:rFonts w:hint="eastAsia"/>
              </w:rPr>
              <w:t>2年</w:t>
            </w:r>
          </w:p>
        </w:tc>
      </w:tr>
      <w:tr w14:paraId="08AEDD66">
        <w:tblPrEx>
          <w:tblCellMar>
            <w:top w:w="0" w:type="dxa"/>
            <w:left w:w="0" w:type="dxa"/>
            <w:bottom w:w="0" w:type="dxa"/>
            <w:right w:w="0" w:type="dxa"/>
          </w:tblCellMar>
        </w:tblPrEx>
        <w:trPr>
          <w:wBefore w:w="0" w:type="auto"/>
          <w:tblCellSpacing w:w="0" w:type="dxa"/>
        </w:trPr>
        <w:tc>
          <w:tcPr>
            <w:tcW w:w="0" w:type="auto"/>
            <w:noWrap w:val="0"/>
            <w:vAlign w:val="center"/>
          </w:tcPr>
          <w:p w14:paraId="1324CB24">
            <w:r>
              <w:rPr>
                <w:rStyle w:val="10"/>
                <w:rFonts w:hint="eastAsia"/>
              </w:rPr>
              <w:t>备注：</w:t>
            </w:r>
          </w:p>
        </w:tc>
      </w:tr>
    </w:tbl>
    <w:p w14:paraId="2C9C93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EE5278">
        <w:tblPrEx>
          <w:tblCellMar>
            <w:top w:w="0" w:type="dxa"/>
            <w:left w:w="0" w:type="dxa"/>
            <w:bottom w:w="0" w:type="dxa"/>
            <w:right w:w="0" w:type="dxa"/>
          </w:tblCellMar>
        </w:tblPrEx>
        <w:trPr>
          <w:wBefore w:w="0" w:type="auto"/>
          <w:tblCellSpacing w:w="0" w:type="dxa"/>
        </w:trPr>
        <w:tc>
          <w:tcPr>
            <w:tcW w:w="0" w:type="auto"/>
            <w:noWrap w:val="0"/>
            <w:vAlign w:val="center"/>
          </w:tcPr>
          <w:p w14:paraId="72B513F8">
            <w:r>
              <w:rPr>
                <w:rStyle w:val="10"/>
                <w:rFonts w:hint="eastAsia"/>
              </w:rPr>
              <w:t>登记证号：</w:t>
            </w:r>
            <w:r>
              <w:rPr>
                <w:rFonts w:hint="eastAsia"/>
              </w:rPr>
              <w:t>PD20212521</w:t>
            </w:r>
          </w:p>
        </w:tc>
      </w:tr>
      <w:tr w14:paraId="0274A0D4">
        <w:tblPrEx>
          <w:tblCellMar>
            <w:top w:w="0" w:type="dxa"/>
            <w:left w:w="0" w:type="dxa"/>
            <w:bottom w:w="0" w:type="dxa"/>
            <w:right w:w="0" w:type="dxa"/>
          </w:tblCellMar>
        </w:tblPrEx>
        <w:trPr>
          <w:wBefore w:w="0" w:type="auto"/>
          <w:tblCellSpacing w:w="0" w:type="dxa"/>
        </w:trPr>
        <w:tc>
          <w:tcPr>
            <w:tcW w:w="0" w:type="auto"/>
            <w:noWrap w:val="0"/>
            <w:vAlign w:val="center"/>
          </w:tcPr>
          <w:p w14:paraId="7B2772F9">
            <w:r>
              <w:rPr>
                <w:rStyle w:val="10"/>
                <w:rFonts w:hint="eastAsia"/>
              </w:rPr>
              <w:t>登记证持有人：</w:t>
            </w:r>
            <w:r>
              <w:rPr>
                <w:rFonts w:hint="eastAsia"/>
              </w:rPr>
              <w:t>山东玥鸣生物科技有限公司</w:t>
            </w:r>
          </w:p>
        </w:tc>
      </w:tr>
      <w:tr w14:paraId="6EB3E6AA">
        <w:tblPrEx>
          <w:tblCellMar>
            <w:top w:w="0" w:type="dxa"/>
            <w:left w:w="0" w:type="dxa"/>
            <w:bottom w:w="0" w:type="dxa"/>
            <w:right w:w="0" w:type="dxa"/>
          </w:tblCellMar>
        </w:tblPrEx>
        <w:trPr>
          <w:wBefore w:w="0" w:type="auto"/>
          <w:tblCellSpacing w:w="0" w:type="dxa"/>
        </w:trPr>
        <w:tc>
          <w:tcPr>
            <w:tcW w:w="0" w:type="auto"/>
            <w:noWrap w:val="0"/>
            <w:vAlign w:val="center"/>
          </w:tcPr>
          <w:p w14:paraId="5E86197A">
            <w:r>
              <w:rPr>
                <w:rStyle w:val="10"/>
                <w:rFonts w:hint="eastAsia"/>
              </w:rPr>
              <w:t>农药名称：</w:t>
            </w:r>
            <w:r>
              <w:rPr>
                <w:rFonts w:hint="eastAsia"/>
              </w:rPr>
              <w:t>氯吡嘧磺隆·氰氟草酯</w:t>
            </w:r>
          </w:p>
        </w:tc>
      </w:tr>
      <w:tr w14:paraId="58272810">
        <w:tblPrEx>
          <w:tblCellMar>
            <w:top w:w="0" w:type="dxa"/>
            <w:left w:w="0" w:type="dxa"/>
            <w:bottom w:w="0" w:type="dxa"/>
            <w:right w:w="0" w:type="dxa"/>
          </w:tblCellMar>
        </w:tblPrEx>
        <w:trPr>
          <w:wBefore w:w="0" w:type="auto"/>
          <w:tblCellSpacing w:w="0" w:type="dxa"/>
        </w:trPr>
        <w:tc>
          <w:tcPr>
            <w:tcW w:w="0" w:type="auto"/>
            <w:noWrap w:val="0"/>
            <w:vAlign w:val="center"/>
          </w:tcPr>
          <w:p w14:paraId="24960B32">
            <w:r>
              <w:rPr>
                <w:rStyle w:val="10"/>
                <w:rFonts w:hint="eastAsia"/>
              </w:rPr>
              <w:t>剂型：</w:t>
            </w:r>
            <w:r>
              <w:rPr>
                <w:rFonts w:hint="eastAsia"/>
              </w:rPr>
              <w:t>可分散油悬浮剂</w:t>
            </w:r>
          </w:p>
        </w:tc>
      </w:tr>
      <w:tr w14:paraId="772E6BDD">
        <w:tblPrEx>
          <w:tblCellMar>
            <w:top w:w="0" w:type="dxa"/>
            <w:left w:w="0" w:type="dxa"/>
            <w:bottom w:w="0" w:type="dxa"/>
            <w:right w:w="0" w:type="dxa"/>
          </w:tblCellMar>
        </w:tblPrEx>
        <w:trPr>
          <w:wBefore w:w="0" w:type="auto"/>
          <w:tblCellSpacing w:w="0" w:type="dxa"/>
        </w:trPr>
        <w:tc>
          <w:tcPr>
            <w:tcW w:w="0" w:type="auto"/>
            <w:noWrap w:val="0"/>
            <w:vAlign w:val="center"/>
          </w:tcPr>
          <w:p w14:paraId="4F7D566D">
            <w:r>
              <w:rPr>
                <w:rStyle w:val="10"/>
                <w:rFonts w:hint="eastAsia"/>
              </w:rPr>
              <w:t>毒性及其标识：</w:t>
            </w:r>
            <w:r>
              <w:rPr>
                <w:rFonts w:hint="eastAsia"/>
              </w:rPr>
              <w:t xml:space="preserve"> 微毒 </w:t>
            </w:r>
          </w:p>
        </w:tc>
      </w:tr>
      <w:tr w14:paraId="51B51B8F">
        <w:tblPrEx>
          <w:tblCellMar>
            <w:top w:w="0" w:type="dxa"/>
            <w:left w:w="0" w:type="dxa"/>
            <w:bottom w:w="0" w:type="dxa"/>
            <w:right w:w="0" w:type="dxa"/>
          </w:tblCellMar>
        </w:tblPrEx>
        <w:trPr>
          <w:wBefore w:w="0" w:type="auto"/>
          <w:tblCellSpacing w:w="0" w:type="dxa"/>
        </w:trPr>
        <w:tc>
          <w:tcPr>
            <w:tcW w:w="0" w:type="auto"/>
            <w:noWrap w:val="0"/>
            <w:vAlign w:val="center"/>
          </w:tcPr>
          <w:p w14:paraId="16EC5DB3">
            <w:r>
              <w:rPr>
                <w:rStyle w:val="10"/>
                <w:rFonts w:hint="eastAsia"/>
              </w:rPr>
              <w:t>总有效成分含量：</w:t>
            </w:r>
            <w:r>
              <w:rPr>
                <w:rFonts w:hint="eastAsia"/>
              </w:rPr>
              <w:t>15%</w:t>
            </w:r>
          </w:p>
        </w:tc>
      </w:tr>
      <w:tr w14:paraId="7B10C1C1">
        <w:tblPrEx>
          <w:tblCellMar>
            <w:top w:w="0" w:type="dxa"/>
            <w:left w:w="0" w:type="dxa"/>
            <w:bottom w:w="0" w:type="dxa"/>
            <w:right w:w="0" w:type="dxa"/>
          </w:tblCellMar>
        </w:tblPrEx>
        <w:trPr>
          <w:wBefore w:w="0" w:type="auto"/>
          <w:tblCellSpacing w:w="0" w:type="dxa"/>
        </w:trPr>
        <w:tc>
          <w:tcPr>
            <w:tcW w:w="0" w:type="auto"/>
            <w:noWrap w:val="0"/>
            <w:vAlign w:val="center"/>
          </w:tcPr>
          <w:p w14:paraId="0B40528F">
            <w:r>
              <w:rPr>
                <w:rFonts w:hint="eastAsia"/>
              </w:rPr>
              <w:t xml:space="preserve">有效成分及其含量： </w:t>
            </w:r>
          </w:p>
          <w:p w14:paraId="7F8CB58D">
            <w:r>
              <w:rPr>
                <w:rFonts w:hint="eastAsia"/>
              </w:rPr>
              <w:t xml:space="preserve">    氰氟草酯12%    氯吡嘧磺隆3%    </w:t>
            </w:r>
          </w:p>
        </w:tc>
      </w:tr>
      <w:tr w14:paraId="02270F40">
        <w:tblPrEx>
          <w:tblCellMar>
            <w:top w:w="0" w:type="dxa"/>
            <w:left w:w="0" w:type="dxa"/>
            <w:bottom w:w="0" w:type="dxa"/>
            <w:right w:w="0" w:type="dxa"/>
          </w:tblCellMar>
        </w:tblPrEx>
        <w:trPr>
          <w:wBefore w:w="0" w:type="auto"/>
          <w:tblCellSpacing w:w="0" w:type="dxa"/>
        </w:trPr>
        <w:tc>
          <w:tcPr>
            <w:tcW w:w="0" w:type="auto"/>
            <w:noWrap w:val="0"/>
            <w:vAlign w:val="center"/>
          </w:tcPr>
          <w:p w14:paraId="15183F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8637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7BAC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D75A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9A29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0CE6EB">
                  <w:r>
                    <w:rPr>
                      <w:rStyle w:val="11"/>
                      <w:rFonts w:hint="eastAsia"/>
                    </w:rPr>
                    <w:t>施用方式</w:t>
                  </w:r>
                </w:p>
              </w:tc>
            </w:tr>
            <w:tr w14:paraId="033DF7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5B7E98">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5DBD2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5DE42">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6C601D">
                  <w:r>
                    <w:rPr>
                      <w:rStyle w:val="11"/>
                      <w:rFonts w:hint="eastAsia"/>
                    </w:rPr>
                    <w:t>茎叶喷雾</w:t>
                  </w:r>
                </w:p>
              </w:tc>
            </w:tr>
          </w:tbl>
          <w:p w14:paraId="05CD6E5E">
            <w:pPr>
              <w:rPr>
                <w:rFonts w:ascii="Times New Roman" w:hAnsi="Times New Roman" w:cs="Times New Roman"/>
                <w:sz w:val="20"/>
                <w:szCs w:val="20"/>
              </w:rPr>
            </w:pPr>
          </w:p>
        </w:tc>
      </w:tr>
      <w:tr w14:paraId="1813E61F">
        <w:tblPrEx>
          <w:tblCellMar>
            <w:top w:w="0" w:type="dxa"/>
            <w:left w:w="0" w:type="dxa"/>
            <w:bottom w:w="0" w:type="dxa"/>
            <w:right w:w="0" w:type="dxa"/>
          </w:tblCellMar>
        </w:tblPrEx>
        <w:trPr>
          <w:wBefore w:w="0" w:type="auto"/>
          <w:tblCellSpacing w:w="0" w:type="dxa"/>
        </w:trPr>
        <w:tc>
          <w:tcPr>
            <w:tcW w:w="0" w:type="auto"/>
            <w:noWrap w:val="0"/>
            <w:vAlign w:val="center"/>
          </w:tcPr>
          <w:p w14:paraId="2FDF5E7B">
            <w:r>
              <w:rPr>
                <w:rStyle w:val="10"/>
                <w:rFonts w:hint="eastAsia"/>
              </w:rPr>
              <w:t>使用技术要求:</w:t>
            </w:r>
            <w:r>
              <w:rPr>
                <w:rFonts w:hint="eastAsia"/>
              </w:rPr>
              <w:br w:type="textWrapping"/>
            </w:r>
            <w:r>
              <w:rPr>
                <w:rStyle w:val="11"/>
                <w:rFonts w:hint="eastAsia"/>
              </w:rPr>
              <w:t>1、 于水稻3-4叶期，田间一年生杂草2-4叶期，茎叶喷雾施药，施药前排干田水，保持田间湿润，药后1-3天复水，田内保持3-5厘米水层，勿使田水淹没水稻心叶，5-7天后恢复正常管理。2．每季作物最多使用1次。</w:t>
            </w:r>
          </w:p>
        </w:tc>
      </w:tr>
      <w:tr w14:paraId="74FC8C9A">
        <w:tblPrEx>
          <w:tblCellMar>
            <w:top w:w="0" w:type="dxa"/>
            <w:left w:w="0" w:type="dxa"/>
            <w:bottom w:w="0" w:type="dxa"/>
            <w:right w:w="0" w:type="dxa"/>
          </w:tblCellMar>
        </w:tblPrEx>
        <w:trPr>
          <w:wBefore w:w="0" w:type="auto"/>
          <w:tblCellSpacing w:w="0" w:type="dxa"/>
        </w:trPr>
        <w:tc>
          <w:tcPr>
            <w:tcW w:w="0" w:type="auto"/>
            <w:noWrap w:val="0"/>
            <w:vAlign w:val="center"/>
          </w:tcPr>
          <w:p w14:paraId="4A600FC2">
            <w:r>
              <w:rPr>
                <w:rStyle w:val="10"/>
                <w:rFonts w:hint="eastAsia"/>
              </w:rPr>
              <w:t>产品性能:</w:t>
            </w:r>
            <w:r>
              <w:rPr>
                <w:rFonts w:hint="eastAsia"/>
              </w:rPr>
              <w:br w:type="textWrapping"/>
            </w:r>
            <w:r>
              <w:rPr>
                <w:rStyle w:val="11"/>
                <w:rFonts w:hint="eastAsia"/>
              </w:rPr>
              <w:t>氰氟草酯是二苯醚类除草剂，主要用于防除水稻田禾本科杂草；氯吡嘧磺隆是磺酰脲类除草剂，是乙酰乳酸合成酶（ALS酶）的抑制剂，有效防除阔叶杂草和莎草科杂草。两者复配可以对稻田内的禾本科杂草、阔叶杂草和莎草科杂草起到很好的防治效果。</w:t>
            </w:r>
          </w:p>
        </w:tc>
      </w:tr>
      <w:tr w14:paraId="6DEDF4AC">
        <w:tblPrEx>
          <w:tblCellMar>
            <w:top w:w="0" w:type="dxa"/>
            <w:left w:w="0" w:type="dxa"/>
            <w:bottom w:w="0" w:type="dxa"/>
            <w:right w:w="0" w:type="dxa"/>
          </w:tblCellMar>
        </w:tblPrEx>
        <w:trPr>
          <w:wBefore w:w="0" w:type="auto"/>
          <w:tblCellSpacing w:w="0" w:type="dxa"/>
        </w:trPr>
        <w:tc>
          <w:tcPr>
            <w:tcW w:w="0" w:type="auto"/>
            <w:noWrap w:val="0"/>
            <w:vAlign w:val="center"/>
          </w:tcPr>
          <w:p w14:paraId="451B7606">
            <w:r>
              <w:rPr>
                <w:rStyle w:val="10"/>
                <w:rFonts w:hint="eastAsia"/>
              </w:rPr>
              <w:t>注意事项：</w:t>
            </w:r>
            <w:r>
              <w:rPr>
                <w:rFonts w:hint="eastAsia"/>
              </w:rPr>
              <w:br w:type="textWrapping"/>
            </w:r>
            <w:r>
              <w:rPr>
                <w:rStyle w:val="11"/>
                <w:rFonts w:hint="eastAsia"/>
              </w:rPr>
              <w:t>1、使用本品时穿戴长衣、长裤、帽子、口罩、手套等安全防护措施，避免吸入药液；施药期间不可吃东西、饮水等。施药后应及时洗手、洗脸等。2、清洗施药器具的废水不能排入河流、池塘等水源。废弃物应妥善处理，不可做他用，也不可随意丢弃。3、家蚕对最外围桑树风险不可接受，建议在蚕室和桑园附近禁用。4、远离水产养殖区、河塘等水域施药，禁止在河塘等水体清洗施药器械。5、鱼、虾、蟹套养稻田禁用，施药后的田水不得直接排入水体。6、孕妇及哺乳期妇女应避免接触本品。7、本品对眼睛、皮肤有刺激性，使用时要注意避免药液与眼睛、皮肤接触。</w:t>
            </w:r>
          </w:p>
        </w:tc>
      </w:tr>
      <w:tr w14:paraId="0B6EEC60">
        <w:tblPrEx>
          <w:tblCellMar>
            <w:top w:w="0" w:type="dxa"/>
            <w:left w:w="0" w:type="dxa"/>
            <w:bottom w:w="0" w:type="dxa"/>
            <w:right w:w="0" w:type="dxa"/>
          </w:tblCellMar>
        </w:tblPrEx>
        <w:trPr>
          <w:wBefore w:w="0" w:type="auto"/>
          <w:tblCellSpacing w:w="0" w:type="dxa"/>
        </w:trPr>
        <w:tc>
          <w:tcPr>
            <w:tcW w:w="0" w:type="auto"/>
            <w:noWrap w:val="0"/>
            <w:vAlign w:val="center"/>
          </w:tcPr>
          <w:p w14:paraId="5920BB8C">
            <w:r>
              <w:rPr>
                <w:rStyle w:val="10"/>
                <w:rFonts w:hint="eastAsia"/>
              </w:rPr>
              <w:t>中毒急救措施：</w:t>
            </w:r>
            <w:r>
              <w:rPr>
                <w:rFonts w:hint="eastAsia"/>
              </w:rPr>
              <w:br w:type="textWrapping"/>
            </w:r>
            <w:r>
              <w:rPr>
                <w:rStyle w:val="11"/>
                <w:rFonts w:hint="eastAsia"/>
              </w:rPr>
              <w:t>对眼睛有刺激性，使用时避免接触眼睛。 1.眼睛溅入：立刻用大量清水冲洗，如配戴隐形眼镜，冲洗1-2分钟后摘掉眼镜再冲洗数分钟。如症状持续，请就医。 2.误食：请勿自行引吐。请即就医。 3.皮肤接触：脱去被溅及衣物。立刻用大量清水冲洗皮肤。如症状持续，请就医。衣物彻底清洗后方可再穿。丢弃无法清洗的物件如皮革制品。 4.误吸：误吸∶转移至空气清新处，并携此标签去医院诊治。</w:t>
            </w:r>
          </w:p>
        </w:tc>
      </w:tr>
      <w:tr w14:paraId="5A15727A">
        <w:tblPrEx>
          <w:tblCellMar>
            <w:top w:w="0" w:type="dxa"/>
            <w:left w:w="0" w:type="dxa"/>
            <w:bottom w:w="0" w:type="dxa"/>
            <w:right w:w="0" w:type="dxa"/>
          </w:tblCellMar>
        </w:tblPrEx>
        <w:trPr>
          <w:wBefore w:w="0" w:type="auto"/>
          <w:tblCellSpacing w:w="0" w:type="dxa"/>
        </w:trPr>
        <w:tc>
          <w:tcPr>
            <w:tcW w:w="0" w:type="auto"/>
            <w:noWrap w:val="0"/>
            <w:vAlign w:val="center"/>
          </w:tcPr>
          <w:p w14:paraId="02894A96">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0F549E10">
        <w:tblPrEx>
          <w:tblCellMar>
            <w:top w:w="0" w:type="dxa"/>
            <w:left w:w="0" w:type="dxa"/>
            <w:bottom w:w="0" w:type="dxa"/>
            <w:right w:w="0" w:type="dxa"/>
          </w:tblCellMar>
        </w:tblPrEx>
        <w:trPr>
          <w:wBefore w:w="0" w:type="auto"/>
          <w:tblCellSpacing w:w="0" w:type="dxa"/>
        </w:trPr>
        <w:tc>
          <w:tcPr>
            <w:tcW w:w="0" w:type="auto"/>
            <w:noWrap w:val="0"/>
            <w:vAlign w:val="center"/>
          </w:tcPr>
          <w:p w14:paraId="1D10EA25">
            <w:r>
              <w:rPr>
                <w:rStyle w:val="10"/>
                <w:rFonts w:hint="eastAsia"/>
              </w:rPr>
              <w:t>质量保证期：</w:t>
            </w:r>
            <w:r>
              <w:rPr>
                <w:rStyle w:val="11"/>
                <w:rFonts w:hint="eastAsia"/>
              </w:rPr>
              <w:t>2年</w:t>
            </w:r>
          </w:p>
        </w:tc>
      </w:tr>
      <w:tr w14:paraId="63B8D81A">
        <w:tblPrEx>
          <w:tblCellMar>
            <w:top w:w="0" w:type="dxa"/>
            <w:left w:w="0" w:type="dxa"/>
            <w:bottom w:w="0" w:type="dxa"/>
            <w:right w:w="0" w:type="dxa"/>
          </w:tblCellMar>
        </w:tblPrEx>
        <w:trPr>
          <w:wBefore w:w="0" w:type="auto"/>
          <w:tblCellSpacing w:w="0" w:type="dxa"/>
        </w:trPr>
        <w:tc>
          <w:tcPr>
            <w:tcW w:w="0" w:type="auto"/>
            <w:noWrap w:val="0"/>
            <w:vAlign w:val="center"/>
          </w:tcPr>
          <w:p w14:paraId="3D1421E5">
            <w:r>
              <w:rPr>
                <w:rStyle w:val="10"/>
                <w:rFonts w:hint="eastAsia"/>
              </w:rPr>
              <w:t>备注：</w:t>
            </w:r>
          </w:p>
        </w:tc>
      </w:tr>
    </w:tbl>
    <w:p w14:paraId="264C755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F954E7">
        <w:tblPrEx>
          <w:tblCellMar>
            <w:top w:w="0" w:type="dxa"/>
            <w:left w:w="0" w:type="dxa"/>
            <w:bottom w:w="0" w:type="dxa"/>
            <w:right w:w="0" w:type="dxa"/>
          </w:tblCellMar>
        </w:tblPrEx>
        <w:trPr>
          <w:wBefore w:w="0" w:type="auto"/>
          <w:tblCellSpacing w:w="0" w:type="dxa"/>
        </w:trPr>
        <w:tc>
          <w:tcPr>
            <w:tcW w:w="0" w:type="auto"/>
            <w:noWrap w:val="0"/>
            <w:vAlign w:val="center"/>
          </w:tcPr>
          <w:p w14:paraId="1C3D7F6F">
            <w:r>
              <w:rPr>
                <w:rStyle w:val="10"/>
                <w:rFonts w:hint="eastAsia"/>
              </w:rPr>
              <w:t>登记证号：</w:t>
            </w:r>
            <w:r>
              <w:rPr>
                <w:rFonts w:hint="eastAsia"/>
              </w:rPr>
              <w:t>PD20212723</w:t>
            </w:r>
          </w:p>
        </w:tc>
      </w:tr>
      <w:tr w14:paraId="0754C63E">
        <w:tblPrEx>
          <w:tblCellMar>
            <w:top w:w="0" w:type="dxa"/>
            <w:left w:w="0" w:type="dxa"/>
            <w:bottom w:w="0" w:type="dxa"/>
            <w:right w:w="0" w:type="dxa"/>
          </w:tblCellMar>
        </w:tblPrEx>
        <w:trPr>
          <w:wBefore w:w="0" w:type="auto"/>
          <w:tblCellSpacing w:w="0" w:type="dxa"/>
        </w:trPr>
        <w:tc>
          <w:tcPr>
            <w:tcW w:w="0" w:type="auto"/>
            <w:noWrap w:val="0"/>
            <w:vAlign w:val="center"/>
          </w:tcPr>
          <w:p w14:paraId="3747DE3A">
            <w:r>
              <w:rPr>
                <w:rStyle w:val="10"/>
                <w:rFonts w:hint="eastAsia"/>
              </w:rPr>
              <w:t>登记证持有人：</w:t>
            </w:r>
            <w:r>
              <w:rPr>
                <w:rFonts w:hint="eastAsia"/>
              </w:rPr>
              <w:t>江苏省扬州绿源生物化工有限公司</w:t>
            </w:r>
          </w:p>
        </w:tc>
      </w:tr>
      <w:tr w14:paraId="6AC5DD2B">
        <w:tblPrEx>
          <w:tblCellMar>
            <w:top w:w="0" w:type="dxa"/>
            <w:left w:w="0" w:type="dxa"/>
            <w:bottom w:w="0" w:type="dxa"/>
            <w:right w:w="0" w:type="dxa"/>
          </w:tblCellMar>
        </w:tblPrEx>
        <w:trPr>
          <w:wBefore w:w="0" w:type="auto"/>
          <w:tblCellSpacing w:w="0" w:type="dxa"/>
        </w:trPr>
        <w:tc>
          <w:tcPr>
            <w:tcW w:w="0" w:type="auto"/>
            <w:noWrap w:val="0"/>
            <w:vAlign w:val="center"/>
          </w:tcPr>
          <w:p w14:paraId="5E5A1899">
            <w:r>
              <w:rPr>
                <w:rStyle w:val="10"/>
                <w:rFonts w:hint="eastAsia"/>
              </w:rPr>
              <w:t>农药名称：</w:t>
            </w:r>
            <w:r>
              <w:rPr>
                <w:rFonts w:hint="eastAsia"/>
              </w:rPr>
              <w:t>枯草芽孢杆菌</w:t>
            </w:r>
          </w:p>
        </w:tc>
      </w:tr>
      <w:tr w14:paraId="2A9C14AC">
        <w:tblPrEx>
          <w:tblCellMar>
            <w:top w:w="0" w:type="dxa"/>
            <w:left w:w="0" w:type="dxa"/>
            <w:bottom w:w="0" w:type="dxa"/>
            <w:right w:w="0" w:type="dxa"/>
          </w:tblCellMar>
        </w:tblPrEx>
        <w:trPr>
          <w:wBefore w:w="0" w:type="auto"/>
          <w:tblCellSpacing w:w="0" w:type="dxa"/>
        </w:trPr>
        <w:tc>
          <w:tcPr>
            <w:tcW w:w="0" w:type="auto"/>
            <w:noWrap w:val="0"/>
            <w:vAlign w:val="center"/>
          </w:tcPr>
          <w:p w14:paraId="4197780B">
            <w:r>
              <w:rPr>
                <w:rStyle w:val="10"/>
                <w:rFonts w:hint="eastAsia"/>
              </w:rPr>
              <w:t>剂型：</w:t>
            </w:r>
            <w:r>
              <w:rPr>
                <w:rFonts w:hint="eastAsia"/>
              </w:rPr>
              <w:t>悬浮剂</w:t>
            </w:r>
          </w:p>
        </w:tc>
      </w:tr>
      <w:tr w14:paraId="236ED113">
        <w:tblPrEx>
          <w:tblCellMar>
            <w:top w:w="0" w:type="dxa"/>
            <w:left w:w="0" w:type="dxa"/>
            <w:bottom w:w="0" w:type="dxa"/>
            <w:right w:w="0" w:type="dxa"/>
          </w:tblCellMar>
        </w:tblPrEx>
        <w:trPr>
          <w:wBefore w:w="0" w:type="auto"/>
          <w:tblCellSpacing w:w="0" w:type="dxa"/>
        </w:trPr>
        <w:tc>
          <w:tcPr>
            <w:tcW w:w="0" w:type="auto"/>
            <w:noWrap w:val="0"/>
            <w:vAlign w:val="center"/>
          </w:tcPr>
          <w:p w14:paraId="0990E847">
            <w:r>
              <w:rPr>
                <w:rStyle w:val="10"/>
                <w:rFonts w:hint="eastAsia"/>
              </w:rPr>
              <w:t>毒性及其标识：</w:t>
            </w:r>
            <w:r>
              <w:rPr>
                <w:rFonts w:hint="eastAsia"/>
              </w:rPr>
              <w:t xml:space="preserve"> </w:t>
            </w:r>
            <w:r>
              <w:rPr>
                <w:lang/>
              </w:rPr>
              <w:drawing>
                <wp:inline distT="0" distB="0" distL="114300" distR="114300">
                  <wp:extent cx="476250" cy="323850"/>
                  <wp:effectExtent l="0" t="0" r="0" b="0"/>
                  <wp:docPr id="307" name="图片 3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F671CF">
        <w:tblPrEx>
          <w:tblCellMar>
            <w:top w:w="0" w:type="dxa"/>
            <w:left w:w="0" w:type="dxa"/>
            <w:bottom w:w="0" w:type="dxa"/>
            <w:right w:w="0" w:type="dxa"/>
          </w:tblCellMar>
        </w:tblPrEx>
        <w:trPr>
          <w:wBefore w:w="0" w:type="auto"/>
          <w:tblCellSpacing w:w="0" w:type="dxa"/>
        </w:trPr>
        <w:tc>
          <w:tcPr>
            <w:tcW w:w="0" w:type="auto"/>
            <w:noWrap w:val="0"/>
            <w:vAlign w:val="center"/>
          </w:tcPr>
          <w:p w14:paraId="03426805">
            <w:r>
              <w:rPr>
                <w:rStyle w:val="10"/>
                <w:rFonts w:hint="eastAsia"/>
              </w:rPr>
              <w:t>总有效成分含量：</w:t>
            </w:r>
            <w:r>
              <w:rPr>
                <w:rFonts w:hint="eastAsia"/>
              </w:rPr>
              <w:t>100亿CFU/毫升</w:t>
            </w:r>
          </w:p>
        </w:tc>
      </w:tr>
      <w:tr w14:paraId="58A78AC3">
        <w:tblPrEx>
          <w:tblCellMar>
            <w:top w:w="0" w:type="dxa"/>
            <w:left w:w="0" w:type="dxa"/>
            <w:bottom w:w="0" w:type="dxa"/>
            <w:right w:w="0" w:type="dxa"/>
          </w:tblCellMar>
        </w:tblPrEx>
        <w:trPr>
          <w:wBefore w:w="0" w:type="auto"/>
          <w:tblCellSpacing w:w="0" w:type="dxa"/>
        </w:trPr>
        <w:tc>
          <w:tcPr>
            <w:tcW w:w="0" w:type="auto"/>
            <w:noWrap w:val="0"/>
            <w:vAlign w:val="center"/>
          </w:tcPr>
          <w:p w14:paraId="0FC14504">
            <w:r>
              <w:rPr>
                <w:rFonts w:hint="eastAsia"/>
              </w:rPr>
              <w:t xml:space="preserve">有效成分及其含量： </w:t>
            </w:r>
          </w:p>
          <w:p w14:paraId="4A10C792">
            <w:r>
              <w:rPr>
                <w:rFonts w:hint="eastAsia"/>
              </w:rPr>
              <w:t xml:space="preserve">    枯草芽孢杆菌100亿CFU/毫升    </w:t>
            </w:r>
          </w:p>
        </w:tc>
      </w:tr>
      <w:tr w14:paraId="76E64D72">
        <w:tblPrEx>
          <w:tblCellMar>
            <w:top w:w="0" w:type="dxa"/>
            <w:left w:w="0" w:type="dxa"/>
            <w:bottom w:w="0" w:type="dxa"/>
            <w:right w:w="0" w:type="dxa"/>
          </w:tblCellMar>
        </w:tblPrEx>
        <w:trPr>
          <w:wBefore w:w="0" w:type="auto"/>
          <w:tblCellSpacing w:w="0" w:type="dxa"/>
        </w:trPr>
        <w:tc>
          <w:tcPr>
            <w:tcW w:w="0" w:type="auto"/>
            <w:noWrap w:val="0"/>
            <w:vAlign w:val="center"/>
          </w:tcPr>
          <w:p w14:paraId="6208DC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A926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3D33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76380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D1BE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087491">
                  <w:r>
                    <w:rPr>
                      <w:rStyle w:val="11"/>
                      <w:rFonts w:hint="eastAsia"/>
                    </w:rPr>
                    <w:t>施用方式</w:t>
                  </w:r>
                </w:p>
              </w:tc>
            </w:tr>
            <w:tr w14:paraId="3FEBCE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C1032F">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0D8518">
                  <w:r>
                    <w:rPr>
                      <w:rStyle w:val="11"/>
                      <w:rFonts w:hint="eastAsia"/>
                    </w:rPr>
                    <w:t>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695FED">
                  <w:r>
                    <w:rPr>
                      <w:rStyle w:val="11"/>
                      <w:rFonts w:hint="eastAsia"/>
                    </w:rPr>
                    <w:t>100-200毫升/亩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AFDA05">
                  <w:r>
                    <w:rPr>
                      <w:rStyle w:val="11"/>
                      <w:rFonts w:hint="eastAsia"/>
                    </w:rPr>
                    <w:t>喷雾</w:t>
                  </w:r>
                </w:p>
              </w:tc>
            </w:tr>
          </w:tbl>
          <w:p w14:paraId="058C2AD0">
            <w:pPr>
              <w:rPr>
                <w:rFonts w:ascii="Times New Roman" w:hAnsi="Times New Roman" w:cs="Times New Roman"/>
                <w:sz w:val="20"/>
                <w:szCs w:val="20"/>
              </w:rPr>
            </w:pPr>
          </w:p>
        </w:tc>
      </w:tr>
      <w:tr w14:paraId="095C55A5">
        <w:tblPrEx>
          <w:tblCellMar>
            <w:top w:w="0" w:type="dxa"/>
            <w:left w:w="0" w:type="dxa"/>
            <w:bottom w:w="0" w:type="dxa"/>
            <w:right w:w="0" w:type="dxa"/>
          </w:tblCellMar>
        </w:tblPrEx>
        <w:trPr>
          <w:wBefore w:w="0" w:type="auto"/>
          <w:tblCellSpacing w:w="0" w:type="dxa"/>
        </w:trPr>
        <w:tc>
          <w:tcPr>
            <w:tcW w:w="0" w:type="auto"/>
            <w:noWrap w:val="0"/>
            <w:vAlign w:val="center"/>
          </w:tcPr>
          <w:p w14:paraId="4B9CF555">
            <w:r>
              <w:rPr>
                <w:rStyle w:val="10"/>
                <w:rFonts w:hint="eastAsia"/>
              </w:rPr>
              <w:t>使用技术要求:</w:t>
            </w:r>
            <w:r>
              <w:rPr>
                <w:rFonts w:hint="eastAsia"/>
              </w:rPr>
              <w:br w:type="textWrapping"/>
            </w:r>
            <w:r>
              <w:rPr>
                <w:rStyle w:val="11"/>
                <w:rFonts w:hint="eastAsia"/>
              </w:rPr>
              <w:t>1. 于辣椒疫病病害发生前施药，对植株均匀喷雾，视病害发生情况，每7-10天左右施药一次，可连续用药2-3次。 2. 大风天或预计1小时内降雨，请勿施药。3. 请勿在强阳光下喷雾，晴天傍晚或阴天用药效果最佳。</w:t>
            </w:r>
          </w:p>
        </w:tc>
      </w:tr>
      <w:tr w14:paraId="53D09F8B">
        <w:tblPrEx>
          <w:tblCellMar>
            <w:top w:w="0" w:type="dxa"/>
            <w:left w:w="0" w:type="dxa"/>
            <w:bottom w:w="0" w:type="dxa"/>
            <w:right w:w="0" w:type="dxa"/>
          </w:tblCellMar>
        </w:tblPrEx>
        <w:trPr>
          <w:wBefore w:w="0" w:type="auto"/>
          <w:tblCellSpacing w:w="0" w:type="dxa"/>
        </w:trPr>
        <w:tc>
          <w:tcPr>
            <w:tcW w:w="0" w:type="auto"/>
            <w:noWrap w:val="0"/>
            <w:vAlign w:val="center"/>
          </w:tcPr>
          <w:p w14:paraId="0E074E65">
            <w:r>
              <w:rPr>
                <w:rStyle w:val="10"/>
                <w:rFonts w:hint="eastAsia"/>
              </w:rPr>
              <w:t>产品性能:</w:t>
            </w:r>
            <w:r>
              <w:rPr>
                <w:rFonts w:hint="eastAsia"/>
              </w:rPr>
              <w:br w:type="textWrapping"/>
            </w:r>
            <w:r>
              <w:rPr>
                <w:rStyle w:val="11"/>
                <w:rFonts w:hint="eastAsia"/>
              </w:rPr>
              <w:t>本品是微生物杀菌剂，对辣椒疫病具有较好的防治效果。其有效成分枯草芽孢杆菌能在植物根际、体表或体内及土壤中快速、大量繁衍和定殖，保护植株不受病菌侵染，同时分泌具有杀菌作用的活性物质，达到有效排斥、抑制和杀灭病菌的作用。</w:t>
            </w:r>
          </w:p>
        </w:tc>
      </w:tr>
      <w:tr w14:paraId="4B9050A3">
        <w:tblPrEx>
          <w:tblCellMar>
            <w:top w:w="0" w:type="dxa"/>
            <w:left w:w="0" w:type="dxa"/>
            <w:bottom w:w="0" w:type="dxa"/>
            <w:right w:w="0" w:type="dxa"/>
          </w:tblCellMar>
        </w:tblPrEx>
        <w:trPr>
          <w:wBefore w:w="0" w:type="auto"/>
          <w:tblCellSpacing w:w="0" w:type="dxa"/>
        </w:trPr>
        <w:tc>
          <w:tcPr>
            <w:tcW w:w="0" w:type="auto"/>
            <w:noWrap w:val="0"/>
            <w:vAlign w:val="center"/>
          </w:tcPr>
          <w:p w14:paraId="432FC03C">
            <w:r>
              <w:rPr>
                <w:rStyle w:val="10"/>
                <w:rFonts w:hint="eastAsia"/>
              </w:rPr>
              <w:t>注意事项：</w:t>
            </w:r>
            <w:r>
              <w:rPr>
                <w:rFonts w:hint="eastAsia"/>
              </w:rPr>
              <w:br w:type="textWrapping"/>
            </w:r>
            <w:r>
              <w:rPr>
                <w:rStyle w:val="11"/>
                <w:rFonts w:hint="eastAsia"/>
              </w:rPr>
              <w:t>1. 使用前将本品充分摇匀。 2. 本品不能与呈碱性的农药等物质混合使用。禁止在河塘等水体中清洗施药器具。 3. 使用本品时应穿戴防护服和手套，避免吸入药液。施药期间不可吃东西和饮水。施药后应及时洗手和洗脸。 4. 用过的容器应妥善处理，不可做他用，也不可随意丢弃。 5. 孕妇及哺乳期妇女禁止接触。</w:t>
            </w:r>
          </w:p>
        </w:tc>
      </w:tr>
      <w:tr w14:paraId="3A843B0E">
        <w:tblPrEx>
          <w:tblCellMar>
            <w:top w:w="0" w:type="dxa"/>
            <w:left w:w="0" w:type="dxa"/>
            <w:bottom w:w="0" w:type="dxa"/>
            <w:right w:w="0" w:type="dxa"/>
          </w:tblCellMar>
        </w:tblPrEx>
        <w:trPr>
          <w:wBefore w:w="0" w:type="auto"/>
          <w:tblCellSpacing w:w="0" w:type="dxa"/>
        </w:trPr>
        <w:tc>
          <w:tcPr>
            <w:tcW w:w="0" w:type="auto"/>
            <w:noWrap w:val="0"/>
            <w:vAlign w:val="center"/>
          </w:tcPr>
          <w:p w14:paraId="2FCA1C51">
            <w:r>
              <w:rPr>
                <w:rStyle w:val="10"/>
                <w:rFonts w:hint="eastAsia"/>
              </w:rPr>
              <w:t>中毒急救措施：</w:t>
            </w:r>
            <w:r>
              <w:rPr>
                <w:rFonts w:hint="eastAsia"/>
              </w:rPr>
              <w:br w:type="textWrapping"/>
            </w:r>
            <w:r>
              <w:rPr>
                <w:rStyle w:val="11"/>
                <w:rFonts w:hint="eastAsia"/>
              </w:rPr>
              <w:t>不慎吸入，应将病人移至空气流通处。不慎接触皮肤或溅入眼睛，及时用清水冲洗。如误食，可到当地医院对症治疗。</w:t>
            </w:r>
          </w:p>
        </w:tc>
      </w:tr>
      <w:tr w14:paraId="2F23BA85">
        <w:tblPrEx>
          <w:tblCellMar>
            <w:top w:w="0" w:type="dxa"/>
            <w:left w:w="0" w:type="dxa"/>
            <w:bottom w:w="0" w:type="dxa"/>
            <w:right w:w="0" w:type="dxa"/>
          </w:tblCellMar>
        </w:tblPrEx>
        <w:trPr>
          <w:wBefore w:w="0" w:type="auto"/>
          <w:tblCellSpacing w:w="0" w:type="dxa"/>
        </w:trPr>
        <w:tc>
          <w:tcPr>
            <w:tcW w:w="0" w:type="auto"/>
            <w:noWrap w:val="0"/>
            <w:vAlign w:val="center"/>
          </w:tcPr>
          <w:p w14:paraId="61167EDC">
            <w:r>
              <w:rPr>
                <w:rStyle w:val="10"/>
                <w:rFonts w:hint="eastAsia"/>
              </w:rPr>
              <w:t>储存和运输方法：</w:t>
            </w:r>
            <w:r>
              <w:rPr>
                <w:rFonts w:hint="eastAsia"/>
              </w:rPr>
              <w:br w:type="textWrapping"/>
            </w:r>
            <w:r>
              <w:rPr>
                <w:rStyle w:val="11"/>
                <w:rFonts w:hint="eastAsia"/>
              </w:rPr>
              <w:t>1. 贮存在干燥、阴凉、通风、防雨处，远离火源或热源。 2. 贮运时严防日晒，不得与食品、饮料、粮食、饲料等其他商品混合贮运。 3. 置于儿童、无关人员接触不到的地方，并加锁。 4. 运输中严防暴晒和雨淋。</w:t>
            </w:r>
          </w:p>
        </w:tc>
      </w:tr>
      <w:tr w14:paraId="40581BA3">
        <w:tblPrEx>
          <w:tblCellMar>
            <w:top w:w="0" w:type="dxa"/>
            <w:left w:w="0" w:type="dxa"/>
            <w:bottom w:w="0" w:type="dxa"/>
            <w:right w:w="0" w:type="dxa"/>
          </w:tblCellMar>
        </w:tblPrEx>
        <w:trPr>
          <w:wBefore w:w="0" w:type="auto"/>
          <w:tblCellSpacing w:w="0" w:type="dxa"/>
        </w:trPr>
        <w:tc>
          <w:tcPr>
            <w:tcW w:w="0" w:type="auto"/>
            <w:noWrap w:val="0"/>
            <w:vAlign w:val="center"/>
          </w:tcPr>
          <w:p w14:paraId="471DE101">
            <w:r>
              <w:rPr>
                <w:rStyle w:val="10"/>
                <w:rFonts w:hint="eastAsia"/>
              </w:rPr>
              <w:t>质量保证期：</w:t>
            </w:r>
            <w:r>
              <w:rPr>
                <w:rStyle w:val="11"/>
                <w:rFonts w:hint="eastAsia"/>
              </w:rPr>
              <w:t>18个月</w:t>
            </w:r>
          </w:p>
        </w:tc>
      </w:tr>
      <w:tr w14:paraId="42C08F39">
        <w:tblPrEx>
          <w:tblCellMar>
            <w:top w:w="0" w:type="dxa"/>
            <w:left w:w="0" w:type="dxa"/>
            <w:bottom w:w="0" w:type="dxa"/>
            <w:right w:w="0" w:type="dxa"/>
          </w:tblCellMar>
        </w:tblPrEx>
        <w:trPr>
          <w:wBefore w:w="0" w:type="auto"/>
          <w:tblCellSpacing w:w="0" w:type="dxa"/>
        </w:trPr>
        <w:tc>
          <w:tcPr>
            <w:tcW w:w="0" w:type="auto"/>
            <w:noWrap w:val="0"/>
            <w:vAlign w:val="center"/>
          </w:tcPr>
          <w:p w14:paraId="37DC354F">
            <w:r>
              <w:rPr>
                <w:rStyle w:val="10"/>
                <w:rFonts w:hint="eastAsia"/>
              </w:rPr>
              <w:t>备注：</w:t>
            </w:r>
          </w:p>
        </w:tc>
      </w:tr>
    </w:tbl>
    <w:p w14:paraId="455A72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6C26B4">
        <w:tblPrEx>
          <w:tblCellMar>
            <w:top w:w="0" w:type="dxa"/>
            <w:left w:w="0" w:type="dxa"/>
            <w:bottom w:w="0" w:type="dxa"/>
            <w:right w:w="0" w:type="dxa"/>
          </w:tblCellMar>
        </w:tblPrEx>
        <w:trPr>
          <w:wBefore w:w="0" w:type="auto"/>
          <w:tblCellSpacing w:w="0" w:type="dxa"/>
        </w:trPr>
        <w:tc>
          <w:tcPr>
            <w:tcW w:w="0" w:type="auto"/>
            <w:noWrap w:val="0"/>
            <w:vAlign w:val="center"/>
          </w:tcPr>
          <w:p w14:paraId="0FCDAF21">
            <w:r>
              <w:rPr>
                <w:rStyle w:val="10"/>
                <w:rFonts w:hint="eastAsia"/>
              </w:rPr>
              <w:t>登记证号：</w:t>
            </w:r>
            <w:r>
              <w:rPr>
                <w:rFonts w:hint="eastAsia"/>
              </w:rPr>
              <w:t>PD20212579</w:t>
            </w:r>
          </w:p>
        </w:tc>
      </w:tr>
      <w:tr w14:paraId="25E97B45">
        <w:tblPrEx>
          <w:tblCellMar>
            <w:top w:w="0" w:type="dxa"/>
            <w:left w:w="0" w:type="dxa"/>
            <w:bottom w:w="0" w:type="dxa"/>
            <w:right w:w="0" w:type="dxa"/>
          </w:tblCellMar>
        </w:tblPrEx>
        <w:trPr>
          <w:wBefore w:w="0" w:type="auto"/>
          <w:tblCellSpacing w:w="0" w:type="dxa"/>
        </w:trPr>
        <w:tc>
          <w:tcPr>
            <w:tcW w:w="0" w:type="auto"/>
            <w:noWrap w:val="0"/>
            <w:vAlign w:val="center"/>
          </w:tcPr>
          <w:p w14:paraId="5D091230">
            <w:r>
              <w:rPr>
                <w:rStyle w:val="10"/>
                <w:rFonts w:hint="eastAsia"/>
              </w:rPr>
              <w:t>登记证持有人：</w:t>
            </w:r>
            <w:r>
              <w:rPr>
                <w:rFonts w:hint="eastAsia"/>
              </w:rPr>
              <w:t>安徽佳田森农药化工有限公司</w:t>
            </w:r>
          </w:p>
        </w:tc>
      </w:tr>
      <w:tr w14:paraId="3F98D87D">
        <w:tblPrEx>
          <w:tblCellMar>
            <w:top w:w="0" w:type="dxa"/>
            <w:left w:w="0" w:type="dxa"/>
            <w:bottom w:w="0" w:type="dxa"/>
            <w:right w:w="0" w:type="dxa"/>
          </w:tblCellMar>
        </w:tblPrEx>
        <w:trPr>
          <w:wBefore w:w="0" w:type="auto"/>
          <w:tblCellSpacing w:w="0" w:type="dxa"/>
        </w:trPr>
        <w:tc>
          <w:tcPr>
            <w:tcW w:w="0" w:type="auto"/>
            <w:noWrap w:val="0"/>
            <w:vAlign w:val="center"/>
          </w:tcPr>
          <w:p w14:paraId="66C867EF">
            <w:r>
              <w:rPr>
                <w:rStyle w:val="10"/>
                <w:rFonts w:hint="eastAsia"/>
              </w:rPr>
              <w:t>农药名称：</w:t>
            </w:r>
            <w:r>
              <w:rPr>
                <w:rFonts w:hint="eastAsia"/>
              </w:rPr>
              <w:t>苄·丁</w:t>
            </w:r>
          </w:p>
        </w:tc>
      </w:tr>
      <w:tr w14:paraId="68CD76A3">
        <w:tblPrEx>
          <w:tblCellMar>
            <w:top w:w="0" w:type="dxa"/>
            <w:left w:w="0" w:type="dxa"/>
            <w:bottom w:w="0" w:type="dxa"/>
            <w:right w:w="0" w:type="dxa"/>
          </w:tblCellMar>
        </w:tblPrEx>
        <w:trPr>
          <w:wBefore w:w="0" w:type="auto"/>
          <w:tblCellSpacing w:w="0" w:type="dxa"/>
        </w:trPr>
        <w:tc>
          <w:tcPr>
            <w:tcW w:w="0" w:type="auto"/>
            <w:noWrap w:val="0"/>
            <w:vAlign w:val="center"/>
          </w:tcPr>
          <w:p w14:paraId="78155D39">
            <w:r>
              <w:rPr>
                <w:rStyle w:val="10"/>
                <w:rFonts w:hint="eastAsia"/>
              </w:rPr>
              <w:t>剂型：</w:t>
            </w:r>
            <w:r>
              <w:rPr>
                <w:rFonts w:hint="eastAsia"/>
              </w:rPr>
              <w:t>可分散油悬浮剂</w:t>
            </w:r>
          </w:p>
        </w:tc>
      </w:tr>
      <w:tr w14:paraId="51E0D45E">
        <w:tblPrEx>
          <w:tblCellMar>
            <w:top w:w="0" w:type="dxa"/>
            <w:left w:w="0" w:type="dxa"/>
            <w:bottom w:w="0" w:type="dxa"/>
            <w:right w:w="0" w:type="dxa"/>
          </w:tblCellMar>
        </w:tblPrEx>
        <w:trPr>
          <w:wBefore w:w="0" w:type="auto"/>
          <w:tblCellSpacing w:w="0" w:type="dxa"/>
        </w:trPr>
        <w:tc>
          <w:tcPr>
            <w:tcW w:w="0" w:type="auto"/>
            <w:noWrap w:val="0"/>
            <w:vAlign w:val="center"/>
          </w:tcPr>
          <w:p w14:paraId="5A3620D4">
            <w:r>
              <w:rPr>
                <w:rStyle w:val="10"/>
                <w:rFonts w:hint="eastAsia"/>
              </w:rPr>
              <w:t>毒性及其标识：</w:t>
            </w:r>
            <w:r>
              <w:rPr>
                <w:rFonts w:hint="eastAsia"/>
              </w:rPr>
              <w:t xml:space="preserve"> </w:t>
            </w:r>
            <w:r>
              <w:rPr>
                <w:lang/>
              </w:rPr>
              <w:drawing>
                <wp:inline distT="0" distB="0" distL="114300" distR="114300">
                  <wp:extent cx="476250" cy="323850"/>
                  <wp:effectExtent l="0" t="0" r="0" b="0"/>
                  <wp:docPr id="308" name="图片 3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9393C44">
        <w:tblPrEx>
          <w:tblCellMar>
            <w:top w:w="0" w:type="dxa"/>
            <w:left w:w="0" w:type="dxa"/>
            <w:bottom w:w="0" w:type="dxa"/>
            <w:right w:w="0" w:type="dxa"/>
          </w:tblCellMar>
        </w:tblPrEx>
        <w:trPr>
          <w:wBefore w:w="0" w:type="auto"/>
          <w:tblCellSpacing w:w="0" w:type="dxa"/>
        </w:trPr>
        <w:tc>
          <w:tcPr>
            <w:tcW w:w="0" w:type="auto"/>
            <w:noWrap w:val="0"/>
            <w:vAlign w:val="center"/>
          </w:tcPr>
          <w:p w14:paraId="14B751AE">
            <w:r>
              <w:rPr>
                <w:rStyle w:val="10"/>
                <w:rFonts w:hint="eastAsia"/>
              </w:rPr>
              <w:t>总有效成分含量：</w:t>
            </w:r>
            <w:r>
              <w:rPr>
                <w:rFonts w:hint="eastAsia"/>
              </w:rPr>
              <w:t>63%</w:t>
            </w:r>
          </w:p>
        </w:tc>
      </w:tr>
      <w:tr w14:paraId="262CF062">
        <w:tblPrEx>
          <w:tblCellMar>
            <w:top w:w="0" w:type="dxa"/>
            <w:left w:w="0" w:type="dxa"/>
            <w:bottom w:w="0" w:type="dxa"/>
            <w:right w:w="0" w:type="dxa"/>
          </w:tblCellMar>
        </w:tblPrEx>
        <w:trPr>
          <w:wBefore w:w="0" w:type="auto"/>
          <w:tblCellSpacing w:w="0" w:type="dxa"/>
        </w:trPr>
        <w:tc>
          <w:tcPr>
            <w:tcW w:w="0" w:type="auto"/>
            <w:noWrap w:val="0"/>
            <w:vAlign w:val="center"/>
          </w:tcPr>
          <w:p w14:paraId="467E21C3">
            <w:r>
              <w:rPr>
                <w:rFonts w:hint="eastAsia"/>
              </w:rPr>
              <w:t xml:space="preserve">有效成分及其含量： </w:t>
            </w:r>
          </w:p>
          <w:p w14:paraId="2102EAC0">
            <w:r>
              <w:rPr>
                <w:rFonts w:hint="eastAsia"/>
              </w:rPr>
              <w:t xml:space="preserve">    丁草胺60%    苄嘧磺隆3%    </w:t>
            </w:r>
          </w:p>
        </w:tc>
      </w:tr>
      <w:tr w14:paraId="4ECB992E">
        <w:tblPrEx>
          <w:tblCellMar>
            <w:top w:w="0" w:type="dxa"/>
            <w:left w:w="0" w:type="dxa"/>
            <w:bottom w:w="0" w:type="dxa"/>
            <w:right w:w="0" w:type="dxa"/>
          </w:tblCellMar>
        </w:tblPrEx>
        <w:trPr>
          <w:wBefore w:w="0" w:type="auto"/>
          <w:tblCellSpacing w:w="0" w:type="dxa"/>
        </w:trPr>
        <w:tc>
          <w:tcPr>
            <w:tcW w:w="0" w:type="auto"/>
            <w:noWrap w:val="0"/>
            <w:vAlign w:val="center"/>
          </w:tcPr>
          <w:p w14:paraId="28315C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5847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932F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6860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751E7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84E902">
                  <w:r>
                    <w:rPr>
                      <w:rStyle w:val="11"/>
                      <w:rFonts w:hint="eastAsia"/>
                    </w:rPr>
                    <w:t>施用方式</w:t>
                  </w:r>
                </w:p>
              </w:tc>
            </w:tr>
            <w:tr w14:paraId="7D726C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915B69">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B4A82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594F3C">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C06001">
                  <w:r>
                    <w:rPr>
                      <w:rStyle w:val="11"/>
                      <w:rFonts w:hint="eastAsia"/>
                    </w:rPr>
                    <w:t>土壤喷雾</w:t>
                  </w:r>
                </w:p>
              </w:tc>
            </w:tr>
          </w:tbl>
          <w:p w14:paraId="3D1B4C97">
            <w:pPr>
              <w:rPr>
                <w:rFonts w:ascii="Times New Roman" w:hAnsi="Times New Roman" w:cs="Times New Roman"/>
                <w:sz w:val="20"/>
                <w:szCs w:val="20"/>
              </w:rPr>
            </w:pPr>
          </w:p>
        </w:tc>
      </w:tr>
      <w:tr w14:paraId="76C938EA">
        <w:tblPrEx>
          <w:tblCellMar>
            <w:top w:w="0" w:type="dxa"/>
            <w:left w:w="0" w:type="dxa"/>
            <w:bottom w:w="0" w:type="dxa"/>
            <w:right w:w="0" w:type="dxa"/>
          </w:tblCellMar>
        </w:tblPrEx>
        <w:trPr>
          <w:wBefore w:w="0" w:type="auto"/>
          <w:tblCellSpacing w:w="0" w:type="dxa"/>
        </w:trPr>
        <w:tc>
          <w:tcPr>
            <w:tcW w:w="0" w:type="auto"/>
            <w:noWrap w:val="0"/>
            <w:vAlign w:val="center"/>
          </w:tcPr>
          <w:p w14:paraId="3147924C">
            <w:r>
              <w:rPr>
                <w:rStyle w:val="10"/>
                <w:rFonts w:hint="eastAsia"/>
              </w:rPr>
              <w:t>使用技术要求:</w:t>
            </w:r>
            <w:r>
              <w:rPr>
                <w:rFonts w:hint="eastAsia"/>
              </w:rPr>
              <w:br w:type="textWrapping"/>
            </w:r>
            <w:r>
              <w:rPr>
                <w:rStyle w:val="11"/>
                <w:rFonts w:hint="eastAsia"/>
              </w:rPr>
              <w:t>1.于水稻催芽播种后2-5天，土壤均匀喷雾施药，施药时田面平整无积水，雨天排水。施药时应喷雾。2.大风天或预计1小时内降雨，请勿施药。 3.每季作物最多使用1次。</w:t>
            </w:r>
          </w:p>
        </w:tc>
      </w:tr>
      <w:tr w14:paraId="672BB391">
        <w:tblPrEx>
          <w:tblCellMar>
            <w:top w:w="0" w:type="dxa"/>
            <w:left w:w="0" w:type="dxa"/>
            <w:bottom w:w="0" w:type="dxa"/>
            <w:right w:w="0" w:type="dxa"/>
          </w:tblCellMar>
        </w:tblPrEx>
        <w:trPr>
          <w:wBefore w:w="0" w:type="auto"/>
          <w:tblCellSpacing w:w="0" w:type="dxa"/>
        </w:trPr>
        <w:tc>
          <w:tcPr>
            <w:tcW w:w="0" w:type="auto"/>
            <w:noWrap w:val="0"/>
            <w:vAlign w:val="center"/>
          </w:tcPr>
          <w:p w14:paraId="5556D2BD">
            <w:r>
              <w:rPr>
                <w:rStyle w:val="10"/>
                <w:rFonts w:hint="eastAsia"/>
              </w:rPr>
              <w:t>产品性能:</w:t>
            </w:r>
            <w:r>
              <w:rPr>
                <w:rFonts w:hint="eastAsia"/>
              </w:rPr>
              <w:br w:type="textWrapping"/>
            </w:r>
            <w:r>
              <w:rPr>
                <w:rStyle w:val="11"/>
                <w:rFonts w:hint="eastAsia"/>
              </w:rPr>
              <w:t>本品由丁草胺和苄嘧磺隆复配的除草剂，具有抑制和破坏蛋白酶，影响蛋白质的形成，抑制杂草幼芽和幼根正常生长发育，从而使杂草死亡。而且具有阻碍支链氨基酸生物合成，敏感杂草生长机能受阻、幼嫩组织过早发黄，抑制叶部、根部生长等特点。施药后，可被作物较迅速地吸收，在植物体内渗透性较强，对一年生杂草防治效果较好。</w:t>
            </w:r>
          </w:p>
        </w:tc>
      </w:tr>
      <w:tr w14:paraId="5C82D77A">
        <w:tblPrEx>
          <w:tblCellMar>
            <w:top w:w="0" w:type="dxa"/>
            <w:left w:w="0" w:type="dxa"/>
            <w:bottom w:w="0" w:type="dxa"/>
            <w:right w:w="0" w:type="dxa"/>
          </w:tblCellMar>
        </w:tblPrEx>
        <w:trPr>
          <w:wBefore w:w="0" w:type="auto"/>
          <w:tblCellSpacing w:w="0" w:type="dxa"/>
        </w:trPr>
        <w:tc>
          <w:tcPr>
            <w:tcW w:w="0" w:type="auto"/>
            <w:noWrap w:val="0"/>
            <w:vAlign w:val="center"/>
          </w:tcPr>
          <w:p w14:paraId="79FF04D7">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w:t>
            </w:r>
            <w:r>
              <w:rPr>
                <w:rStyle w:val="11"/>
                <w:rFonts w:hint="eastAsia"/>
              </w:rPr>
              <w:t> </w:t>
            </w:r>
            <w:r>
              <w:rPr>
                <w:rStyle w:val="11"/>
                <w:rFonts w:hint="eastAsia"/>
              </w:rPr>
              <w:t>水产养殖区、河塘等水体附近禁用，禁止在河塘等水域清洗施药器具；</w:t>
            </w:r>
            <w:r>
              <w:rPr>
                <w:rStyle w:val="11"/>
                <w:rFonts w:hint="eastAsia"/>
              </w:rPr>
              <w:t> </w:t>
            </w:r>
            <w:r>
              <w:rPr>
                <w:rStyle w:val="11"/>
                <w:rFonts w:hint="eastAsia"/>
              </w:rPr>
              <w:t>鱼或虾蟹套养稻田禁用，施药后的田水不得直接排入水体。3.桑园及蚕室附近禁用。</w:t>
            </w:r>
            <w:r>
              <w:rPr>
                <w:rStyle w:val="11"/>
                <w:rFonts w:hint="eastAsia"/>
              </w:rPr>
              <w:t> </w:t>
            </w:r>
            <w:r>
              <w:rPr>
                <w:rStyle w:val="11"/>
                <w:rFonts w:hint="eastAsia"/>
              </w:rPr>
              <w:t xml:space="preserve"> 4.未用完的制剂应放在原包装内密封保存，切勿将本品置于饮、食容器内。使用过的空包装，用清水冲洗后妥善处理，切勿重复使用或改作其它用途。5.建议与其它作用机制的除草剂轮换使用。6.孕妇及哺乳期妇女及过敏者禁用。</w:t>
            </w:r>
          </w:p>
        </w:tc>
      </w:tr>
      <w:tr w14:paraId="159888B3">
        <w:tblPrEx>
          <w:tblCellMar>
            <w:top w:w="0" w:type="dxa"/>
            <w:left w:w="0" w:type="dxa"/>
            <w:bottom w:w="0" w:type="dxa"/>
            <w:right w:w="0" w:type="dxa"/>
          </w:tblCellMar>
        </w:tblPrEx>
        <w:trPr>
          <w:wBefore w:w="0" w:type="auto"/>
          <w:tblCellSpacing w:w="0" w:type="dxa"/>
        </w:trPr>
        <w:tc>
          <w:tcPr>
            <w:tcW w:w="0" w:type="auto"/>
            <w:noWrap w:val="0"/>
            <w:vAlign w:val="center"/>
          </w:tcPr>
          <w:p w14:paraId="2EBC8B58">
            <w:r>
              <w:rPr>
                <w:rStyle w:val="10"/>
                <w:rFonts w:hint="eastAsia"/>
              </w:rPr>
              <w:t>中毒急救措施：</w:t>
            </w:r>
            <w:r>
              <w:rPr>
                <w:rFonts w:hint="eastAsia"/>
              </w:rPr>
              <w:br w:type="textWrapping"/>
            </w:r>
            <w:r>
              <w:rPr>
                <w:rStyle w:val="11"/>
                <w:rFonts w:hint="eastAsia"/>
              </w:rPr>
              <w:t>本品对眼睛有刺激性。皮肤接触：立即脱掉被污染的衣物，用大量清水彻底冲洗受污染皮肤，如皮肤刺激感持续，请医生诊治。眼睛溅药：立即将眼睑翻开，用清水冲洗至少15分钟，再请医生诊治。发生吸入：立即将吸入者转移到空气清新处，如果吸入者停止呼吸，需要进行人工呼吸。注意保暖和休息。请医生诊治。误服：立即携带标签送医院就诊。不要自行引吐，不可饮水。无专用解毒剂，对症治疗。</w:t>
            </w:r>
          </w:p>
        </w:tc>
      </w:tr>
      <w:tr w14:paraId="0A6998DB">
        <w:tblPrEx>
          <w:tblCellMar>
            <w:top w:w="0" w:type="dxa"/>
            <w:left w:w="0" w:type="dxa"/>
            <w:bottom w:w="0" w:type="dxa"/>
            <w:right w:w="0" w:type="dxa"/>
          </w:tblCellMar>
        </w:tblPrEx>
        <w:trPr>
          <w:wBefore w:w="0" w:type="auto"/>
          <w:tblCellSpacing w:w="0" w:type="dxa"/>
        </w:trPr>
        <w:tc>
          <w:tcPr>
            <w:tcW w:w="0" w:type="auto"/>
            <w:noWrap w:val="0"/>
            <w:vAlign w:val="center"/>
          </w:tcPr>
          <w:p w14:paraId="2E5CB008">
            <w:r>
              <w:rPr>
                <w:rStyle w:val="10"/>
                <w:rFonts w:hint="eastAsia"/>
              </w:rPr>
              <w:t>储存和运输方法：</w:t>
            </w:r>
            <w:r>
              <w:rPr>
                <w:rFonts w:hint="eastAsia"/>
              </w:rPr>
              <w:br w:type="textWrapping"/>
            </w:r>
            <w:r>
              <w:rPr>
                <w:rStyle w:val="11"/>
                <w:rFonts w:hint="eastAsia"/>
              </w:rPr>
              <w:t>本品应贮存于通风、干燥、防雨、阴凉处，远离火源或热源。置于儿童触及不到之处，并加锁，勿与食品、饮料、饲料、粮食、种子等混合储存。贮运时，严防潮湿和日晒，避免与皮肤、眼睛接触，防止口鼻吸入。运输前先检查包装容器是否完整、密封。运输过程中确保容器不泄漏、不倒塌、不坠落、不损坏。</w:t>
            </w:r>
          </w:p>
        </w:tc>
      </w:tr>
      <w:tr w14:paraId="5EEE8E12">
        <w:tblPrEx>
          <w:tblCellMar>
            <w:top w:w="0" w:type="dxa"/>
            <w:left w:w="0" w:type="dxa"/>
            <w:bottom w:w="0" w:type="dxa"/>
            <w:right w:w="0" w:type="dxa"/>
          </w:tblCellMar>
        </w:tblPrEx>
        <w:trPr>
          <w:wBefore w:w="0" w:type="auto"/>
          <w:tblCellSpacing w:w="0" w:type="dxa"/>
        </w:trPr>
        <w:tc>
          <w:tcPr>
            <w:tcW w:w="0" w:type="auto"/>
            <w:noWrap w:val="0"/>
            <w:vAlign w:val="center"/>
          </w:tcPr>
          <w:p w14:paraId="1C924348">
            <w:r>
              <w:rPr>
                <w:rStyle w:val="10"/>
                <w:rFonts w:hint="eastAsia"/>
              </w:rPr>
              <w:t>质量保证期：</w:t>
            </w:r>
            <w:r>
              <w:rPr>
                <w:rStyle w:val="11"/>
                <w:rFonts w:hint="eastAsia"/>
              </w:rPr>
              <w:t>2年</w:t>
            </w:r>
          </w:p>
        </w:tc>
      </w:tr>
      <w:tr w14:paraId="25374536">
        <w:tblPrEx>
          <w:tblCellMar>
            <w:top w:w="0" w:type="dxa"/>
            <w:left w:w="0" w:type="dxa"/>
            <w:bottom w:w="0" w:type="dxa"/>
            <w:right w:w="0" w:type="dxa"/>
          </w:tblCellMar>
        </w:tblPrEx>
        <w:trPr>
          <w:wBefore w:w="0" w:type="auto"/>
          <w:tblCellSpacing w:w="0" w:type="dxa"/>
        </w:trPr>
        <w:tc>
          <w:tcPr>
            <w:tcW w:w="0" w:type="auto"/>
            <w:noWrap w:val="0"/>
            <w:vAlign w:val="center"/>
          </w:tcPr>
          <w:p w14:paraId="584D4EF6">
            <w:r>
              <w:rPr>
                <w:rStyle w:val="10"/>
                <w:rFonts w:hint="eastAsia"/>
              </w:rPr>
              <w:t>备注：</w:t>
            </w:r>
          </w:p>
        </w:tc>
      </w:tr>
    </w:tbl>
    <w:p w14:paraId="3961B82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896C0B">
        <w:tblPrEx>
          <w:tblCellMar>
            <w:top w:w="0" w:type="dxa"/>
            <w:left w:w="0" w:type="dxa"/>
            <w:bottom w:w="0" w:type="dxa"/>
            <w:right w:w="0" w:type="dxa"/>
          </w:tblCellMar>
        </w:tblPrEx>
        <w:trPr>
          <w:wBefore w:w="0" w:type="auto"/>
          <w:tblCellSpacing w:w="0" w:type="dxa"/>
        </w:trPr>
        <w:tc>
          <w:tcPr>
            <w:tcW w:w="0" w:type="auto"/>
            <w:noWrap w:val="0"/>
            <w:vAlign w:val="center"/>
          </w:tcPr>
          <w:p w14:paraId="327F5BCC">
            <w:r>
              <w:rPr>
                <w:rStyle w:val="10"/>
                <w:rFonts w:hint="eastAsia"/>
              </w:rPr>
              <w:t>登记证号：</w:t>
            </w:r>
            <w:r>
              <w:rPr>
                <w:rFonts w:hint="eastAsia"/>
              </w:rPr>
              <w:t>PD20212774</w:t>
            </w:r>
          </w:p>
        </w:tc>
      </w:tr>
      <w:tr w14:paraId="31ED8C73">
        <w:tblPrEx>
          <w:tblCellMar>
            <w:top w:w="0" w:type="dxa"/>
            <w:left w:w="0" w:type="dxa"/>
            <w:bottom w:w="0" w:type="dxa"/>
            <w:right w:w="0" w:type="dxa"/>
          </w:tblCellMar>
        </w:tblPrEx>
        <w:trPr>
          <w:wBefore w:w="0" w:type="auto"/>
          <w:tblCellSpacing w:w="0" w:type="dxa"/>
        </w:trPr>
        <w:tc>
          <w:tcPr>
            <w:tcW w:w="0" w:type="auto"/>
            <w:noWrap w:val="0"/>
            <w:vAlign w:val="center"/>
          </w:tcPr>
          <w:p w14:paraId="3B2CB112">
            <w:r>
              <w:rPr>
                <w:rStyle w:val="10"/>
                <w:rFonts w:hint="eastAsia"/>
              </w:rPr>
              <w:t>登记证持有人：</w:t>
            </w:r>
            <w:r>
              <w:rPr>
                <w:rFonts w:hint="eastAsia"/>
              </w:rPr>
              <w:t>河北博嘉农业有限公司</w:t>
            </w:r>
          </w:p>
        </w:tc>
      </w:tr>
      <w:tr w14:paraId="5C5C4B82">
        <w:tblPrEx>
          <w:tblCellMar>
            <w:top w:w="0" w:type="dxa"/>
            <w:left w:w="0" w:type="dxa"/>
            <w:bottom w:w="0" w:type="dxa"/>
            <w:right w:w="0" w:type="dxa"/>
          </w:tblCellMar>
        </w:tblPrEx>
        <w:trPr>
          <w:wBefore w:w="0" w:type="auto"/>
          <w:tblCellSpacing w:w="0" w:type="dxa"/>
        </w:trPr>
        <w:tc>
          <w:tcPr>
            <w:tcW w:w="0" w:type="auto"/>
            <w:noWrap w:val="0"/>
            <w:vAlign w:val="center"/>
          </w:tcPr>
          <w:p w14:paraId="0A7088A3">
            <w:r>
              <w:rPr>
                <w:rStyle w:val="10"/>
                <w:rFonts w:hint="eastAsia"/>
              </w:rPr>
              <w:t>农药名称：</w:t>
            </w:r>
            <w:r>
              <w:rPr>
                <w:rFonts w:hint="eastAsia"/>
              </w:rPr>
              <w:t>吲丁·萘乙酸</w:t>
            </w:r>
          </w:p>
        </w:tc>
      </w:tr>
      <w:tr w14:paraId="4933C820">
        <w:tblPrEx>
          <w:tblCellMar>
            <w:top w:w="0" w:type="dxa"/>
            <w:left w:w="0" w:type="dxa"/>
            <w:bottom w:w="0" w:type="dxa"/>
            <w:right w:w="0" w:type="dxa"/>
          </w:tblCellMar>
        </w:tblPrEx>
        <w:trPr>
          <w:wBefore w:w="0" w:type="auto"/>
          <w:tblCellSpacing w:w="0" w:type="dxa"/>
        </w:trPr>
        <w:tc>
          <w:tcPr>
            <w:tcW w:w="0" w:type="auto"/>
            <w:noWrap w:val="0"/>
            <w:vAlign w:val="center"/>
          </w:tcPr>
          <w:p w14:paraId="085E0B5E">
            <w:r>
              <w:rPr>
                <w:rStyle w:val="10"/>
                <w:rFonts w:hint="eastAsia"/>
              </w:rPr>
              <w:t>剂型：</w:t>
            </w:r>
            <w:r>
              <w:rPr>
                <w:rFonts w:hint="eastAsia"/>
              </w:rPr>
              <w:t>可溶液剂</w:t>
            </w:r>
          </w:p>
        </w:tc>
      </w:tr>
      <w:tr w14:paraId="40F3B5BE">
        <w:tblPrEx>
          <w:tblCellMar>
            <w:top w:w="0" w:type="dxa"/>
            <w:left w:w="0" w:type="dxa"/>
            <w:bottom w:w="0" w:type="dxa"/>
            <w:right w:w="0" w:type="dxa"/>
          </w:tblCellMar>
        </w:tblPrEx>
        <w:trPr>
          <w:wBefore w:w="0" w:type="auto"/>
          <w:tblCellSpacing w:w="0" w:type="dxa"/>
        </w:trPr>
        <w:tc>
          <w:tcPr>
            <w:tcW w:w="0" w:type="auto"/>
            <w:noWrap w:val="0"/>
            <w:vAlign w:val="center"/>
          </w:tcPr>
          <w:p w14:paraId="5AC6BDCF">
            <w:r>
              <w:rPr>
                <w:rStyle w:val="10"/>
                <w:rFonts w:hint="eastAsia"/>
              </w:rPr>
              <w:t>毒性及其标识：</w:t>
            </w:r>
            <w:r>
              <w:rPr>
                <w:rFonts w:hint="eastAsia"/>
              </w:rPr>
              <w:t xml:space="preserve"> </w:t>
            </w:r>
            <w:r>
              <w:rPr>
                <w:lang/>
              </w:rPr>
              <w:drawing>
                <wp:inline distT="0" distB="0" distL="114300" distR="114300">
                  <wp:extent cx="476250" cy="323850"/>
                  <wp:effectExtent l="0" t="0" r="0" b="0"/>
                  <wp:docPr id="309" name="图片 3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201E3F">
        <w:tblPrEx>
          <w:tblCellMar>
            <w:top w:w="0" w:type="dxa"/>
            <w:left w:w="0" w:type="dxa"/>
            <w:bottom w:w="0" w:type="dxa"/>
            <w:right w:w="0" w:type="dxa"/>
          </w:tblCellMar>
        </w:tblPrEx>
        <w:trPr>
          <w:wBefore w:w="0" w:type="auto"/>
          <w:tblCellSpacing w:w="0" w:type="dxa"/>
        </w:trPr>
        <w:tc>
          <w:tcPr>
            <w:tcW w:w="0" w:type="auto"/>
            <w:noWrap w:val="0"/>
            <w:vAlign w:val="center"/>
          </w:tcPr>
          <w:p w14:paraId="3DBBC16E">
            <w:r>
              <w:rPr>
                <w:rStyle w:val="10"/>
                <w:rFonts w:hint="eastAsia"/>
              </w:rPr>
              <w:t>总有效成分含量：</w:t>
            </w:r>
            <w:r>
              <w:rPr>
                <w:rFonts w:hint="eastAsia"/>
              </w:rPr>
              <w:t>0.075%</w:t>
            </w:r>
          </w:p>
        </w:tc>
      </w:tr>
      <w:tr w14:paraId="6B3F29D7">
        <w:tblPrEx>
          <w:tblCellMar>
            <w:top w:w="0" w:type="dxa"/>
            <w:left w:w="0" w:type="dxa"/>
            <w:bottom w:w="0" w:type="dxa"/>
            <w:right w:w="0" w:type="dxa"/>
          </w:tblCellMar>
        </w:tblPrEx>
        <w:trPr>
          <w:wBefore w:w="0" w:type="auto"/>
          <w:tblCellSpacing w:w="0" w:type="dxa"/>
        </w:trPr>
        <w:tc>
          <w:tcPr>
            <w:tcW w:w="0" w:type="auto"/>
            <w:noWrap w:val="0"/>
            <w:vAlign w:val="center"/>
          </w:tcPr>
          <w:p w14:paraId="61AD242E">
            <w:r>
              <w:rPr>
                <w:rFonts w:hint="eastAsia"/>
              </w:rPr>
              <w:t xml:space="preserve">有效成分及其含量： </w:t>
            </w:r>
          </w:p>
          <w:p w14:paraId="1FD1FD5A">
            <w:r>
              <w:rPr>
                <w:rFonts w:hint="eastAsia"/>
              </w:rPr>
              <w:t xml:space="preserve">    吲哚丁酸0.05%    萘乙酸0.025%    </w:t>
            </w:r>
          </w:p>
        </w:tc>
      </w:tr>
      <w:tr w14:paraId="29630218">
        <w:tblPrEx>
          <w:tblCellMar>
            <w:top w:w="0" w:type="dxa"/>
            <w:left w:w="0" w:type="dxa"/>
            <w:bottom w:w="0" w:type="dxa"/>
            <w:right w:w="0" w:type="dxa"/>
          </w:tblCellMar>
        </w:tblPrEx>
        <w:trPr>
          <w:wBefore w:w="0" w:type="auto"/>
          <w:tblCellSpacing w:w="0" w:type="dxa"/>
        </w:trPr>
        <w:tc>
          <w:tcPr>
            <w:tcW w:w="0" w:type="auto"/>
            <w:noWrap w:val="0"/>
            <w:vAlign w:val="center"/>
          </w:tcPr>
          <w:p w14:paraId="6CC1E9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79EB0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EDC9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104A4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0B47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13394D">
                  <w:r>
                    <w:rPr>
                      <w:rStyle w:val="11"/>
                      <w:rFonts w:hint="eastAsia"/>
                    </w:rPr>
                    <w:t>施用方式</w:t>
                  </w:r>
                </w:p>
              </w:tc>
            </w:tr>
            <w:tr w14:paraId="5966A4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8F56E7">
                  <w:r>
                    <w:rPr>
                      <w:rStyle w:val="11"/>
                      <w:rFonts w:hint="eastAsia"/>
                    </w:rPr>
                    <w:t>观赏月季</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3DEE65">
                  <w:r>
                    <w:rPr>
                      <w:rStyle w:val="11"/>
                      <w:rFonts w:hint="eastAsia"/>
                    </w:rPr>
                    <w:t>促进生根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9A1B2C">
                  <w:r>
                    <w:rPr>
                      <w:rStyle w:val="11"/>
                      <w:rFonts w:hint="eastAsia"/>
                    </w:rPr>
                    <w:t>6-9倍液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E3DC54">
                  <w:r>
                    <w:rPr>
                      <w:rStyle w:val="11"/>
                      <w:rFonts w:hint="eastAsia"/>
                    </w:rPr>
                    <w:t>浸泡插条基部</w:t>
                  </w:r>
                </w:p>
              </w:tc>
            </w:tr>
          </w:tbl>
          <w:p w14:paraId="2177B291">
            <w:pPr>
              <w:rPr>
                <w:rFonts w:ascii="Times New Roman" w:hAnsi="Times New Roman" w:cs="Times New Roman"/>
                <w:sz w:val="20"/>
                <w:szCs w:val="20"/>
              </w:rPr>
            </w:pPr>
          </w:p>
        </w:tc>
      </w:tr>
      <w:tr w14:paraId="133C3759">
        <w:tblPrEx>
          <w:tblCellMar>
            <w:top w:w="0" w:type="dxa"/>
            <w:left w:w="0" w:type="dxa"/>
            <w:bottom w:w="0" w:type="dxa"/>
            <w:right w:w="0" w:type="dxa"/>
          </w:tblCellMar>
        </w:tblPrEx>
        <w:trPr>
          <w:wBefore w:w="0" w:type="auto"/>
          <w:tblCellSpacing w:w="0" w:type="dxa"/>
        </w:trPr>
        <w:tc>
          <w:tcPr>
            <w:tcW w:w="0" w:type="auto"/>
            <w:noWrap w:val="0"/>
            <w:vAlign w:val="center"/>
          </w:tcPr>
          <w:p w14:paraId="5F1945E6">
            <w:r>
              <w:rPr>
                <w:rStyle w:val="10"/>
                <w:rFonts w:hint="eastAsia"/>
              </w:rPr>
              <w:t>使用技术要求:</w:t>
            </w:r>
            <w:r>
              <w:rPr>
                <w:rFonts w:hint="eastAsia"/>
              </w:rPr>
              <w:br w:type="textWrapping"/>
            </w:r>
            <w:r>
              <w:rPr>
                <w:rStyle w:val="11"/>
                <w:rFonts w:hint="eastAsia"/>
              </w:rPr>
              <w:t>1. 于月季枝条扦插前浸泡插条基部处理，将月季技条成捆捆好后浸泡1~2小时左右，浸泡深度为插条基部2~3厘米，浸泡后捞出即手插。 2.每季用药一次，将浸泡好的月季条基部10分钟，埋入地表，上部露出1-2芽，不能将树条倒插。</w:t>
            </w:r>
          </w:p>
        </w:tc>
      </w:tr>
      <w:tr w14:paraId="0C4E8E8A">
        <w:tblPrEx>
          <w:tblCellMar>
            <w:top w:w="0" w:type="dxa"/>
            <w:left w:w="0" w:type="dxa"/>
            <w:bottom w:w="0" w:type="dxa"/>
            <w:right w:w="0" w:type="dxa"/>
          </w:tblCellMar>
        </w:tblPrEx>
        <w:trPr>
          <w:wBefore w:w="0" w:type="auto"/>
          <w:tblCellSpacing w:w="0" w:type="dxa"/>
        </w:trPr>
        <w:tc>
          <w:tcPr>
            <w:tcW w:w="0" w:type="auto"/>
            <w:noWrap w:val="0"/>
            <w:vAlign w:val="center"/>
          </w:tcPr>
          <w:p w14:paraId="2402FBD6">
            <w:r>
              <w:rPr>
                <w:rStyle w:val="10"/>
                <w:rFonts w:hint="eastAsia"/>
              </w:rPr>
              <w:t>产品性能:</w:t>
            </w:r>
            <w:r>
              <w:rPr>
                <w:rFonts w:hint="eastAsia"/>
              </w:rPr>
              <w:br w:type="textWrapping"/>
            </w:r>
            <w:r>
              <w:rPr>
                <w:rStyle w:val="11"/>
                <w:rFonts w:hint="eastAsia"/>
              </w:rPr>
              <w:t>本品由萘乙酸和吲哚丁酸复配而成，具有促进细胞分裂与扩大，诱导形成 不定根，可以明显促进月季插条萌发生长，促进植株的生长发育。</w:t>
            </w:r>
          </w:p>
        </w:tc>
      </w:tr>
      <w:tr w14:paraId="4543D190">
        <w:tblPrEx>
          <w:tblCellMar>
            <w:top w:w="0" w:type="dxa"/>
            <w:left w:w="0" w:type="dxa"/>
            <w:bottom w:w="0" w:type="dxa"/>
            <w:right w:w="0" w:type="dxa"/>
          </w:tblCellMar>
        </w:tblPrEx>
        <w:trPr>
          <w:wBefore w:w="0" w:type="auto"/>
          <w:tblCellSpacing w:w="0" w:type="dxa"/>
        </w:trPr>
        <w:tc>
          <w:tcPr>
            <w:tcW w:w="0" w:type="auto"/>
            <w:noWrap w:val="0"/>
            <w:vAlign w:val="center"/>
          </w:tcPr>
          <w:p w14:paraId="4B65795D">
            <w:r>
              <w:rPr>
                <w:rStyle w:val="10"/>
                <w:rFonts w:hint="eastAsia"/>
              </w:rPr>
              <w:t>注意事项：</w:t>
            </w:r>
            <w:r>
              <w:rPr>
                <w:rFonts w:hint="eastAsia"/>
              </w:rPr>
              <w:br w:type="textWrapping"/>
            </w:r>
            <w:r>
              <w:rPr>
                <w:rStyle w:val="11"/>
                <w:rFonts w:hint="eastAsia"/>
              </w:rPr>
              <w:t>1. 本品不能与铜制剂及碱性农药混用。 2. 请按农药安全使用规程使用，地下水、饮用水源地附近禁用；远离水产养殖区、河塘等水体施药。禁止将废液倾倒于水产养殖区，河塘等水体，禁止在河塘等水体中清洗施药器具。3. 勿将药液溅到眼内、皮肤和衣服上，严防由口、鼻吸入。使用时穿戴 好防护用品，操作时，严禁吸烟、饮食，施药后用肥皂洗净身体暴露部分。 4. 喷洒完毕，喷雾器械应彻底清洗干净，用过的容器应妥善处理，不可做他用，也不可随意丢弃。 5. 孕妇及哺乳期妇女避免接触本品。</w:t>
            </w:r>
          </w:p>
        </w:tc>
      </w:tr>
      <w:tr w14:paraId="0B1DEDFB">
        <w:tblPrEx>
          <w:tblCellMar>
            <w:top w:w="0" w:type="dxa"/>
            <w:left w:w="0" w:type="dxa"/>
            <w:bottom w:w="0" w:type="dxa"/>
            <w:right w:w="0" w:type="dxa"/>
          </w:tblCellMar>
        </w:tblPrEx>
        <w:trPr>
          <w:wBefore w:w="0" w:type="auto"/>
          <w:tblCellSpacing w:w="0" w:type="dxa"/>
        </w:trPr>
        <w:tc>
          <w:tcPr>
            <w:tcW w:w="0" w:type="auto"/>
            <w:noWrap w:val="0"/>
            <w:vAlign w:val="center"/>
          </w:tcPr>
          <w:p w14:paraId="2DA288B8">
            <w:r>
              <w:rPr>
                <w:rStyle w:val="10"/>
                <w:rFonts w:hint="eastAsia"/>
              </w:rPr>
              <w:t>中毒急救措施：</w:t>
            </w:r>
            <w:r>
              <w:rPr>
                <w:rFonts w:hint="eastAsia"/>
              </w:rPr>
              <w:br w:type="textWrapping"/>
            </w:r>
            <w:r>
              <w:rPr>
                <w:rStyle w:val="11"/>
                <w:rFonts w:hint="eastAsia"/>
              </w:rPr>
              <w:t>1.用药时或用药后如果感觉不适，立即停止工作，采取急救措施，并携此标签送医就诊；2.皮肤接触：立即脱掉被污染的衣物，用肥皂和大量清水彻底清洗受污染的皮肤。必要时请医生诊治；3.眼睛溅药：立即将眼睑翻开，用清水冲洗至少15分钟，请医生诊治；4.发生吸入：立即将吸入者转移到空气新鲜处，请医生诊治；5.误服：请勿引吐，立即携带标签送医就诊。</w:t>
            </w:r>
          </w:p>
        </w:tc>
      </w:tr>
      <w:tr w14:paraId="09D672C1">
        <w:tblPrEx>
          <w:tblCellMar>
            <w:top w:w="0" w:type="dxa"/>
            <w:left w:w="0" w:type="dxa"/>
            <w:bottom w:w="0" w:type="dxa"/>
            <w:right w:w="0" w:type="dxa"/>
          </w:tblCellMar>
        </w:tblPrEx>
        <w:trPr>
          <w:wBefore w:w="0" w:type="auto"/>
          <w:tblCellSpacing w:w="0" w:type="dxa"/>
        </w:trPr>
        <w:tc>
          <w:tcPr>
            <w:tcW w:w="0" w:type="auto"/>
            <w:noWrap w:val="0"/>
            <w:vAlign w:val="center"/>
          </w:tcPr>
          <w:p w14:paraId="4B88402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运输前应先检查包装容器是否完整、密封，运输过程中要确保容器不泄漏、不倒塌、不坠落、不损坏。运输途中应防曝晒、雨淋，防高温。</w:t>
            </w:r>
          </w:p>
        </w:tc>
      </w:tr>
      <w:tr w14:paraId="05FF6596">
        <w:tblPrEx>
          <w:tblCellMar>
            <w:top w:w="0" w:type="dxa"/>
            <w:left w:w="0" w:type="dxa"/>
            <w:bottom w:w="0" w:type="dxa"/>
            <w:right w:w="0" w:type="dxa"/>
          </w:tblCellMar>
        </w:tblPrEx>
        <w:trPr>
          <w:wBefore w:w="0" w:type="auto"/>
          <w:tblCellSpacing w:w="0" w:type="dxa"/>
        </w:trPr>
        <w:tc>
          <w:tcPr>
            <w:tcW w:w="0" w:type="auto"/>
            <w:noWrap w:val="0"/>
            <w:vAlign w:val="center"/>
          </w:tcPr>
          <w:p w14:paraId="416D85D7">
            <w:r>
              <w:rPr>
                <w:rStyle w:val="10"/>
                <w:rFonts w:hint="eastAsia"/>
              </w:rPr>
              <w:t>质量保证期：</w:t>
            </w:r>
            <w:r>
              <w:rPr>
                <w:rStyle w:val="11"/>
                <w:rFonts w:hint="eastAsia"/>
              </w:rPr>
              <w:t>2年</w:t>
            </w:r>
          </w:p>
        </w:tc>
      </w:tr>
      <w:tr w14:paraId="156D674F">
        <w:tblPrEx>
          <w:tblCellMar>
            <w:top w:w="0" w:type="dxa"/>
            <w:left w:w="0" w:type="dxa"/>
            <w:bottom w:w="0" w:type="dxa"/>
            <w:right w:w="0" w:type="dxa"/>
          </w:tblCellMar>
        </w:tblPrEx>
        <w:trPr>
          <w:wBefore w:w="0" w:type="auto"/>
          <w:tblCellSpacing w:w="0" w:type="dxa"/>
        </w:trPr>
        <w:tc>
          <w:tcPr>
            <w:tcW w:w="0" w:type="auto"/>
            <w:noWrap w:val="0"/>
            <w:vAlign w:val="center"/>
          </w:tcPr>
          <w:p w14:paraId="3C71FB92">
            <w:r>
              <w:rPr>
                <w:rStyle w:val="10"/>
                <w:rFonts w:hint="eastAsia"/>
              </w:rPr>
              <w:t>备注：</w:t>
            </w:r>
          </w:p>
        </w:tc>
      </w:tr>
    </w:tbl>
    <w:p w14:paraId="082A85E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F91A19">
        <w:tblPrEx>
          <w:tblCellMar>
            <w:top w:w="0" w:type="dxa"/>
            <w:left w:w="0" w:type="dxa"/>
            <w:bottom w:w="0" w:type="dxa"/>
            <w:right w:w="0" w:type="dxa"/>
          </w:tblCellMar>
        </w:tblPrEx>
        <w:trPr>
          <w:wBefore w:w="0" w:type="auto"/>
          <w:tblCellSpacing w:w="0" w:type="dxa"/>
        </w:trPr>
        <w:tc>
          <w:tcPr>
            <w:tcW w:w="0" w:type="auto"/>
            <w:noWrap w:val="0"/>
            <w:vAlign w:val="center"/>
          </w:tcPr>
          <w:p w14:paraId="47435114">
            <w:r>
              <w:rPr>
                <w:rStyle w:val="10"/>
                <w:rFonts w:hint="eastAsia"/>
              </w:rPr>
              <w:t>登记证号：</w:t>
            </w:r>
            <w:r>
              <w:rPr>
                <w:rFonts w:hint="eastAsia"/>
              </w:rPr>
              <w:t>PD20212664</w:t>
            </w:r>
          </w:p>
        </w:tc>
      </w:tr>
      <w:tr w14:paraId="1D02CE99">
        <w:tblPrEx>
          <w:tblCellMar>
            <w:top w:w="0" w:type="dxa"/>
            <w:left w:w="0" w:type="dxa"/>
            <w:bottom w:w="0" w:type="dxa"/>
            <w:right w:w="0" w:type="dxa"/>
          </w:tblCellMar>
        </w:tblPrEx>
        <w:trPr>
          <w:wBefore w:w="0" w:type="auto"/>
          <w:tblCellSpacing w:w="0" w:type="dxa"/>
        </w:trPr>
        <w:tc>
          <w:tcPr>
            <w:tcW w:w="0" w:type="auto"/>
            <w:noWrap w:val="0"/>
            <w:vAlign w:val="center"/>
          </w:tcPr>
          <w:p w14:paraId="6A8E8341">
            <w:r>
              <w:rPr>
                <w:rStyle w:val="10"/>
                <w:rFonts w:hint="eastAsia"/>
              </w:rPr>
              <w:t>登记证持有人：</w:t>
            </w:r>
            <w:r>
              <w:rPr>
                <w:rFonts w:hint="eastAsia"/>
              </w:rPr>
              <w:t>河南省安阳市锐普农化有限责任公司</w:t>
            </w:r>
          </w:p>
        </w:tc>
      </w:tr>
      <w:tr w14:paraId="07B79D98">
        <w:tblPrEx>
          <w:tblCellMar>
            <w:top w:w="0" w:type="dxa"/>
            <w:left w:w="0" w:type="dxa"/>
            <w:bottom w:w="0" w:type="dxa"/>
            <w:right w:w="0" w:type="dxa"/>
          </w:tblCellMar>
        </w:tblPrEx>
        <w:trPr>
          <w:wBefore w:w="0" w:type="auto"/>
          <w:tblCellSpacing w:w="0" w:type="dxa"/>
        </w:trPr>
        <w:tc>
          <w:tcPr>
            <w:tcW w:w="0" w:type="auto"/>
            <w:noWrap w:val="0"/>
            <w:vAlign w:val="center"/>
          </w:tcPr>
          <w:p w14:paraId="3A8DAB70">
            <w:r>
              <w:rPr>
                <w:rStyle w:val="10"/>
                <w:rFonts w:hint="eastAsia"/>
              </w:rPr>
              <w:t>农药名称：</w:t>
            </w:r>
            <w:r>
              <w:rPr>
                <w:rFonts w:hint="eastAsia"/>
              </w:rPr>
              <w:t>啶氧·丙环唑</w:t>
            </w:r>
          </w:p>
        </w:tc>
      </w:tr>
      <w:tr w14:paraId="455993C1">
        <w:tblPrEx>
          <w:tblCellMar>
            <w:top w:w="0" w:type="dxa"/>
            <w:left w:w="0" w:type="dxa"/>
            <w:bottom w:w="0" w:type="dxa"/>
            <w:right w:w="0" w:type="dxa"/>
          </w:tblCellMar>
        </w:tblPrEx>
        <w:trPr>
          <w:wBefore w:w="0" w:type="auto"/>
          <w:tblCellSpacing w:w="0" w:type="dxa"/>
        </w:trPr>
        <w:tc>
          <w:tcPr>
            <w:tcW w:w="0" w:type="auto"/>
            <w:noWrap w:val="0"/>
            <w:vAlign w:val="center"/>
          </w:tcPr>
          <w:p w14:paraId="6ECCA943">
            <w:r>
              <w:rPr>
                <w:rStyle w:val="10"/>
                <w:rFonts w:hint="eastAsia"/>
              </w:rPr>
              <w:t>剂型：</w:t>
            </w:r>
            <w:r>
              <w:rPr>
                <w:rFonts w:hint="eastAsia"/>
              </w:rPr>
              <w:t>悬浮剂</w:t>
            </w:r>
          </w:p>
        </w:tc>
      </w:tr>
      <w:tr w14:paraId="70A45210">
        <w:tblPrEx>
          <w:tblCellMar>
            <w:top w:w="0" w:type="dxa"/>
            <w:left w:w="0" w:type="dxa"/>
            <w:bottom w:w="0" w:type="dxa"/>
            <w:right w:w="0" w:type="dxa"/>
          </w:tblCellMar>
        </w:tblPrEx>
        <w:trPr>
          <w:wBefore w:w="0" w:type="auto"/>
          <w:tblCellSpacing w:w="0" w:type="dxa"/>
        </w:trPr>
        <w:tc>
          <w:tcPr>
            <w:tcW w:w="0" w:type="auto"/>
            <w:noWrap w:val="0"/>
            <w:vAlign w:val="center"/>
          </w:tcPr>
          <w:p w14:paraId="730382F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0" name="图片 3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9A9130">
        <w:tblPrEx>
          <w:tblCellMar>
            <w:top w:w="0" w:type="dxa"/>
            <w:left w:w="0" w:type="dxa"/>
            <w:bottom w:w="0" w:type="dxa"/>
            <w:right w:w="0" w:type="dxa"/>
          </w:tblCellMar>
        </w:tblPrEx>
        <w:trPr>
          <w:wBefore w:w="0" w:type="auto"/>
          <w:tblCellSpacing w:w="0" w:type="dxa"/>
        </w:trPr>
        <w:tc>
          <w:tcPr>
            <w:tcW w:w="0" w:type="auto"/>
            <w:noWrap w:val="0"/>
            <w:vAlign w:val="center"/>
          </w:tcPr>
          <w:p w14:paraId="7789B7FD">
            <w:r>
              <w:rPr>
                <w:rStyle w:val="10"/>
                <w:rFonts w:hint="eastAsia"/>
              </w:rPr>
              <w:t>总有效成分含量：</w:t>
            </w:r>
            <w:r>
              <w:rPr>
                <w:rFonts w:hint="eastAsia"/>
              </w:rPr>
              <w:t>30%</w:t>
            </w:r>
          </w:p>
        </w:tc>
      </w:tr>
      <w:tr w14:paraId="2B1CFA75">
        <w:tblPrEx>
          <w:tblCellMar>
            <w:top w:w="0" w:type="dxa"/>
            <w:left w:w="0" w:type="dxa"/>
            <w:bottom w:w="0" w:type="dxa"/>
            <w:right w:w="0" w:type="dxa"/>
          </w:tblCellMar>
        </w:tblPrEx>
        <w:trPr>
          <w:wBefore w:w="0" w:type="auto"/>
          <w:tblCellSpacing w:w="0" w:type="dxa"/>
        </w:trPr>
        <w:tc>
          <w:tcPr>
            <w:tcW w:w="0" w:type="auto"/>
            <w:noWrap w:val="0"/>
            <w:vAlign w:val="center"/>
          </w:tcPr>
          <w:p w14:paraId="20A5EC6A">
            <w:r>
              <w:rPr>
                <w:rFonts w:hint="eastAsia"/>
              </w:rPr>
              <w:t xml:space="preserve">有效成分及其含量： </w:t>
            </w:r>
          </w:p>
          <w:p w14:paraId="45C0605F">
            <w:r>
              <w:rPr>
                <w:rFonts w:hint="eastAsia"/>
              </w:rPr>
              <w:t xml:space="preserve">    啶氧菌酯10%    丙环唑20%    </w:t>
            </w:r>
          </w:p>
        </w:tc>
      </w:tr>
      <w:tr w14:paraId="41B62C4A">
        <w:tblPrEx>
          <w:tblCellMar>
            <w:top w:w="0" w:type="dxa"/>
            <w:left w:w="0" w:type="dxa"/>
            <w:bottom w:w="0" w:type="dxa"/>
            <w:right w:w="0" w:type="dxa"/>
          </w:tblCellMar>
        </w:tblPrEx>
        <w:trPr>
          <w:wBefore w:w="0" w:type="auto"/>
          <w:tblCellSpacing w:w="0" w:type="dxa"/>
        </w:trPr>
        <w:tc>
          <w:tcPr>
            <w:tcW w:w="0" w:type="auto"/>
            <w:noWrap w:val="0"/>
            <w:vAlign w:val="center"/>
          </w:tcPr>
          <w:p w14:paraId="6A5F4D9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70D9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9F781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FF7CA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B669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2B4D20">
                  <w:r>
                    <w:rPr>
                      <w:rStyle w:val="11"/>
                      <w:rFonts w:hint="eastAsia"/>
                    </w:rPr>
                    <w:t>施用方式</w:t>
                  </w:r>
                </w:p>
              </w:tc>
            </w:tr>
            <w:tr w14:paraId="23C5EC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20681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F9CA74">
                  <w:r>
                    <w:rPr>
                      <w:rStyle w:val="11"/>
                      <w:rFonts w:hint="eastAsia"/>
                    </w:rPr>
                    <w:t>稻曲病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64FC9C">
                  <w:r>
                    <w:rPr>
                      <w:rStyle w:val="11"/>
                      <w:rFonts w:hint="eastAsia"/>
                    </w:rPr>
                    <w:t>30-38毫升/亩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D0D4F4">
                  <w:r>
                    <w:rPr>
                      <w:rStyle w:val="11"/>
                      <w:rFonts w:hint="eastAsia"/>
                    </w:rPr>
                    <w:t>喷雾</w:t>
                  </w:r>
                </w:p>
              </w:tc>
            </w:tr>
          </w:tbl>
          <w:p w14:paraId="5BE98C75">
            <w:pPr>
              <w:rPr>
                <w:rFonts w:ascii="Times New Roman" w:hAnsi="Times New Roman" w:cs="Times New Roman"/>
                <w:sz w:val="20"/>
                <w:szCs w:val="20"/>
              </w:rPr>
            </w:pPr>
          </w:p>
        </w:tc>
      </w:tr>
      <w:tr w14:paraId="06DF19E2">
        <w:tblPrEx>
          <w:tblCellMar>
            <w:top w:w="0" w:type="dxa"/>
            <w:left w:w="0" w:type="dxa"/>
            <w:bottom w:w="0" w:type="dxa"/>
            <w:right w:w="0" w:type="dxa"/>
          </w:tblCellMar>
        </w:tblPrEx>
        <w:trPr>
          <w:wBefore w:w="0" w:type="auto"/>
          <w:tblCellSpacing w:w="0" w:type="dxa"/>
        </w:trPr>
        <w:tc>
          <w:tcPr>
            <w:tcW w:w="0" w:type="auto"/>
            <w:noWrap w:val="0"/>
            <w:vAlign w:val="center"/>
          </w:tcPr>
          <w:p w14:paraId="48332B3D">
            <w:r>
              <w:rPr>
                <w:rStyle w:val="10"/>
                <w:rFonts w:hint="eastAsia"/>
              </w:rPr>
              <w:t>使用技术要求:</w:t>
            </w:r>
            <w:r>
              <w:rPr>
                <w:rFonts w:hint="eastAsia"/>
              </w:rPr>
              <w:br w:type="textWrapping"/>
            </w:r>
            <w:r>
              <w:rPr>
                <w:rStyle w:val="11"/>
                <w:rFonts w:hint="eastAsia"/>
              </w:rPr>
              <w:t>1.在水稻稻曲病发病前或发病初期，水稻破口前5~7天施药，可施药2次，间隔10天左右。 2.大风天或预计1小时内降雨，请勿施药，3.每季最多使用2次，安全间隔期21天。</w:t>
            </w:r>
          </w:p>
        </w:tc>
      </w:tr>
      <w:tr w14:paraId="08437D65">
        <w:tblPrEx>
          <w:tblCellMar>
            <w:top w:w="0" w:type="dxa"/>
            <w:left w:w="0" w:type="dxa"/>
            <w:bottom w:w="0" w:type="dxa"/>
            <w:right w:w="0" w:type="dxa"/>
          </w:tblCellMar>
        </w:tblPrEx>
        <w:trPr>
          <w:wBefore w:w="0" w:type="auto"/>
          <w:tblCellSpacing w:w="0" w:type="dxa"/>
        </w:trPr>
        <w:tc>
          <w:tcPr>
            <w:tcW w:w="0" w:type="auto"/>
            <w:noWrap w:val="0"/>
            <w:vAlign w:val="center"/>
          </w:tcPr>
          <w:p w14:paraId="41FF9AE0">
            <w:r>
              <w:rPr>
                <w:rStyle w:val="10"/>
                <w:rFonts w:hint="eastAsia"/>
              </w:rPr>
              <w:t>产品性能:</w:t>
            </w:r>
            <w:r>
              <w:rPr>
                <w:rFonts w:hint="eastAsia"/>
              </w:rPr>
              <w:br w:type="textWrapping"/>
            </w:r>
            <w:r>
              <w:rPr>
                <w:rStyle w:val="11"/>
                <w:rFonts w:hint="eastAsia"/>
              </w:rPr>
              <w:t>本品为甲氧基丙烯酸酯类杀菌剂啶氧菌酯和三唑类杀菌剂丙环唑的混剂。结合两者的优良特性，本品具有保护和治疗活性，杀菌谱广、活性高；且具有渗透、内吸和扩散分布能力，在植物中的重新分布能够既保护已有叶片也能保护新生组织，耐雨水冲刷；同时还能够促进作物健康，具有提高作物抗逆能力和显著增加作物叶绿素含量等特点。</w:t>
            </w:r>
          </w:p>
        </w:tc>
      </w:tr>
      <w:tr w14:paraId="3D578138">
        <w:tblPrEx>
          <w:tblCellMar>
            <w:top w:w="0" w:type="dxa"/>
            <w:left w:w="0" w:type="dxa"/>
            <w:bottom w:w="0" w:type="dxa"/>
            <w:right w:w="0" w:type="dxa"/>
          </w:tblCellMar>
        </w:tblPrEx>
        <w:trPr>
          <w:wBefore w:w="0" w:type="auto"/>
          <w:tblCellSpacing w:w="0" w:type="dxa"/>
        </w:trPr>
        <w:tc>
          <w:tcPr>
            <w:tcW w:w="0" w:type="auto"/>
            <w:noWrap w:val="0"/>
            <w:vAlign w:val="center"/>
          </w:tcPr>
          <w:p w14:paraId="2B0FD217">
            <w:r>
              <w:rPr>
                <w:rStyle w:val="10"/>
                <w:rFonts w:hint="eastAsia"/>
              </w:rPr>
              <w:t>注意事项：</w:t>
            </w:r>
            <w:r>
              <w:rPr>
                <w:rFonts w:hint="eastAsia"/>
              </w:rPr>
              <w:br w:type="textWrapping"/>
            </w:r>
            <w:r>
              <w:rPr>
                <w:rStyle w:val="11"/>
                <w:rFonts w:hint="eastAsia"/>
              </w:rPr>
              <w:t>1、使用本品时应穿戴长衣、长裤、帽子、口罩、手套等安全防护措施，避免皮肤接触及口鼻吸入；施药期间不可吃东西、饮水、吸烟等；施药后应及时换洗衣物，洗手和洗脸及其他被污染的部位。2、鱼或虾蟹套样的稻田禁用，施药后田水不得排入水体。3、禁止在河塘等水体中清洗施药器具；远离水产养殖区、河塘等水体施药或水产养殖区、河塘等水体附近禁用。4、蚕室及桑园附近禁用。最外围一行作为隔离带。5、包装物用后建议清洗三遍后，送指定地点回收，进行无害化处理。6、用过的容器应妥善处理，不可做他用，也不可随意丢弃。7、孕妇及哺乳期妇女避免接触本产品。</w:t>
            </w:r>
          </w:p>
        </w:tc>
      </w:tr>
      <w:tr w14:paraId="71165C61">
        <w:tblPrEx>
          <w:tblCellMar>
            <w:top w:w="0" w:type="dxa"/>
            <w:left w:w="0" w:type="dxa"/>
            <w:bottom w:w="0" w:type="dxa"/>
            <w:right w:w="0" w:type="dxa"/>
          </w:tblCellMar>
        </w:tblPrEx>
        <w:trPr>
          <w:wBefore w:w="0" w:type="auto"/>
          <w:tblCellSpacing w:w="0" w:type="dxa"/>
        </w:trPr>
        <w:tc>
          <w:tcPr>
            <w:tcW w:w="0" w:type="auto"/>
            <w:noWrap w:val="0"/>
            <w:vAlign w:val="center"/>
          </w:tcPr>
          <w:p w14:paraId="4AB28CE2">
            <w:r>
              <w:rPr>
                <w:rStyle w:val="10"/>
                <w:rFonts w:hint="eastAsia"/>
              </w:rPr>
              <w:t>中毒急救措施：</w:t>
            </w:r>
            <w:r>
              <w:rPr>
                <w:rFonts w:hint="eastAsia"/>
              </w:rPr>
              <w:br w:type="textWrapping"/>
            </w:r>
            <w:r>
              <w:rPr>
                <w:rStyle w:val="11"/>
                <w:rFonts w:hint="eastAsia"/>
              </w:rPr>
              <w:t xml:space="preserve">对眼睛有刺激性，使用时避免接触眼睛。 中毒症状：使用中或使用后如果感觉不适，应立即停止工作，采取急救 措施。 急救措施：误吸入：转移到新鲜空气处。如有必要，进行人工呼吸和/或供氧。呼叫中毒控制中心或就医，寻求处理意见。 误接触：立即脱掉所有污染的衣服。立即用大量水清洗皮肤15-20分钟。呼叫中毒控制中心或就医，寻求处理意见。 误入眼：撑开眼睛，用水淋洗15-20分钟。如果戴有隐形眼镜，在最早的5分钟脱掉，然后继续冲洗眼睛。呼叫中毒控制中心或就医，寻求处理意见。 误服：呼叫中毒控制中心或就医，寻求处理意见。如果能够接受，把一杯水一点一点喝下。不要诱发呕吐，除非有医务人员或中毒控制中心的指导。不要给失去知觉者从嘴里喂食任何东西。 </w:t>
            </w:r>
          </w:p>
        </w:tc>
      </w:tr>
      <w:tr w14:paraId="6849F71A">
        <w:tblPrEx>
          <w:tblCellMar>
            <w:top w:w="0" w:type="dxa"/>
            <w:left w:w="0" w:type="dxa"/>
            <w:bottom w:w="0" w:type="dxa"/>
            <w:right w:w="0" w:type="dxa"/>
          </w:tblCellMar>
        </w:tblPrEx>
        <w:trPr>
          <w:wBefore w:w="0" w:type="auto"/>
          <w:tblCellSpacing w:w="0" w:type="dxa"/>
        </w:trPr>
        <w:tc>
          <w:tcPr>
            <w:tcW w:w="0" w:type="auto"/>
            <w:noWrap w:val="0"/>
            <w:vAlign w:val="center"/>
          </w:tcPr>
          <w:p w14:paraId="0AB518F2">
            <w:r>
              <w:rPr>
                <w:rStyle w:val="10"/>
                <w:rFonts w:hint="eastAsia"/>
              </w:rPr>
              <w:t>储存和运输方法：</w:t>
            </w:r>
            <w:r>
              <w:rPr>
                <w:rFonts w:hint="eastAsia"/>
              </w:rPr>
              <w:br w:type="textWrapping"/>
            </w:r>
            <w:r>
              <w:rPr>
                <w:rStyle w:val="11"/>
                <w:rFonts w:hint="eastAsia"/>
              </w:rPr>
              <w:t>1.贮存在干燥阴凉通风的地方，远离火源或热源存放。 2.应按照农用化学品运输准则的有关规定进行运输。勿与食品、粮食、饮料、饲料等共同贮运。 3. 本产品应存放于儿童触及不到的地方，并加锁。</w:t>
            </w:r>
          </w:p>
        </w:tc>
      </w:tr>
      <w:tr w14:paraId="4E8A9F55">
        <w:tblPrEx>
          <w:tblCellMar>
            <w:top w:w="0" w:type="dxa"/>
            <w:left w:w="0" w:type="dxa"/>
            <w:bottom w:w="0" w:type="dxa"/>
            <w:right w:w="0" w:type="dxa"/>
          </w:tblCellMar>
        </w:tblPrEx>
        <w:trPr>
          <w:wBefore w:w="0" w:type="auto"/>
          <w:tblCellSpacing w:w="0" w:type="dxa"/>
        </w:trPr>
        <w:tc>
          <w:tcPr>
            <w:tcW w:w="0" w:type="auto"/>
            <w:noWrap w:val="0"/>
            <w:vAlign w:val="center"/>
          </w:tcPr>
          <w:p w14:paraId="03297F2B">
            <w:r>
              <w:rPr>
                <w:rStyle w:val="10"/>
                <w:rFonts w:hint="eastAsia"/>
              </w:rPr>
              <w:t>质量保证期：</w:t>
            </w:r>
            <w:r>
              <w:rPr>
                <w:rStyle w:val="11"/>
                <w:rFonts w:hint="eastAsia"/>
              </w:rPr>
              <w:t>2年</w:t>
            </w:r>
          </w:p>
        </w:tc>
      </w:tr>
      <w:tr w14:paraId="48B3B79D">
        <w:tblPrEx>
          <w:tblCellMar>
            <w:top w:w="0" w:type="dxa"/>
            <w:left w:w="0" w:type="dxa"/>
            <w:bottom w:w="0" w:type="dxa"/>
            <w:right w:w="0" w:type="dxa"/>
          </w:tblCellMar>
        </w:tblPrEx>
        <w:trPr>
          <w:wBefore w:w="0" w:type="auto"/>
          <w:tblCellSpacing w:w="0" w:type="dxa"/>
        </w:trPr>
        <w:tc>
          <w:tcPr>
            <w:tcW w:w="0" w:type="auto"/>
            <w:noWrap w:val="0"/>
            <w:vAlign w:val="center"/>
          </w:tcPr>
          <w:p w14:paraId="3CE566BC">
            <w:r>
              <w:rPr>
                <w:rStyle w:val="10"/>
                <w:rFonts w:hint="eastAsia"/>
              </w:rPr>
              <w:t>备注：</w:t>
            </w:r>
          </w:p>
        </w:tc>
      </w:tr>
    </w:tbl>
    <w:p w14:paraId="3BE949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EAF781">
        <w:tblPrEx>
          <w:tblCellMar>
            <w:top w:w="0" w:type="dxa"/>
            <w:left w:w="0" w:type="dxa"/>
            <w:bottom w:w="0" w:type="dxa"/>
            <w:right w:w="0" w:type="dxa"/>
          </w:tblCellMar>
        </w:tblPrEx>
        <w:trPr>
          <w:wBefore w:w="0" w:type="auto"/>
          <w:tblCellSpacing w:w="0" w:type="dxa"/>
        </w:trPr>
        <w:tc>
          <w:tcPr>
            <w:tcW w:w="0" w:type="auto"/>
            <w:noWrap w:val="0"/>
            <w:vAlign w:val="center"/>
          </w:tcPr>
          <w:p w14:paraId="63CB9EAB">
            <w:r>
              <w:rPr>
                <w:rStyle w:val="10"/>
                <w:rFonts w:hint="eastAsia"/>
              </w:rPr>
              <w:t>登记证号：</w:t>
            </w:r>
            <w:r>
              <w:rPr>
                <w:rFonts w:hint="eastAsia"/>
              </w:rPr>
              <w:t>PD20212479</w:t>
            </w:r>
          </w:p>
        </w:tc>
      </w:tr>
      <w:tr w14:paraId="6EEC578B">
        <w:tblPrEx>
          <w:tblCellMar>
            <w:top w:w="0" w:type="dxa"/>
            <w:left w:w="0" w:type="dxa"/>
            <w:bottom w:w="0" w:type="dxa"/>
            <w:right w:w="0" w:type="dxa"/>
          </w:tblCellMar>
        </w:tblPrEx>
        <w:trPr>
          <w:wBefore w:w="0" w:type="auto"/>
          <w:tblCellSpacing w:w="0" w:type="dxa"/>
        </w:trPr>
        <w:tc>
          <w:tcPr>
            <w:tcW w:w="0" w:type="auto"/>
            <w:noWrap w:val="0"/>
            <w:vAlign w:val="center"/>
          </w:tcPr>
          <w:p w14:paraId="70E2940E">
            <w:r>
              <w:rPr>
                <w:rStyle w:val="10"/>
                <w:rFonts w:hint="eastAsia"/>
              </w:rPr>
              <w:t>登记证持有人：</w:t>
            </w:r>
            <w:r>
              <w:rPr>
                <w:rFonts w:hint="eastAsia"/>
              </w:rPr>
              <w:t>辽宁省丹东市红泽农化有限公司</w:t>
            </w:r>
          </w:p>
        </w:tc>
      </w:tr>
      <w:tr w14:paraId="2C479EE5">
        <w:tblPrEx>
          <w:tblCellMar>
            <w:top w:w="0" w:type="dxa"/>
            <w:left w:w="0" w:type="dxa"/>
            <w:bottom w:w="0" w:type="dxa"/>
            <w:right w:w="0" w:type="dxa"/>
          </w:tblCellMar>
        </w:tblPrEx>
        <w:trPr>
          <w:wBefore w:w="0" w:type="auto"/>
          <w:tblCellSpacing w:w="0" w:type="dxa"/>
        </w:trPr>
        <w:tc>
          <w:tcPr>
            <w:tcW w:w="0" w:type="auto"/>
            <w:noWrap w:val="0"/>
            <w:vAlign w:val="center"/>
          </w:tcPr>
          <w:p w14:paraId="4FBB4F5F">
            <w:r>
              <w:rPr>
                <w:rStyle w:val="10"/>
                <w:rFonts w:hint="eastAsia"/>
              </w:rPr>
              <w:t>农药名称：</w:t>
            </w:r>
            <w:r>
              <w:rPr>
                <w:rFonts w:hint="eastAsia"/>
              </w:rPr>
              <w:t>二氯·莠去津</w:t>
            </w:r>
          </w:p>
        </w:tc>
      </w:tr>
      <w:tr w14:paraId="3E734EFA">
        <w:tblPrEx>
          <w:tblCellMar>
            <w:top w:w="0" w:type="dxa"/>
            <w:left w:w="0" w:type="dxa"/>
            <w:bottom w:w="0" w:type="dxa"/>
            <w:right w:w="0" w:type="dxa"/>
          </w:tblCellMar>
        </w:tblPrEx>
        <w:trPr>
          <w:wBefore w:w="0" w:type="auto"/>
          <w:tblCellSpacing w:w="0" w:type="dxa"/>
        </w:trPr>
        <w:tc>
          <w:tcPr>
            <w:tcW w:w="0" w:type="auto"/>
            <w:noWrap w:val="0"/>
            <w:vAlign w:val="center"/>
          </w:tcPr>
          <w:p w14:paraId="381FA953">
            <w:r>
              <w:rPr>
                <w:rStyle w:val="10"/>
                <w:rFonts w:hint="eastAsia"/>
              </w:rPr>
              <w:t>剂型：</w:t>
            </w:r>
            <w:r>
              <w:rPr>
                <w:rFonts w:hint="eastAsia"/>
              </w:rPr>
              <w:t>悬浮剂</w:t>
            </w:r>
          </w:p>
        </w:tc>
      </w:tr>
      <w:tr w14:paraId="598B6E4C">
        <w:tblPrEx>
          <w:tblCellMar>
            <w:top w:w="0" w:type="dxa"/>
            <w:left w:w="0" w:type="dxa"/>
            <w:bottom w:w="0" w:type="dxa"/>
            <w:right w:w="0" w:type="dxa"/>
          </w:tblCellMar>
        </w:tblPrEx>
        <w:trPr>
          <w:wBefore w:w="0" w:type="auto"/>
          <w:tblCellSpacing w:w="0" w:type="dxa"/>
        </w:trPr>
        <w:tc>
          <w:tcPr>
            <w:tcW w:w="0" w:type="auto"/>
            <w:noWrap w:val="0"/>
            <w:vAlign w:val="center"/>
          </w:tcPr>
          <w:p w14:paraId="51EEE1E5">
            <w:r>
              <w:rPr>
                <w:rStyle w:val="10"/>
                <w:rFonts w:hint="eastAsia"/>
              </w:rPr>
              <w:t>毒性及其标识：</w:t>
            </w:r>
            <w:r>
              <w:rPr>
                <w:rFonts w:hint="eastAsia"/>
              </w:rPr>
              <w:t xml:space="preserve"> </w:t>
            </w:r>
            <w:r>
              <w:rPr>
                <w:lang/>
              </w:rPr>
              <w:drawing>
                <wp:inline distT="0" distB="0" distL="114300" distR="114300">
                  <wp:extent cx="476250" cy="323850"/>
                  <wp:effectExtent l="0" t="0" r="0" b="0"/>
                  <wp:docPr id="311" name="图片 3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7E0809">
        <w:tblPrEx>
          <w:tblCellMar>
            <w:top w:w="0" w:type="dxa"/>
            <w:left w:w="0" w:type="dxa"/>
            <w:bottom w:w="0" w:type="dxa"/>
            <w:right w:w="0" w:type="dxa"/>
          </w:tblCellMar>
        </w:tblPrEx>
        <w:trPr>
          <w:wBefore w:w="0" w:type="auto"/>
          <w:tblCellSpacing w:w="0" w:type="dxa"/>
        </w:trPr>
        <w:tc>
          <w:tcPr>
            <w:tcW w:w="0" w:type="auto"/>
            <w:noWrap w:val="0"/>
            <w:vAlign w:val="center"/>
          </w:tcPr>
          <w:p w14:paraId="759955A8">
            <w:r>
              <w:rPr>
                <w:rStyle w:val="10"/>
                <w:rFonts w:hint="eastAsia"/>
              </w:rPr>
              <w:t>总有效成分含量：</w:t>
            </w:r>
            <w:r>
              <w:rPr>
                <w:rFonts w:hint="eastAsia"/>
              </w:rPr>
              <w:t>40%</w:t>
            </w:r>
          </w:p>
        </w:tc>
      </w:tr>
      <w:tr w14:paraId="21969CDB">
        <w:tblPrEx>
          <w:tblCellMar>
            <w:top w:w="0" w:type="dxa"/>
            <w:left w:w="0" w:type="dxa"/>
            <w:bottom w:w="0" w:type="dxa"/>
            <w:right w:w="0" w:type="dxa"/>
          </w:tblCellMar>
        </w:tblPrEx>
        <w:trPr>
          <w:wBefore w:w="0" w:type="auto"/>
          <w:tblCellSpacing w:w="0" w:type="dxa"/>
        </w:trPr>
        <w:tc>
          <w:tcPr>
            <w:tcW w:w="0" w:type="auto"/>
            <w:noWrap w:val="0"/>
            <w:vAlign w:val="center"/>
          </w:tcPr>
          <w:p w14:paraId="52D34209">
            <w:r>
              <w:rPr>
                <w:rFonts w:hint="eastAsia"/>
              </w:rPr>
              <w:t xml:space="preserve">有效成分及其含量： </w:t>
            </w:r>
          </w:p>
          <w:p w14:paraId="1F73235B">
            <w:r>
              <w:rPr>
                <w:rFonts w:hint="eastAsia"/>
              </w:rPr>
              <w:t xml:space="preserve">    二氯喹啉酸15%    莠去津25%    </w:t>
            </w:r>
          </w:p>
        </w:tc>
      </w:tr>
      <w:tr w14:paraId="7439E683">
        <w:tblPrEx>
          <w:tblCellMar>
            <w:top w:w="0" w:type="dxa"/>
            <w:left w:w="0" w:type="dxa"/>
            <w:bottom w:w="0" w:type="dxa"/>
            <w:right w:w="0" w:type="dxa"/>
          </w:tblCellMar>
        </w:tblPrEx>
        <w:trPr>
          <w:wBefore w:w="0" w:type="auto"/>
          <w:tblCellSpacing w:w="0" w:type="dxa"/>
        </w:trPr>
        <w:tc>
          <w:tcPr>
            <w:tcW w:w="0" w:type="auto"/>
            <w:noWrap w:val="0"/>
            <w:vAlign w:val="center"/>
          </w:tcPr>
          <w:p w14:paraId="524300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86C9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4078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C5B95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DC96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227375">
                  <w:r>
                    <w:rPr>
                      <w:rStyle w:val="11"/>
                      <w:rFonts w:hint="eastAsia"/>
                    </w:rPr>
                    <w:t>施用方式</w:t>
                  </w:r>
                </w:p>
              </w:tc>
            </w:tr>
            <w:tr w14:paraId="333EA3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B8ECCC">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3F095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12A019">
                  <w:r>
                    <w:rPr>
                      <w:rStyle w:val="11"/>
                      <w:rFonts w:hint="eastAsia"/>
                    </w:rPr>
                    <w:t>140-180毫升/亩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E214A4">
                  <w:r>
                    <w:rPr>
                      <w:rStyle w:val="11"/>
                      <w:rFonts w:hint="eastAsia"/>
                    </w:rPr>
                    <w:t>茎叶喷雾</w:t>
                  </w:r>
                </w:p>
              </w:tc>
            </w:tr>
          </w:tbl>
          <w:p w14:paraId="4BE15059">
            <w:pPr>
              <w:rPr>
                <w:rFonts w:ascii="Times New Roman" w:hAnsi="Times New Roman" w:cs="Times New Roman"/>
                <w:sz w:val="20"/>
                <w:szCs w:val="20"/>
              </w:rPr>
            </w:pPr>
          </w:p>
        </w:tc>
      </w:tr>
      <w:tr w14:paraId="76DE0D00">
        <w:tblPrEx>
          <w:tblCellMar>
            <w:top w:w="0" w:type="dxa"/>
            <w:left w:w="0" w:type="dxa"/>
            <w:bottom w:w="0" w:type="dxa"/>
            <w:right w:w="0" w:type="dxa"/>
          </w:tblCellMar>
        </w:tblPrEx>
        <w:trPr>
          <w:wBefore w:w="0" w:type="auto"/>
          <w:tblCellSpacing w:w="0" w:type="dxa"/>
        </w:trPr>
        <w:tc>
          <w:tcPr>
            <w:tcW w:w="0" w:type="auto"/>
            <w:noWrap w:val="0"/>
            <w:vAlign w:val="center"/>
          </w:tcPr>
          <w:p w14:paraId="1CA7690D">
            <w:r>
              <w:rPr>
                <w:rStyle w:val="10"/>
                <w:rFonts w:hint="eastAsia"/>
              </w:rPr>
              <w:t>使用技术要求:</w:t>
            </w:r>
            <w:r>
              <w:rPr>
                <w:rFonts w:hint="eastAsia"/>
              </w:rPr>
              <w:br w:type="textWrapping"/>
            </w:r>
            <w:r>
              <w:rPr>
                <w:rStyle w:val="11"/>
                <w:rFonts w:hint="eastAsia"/>
              </w:rPr>
              <w:t>1.于高粱苗后3-5叶期、杂草2-5叶期兑水茎叶喷雾施药。 2.在大风天 或预计1时内降雨，请勿施药。 3.每季作物最多使用1次。4. 施药时防止药液飘移到邻近作物，以免产生药害。5. 勿超剂量使用避免药害。6. 二氯喹啉酸在土壤中有积累作用，注意合理安排后茬作物，保证安全间隔期。</w:t>
            </w:r>
          </w:p>
        </w:tc>
      </w:tr>
      <w:tr w14:paraId="44D33E5C">
        <w:tblPrEx>
          <w:tblCellMar>
            <w:top w:w="0" w:type="dxa"/>
            <w:left w:w="0" w:type="dxa"/>
            <w:bottom w:w="0" w:type="dxa"/>
            <w:right w:w="0" w:type="dxa"/>
          </w:tblCellMar>
        </w:tblPrEx>
        <w:trPr>
          <w:wBefore w:w="0" w:type="auto"/>
          <w:tblCellSpacing w:w="0" w:type="dxa"/>
        </w:trPr>
        <w:tc>
          <w:tcPr>
            <w:tcW w:w="0" w:type="auto"/>
            <w:noWrap w:val="0"/>
            <w:vAlign w:val="center"/>
          </w:tcPr>
          <w:p w14:paraId="086B0B81">
            <w:r>
              <w:rPr>
                <w:rStyle w:val="10"/>
                <w:rFonts w:hint="eastAsia"/>
              </w:rPr>
              <w:t>产品性能:</w:t>
            </w:r>
            <w:r>
              <w:rPr>
                <w:rFonts w:hint="eastAsia"/>
              </w:rPr>
              <w:br w:type="textWrapping"/>
            </w:r>
            <w:r>
              <w:rPr>
                <w:rStyle w:val="11"/>
                <w:rFonts w:hint="eastAsia"/>
              </w:rPr>
              <w:t>本品是由二氯喹啉酸和莠去津复配而成的高粱田苗后除草剂，能有效防除高粱田一年生和部分多年生禾本科、莎草科和阔叶杂草，如马唐、鸭趾草（三角菜）、牛筋草、藜、马齿苋、铁苋菜、苍耳、龙葵等杂草。</w:t>
            </w:r>
          </w:p>
        </w:tc>
      </w:tr>
      <w:tr w14:paraId="1A33E085">
        <w:tblPrEx>
          <w:tblCellMar>
            <w:top w:w="0" w:type="dxa"/>
            <w:left w:w="0" w:type="dxa"/>
            <w:bottom w:w="0" w:type="dxa"/>
            <w:right w:w="0" w:type="dxa"/>
          </w:tblCellMar>
        </w:tblPrEx>
        <w:trPr>
          <w:wBefore w:w="0" w:type="auto"/>
          <w:tblCellSpacing w:w="0" w:type="dxa"/>
        </w:trPr>
        <w:tc>
          <w:tcPr>
            <w:tcW w:w="0" w:type="auto"/>
            <w:noWrap w:val="0"/>
            <w:vAlign w:val="center"/>
          </w:tcPr>
          <w:p w14:paraId="173FD981">
            <w:r>
              <w:rPr>
                <w:rStyle w:val="10"/>
                <w:rFonts w:hint="eastAsia"/>
              </w:rPr>
              <w:t>注意事项：</w:t>
            </w:r>
            <w:r>
              <w:rPr>
                <w:rFonts w:hint="eastAsia"/>
              </w:rPr>
              <w:br w:type="textWrapping"/>
            </w:r>
            <w:r>
              <w:rPr>
                <w:rStyle w:val="11"/>
                <w:rFonts w:hint="eastAsia"/>
              </w:rPr>
              <w:t>1.本品对蜜蜂、鱼类等水生生物、家蚕有毒，施药期间，应避免对周围蜂群的影响、开花植物花期、蚕室和桑园附近禁用。2. 远离水产养殖区、河塘等水体施药，禁止在河塘等水体中清洗施药器具。3. 使用时穿戴长衣、长裤、帽子、口罩、手套等防护措施，避免吸入药液，施药期间不可吃东西和饮水。施药后应及时洗手和洗脸。4. 用过的容器要妥善处理，不可作他用，也不可随意丢弃。5. 孕妇及哺乳期妇女禁止接触。</w:t>
            </w:r>
          </w:p>
        </w:tc>
      </w:tr>
      <w:tr w14:paraId="5D2104EE">
        <w:tblPrEx>
          <w:tblCellMar>
            <w:top w:w="0" w:type="dxa"/>
            <w:left w:w="0" w:type="dxa"/>
            <w:bottom w:w="0" w:type="dxa"/>
            <w:right w:w="0" w:type="dxa"/>
          </w:tblCellMar>
        </w:tblPrEx>
        <w:trPr>
          <w:wBefore w:w="0" w:type="auto"/>
          <w:tblCellSpacing w:w="0" w:type="dxa"/>
        </w:trPr>
        <w:tc>
          <w:tcPr>
            <w:tcW w:w="0" w:type="auto"/>
            <w:noWrap w:val="0"/>
            <w:vAlign w:val="center"/>
          </w:tcPr>
          <w:p w14:paraId="653B3611">
            <w:r>
              <w:rPr>
                <w:rStyle w:val="10"/>
                <w:rFonts w:hint="eastAsia"/>
              </w:rPr>
              <w:t>中毒急救措施：</w:t>
            </w:r>
            <w:r>
              <w:rPr>
                <w:rFonts w:hint="eastAsia"/>
              </w:rPr>
              <w:br w:type="textWrapping"/>
            </w:r>
            <w:r>
              <w:rPr>
                <w:rStyle w:val="11"/>
                <w:rFonts w:hint="eastAsia"/>
              </w:rPr>
              <w:t>1. 眼睛溅入：保持眼睛张开，用水缓慢轻柔地淋洗15-20分钟。如佩戴隐 形眼镜，冲洗5分钟后，摘下隐形眼镜，并继续冲洗数分钟。就医咨询。 2. 误食：如感觉不适，请携标签立即就医。 3. 皮肤沾附：脱去受污染 衣物，并立即用清水冲洗皮肤15-20分钟。就医咨询。 4. 吸入：请将患 者转移到空气新鲜处。就医时，请携带此产品包装或标签。</w:t>
            </w:r>
          </w:p>
        </w:tc>
      </w:tr>
      <w:tr w14:paraId="0A385844">
        <w:tblPrEx>
          <w:tblCellMar>
            <w:top w:w="0" w:type="dxa"/>
            <w:left w:w="0" w:type="dxa"/>
            <w:bottom w:w="0" w:type="dxa"/>
            <w:right w:w="0" w:type="dxa"/>
          </w:tblCellMar>
        </w:tblPrEx>
        <w:trPr>
          <w:wBefore w:w="0" w:type="auto"/>
          <w:tblCellSpacing w:w="0" w:type="dxa"/>
        </w:trPr>
        <w:tc>
          <w:tcPr>
            <w:tcW w:w="0" w:type="auto"/>
            <w:noWrap w:val="0"/>
            <w:vAlign w:val="center"/>
          </w:tcPr>
          <w:p w14:paraId="3393AA9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16C9C50A">
        <w:tblPrEx>
          <w:tblCellMar>
            <w:top w:w="0" w:type="dxa"/>
            <w:left w:w="0" w:type="dxa"/>
            <w:bottom w:w="0" w:type="dxa"/>
            <w:right w:w="0" w:type="dxa"/>
          </w:tblCellMar>
        </w:tblPrEx>
        <w:trPr>
          <w:wBefore w:w="0" w:type="auto"/>
          <w:tblCellSpacing w:w="0" w:type="dxa"/>
        </w:trPr>
        <w:tc>
          <w:tcPr>
            <w:tcW w:w="0" w:type="auto"/>
            <w:noWrap w:val="0"/>
            <w:vAlign w:val="center"/>
          </w:tcPr>
          <w:p w14:paraId="64C3DF62">
            <w:r>
              <w:rPr>
                <w:rStyle w:val="10"/>
                <w:rFonts w:hint="eastAsia"/>
              </w:rPr>
              <w:t>质量保证期：</w:t>
            </w:r>
            <w:r>
              <w:rPr>
                <w:rStyle w:val="11"/>
                <w:rFonts w:hint="eastAsia"/>
              </w:rPr>
              <w:t>2年</w:t>
            </w:r>
          </w:p>
        </w:tc>
      </w:tr>
      <w:tr w14:paraId="6A86E14F">
        <w:tblPrEx>
          <w:tblCellMar>
            <w:top w:w="0" w:type="dxa"/>
            <w:left w:w="0" w:type="dxa"/>
            <w:bottom w:w="0" w:type="dxa"/>
            <w:right w:w="0" w:type="dxa"/>
          </w:tblCellMar>
        </w:tblPrEx>
        <w:trPr>
          <w:wBefore w:w="0" w:type="auto"/>
          <w:tblCellSpacing w:w="0" w:type="dxa"/>
        </w:trPr>
        <w:tc>
          <w:tcPr>
            <w:tcW w:w="0" w:type="auto"/>
            <w:noWrap w:val="0"/>
            <w:vAlign w:val="center"/>
          </w:tcPr>
          <w:p w14:paraId="505AC421">
            <w:r>
              <w:rPr>
                <w:rStyle w:val="10"/>
                <w:rFonts w:hint="eastAsia"/>
              </w:rPr>
              <w:t>备注：</w:t>
            </w:r>
          </w:p>
        </w:tc>
      </w:tr>
    </w:tbl>
    <w:p w14:paraId="256E762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833FA0">
        <w:tblPrEx>
          <w:tblCellMar>
            <w:top w:w="0" w:type="dxa"/>
            <w:left w:w="0" w:type="dxa"/>
            <w:bottom w:w="0" w:type="dxa"/>
            <w:right w:w="0" w:type="dxa"/>
          </w:tblCellMar>
        </w:tblPrEx>
        <w:trPr>
          <w:wBefore w:w="0" w:type="auto"/>
          <w:tblCellSpacing w:w="0" w:type="dxa"/>
        </w:trPr>
        <w:tc>
          <w:tcPr>
            <w:tcW w:w="0" w:type="auto"/>
            <w:noWrap w:val="0"/>
            <w:vAlign w:val="center"/>
          </w:tcPr>
          <w:p w14:paraId="241615AE">
            <w:r>
              <w:rPr>
                <w:rStyle w:val="10"/>
                <w:rFonts w:hint="eastAsia"/>
              </w:rPr>
              <w:t>登记证号：</w:t>
            </w:r>
            <w:r>
              <w:rPr>
                <w:rFonts w:hint="eastAsia"/>
              </w:rPr>
              <w:t>PD20212369</w:t>
            </w:r>
          </w:p>
        </w:tc>
      </w:tr>
      <w:tr w14:paraId="17F60A2F">
        <w:tblPrEx>
          <w:tblCellMar>
            <w:top w:w="0" w:type="dxa"/>
            <w:left w:w="0" w:type="dxa"/>
            <w:bottom w:w="0" w:type="dxa"/>
            <w:right w:w="0" w:type="dxa"/>
          </w:tblCellMar>
        </w:tblPrEx>
        <w:trPr>
          <w:wBefore w:w="0" w:type="auto"/>
          <w:tblCellSpacing w:w="0" w:type="dxa"/>
        </w:trPr>
        <w:tc>
          <w:tcPr>
            <w:tcW w:w="0" w:type="auto"/>
            <w:noWrap w:val="0"/>
            <w:vAlign w:val="center"/>
          </w:tcPr>
          <w:p w14:paraId="385B16D8">
            <w:r>
              <w:rPr>
                <w:rStyle w:val="10"/>
                <w:rFonts w:hint="eastAsia"/>
              </w:rPr>
              <w:t>登记证持有人：</w:t>
            </w:r>
            <w:r>
              <w:rPr>
                <w:rFonts w:hint="eastAsia"/>
              </w:rPr>
              <w:t>江苏剑牌农化股份有限公司</w:t>
            </w:r>
          </w:p>
        </w:tc>
      </w:tr>
      <w:tr w14:paraId="38BF36D4">
        <w:tblPrEx>
          <w:tblCellMar>
            <w:top w:w="0" w:type="dxa"/>
            <w:left w:w="0" w:type="dxa"/>
            <w:bottom w:w="0" w:type="dxa"/>
            <w:right w:w="0" w:type="dxa"/>
          </w:tblCellMar>
        </w:tblPrEx>
        <w:trPr>
          <w:wBefore w:w="0" w:type="auto"/>
          <w:tblCellSpacing w:w="0" w:type="dxa"/>
        </w:trPr>
        <w:tc>
          <w:tcPr>
            <w:tcW w:w="0" w:type="auto"/>
            <w:noWrap w:val="0"/>
            <w:vAlign w:val="center"/>
          </w:tcPr>
          <w:p w14:paraId="58EC1035">
            <w:r>
              <w:rPr>
                <w:rStyle w:val="10"/>
                <w:rFonts w:hint="eastAsia"/>
              </w:rPr>
              <w:t>农药名称：</w:t>
            </w:r>
            <w:r>
              <w:rPr>
                <w:rFonts w:hint="eastAsia"/>
              </w:rPr>
              <w:t>螺虫乙酯</w:t>
            </w:r>
          </w:p>
        </w:tc>
      </w:tr>
      <w:tr w14:paraId="2850914C">
        <w:tblPrEx>
          <w:tblCellMar>
            <w:top w:w="0" w:type="dxa"/>
            <w:left w:w="0" w:type="dxa"/>
            <w:bottom w:w="0" w:type="dxa"/>
            <w:right w:w="0" w:type="dxa"/>
          </w:tblCellMar>
        </w:tblPrEx>
        <w:trPr>
          <w:wBefore w:w="0" w:type="auto"/>
          <w:tblCellSpacing w:w="0" w:type="dxa"/>
        </w:trPr>
        <w:tc>
          <w:tcPr>
            <w:tcW w:w="0" w:type="auto"/>
            <w:noWrap w:val="0"/>
            <w:vAlign w:val="center"/>
          </w:tcPr>
          <w:p w14:paraId="0A09FCF5">
            <w:r>
              <w:rPr>
                <w:rStyle w:val="10"/>
                <w:rFonts w:hint="eastAsia"/>
              </w:rPr>
              <w:t>剂型：</w:t>
            </w:r>
            <w:r>
              <w:rPr>
                <w:rFonts w:hint="eastAsia"/>
              </w:rPr>
              <w:t>悬浮剂</w:t>
            </w:r>
          </w:p>
        </w:tc>
      </w:tr>
      <w:tr w14:paraId="76B39AA6">
        <w:tblPrEx>
          <w:tblCellMar>
            <w:top w:w="0" w:type="dxa"/>
            <w:left w:w="0" w:type="dxa"/>
            <w:bottom w:w="0" w:type="dxa"/>
            <w:right w:w="0" w:type="dxa"/>
          </w:tblCellMar>
        </w:tblPrEx>
        <w:trPr>
          <w:wBefore w:w="0" w:type="auto"/>
          <w:tblCellSpacing w:w="0" w:type="dxa"/>
        </w:trPr>
        <w:tc>
          <w:tcPr>
            <w:tcW w:w="0" w:type="auto"/>
            <w:noWrap w:val="0"/>
            <w:vAlign w:val="center"/>
          </w:tcPr>
          <w:p w14:paraId="1C001D04">
            <w:r>
              <w:rPr>
                <w:rStyle w:val="10"/>
                <w:rFonts w:hint="eastAsia"/>
              </w:rPr>
              <w:t>毒性及其标识：</w:t>
            </w:r>
            <w:r>
              <w:rPr>
                <w:rFonts w:hint="eastAsia"/>
              </w:rPr>
              <w:t xml:space="preserve"> 微毒 </w:t>
            </w:r>
          </w:p>
        </w:tc>
      </w:tr>
      <w:tr w14:paraId="72B1F2A5">
        <w:tblPrEx>
          <w:tblCellMar>
            <w:top w:w="0" w:type="dxa"/>
            <w:left w:w="0" w:type="dxa"/>
            <w:bottom w:w="0" w:type="dxa"/>
            <w:right w:w="0" w:type="dxa"/>
          </w:tblCellMar>
        </w:tblPrEx>
        <w:trPr>
          <w:wBefore w:w="0" w:type="auto"/>
          <w:tblCellSpacing w:w="0" w:type="dxa"/>
        </w:trPr>
        <w:tc>
          <w:tcPr>
            <w:tcW w:w="0" w:type="auto"/>
            <w:noWrap w:val="0"/>
            <w:vAlign w:val="center"/>
          </w:tcPr>
          <w:p w14:paraId="7DAEE9DD">
            <w:r>
              <w:rPr>
                <w:rStyle w:val="10"/>
                <w:rFonts w:hint="eastAsia"/>
              </w:rPr>
              <w:t>总有效成分含量：</w:t>
            </w:r>
            <w:r>
              <w:rPr>
                <w:rFonts w:hint="eastAsia"/>
              </w:rPr>
              <w:t>30%</w:t>
            </w:r>
          </w:p>
        </w:tc>
      </w:tr>
      <w:tr w14:paraId="4ACACA71">
        <w:tblPrEx>
          <w:tblCellMar>
            <w:top w:w="0" w:type="dxa"/>
            <w:left w:w="0" w:type="dxa"/>
            <w:bottom w:w="0" w:type="dxa"/>
            <w:right w:w="0" w:type="dxa"/>
          </w:tblCellMar>
        </w:tblPrEx>
        <w:trPr>
          <w:wBefore w:w="0" w:type="auto"/>
          <w:tblCellSpacing w:w="0" w:type="dxa"/>
        </w:trPr>
        <w:tc>
          <w:tcPr>
            <w:tcW w:w="0" w:type="auto"/>
            <w:noWrap w:val="0"/>
            <w:vAlign w:val="center"/>
          </w:tcPr>
          <w:p w14:paraId="57FC8B67">
            <w:r>
              <w:rPr>
                <w:rFonts w:hint="eastAsia"/>
              </w:rPr>
              <w:t xml:space="preserve">有效成分及其含量： </w:t>
            </w:r>
          </w:p>
          <w:p w14:paraId="33B12CFB">
            <w:r>
              <w:rPr>
                <w:rFonts w:hint="eastAsia"/>
              </w:rPr>
              <w:t xml:space="preserve">    螺虫乙酯30%    </w:t>
            </w:r>
          </w:p>
        </w:tc>
      </w:tr>
      <w:tr w14:paraId="4C9E5546">
        <w:tblPrEx>
          <w:tblCellMar>
            <w:top w:w="0" w:type="dxa"/>
            <w:left w:w="0" w:type="dxa"/>
            <w:bottom w:w="0" w:type="dxa"/>
            <w:right w:w="0" w:type="dxa"/>
          </w:tblCellMar>
        </w:tblPrEx>
        <w:trPr>
          <w:wBefore w:w="0" w:type="auto"/>
          <w:tblCellSpacing w:w="0" w:type="dxa"/>
        </w:trPr>
        <w:tc>
          <w:tcPr>
            <w:tcW w:w="0" w:type="auto"/>
            <w:noWrap w:val="0"/>
            <w:vAlign w:val="center"/>
          </w:tcPr>
          <w:p w14:paraId="0DA755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A2F1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C760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15EFB4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25A9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72FE7B">
                  <w:r>
                    <w:rPr>
                      <w:rStyle w:val="11"/>
                      <w:rFonts w:hint="eastAsia"/>
                    </w:rPr>
                    <w:t>施用方式</w:t>
                  </w:r>
                </w:p>
              </w:tc>
            </w:tr>
            <w:tr w14:paraId="5B4D38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76FBA5">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C0731C">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D40248">
                  <w:r>
                    <w:rPr>
                      <w:rStyle w:val="11"/>
                      <w:rFonts w:hint="eastAsia"/>
                    </w:rPr>
                    <w:t>5000-7000倍液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1A8232">
                  <w:r>
                    <w:rPr>
                      <w:rStyle w:val="11"/>
                      <w:rFonts w:hint="eastAsia"/>
                    </w:rPr>
                    <w:t>喷雾</w:t>
                  </w:r>
                </w:p>
              </w:tc>
            </w:tr>
          </w:tbl>
          <w:p w14:paraId="1BC2CEBC">
            <w:pPr>
              <w:rPr>
                <w:rFonts w:ascii="Times New Roman" w:hAnsi="Times New Roman" w:cs="Times New Roman"/>
                <w:sz w:val="20"/>
                <w:szCs w:val="20"/>
              </w:rPr>
            </w:pPr>
          </w:p>
        </w:tc>
      </w:tr>
      <w:tr w14:paraId="373E5373">
        <w:tblPrEx>
          <w:tblCellMar>
            <w:top w:w="0" w:type="dxa"/>
            <w:left w:w="0" w:type="dxa"/>
            <w:bottom w:w="0" w:type="dxa"/>
            <w:right w:w="0" w:type="dxa"/>
          </w:tblCellMar>
        </w:tblPrEx>
        <w:trPr>
          <w:wBefore w:w="0" w:type="auto"/>
          <w:tblCellSpacing w:w="0" w:type="dxa"/>
        </w:trPr>
        <w:tc>
          <w:tcPr>
            <w:tcW w:w="0" w:type="auto"/>
            <w:noWrap w:val="0"/>
            <w:vAlign w:val="center"/>
          </w:tcPr>
          <w:p w14:paraId="6AB0FB78">
            <w:r>
              <w:rPr>
                <w:rStyle w:val="10"/>
                <w:rFonts w:hint="eastAsia"/>
              </w:rPr>
              <w:t>使用技术要求:</w:t>
            </w:r>
            <w:r>
              <w:rPr>
                <w:rFonts w:hint="eastAsia"/>
              </w:rPr>
              <w:br w:type="textWrapping"/>
            </w:r>
            <w:r>
              <w:rPr>
                <w:rStyle w:val="11"/>
                <w:rFonts w:hint="eastAsia"/>
              </w:rPr>
              <w:t>1.于柑橘树介壳虫卵孵初期至低龄幼虫发生期施药，注意喷雾均匀，使作物叶面正反面均匀着药。2.高温天气、大风天或预计1小时内降雨，请勿施药。3.在柑橘树上安全间隔期30天，每个生长季最多施用1次。</w:t>
            </w:r>
          </w:p>
        </w:tc>
      </w:tr>
      <w:tr w14:paraId="2E1D1C82">
        <w:tblPrEx>
          <w:tblCellMar>
            <w:top w:w="0" w:type="dxa"/>
            <w:left w:w="0" w:type="dxa"/>
            <w:bottom w:w="0" w:type="dxa"/>
            <w:right w:w="0" w:type="dxa"/>
          </w:tblCellMar>
        </w:tblPrEx>
        <w:trPr>
          <w:wBefore w:w="0" w:type="auto"/>
          <w:tblCellSpacing w:w="0" w:type="dxa"/>
        </w:trPr>
        <w:tc>
          <w:tcPr>
            <w:tcW w:w="0" w:type="auto"/>
            <w:noWrap w:val="0"/>
            <w:vAlign w:val="center"/>
          </w:tcPr>
          <w:p w14:paraId="42F62375">
            <w:r>
              <w:rPr>
                <w:rStyle w:val="10"/>
                <w:rFonts w:hint="eastAsia"/>
              </w:rPr>
              <w:t>产品性能:</w:t>
            </w:r>
            <w:r>
              <w:rPr>
                <w:rFonts w:hint="eastAsia"/>
              </w:rPr>
              <w:br w:type="textWrapping"/>
            </w:r>
            <w:r>
              <w:rPr>
                <w:rStyle w:val="11"/>
                <w:rFonts w:hint="eastAsia"/>
              </w:rPr>
              <w:t>本品是季酮酸类杀虫剂，其作用机制为干扰害虫脂肪合成、阻断能量代谢，最终导致害虫死亡。具有内吸性，可在植株体内上下传导，对柑橘树介壳虫有较好的防治效果。</w:t>
            </w:r>
          </w:p>
        </w:tc>
      </w:tr>
      <w:tr w14:paraId="5328DD6E">
        <w:tblPrEx>
          <w:tblCellMar>
            <w:top w:w="0" w:type="dxa"/>
            <w:left w:w="0" w:type="dxa"/>
            <w:bottom w:w="0" w:type="dxa"/>
            <w:right w:w="0" w:type="dxa"/>
          </w:tblCellMar>
        </w:tblPrEx>
        <w:trPr>
          <w:wBefore w:w="0" w:type="auto"/>
          <w:tblCellSpacing w:w="0" w:type="dxa"/>
        </w:trPr>
        <w:tc>
          <w:tcPr>
            <w:tcW w:w="0" w:type="auto"/>
            <w:noWrap w:val="0"/>
            <w:vAlign w:val="center"/>
          </w:tcPr>
          <w:p w14:paraId="7932CD4D">
            <w:r>
              <w:rPr>
                <w:rStyle w:val="10"/>
                <w:rFonts w:hint="eastAsia"/>
              </w:rPr>
              <w:t>注意事项：</w:t>
            </w:r>
            <w:r>
              <w:rPr>
                <w:rFonts w:hint="eastAsia"/>
              </w:rPr>
              <w:br w:type="textWrapping"/>
            </w:r>
            <w:r>
              <w:rPr>
                <w:rStyle w:val="11"/>
                <w:rFonts w:hint="eastAsia"/>
              </w:rPr>
              <w:t>1.建议与其他作用机制不同的杀虫剂轮换使用，以延缓抗性产生。2.远离水产养殖区、河塘等水体施药，禁止在河塘等水体中清洗施药器具；蚕室及桑园附近禁用；鸟类保护区附近禁用。3.施用时应戴防护镜、口罩和手套，穿长衣、长裤；施药中禁止饮食、吸烟、饮水等；施药后应用肥皂和清水彻底清洗暴露在外的皮肤。4.用药后包装物及用过的容器应妥善处理，不可做他用，也不可随意丢弃。5.孕妇、哺乳期的妇女禁止接触本产品。</w:t>
            </w:r>
          </w:p>
        </w:tc>
      </w:tr>
      <w:tr w14:paraId="32CDBFBF">
        <w:tblPrEx>
          <w:tblCellMar>
            <w:top w:w="0" w:type="dxa"/>
            <w:left w:w="0" w:type="dxa"/>
            <w:bottom w:w="0" w:type="dxa"/>
            <w:right w:w="0" w:type="dxa"/>
          </w:tblCellMar>
        </w:tblPrEx>
        <w:trPr>
          <w:wBefore w:w="0" w:type="auto"/>
          <w:tblCellSpacing w:w="0" w:type="dxa"/>
        </w:trPr>
        <w:tc>
          <w:tcPr>
            <w:tcW w:w="0" w:type="auto"/>
            <w:noWrap w:val="0"/>
            <w:vAlign w:val="center"/>
          </w:tcPr>
          <w:p w14:paraId="5FECB5B5">
            <w:r>
              <w:rPr>
                <w:rStyle w:val="10"/>
                <w:rFonts w:hint="eastAsia"/>
              </w:rPr>
              <w:t>中毒急救措施：</w:t>
            </w:r>
            <w:r>
              <w:rPr>
                <w:rFonts w:hint="eastAsia"/>
              </w:rPr>
              <w:br w:type="textWrapping"/>
            </w:r>
            <w:r>
              <w:rPr>
                <w:rStyle w:val="11"/>
                <w:rFonts w:hint="eastAsia"/>
              </w:rPr>
              <w:t>1.使用中或使用后如果感觉不适，应立即停止工作，采取急救措施，并携带标签送医院就诊。2.皮肤接触：脱去污染的衣物，用软布去除沾染农药，立即用大量清水和肥皂冲洗。眼睛溅入：立即用流动清水冲洗不少于15分钟。3.误食：立即停止服用，用清水充分漱口后，立即携带农药标签到医院就诊。</w:t>
            </w:r>
          </w:p>
        </w:tc>
      </w:tr>
      <w:tr w14:paraId="40DCE9E7">
        <w:tblPrEx>
          <w:tblCellMar>
            <w:top w:w="0" w:type="dxa"/>
            <w:left w:w="0" w:type="dxa"/>
            <w:bottom w:w="0" w:type="dxa"/>
            <w:right w:w="0" w:type="dxa"/>
          </w:tblCellMar>
        </w:tblPrEx>
        <w:trPr>
          <w:wBefore w:w="0" w:type="auto"/>
          <w:tblCellSpacing w:w="0" w:type="dxa"/>
        </w:trPr>
        <w:tc>
          <w:tcPr>
            <w:tcW w:w="0" w:type="auto"/>
            <w:noWrap w:val="0"/>
            <w:vAlign w:val="center"/>
          </w:tcPr>
          <w:p w14:paraId="217A87F8">
            <w:r>
              <w:rPr>
                <w:rStyle w:val="10"/>
                <w:rFonts w:hint="eastAsia"/>
              </w:rPr>
              <w:t>储存和运输方法：</w:t>
            </w:r>
            <w:r>
              <w:rPr>
                <w:rFonts w:hint="eastAsia"/>
              </w:rPr>
              <w:br w:type="textWrapping"/>
            </w:r>
            <w:r>
              <w:rPr>
                <w:rStyle w:val="11"/>
                <w:rFonts w:hint="eastAsia"/>
              </w:rPr>
              <w:t>1.本品应储存在干燥、阴凉、通风、防雨处，远离火源或热源。2.置于儿童接触不到的地方，并加锁。不可与食品、饮料、粮食、饲料等同储同运。3.运输时注意防晒、防雨，在装卸、运输时应轻拿轻放，不可倒置。</w:t>
            </w:r>
          </w:p>
        </w:tc>
      </w:tr>
      <w:tr w14:paraId="7C925854">
        <w:tblPrEx>
          <w:tblCellMar>
            <w:top w:w="0" w:type="dxa"/>
            <w:left w:w="0" w:type="dxa"/>
            <w:bottom w:w="0" w:type="dxa"/>
            <w:right w:w="0" w:type="dxa"/>
          </w:tblCellMar>
        </w:tblPrEx>
        <w:trPr>
          <w:wBefore w:w="0" w:type="auto"/>
          <w:tblCellSpacing w:w="0" w:type="dxa"/>
        </w:trPr>
        <w:tc>
          <w:tcPr>
            <w:tcW w:w="0" w:type="auto"/>
            <w:noWrap w:val="0"/>
            <w:vAlign w:val="center"/>
          </w:tcPr>
          <w:p w14:paraId="45F2DDE4">
            <w:r>
              <w:rPr>
                <w:rStyle w:val="10"/>
                <w:rFonts w:hint="eastAsia"/>
              </w:rPr>
              <w:t>质量保证期：</w:t>
            </w:r>
            <w:r>
              <w:rPr>
                <w:rStyle w:val="11"/>
                <w:rFonts w:hint="eastAsia"/>
              </w:rPr>
              <w:t>2年</w:t>
            </w:r>
          </w:p>
        </w:tc>
      </w:tr>
      <w:tr w14:paraId="58C4C395">
        <w:tblPrEx>
          <w:tblCellMar>
            <w:top w:w="0" w:type="dxa"/>
            <w:left w:w="0" w:type="dxa"/>
            <w:bottom w:w="0" w:type="dxa"/>
            <w:right w:w="0" w:type="dxa"/>
          </w:tblCellMar>
        </w:tblPrEx>
        <w:trPr>
          <w:wBefore w:w="0" w:type="auto"/>
          <w:tblCellSpacing w:w="0" w:type="dxa"/>
        </w:trPr>
        <w:tc>
          <w:tcPr>
            <w:tcW w:w="0" w:type="auto"/>
            <w:noWrap w:val="0"/>
            <w:vAlign w:val="center"/>
          </w:tcPr>
          <w:p w14:paraId="24B7E67E">
            <w:r>
              <w:rPr>
                <w:rStyle w:val="10"/>
                <w:rFonts w:hint="eastAsia"/>
              </w:rPr>
              <w:t>备注：</w:t>
            </w:r>
          </w:p>
        </w:tc>
      </w:tr>
    </w:tbl>
    <w:p w14:paraId="11F70B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EB5A7C">
        <w:tblPrEx>
          <w:tblCellMar>
            <w:top w:w="0" w:type="dxa"/>
            <w:left w:w="0" w:type="dxa"/>
            <w:bottom w:w="0" w:type="dxa"/>
            <w:right w:w="0" w:type="dxa"/>
          </w:tblCellMar>
        </w:tblPrEx>
        <w:trPr>
          <w:wBefore w:w="0" w:type="auto"/>
          <w:tblCellSpacing w:w="0" w:type="dxa"/>
        </w:trPr>
        <w:tc>
          <w:tcPr>
            <w:tcW w:w="0" w:type="auto"/>
            <w:noWrap w:val="0"/>
            <w:vAlign w:val="center"/>
          </w:tcPr>
          <w:p w14:paraId="589E51BF">
            <w:r>
              <w:rPr>
                <w:rStyle w:val="10"/>
                <w:rFonts w:hint="eastAsia"/>
              </w:rPr>
              <w:t>登记证号：</w:t>
            </w:r>
            <w:r>
              <w:rPr>
                <w:rFonts w:hint="eastAsia"/>
              </w:rPr>
              <w:t>PD20212488</w:t>
            </w:r>
          </w:p>
        </w:tc>
      </w:tr>
      <w:tr w14:paraId="0AF14B23">
        <w:tblPrEx>
          <w:tblCellMar>
            <w:top w:w="0" w:type="dxa"/>
            <w:left w:w="0" w:type="dxa"/>
            <w:bottom w:w="0" w:type="dxa"/>
            <w:right w:w="0" w:type="dxa"/>
          </w:tblCellMar>
        </w:tblPrEx>
        <w:trPr>
          <w:wBefore w:w="0" w:type="auto"/>
          <w:tblCellSpacing w:w="0" w:type="dxa"/>
        </w:trPr>
        <w:tc>
          <w:tcPr>
            <w:tcW w:w="0" w:type="auto"/>
            <w:noWrap w:val="0"/>
            <w:vAlign w:val="center"/>
          </w:tcPr>
          <w:p w14:paraId="5DAEEF29">
            <w:r>
              <w:rPr>
                <w:rStyle w:val="10"/>
                <w:rFonts w:hint="eastAsia"/>
              </w:rPr>
              <w:t>登记证持有人：</w:t>
            </w:r>
            <w:r>
              <w:rPr>
                <w:rFonts w:hint="eastAsia"/>
              </w:rPr>
              <w:t>许昌市建安区昌盛日化实业有限公司</w:t>
            </w:r>
          </w:p>
        </w:tc>
      </w:tr>
      <w:tr w14:paraId="7E9650AE">
        <w:tblPrEx>
          <w:tblCellMar>
            <w:top w:w="0" w:type="dxa"/>
            <w:left w:w="0" w:type="dxa"/>
            <w:bottom w:w="0" w:type="dxa"/>
            <w:right w:w="0" w:type="dxa"/>
          </w:tblCellMar>
        </w:tblPrEx>
        <w:trPr>
          <w:wBefore w:w="0" w:type="auto"/>
          <w:tblCellSpacing w:w="0" w:type="dxa"/>
        </w:trPr>
        <w:tc>
          <w:tcPr>
            <w:tcW w:w="0" w:type="auto"/>
            <w:noWrap w:val="0"/>
            <w:vAlign w:val="center"/>
          </w:tcPr>
          <w:p w14:paraId="5BA925CC">
            <w:r>
              <w:rPr>
                <w:rStyle w:val="10"/>
                <w:rFonts w:hint="eastAsia"/>
              </w:rPr>
              <w:t>农药名称：</w:t>
            </w:r>
            <w:r>
              <w:rPr>
                <w:rFonts w:hint="eastAsia"/>
              </w:rPr>
              <w:t>甲嘧磺隆</w:t>
            </w:r>
          </w:p>
        </w:tc>
      </w:tr>
      <w:tr w14:paraId="683EE219">
        <w:tblPrEx>
          <w:tblCellMar>
            <w:top w:w="0" w:type="dxa"/>
            <w:left w:w="0" w:type="dxa"/>
            <w:bottom w:w="0" w:type="dxa"/>
            <w:right w:w="0" w:type="dxa"/>
          </w:tblCellMar>
        </w:tblPrEx>
        <w:trPr>
          <w:wBefore w:w="0" w:type="auto"/>
          <w:tblCellSpacing w:w="0" w:type="dxa"/>
        </w:trPr>
        <w:tc>
          <w:tcPr>
            <w:tcW w:w="0" w:type="auto"/>
            <w:noWrap w:val="0"/>
            <w:vAlign w:val="center"/>
          </w:tcPr>
          <w:p w14:paraId="533E9954">
            <w:r>
              <w:rPr>
                <w:rStyle w:val="10"/>
                <w:rFonts w:hint="eastAsia"/>
              </w:rPr>
              <w:t>剂型：</w:t>
            </w:r>
            <w:r>
              <w:rPr>
                <w:rFonts w:hint="eastAsia"/>
              </w:rPr>
              <w:t>水分散粒剂</w:t>
            </w:r>
          </w:p>
        </w:tc>
      </w:tr>
      <w:tr w14:paraId="151DF81C">
        <w:tblPrEx>
          <w:tblCellMar>
            <w:top w:w="0" w:type="dxa"/>
            <w:left w:w="0" w:type="dxa"/>
            <w:bottom w:w="0" w:type="dxa"/>
            <w:right w:w="0" w:type="dxa"/>
          </w:tblCellMar>
        </w:tblPrEx>
        <w:trPr>
          <w:wBefore w:w="0" w:type="auto"/>
          <w:tblCellSpacing w:w="0" w:type="dxa"/>
        </w:trPr>
        <w:tc>
          <w:tcPr>
            <w:tcW w:w="0" w:type="auto"/>
            <w:noWrap w:val="0"/>
            <w:vAlign w:val="center"/>
          </w:tcPr>
          <w:p w14:paraId="0A6FBCA1">
            <w:r>
              <w:rPr>
                <w:rStyle w:val="10"/>
                <w:rFonts w:hint="eastAsia"/>
              </w:rPr>
              <w:t>毒性及其标识：</w:t>
            </w:r>
            <w:r>
              <w:rPr>
                <w:rFonts w:hint="eastAsia"/>
              </w:rPr>
              <w:t xml:space="preserve"> 微毒 </w:t>
            </w:r>
          </w:p>
        </w:tc>
      </w:tr>
      <w:tr w14:paraId="1070F4C0">
        <w:tblPrEx>
          <w:tblCellMar>
            <w:top w:w="0" w:type="dxa"/>
            <w:left w:w="0" w:type="dxa"/>
            <w:bottom w:w="0" w:type="dxa"/>
            <w:right w:w="0" w:type="dxa"/>
          </w:tblCellMar>
        </w:tblPrEx>
        <w:trPr>
          <w:wBefore w:w="0" w:type="auto"/>
          <w:tblCellSpacing w:w="0" w:type="dxa"/>
        </w:trPr>
        <w:tc>
          <w:tcPr>
            <w:tcW w:w="0" w:type="auto"/>
            <w:noWrap w:val="0"/>
            <w:vAlign w:val="center"/>
          </w:tcPr>
          <w:p w14:paraId="57B12015">
            <w:r>
              <w:rPr>
                <w:rStyle w:val="10"/>
                <w:rFonts w:hint="eastAsia"/>
              </w:rPr>
              <w:t>总有效成分含量：</w:t>
            </w:r>
            <w:r>
              <w:rPr>
                <w:rFonts w:hint="eastAsia"/>
              </w:rPr>
              <w:t>75%</w:t>
            </w:r>
          </w:p>
        </w:tc>
      </w:tr>
      <w:tr w14:paraId="41B285B5">
        <w:tblPrEx>
          <w:tblCellMar>
            <w:top w:w="0" w:type="dxa"/>
            <w:left w:w="0" w:type="dxa"/>
            <w:bottom w:w="0" w:type="dxa"/>
            <w:right w:w="0" w:type="dxa"/>
          </w:tblCellMar>
        </w:tblPrEx>
        <w:trPr>
          <w:wBefore w:w="0" w:type="auto"/>
          <w:tblCellSpacing w:w="0" w:type="dxa"/>
        </w:trPr>
        <w:tc>
          <w:tcPr>
            <w:tcW w:w="0" w:type="auto"/>
            <w:noWrap w:val="0"/>
            <w:vAlign w:val="center"/>
          </w:tcPr>
          <w:p w14:paraId="039DB927">
            <w:r>
              <w:rPr>
                <w:rFonts w:hint="eastAsia"/>
              </w:rPr>
              <w:t xml:space="preserve">有效成分及其含量： </w:t>
            </w:r>
          </w:p>
          <w:p w14:paraId="6205EAA5">
            <w:r>
              <w:rPr>
                <w:rFonts w:hint="eastAsia"/>
              </w:rPr>
              <w:t xml:space="preserve">    甲嘧磺隆75%    </w:t>
            </w:r>
          </w:p>
        </w:tc>
      </w:tr>
      <w:tr w14:paraId="1AE62F59">
        <w:tblPrEx>
          <w:tblCellMar>
            <w:top w:w="0" w:type="dxa"/>
            <w:left w:w="0" w:type="dxa"/>
            <w:bottom w:w="0" w:type="dxa"/>
            <w:right w:w="0" w:type="dxa"/>
          </w:tblCellMar>
        </w:tblPrEx>
        <w:trPr>
          <w:wBefore w:w="0" w:type="auto"/>
          <w:tblCellSpacing w:w="0" w:type="dxa"/>
        </w:trPr>
        <w:tc>
          <w:tcPr>
            <w:tcW w:w="0" w:type="auto"/>
            <w:noWrap w:val="0"/>
            <w:vAlign w:val="center"/>
          </w:tcPr>
          <w:p w14:paraId="307CA9A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9C59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84758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2C26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A64D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8A5F1A">
                  <w:r>
                    <w:rPr>
                      <w:rStyle w:val="11"/>
                      <w:rFonts w:hint="eastAsia"/>
                    </w:rPr>
                    <w:t>施用方式</w:t>
                  </w:r>
                </w:p>
              </w:tc>
            </w:tr>
            <w:tr w14:paraId="47D64D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73F11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8258D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996843">
                  <w:r>
                    <w:rPr>
                      <w:rStyle w:val="11"/>
                      <w:rFonts w:hint="eastAsia"/>
                    </w:rPr>
                    <w:t>45-60克/亩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3369E9">
                  <w:r>
                    <w:rPr>
                      <w:rStyle w:val="11"/>
                      <w:rFonts w:hint="eastAsia"/>
                    </w:rPr>
                    <w:t>茎叶喷雾</w:t>
                  </w:r>
                </w:p>
              </w:tc>
            </w:tr>
          </w:tbl>
          <w:p w14:paraId="01CF664C">
            <w:pPr>
              <w:rPr>
                <w:rFonts w:ascii="Times New Roman" w:hAnsi="Times New Roman" w:cs="Times New Roman"/>
                <w:sz w:val="20"/>
                <w:szCs w:val="20"/>
              </w:rPr>
            </w:pPr>
          </w:p>
        </w:tc>
      </w:tr>
      <w:tr w14:paraId="0CE2A107">
        <w:tblPrEx>
          <w:tblCellMar>
            <w:top w:w="0" w:type="dxa"/>
            <w:left w:w="0" w:type="dxa"/>
            <w:bottom w:w="0" w:type="dxa"/>
            <w:right w:w="0" w:type="dxa"/>
          </w:tblCellMar>
        </w:tblPrEx>
        <w:trPr>
          <w:wBefore w:w="0" w:type="auto"/>
          <w:tblCellSpacing w:w="0" w:type="dxa"/>
        </w:trPr>
        <w:tc>
          <w:tcPr>
            <w:tcW w:w="0" w:type="auto"/>
            <w:noWrap w:val="0"/>
            <w:vAlign w:val="center"/>
          </w:tcPr>
          <w:p w14:paraId="4C515778">
            <w:r>
              <w:rPr>
                <w:rStyle w:val="10"/>
                <w:rFonts w:hint="eastAsia"/>
              </w:rPr>
              <w:t>使用技术要求:</w:t>
            </w:r>
            <w:r>
              <w:rPr>
                <w:rFonts w:hint="eastAsia"/>
              </w:rPr>
              <w:br w:type="textWrapping"/>
            </w:r>
            <w:r>
              <w:rPr>
                <w:rStyle w:val="11"/>
                <w:rFonts w:hint="eastAsia"/>
              </w:rPr>
              <w:t>1.本品应于杂草生长旺盛期施药，注意喷雾均匀周到。 2.本品对门氏黄松、美国黄松等有药害，不能使用。 3.本品为非耕地除草剂，不能用于农作物田除草。避免飘移到其他农作物上，避免产生药害。 4.本品需用清水配药，勿用浊水，以免减低药效，药后3－4小时内下雨，药效可能会降低。 5.施药时选择无风或微风天气。 6.禁止在田间道路、田埂、果树行间、休耕地、林场林地等农林业区域使用。</w:t>
            </w:r>
            <w:r>
              <w:rPr>
                <w:rStyle w:val="11"/>
                <w:rFonts w:hint="eastAsia"/>
              </w:rPr>
              <w:t> </w:t>
            </w:r>
          </w:p>
        </w:tc>
      </w:tr>
      <w:tr w14:paraId="7CA2B69B">
        <w:tblPrEx>
          <w:tblCellMar>
            <w:top w:w="0" w:type="dxa"/>
            <w:left w:w="0" w:type="dxa"/>
            <w:bottom w:w="0" w:type="dxa"/>
            <w:right w:w="0" w:type="dxa"/>
          </w:tblCellMar>
        </w:tblPrEx>
        <w:trPr>
          <w:wBefore w:w="0" w:type="auto"/>
          <w:tblCellSpacing w:w="0" w:type="dxa"/>
        </w:trPr>
        <w:tc>
          <w:tcPr>
            <w:tcW w:w="0" w:type="auto"/>
            <w:noWrap w:val="0"/>
            <w:vAlign w:val="center"/>
          </w:tcPr>
          <w:p w14:paraId="0AB0F057">
            <w:r>
              <w:rPr>
                <w:rStyle w:val="10"/>
                <w:rFonts w:hint="eastAsia"/>
              </w:rPr>
              <w:t>产品性能:</w:t>
            </w:r>
            <w:r>
              <w:rPr>
                <w:rFonts w:hint="eastAsia"/>
              </w:rPr>
              <w:br w:type="textWrapping"/>
            </w:r>
            <w:r>
              <w:rPr>
                <w:rStyle w:val="11"/>
                <w:rFonts w:hint="eastAsia"/>
              </w:rPr>
              <w:t xml:space="preserve">本品是一种磺酰脲类灭生性内吸传导型除草剂。主要通过抑制植物和根部生长端的细胞分裂，从而阻止植物生长，导致植物死亡。杀草谱广，可防除大多数阔叶杂草、禾本科杂草。用药量少，持效期较长。 </w:t>
            </w:r>
          </w:p>
        </w:tc>
      </w:tr>
      <w:tr w14:paraId="57E6C1BB">
        <w:tblPrEx>
          <w:tblCellMar>
            <w:top w:w="0" w:type="dxa"/>
            <w:left w:w="0" w:type="dxa"/>
            <w:bottom w:w="0" w:type="dxa"/>
            <w:right w:w="0" w:type="dxa"/>
          </w:tblCellMar>
        </w:tblPrEx>
        <w:trPr>
          <w:wBefore w:w="0" w:type="auto"/>
          <w:tblCellSpacing w:w="0" w:type="dxa"/>
        </w:trPr>
        <w:tc>
          <w:tcPr>
            <w:tcW w:w="0" w:type="auto"/>
            <w:noWrap w:val="0"/>
            <w:vAlign w:val="center"/>
          </w:tcPr>
          <w:p w14:paraId="4A257D2D">
            <w:r>
              <w:rPr>
                <w:rStyle w:val="10"/>
                <w:rFonts w:hint="eastAsia"/>
              </w:rPr>
              <w:t>注意事项：</w:t>
            </w:r>
            <w:r>
              <w:rPr>
                <w:rFonts w:hint="eastAsia"/>
              </w:rPr>
              <w:br w:type="textWrapping"/>
            </w:r>
            <w:r>
              <w:rPr>
                <w:rStyle w:val="11"/>
                <w:rFonts w:hint="eastAsia"/>
              </w:rPr>
              <w:t>1.本品为磺酰脲类除草剂，建议与其他作用机制不同的除草剂轮换使用。 2.本品对蜜蜂、鱼类等水生生物、家蚕、鸟类有毒，施药时应避免对周围蜂群的影响、开花植物花期、蚕室和桑园附近慎用。鸟类保护区附近禁止使用。桑园最外围一排作为隔离带。远离水产养殖区施药，应避免药液流入河塘等水体中。 3.使用过的喷雾器，应清洗干净方可用于非抗性作物喷其它的农药。 4.使用本品时应穿戴防护服和手套，避免吸入药液。施药期间不可吃东西和饮水。施药后应及时冲洗手、脸及裸露部位。 5.禁止在河塘等水域清洗施药器械。丢弃的包装物等废弃物应避免污染水体，建议用控制焚烧法或安全掩埋法处置包装物或废弃物。6.孕妇及哺乳期妇女禁止接触。</w:t>
            </w:r>
          </w:p>
        </w:tc>
      </w:tr>
      <w:tr w14:paraId="3341707C">
        <w:tblPrEx>
          <w:tblCellMar>
            <w:top w:w="0" w:type="dxa"/>
            <w:left w:w="0" w:type="dxa"/>
            <w:bottom w:w="0" w:type="dxa"/>
            <w:right w:w="0" w:type="dxa"/>
          </w:tblCellMar>
        </w:tblPrEx>
        <w:trPr>
          <w:wBefore w:w="0" w:type="auto"/>
          <w:tblCellSpacing w:w="0" w:type="dxa"/>
        </w:trPr>
        <w:tc>
          <w:tcPr>
            <w:tcW w:w="0" w:type="auto"/>
            <w:noWrap w:val="0"/>
            <w:vAlign w:val="center"/>
          </w:tcPr>
          <w:p w14:paraId="69510166">
            <w:r>
              <w:rPr>
                <w:rStyle w:val="10"/>
                <w:rFonts w:hint="eastAsia"/>
              </w:rPr>
              <w:t>中毒急救措施：</w:t>
            </w:r>
            <w:r>
              <w:rPr>
                <w:rFonts w:hint="eastAsia"/>
              </w:rPr>
              <w:br w:type="textWrapping"/>
            </w:r>
            <w:r>
              <w:rPr>
                <w:rStyle w:val="11"/>
                <w:rFonts w:hint="eastAsia"/>
              </w:rPr>
              <w:t xml:space="preserve">中毒症状：表现为对皮肤和眼睛有轻微刺激作用。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如吸入：立即离开施药现场，转移到空气清新处。4、如误服，立即停止服用，用清水充分漱口后，立即携带标签到医院对症治疗。 </w:t>
            </w:r>
          </w:p>
        </w:tc>
      </w:tr>
      <w:tr w14:paraId="35CEAF22">
        <w:tblPrEx>
          <w:tblCellMar>
            <w:top w:w="0" w:type="dxa"/>
            <w:left w:w="0" w:type="dxa"/>
            <w:bottom w:w="0" w:type="dxa"/>
            <w:right w:w="0" w:type="dxa"/>
          </w:tblCellMar>
        </w:tblPrEx>
        <w:trPr>
          <w:wBefore w:w="0" w:type="auto"/>
          <w:tblCellSpacing w:w="0" w:type="dxa"/>
        </w:trPr>
        <w:tc>
          <w:tcPr>
            <w:tcW w:w="0" w:type="auto"/>
            <w:noWrap w:val="0"/>
            <w:vAlign w:val="center"/>
          </w:tcPr>
          <w:p w14:paraId="4E3604A4">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5D3982C1">
        <w:tblPrEx>
          <w:tblCellMar>
            <w:top w:w="0" w:type="dxa"/>
            <w:left w:w="0" w:type="dxa"/>
            <w:bottom w:w="0" w:type="dxa"/>
            <w:right w:w="0" w:type="dxa"/>
          </w:tblCellMar>
        </w:tblPrEx>
        <w:trPr>
          <w:wBefore w:w="0" w:type="auto"/>
          <w:tblCellSpacing w:w="0" w:type="dxa"/>
        </w:trPr>
        <w:tc>
          <w:tcPr>
            <w:tcW w:w="0" w:type="auto"/>
            <w:noWrap w:val="0"/>
            <w:vAlign w:val="center"/>
          </w:tcPr>
          <w:p w14:paraId="69B0C12D">
            <w:r>
              <w:rPr>
                <w:rStyle w:val="10"/>
                <w:rFonts w:hint="eastAsia"/>
              </w:rPr>
              <w:t>质量保证期：</w:t>
            </w:r>
            <w:r>
              <w:rPr>
                <w:rStyle w:val="11"/>
                <w:rFonts w:hint="eastAsia"/>
              </w:rPr>
              <w:t>2年</w:t>
            </w:r>
          </w:p>
        </w:tc>
      </w:tr>
      <w:tr w14:paraId="4C5EC5D9">
        <w:tblPrEx>
          <w:tblCellMar>
            <w:top w:w="0" w:type="dxa"/>
            <w:left w:w="0" w:type="dxa"/>
            <w:bottom w:w="0" w:type="dxa"/>
            <w:right w:w="0" w:type="dxa"/>
          </w:tblCellMar>
        </w:tblPrEx>
        <w:trPr>
          <w:wBefore w:w="0" w:type="auto"/>
          <w:tblCellSpacing w:w="0" w:type="dxa"/>
        </w:trPr>
        <w:tc>
          <w:tcPr>
            <w:tcW w:w="0" w:type="auto"/>
            <w:noWrap w:val="0"/>
            <w:vAlign w:val="center"/>
          </w:tcPr>
          <w:p w14:paraId="233ACAC4">
            <w:r>
              <w:rPr>
                <w:rStyle w:val="10"/>
                <w:rFonts w:hint="eastAsia"/>
              </w:rPr>
              <w:t>备注：</w:t>
            </w:r>
          </w:p>
        </w:tc>
      </w:tr>
    </w:tbl>
    <w:p w14:paraId="7D7513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CDA3EA">
        <w:tblPrEx>
          <w:tblCellMar>
            <w:top w:w="0" w:type="dxa"/>
            <w:left w:w="0" w:type="dxa"/>
            <w:bottom w:w="0" w:type="dxa"/>
            <w:right w:w="0" w:type="dxa"/>
          </w:tblCellMar>
        </w:tblPrEx>
        <w:trPr>
          <w:wBefore w:w="0" w:type="auto"/>
          <w:tblCellSpacing w:w="0" w:type="dxa"/>
        </w:trPr>
        <w:tc>
          <w:tcPr>
            <w:tcW w:w="0" w:type="auto"/>
            <w:noWrap w:val="0"/>
            <w:vAlign w:val="center"/>
          </w:tcPr>
          <w:p w14:paraId="7F2FF1F9">
            <w:r>
              <w:rPr>
                <w:rStyle w:val="10"/>
                <w:rFonts w:hint="eastAsia"/>
              </w:rPr>
              <w:t>登记证号：</w:t>
            </w:r>
            <w:r>
              <w:rPr>
                <w:rFonts w:hint="eastAsia"/>
              </w:rPr>
              <w:t>PD20212502</w:t>
            </w:r>
          </w:p>
        </w:tc>
      </w:tr>
      <w:tr w14:paraId="1CFD4AB0">
        <w:tblPrEx>
          <w:tblCellMar>
            <w:top w:w="0" w:type="dxa"/>
            <w:left w:w="0" w:type="dxa"/>
            <w:bottom w:w="0" w:type="dxa"/>
            <w:right w:w="0" w:type="dxa"/>
          </w:tblCellMar>
        </w:tblPrEx>
        <w:trPr>
          <w:wBefore w:w="0" w:type="auto"/>
          <w:tblCellSpacing w:w="0" w:type="dxa"/>
        </w:trPr>
        <w:tc>
          <w:tcPr>
            <w:tcW w:w="0" w:type="auto"/>
            <w:noWrap w:val="0"/>
            <w:vAlign w:val="center"/>
          </w:tcPr>
          <w:p w14:paraId="42B2A2B6">
            <w:r>
              <w:rPr>
                <w:rStyle w:val="10"/>
                <w:rFonts w:hint="eastAsia"/>
              </w:rPr>
              <w:t>登记证持有人：</w:t>
            </w:r>
            <w:r>
              <w:rPr>
                <w:rFonts w:hint="eastAsia"/>
              </w:rPr>
              <w:t>广东省佛山市盈辉作物科学有限公司</w:t>
            </w:r>
          </w:p>
        </w:tc>
      </w:tr>
      <w:tr w14:paraId="65D0B575">
        <w:tblPrEx>
          <w:tblCellMar>
            <w:top w:w="0" w:type="dxa"/>
            <w:left w:w="0" w:type="dxa"/>
            <w:bottom w:w="0" w:type="dxa"/>
            <w:right w:w="0" w:type="dxa"/>
          </w:tblCellMar>
        </w:tblPrEx>
        <w:trPr>
          <w:wBefore w:w="0" w:type="auto"/>
          <w:tblCellSpacing w:w="0" w:type="dxa"/>
        </w:trPr>
        <w:tc>
          <w:tcPr>
            <w:tcW w:w="0" w:type="auto"/>
            <w:noWrap w:val="0"/>
            <w:vAlign w:val="center"/>
          </w:tcPr>
          <w:p w14:paraId="664D4AFF">
            <w:r>
              <w:rPr>
                <w:rStyle w:val="10"/>
                <w:rFonts w:hint="eastAsia"/>
              </w:rPr>
              <w:t>农药名称：</w:t>
            </w:r>
            <w:r>
              <w:rPr>
                <w:rFonts w:hint="eastAsia"/>
              </w:rPr>
              <w:t>吡氟酰草胺·氟噻草胺</w:t>
            </w:r>
          </w:p>
        </w:tc>
      </w:tr>
      <w:tr w14:paraId="42680797">
        <w:tblPrEx>
          <w:tblCellMar>
            <w:top w:w="0" w:type="dxa"/>
            <w:left w:w="0" w:type="dxa"/>
            <w:bottom w:w="0" w:type="dxa"/>
            <w:right w:w="0" w:type="dxa"/>
          </w:tblCellMar>
        </w:tblPrEx>
        <w:trPr>
          <w:wBefore w:w="0" w:type="auto"/>
          <w:tblCellSpacing w:w="0" w:type="dxa"/>
        </w:trPr>
        <w:tc>
          <w:tcPr>
            <w:tcW w:w="0" w:type="auto"/>
            <w:noWrap w:val="0"/>
            <w:vAlign w:val="center"/>
          </w:tcPr>
          <w:p w14:paraId="19947593">
            <w:r>
              <w:rPr>
                <w:rStyle w:val="10"/>
                <w:rFonts w:hint="eastAsia"/>
              </w:rPr>
              <w:t>剂型：</w:t>
            </w:r>
            <w:r>
              <w:rPr>
                <w:rFonts w:hint="eastAsia"/>
              </w:rPr>
              <w:t>悬浮剂</w:t>
            </w:r>
          </w:p>
        </w:tc>
      </w:tr>
      <w:tr w14:paraId="48E279BD">
        <w:tblPrEx>
          <w:tblCellMar>
            <w:top w:w="0" w:type="dxa"/>
            <w:left w:w="0" w:type="dxa"/>
            <w:bottom w:w="0" w:type="dxa"/>
            <w:right w:w="0" w:type="dxa"/>
          </w:tblCellMar>
        </w:tblPrEx>
        <w:trPr>
          <w:wBefore w:w="0" w:type="auto"/>
          <w:tblCellSpacing w:w="0" w:type="dxa"/>
        </w:trPr>
        <w:tc>
          <w:tcPr>
            <w:tcW w:w="0" w:type="auto"/>
            <w:noWrap w:val="0"/>
            <w:vAlign w:val="center"/>
          </w:tcPr>
          <w:p w14:paraId="76BBE5FE">
            <w:r>
              <w:rPr>
                <w:rStyle w:val="10"/>
                <w:rFonts w:hint="eastAsia"/>
              </w:rPr>
              <w:t>毒性及其标识：</w:t>
            </w:r>
            <w:r>
              <w:rPr>
                <w:rFonts w:hint="eastAsia"/>
              </w:rPr>
              <w:t xml:space="preserve"> </w:t>
            </w:r>
            <w:r>
              <w:rPr>
                <w:lang/>
              </w:rPr>
              <w:drawing>
                <wp:inline distT="0" distB="0" distL="114300" distR="114300">
                  <wp:extent cx="476250" cy="323850"/>
                  <wp:effectExtent l="0" t="0" r="0" b="0"/>
                  <wp:docPr id="312" name="图片 3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B956D4">
        <w:tblPrEx>
          <w:tblCellMar>
            <w:top w:w="0" w:type="dxa"/>
            <w:left w:w="0" w:type="dxa"/>
            <w:bottom w:w="0" w:type="dxa"/>
            <w:right w:w="0" w:type="dxa"/>
          </w:tblCellMar>
        </w:tblPrEx>
        <w:trPr>
          <w:wBefore w:w="0" w:type="auto"/>
          <w:tblCellSpacing w:w="0" w:type="dxa"/>
        </w:trPr>
        <w:tc>
          <w:tcPr>
            <w:tcW w:w="0" w:type="auto"/>
            <w:noWrap w:val="0"/>
            <w:vAlign w:val="center"/>
          </w:tcPr>
          <w:p w14:paraId="527E2A71">
            <w:r>
              <w:rPr>
                <w:rStyle w:val="10"/>
                <w:rFonts w:hint="eastAsia"/>
              </w:rPr>
              <w:t>总有效成分含量：</w:t>
            </w:r>
            <w:r>
              <w:rPr>
                <w:rFonts w:hint="eastAsia"/>
              </w:rPr>
              <w:t>30%</w:t>
            </w:r>
          </w:p>
        </w:tc>
      </w:tr>
      <w:tr w14:paraId="3D74DAD9">
        <w:tblPrEx>
          <w:tblCellMar>
            <w:top w:w="0" w:type="dxa"/>
            <w:left w:w="0" w:type="dxa"/>
            <w:bottom w:w="0" w:type="dxa"/>
            <w:right w:w="0" w:type="dxa"/>
          </w:tblCellMar>
        </w:tblPrEx>
        <w:trPr>
          <w:wBefore w:w="0" w:type="auto"/>
          <w:tblCellSpacing w:w="0" w:type="dxa"/>
        </w:trPr>
        <w:tc>
          <w:tcPr>
            <w:tcW w:w="0" w:type="auto"/>
            <w:noWrap w:val="0"/>
            <w:vAlign w:val="center"/>
          </w:tcPr>
          <w:p w14:paraId="680A264A">
            <w:r>
              <w:rPr>
                <w:rFonts w:hint="eastAsia"/>
              </w:rPr>
              <w:t xml:space="preserve">有效成分及其含量： </w:t>
            </w:r>
          </w:p>
          <w:p w14:paraId="675FBB61">
            <w:r>
              <w:rPr>
                <w:rFonts w:hint="eastAsia"/>
              </w:rPr>
              <w:t xml:space="preserve">    吡氟酰草胺10%    氟噻草胺20%    </w:t>
            </w:r>
          </w:p>
        </w:tc>
      </w:tr>
      <w:tr w14:paraId="605A6828">
        <w:tblPrEx>
          <w:tblCellMar>
            <w:top w:w="0" w:type="dxa"/>
            <w:left w:w="0" w:type="dxa"/>
            <w:bottom w:w="0" w:type="dxa"/>
            <w:right w:w="0" w:type="dxa"/>
          </w:tblCellMar>
        </w:tblPrEx>
        <w:trPr>
          <w:wBefore w:w="0" w:type="auto"/>
          <w:tblCellSpacing w:w="0" w:type="dxa"/>
        </w:trPr>
        <w:tc>
          <w:tcPr>
            <w:tcW w:w="0" w:type="auto"/>
            <w:noWrap w:val="0"/>
            <w:vAlign w:val="center"/>
          </w:tcPr>
          <w:p w14:paraId="15CEE14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8843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DD2F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ECB7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C9CC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E12F9B">
                  <w:r>
                    <w:rPr>
                      <w:rStyle w:val="11"/>
                      <w:rFonts w:hint="eastAsia"/>
                    </w:rPr>
                    <w:t>施用方式</w:t>
                  </w:r>
                </w:p>
              </w:tc>
            </w:tr>
            <w:tr w14:paraId="641A70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EAACE3">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B3AC3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CA3C56">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EEA89E">
                  <w:r>
                    <w:rPr>
                      <w:rStyle w:val="11"/>
                      <w:rFonts w:hint="eastAsia"/>
                    </w:rPr>
                    <w:t>土壤喷雾</w:t>
                  </w:r>
                </w:p>
              </w:tc>
            </w:tr>
          </w:tbl>
          <w:p w14:paraId="0383483B">
            <w:pPr>
              <w:rPr>
                <w:rFonts w:ascii="Times New Roman" w:hAnsi="Times New Roman" w:cs="Times New Roman"/>
                <w:sz w:val="20"/>
                <w:szCs w:val="20"/>
              </w:rPr>
            </w:pPr>
          </w:p>
        </w:tc>
      </w:tr>
      <w:tr w14:paraId="6C25C3CA">
        <w:tblPrEx>
          <w:tblCellMar>
            <w:top w:w="0" w:type="dxa"/>
            <w:left w:w="0" w:type="dxa"/>
            <w:bottom w:w="0" w:type="dxa"/>
            <w:right w:w="0" w:type="dxa"/>
          </w:tblCellMar>
        </w:tblPrEx>
        <w:trPr>
          <w:wBefore w:w="0" w:type="auto"/>
          <w:tblCellSpacing w:w="0" w:type="dxa"/>
        </w:trPr>
        <w:tc>
          <w:tcPr>
            <w:tcW w:w="0" w:type="auto"/>
            <w:noWrap w:val="0"/>
            <w:vAlign w:val="center"/>
          </w:tcPr>
          <w:p w14:paraId="38AA3D36">
            <w:r>
              <w:rPr>
                <w:rStyle w:val="10"/>
                <w:rFonts w:hint="eastAsia"/>
              </w:rPr>
              <w:t>使用技术要求:</w:t>
            </w:r>
            <w:r>
              <w:rPr>
                <w:rFonts w:hint="eastAsia"/>
              </w:rPr>
              <w:br w:type="textWrapping"/>
            </w:r>
            <w:r>
              <w:rPr>
                <w:rStyle w:val="11"/>
                <w:rFonts w:hint="eastAsia"/>
              </w:rPr>
              <w:t>1. 在冬小麦播后苗前土壤喷雾施药一次，每季最多施药1次。2. 大风天或预计1小时内降雨，请勿施药。3. 尽量选择无风的天气施药，避免飘移药害。 </w:t>
            </w:r>
          </w:p>
        </w:tc>
      </w:tr>
      <w:tr w14:paraId="08306670">
        <w:tblPrEx>
          <w:tblCellMar>
            <w:top w:w="0" w:type="dxa"/>
            <w:left w:w="0" w:type="dxa"/>
            <w:bottom w:w="0" w:type="dxa"/>
            <w:right w:w="0" w:type="dxa"/>
          </w:tblCellMar>
        </w:tblPrEx>
        <w:trPr>
          <w:wBefore w:w="0" w:type="auto"/>
          <w:tblCellSpacing w:w="0" w:type="dxa"/>
        </w:trPr>
        <w:tc>
          <w:tcPr>
            <w:tcW w:w="0" w:type="auto"/>
            <w:noWrap w:val="0"/>
            <w:vAlign w:val="center"/>
          </w:tcPr>
          <w:p w14:paraId="41A69CBB">
            <w:r>
              <w:rPr>
                <w:rStyle w:val="10"/>
                <w:rFonts w:hint="eastAsia"/>
              </w:rPr>
              <w:t>产品性能:</w:t>
            </w:r>
            <w:r>
              <w:rPr>
                <w:rFonts w:hint="eastAsia"/>
              </w:rPr>
              <w:br w:type="textWrapping"/>
            </w:r>
            <w:r>
              <w:rPr>
                <w:rStyle w:val="11"/>
                <w:rFonts w:hint="eastAsia"/>
              </w:rPr>
              <w:t>吡氟酰草胺具有抑制类胡萝卜素生物合成作用，导致杂草植株中类胡萝卜素含量下降，配合氟噻草胺抑制细胞分裂与生长，经杂草根系和幼嫩芽、叶吸收，对单、双子叶杂草兼除。</w:t>
            </w:r>
          </w:p>
        </w:tc>
      </w:tr>
      <w:tr w14:paraId="2EF102F0">
        <w:tblPrEx>
          <w:tblCellMar>
            <w:top w:w="0" w:type="dxa"/>
            <w:left w:w="0" w:type="dxa"/>
            <w:bottom w:w="0" w:type="dxa"/>
            <w:right w:w="0" w:type="dxa"/>
          </w:tblCellMar>
        </w:tblPrEx>
        <w:trPr>
          <w:wBefore w:w="0" w:type="auto"/>
          <w:tblCellSpacing w:w="0" w:type="dxa"/>
        </w:trPr>
        <w:tc>
          <w:tcPr>
            <w:tcW w:w="0" w:type="auto"/>
            <w:noWrap w:val="0"/>
            <w:vAlign w:val="center"/>
          </w:tcPr>
          <w:p w14:paraId="52EA2865">
            <w:r>
              <w:rPr>
                <w:rStyle w:val="10"/>
                <w:rFonts w:hint="eastAsia"/>
              </w:rPr>
              <w:t>注意事项：</w:t>
            </w:r>
            <w:r>
              <w:rPr>
                <w:rFonts w:hint="eastAsia"/>
              </w:rPr>
              <w:br w:type="textWrapping"/>
            </w:r>
            <w:r>
              <w:rPr>
                <w:rStyle w:val="11"/>
                <w:rFonts w:hint="eastAsia"/>
              </w:rPr>
              <w:t>1. 使用时穿戴长衣、长裤、帽子、口罩、手套等安全防护措施。 施药时不能吃东西、吸烟、饮水等；施药后彻底清洗裸露部位并更换衣物。 2. 本品对大型溞和藻毒性高，水产养殖区、河塘等水体附近禁用；禁止在河塘等水体中清洗施药器具；清洗器具的废水不能排入河流、池塘等水源。 3. 用过的容器应妥善处理，不可做他用，也不可随意丢弃。 4. 桑园及蚕室附近禁用。 5. 避免孕妇及哺乳期妇女接触本品。</w:t>
            </w:r>
          </w:p>
        </w:tc>
      </w:tr>
      <w:tr w14:paraId="7E70530C">
        <w:tblPrEx>
          <w:tblCellMar>
            <w:top w:w="0" w:type="dxa"/>
            <w:left w:w="0" w:type="dxa"/>
            <w:bottom w:w="0" w:type="dxa"/>
            <w:right w:w="0" w:type="dxa"/>
          </w:tblCellMar>
        </w:tblPrEx>
        <w:trPr>
          <w:wBefore w:w="0" w:type="auto"/>
          <w:tblCellSpacing w:w="0" w:type="dxa"/>
        </w:trPr>
        <w:tc>
          <w:tcPr>
            <w:tcW w:w="0" w:type="auto"/>
            <w:noWrap w:val="0"/>
            <w:vAlign w:val="center"/>
          </w:tcPr>
          <w:p w14:paraId="4CF6F0F3">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68A984B7">
        <w:tblPrEx>
          <w:tblCellMar>
            <w:top w:w="0" w:type="dxa"/>
            <w:left w:w="0" w:type="dxa"/>
            <w:bottom w:w="0" w:type="dxa"/>
            <w:right w:w="0" w:type="dxa"/>
          </w:tblCellMar>
        </w:tblPrEx>
        <w:trPr>
          <w:wBefore w:w="0" w:type="auto"/>
          <w:tblCellSpacing w:w="0" w:type="dxa"/>
        </w:trPr>
        <w:tc>
          <w:tcPr>
            <w:tcW w:w="0" w:type="auto"/>
            <w:noWrap w:val="0"/>
            <w:vAlign w:val="center"/>
          </w:tcPr>
          <w:p w14:paraId="2F5D9A00">
            <w:r>
              <w:rPr>
                <w:rStyle w:val="10"/>
                <w:rFonts w:hint="eastAsia"/>
              </w:rPr>
              <w:t>储存和运输方法：</w:t>
            </w:r>
            <w:r>
              <w:rPr>
                <w:rFonts w:hint="eastAsia"/>
              </w:rPr>
              <w:br w:type="textWrapping"/>
            </w:r>
            <w:r>
              <w:rPr>
                <w:rStyle w:val="11"/>
                <w:rFonts w:hint="eastAsia"/>
              </w:rPr>
              <w:t>1.本品应贮存在干燥、通风、阴凉、防雨处，远离火源或热源。 2.本品应当置于儿童、无关人员及动物接触不到的地方，并加锁保存。 3.不能与食品、饮料、粮食、饲料等混合储运。</w:t>
            </w:r>
          </w:p>
        </w:tc>
      </w:tr>
      <w:tr w14:paraId="409613AE">
        <w:tblPrEx>
          <w:tblCellMar>
            <w:top w:w="0" w:type="dxa"/>
            <w:left w:w="0" w:type="dxa"/>
            <w:bottom w:w="0" w:type="dxa"/>
            <w:right w:w="0" w:type="dxa"/>
          </w:tblCellMar>
        </w:tblPrEx>
        <w:trPr>
          <w:wBefore w:w="0" w:type="auto"/>
          <w:tblCellSpacing w:w="0" w:type="dxa"/>
        </w:trPr>
        <w:tc>
          <w:tcPr>
            <w:tcW w:w="0" w:type="auto"/>
            <w:noWrap w:val="0"/>
            <w:vAlign w:val="center"/>
          </w:tcPr>
          <w:p w14:paraId="2819C0A3">
            <w:r>
              <w:rPr>
                <w:rStyle w:val="10"/>
                <w:rFonts w:hint="eastAsia"/>
              </w:rPr>
              <w:t>质量保证期：</w:t>
            </w:r>
            <w:r>
              <w:rPr>
                <w:rStyle w:val="11"/>
                <w:rFonts w:hint="eastAsia"/>
              </w:rPr>
              <w:t>2年</w:t>
            </w:r>
          </w:p>
        </w:tc>
      </w:tr>
      <w:tr w14:paraId="4781864E">
        <w:tblPrEx>
          <w:tblCellMar>
            <w:top w:w="0" w:type="dxa"/>
            <w:left w:w="0" w:type="dxa"/>
            <w:bottom w:w="0" w:type="dxa"/>
            <w:right w:w="0" w:type="dxa"/>
          </w:tblCellMar>
        </w:tblPrEx>
        <w:trPr>
          <w:wBefore w:w="0" w:type="auto"/>
          <w:tblCellSpacing w:w="0" w:type="dxa"/>
        </w:trPr>
        <w:tc>
          <w:tcPr>
            <w:tcW w:w="0" w:type="auto"/>
            <w:noWrap w:val="0"/>
            <w:vAlign w:val="center"/>
          </w:tcPr>
          <w:p w14:paraId="77C77961">
            <w:r>
              <w:rPr>
                <w:rStyle w:val="10"/>
                <w:rFonts w:hint="eastAsia"/>
              </w:rPr>
              <w:t>备注：</w:t>
            </w:r>
          </w:p>
        </w:tc>
      </w:tr>
    </w:tbl>
    <w:p w14:paraId="7E04A9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A4912A">
        <w:tblPrEx>
          <w:tblCellMar>
            <w:top w:w="0" w:type="dxa"/>
            <w:left w:w="0" w:type="dxa"/>
            <w:bottom w:w="0" w:type="dxa"/>
            <w:right w:w="0" w:type="dxa"/>
          </w:tblCellMar>
        </w:tblPrEx>
        <w:trPr>
          <w:wBefore w:w="0" w:type="auto"/>
          <w:tblCellSpacing w:w="0" w:type="dxa"/>
        </w:trPr>
        <w:tc>
          <w:tcPr>
            <w:tcW w:w="0" w:type="auto"/>
            <w:noWrap w:val="0"/>
            <w:vAlign w:val="center"/>
          </w:tcPr>
          <w:p w14:paraId="7EBAE422">
            <w:r>
              <w:rPr>
                <w:rStyle w:val="10"/>
                <w:rFonts w:hint="eastAsia"/>
              </w:rPr>
              <w:t>登记证号：</w:t>
            </w:r>
            <w:r>
              <w:rPr>
                <w:rFonts w:hint="eastAsia"/>
              </w:rPr>
              <w:t>PD20212391</w:t>
            </w:r>
          </w:p>
        </w:tc>
      </w:tr>
      <w:tr w14:paraId="77BE6266">
        <w:tblPrEx>
          <w:tblCellMar>
            <w:top w:w="0" w:type="dxa"/>
            <w:left w:w="0" w:type="dxa"/>
            <w:bottom w:w="0" w:type="dxa"/>
            <w:right w:w="0" w:type="dxa"/>
          </w:tblCellMar>
        </w:tblPrEx>
        <w:trPr>
          <w:wBefore w:w="0" w:type="auto"/>
          <w:tblCellSpacing w:w="0" w:type="dxa"/>
        </w:trPr>
        <w:tc>
          <w:tcPr>
            <w:tcW w:w="0" w:type="auto"/>
            <w:noWrap w:val="0"/>
            <w:vAlign w:val="center"/>
          </w:tcPr>
          <w:p w14:paraId="38C1E5A4">
            <w:r>
              <w:rPr>
                <w:rStyle w:val="10"/>
                <w:rFonts w:hint="eastAsia"/>
              </w:rPr>
              <w:t>登记证持有人：</w:t>
            </w:r>
            <w:r>
              <w:rPr>
                <w:rFonts w:hint="eastAsia"/>
              </w:rPr>
              <w:t>江西绿川生物科技实业有限公司</w:t>
            </w:r>
          </w:p>
        </w:tc>
      </w:tr>
      <w:tr w14:paraId="459A312B">
        <w:tblPrEx>
          <w:tblCellMar>
            <w:top w:w="0" w:type="dxa"/>
            <w:left w:w="0" w:type="dxa"/>
            <w:bottom w:w="0" w:type="dxa"/>
            <w:right w:w="0" w:type="dxa"/>
          </w:tblCellMar>
        </w:tblPrEx>
        <w:trPr>
          <w:wBefore w:w="0" w:type="auto"/>
          <w:tblCellSpacing w:w="0" w:type="dxa"/>
        </w:trPr>
        <w:tc>
          <w:tcPr>
            <w:tcW w:w="0" w:type="auto"/>
            <w:noWrap w:val="0"/>
            <w:vAlign w:val="center"/>
          </w:tcPr>
          <w:p w14:paraId="68C16B1D">
            <w:r>
              <w:rPr>
                <w:rStyle w:val="10"/>
                <w:rFonts w:hint="eastAsia"/>
              </w:rPr>
              <w:t>农药名称：</w:t>
            </w:r>
            <w:r>
              <w:rPr>
                <w:rFonts w:hint="eastAsia"/>
              </w:rPr>
              <w:t>虫螨腈·虱螨脲</w:t>
            </w:r>
          </w:p>
        </w:tc>
      </w:tr>
      <w:tr w14:paraId="470350CD">
        <w:tblPrEx>
          <w:tblCellMar>
            <w:top w:w="0" w:type="dxa"/>
            <w:left w:w="0" w:type="dxa"/>
            <w:bottom w:w="0" w:type="dxa"/>
            <w:right w:w="0" w:type="dxa"/>
          </w:tblCellMar>
        </w:tblPrEx>
        <w:trPr>
          <w:wBefore w:w="0" w:type="auto"/>
          <w:tblCellSpacing w:w="0" w:type="dxa"/>
        </w:trPr>
        <w:tc>
          <w:tcPr>
            <w:tcW w:w="0" w:type="auto"/>
            <w:noWrap w:val="0"/>
            <w:vAlign w:val="center"/>
          </w:tcPr>
          <w:p w14:paraId="283115A0">
            <w:r>
              <w:rPr>
                <w:rStyle w:val="10"/>
                <w:rFonts w:hint="eastAsia"/>
              </w:rPr>
              <w:t>剂型：</w:t>
            </w:r>
            <w:r>
              <w:rPr>
                <w:rFonts w:hint="eastAsia"/>
              </w:rPr>
              <w:t>悬浮剂</w:t>
            </w:r>
          </w:p>
        </w:tc>
      </w:tr>
      <w:tr w14:paraId="42E07941">
        <w:tblPrEx>
          <w:tblCellMar>
            <w:top w:w="0" w:type="dxa"/>
            <w:left w:w="0" w:type="dxa"/>
            <w:bottom w:w="0" w:type="dxa"/>
            <w:right w:w="0" w:type="dxa"/>
          </w:tblCellMar>
        </w:tblPrEx>
        <w:trPr>
          <w:wBefore w:w="0" w:type="auto"/>
          <w:tblCellSpacing w:w="0" w:type="dxa"/>
        </w:trPr>
        <w:tc>
          <w:tcPr>
            <w:tcW w:w="0" w:type="auto"/>
            <w:noWrap w:val="0"/>
            <w:vAlign w:val="center"/>
          </w:tcPr>
          <w:p w14:paraId="0CC00E2A">
            <w:r>
              <w:rPr>
                <w:rStyle w:val="10"/>
                <w:rFonts w:hint="eastAsia"/>
              </w:rPr>
              <w:t>毒性及其标识：</w:t>
            </w:r>
            <w:r>
              <w:rPr>
                <w:rFonts w:hint="eastAsia"/>
              </w:rPr>
              <w:t xml:space="preserve"> </w:t>
            </w:r>
            <w:r>
              <w:rPr>
                <w:lang/>
              </w:rPr>
              <w:drawing>
                <wp:inline distT="0" distB="0" distL="114300" distR="114300">
                  <wp:extent cx="476250" cy="323850"/>
                  <wp:effectExtent l="0" t="0" r="0" b="0"/>
                  <wp:docPr id="313" name="图片 3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4B1390">
        <w:tblPrEx>
          <w:tblCellMar>
            <w:top w:w="0" w:type="dxa"/>
            <w:left w:w="0" w:type="dxa"/>
            <w:bottom w:w="0" w:type="dxa"/>
            <w:right w:w="0" w:type="dxa"/>
          </w:tblCellMar>
        </w:tblPrEx>
        <w:trPr>
          <w:wBefore w:w="0" w:type="auto"/>
          <w:tblCellSpacing w:w="0" w:type="dxa"/>
        </w:trPr>
        <w:tc>
          <w:tcPr>
            <w:tcW w:w="0" w:type="auto"/>
            <w:noWrap w:val="0"/>
            <w:vAlign w:val="center"/>
          </w:tcPr>
          <w:p w14:paraId="586113FA">
            <w:r>
              <w:rPr>
                <w:rStyle w:val="10"/>
                <w:rFonts w:hint="eastAsia"/>
              </w:rPr>
              <w:t>总有效成分含量：</w:t>
            </w:r>
            <w:r>
              <w:rPr>
                <w:rFonts w:hint="eastAsia"/>
              </w:rPr>
              <w:t>24%</w:t>
            </w:r>
          </w:p>
        </w:tc>
      </w:tr>
      <w:tr w14:paraId="6F5AF254">
        <w:tblPrEx>
          <w:tblCellMar>
            <w:top w:w="0" w:type="dxa"/>
            <w:left w:w="0" w:type="dxa"/>
            <w:bottom w:w="0" w:type="dxa"/>
            <w:right w:w="0" w:type="dxa"/>
          </w:tblCellMar>
        </w:tblPrEx>
        <w:trPr>
          <w:wBefore w:w="0" w:type="auto"/>
          <w:tblCellSpacing w:w="0" w:type="dxa"/>
        </w:trPr>
        <w:tc>
          <w:tcPr>
            <w:tcW w:w="0" w:type="auto"/>
            <w:noWrap w:val="0"/>
            <w:vAlign w:val="center"/>
          </w:tcPr>
          <w:p w14:paraId="19E315AE">
            <w:r>
              <w:rPr>
                <w:rFonts w:hint="eastAsia"/>
              </w:rPr>
              <w:t xml:space="preserve">有效成分及其含量： </w:t>
            </w:r>
          </w:p>
          <w:p w14:paraId="3F2676D8">
            <w:r>
              <w:rPr>
                <w:rFonts w:hint="eastAsia"/>
              </w:rPr>
              <w:t xml:space="preserve">    虫螨腈19%    虱螨脲5%    </w:t>
            </w:r>
          </w:p>
        </w:tc>
      </w:tr>
      <w:tr w14:paraId="3D127DE3">
        <w:tblPrEx>
          <w:tblCellMar>
            <w:top w:w="0" w:type="dxa"/>
            <w:left w:w="0" w:type="dxa"/>
            <w:bottom w:w="0" w:type="dxa"/>
            <w:right w:w="0" w:type="dxa"/>
          </w:tblCellMar>
        </w:tblPrEx>
        <w:trPr>
          <w:wBefore w:w="0" w:type="auto"/>
          <w:tblCellSpacing w:w="0" w:type="dxa"/>
        </w:trPr>
        <w:tc>
          <w:tcPr>
            <w:tcW w:w="0" w:type="auto"/>
            <w:noWrap w:val="0"/>
            <w:vAlign w:val="center"/>
          </w:tcPr>
          <w:p w14:paraId="3B18008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0EB1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EDB45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6902D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B6E8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437FBA">
                  <w:r>
                    <w:rPr>
                      <w:rStyle w:val="11"/>
                      <w:rFonts w:hint="eastAsia"/>
                    </w:rPr>
                    <w:t>施用方式</w:t>
                  </w:r>
                </w:p>
              </w:tc>
            </w:tr>
            <w:tr w14:paraId="377A27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1DC303">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C4EBA2">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D5C6BE">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283C8F">
                  <w:r>
                    <w:rPr>
                      <w:rStyle w:val="11"/>
                      <w:rFonts w:hint="eastAsia"/>
                    </w:rPr>
                    <w:t>喷雾</w:t>
                  </w:r>
                </w:p>
              </w:tc>
            </w:tr>
          </w:tbl>
          <w:p w14:paraId="56A6C4FE">
            <w:pPr>
              <w:rPr>
                <w:rFonts w:ascii="Times New Roman" w:hAnsi="Times New Roman" w:cs="Times New Roman"/>
                <w:sz w:val="20"/>
                <w:szCs w:val="20"/>
              </w:rPr>
            </w:pPr>
          </w:p>
        </w:tc>
      </w:tr>
      <w:tr w14:paraId="32665646">
        <w:tblPrEx>
          <w:tblCellMar>
            <w:top w:w="0" w:type="dxa"/>
            <w:left w:w="0" w:type="dxa"/>
            <w:bottom w:w="0" w:type="dxa"/>
            <w:right w:w="0" w:type="dxa"/>
          </w:tblCellMar>
        </w:tblPrEx>
        <w:trPr>
          <w:wBefore w:w="0" w:type="auto"/>
          <w:tblCellSpacing w:w="0" w:type="dxa"/>
        </w:trPr>
        <w:tc>
          <w:tcPr>
            <w:tcW w:w="0" w:type="auto"/>
            <w:noWrap w:val="0"/>
            <w:vAlign w:val="center"/>
          </w:tcPr>
          <w:p w14:paraId="19C51AA5">
            <w:r>
              <w:rPr>
                <w:rStyle w:val="10"/>
                <w:rFonts w:hint="eastAsia"/>
              </w:rPr>
              <w:t>使用技术要求:</w:t>
            </w:r>
            <w:r>
              <w:rPr>
                <w:rFonts w:hint="eastAsia"/>
              </w:rPr>
              <w:br w:type="textWrapping"/>
            </w:r>
            <w:r>
              <w:rPr>
                <w:rStyle w:val="11"/>
                <w:rFonts w:hint="eastAsia"/>
              </w:rPr>
              <w:t>1.防治甘蓝小菜蛾，于小菜蛾发生初期兑水均匀喷雾。 2.大风天或预计1小时内降雨，请勿施药。 3.本品在甘蓝上的安全间隔期为14天，每季作物最多使用1次，施药间隔7-10天。</w:t>
            </w:r>
          </w:p>
        </w:tc>
      </w:tr>
      <w:tr w14:paraId="4CF43FC3">
        <w:tblPrEx>
          <w:tblCellMar>
            <w:top w:w="0" w:type="dxa"/>
            <w:left w:w="0" w:type="dxa"/>
            <w:bottom w:w="0" w:type="dxa"/>
            <w:right w:w="0" w:type="dxa"/>
          </w:tblCellMar>
        </w:tblPrEx>
        <w:trPr>
          <w:wBefore w:w="0" w:type="auto"/>
          <w:tblCellSpacing w:w="0" w:type="dxa"/>
        </w:trPr>
        <w:tc>
          <w:tcPr>
            <w:tcW w:w="0" w:type="auto"/>
            <w:noWrap w:val="0"/>
            <w:vAlign w:val="center"/>
          </w:tcPr>
          <w:p w14:paraId="596BF2F7">
            <w:r>
              <w:rPr>
                <w:rStyle w:val="10"/>
                <w:rFonts w:hint="eastAsia"/>
              </w:rPr>
              <w:t>产品性能:</w:t>
            </w:r>
            <w:r>
              <w:rPr>
                <w:rFonts w:hint="eastAsia"/>
              </w:rPr>
              <w:br w:type="textWrapping"/>
            </w:r>
            <w:r>
              <w:rPr>
                <w:rStyle w:val="11"/>
                <w:rFonts w:hint="eastAsia"/>
              </w:rPr>
              <w:t>本品是新型吡咯类化合物和取代脲类复配杀虫剂，具有胃毒、触杀和内吸作用，在叶面渗透性强，对甘蓝小菜蛾有较好的防治效果。</w:t>
            </w:r>
          </w:p>
        </w:tc>
      </w:tr>
      <w:tr w14:paraId="0063DB0D">
        <w:tblPrEx>
          <w:tblCellMar>
            <w:top w:w="0" w:type="dxa"/>
            <w:left w:w="0" w:type="dxa"/>
            <w:bottom w:w="0" w:type="dxa"/>
            <w:right w:w="0" w:type="dxa"/>
          </w:tblCellMar>
        </w:tblPrEx>
        <w:trPr>
          <w:wBefore w:w="0" w:type="auto"/>
          <w:tblCellSpacing w:w="0" w:type="dxa"/>
        </w:trPr>
        <w:tc>
          <w:tcPr>
            <w:tcW w:w="0" w:type="auto"/>
            <w:noWrap w:val="0"/>
            <w:vAlign w:val="center"/>
          </w:tcPr>
          <w:p w14:paraId="5E6BDFE7">
            <w:r>
              <w:rPr>
                <w:rStyle w:val="10"/>
                <w:rFonts w:hint="eastAsia"/>
              </w:rPr>
              <w:t>注意事项：</w:t>
            </w:r>
            <w:r>
              <w:rPr>
                <w:rFonts w:hint="eastAsia"/>
              </w:rPr>
              <w:br w:type="textWrapping"/>
            </w:r>
            <w:r>
              <w:rPr>
                <w:rStyle w:val="11"/>
                <w:rFonts w:hint="eastAsia"/>
              </w:rPr>
              <w:t>1. 请严格按照标签规定使用本品。 2. 使用本品时应穿着长衣、长裤、鞋，佩戴手套、帽子、口罩等防护用品，避免皮肤接触及口鼻吸入；施药期间不可吃东西、饮水、吸烟等；施药后应及时冲洗手、脸及裸露部位，并更换和清洗工作服。 3. 本品对蜜蜂、鱼类等水生生物、家蚕、鸟类有毒，（周围）开花植物花期禁用，施药期间应密切关注对附近蜂群的影响，蚕室和桑园附近禁用，鸟类保护区和赤眼蜂等天敌放飞区域禁用。 4. 远离水产养殖区、河塘等水体施药，禁止在河塘等水域内清洗施药器具，避免污染水源，清洗器具的废水不能排入河流、池塘等水源。 5. 用过的容器应妥善处理，不可作他用，也不可随意丢弃。 6. 孕妇及哺乳期妇女禁止接触本品。</w:t>
            </w:r>
          </w:p>
        </w:tc>
      </w:tr>
      <w:tr w14:paraId="1D90CCE4">
        <w:tblPrEx>
          <w:tblCellMar>
            <w:top w:w="0" w:type="dxa"/>
            <w:left w:w="0" w:type="dxa"/>
            <w:bottom w:w="0" w:type="dxa"/>
            <w:right w:w="0" w:type="dxa"/>
          </w:tblCellMar>
        </w:tblPrEx>
        <w:trPr>
          <w:wBefore w:w="0" w:type="auto"/>
          <w:tblCellSpacing w:w="0" w:type="dxa"/>
        </w:trPr>
        <w:tc>
          <w:tcPr>
            <w:tcW w:w="0" w:type="auto"/>
            <w:noWrap w:val="0"/>
            <w:vAlign w:val="center"/>
          </w:tcPr>
          <w:p w14:paraId="73D52D77">
            <w:r>
              <w:rPr>
                <w:rStyle w:val="10"/>
                <w:rFonts w:hint="eastAsia"/>
              </w:rPr>
              <w:t>中毒急救措施：</w:t>
            </w:r>
            <w:r>
              <w:rPr>
                <w:rFonts w:hint="eastAsia"/>
              </w:rPr>
              <w:br w:type="textWrapping"/>
            </w:r>
            <w:r>
              <w:rPr>
                <w:rStyle w:val="11"/>
                <w:rFonts w:hint="eastAsia"/>
              </w:rPr>
              <w:t>用药时如果感觉不适，立即停止工作，采取急救措施，并携此标签送医就诊。 急救治疗： 皮肤接触：立即脱掉被污染的衣物，用大量清水冲洗被污染的皮肤，衣服彻底清洗后方可再穿。 眼睛溅入：立即将眼睑翻开，用清水冲洗至少15分钟。如症状持续，携此标签去医院诊治。误吸：立即将吸入者转移到空气清新处，请医生诊治。误服：勿引吐，立即携此标签送医就诊，对症治疗。无特殊的解毒药，催吐只能在专业人员的监督下进行。</w:t>
            </w:r>
          </w:p>
        </w:tc>
      </w:tr>
      <w:tr w14:paraId="4FC2C9AB">
        <w:tblPrEx>
          <w:tblCellMar>
            <w:top w:w="0" w:type="dxa"/>
            <w:left w:w="0" w:type="dxa"/>
            <w:bottom w:w="0" w:type="dxa"/>
            <w:right w:w="0" w:type="dxa"/>
          </w:tblCellMar>
        </w:tblPrEx>
        <w:trPr>
          <w:wBefore w:w="0" w:type="auto"/>
          <w:tblCellSpacing w:w="0" w:type="dxa"/>
        </w:trPr>
        <w:tc>
          <w:tcPr>
            <w:tcW w:w="0" w:type="auto"/>
            <w:noWrap w:val="0"/>
            <w:vAlign w:val="center"/>
          </w:tcPr>
          <w:p w14:paraId="4698940C">
            <w:r>
              <w:rPr>
                <w:rStyle w:val="10"/>
                <w:rFonts w:hint="eastAsia"/>
              </w:rPr>
              <w:t>储存和运输方法：</w:t>
            </w:r>
            <w:r>
              <w:rPr>
                <w:rFonts w:hint="eastAsia"/>
              </w:rPr>
              <w:br w:type="textWrapping"/>
            </w:r>
            <w:r>
              <w:rPr>
                <w:rStyle w:val="11"/>
                <w:rFonts w:hint="eastAsia"/>
              </w:rPr>
              <w:t>1. 本品贮存于阴凉、干燥、通风、避光处，并远离火源或热源。2. 应置于儿童、无关人员及宠物触及不到之处，并加锁。3. 运输时，请注意防雨淋、高温、轻拿轻放，不得损坏包装。4. 请勿与食物、粮食、饮料、种子、饲料等其他商品同贮同运。</w:t>
            </w:r>
          </w:p>
        </w:tc>
      </w:tr>
      <w:tr w14:paraId="681AE0E8">
        <w:tblPrEx>
          <w:tblCellMar>
            <w:top w:w="0" w:type="dxa"/>
            <w:left w:w="0" w:type="dxa"/>
            <w:bottom w:w="0" w:type="dxa"/>
            <w:right w:w="0" w:type="dxa"/>
          </w:tblCellMar>
        </w:tblPrEx>
        <w:trPr>
          <w:wBefore w:w="0" w:type="auto"/>
          <w:tblCellSpacing w:w="0" w:type="dxa"/>
        </w:trPr>
        <w:tc>
          <w:tcPr>
            <w:tcW w:w="0" w:type="auto"/>
            <w:noWrap w:val="0"/>
            <w:vAlign w:val="center"/>
          </w:tcPr>
          <w:p w14:paraId="6B175D39">
            <w:r>
              <w:rPr>
                <w:rStyle w:val="10"/>
                <w:rFonts w:hint="eastAsia"/>
              </w:rPr>
              <w:t>质量保证期：</w:t>
            </w:r>
            <w:r>
              <w:rPr>
                <w:rStyle w:val="11"/>
                <w:rFonts w:hint="eastAsia"/>
              </w:rPr>
              <w:t>2年</w:t>
            </w:r>
          </w:p>
        </w:tc>
      </w:tr>
      <w:tr w14:paraId="0F9FE1BB">
        <w:tblPrEx>
          <w:tblCellMar>
            <w:top w:w="0" w:type="dxa"/>
            <w:left w:w="0" w:type="dxa"/>
            <w:bottom w:w="0" w:type="dxa"/>
            <w:right w:w="0" w:type="dxa"/>
          </w:tblCellMar>
        </w:tblPrEx>
        <w:trPr>
          <w:wBefore w:w="0" w:type="auto"/>
          <w:tblCellSpacing w:w="0" w:type="dxa"/>
        </w:trPr>
        <w:tc>
          <w:tcPr>
            <w:tcW w:w="0" w:type="auto"/>
            <w:noWrap w:val="0"/>
            <w:vAlign w:val="center"/>
          </w:tcPr>
          <w:p w14:paraId="34EAF859">
            <w:r>
              <w:rPr>
                <w:rStyle w:val="10"/>
                <w:rFonts w:hint="eastAsia"/>
              </w:rPr>
              <w:t>备注：</w:t>
            </w:r>
          </w:p>
        </w:tc>
      </w:tr>
    </w:tbl>
    <w:p w14:paraId="31A767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ADFDD4">
        <w:tblPrEx>
          <w:tblCellMar>
            <w:top w:w="0" w:type="dxa"/>
            <w:left w:w="0" w:type="dxa"/>
            <w:bottom w:w="0" w:type="dxa"/>
            <w:right w:w="0" w:type="dxa"/>
          </w:tblCellMar>
        </w:tblPrEx>
        <w:trPr>
          <w:wBefore w:w="0" w:type="auto"/>
          <w:tblCellSpacing w:w="0" w:type="dxa"/>
        </w:trPr>
        <w:tc>
          <w:tcPr>
            <w:tcW w:w="0" w:type="auto"/>
            <w:noWrap w:val="0"/>
            <w:vAlign w:val="center"/>
          </w:tcPr>
          <w:p w14:paraId="5FDC70A1">
            <w:r>
              <w:rPr>
                <w:rStyle w:val="10"/>
                <w:rFonts w:hint="eastAsia"/>
              </w:rPr>
              <w:t>登记证号：</w:t>
            </w:r>
            <w:r>
              <w:rPr>
                <w:rFonts w:hint="eastAsia"/>
              </w:rPr>
              <w:t>PD20212520</w:t>
            </w:r>
          </w:p>
        </w:tc>
      </w:tr>
      <w:tr w14:paraId="5EB8E56B">
        <w:tblPrEx>
          <w:tblCellMar>
            <w:top w:w="0" w:type="dxa"/>
            <w:left w:w="0" w:type="dxa"/>
            <w:bottom w:w="0" w:type="dxa"/>
            <w:right w:w="0" w:type="dxa"/>
          </w:tblCellMar>
        </w:tblPrEx>
        <w:trPr>
          <w:wBefore w:w="0" w:type="auto"/>
          <w:tblCellSpacing w:w="0" w:type="dxa"/>
        </w:trPr>
        <w:tc>
          <w:tcPr>
            <w:tcW w:w="0" w:type="auto"/>
            <w:noWrap w:val="0"/>
            <w:vAlign w:val="center"/>
          </w:tcPr>
          <w:p w14:paraId="19029292">
            <w:r>
              <w:rPr>
                <w:rStyle w:val="10"/>
                <w:rFonts w:hint="eastAsia"/>
              </w:rPr>
              <w:t>登记证持有人：</w:t>
            </w:r>
            <w:r>
              <w:rPr>
                <w:rFonts w:hint="eastAsia"/>
              </w:rPr>
              <w:t>山东奥坤作物科学股份有限公司</w:t>
            </w:r>
          </w:p>
        </w:tc>
      </w:tr>
      <w:tr w14:paraId="11288470">
        <w:tblPrEx>
          <w:tblCellMar>
            <w:top w:w="0" w:type="dxa"/>
            <w:left w:w="0" w:type="dxa"/>
            <w:bottom w:w="0" w:type="dxa"/>
            <w:right w:w="0" w:type="dxa"/>
          </w:tblCellMar>
        </w:tblPrEx>
        <w:trPr>
          <w:wBefore w:w="0" w:type="auto"/>
          <w:tblCellSpacing w:w="0" w:type="dxa"/>
        </w:trPr>
        <w:tc>
          <w:tcPr>
            <w:tcW w:w="0" w:type="auto"/>
            <w:noWrap w:val="0"/>
            <w:vAlign w:val="center"/>
          </w:tcPr>
          <w:p w14:paraId="3E5F6D47">
            <w:r>
              <w:rPr>
                <w:rStyle w:val="10"/>
                <w:rFonts w:hint="eastAsia"/>
              </w:rPr>
              <w:t>农药名称：</w:t>
            </w:r>
            <w:r>
              <w:rPr>
                <w:rFonts w:hint="eastAsia"/>
              </w:rPr>
              <w:t>噁嗪草酮</w:t>
            </w:r>
          </w:p>
        </w:tc>
      </w:tr>
      <w:tr w14:paraId="60E6ACF5">
        <w:tblPrEx>
          <w:tblCellMar>
            <w:top w:w="0" w:type="dxa"/>
            <w:left w:w="0" w:type="dxa"/>
            <w:bottom w:w="0" w:type="dxa"/>
            <w:right w:w="0" w:type="dxa"/>
          </w:tblCellMar>
        </w:tblPrEx>
        <w:trPr>
          <w:wBefore w:w="0" w:type="auto"/>
          <w:tblCellSpacing w:w="0" w:type="dxa"/>
        </w:trPr>
        <w:tc>
          <w:tcPr>
            <w:tcW w:w="0" w:type="auto"/>
            <w:noWrap w:val="0"/>
            <w:vAlign w:val="center"/>
          </w:tcPr>
          <w:p w14:paraId="2356976C">
            <w:r>
              <w:rPr>
                <w:rStyle w:val="10"/>
                <w:rFonts w:hint="eastAsia"/>
              </w:rPr>
              <w:t>剂型：</w:t>
            </w:r>
            <w:r>
              <w:rPr>
                <w:rFonts w:hint="eastAsia"/>
              </w:rPr>
              <w:t>悬浮剂</w:t>
            </w:r>
          </w:p>
        </w:tc>
      </w:tr>
      <w:tr w14:paraId="18F944B5">
        <w:tblPrEx>
          <w:tblCellMar>
            <w:top w:w="0" w:type="dxa"/>
            <w:left w:w="0" w:type="dxa"/>
            <w:bottom w:w="0" w:type="dxa"/>
            <w:right w:w="0" w:type="dxa"/>
          </w:tblCellMar>
        </w:tblPrEx>
        <w:trPr>
          <w:wBefore w:w="0" w:type="auto"/>
          <w:tblCellSpacing w:w="0" w:type="dxa"/>
        </w:trPr>
        <w:tc>
          <w:tcPr>
            <w:tcW w:w="0" w:type="auto"/>
            <w:noWrap w:val="0"/>
            <w:vAlign w:val="center"/>
          </w:tcPr>
          <w:p w14:paraId="1E9F7AA0">
            <w:r>
              <w:rPr>
                <w:rStyle w:val="10"/>
                <w:rFonts w:hint="eastAsia"/>
              </w:rPr>
              <w:t>毒性及其标识：</w:t>
            </w:r>
            <w:r>
              <w:rPr>
                <w:rFonts w:hint="eastAsia"/>
              </w:rPr>
              <w:t xml:space="preserve"> 微毒 </w:t>
            </w:r>
          </w:p>
        </w:tc>
      </w:tr>
      <w:tr w14:paraId="7DD797D8">
        <w:tblPrEx>
          <w:tblCellMar>
            <w:top w:w="0" w:type="dxa"/>
            <w:left w:w="0" w:type="dxa"/>
            <w:bottom w:w="0" w:type="dxa"/>
            <w:right w:w="0" w:type="dxa"/>
          </w:tblCellMar>
        </w:tblPrEx>
        <w:trPr>
          <w:wBefore w:w="0" w:type="auto"/>
          <w:tblCellSpacing w:w="0" w:type="dxa"/>
        </w:trPr>
        <w:tc>
          <w:tcPr>
            <w:tcW w:w="0" w:type="auto"/>
            <w:noWrap w:val="0"/>
            <w:vAlign w:val="center"/>
          </w:tcPr>
          <w:p w14:paraId="3E7635A3">
            <w:r>
              <w:rPr>
                <w:rStyle w:val="10"/>
                <w:rFonts w:hint="eastAsia"/>
              </w:rPr>
              <w:t>总有效成分含量：</w:t>
            </w:r>
            <w:r>
              <w:rPr>
                <w:rFonts w:hint="eastAsia"/>
              </w:rPr>
              <w:t>30%</w:t>
            </w:r>
          </w:p>
        </w:tc>
      </w:tr>
      <w:tr w14:paraId="3B36FD82">
        <w:tblPrEx>
          <w:tblCellMar>
            <w:top w:w="0" w:type="dxa"/>
            <w:left w:w="0" w:type="dxa"/>
            <w:bottom w:w="0" w:type="dxa"/>
            <w:right w:w="0" w:type="dxa"/>
          </w:tblCellMar>
        </w:tblPrEx>
        <w:trPr>
          <w:wBefore w:w="0" w:type="auto"/>
          <w:tblCellSpacing w:w="0" w:type="dxa"/>
        </w:trPr>
        <w:tc>
          <w:tcPr>
            <w:tcW w:w="0" w:type="auto"/>
            <w:noWrap w:val="0"/>
            <w:vAlign w:val="center"/>
          </w:tcPr>
          <w:p w14:paraId="6A203E41">
            <w:r>
              <w:rPr>
                <w:rFonts w:hint="eastAsia"/>
              </w:rPr>
              <w:t xml:space="preserve">有效成分及其含量： </w:t>
            </w:r>
          </w:p>
          <w:p w14:paraId="7F8A8C72">
            <w:r>
              <w:rPr>
                <w:rFonts w:hint="eastAsia"/>
              </w:rPr>
              <w:t xml:space="preserve">    噁嗪草酮30%    </w:t>
            </w:r>
          </w:p>
        </w:tc>
      </w:tr>
      <w:tr w14:paraId="00FDF659">
        <w:tblPrEx>
          <w:tblCellMar>
            <w:top w:w="0" w:type="dxa"/>
            <w:left w:w="0" w:type="dxa"/>
            <w:bottom w:w="0" w:type="dxa"/>
            <w:right w:w="0" w:type="dxa"/>
          </w:tblCellMar>
        </w:tblPrEx>
        <w:trPr>
          <w:wBefore w:w="0" w:type="auto"/>
          <w:tblCellSpacing w:w="0" w:type="dxa"/>
        </w:trPr>
        <w:tc>
          <w:tcPr>
            <w:tcW w:w="0" w:type="auto"/>
            <w:noWrap w:val="0"/>
            <w:vAlign w:val="center"/>
          </w:tcPr>
          <w:p w14:paraId="49E92D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88C4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59136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03713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186C2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A7E69D">
                  <w:r>
                    <w:rPr>
                      <w:rStyle w:val="11"/>
                      <w:rFonts w:hint="eastAsia"/>
                    </w:rPr>
                    <w:t>施用方式</w:t>
                  </w:r>
                </w:p>
              </w:tc>
            </w:tr>
            <w:tr w14:paraId="59630D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16A681">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825DB4">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641F06">
                  <w:r>
                    <w:rPr>
                      <w:rStyle w:val="11"/>
                      <w:rFonts w:hint="eastAsia"/>
                    </w:rPr>
                    <w:t>8-10毫升/亩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216A6">
                  <w:r>
                    <w:rPr>
                      <w:rStyle w:val="11"/>
                      <w:rFonts w:hint="eastAsia"/>
                    </w:rPr>
                    <w:t>茎叶喷雾</w:t>
                  </w:r>
                </w:p>
              </w:tc>
            </w:tr>
          </w:tbl>
          <w:p w14:paraId="30E63D21">
            <w:pPr>
              <w:rPr>
                <w:rFonts w:ascii="Times New Roman" w:hAnsi="Times New Roman" w:cs="Times New Roman"/>
                <w:sz w:val="20"/>
                <w:szCs w:val="20"/>
              </w:rPr>
            </w:pPr>
          </w:p>
        </w:tc>
      </w:tr>
      <w:tr w14:paraId="0EADE322">
        <w:tblPrEx>
          <w:tblCellMar>
            <w:top w:w="0" w:type="dxa"/>
            <w:left w:w="0" w:type="dxa"/>
            <w:bottom w:w="0" w:type="dxa"/>
            <w:right w:w="0" w:type="dxa"/>
          </w:tblCellMar>
        </w:tblPrEx>
        <w:trPr>
          <w:wBefore w:w="0" w:type="auto"/>
          <w:tblCellSpacing w:w="0" w:type="dxa"/>
        </w:trPr>
        <w:tc>
          <w:tcPr>
            <w:tcW w:w="0" w:type="auto"/>
            <w:noWrap w:val="0"/>
            <w:vAlign w:val="center"/>
          </w:tcPr>
          <w:p w14:paraId="574DF4CB">
            <w:r>
              <w:rPr>
                <w:rStyle w:val="10"/>
                <w:rFonts w:hint="eastAsia"/>
              </w:rPr>
              <w:t>使用技术要求:</w:t>
            </w:r>
            <w:r>
              <w:rPr>
                <w:rFonts w:hint="eastAsia"/>
              </w:rPr>
              <w:br w:type="textWrapping"/>
            </w:r>
            <w:r>
              <w:rPr>
                <w:rStyle w:val="11"/>
                <w:rFonts w:hint="eastAsia"/>
              </w:rPr>
              <w:t>1. 在直播稻田杂草2叶期左右，以推荐剂量对水均匀茎叶喷雾施药1次。 2. 施药前排干田水，保持土壤湿润，药后2天正常管理。 3. 施药时注意药量准确，做到均匀喷洒，尽量在无风无雨时施药，防止药液飘移到邻近作物，以免产生药害。水层勿淹没水稻心叶避免药害。</w:t>
            </w:r>
          </w:p>
        </w:tc>
      </w:tr>
      <w:tr w14:paraId="0A235D4F">
        <w:tblPrEx>
          <w:tblCellMar>
            <w:top w:w="0" w:type="dxa"/>
            <w:left w:w="0" w:type="dxa"/>
            <w:bottom w:w="0" w:type="dxa"/>
            <w:right w:w="0" w:type="dxa"/>
          </w:tblCellMar>
        </w:tblPrEx>
        <w:trPr>
          <w:wBefore w:w="0" w:type="auto"/>
          <w:tblCellSpacing w:w="0" w:type="dxa"/>
        </w:trPr>
        <w:tc>
          <w:tcPr>
            <w:tcW w:w="0" w:type="auto"/>
            <w:noWrap w:val="0"/>
            <w:vAlign w:val="center"/>
          </w:tcPr>
          <w:p w14:paraId="75892B25">
            <w:r>
              <w:rPr>
                <w:rStyle w:val="10"/>
                <w:rFonts w:hint="eastAsia"/>
              </w:rPr>
              <w:t>产品性能:</w:t>
            </w:r>
            <w:r>
              <w:rPr>
                <w:rFonts w:hint="eastAsia"/>
              </w:rPr>
              <w:br w:type="textWrapping"/>
            </w:r>
            <w:r>
              <w:rPr>
                <w:rStyle w:val="11"/>
                <w:rFonts w:hint="eastAsia"/>
              </w:rPr>
              <w:t>噁嗪草酮是内吸传导型水稻田除草剂。本品有效成分使用量低、持效期较长，对水稻的选择安全性较高。本品可防除稗草、沟繁缕、千金子、异型莎草等多种杂草。</w:t>
            </w:r>
          </w:p>
        </w:tc>
      </w:tr>
      <w:tr w14:paraId="5A69C186">
        <w:tblPrEx>
          <w:tblCellMar>
            <w:top w:w="0" w:type="dxa"/>
            <w:left w:w="0" w:type="dxa"/>
            <w:bottom w:w="0" w:type="dxa"/>
            <w:right w:w="0" w:type="dxa"/>
          </w:tblCellMar>
        </w:tblPrEx>
        <w:trPr>
          <w:wBefore w:w="0" w:type="auto"/>
          <w:tblCellSpacing w:w="0" w:type="dxa"/>
        </w:trPr>
        <w:tc>
          <w:tcPr>
            <w:tcW w:w="0" w:type="auto"/>
            <w:noWrap w:val="0"/>
            <w:vAlign w:val="center"/>
          </w:tcPr>
          <w:p w14:paraId="437FBE78">
            <w:r>
              <w:rPr>
                <w:rStyle w:val="10"/>
                <w:rFonts w:hint="eastAsia"/>
              </w:rPr>
              <w:t>注意事项：</w:t>
            </w:r>
            <w:r>
              <w:rPr>
                <w:rFonts w:hint="eastAsia"/>
              </w:rPr>
              <w:br w:type="textWrapping"/>
            </w:r>
            <w:r>
              <w:rPr>
                <w:rStyle w:val="11"/>
                <w:rFonts w:hint="eastAsia"/>
              </w:rPr>
              <w:t>1. 施药前要用力摇瓶，使药液混合均匀。 2. 使用时穿戴长衣、长裤、帽子、口罩、手套等安全防护措施。 3. 不要把空容器放在田间等处，废弃物要妥善处理，不可作他用，也不得随意丢弃。 4. 除储存农药外，请勿将废旧容器回收作其他用途。用过的容器应妥善处理，不可做他用，也不可随意丢弃。 5. 以安全的方式将这些用来装药的容器，洗液及残余药液都处理掉，不可直接倒入水源，以免造成水和环境污染。必须按照当地的标准进行。 6. 在不同地区在面积推广前建议开展小范围试验研究，明确对不同水稻品种的安全性。 7. 勿超剂量使用。 8. 远离水产养殖区、河塘等水体施药；禁止在河塘等水体清洗施药器具。 9. 鱼或虾蟹套养稻田禁用；施药后的田水不得直接排入水体。 10. 孕妇、哺乳期妇女禁止接触本品。11. 避免与氧化剂接触。</w:t>
            </w:r>
          </w:p>
        </w:tc>
      </w:tr>
      <w:tr w14:paraId="3CD328A4">
        <w:tblPrEx>
          <w:tblCellMar>
            <w:top w:w="0" w:type="dxa"/>
            <w:left w:w="0" w:type="dxa"/>
            <w:bottom w:w="0" w:type="dxa"/>
            <w:right w:w="0" w:type="dxa"/>
          </w:tblCellMar>
        </w:tblPrEx>
        <w:trPr>
          <w:wBefore w:w="0" w:type="auto"/>
          <w:tblCellSpacing w:w="0" w:type="dxa"/>
        </w:trPr>
        <w:tc>
          <w:tcPr>
            <w:tcW w:w="0" w:type="auto"/>
            <w:noWrap w:val="0"/>
            <w:vAlign w:val="center"/>
          </w:tcPr>
          <w:p w14:paraId="6EE23196">
            <w:r>
              <w:rPr>
                <w:rStyle w:val="10"/>
                <w:rFonts w:hint="eastAsia"/>
              </w:rPr>
              <w:t>中毒急救措施：</w:t>
            </w:r>
            <w:r>
              <w:rPr>
                <w:rFonts w:hint="eastAsia"/>
              </w:rPr>
              <w:br w:type="textWrapping"/>
            </w:r>
            <w:r>
              <w:rPr>
                <w:rStyle w:val="11"/>
                <w:rFonts w:hint="eastAsia"/>
              </w:rPr>
              <w:t>急救措施: 不慎吸入：呼吸新鲜空气。皮肤接触：立即用肥皂和清水洗涤。眼睛接触：立即用流水洗涤，如果有刺激现象持续发生，立即请医生处理。误食：如果感到不适，立即请医生处理。无特效解毒药，对症治疗。</w:t>
            </w:r>
          </w:p>
        </w:tc>
      </w:tr>
      <w:tr w14:paraId="46A0233F">
        <w:tblPrEx>
          <w:tblCellMar>
            <w:top w:w="0" w:type="dxa"/>
            <w:left w:w="0" w:type="dxa"/>
            <w:bottom w:w="0" w:type="dxa"/>
            <w:right w:w="0" w:type="dxa"/>
          </w:tblCellMar>
        </w:tblPrEx>
        <w:trPr>
          <w:wBefore w:w="0" w:type="auto"/>
          <w:tblCellSpacing w:w="0" w:type="dxa"/>
        </w:trPr>
        <w:tc>
          <w:tcPr>
            <w:tcW w:w="0" w:type="auto"/>
            <w:noWrap w:val="0"/>
            <w:vAlign w:val="center"/>
          </w:tcPr>
          <w:p w14:paraId="7387E2F3">
            <w:r>
              <w:rPr>
                <w:rStyle w:val="10"/>
                <w:rFonts w:hint="eastAsia"/>
              </w:rPr>
              <w:t>储存和运输方法：</w:t>
            </w:r>
            <w:r>
              <w:rPr>
                <w:rFonts w:hint="eastAsia"/>
              </w:rPr>
              <w:br w:type="textWrapping"/>
            </w:r>
            <w:r>
              <w:rPr>
                <w:rStyle w:val="11"/>
                <w:rFonts w:hint="eastAsia"/>
              </w:rPr>
              <w:t>1. 本品应贮存在干燥、阴凉、通风、防雨处，远离火源或热源。2. 置于儿童、无关人员触及不到之处，并加锁保存。3. 勿与食品、饮料、饲料、粮食等其它商品同贮同运。</w:t>
            </w:r>
          </w:p>
        </w:tc>
      </w:tr>
      <w:tr w14:paraId="240BEAA8">
        <w:tblPrEx>
          <w:tblCellMar>
            <w:top w:w="0" w:type="dxa"/>
            <w:left w:w="0" w:type="dxa"/>
            <w:bottom w:w="0" w:type="dxa"/>
            <w:right w:w="0" w:type="dxa"/>
          </w:tblCellMar>
        </w:tblPrEx>
        <w:trPr>
          <w:wBefore w:w="0" w:type="auto"/>
          <w:tblCellSpacing w:w="0" w:type="dxa"/>
        </w:trPr>
        <w:tc>
          <w:tcPr>
            <w:tcW w:w="0" w:type="auto"/>
            <w:noWrap w:val="0"/>
            <w:vAlign w:val="center"/>
          </w:tcPr>
          <w:p w14:paraId="05DCF50A">
            <w:r>
              <w:rPr>
                <w:rStyle w:val="10"/>
                <w:rFonts w:hint="eastAsia"/>
              </w:rPr>
              <w:t>质量保证期：</w:t>
            </w:r>
            <w:r>
              <w:rPr>
                <w:rStyle w:val="11"/>
                <w:rFonts w:hint="eastAsia"/>
              </w:rPr>
              <w:t>2年</w:t>
            </w:r>
          </w:p>
        </w:tc>
      </w:tr>
      <w:tr w14:paraId="0890D928">
        <w:tblPrEx>
          <w:tblCellMar>
            <w:top w:w="0" w:type="dxa"/>
            <w:left w:w="0" w:type="dxa"/>
            <w:bottom w:w="0" w:type="dxa"/>
            <w:right w:w="0" w:type="dxa"/>
          </w:tblCellMar>
        </w:tblPrEx>
        <w:trPr>
          <w:wBefore w:w="0" w:type="auto"/>
          <w:tblCellSpacing w:w="0" w:type="dxa"/>
        </w:trPr>
        <w:tc>
          <w:tcPr>
            <w:tcW w:w="0" w:type="auto"/>
            <w:noWrap w:val="0"/>
            <w:vAlign w:val="center"/>
          </w:tcPr>
          <w:p w14:paraId="2CB06CD4">
            <w:r>
              <w:rPr>
                <w:rStyle w:val="10"/>
                <w:rFonts w:hint="eastAsia"/>
              </w:rPr>
              <w:t>备注：</w:t>
            </w:r>
          </w:p>
        </w:tc>
      </w:tr>
    </w:tbl>
    <w:p w14:paraId="0DF28A1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D7207A">
        <w:tblPrEx>
          <w:tblCellMar>
            <w:top w:w="0" w:type="dxa"/>
            <w:left w:w="0" w:type="dxa"/>
            <w:bottom w:w="0" w:type="dxa"/>
            <w:right w:w="0" w:type="dxa"/>
          </w:tblCellMar>
        </w:tblPrEx>
        <w:trPr>
          <w:wBefore w:w="0" w:type="auto"/>
          <w:tblCellSpacing w:w="0" w:type="dxa"/>
        </w:trPr>
        <w:tc>
          <w:tcPr>
            <w:tcW w:w="0" w:type="auto"/>
            <w:noWrap w:val="0"/>
            <w:vAlign w:val="center"/>
          </w:tcPr>
          <w:p w14:paraId="7CB55E88">
            <w:r>
              <w:rPr>
                <w:rStyle w:val="10"/>
                <w:rFonts w:hint="eastAsia"/>
              </w:rPr>
              <w:t>登记证号：</w:t>
            </w:r>
            <w:r>
              <w:rPr>
                <w:rFonts w:hint="eastAsia"/>
              </w:rPr>
              <w:t>PD20212540</w:t>
            </w:r>
          </w:p>
        </w:tc>
      </w:tr>
      <w:tr w14:paraId="33F48DF0">
        <w:tblPrEx>
          <w:tblCellMar>
            <w:top w:w="0" w:type="dxa"/>
            <w:left w:w="0" w:type="dxa"/>
            <w:bottom w:w="0" w:type="dxa"/>
            <w:right w:w="0" w:type="dxa"/>
          </w:tblCellMar>
        </w:tblPrEx>
        <w:trPr>
          <w:wBefore w:w="0" w:type="auto"/>
          <w:tblCellSpacing w:w="0" w:type="dxa"/>
        </w:trPr>
        <w:tc>
          <w:tcPr>
            <w:tcW w:w="0" w:type="auto"/>
            <w:noWrap w:val="0"/>
            <w:vAlign w:val="center"/>
          </w:tcPr>
          <w:p w14:paraId="79499399">
            <w:r>
              <w:rPr>
                <w:rStyle w:val="10"/>
                <w:rFonts w:hint="eastAsia"/>
              </w:rPr>
              <w:t>登记证持有人：</w:t>
            </w:r>
            <w:r>
              <w:rPr>
                <w:rFonts w:hint="eastAsia"/>
              </w:rPr>
              <w:t>山东奥坤作物科学股份有限公司</w:t>
            </w:r>
          </w:p>
        </w:tc>
      </w:tr>
      <w:tr w14:paraId="36E9D2FA">
        <w:tblPrEx>
          <w:tblCellMar>
            <w:top w:w="0" w:type="dxa"/>
            <w:left w:w="0" w:type="dxa"/>
            <w:bottom w:w="0" w:type="dxa"/>
            <w:right w:w="0" w:type="dxa"/>
          </w:tblCellMar>
        </w:tblPrEx>
        <w:trPr>
          <w:wBefore w:w="0" w:type="auto"/>
          <w:tblCellSpacing w:w="0" w:type="dxa"/>
        </w:trPr>
        <w:tc>
          <w:tcPr>
            <w:tcW w:w="0" w:type="auto"/>
            <w:noWrap w:val="0"/>
            <w:vAlign w:val="center"/>
          </w:tcPr>
          <w:p w14:paraId="4BA52AD2">
            <w:r>
              <w:rPr>
                <w:rStyle w:val="10"/>
                <w:rFonts w:hint="eastAsia"/>
              </w:rPr>
              <w:t>农药名称：</w:t>
            </w:r>
            <w:r>
              <w:rPr>
                <w:rFonts w:hint="eastAsia"/>
              </w:rPr>
              <w:t>噁唑·氰氟</w:t>
            </w:r>
          </w:p>
        </w:tc>
      </w:tr>
      <w:tr w14:paraId="06DB6B78">
        <w:tblPrEx>
          <w:tblCellMar>
            <w:top w:w="0" w:type="dxa"/>
            <w:left w:w="0" w:type="dxa"/>
            <w:bottom w:w="0" w:type="dxa"/>
            <w:right w:w="0" w:type="dxa"/>
          </w:tblCellMar>
        </w:tblPrEx>
        <w:trPr>
          <w:wBefore w:w="0" w:type="auto"/>
          <w:tblCellSpacing w:w="0" w:type="dxa"/>
        </w:trPr>
        <w:tc>
          <w:tcPr>
            <w:tcW w:w="0" w:type="auto"/>
            <w:noWrap w:val="0"/>
            <w:vAlign w:val="center"/>
          </w:tcPr>
          <w:p w14:paraId="6157EA57">
            <w:r>
              <w:rPr>
                <w:rStyle w:val="10"/>
                <w:rFonts w:hint="eastAsia"/>
              </w:rPr>
              <w:t>剂型：</w:t>
            </w:r>
            <w:r>
              <w:rPr>
                <w:rFonts w:hint="eastAsia"/>
              </w:rPr>
              <w:t>微乳剂</w:t>
            </w:r>
          </w:p>
        </w:tc>
      </w:tr>
      <w:tr w14:paraId="76B83858">
        <w:tblPrEx>
          <w:tblCellMar>
            <w:top w:w="0" w:type="dxa"/>
            <w:left w:w="0" w:type="dxa"/>
            <w:bottom w:w="0" w:type="dxa"/>
            <w:right w:w="0" w:type="dxa"/>
          </w:tblCellMar>
        </w:tblPrEx>
        <w:trPr>
          <w:wBefore w:w="0" w:type="auto"/>
          <w:tblCellSpacing w:w="0" w:type="dxa"/>
        </w:trPr>
        <w:tc>
          <w:tcPr>
            <w:tcW w:w="0" w:type="auto"/>
            <w:noWrap w:val="0"/>
            <w:vAlign w:val="center"/>
          </w:tcPr>
          <w:p w14:paraId="02C9985A">
            <w:r>
              <w:rPr>
                <w:rStyle w:val="10"/>
                <w:rFonts w:hint="eastAsia"/>
              </w:rPr>
              <w:t>毒性及其标识：</w:t>
            </w:r>
            <w:r>
              <w:rPr>
                <w:rFonts w:hint="eastAsia"/>
              </w:rPr>
              <w:t xml:space="preserve"> </w:t>
            </w:r>
            <w:r>
              <w:rPr>
                <w:lang/>
              </w:rPr>
              <w:drawing>
                <wp:inline distT="0" distB="0" distL="114300" distR="114300">
                  <wp:extent cx="476250" cy="323850"/>
                  <wp:effectExtent l="0" t="0" r="0" b="0"/>
                  <wp:docPr id="314" name="图片 3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AF03CA0">
        <w:tblPrEx>
          <w:tblCellMar>
            <w:top w:w="0" w:type="dxa"/>
            <w:left w:w="0" w:type="dxa"/>
            <w:bottom w:w="0" w:type="dxa"/>
            <w:right w:w="0" w:type="dxa"/>
          </w:tblCellMar>
        </w:tblPrEx>
        <w:trPr>
          <w:wBefore w:w="0" w:type="auto"/>
          <w:tblCellSpacing w:w="0" w:type="dxa"/>
        </w:trPr>
        <w:tc>
          <w:tcPr>
            <w:tcW w:w="0" w:type="auto"/>
            <w:noWrap w:val="0"/>
            <w:vAlign w:val="center"/>
          </w:tcPr>
          <w:p w14:paraId="50D583FA">
            <w:r>
              <w:rPr>
                <w:rStyle w:val="10"/>
                <w:rFonts w:hint="eastAsia"/>
              </w:rPr>
              <w:t>总有效成分含量：</w:t>
            </w:r>
            <w:r>
              <w:rPr>
                <w:rFonts w:hint="eastAsia"/>
              </w:rPr>
              <w:t>16%</w:t>
            </w:r>
          </w:p>
        </w:tc>
      </w:tr>
      <w:tr w14:paraId="4F0B9E53">
        <w:tblPrEx>
          <w:tblCellMar>
            <w:top w:w="0" w:type="dxa"/>
            <w:left w:w="0" w:type="dxa"/>
            <w:bottom w:w="0" w:type="dxa"/>
            <w:right w:w="0" w:type="dxa"/>
          </w:tblCellMar>
        </w:tblPrEx>
        <w:trPr>
          <w:wBefore w:w="0" w:type="auto"/>
          <w:tblCellSpacing w:w="0" w:type="dxa"/>
        </w:trPr>
        <w:tc>
          <w:tcPr>
            <w:tcW w:w="0" w:type="auto"/>
            <w:noWrap w:val="0"/>
            <w:vAlign w:val="center"/>
          </w:tcPr>
          <w:p w14:paraId="11CF339D">
            <w:r>
              <w:rPr>
                <w:rFonts w:hint="eastAsia"/>
              </w:rPr>
              <w:t xml:space="preserve">有效成分及其含量： </w:t>
            </w:r>
          </w:p>
          <w:p w14:paraId="312940F3">
            <w:r>
              <w:rPr>
                <w:rFonts w:hint="eastAsia"/>
              </w:rPr>
              <w:t xml:space="preserve">    氰氟草酯12%    噁唑酰草胺4%    </w:t>
            </w:r>
          </w:p>
        </w:tc>
      </w:tr>
      <w:tr w14:paraId="21CB64E8">
        <w:tblPrEx>
          <w:tblCellMar>
            <w:top w:w="0" w:type="dxa"/>
            <w:left w:w="0" w:type="dxa"/>
            <w:bottom w:w="0" w:type="dxa"/>
            <w:right w:w="0" w:type="dxa"/>
          </w:tblCellMar>
        </w:tblPrEx>
        <w:trPr>
          <w:wBefore w:w="0" w:type="auto"/>
          <w:tblCellSpacing w:w="0" w:type="dxa"/>
        </w:trPr>
        <w:tc>
          <w:tcPr>
            <w:tcW w:w="0" w:type="auto"/>
            <w:noWrap w:val="0"/>
            <w:vAlign w:val="center"/>
          </w:tcPr>
          <w:p w14:paraId="4652E3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FFCA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60B64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413A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0F2A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28B9C64">
                  <w:r>
                    <w:rPr>
                      <w:rStyle w:val="11"/>
                      <w:rFonts w:hint="eastAsia"/>
                    </w:rPr>
                    <w:t>施用方式</w:t>
                  </w:r>
                </w:p>
              </w:tc>
            </w:tr>
            <w:tr w14:paraId="753FA1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8BE82C">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FB4622">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164D88">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8F60C3">
                  <w:r>
                    <w:rPr>
                      <w:rStyle w:val="11"/>
                      <w:rFonts w:hint="eastAsia"/>
                    </w:rPr>
                    <w:t>茎叶喷雾</w:t>
                  </w:r>
                </w:p>
              </w:tc>
            </w:tr>
          </w:tbl>
          <w:p w14:paraId="77D29CA0">
            <w:pPr>
              <w:rPr>
                <w:rFonts w:ascii="Times New Roman" w:hAnsi="Times New Roman" w:cs="Times New Roman"/>
                <w:sz w:val="20"/>
                <w:szCs w:val="20"/>
              </w:rPr>
            </w:pPr>
          </w:p>
        </w:tc>
      </w:tr>
      <w:tr w14:paraId="1A4884A0">
        <w:tblPrEx>
          <w:tblCellMar>
            <w:top w:w="0" w:type="dxa"/>
            <w:left w:w="0" w:type="dxa"/>
            <w:bottom w:w="0" w:type="dxa"/>
            <w:right w:w="0" w:type="dxa"/>
          </w:tblCellMar>
        </w:tblPrEx>
        <w:trPr>
          <w:wBefore w:w="0" w:type="auto"/>
          <w:tblCellSpacing w:w="0" w:type="dxa"/>
        </w:trPr>
        <w:tc>
          <w:tcPr>
            <w:tcW w:w="0" w:type="auto"/>
            <w:noWrap w:val="0"/>
            <w:vAlign w:val="center"/>
          </w:tcPr>
          <w:p w14:paraId="3A92F00A">
            <w:r>
              <w:rPr>
                <w:rStyle w:val="10"/>
                <w:rFonts w:hint="eastAsia"/>
              </w:rPr>
              <w:t>使用技术要求:</w:t>
            </w:r>
            <w:r>
              <w:rPr>
                <w:rFonts w:hint="eastAsia"/>
              </w:rPr>
              <w:br w:type="textWrapping"/>
            </w:r>
            <w:r>
              <w:rPr>
                <w:rStyle w:val="11"/>
                <w:rFonts w:hint="eastAsia"/>
              </w:rPr>
              <w:t>1. 水稻4-5叶期，杂草2-4叶期进行茎叶喷雾1次。2. 茎叶喷雾时，用水量30-40升/亩，施药前排干田水，施药5天后复水，保持浅水层5-7天后正常田管。注意水层勿淹没水稻心叶避免药害。3. 施药量按稗草密度和叶龄确定，稗草密度大、草龄大，使用上限用药量。4. 每季作物最多使用1次。</w:t>
            </w:r>
          </w:p>
        </w:tc>
      </w:tr>
      <w:tr w14:paraId="67B00E3D">
        <w:tblPrEx>
          <w:tblCellMar>
            <w:top w:w="0" w:type="dxa"/>
            <w:left w:w="0" w:type="dxa"/>
            <w:bottom w:w="0" w:type="dxa"/>
            <w:right w:w="0" w:type="dxa"/>
          </w:tblCellMar>
        </w:tblPrEx>
        <w:trPr>
          <w:wBefore w:w="0" w:type="auto"/>
          <w:tblCellSpacing w:w="0" w:type="dxa"/>
        </w:trPr>
        <w:tc>
          <w:tcPr>
            <w:tcW w:w="0" w:type="auto"/>
            <w:noWrap w:val="0"/>
            <w:vAlign w:val="center"/>
          </w:tcPr>
          <w:p w14:paraId="272C827D">
            <w:r>
              <w:rPr>
                <w:rStyle w:val="10"/>
                <w:rFonts w:hint="eastAsia"/>
              </w:rPr>
              <w:t>产品性能:</w:t>
            </w:r>
            <w:r>
              <w:rPr>
                <w:rFonts w:hint="eastAsia"/>
              </w:rPr>
              <w:br w:type="textWrapping"/>
            </w:r>
            <w:r>
              <w:rPr>
                <w:rStyle w:val="11"/>
                <w:rFonts w:hint="eastAsia"/>
              </w:rPr>
              <w:t>噁唑酰草胺和氰氟草酯均是芳氧苯氧丙酸类内吸传导型除草剂，属乙酰辅酶A羧化酶（ACCase）抑制剂，能抑制植物脂肪酸的合成。经茎叶吸收，通过维管束传导至生长点，达到除草效果。</w:t>
            </w:r>
          </w:p>
        </w:tc>
      </w:tr>
      <w:tr w14:paraId="6B13F338">
        <w:tblPrEx>
          <w:tblCellMar>
            <w:top w:w="0" w:type="dxa"/>
            <w:left w:w="0" w:type="dxa"/>
            <w:bottom w:w="0" w:type="dxa"/>
            <w:right w:w="0" w:type="dxa"/>
          </w:tblCellMar>
        </w:tblPrEx>
        <w:trPr>
          <w:wBefore w:w="0" w:type="auto"/>
          <w:tblCellSpacing w:w="0" w:type="dxa"/>
        </w:trPr>
        <w:tc>
          <w:tcPr>
            <w:tcW w:w="0" w:type="auto"/>
            <w:noWrap w:val="0"/>
            <w:vAlign w:val="center"/>
          </w:tcPr>
          <w:p w14:paraId="0E3F0227">
            <w:r>
              <w:rPr>
                <w:rStyle w:val="10"/>
                <w:rFonts w:hint="eastAsia"/>
              </w:rPr>
              <w:t>注意事项：</w:t>
            </w:r>
            <w:r>
              <w:rPr>
                <w:rFonts w:hint="eastAsia"/>
              </w:rPr>
              <w:br w:type="textWrapping"/>
            </w:r>
            <w:r>
              <w:rPr>
                <w:rStyle w:val="11"/>
                <w:rFonts w:hint="eastAsia"/>
              </w:rPr>
              <w:t>1本品对眼睛、皮肤有刺激性，使用时避免接触眼睛、皮肤，穿戴长衣、长裤、帽子、口罩、手套等防护措施。，避免吸入药液。施药期间不可吃东西、饮水、吸烟等；施药后应及时洗手、洗脸并洗涤施药时穿着的衣物。2.本品对鱼类等水生生物有毒，远离水产养殖区、河塘等水体施药，禁止在河塘等水体中清洗施药器具；鱼或虾蟹套养稻田禁用，施药后的田水不得直接排入水体，赤眼蜂等天敌放飞区域禁用、害虫综合防治区禁用此产品。药后及时彻底清洗药械，废弃物切勿污染水源或水体。3.废弃物应妥善处理，不可做他用，也不可随意丢弃。 4.请严格按照标签说明使用。害虫综合防治区禁用本品。5.避免孕妇及哺乳期的妇女接触本品。6. 避免与氧化剂接触。</w:t>
            </w:r>
          </w:p>
        </w:tc>
      </w:tr>
      <w:tr w14:paraId="0DCDC28A">
        <w:tblPrEx>
          <w:tblCellMar>
            <w:top w:w="0" w:type="dxa"/>
            <w:left w:w="0" w:type="dxa"/>
            <w:bottom w:w="0" w:type="dxa"/>
            <w:right w:w="0" w:type="dxa"/>
          </w:tblCellMar>
        </w:tblPrEx>
        <w:trPr>
          <w:wBefore w:w="0" w:type="auto"/>
          <w:tblCellSpacing w:w="0" w:type="dxa"/>
        </w:trPr>
        <w:tc>
          <w:tcPr>
            <w:tcW w:w="0" w:type="auto"/>
            <w:noWrap w:val="0"/>
            <w:vAlign w:val="center"/>
          </w:tcPr>
          <w:p w14:paraId="484ACFF8">
            <w:r>
              <w:rPr>
                <w:rStyle w:val="10"/>
                <w:rFonts w:hint="eastAsia"/>
              </w:rPr>
              <w:t>中毒急救措施：</w:t>
            </w:r>
            <w:r>
              <w:rPr>
                <w:rFonts w:hint="eastAsia"/>
              </w:rPr>
              <w:br w:type="textWrapping"/>
            </w:r>
            <w:r>
              <w:rPr>
                <w:rStyle w:val="11"/>
                <w:rFonts w:hint="eastAsia"/>
              </w:rPr>
              <w:t>1.眼睛溅入：立刻用大量清水冲洗，如配戴隐形眼镜，冲洗1-2分钟后摘掉眼镜再冲洗数分钟。如症状持续，请就医。 2.误食：请勿自行引吐。请即就医。 3.皮肤接触：脱去被溅及衣物。立刻用大量清水冲洗皮肤。如症状持续，请就医。衣物彻底清洗后方可再穿。丢弃无法清洗的物件如皮革制品。 4.误吸：误吸∶转移至空气清新处，并携此标签去医院诊治。</w:t>
            </w:r>
          </w:p>
        </w:tc>
      </w:tr>
      <w:tr w14:paraId="5D600D5A">
        <w:tblPrEx>
          <w:tblCellMar>
            <w:top w:w="0" w:type="dxa"/>
            <w:left w:w="0" w:type="dxa"/>
            <w:bottom w:w="0" w:type="dxa"/>
            <w:right w:w="0" w:type="dxa"/>
          </w:tblCellMar>
        </w:tblPrEx>
        <w:trPr>
          <w:wBefore w:w="0" w:type="auto"/>
          <w:tblCellSpacing w:w="0" w:type="dxa"/>
        </w:trPr>
        <w:tc>
          <w:tcPr>
            <w:tcW w:w="0" w:type="auto"/>
            <w:noWrap w:val="0"/>
            <w:vAlign w:val="center"/>
          </w:tcPr>
          <w:p w14:paraId="381260DF">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380C50EB">
        <w:tblPrEx>
          <w:tblCellMar>
            <w:top w:w="0" w:type="dxa"/>
            <w:left w:w="0" w:type="dxa"/>
            <w:bottom w:w="0" w:type="dxa"/>
            <w:right w:w="0" w:type="dxa"/>
          </w:tblCellMar>
        </w:tblPrEx>
        <w:trPr>
          <w:wBefore w:w="0" w:type="auto"/>
          <w:tblCellSpacing w:w="0" w:type="dxa"/>
        </w:trPr>
        <w:tc>
          <w:tcPr>
            <w:tcW w:w="0" w:type="auto"/>
            <w:noWrap w:val="0"/>
            <w:vAlign w:val="center"/>
          </w:tcPr>
          <w:p w14:paraId="327C429C">
            <w:r>
              <w:rPr>
                <w:rStyle w:val="10"/>
                <w:rFonts w:hint="eastAsia"/>
              </w:rPr>
              <w:t>质量保证期：</w:t>
            </w:r>
            <w:r>
              <w:rPr>
                <w:rStyle w:val="11"/>
                <w:rFonts w:hint="eastAsia"/>
              </w:rPr>
              <w:t>2年</w:t>
            </w:r>
          </w:p>
        </w:tc>
      </w:tr>
      <w:tr w14:paraId="1014A24D">
        <w:tblPrEx>
          <w:tblCellMar>
            <w:top w:w="0" w:type="dxa"/>
            <w:left w:w="0" w:type="dxa"/>
            <w:bottom w:w="0" w:type="dxa"/>
            <w:right w:w="0" w:type="dxa"/>
          </w:tblCellMar>
        </w:tblPrEx>
        <w:trPr>
          <w:wBefore w:w="0" w:type="auto"/>
          <w:tblCellSpacing w:w="0" w:type="dxa"/>
        </w:trPr>
        <w:tc>
          <w:tcPr>
            <w:tcW w:w="0" w:type="auto"/>
            <w:noWrap w:val="0"/>
            <w:vAlign w:val="center"/>
          </w:tcPr>
          <w:p w14:paraId="2CD4DDC2">
            <w:r>
              <w:rPr>
                <w:rStyle w:val="10"/>
                <w:rFonts w:hint="eastAsia"/>
              </w:rPr>
              <w:t>备注：</w:t>
            </w:r>
          </w:p>
        </w:tc>
      </w:tr>
    </w:tbl>
    <w:p w14:paraId="03640C8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7FF80A">
        <w:tblPrEx>
          <w:tblCellMar>
            <w:top w:w="0" w:type="dxa"/>
            <w:left w:w="0" w:type="dxa"/>
            <w:bottom w:w="0" w:type="dxa"/>
            <w:right w:w="0" w:type="dxa"/>
          </w:tblCellMar>
        </w:tblPrEx>
        <w:trPr>
          <w:wBefore w:w="0" w:type="auto"/>
          <w:tblCellSpacing w:w="0" w:type="dxa"/>
        </w:trPr>
        <w:tc>
          <w:tcPr>
            <w:tcW w:w="0" w:type="auto"/>
            <w:noWrap w:val="0"/>
            <w:vAlign w:val="center"/>
          </w:tcPr>
          <w:p w14:paraId="7B00CB6D">
            <w:r>
              <w:rPr>
                <w:rStyle w:val="10"/>
                <w:rFonts w:hint="eastAsia"/>
              </w:rPr>
              <w:t>登记证号：</w:t>
            </w:r>
            <w:r>
              <w:rPr>
                <w:rFonts w:hint="eastAsia"/>
              </w:rPr>
              <w:t>PD20212425</w:t>
            </w:r>
          </w:p>
        </w:tc>
      </w:tr>
      <w:tr w14:paraId="3353CAF4">
        <w:tblPrEx>
          <w:tblCellMar>
            <w:top w:w="0" w:type="dxa"/>
            <w:left w:w="0" w:type="dxa"/>
            <w:bottom w:w="0" w:type="dxa"/>
            <w:right w:w="0" w:type="dxa"/>
          </w:tblCellMar>
        </w:tblPrEx>
        <w:trPr>
          <w:wBefore w:w="0" w:type="auto"/>
          <w:tblCellSpacing w:w="0" w:type="dxa"/>
        </w:trPr>
        <w:tc>
          <w:tcPr>
            <w:tcW w:w="0" w:type="auto"/>
            <w:noWrap w:val="0"/>
            <w:vAlign w:val="center"/>
          </w:tcPr>
          <w:p w14:paraId="642056E4">
            <w:r>
              <w:rPr>
                <w:rStyle w:val="10"/>
                <w:rFonts w:hint="eastAsia"/>
              </w:rPr>
              <w:t>登记证持有人：</w:t>
            </w:r>
            <w:r>
              <w:rPr>
                <w:rFonts w:hint="eastAsia"/>
              </w:rPr>
              <w:t>广西田园生化股份有限公司</w:t>
            </w:r>
          </w:p>
        </w:tc>
      </w:tr>
      <w:tr w14:paraId="500CF1A3">
        <w:tblPrEx>
          <w:tblCellMar>
            <w:top w:w="0" w:type="dxa"/>
            <w:left w:w="0" w:type="dxa"/>
            <w:bottom w:w="0" w:type="dxa"/>
            <w:right w:w="0" w:type="dxa"/>
          </w:tblCellMar>
        </w:tblPrEx>
        <w:trPr>
          <w:wBefore w:w="0" w:type="auto"/>
          <w:tblCellSpacing w:w="0" w:type="dxa"/>
        </w:trPr>
        <w:tc>
          <w:tcPr>
            <w:tcW w:w="0" w:type="auto"/>
            <w:noWrap w:val="0"/>
            <w:vAlign w:val="center"/>
          </w:tcPr>
          <w:p w14:paraId="706F2C2A">
            <w:r>
              <w:rPr>
                <w:rStyle w:val="10"/>
                <w:rFonts w:hint="eastAsia"/>
              </w:rPr>
              <w:t>农药名称：</w:t>
            </w:r>
            <w:r>
              <w:rPr>
                <w:rFonts w:hint="eastAsia"/>
              </w:rPr>
              <w:t>氯虫·噻虫嗪</w:t>
            </w:r>
          </w:p>
        </w:tc>
      </w:tr>
      <w:tr w14:paraId="4F04F79A">
        <w:tblPrEx>
          <w:tblCellMar>
            <w:top w:w="0" w:type="dxa"/>
            <w:left w:w="0" w:type="dxa"/>
            <w:bottom w:w="0" w:type="dxa"/>
            <w:right w:w="0" w:type="dxa"/>
          </w:tblCellMar>
        </w:tblPrEx>
        <w:trPr>
          <w:wBefore w:w="0" w:type="auto"/>
          <w:tblCellSpacing w:w="0" w:type="dxa"/>
        </w:trPr>
        <w:tc>
          <w:tcPr>
            <w:tcW w:w="0" w:type="auto"/>
            <w:noWrap w:val="0"/>
            <w:vAlign w:val="center"/>
          </w:tcPr>
          <w:p w14:paraId="2AE997DB">
            <w:r>
              <w:rPr>
                <w:rStyle w:val="10"/>
                <w:rFonts w:hint="eastAsia"/>
              </w:rPr>
              <w:t>剂型：</w:t>
            </w:r>
            <w:r>
              <w:rPr>
                <w:rFonts w:hint="eastAsia"/>
              </w:rPr>
              <w:t>颗粒剂</w:t>
            </w:r>
          </w:p>
        </w:tc>
      </w:tr>
      <w:tr w14:paraId="33633E7D">
        <w:tblPrEx>
          <w:tblCellMar>
            <w:top w:w="0" w:type="dxa"/>
            <w:left w:w="0" w:type="dxa"/>
            <w:bottom w:w="0" w:type="dxa"/>
            <w:right w:w="0" w:type="dxa"/>
          </w:tblCellMar>
        </w:tblPrEx>
        <w:trPr>
          <w:wBefore w:w="0" w:type="auto"/>
          <w:tblCellSpacing w:w="0" w:type="dxa"/>
        </w:trPr>
        <w:tc>
          <w:tcPr>
            <w:tcW w:w="0" w:type="auto"/>
            <w:noWrap w:val="0"/>
            <w:vAlign w:val="center"/>
          </w:tcPr>
          <w:p w14:paraId="00F01110">
            <w:r>
              <w:rPr>
                <w:rStyle w:val="10"/>
                <w:rFonts w:hint="eastAsia"/>
              </w:rPr>
              <w:t>毒性及其标识：</w:t>
            </w:r>
            <w:r>
              <w:rPr>
                <w:rFonts w:hint="eastAsia"/>
              </w:rPr>
              <w:t xml:space="preserve"> </w:t>
            </w:r>
            <w:r>
              <w:rPr>
                <w:lang/>
              </w:rPr>
              <w:drawing>
                <wp:inline distT="0" distB="0" distL="114300" distR="114300">
                  <wp:extent cx="476250" cy="323850"/>
                  <wp:effectExtent l="0" t="0" r="0" b="0"/>
                  <wp:docPr id="315" name="图片 3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9529EC">
        <w:tblPrEx>
          <w:tblCellMar>
            <w:top w:w="0" w:type="dxa"/>
            <w:left w:w="0" w:type="dxa"/>
            <w:bottom w:w="0" w:type="dxa"/>
            <w:right w:w="0" w:type="dxa"/>
          </w:tblCellMar>
        </w:tblPrEx>
        <w:trPr>
          <w:wBefore w:w="0" w:type="auto"/>
          <w:tblCellSpacing w:w="0" w:type="dxa"/>
        </w:trPr>
        <w:tc>
          <w:tcPr>
            <w:tcW w:w="0" w:type="auto"/>
            <w:noWrap w:val="0"/>
            <w:vAlign w:val="center"/>
          </w:tcPr>
          <w:p w14:paraId="65AC6D37">
            <w:r>
              <w:rPr>
                <w:rStyle w:val="10"/>
                <w:rFonts w:hint="eastAsia"/>
              </w:rPr>
              <w:t>总有效成分含量：</w:t>
            </w:r>
            <w:r>
              <w:rPr>
                <w:rFonts w:hint="eastAsia"/>
              </w:rPr>
              <w:t>0.1%</w:t>
            </w:r>
          </w:p>
        </w:tc>
      </w:tr>
      <w:tr w14:paraId="618DDC82">
        <w:tblPrEx>
          <w:tblCellMar>
            <w:top w:w="0" w:type="dxa"/>
            <w:left w:w="0" w:type="dxa"/>
            <w:bottom w:w="0" w:type="dxa"/>
            <w:right w:w="0" w:type="dxa"/>
          </w:tblCellMar>
        </w:tblPrEx>
        <w:trPr>
          <w:wBefore w:w="0" w:type="auto"/>
          <w:tblCellSpacing w:w="0" w:type="dxa"/>
        </w:trPr>
        <w:tc>
          <w:tcPr>
            <w:tcW w:w="0" w:type="auto"/>
            <w:noWrap w:val="0"/>
            <w:vAlign w:val="center"/>
          </w:tcPr>
          <w:p w14:paraId="509D483B">
            <w:r>
              <w:rPr>
                <w:rFonts w:hint="eastAsia"/>
              </w:rPr>
              <w:t xml:space="preserve">有效成分及其含量： </w:t>
            </w:r>
          </w:p>
          <w:p w14:paraId="11BB0F11">
            <w:r>
              <w:rPr>
                <w:rFonts w:hint="eastAsia"/>
              </w:rPr>
              <w:t xml:space="preserve">    噻虫嗪0.085%    氯虫苯甲酰胺0.015%    </w:t>
            </w:r>
          </w:p>
        </w:tc>
      </w:tr>
      <w:tr w14:paraId="37F5FC9E">
        <w:tblPrEx>
          <w:tblCellMar>
            <w:top w:w="0" w:type="dxa"/>
            <w:left w:w="0" w:type="dxa"/>
            <w:bottom w:w="0" w:type="dxa"/>
            <w:right w:w="0" w:type="dxa"/>
          </w:tblCellMar>
        </w:tblPrEx>
        <w:trPr>
          <w:wBefore w:w="0" w:type="auto"/>
          <w:tblCellSpacing w:w="0" w:type="dxa"/>
        </w:trPr>
        <w:tc>
          <w:tcPr>
            <w:tcW w:w="0" w:type="auto"/>
            <w:noWrap w:val="0"/>
            <w:vAlign w:val="center"/>
          </w:tcPr>
          <w:p w14:paraId="3F677E5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E898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A1BD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AE207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2945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D6C811">
                  <w:r>
                    <w:rPr>
                      <w:rStyle w:val="11"/>
                      <w:rFonts w:hint="eastAsia"/>
                    </w:rPr>
                    <w:t>施用方式</w:t>
                  </w:r>
                </w:p>
              </w:tc>
            </w:tr>
            <w:tr w14:paraId="77E440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43F7E6">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A903F">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24DFCC">
                  <w:r>
                    <w:rPr>
                      <w:rStyle w:val="11"/>
                      <w:rFonts w:hint="eastAsia"/>
                    </w:rPr>
                    <w:t>32.5-40千克/亩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7AD861">
                  <w:r>
                    <w:rPr>
                      <w:rStyle w:val="11"/>
                      <w:rFonts w:hint="eastAsia"/>
                    </w:rPr>
                    <w:t>撒施</w:t>
                  </w:r>
                </w:p>
              </w:tc>
            </w:tr>
            <w:tr w14:paraId="177512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ABEB65">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ADF755">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C60DEF">
                  <w:r>
                    <w:rPr>
                      <w:rStyle w:val="11"/>
                      <w:rFonts w:hint="eastAsia"/>
                    </w:rPr>
                    <w:t>32.5-40千克/亩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6DBF7A">
                  <w:r>
                    <w:rPr>
                      <w:rStyle w:val="11"/>
                      <w:rFonts w:hint="eastAsia"/>
                    </w:rPr>
                    <w:t>撒施</w:t>
                  </w:r>
                </w:p>
              </w:tc>
            </w:tr>
          </w:tbl>
          <w:p w14:paraId="03156E11">
            <w:pPr>
              <w:rPr>
                <w:rFonts w:ascii="Times New Roman" w:hAnsi="Times New Roman" w:cs="Times New Roman"/>
                <w:sz w:val="20"/>
                <w:szCs w:val="20"/>
              </w:rPr>
            </w:pPr>
          </w:p>
        </w:tc>
      </w:tr>
      <w:tr w14:paraId="6E57469B">
        <w:tblPrEx>
          <w:tblCellMar>
            <w:top w:w="0" w:type="dxa"/>
            <w:left w:w="0" w:type="dxa"/>
            <w:bottom w:w="0" w:type="dxa"/>
            <w:right w:w="0" w:type="dxa"/>
          </w:tblCellMar>
        </w:tblPrEx>
        <w:trPr>
          <w:wBefore w:w="0" w:type="auto"/>
          <w:tblCellSpacing w:w="0" w:type="dxa"/>
        </w:trPr>
        <w:tc>
          <w:tcPr>
            <w:tcW w:w="0" w:type="auto"/>
            <w:noWrap w:val="0"/>
            <w:vAlign w:val="center"/>
          </w:tcPr>
          <w:p w14:paraId="519D436D">
            <w:r>
              <w:rPr>
                <w:rStyle w:val="10"/>
                <w:rFonts w:hint="eastAsia"/>
              </w:rPr>
              <w:t>使用技术要求:</w:t>
            </w:r>
            <w:r>
              <w:rPr>
                <w:rFonts w:hint="eastAsia"/>
              </w:rPr>
              <w:br w:type="textWrapping"/>
            </w:r>
            <w:r>
              <w:rPr>
                <w:rStyle w:val="11"/>
                <w:rFonts w:hint="eastAsia"/>
              </w:rPr>
              <w:t>于甘蔗种植时施药，开沟将药剂撒施于甘蔗基部周围，培土覆盖。阵雨过后或必要时适当浇水有利于作物吸收提高或加速防效。每季最多施药1次。</w:t>
            </w:r>
          </w:p>
        </w:tc>
      </w:tr>
      <w:tr w14:paraId="5E8B129A">
        <w:tblPrEx>
          <w:tblCellMar>
            <w:top w:w="0" w:type="dxa"/>
            <w:left w:w="0" w:type="dxa"/>
            <w:bottom w:w="0" w:type="dxa"/>
            <w:right w:w="0" w:type="dxa"/>
          </w:tblCellMar>
        </w:tblPrEx>
        <w:trPr>
          <w:wBefore w:w="0" w:type="auto"/>
          <w:tblCellSpacing w:w="0" w:type="dxa"/>
        </w:trPr>
        <w:tc>
          <w:tcPr>
            <w:tcW w:w="0" w:type="auto"/>
            <w:noWrap w:val="0"/>
            <w:vAlign w:val="center"/>
          </w:tcPr>
          <w:p w14:paraId="128144F6">
            <w:r>
              <w:rPr>
                <w:rStyle w:val="10"/>
                <w:rFonts w:hint="eastAsia"/>
              </w:rPr>
              <w:t>产品性能:</w:t>
            </w:r>
            <w:r>
              <w:rPr>
                <w:rFonts w:hint="eastAsia"/>
              </w:rPr>
              <w:br w:type="textWrapping"/>
            </w:r>
            <w:r>
              <w:rPr>
                <w:rStyle w:val="11"/>
                <w:rFonts w:hint="eastAsia"/>
              </w:rPr>
              <w:t>本品是氯虫苯甲酰胺和噻虫嗪配制而成的杀虫剂，具有内吸作用，对甘蔗螟虫和甘蔗蓟马有较好的防治效果。</w:t>
            </w:r>
          </w:p>
        </w:tc>
      </w:tr>
      <w:tr w14:paraId="69DDBE21">
        <w:tblPrEx>
          <w:tblCellMar>
            <w:top w:w="0" w:type="dxa"/>
            <w:left w:w="0" w:type="dxa"/>
            <w:bottom w:w="0" w:type="dxa"/>
            <w:right w:w="0" w:type="dxa"/>
          </w:tblCellMar>
        </w:tblPrEx>
        <w:trPr>
          <w:wBefore w:w="0" w:type="auto"/>
          <w:tblCellSpacing w:w="0" w:type="dxa"/>
        </w:trPr>
        <w:tc>
          <w:tcPr>
            <w:tcW w:w="0" w:type="auto"/>
            <w:noWrap w:val="0"/>
            <w:vAlign w:val="center"/>
          </w:tcPr>
          <w:p w14:paraId="4C4316A2">
            <w:r>
              <w:rPr>
                <w:rStyle w:val="10"/>
                <w:rFonts w:hint="eastAsia"/>
              </w:rPr>
              <w:t>注意事项：</w:t>
            </w:r>
            <w:r>
              <w:rPr>
                <w:rFonts w:hint="eastAsia"/>
              </w:rPr>
              <w:br w:type="textWrapping"/>
            </w:r>
            <w:r>
              <w:rPr>
                <w:rStyle w:val="11"/>
                <w:rFonts w:hint="eastAsia"/>
              </w:rPr>
              <w:t>1.本品不能与碱性农药等物质混用。2. 本品含有酰胺类和烟碱类杀虫剂，吞食吸入均有毒。使用时穿戴长衣、长裤、帽子、口罩、手套等安全防护措施。施药后应及时用肥皂和清水洗干净。 3. 禁止在河塘等水体中清洗施药器具；（周围）开花植物花期禁用，使用时应密切关注对附近蜂群的影响；鸟类保护区附近禁用，施药后立即覆土。 4. 建议与不同作用机制的杀虫剂轮换使用。5. 用过的容器应妥善处理，不要做他用，也不可随意丢弃。6. 孕妇及哺乳期妇女禁止接触本品。</w:t>
            </w:r>
          </w:p>
        </w:tc>
      </w:tr>
      <w:tr w14:paraId="2CD8DFD8">
        <w:tblPrEx>
          <w:tblCellMar>
            <w:top w:w="0" w:type="dxa"/>
            <w:left w:w="0" w:type="dxa"/>
            <w:bottom w:w="0" w:type="dxa"/>
            <w:right w:w="0" w:type="dxa"/>
          </w:tblCellMar>
        </w:tblPrEx>
        <w:trPr>
          <w:wBefore w:w="0" w:type="auto"/>
          <w:tblCellSpacing w:w="0" w:type="dxa"/>
        </w:trPr>
        <w:tc>
          <w:tcPr>
            <w:tcW w:w="0" w:type="auto"/>
            <w:noWrap w:val="0"/>
            <w:vAlign w:val="center"/>
          </w:tcPr>
          <w:p w14:paraId="1C06834E">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使用中或使用后如果感觉不适，应立即停止工作，采取急救措施，并携带标签送医就诊。 1. 如接触皮肤，用肥皂和大量清水彻底清洗受污的皮肤；如不慎吸入，应将病人移至空气流通处。 2. 如溅及眼睛，用大量清水冲洗眼睛至少15分钟；严重者送医就诊； 3.如误服，立即携带标签，送医就诊，对症治疗。</w:t>
            </w:r>
          </w:p>
        </w:tc>
      </w:tr>
      <w:tr w14:paraId="26394580">
        <w:tblPrEx>
          <w:tblCellMar>
            <w:top w:w="0" w:type="dxa"/>
            <w:left w:w="0" w:type="dxa"/>
            <w:bottom w:w="0" w:type="dxa"/>
            <w:right w:w="0" w:type="dxa"/>
          </w:tblCellMar>
        </w:tblPrEx>
        <w:trPr>
          <w:wBefore w:w="0" w:type="auto"/>
          <w:tblCellSpacing w:w="0" w:type="dxa"/>
        </w:trPr>
        <w:tc>
          <w:tcPr>
            <w:tcW w:w="0" w:type="auto"/>
            <w:noWrap w:val="0"/>
            <w:vAlign w:val="center"/>
          </w:tcPr>
          <w:p w14:paraId="327FDDBB">
            <w:r>
              <w:rPr>
                <w:rStyle w:val="10"/>
                <w:rFonts w:hint="eastAsia"/>
              </w:rPr>
              <w:t>储存和运输方法：</w:t>
            </w:r>
            <w:r>
              <w:rPr>
                <w:rFonts w:hint="eastAsia"/>
              </w:rPr>
              <w:br w:type="textWrapping"/>
            </w:r>
            <w:r>
              <w:rPr>
                <w:rStyle w:val="11"/>
                <w:rFonts w:hint="eastAsia"/>
              </w:rPr>
              <w:t>品应贮存在通风、干燥的库房内，堆码方式应符合安全、搬运方便的原则。产品贮运时，严防潮湿和日晒，保持通风良好，置于干燥阴凉处，不得与食物、种子、饲料等混放；避免与皮肤、眼睛接触，防止由口鼻吸入；本品要放在儿童、无关人员接触不到的地方，并加锁。勿与食品、饮料、粮食、种子、饲料等同贮同运。</w:t>
            </w:r>
          </w:p>
        </w:tc>
      </w:tr>
      <w:tr w14:paraId="2242B30F">
        <w:tblPrEx>
          <w:tblCellMar>
            <w:top w:w="0" w:type="dxa"/>
            <w:left w:w="0" w:type="dxa"/>
            <w:bottom w:w="0" w:type="dxa"/>
            <w:right w:w="0" w:type="dxa"/>
          </w:tblCellMar>
        </w:tblPrEx>
        <w:trPr>
          <w:wBefore w:w="0" w:type="auto"/>
          <w:tblCellSpacing w:w="0" w:type="dxa"/>
        </w:trPr>
        <w:tc>
          <w:tcPr>
            <w:tcW w:w="0" w:type="auto"/>
            <w:noWrap w:val="0"/>
            <w:vAlign w:val="center"/>
          </w:tcPr>
          <w:p w14:paraId="34FA2AF9">
            <w:r>
              <w:rPr>
                <w:rStyle w:val="10"/>
                <w:rFonts w:hint="eastAsia"/>
              </w:rPr>
              <w:t>质量保证期：</w:t>
            </w:r>
            <w:r>
              <w:rPr>
                <w:rStyle w:val="11"/>
                <w:rFonts w:hint="eastAsia"/>
              </w:rPr>
              <w:t>2年</w:t>
            </w:r>
          </w:p>
        </w:tc>
      </w:tr>
      <w:tr w14:paraId="2965A199">
        <w:tblPrEx>
          <w:tblCellMar>
            <w:top w:w="0" w:type="dxa"/>
            <w:left w:w="0" w:type="dxa"/>
            <w:bottom w:w="0" w:type="dxa"/>
            <w:right w:w="0" w:type="dxa"/>
          </w:tblCellMar>
        </w:tblPrEx>
        <w:trPr>
          <w:wBefore w:w="0" w:type="auto"/>
          <w:tblCellSpacing w:w="0" w:type="dxa"/>
        </w:trPr>
        <w:tc>
          <w:tcPr>
            <w:tcW w:w="0" w:type="auto"/>
            <w:noWrap w:val="0"/>
            <w:vAlign w:val="center"/>
          </w:tcPr>
          <w:p w14:paraId="43A53B49">
            <w:r>
              <w:rPr>
                <w:rStyle w:val="10"/>
                <w:rFonts w:hint="eastAsia"/>
              </w:rPr>
              <w:t>备注：</w:t>
            </w:r>
          </w:p>
        </w:tc>
      </w:tr>
    </w:tbl>
    <w:p w14:paraId="4C65A0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58D3C3">
        <w:tblPrEx>
          <w:tblCellMar>
            <w:top w:w="0" w:type="dxa"/>
            <w:left w:w="0" w:type="dxa"/>
            <w:bottom w:w="0" w:type="dxa"/>
            <w:right w:w="0" w:type="dxa"/>
          </w:tblCellMar>
        </w:tblPrEx>
        <w:trPr>
          <w:wBefore w:w="0" w:type="auto"/>
          <w:tblCellSpacing w:w="0" w:type="dxa"/>
        </w:trPr>
        <w:tc>
          <w:tcPr>
            <w:tcW w:w="0" w:type="auto"/>
            <w:noWrap w:val="0"/>
            <w:vAlign w:val="center"/>
          </w:tcPr>
          <w:p w14:paraId="43250F81">
            <w:r>
              <w:rPr>
                <w:rStyle w:val="10"/>
                <w:rFonts w:hint="eastAsia"/>
              </w:rPr>
              <w:t>登记证号：</w:t>
            </w:r>
            <w:r>
              <w:rPr>
                <w:rFonts w:hint="eastAsia"/>
              </w:rPr>
              <w:t>PD20212474</w:t>
            </w:r>
          </w:p>
        </w:tc>
      </w:tr>
      <w:tr w14:paraId="13C04F09">
        <w:tblPrEx>
          <w:tblCellMar>
            <w:top w:w="0" w:type="dxa"/>
            <w:left w:w="0" w:type="dxa"/>
            <w:bottom w:w="0" w:type="dxa"/>
            <w:right w:w="0" w:type="dxa"/>
          </w:tblCellMar>
        </w:tblPrEx>
        <w:trPr>
          <w:wBefore w:w="0" w:type="auto"/>
          <w:tblCellSpacing w:w="0" w:type="dxa"/>
        </w:trPr>
        <w:tc>
          <w:tcPr>
            <w:tcW w:w="0" w:type="auto"/>
            <w:noWrap w:val="0"/>
            <w:vAlign w:val="center"/>
          </w:tcPr>
          <w:p w14:paraId="0ADC9618">
            <w:r>
              <w:rPr>
                <w:rStyle w:val="10"/>
                <w:rFonts w:hint="eastAsia"/>
              </w:rPr>
              <w:t>登记证持有人：</w:t>
            </w:r>
            <w:r>
              <w:rPr>
                <w:rFonts w:hint="eastAsia"/>
              </w:rPr>
              <w:t>浙江中山化工集团股份有限公司</w:t>
            </w:r>
          </w:p>
        </w:tc>
      </w:tr>
      <w:tr w14:paraId="323720DA">
        <w:tblPrEx>
          <w:tblCellMar>
            <w:top w:w="0" w:type="dxa"/>
            <w:left w:w="0" w:type="dxa"/>
            <w:bottom w:w="0" w:type="dxa"/>
            <w:right w:w="0" w:type="dxa"/>
          </w:tblCellMar>
        </w:tblPrEx>
        <w:trPr>
          <w:wBefore w:w="0" w:type="auto"/>
          <w:tblCellSpacing w:w="0" w:type="dxa"/>
        </w:trPr>
        <w:tc>
          <w:tcPr>
            <w:tcW w:w="0" w:type="auto"/>
            <w:noWrap w:val="0"/>
            <w:vAlign w:val="center"/>
          </w:tcPr>
          <w:p w14:paraId="5F7CC8C9">
            <w:r>
              <w:rPr>
                <w:rStyle w:val="10"/>
                <w:rFonts w:hint="eastAsia"/>
              </w:rPr>
              <w:t>农药名称：</w:t>
            </w:r>
            <w:r>
              <w:rPr>
                <w:rFonts w:hint="eastAsia"/>
              </w:rPr>
              <w:t>精异草·特丁津·硝磺草</w:t>
            </w:r>
          </w:p>
        </w:tc>
      </w:tr>
      <w:tr w14:paraId="6098BF4E">
        <w:tblPrEx>
          <w:tblCellMar>
            <w:top w:w="0" w:type="dxa"/>
            <w:left w:w="0" w:type="dxa"/>
            <w:bottom w:w="0" w:type="dxa"/>
            <w:right w:w="0" w:type="dxa"/>
          </w:tblCellMar>
        </w:tblPrEx>
        <w:trPr>
          <w:wBefore w:w="0" w:type="auto"/>
          <w:tblCellSpacing w:w="0" w:type="dxa"/>
        </w:trPr>
        <w:tc>
          <w:tcPr>
            <w:tcW w:w="0" w:type="auto"/>
            <w:noWrap w:val="0"/>
            <w:vAlign w:val="center"/>
          </w:tcPr>
          <w:p w14:paraId="434A5451">
            <w:r>
              <w:rPr>
                <w:rStyle w:val="10"/>
                <w:rFonts w:hint="eastAsia"/>
              </w:rPr>
              <w:t>剂型：</w:t>
            </w:r>
            <w:r>
              <w:rPr>
                <w:rFonts w:hint="eastAsia"/>
              </w:rPr>
              <w:t>悬乳剂</w:t>
            </w:r>
          </w:p>
        </w:tc>
      </w:tr>
      <w:tr w14:paraId="708A9169">
        <w:tblPrEx>
          <w:tblCellMar>
            <w:top w:w="0" w:type="dxa"/>
            <w:left w:w="0" w:type="dxa"/>
            <w:bottom w:w="0" w:type="dxa"/>
            <w:right w:w="0" w:type="dxa"/>
          </w:tblCellMar>
        </w:tblPrEx>
        <w:trPr>
          <w:wBefore w:w="0" w:type="auto"/>
          <w:tblCellSpacing w:w="0" w:type="dxa"/>
        </w:trPr>
        <w:tc>
          <w:tcPr>
            <w:tcW w:w="0" w:type="auto"/>
            <w:noWrap w:val="0"/>
            <w:vAlign w:val="center"/>
          </w:tcPr>
          <w:p w14:paraId="7828359E">
            <w:r>
              <w:rPr>
                <w:rStyle w:val="10"/>
                <w:rFonts w:hint="eastAsia"/>
              </w:rPr>
              <w:t>毒性及其标识：</w:t>
            </w:r>
            <w:r>
              <w:rPr>
                <w:rFonts w:hint="eastAsia"/>
              </w:rPr>
              <w:t xml:space="preserve"> </w:t>
            </w:r>
            <w:r>
              <w:rPr>
                <w:lang/>
              </w:rPr>
              <w:drawing>
                <wp:inline distT="0" distB="0" distL="114300" distR="114300">
                  <wp:extent cx="476250" cy="323850"/>
                  <wp:effectExtent l="0" t="0" r="0" b="0"/>
                  <wp:docPr id="316" name="图片 3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E7539D5">
        <w:tblPrEx>
          <w:tblCellMar>
            <w:top w:w="0" w:type="dxa"/>
            <w:left w:w="0" w:type="dxa"/>
            <w:bottom w:w="0" w:type="dxa"/>
            <w:right w:w="0" w:type="dxa"/>
          </w:tblCellMar>
        </w:tblPrEx>
        <w:trPr>
          <w:wBefore w:w="0" w:type="auto"/>
          <w:tblCellSpacing w:w="0" w:type="dxa"/>
        </w:trPr>
        <w:tc>
          <w:tcPr>
            <w:tcW w:w="0" w:type="auto"/>
            <w:noWrap w:val="0"/>
            <w:vAlign w:val="center"/>
          </w:tcPr>
          <w:p w14:paraId="59FE2829">
            <w:r>
              <w:rPr>
                <w:rStyle w:val="10"/>
                <w:rFonts w:hint="eastAsia"/>
              </w:rPr>
              <w:t>总有效成分含量：</w:t>
            </w:r>
            <w:r>
              <w:rPr>
                <w:rFonts w:hint="eastAsia"/>
              </w:rPr>
              <w:t>49%</w:t>
            </w:r>
          </w:p>
        </w:tc>
      </w:tr>
      <w:tr w14:paraId="73E8BAB6">
        <w:tblPrEx>
          <w:tblCellMar>
            <w:top w:w="0" w:type="dxa"/>
            <w:left w:w="0" w:type="dxa"/>
            <w:bottom w:w="0" w:type="dxa"/>
            <w:right w:w="0" w:type="dxa"/>
          </w:tblCellMar>
        </w:tblPrEx>
        <w:trPr>
          <w:wBefore w:w="0" w:type="auto"/>
          <w:tblCellSpacing w:w="0" w:type="dxa"/>
        </w:trPr>
        <w:tc>
          <w:tcPr>
            <w:tcW w:w="0" w:type="auto"/>
            <w:noWrap w:val="0"/>
            <w:vAlign w:val="center"/>
          </w:tcPr>
          <w:p w14:paraId="789F287A">
            <w:r>
              <w:rPr>
                <w:rFonts w:hint="eastAsia"/>
              </w:rPr>
              <w:t xml:space="preserve">有效成分及其含量： </w:t>
            </w:r>
          </w:p>
          <w:p w14:paraId="652117F8">
            <w:r>
              <w:rPr>
                <w:rFonts w:hint="eastAsia"/>
              </w:rPr>
              <w:t xml:space="preserve">    硝磺草酮3.4%    精异丙甲草胺34.2%    特丁津11.4%    </w:t>
            </w:r>
          </w:p>
        </w:tc>
      </w:tr>
      <w:tr w14:paraId="2548B003">
        <w:tblPrEx>
          <w:tblCellMar>
            <w:top w:w="0" w:type="dxa"/>
            <w:left w:w="0" w:type="dxa"/>
            <w:bottom w:w="0" w:type="dxa"/>
            <w:right w:w="0" w:type="dxa"/>
          </w:tblCellMar>
        </w:tblPrEx>
        <w:trPr>
          <w:wBefore w:w="0" w:type="auto"/>
          <w:tblCellSpacing w:w="0" w:type="dxa"/>
        </w:trPr>
        <w:tc>
          <w:tcPr>
            <w:tcW w:w="0" w:type="auto"/>
            <w:noWrap w:val="0"/>
            <w:vAlign w:val="center"/>
          </w:tcPr>
          <w:p w14:paraId="0924D8F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6A6C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1B5CE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FADD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ED786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557A78">
                  <w:r>
                    <w:rPr>
                      <w:rStyle w:val="11"/>
                      <w:rFonts w:hint="eastAsia"/>
                    </w:rPr>
                    <w:t>施用方式</w:t>
                  </w:r>
                </w:p>
              </w:tc>
            </w:tr>
            <w:tr w14:paraId="40ACFC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7BC671">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FEC53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2B3171">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296CD6">
                  <w:r>
                    <w:rPr>
                      <w:rStyle w:val="11"/>
                      <w:rFonts w:hint="eastAsia"/>
                    </w:rPr>
                    <w:t>土壤喷雾</w:t>
                  </w:r>
                </w:p>
              </w:tc>
            </w:tr>
          </w:tbl>
          <w:p w14:paraId="489FFB74">
            <w:pPr>
              <w:rPr>
                <w:rFonts w:ascii="Times New Roman" w:hAnsi="Times New Roman" w:cs="Times New Roman"/>
                <w:sz w:val="20"/>
                <w:szCs w:val="20"/>
              </w:rPr>
            </w:pPr>
          </w:p>
        </w:tc>
      </w:tr>
      <w:tr w14:paraId="2529A17A">
        <w:tblPrEx>
          <w:tblCellMar>
            <w:top w:w="0" w:type="dxa"/>
            <w:left w:w="0" w:type="dxa"/>
            <w:bottom w:w="0" w:type="dxa"/>
            <w:right w:w="0" w:type="dxa"/>
          </w:tblCellMar>
        </w:tblPrEx>
        <w:trPr>
          <w:wBefore w:w="0" w:type="auto"/>
          <w:tblCellSpacing w:w="0" w:type="dxa"/>
        </w:trPr>
        <w:tc>
          <w:tcPr>
            <w:tcW w:w="0" w:type="auto"/>
            <w:noWrap w:val="0"/>
            <w:vAlign w:val="center"/>
          </w:tcPr>
          <w:p w14:paraId="6BCD0B22">
            <w:r>
              <w:rPr>
                <w:rStyle w:val="10"/>
                <w:rFonts w:hint="eastAsia"/>
              </w:rPr>
              <w:t>使用技术要求:</w:t>
            </w:r>
            <w:r>
              <w:rPr>
                <w:rFonts w:hint="eastAsia"/>
              </w:rPr>
              <w:br w:type="textWrapping"/>
            </w:r>
            <w:r>
              <w:rPr>
                <w:rStyle w:val="11"/>
                <w:rFonts w:hint="eastAsia"/>
              </w:rPr>
              <w:t>1. 春玉米播后苗前施药一次，根据推荐剂量兑水土壤喷雾处理。 2. 下雨、高温、作物上有露水、刮风、沿海地区遇到有海雾时请勿施药。另外，每次施药时间最好控制在4h以内。 3. 每季最多使用1次。</w:t>
            </w:r>
          </w:p>
        </w:tc>
      </w:tr>
      <w:tr w14:paraId="78847A1E">
        <w:tblPrEx>
          <w:tblCellMar>
            <w:top w:w="0" w:type="dxa"/>
            <w:left w:w="0" w:type="dxa"/>
            <w:bottom w:w="0" w:type="dxa"/>
            <w:right w:w="0" w:type="dxa"/>
          </w:tblCellMar>
        </w:tblPrEx>
        <w:trPr>
          <w:wBefore w:w="0" w:type="auto"/>
          <w:tblCellSpacing w:w="0" w:type="dxa"/>
        </w:trPr>
        <w:tc>
          <w:tcPr>
            <w:tcW w:w="0" w:type="auto"/>
            <w:noWrap w:val="0"/>
            <w:vAlign w:val="center"/>
          </w:tcPr>
          <w:p w14:paraId="1F08EFFC">
            <w:r>
              <w:rPr>
                <w:rStyle w:val="10"/>
                <w:rFonts w:hint="eastAsia"/>
              </w:rPr>
              <w:t>产品性能:</w:t>
            </w:r>
            <w:r>
              <w:rPr>
                <w:rFonts w:hint="eastAsia"/>
              </w:rPr>
              <w:br w:type="textWrapping"/>
            </w:r>
            <w:r>
              <w:rPr>
                <w:rStyle w:val="11"/>
                <w:rFonts w:hint="eastAsia"/>
              </w:rPr>
              <w:t>本品由硝磺草酮、特丁津和精异丙甲草胺混配而成，适用于春玉米田内防除一年生阔叶杂草、禾本科杂草和莎草等，如狗尾草、马唐、反枝苋和苘麻等。</w:t>
            </w:r>
          </w:p>
        </w:tc>
      </w:tr>
      <w:tr w14:paraId="5FF06A08">
        <w:tblPrEx>
          <w:tblCellMar>
            <w:top w:w="0" w:type="dxa"/>
            <w:left w:w="0" w:type="dxa"/>
            <w:bottom w:w="0" w:type="dxa"/>
            <w:right w:w="0" w:type="dxa"/>
          </w:tblCellMar>
        </w:tblPrEx>
        <w:trPr>
          <w:wBefore w:w="0" w:type="auto"/>
          <w:tblCellSpacing w:w="0" w:type="dxa"/>
        </w:trPr>
        <w:tc>
          <w:tcPr>
            <w:tcW w:w="0" w:type="auto"/>
            <w:noWrap w:val="0"/>
            <w:vAlign w:val="center"/>
          </w:tcPr>
          <w:p w14:paraId="0E553757">
            <w:r>
              <w:rPr>
                <w:rStyle w:val="10"/>
                <w:rFonts w:hint="eastAsia"/>
              </w:rPr>
              <w:t>注意事项：</w:t>
            </w:r>
            <w:r>
              <w:rPr>
                <w:rFonts w:hint="eastAsia"/>
              </w:rPr>
              <w:br w:type="textWrapping"/>
            </w:r>
            <w:r>
              <w:rPr>
                <w:rStyle w:val="11"/>
                <w:rFonts w:hint="eastAsia"/>
              </w:rPr>
              <w:t>1. 请严格按照农药安全使用准则使用本品，或在专业植保人员的指导下施药，不能随意增加施药量、施药次数或缩短施药间隔期。2. 本品对眼睛有刺激性，使用时避免接触眼睛，穿戴长衣、长裤、帽子、口罩、手套等防护措施。脱去防护手套和防护鞋前先用清水冲洗，避免药液接触皮肤和眼睛等身体部位。3. 施药人员应定期检查、维护和保养施药器械，避免施药器械故障或药液箱漏液，应从上风向开始，喷头向下风向施药，施药后及时洗澡。4. 适当的土壤水分是发挥药效的重要因素；如遇干旱等土壤墒情不好时，可适当加大用水量。5. 本品对鸟类、家蚕和非靶标节肢动物有一定风险，应谨慎施药。鸟类活动区附近禁用此产品；蚕室禁用，尽量避免在桑园附近施用该产品，如要使用，最外围桑树应为隔离带，且不能用于饲养家蚕；施药期间应避免释放天敌赤眼蜂、瓢虫，同时远离生防区施药捕食性天敌放飞区禁用。6. 施用时避免雾滴飘移到临近作物，以免产生药害。7. 远离水源地进行施药，水产养殖区，河塘等水体附近禁用。地下水、饮用水水源地附近禁用。8. 操作本品时应禁止饮食、吸烟和饮水等。9. 施药后应及时洗澡，分开清洗、存放防护用具和衣物等。10. 使用过的容器应妥善处理，切勿重复使用或作他用，也不可随意丢弃。11.药品及废液严禁污染各类水域、土壤等环境，不得任意倾倒，以免污染其它作物及水源；废弃物要及时回收并妥善处理；严禁在河塘清洗施药器械。12. 禁止孕妇及哺乳期妇女接触本品。12. 避免与氧化剂接触。</w:t>
            </w:r>
          </w:p>
        </w:tc>
      </w:tr>
      <w:tr w14:paraId="2DB46549">
        <w:tblPrEx>
          <w:tblCellMar>
            <w:top w:w="0" w:type="dxa"/>
            <w:left w:w="0" w:type="dxa"/>
            <w:bottom w:w="0" w:type="dxa"/>
            <w:right w:w="0" w:type="dxa"/>
          </w:tblCellMar>
        </w:tblPrEx>
        <w:trPr>
          <w:wBefore w:w="0" w:type="auto"/>
          <w:tblCellSpacing w:w="0" w:type="dxa"/>
        </w:trPr>
        <w:tc>
          <w:tcPr>
            <w:tcW w:w="0" w:type="auto"/>
            <w:noWrap w:val="0"/>
            <w:vAlign w:val="center"/>
          </w:tcPr>
          <w:p w14:paraId="49F34A0E">
            <w:r>
              <w:rPr>
                <w:rStyle w:val="10"/>
                <w:rFonts w:hint="eastAsia"/>
              </w:rPr>
              <w:t>中毒急救措施：</w:t>
            </w:r>
            <w:r>
              <w:rPr>
                <w:rFonts w:hint="eastAsia"/>
              </w:rPr>
              <w:br w:type="textWrapping"/>
            </w:r>
            <w:r>
              <w:rPr>
                <w:rStyle w:val="11"/>
                <w:rFonts w:hint="eastAsia"/>
              </w:rPr>
              <w:t>本品属于低毒除草剂。若吸入，将患者移至新鲜空气处，必要时给予辅助呼吸。若口服，如患者清醒，给2杯水，并催吐，使患者侧卧，并保暖。若眼睛接触，用流动清水冲洗至少15min。若皮肤接触，用肥皂和清水彻底冲洗干净。以上情况严重者，简单处理后立即携标签送医院治疗。无特效解毒剂，对症治疗。</w:t>
            </w:r>
          </w:p>
        </w:tc>
      </w:tr>
      <w:tr w14:paraId="794F9A15">
        <w:tblPrEx>
          <w:tblCellMar>
            <w:top w:w="0" w:type="dxa"/>
            <w:left w:w="0" w:type="dxa"/>
            <w:bottom w:w="0" w:type="dxa"/>
            <w:right w:w="0" w:type="dxa"/>
          </w:tblCellMar>
        </w:tblPrEx>
        <w:trPr>
          <w:wBefore w:w="0" w:type="auto"/>
          <w:tblCellSpacing w:w="0" w:type="dxa"/>
        </w:trPr>
        <w:tc>
          <w:tcPr>
            <w:tcW w:w="0" w:type="auto"/>
            <w:noWrap w:val="0"/>
            <w:vAlign w:val="center"/>
          </w:tcPr>
          <w:p w14:paraId="7B817285">
            <w:r>
              <w:rPr>
                <w:rStyle w:val="10"/>
                <w:rFonts w:hint="eastAsia"/>
              </w:rPr>
              <w:t>储存和运输方法：</w:t>
            </w:r>
            <w:r>
              <w:rPr>
                <w:rFonts w:hint="eastAsia"/>
              </w:rPr>
              <w:br w:type="textWrapping"/>
            </w:r>
            <w:r>
              <w:rPr>
                <w:rStyle w:val="11"/>
                <w:rFonts w:hint="eastAsia"/>
              </w:rPr>
              <w:t>1. 置于儿童、无关人员触及不到之处，并加锁。勿与食品、饮料、饲料、粮食等同贮同运。2. 应贮存于通风、干燥、阴凉的库房中，远离火源或热源。</w:t>
            </w:r>
          </w:p>
        </w:tc>
      </w:tr>
      <w:tr w14:paraId="71BE573B">
        <w:tblPrEx>
          <w:tblCellMar>
            <w:top w:w="0" w:type="dxa"/>
            <w:left w:w="0" w:type="dxa"/>
            <w:bottom w:w="0" w:type="dxa"/>
            <w:right w:w="0" w:type="dxa"/>
          </w:tblCellMar>
        </w:tblPrEx>
        <w:trPr>
          <w:wBefore w:w="0" w:type="auto"/>
          <w:tblCellSpacing w:w="0" w:type="dxa"/>
        </w:trPr>
        <w:tc>
          <w:tcPr>
            <w:tcW w:w="0" w:type="auto"/>
            <w:noWrap w:val="0"/>
            <w:vAlign w:val="center"/>
          </w:tcPr>
          <w:p w14:paraId="17BDF364">
            <w:r>
              <w:rPr>
                <w:rStyle w:val="10"/>
                <w:rFonts w:hint="eastAsia"/>
              </w:rPr>
              <w:t>质量保证期：</w:t>
            </w:r>
            <w:r>
              <w:rPr>
                <w:rStyle w:val="11"/>
                <w:rFonts w:hint="eastAsia"/>
              </w:rPr>
              <w:t>2年</w:t>
            </w:r>
          </w:p>
        </w:tc>
      </w:tr>
      <w:tr w14:paraId="4E81E4C8">
        <w:tblPrEx>
          <w:tblCellMar>
            <w:top w:w="0" w:type="dxa"/>
            <w:left w:w="0" w:type="dxa"/>
            <w:bottom w:w="0" w:type="dxa"/>
            <w:right w:w="0" w:type="dxa"/>
          </w:tblCellMar>
        </w:tblPrEx>
        <w:trPr>
          <w:wBefore w:w="0" w:type="auto"/>
          <w:tblCellSpacing w:w="0" w:type="dxa"/>
        </w:trPr>
        <w:tc>
          <w:tcPr>
            <w:tcW w:w="0" w:type="auto"/>
            <w:noWrap w:val="0"/>
            <w:vAlign w:val="center"/>
          </w:tcPr>
          <w:p w14:paraId="6D1E971E">
            <w:r>
              <w:rPr>
                <w:rStyle w:val="10"/>
                <w:rFonts w:hint="eastAsia"/>
              </w:rPr>
              <w:t>备注：</w:t>
            </w:r>
          </w:p>
        </w:tc>
      </w:tr>
    </w:tbl>
    <w:p w14:paraId="54C042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5B8522">
        <w:tblPrEx>
          <w:tblCellMar>
            <w:top w:w="0" w:type="dxa"/>
            <w:left w:w="0" w:type="dxa"/>
            <w:bottom w:w="0" w:type="dxa"/>
            <w:right w:w="0" w:type="dxa"/>
          </w:tblCellMar>
        </w:tblPrEx>
        <w:trPr>
          <w:wBefore w:w="0" w:type="auto"/>
          <w:tblCellSpacing w:w="0" w:type="dxa"/>
        </w:trPr>
        <w:tc>
          <w:tcPr>
            <w:tcW w:w="0" w:type="auto"/>
            <w:noWrap w:val="0"/>
            <w:vAlign w:val="center"/>
          </w:tcPr>
          <w:p w14:paraId="3AF9B483">
            <w:r>
              <w:rPr>
                <w:rStyle w:val="10"/>
                <w:rFonts w:hint="eastAsia"/>
              </w:rPr>
              <w:t>登记证号：</w:t>
            </w:r>
            <w:r>
              <w:rPr>
                <w:rFonts w:hint="eastAsia"/>
              </w:rPr>
              <w:t>PD20212486</w:t>
            </w:r>
          </w:p>
        </w:tc>
      </w:tr>
      <w:tr w14:paraId="45FDF309">
        <w:tblPrEx>
          <w:tblCellMar>
            <w:top w:w="0" w:type="dxa"/>
            <w:left w:w="0" w:type="dxa"/>
            <w:bottom w:w="0" w:type="dxa"/>
            <w:right w:w="0" w:type="dxa"/>
          </w:tblCellMar>
        </w:tblPrEx>
        <w:trPr>
          <w:wBefore w:w="0" w:type="auto"/>
          <w:tblCellSpacing w:w="0" w:type="dxa"/>
        </w:trPr>
        <w:tc>
          <w:tcPr>
            <w:tcW w:w="0" w:type="auto"/>
            <w:noWrap w:val="0"/>
            <w:vAlign w:val="center"/>
          </w:tcPr>
          <w:p w14:paraId="2B019B9E">
            <w:r>
              <w:rPr>
                <w:rStyle w:val="10"/>
                <w:rFonts w:hint="eastAsia"/>
              </w:rPr>
              <w:t>登记证持有人：</w:t>
            </w:r>
            <w:r>
              <w:rPr>
                <w:rFonts w:hint="eastAsia"/>
              </w:rPr>
              <w:t>张掖市大弓农化有限公司</w:t>
            </w:r>
          </w:p>
        </w:tc>
      </w:tr>
      <w:tr w14:paraId="60CC7CB8">
        <w:tblPrEx>
          <w:tblCellMar>
            <w:top w:w="0" w:type="dxa"/>
            <w:left w:w="0" w:type="dxa"/>
            <w:bottom w:w="0" w:type="dxa"/>
            <w:right w:w="0" w:type="dxa"/>
          </w:tblCellMar>
        </w:tblPrEx>
        <w:trPr>
          <w:wBefore w:w="0" w:type="auto"/>
          <w:tblCellSpacing w:w="0" w:type="dxa"/>
        </w:trPr>
        <w:tc>
          <w:tcPr>
            <w:tcW w:w="0" w:type="auto"/>
            <w:noWrap w:val="0"/>
            <w:vAlign w:val="center"/>
          </w:tcPr>
          <w:p w14:paraId="78FD7475">
            <w:r>
              <w:rPr>
                <w:rStyle w:val="10"/>
                <w:rFonts w:hint="eastAsia"/>
              </w:rPr>
              <w:t>农药名称：</w:t>
            </w:r>
            <w:r>
              <w:rPr>
                <w:rFonts w:hint="eastAsia"/>
              </w:rPr>
              <w:t>硝磺草酮</w:t>
            </w:r>
          </w:p>
        </w:tc>
      </w:tr>
      <w:tr w14:paraId="0185C827">
        <w:tblPrEx>
          <w:tblCellMar>
            <w:top w:w="0" w:type="dxa"/>
            <w:left w:w="0" w:type="dxa"/>
            <w:bottom w:w="0" w:type="dxa"/>
            <w:right w:w="0" w:type="dxa"/>
          </w:tblCellMar>
        </w:tblPrEx>
        <w:trPr>
          <w:wBefore w:w="0" w:type="auto"/>
          <w:tblCellSpacing w:w="0" w:type="dxa"/>
        </w:trPr>
        <w:tc>
          <w:tcPr>
            <w:tcW w:w="0" w:type="auto"/>
            <w:noWrap w:val="0"/>
            <w:vAlign w:val="center"/>
          </w:tcPr>
          <w:p w14:paraId="7A8AF0A9">
            <w:r>
              <w:rPr>
                <w:rStyle w:val="10"/>
                <w:rFonts w:hint="eastAsia"/>
              </w:rPr>
              <w:t>剂型：</w:t>
            </w:r>
            <w:r>
              <w:rPr>
                <w:rFonts w:hint="eastAsia"/>
              </w:rPr>
              <w:t>可分散油悬浮剂</w:t>
            </w:r>
          </w:p>
        </w:tc>
      </w:tr>
      <w:tr w14:paraId="21838BDD">
        <w:tblPrEx>
          <w:tblCellMar>
            <w:top w:w="0" w:type="dxa"/>
            <w:left w:w="0" w:type="dxa"/>
            <w:bottom w:w="0" w:type="dxa"/>
            <w:right w:w="0" w:type="dxa"/>
          </w:tblCellMar>
        </w:tblPrEx>
        <w:trPr>
          <w:wBefore w:w="0" w:type="auto"/>
          <w:tblCellSpacing w:w="0" w:type="dxa"/>
        </w:trPr>
        <w:tc>
          <w:tcPr>
            <w:tcW w:w="0" w:type="auto"/>
            <w:noWrap w:val="0"/>
            <w:vAlign w:val="center"/>
          </w:tcPr>
          <w:p w14:paraId="0A2F64C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7" name="图片 3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060144">
        <w:tblPrEx>
          <w:tblCellMar>
            <w:top w:w="0" w:type="dxa"/>
            <w:left w:w="0" w:type="dxa"/>
            <w:bottom w:w="0" w:type="dxa"/>
            <w:right w:w="0" w:type="dxa"/>
          </w:tblCellMar>
        </w:tblPrEx>
        <w:trPr>
          <w:wBefore w:w="0" w:type="auto"/>
          <w:tblCellSpacing w:w="0" w:type="dxa"/>
        </w:trPr>
        <w:tc>
          <w:tcPr>
            <w:tcW w:w="0" w:type="auto"/>
            <w:noWrap w:val="0"/>
            <w:vAlign w:val="center"/>
          </w:tcPr>
          <w:p w14:paraId="694C9AB9">
            <w:r>
              <w:rPr>
                <w:rStyle w:val="10"/>
                <w:rFonts w:hint="eastAsia"/>
              </w:rPr>
              <w:t>总有效成分含量：</w:t>
            </w:r>
            <w:r>
              <w:rPr>
                <w:rFonts w:hint="eastAsia"/>
              </w:rPr>
              <w:t>20%</w:t>
            </w:r>
          </w:p>
        </w:tc>
      </w:tr>
      <w:tr w14:paraId="799EE6C9">
        <w:tblPrEx>
          <w:tblCellMar>
            <w:top w:w="0" w:type="dxa"/>
            <w:left w:w="0" w:type="dxa"/>
            <w:bottom w:w="0" w:type="dxa"/>
            <w:right w:w="0" w:type="dxa"/>
          </w:tblCellMar>
        </w:tblPrEx>
        <w:trPr>
          <w:wBefore w:w="0" w:type="auto"/>
          <w:tblCellSpacing w:w="0" w:type="dxa"/>
        </w:trPr>
        <w:tc>
          <w:tcPr>
            <w:tcW w:w="0" w:type="auto"/>
            <w:noWrap w:val="0"/>
            <w:vAlign w:val="center"/>
          </w:tcPr>
          <w:p w14:paraId="08D4D8C3">
            <w:r>
              <w:rPr>
                <w:rFonts w:hint="eastAsia"/>
              </w:rPr>
              <w:t xml:space="preserve">有效成分及其含量： </w:t>
            </w:r>
          </w:p>
          <w:p w14:paraId="2CA3049C">
            <w:r>
              <w:rPr>
                <w:rFonts w:hint="eastAsia"/>
              </w:rPr>
              <w:t xml:space="preserve">    硝磺草酮20%    </w:t>
            </w:r>
          </w:p>
        </w:tc>
      </w:tr>
      <w:tr w14:paraId="29E2E007">
        <w:tblPrEx>
          <w:tblCellMar>
            <w:top w:w="0" w:type="dxa"/>
            <w:left w:w="0" w:type="dxa"/>
            <w:bottom w:w="0" w:type="dxa"/>
            <w:right w:w="0" w:type="dxa"/>
          </w:tblCellMar>
        </w:tblPrEx>
        <w:trPr>
          <w:wBefore w:w="0" w:type="auto"/>
          <w:tblCellSpacing w:w="0" w:type="dxa"/>
        </w:trPr>
        <w:tc>
          <w:tcPr>
            <w:tcW w:w="0" w:type="auto"/>
            <w:noWrap w:val="0"/>
            <w:vAlign w:val="center"/>
          </w:tcPr>
          <w:p w14:paraId="297C9E6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4B0E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784D0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B50D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E92DB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A7FAE0">
                  <w:r>
                    <w:rPr>
                      <w:rStyle w:val="11"/>
                      <w:rFonts w:hint="eastAsia"/>
                    </w:rPr>
                    <w:t>施用方式</w:t>
                  </w:r>
                </w:p>
              </w:tc>
            </w:tr>
            <w:tr w14:paraId="35A19D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C6D44A">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05AA2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CF03B">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BDD70D">
                  <w:r>
                    <w:rPr>
                      <w:rStyle w:val="11"/>
                      <w:rFonts w:hint="eastAsia"/>
                    </w:rPr>
                    <w:t>茎叶喷雾</w:t>
                  </w:r>
                </w:p>
              </w:tc>
            </w:tr>
          </w:tbl>
          <w:p w14:paraId="4BF70A59">
            <w:pPr>
              <w:rPr>
                <w:rFonts w:ascii="Times New Roman" w:hAnsi="Times New Roman" w:cs="Times New Roman"/>
                <w:sz w:val="20"/>
                <w:szCs w:val="20"/>
              </w:rPr>
            </w:pPr>
          </w:p>
        </w:tc>
      </w:tr>
      <w:tr w14:paraId="0215D124">
        <w:tblPrEx>
          <w:tblCellMar>
            <w:top w:w="0" w:type="dxa"/>
            <w:left w:w="0" w:type="dxa"/>
            <w:bottom w:w="0" w:type="dxa"/>
            <w:right w:w="0" w:type="dxa"/>
          </w:tblCellMar>
        </w:tblPrEx>
        <w:trPr>
          <w:wBefore w:w="0" w:type="auto"/>
          <w:tblCellSpacing w:w="0" w:type="dxa"/>
        </w:trPr>
        <w:tc>
          <w:tcPr>
            <w:tcW w:w="0" w:type="auto"/>
            <w:noWrap w:val="0"/>
            <w:vAlign w:val="center"/>
          </w:tcPr>
          <w:p w14:paraId="0EC1EBD7">
            <w:r>
              <w:rPr>
                <w:rStyle w:val="10"/>
                <w:rFonts w:hint="eastAsia"/>
              </w:rPr>
              <w:t>使用技术要求:</w:t>
            </w:r>
            <w:r>
              <w:rPr>
                <w:rFonts w:hint="eastAsia"/>
              </w:rPr>
              <w:br w:type="textWrapping"/>
            </w:r>
            <w:r>
              <w:rPr>
                <w:rStyle w:val="11"/>
                <w:rFonts w:hint="eastAsia"/>
              </w:rPr>
              <w:t>使用范围和使用方法： 作物/场所 防治对象 制剂用药量 使用方法 玉米田 一年生杂草 40－60毫升/亩　 茎叶喷雾 使用技术要求： 1、玉米3－6叶期，杂草2－5叶期，大多数杂草出齐时茎叶喷雾处理一次，亩喷液量30－40升水，草龄较大地块建议使用核准剂量高量。2、本品在玉米上每季最多使用1次。</w:t>
            </w:r>
          </w:p>
        </w:tc>
      </w:tr>
      <w:tr w14:paraId="3AF7C475">
        <w:tblPrEx>
          <w:tblCellMar>
            <w:top w:w="0" w:type="dxa"/>
            <w:left w:w="0" w:type="dxa"/>
            <w:bottom w:w="0" w:type="dxa"/>
            <w:right w:w="0" w:type="dxa"/>
          </w:tblCellMar>
        </w:tblPrEx>
        <w:trPr>
          <w:wBefore w:w="0" w:type="auto"/>
          <w:tblCellSpacing w:w="0" w:type="dxa"/>
        </w:trPr>
        <w:tc>
          <w:tcPr>
            <w:tcW w:w="0" w:type="auto"/>
            <w:noWrap w:val="0"/>
            <w:vAlign w:val="center"/>
          </w:tcPr>
          <w:p w14:paraId="40778001">
            <w:r>
              <w:rPr>
                <w:rStyle w:val="10"/>
                <w:rFonts w:hint="eastAsia"/>
              </w:rPr>
              <w:t>产品性能:</w:t>
            </w:r>
            <w:r>
              <w:rPr>
                <w:rFonts w:hint="eastAsia"/>
              </w:rPr>
              <w:br w:type="textWrapping"/>
            </w:r>
            <w:r>
              <w:rPr>
                <w:rStyle w:val="11"/>
                <w:rFonts w:hint="eastAsia"/>
              </w:rPr>
              <w:t>硝磺草酮是一种能够抑制羟基苯基丙酮酸酯双氧化酶苗后广谱选择性除草剂，可有效防除玉米田一年生阔叶杂草和一些禾本科杂草，本品具有作用速度快，杀草谱广且对玉米安全的特点。</w:t>
            </w:r>
          </w:p>
        </w:tc>
      </w:tr>
      <w:tr w14:paraId="117FFEE2">
        <w:tblPrEx>
          <w:tblCellMar>
            <w:top w:w="0" w:type="dxa"/>
            <w:left w:w="0" w:type="dxa"/>
            <w:bottom w:w="0" w:type="dxa"/>
            <w:right w:w="0" w:type="dxa"/>
          </w:tblCellMar>
        </w:tblPrEx>
        <w:trPr>
          <w:wBefore w:w="0" w:type="auto"/>
          <w:tblCellSpacing w:w="0" w:type="dxa"/>
        </w:trPr>
        <w:tc>
          <w:tcPr>
            <w:tcW w:w="0" w:type="auto"/>
            <w:noWrap w:val="0"/>
            <w:vAlign w:val="center"/>
          </w:tcPr>
          <w:p w14:paraId="53721F91">
            <w:r>
              <w:rPr>
                <w:rStyle w:val="10"/>
                <w:rFonts w:hint="eastAsia"/>
              </w:rPr>
              <w:t>注意事项：</w:t>
            </w:r>
            <w:r>
              <w:rPr>
                <w:rFonts w:hint="eastAsia"/>
              </w:rPr>
              <w:br w:type="textWrapping"/>
            </w:r>
            <w:r>
              <w:rPr>
                <w:rStyle w:val="11"/>
                <w:rFonts w:hint="eastAsia"/>
              </w:rPr>
              <w:t>请尽量较早用药，除草效果更佳，施药时请避免雾滴飘移至邻近作物。 2.本品对豆类、十字花科作物敏感，施药时须防止飘移，以免其它作物发生药害。 3.请勿将本品与任何有机磷类、氨基甲酸酯类杀虫剂混用或在间隔7天内使用。 4.请勿将本品用于自爆裂玉米和观赏玉米，本品也不得用于玉米与其它作物间作、混种田。 5.请按照农药安全使用准则使用本品。避免药液接触皮肤、眼睛和污染衣物，避免吸入雾滴。切勿在施药现场抽烟或饮食等。配药及施药时，应带手套、穿长袖衣、长裤和靴子。 6.本品对鱼类有毒，施药期间应避免对周围蜂群的影响，禁止在蚕室附近使用，最外围桑树应设置隔离带。 7.赤眼蜂等天敌放飞区域禁用。 8.远离水产养殖区、荷塘等水域施药，施药器具要认真清洗，污水和剩余药业要妥善处理，不得任意倾倒，以免污染其他作物及水源。禁止在河塘等水体清洗施药器具。废弃物要及时回收并妥善处理，不得再作它用。 9.孕妇及哺乳期妇女禁止接触本品。</w:t>
            </w:r>
          </w:p>
        </w:tc>
      </w:tr>
      <w:tr w14:paraId="0C70B235">
        <w:tblPrEx>
          <w:tblCellMar>
            <w:top w:w="0" w:type="dxa"/>
            <w:left w:w="0" w:type="dxa"/>
            <w:bottom w:w="0" w:type="dxa"/>
            <w:right w:w="0" w:type="dxa"/>
          </w:tblCellMar>
        </w:tblPrEx>
        <w:trPr>
          <w:wBefore w:w="0" w:type="auto"/>
          <w:tblCellSpacing w:w="0" w:type="dxa"/>
        </w:trPr>
        <w:tc>
          <w:tcPr>
            <w:tcW w:w="0" w:type="auto"/>
            <w:noWrap w:val="0"/>
            <w:vAlign w:val="center"/>
          </w:tcPr>
          <w:p w14:paraId="6F6048F5">
            <w:r>
              <w:rPr>
                <w:rStyle w:val="10"/>
                <w:rFonts w:hint="eastAsia"/>
              </w:rPr>
              <w:t>中毒急救措施：</w:t>
            </w:r>
            <w:r>
              <w:rPr>
                <w:rFonts w:hint="eastAsia"/>
              </w:rPr>
              <w:br w:type="textWrapping"/>
            </w:r>
            <w:r>
              <w:rPr>
                <w:rStyle w:val="11"/>
                <w:rFonts w:hint="eastAsia"/>
              </w:rPr>
              <w:t>1.眼睛溅入∶用清水冲洗眼睛15～20分钟，如配戴隐形眼镜，冲洗5分钟后摘掉眼镜再冲洗数分钟。如症状持续，请就医。 2.误食∶呼叫急救中心或就医。如尚清醒可喝一杯水。请勿自行引吐。勿让神志不清者食用任何东西。 3.皮肤沾附∶除去被溅及衣物。用肥皂和大量清水冲洗皮肤15～20分钟。呼叫急救中心或就医。清洗被溅及衣物。 4.误吸∶转移至空气清新处。如病人停止呼吸，请速叫救护车并进行人工呼吸。进行人工呼吸时请采用适当个人保护措施（如口罩）。呼叫急救中心或就医。 5.给医护人员的提示：无特殊解毒药。医生应该对症治疗。</w:t>
            </w:r>
          </w:p>
        </w:tc>
      </w:tr>
      <w:tr w14:paraId="01FB0D17">
        <w:tblPrEx>
          <w:tblCellMar>
            <w:top w:w="0" w:type="dxa"/>
            <w:left w:w="0" w:type="dxa"/>
            <w:bottom w:w="0" w:type="dxa"/>
            <w:right w:w="0" w:type="dxa"/>
          </w:tblCellMar>
        </w:tblPrEx>
        <w:trPr>
          <w:wBefore w:w="0" w:type="auto"/>
          <w:tblCellSpacing w:w="0" w:type="dxa"/>
        </w:trPr>
        <w:tc>
          <w:tcPr>
            <w:tcW w:w="0" w:type="auto"/>
            <w:noWrap w:val="0"/>
            <w:vAlign w:val="center"/>
          </w:tcPr>
          <w:p w14:paraId="67214BB0">
            <w:r>
              <w:rPr>
                <w:rStyle w:val="10"/>
                <w:rFonts w:hint="eastAsia"/>
              </w:rPr>
              <w:t>储存和运输方法：</w:t>
            </w:r>
            <w:r>
              <w:rPr>
                <w:rFonts w:hint="eastAsia"/>
              </w:rPr>
              <w:br w:type="textWrapping"/>
            </w:r>
            <w:r>
              <w:rPr>
                <w:rStyle w:val="11"/>
                <w:rFonts w:hint="eastAsia"/>
              </w:rPr>
              <w:t>1.置于儿童接触不到的地方。 2.不能与食品、饮料、粮食、饲料等同贮同运。 3.贮存于干燥、阴凉、通风、防雨处，远离火源或热源。</w:t>
            </w:r>
          </w:p>
        </w:tc>
      </w:tr>
      <w:tr w14:paraId="538CD1AD">
        <w:tblPrEx>
          <w:tblCellMar>
            <w:top w:w="0" w:type="dxa"/>
            <w:left w:w="0" w:type="dxa"/>
            <w:bottom w:w="0" w:type="dxa"/>
            <w:right w:w="0" w:type="dxa"/>
          </w:tblCellMar>
        </w:tblPrEx>
        <w:trPr>
          <w:wBefore w:w="0" w:type="auto"/>
          <w:tblCellSpacing w:w="0" w:type="dxa"/>
        </w:trPr>
        <w:tc>
          <w:tcPr>
            <w:tcW w:w="0" w:type="auto"/>
            <w:noWrap w:val="0"/>
            <w:vAlign w:val="center"/>
          </w:tcPr>
          <w:p w14:paraId="44DF7F71">
            <w:r>
              <w:rPr>
                <w:rStyle w:val="10"/>
                <w:rFonts w:hint="eastAsia"/>
              </w:rPr>
              <w:t>质量保证期：</w:t>
            </w:r>
            <w:r>
              <w:rPr>
                <w:rStyle w:val="11"/>
                <w:rFonts w:hint="eastAsia"/>
              </w:rPr>
              <w:t>2年</w:t>
            </w:r>
          </w:p>
        </w:tc>
      </w:tr>
      <w:tr w14:paraId="6C108C5E">
        <w:tblPrEx>
          <w:tblCellMar>
            <w:top w:w="0" w:type="dxa"/>
            <w:left w:w="0" w:type="dxa"/>
            <w:bottom w:w="0" w:type="dxa"/>
            <w:right w:w="0" w:type="dxa"/>
          </w:tblCellMar>
        </w:tblPrEx>
        <w:trPr>
          <w:wBefore w:w="0" w:type="auto"/>
          <w:tblCellSpacing w:w="0" w:type="dxa"/>
        </w:trPr>
        <w:tc>
          <w:tcPr>
            <w:tcW w:w="0" w:type="auto"/>
            <w:noWrap w:val="0"/>
            <w:vAlign w:val="center"/>
          </w:tcPr>
          <w:p w14:paraId="1C1A6185">
            <w:r>
              <w:rPr>
                <w:rStyle w:val="10"/>
                <w:rFonts w:hint="eastAsia"/>
              </w:rPr>
              <w:t>备注：</w:t>
            </w:r>
          </w:p>
        </w:tc>
      </w:tr>
    </w:tbl>
    <w:p w14:paraId="7E59D56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4BE406">
        <w:tblPrEx>
          <w:tblCellMar>
            <w:top w:w="0" w:type="dxa"/>
            <w:left w:w="0" w:type="dxa"/>
            <w:bottom w:w="0" w:type="dxa"/>
            <w:right w:w="0" w:type="dxa"/>
          </w:tblCellMar>
        </w:tblPrEx>
        <w:trPr>
          <w:wBefore w:w="0" w:type="auto"/>
          <w:tblCellSpacing w:w="0" w:type="dxa"/>
        </w:trPr>
        <w:tc>
          <w:tcPr>
            <w:tcW w:w="0" w:type="auto"/>
            <w:noWrap w:val="0"/>
            <w:vAlign w:val="center"/>
          </w:tcPr>
          <w:p w14:paraId="3D2725BD">
            <w:r>
              <w:rPr>
                <w:rStyle w:val="10"/>
                <w:rFonts w:hint="eastAsia"/>
              </w:rPr>
              <w:t>登记证号：</w:t>
            </w:r>
            <w:r>
              <w:rPr>
                <w:rFonts w:hint="eastAsia"/>
              </w:rPr>
              <w:t>PD20212670</w:t>
            </w:r>
          </w:p>
        </w:tc>
      </w:tr>
      <w:tr w14:paraId="33D34189">
        <w:tblPrEx>
          <w:tblCellMar>
            <w:top w:w="0" w:type="dxa"/>
            <w:left w:w="0" w:type="dxa"/>
            <w:bottom w:w="0" w:type="dxa"/>
            <w:right w:w="0" w:type="dxa"/>
          </w:tblCellMar>
        </w:tblPrEx>
        <w:trPr>
          <w:wBefore w:w="0" w:type="auto"/>
          <w:tblCellSpacing w:w="0" w:type="dxa"/>
        </w:trPr>
        <w:tc>
          <w:tcPr>
            <w:tcW w:w="0" w:type="auto"/>
            <w:noWrap w:val="0"/>
            <w:vAlign w:val="center"/>
          </w:tcPr>
          <w:p w14:paraId="71FD7455">
            <w:r>
              <w:rPr>
                <w:rStyle w:val="10"/>
                <w:rFonts w:hint="eastAsia"/>
              </w:rPr>
              <w:t>登记证持有人：</w:t>
            </w:r>
            <w:r>
              <w:rPr>
                <w:rFonts w:hint="eastAsia"/>
              </w:rPr>
              <w:t>浙江龙游东方阿纳萨克作物科技有限公司</w:t>
            </w:r>
          </w:p>
        </w:tc>
      </w:tr>
      <w:tr w14:paraId="32C0561F">
        <w:tblPrEx>
          <w:tblCellMar>
            <w:top w:w="0" w:type="dxa"/>
            <w:left w:w="0" w:type="dxa"/>
            <w:bottom w:w="0" w:type="dxa"/>
            <w:right w:w="0" w:type="dxa"/>
          </w:tblCellMar>
        </w:tblPrEx>
        <w:trPr>
          <w:wBefore w:w="0" w:type="auto"/>
          <w:tblCellSpacing w:w="0" w:type="dxa"/>
        </w:trPr>
        <w:tc>
          <w:tcPr>
            <w:tcW w:w="0" w:type="auto"/>
            <w:noWrap w:val="0"/>
            <w:vAlign w:val="center"/>
          </w:tcPr>
          <w:p w14:paraId="5A2E8EC0">
            <w:r>
              <w:rPr>
                <w:rStyle w:val="10"/>
                <w:rFonts w:hint="eastAsia"/>
              </w:rPr>
              <w:t>农药名称：</w:t>
            </w:r>
            <w:r>
              <w:rPr>
                <w:rFonts w:hint="eastAsia"/>
              </w:rPr>
              <w:t>二氰·肟菌酯</w:t>
            </w:r>
          </w:p>
        </w:tc>
      </w:tr>
      <w:tr w14:paraId="629FD20A">
        <w:tblPrEx>
          <w:tblCellMar>
            <w:top w:w="0" w:type="dxa"/>
            <w:left w:w="0" w:type="dxa"/>
            <w:bottom w:w="0" w:type="dxa"/>
            <w:right w:w="0" w:type="dxa"/>
          </w:tblCellMar>
        </w:tblPrEx>
        <w:trPr>
          <w:wBefore w:w="0" w:type="auto"/>
          <w:tblCellSpacing w:w="0" w:type="dxa"/>
        </w:trPr>
        <w:tc>
          <w:tcPr>
            <w:tcW w:w="0" w:type="auto"/>
            <w:noWrap w:val="0"/>
            <w:vAlign w:val="center"/>
          </w:tcPr>
          <w:p w14:paraId="394F8CDD">
            <w:r>
              <w:rPr>
                <w:rStyle w:val="10"/>
                <w:rFonts w:hint="eastAsia"/>
              </w:rPr>
              <w:t>剂型：</w:t>
            </w:r>
            <w:r>
              <w:rPr>
                <w:rFonts w:hint="eastAsia"/>
              </w:rPr>
              <w:t>悬浮剂</w:t>
            </w:r>
          </w:p>
        </w:tc>
      </w:tr>
      <w:tr w14:paraId="0FBC759F">
        <w:tblPrEx>
          <w:tblCellMar>
            <w:top w:w="0" w:type="dxa"/>
            <w:left w:w="0" w:type="dxa"/>
            <w:bottom w:w="0" w:type="dxa"/>
            <w:right w:w="0" w:type="dxa"/>
          </w:tblCellMar>
        </w:tblPrEx>
        <w:trPr>
          <w:wBefore w:w="0" w:type="auto"/>
          <w:tblCellSpacing w:w="0" w:type="dxa"/>
        </w:trPr>
        <w:tc>
          <w:tcPr>
            <w:tcW w:w="0" w:type="auto"/>
            <w:noWrap w:val="0"/>
            <w:vAlign w:val="center"/>
          </w:tcPr>
          <w:p w14:paraId="7E64348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8" name="图片 3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8FD4F9">
        <w:tblPrEx>
          <w:tblCellMar>
            <w:top w:w="0" w:type="dxa"/>
            <w:left w:w="0" w:type="dxa"/>
            <w:bottom w:w="0" w:type="dxa"/>
            <w:right w:w="0" w:type="dxa"/>
          </w:tblCellMar>
        </w:tblPrEx>
        <w:trPr>
          <w:wBefore w:w="0" w:type="auto"/>
          <w:tblCellSpacing w:w="0" w:type="dxa"/>
        </w:trPr>
        <w:tc>
          <w:tcPr>
            <w:tcW w:w="0" w:type="auto"/>
            <w:noWrap w:val="0"/>
            <w:vAlign w:val="center"/>
          </w:tcPr>
          <w:p w14:paraId="109C9228">
            <w:r>
              <w:rPr>
                <w:rStyle w:val="10"/>
                <w:rFonts w:hint="eastAsia"/>
              </w:rPr>
              <w:t>总有效成分含量：</w:t>
            </w:r>
            <w:r>
              <w:rPr>
                <w:rFonts w:hint="eastAsia"/>
              </w:rPr>
              <w:t>40%</w:t>
            </w:r>
          </w:p>
        </w:tc>
      </w:tr>
      <w:tr w14:paraId="3FE1078D">
        <w:tblPrEx>
          <w:tblCellMar>
            <w:top w:w="0" w:type="dxa"/>
            <w:left w:w="0" w:type="dxa"/>
            <w:bottom w:w="0" w:type="dxa"/>
            <w:right w:w="0" w:type="dxa"/>
          </w:tblCellMar>
        </w:tblPrEx>
        <w:trPr>
          <w:wBefore w:w="0" w:type="auto"/>
          <w:tblCellSpacing w:w="0" w:type="dxa"/>
        </w:trPr>
        <w:tc>
          <w:tcPr>
            <w:tcW w:w="0" w:type="auto"/>
            <w:noWrap w:val="0"/>
            <w:vAlign w:val="center"/>
          </w:tcPr>
          <w:p w14:paraId="0A578F1C">
            <w:r>
              <w:rPr>
                <w:rFonts w:hint="eastAsia"/>
              </w:rPr>
              <w:t xml:space="preserve">有效成分及其含量： </w:t>
            </w:r>
          </w:p>
          <w:p w14:paraId="7F96E3D6">
            <w:r>
              <w:rPr>
                <w:rFonts w:hint="eastAsia"/>
              </w:rPr>
              <w:t xml:space="preserve">    二氰蒽醌20%    肟菌酯20%    </w:t>
            </w:r>
          </w:p>
        </w:tc>
      </w:tr>
      <w:tr w14:paraId="357FA69C">
        <w:tblPrEx>
          <w:tblCellMar>
            <w:top w:w="0" w:type="dxa"/>
            <w:left w:w="0" w:type="dxa"/>
            <w:bottom w:w="0" w:type="dxa"/>
            <w:right w:w="0" w:type="dxa"/>
          </w:tblCellMar>
        </w:tblPrEx>
        <w:trPr>
          <w:wBefore w:w="0" w:type="auto"/>
          <w:tblCellSpacing w:w="0" w:type="dxa"/>
        </w:trPr>
        <w:tc>
          <w:tcPr>
            <w:tcW w:w="0" w:type="auto"/>
            <w:noWrap w:val="0"/>
            <w:vAlign w:val="center"/>
          </w:tcPr>
          <w:p w14:paraId="18D2EF9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E0EB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174C2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2290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98F0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D6C0FA">
                  <w:r>
                    <w:rPr>
                      <w:rStyle w:val="11"/>
                      <w:rFonts w:hint="eastAsia"/>
                    </w:rPr>
                    <w:t>施用方式</w:t>
                  </w:r>
                </w:p>
              </w:tc>
            </w:tr>
            <w:tr w14:paraId="09BBDB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C53464">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2AF705">
                  <w:r>
                    <w:rPr>
                      <w:rStyle w:val="11"/>
                      <w:rFonts w:hint="eastAsia"/>
                    </w:rPr>
                    <w:t>黑痘病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1990AB">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B2D80B">
                  <w:r>
                    <w:rPr>
                      <w:rStyle w:val="11"/>
                      <w:rFonts w:hint="eastAsia"/>
                    </w:rPr>
                    <w:t>喷雾</w:t>
                  </w:r>
                </w:p>
              </w:tc>
            </w:tr>
          </w:tbl>
          <w:p w14:paraId="6944BBB7">
            <w:pPr>
              <w:rPr>
                <w:rFonts w:ascii="Times New Roman" w:hAnsi="Times New Roman" w:cs="Times New Roman"/>
                <w:sz w:val="20"/>
                <w:szCs w:val="20"/>
              </w:rPr>
            </w:pPr>
          </w:p>
        </w:tc>
      </w:tr>
      <w:tr w14:paraId="7307C3BA">
        <w:tblPrEx>
          <w:tblCellMar>
            <w:top w:w="0" w:type="dxa"/>
            <w:left w:w="0" w:type="dxa"/>
            <w:bottom w:w="0" w:type="dxa"/>
            <w:right w:w="0" w:type="dxa"/>
          </w:tblCellMar>
        </w:tblPrEx>
        <w:trPr>
          <w:wBefore w:w="0" w:type="auto"/>
          <w:tblCellSpacing w:w="0" w:type="dxa"/>
        </w:trPr>
        <w:tc>
          <w:tcPr>
            <w:tcW w:w="0" w:type="auto"/>
            <w:noWrap w:val="0"/>
            <w:vAlign w:val="center"/>
          </w:tcPr>
          <w:p w14:paraId="6E95FD33">
            <w:r>
              <w:rPr>
                <w:rStyle w:val="10"/>
                <w:rFonts w:hint="eastAsia"/>
              </w:rPr>
              <w:t>使用技术要求:</w:t>
            </w:r>
            <w:r>
              <w:rPr>
                <w:rFonts w:hint="eastAsia"/>
              </w:rPr>
              <w:br w:type="textWrapping"/>
            </w:r>
            <w:r>
              <w:rPr>
                <w:rStyle w:val="11"/>
                <w:rFonts w:hint="eastAsia"/>
              </w:rPr>
              <w:t>1、在葡萄黑痘病发病前或发病初期施药，可施药2次，间隔7天左右。制剂用药量为3000-2000倍液兑水喷雾。 2、大风天或预计一小时内降雨，请勿施药。 3、每季最多使用次数为2次，安全间隔期为14天。</w:t>
            </w:r>
          </w:p>
        </w:tc>
      </w:tr>
      <w:tr w14:paraId="58599C78">
        <w:tblPrEx>
          <w:tblCellMar>
            <w:top w:w="0" w:type="dxa"/>
            <w:left w:w="0" w:type="dxa"/>
            <w:bottom w:w="0" w:type="dxa"/>
            <w:right w:w="0" w:type="dxa"/>
          </w:tblCellMar>
        </w:tblPrEx>
        <w:trPr>
          <w:wBefore w:w="0" w:type="auto"/>
          <w:tblCellSpacing w:w="0" w:type="dxa"/>
        </w:trPr>
        <w:tc>
          <w:tcPr>
            <w:tcW w:w="0" w:type="auto"/>
            <w:noWrap w:val="0"/>
            <w:vAlign w:val="center"/>
          </w:tcPr>
          <w:p w14:paraId="78AA493F">
            <w:r>
              <w:rPr>
                <w:rStyle w:val="10"/>
                <w:rFonts w:hint="eastAsia"/>
              </w:rPr>
              <w:t>产品性能:</w:t>
            </w:r>
            <w:r>
              <w:rPr>
                <w:rFonts w:hint="eastAsia"/>
              </w:rPr>
              <w:br w:type="textWrapping"/>
            </w:r>
            <w:r>
              <w:rPr>
                <w:rStyle w:val="11"/>
                <w:rFonts w:hint="eastAsia"/>
              </w:rPr>
              <w:t xml:space="preserve">本产品由二氰蒽醌和肟菌酯复配而成，二氰蒽醌是通过与含硫基团反应和干扰细胞呼吸而抑制一系列真菌酶，最后导致病菌死亡，肟菌酯是第二代甲氧基丙烯酸酯类杀菌剂，作用机理是抑制细胞色素bc1 Qo位泛醌醇氧化酶。本品在推荐剂量下，对葡萄黑痘病有较好防效。 </w:t>
            </w:r>
          </w:p>
        </w:tc>
      </w:tr>
      <w:tr w14:paraId="2EE35784">
        <w:tblPrEx>
          <w:tblCellMar>
            <w:top w:w="0" w:type="dxa"/>
            <w:left w:w="0" w:type="dxa"/>
            <w:bottom w:w="0" w:type="dxa"/>
            <w:right w:w="0" w:type="dxa"/>
          </w:tblCellMar>
        </w:tblPrEx>
        <w:trPr>
          <w:wBefore w:w="0" w:type="auto"/>
          <w:tblCellSpacing w:w="0" w:type="dxa"/>
        </w:trPr>
        <w:tc>
          <w:tcPr>
            <w:tcW w:w="0" w:type="auto"/>
            <w:noWrap w:val="0"/>
            <w:vAlign w:val="center"/>
          </w:tcPr>
          <w:p w14:paraId="51CEB123">
            <w:r>
              <w:rPr>
                <w:rStyle w:val="10"/>
                <w:rFonts w:hint="eastAsia"/>
              </w:rPr>
              <w:t>注意事项：</w:t>
            </w:r>
            <w:r>
              <w:rPr>
                <w:rFonts w:hint="eastAsia"/>
              </w:rPr>
              <w:br w:type="textWrapping"/>
            </w:r>
            <w:r>
              <w:rPr>
                <w:rStyle w:val="11"/>
                <w:rFonts w:hint="eastAsia"/>
              </w:rPr>
              <w:t>1.严格按照规定用药量和方法使用，均匀喷施，严禁重喷、漏喷或过量喷施。 2.施药时应密切关注对周围蜂群的影响，蚕室和桑园附近禁用；鸟类保护区、瓢虫等天敌放飞区域禁用；水产养殖区、河塘等水体附近禁用，禁止在河塘等水域清洗施药器具；剩余药液要妥善保管，不要污染水源及其它非目标区域。 3.本品不可与碱性的农药等物质混合使用。 4.施用人员在配药和施药时，应采取相应的安全防护措施，穿戴长衣、长裤、帽子、口罩、手套等，使用中不准吸烟、饮水、进食，作业结束后应及时淋浴、更衣。 5.用过的容器和废弃物应妥善处理，不可随意丢弃或做他用。 6.孕妇及哺乳期妇女避免接触本品。</w:t>
            </w:r>
          </w:p>
        </w:tc>
      </w:tr>
      <w:tr w14:paraId="5C9F6B84">
        <w:tblPrEx>
          <w:tblCellMar>
            <w:top w:w="0" w:type="dxa"/>
            <w:left w:w="0" w:type="dxa"/>
            <w:bottom w:w="0" w:type="dxa"/>
            <w:right w:w="0" w:type="dxa"/>
          </w:tblCellMar>
        </w:tblPrEx>
        <w:trPr>
          <w:wBefore w:w="0" w:type="auto"/>
          <w:tblCellSpacing w:w="0" w:type="dxa"/>
        </w:trPr>
        <w:tc>
          <w:tcPr>
            <w:tcW w:w="0" w:type="auto"/>
            <w:noWrap w:val="0"/>
            <w:vAlign w:val="center"/>
          </w:tcPr>
          <w:p w14:paraId="1E520711">
            <w:r>
              <w:rPr>
                <w:rStyle w:val="10"/>
                <w:rFonts w:hint="eastAsia"/>
              </w:rPr>
              <w:t>中毒急救措施：</w:t>
            </w:r>
            <w:r>
              <w:rPr>
                <w:rFonts w:hint="eastAsia"/>
              </w:rPr>
              <w:br w:type="textWrapping"/>
            </w:r>
            <w:r>
              <w:rPr>
                <w:rStyle w:val="11"/>
                <w:rFonts w:hint="eastAsia"/>
              </w:rPr>
              <w:t xml:space="preserve">对眼睛有刺激性，使用时避免接触眼睛。 1、皮肤接触：立即脱去污染的衣着，用大量流动清水冲洗至少15分钟。就医；眼睛接触：立即提起眼睑，用大量流动清水或生理盐水彻底冲洗至少15分钟。就医；吸入：迅速脱离现场至空气新鲜处。保持呼吸道通畅。如呼吸困难，给输氧。如呼吸停止，立即进行人工呼吸。就医；本品低毒，一般不会引起全身中毒，若大量摄入，需急送医院对症治疗。 2、解毒剂：无特殊解毒剂。如有必要，对症治疗。 </w:t>
            </w:r>
          </w:p>
        </w:tc>
      </w:tr>
      <w:tr w14:paraId="540BC09A">
        <w:tblPrEx>
          <w:tblCellMar>
            <w:top w:w="0" w:type="dxa"/>
            <w:left w:w="0" w:type="dxa"/>
            <w:bottom w:w="0" w:type="dxa"/>
            <w:right w:w="0" w:type="dxa"/>
          </w:tblCellMar>
        </w:tblPrEx>
        <w:trPr>
          <w:wBefore w:w="0" w:type="auto"/>
          <w:tblCellSpacing w:w="0" w:type="dxa"/>
        </w:trPr>
        <w:tc>
          <w:tcPr>
            <w:tcW w:w="0" w:type="auto"/>
            <w:noWrap w:val="0"/>
            <w:vAlign w:val="center"/>
          </w:tcPr>
          <w:p w14:paraId="1704B576">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本品应贮存在干燥、阴凉、通风、防雨处，远离火源或热源。置于儿童触及不到之处，并加锁。勿与食品、饮料、饲料、粮食等其他商品同贮同运。 </w:t>
            </w:r>
          </w:p>
        </w:tc>
      </w:tr>
      <w:tr w14:paraId="1A10E5E2">
        <w:tblPrEx>
          <w:tblCellMar>
            <w:top w:w="0" w:type="dxa"/>
            <w:left w:w="0" w:type="dxa"/>
            <w:bottom w:w="0" w:type="dxa"/>
            <w:right w:w="0" w:type="dxa"/>
          </w:tblCellMar>
        </w:tblPrEx>
        <w:trPr>
          <w:wBefore w:w="0" w:type="auto"/>
          <w:tblCellSpacing w:w="0" w:type="dxa"/>
        </w:trPr>
        <w:tc>
          <w:tcPr>
            <w:tcW w:w="0" w:type="auto"/>
            <w:noWrap w:val="0"/>
            <w:vAlign w:val="center"/>
          </w:tcPr>
          <w:p w14:paraId="36A8E032">
            <w:r>
              <w:rPr>
                <w:rStyle w:val="10"/>
                <w:rFonts w:hint="eastAsia"/>
              </w:rPr>
              <w:t>质量保证期：</w:t>
            </w:r>
            <w:r>
              <w:rPr>
                <w:rStyle w:val="11"/>
                <w:rFonts w:hint="eastAsia"/>
              </w:rPr>
              <w:t>2年</w:t>
            </w:r>
          </w:p>
        </w:tc>
      </w:tr>
      <w:tr w14:paraId="5A57E9D9">
        <w:tblPrEx>
          <w:tblCellMar>
            <w:top w:w="0" w:type="dxa"/>
            <w:left w:w="0" w:type="dxa"/>
            <w:bottom w:w="0" w:type="dxa"/>
            <w:right w:w="0" w:type="dxa"/>
          </w:tblCellMar>
        </w:tblPrEx>
        <w:trPr>
          <w:wBefore w:w="0" w:type="auto"/>
          <w:tblCellSpacing w:w="0" w:type="dxa"/>
        </w:trPr>
        <w:tc>
          <w:tcPr>
            <w:tcW w:w="0" w:type="auto"/>
            <w:noWrap w:val="0"/>
            <w:vAlign w:val="center"/>
          </w:tcPr>
          <w:p w14:paraId="565F5214">
            <w:r>
              <w:rPr>
                <w:rStyle w:val="10"/>
                <w:rFonts w:hint="eastAsia"/>
              </w:rPr>
              <w:t>备注：</w:t>
            </w:r>
          </w:p>
        </w:tc>
      </w:tr>
    </w:tbl>
    <w:p w14:paraId="597FD2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626834">
        <w:tblPrEx>
          <w:tblCellMar>
            <w:top w:w="0" w:type="dxa"/>
            <w:left w:w="0" w:type="dxa"/>
            <w:bottom w:w="0" w:type="dxa"/>
            <w:right w:w="0" w:type="dxa"/>
          </w:tblCellMar>
        </w:tblPrEx>
        <w:trPr>
          <w:wBefore w:w="0" w:type="auto"/>
          <w:tblCellSpacing w:w="0" w:type="dxa"/>
        </w:trPr>
        <w:tc>
          <w:tcPr>
            <w:tcW w:w="0" w:type="auto"/>
            <w:noWrap w:val="0"/>
            <w:vAlign w:val="center"/>
          </w:tcPr>
          <w:p w14:paraId="3E9235A9">
            <w:r>
              <w:rPr>
                <w:rStyle w:val="10"/>
                <w:rFonts w:hint="eastAsia"/>
              </w:rPr>
              <w:t>登记证号：</w:t>
            </w:r>
            <w:r>
              <w:rPr>
                <w:rFonts w:hint="eastAsia"/>
              </w:rPr>
              <w:t>PD20212780</w:t>
            </w:r>
          </w:p>
        </w:tc>
      </w:tr>
      <w:tr w14:paraId="05990A51">
        <w:tblPrEx>
          <w:tblCellMar>
            <w:top w:w="0" w:type="dxa"/>
            <w:left w:w="0" w:type="dxa"/>
            <w:bottom w:w="0" w:type="dxa"/>
            <w:right w:w="0" w:type="dxa"/>
          </w:tblCellMar>
        </w:tblPrEx>
        <w:trPr>
          <w:wBefore w:w="0" w:type="auto"/>
          <w:tblCellSpacing w:w="0" w:type="dxa"/>
        </w:trPr>
        <w:tc>
          <w:tcPr>
            <w:tcW w:w="0" w:type="auto"/>
            <w:noWrap w:val="0"/>
            <w:vAlign w:val="center"/>
          </w:tcPr>
          <w:p w14:paraId="1BC39694">
            <w:r>
              <w:rPr>
                <w:rStyle w:val="10"/>
                <w:rFonts w:hint="eastAsia"/>
              </w:rPr>
              <w:t>登记证持有人：</w:t>
            </w:r>
            <w:r>
              <w:rPr>
                <w:rFonts w:hint="eastAsia"/>
              </w:rPr>
              <w:t>河北兴柏农业科技有限公司</w:t>
            </w:r>
          </w:p>
        </w:tc>
      </w:tr>
      <w:tr w14:paraId="0A70F864">
        <w:tblPrEx>
          <w:tblCellMar>
            <w:top w:w="0" w:type="dxa"/>
            <w:left w:w="0" w:type="dxa"/>
            <w:bottom w:w="0" w:type="dxa"/>
            <w:right w:w="0" w:type="dxa"/>
          </w:tblCellMar>
        </w:tblPrEx>
        <w:trPr>
          <w:wBefore w:w="0" w:type="auto"/>
          <w:tblCellSpacing w:w="0" w:type="dxa"/>
        </w:trPr>
        <w:tc>
          <w:tcPr>
            <w:tcW w:w="0" w:type="auto"/>
            <w:noWrap w:val="0"/>
            <w:vAlign w:val="center"/>
          </w:tcPr>
          <w:p w14:paraId="760B53E8">
            <w:r>
              <w:rPr>
                <w:rStyle w:val="10"/>
                <w:rFonts w:hint="eastAsia"/>
              </w:rPr>
              <w:t>农药名称：</w:t>
            </w:r>
            <w:r>
              <w:rPr>
                <w:rFonts w:hint="eastAsia"/>
              </w:rPr>
              <w:t>阿维菌素</w:t>
            </w:r>
          </w:p>
        </w:tc>
      </w:tr>
      <w:tr w14:paraId="329B3710">
        <w:tblPrEx>
          <w:tblCellMar>
            <w:top w:w="0" w:type="dxa"/>
            <w:left w:w="0" w:type="dxa"/>
            <w:bottom w:w="0" w:type="dxa"/>
            <w:right w:w="0" w:type="dxa"/>
          </w:tblCellMar>
        </w:tblPrEx>
        <w:trPr>
          <w:wBefore w:w="0" w:type="auto"/>
          <w:tblCellSpacing w:w="0" w:type="dxa"/>
        </w:trPr>
        <w:tc>
          <w:tcPr>
            <w:tcW w:w="0" w:type="auto"/>
            <w:noWrap w:val="0"/>
            <w:vAlign w:val="center"/>
          </w:tcPr>
          <w:p w14:paraId="3BB85E10">
            <w:r>
              <w:rPr>
                <w:rStyle w:val="10"/>
                <w:rFonts w:hint="eastAsia"/>
              </w:rPr>
              <w:t>剂型：</w:t>
            </w:r>
            <w:r>
              <w:rPr>
                <w:rFonts w:hint="eastAsia"/>
              </w:rPr>
              <w:t>颗粒剂</w:t>
            </w:r>
          </w:p>
        </w:tc>
      </w:tr>
      <w:tr w14:paraId="751D4E0E">
        <w:tblPrEx>
          <w:tblCellMar>
            <w:top w:w="0" w:type="dxa"/>
            <w:left w:w="0" w:type="dxa"/>
            <w:bottom w:w="0" w:type="dxa"/>
            <w:right w:w="0" w:type="dxa"/>
          </w:tblCellMar>
        </w:tblPrEx>
        <w:trPr>
          <w:wBefore w:w="0" w:type="auto"/>
          <w:tblCellSpacing w:w="0" w:type="dxa"/>
        </w:trPr>
        <w:tc>
          <w:tcPr>
            <w:tcW w:w="0" w:type="auto"/>
            <w:noWrap w:val="0"/>
            <w:vAlign w:val="center"/>
          </w:tcPr>
          <w:p w14:paraId="63C26917">
            <w:r>
              <w:rPr>
                <w:rStyle w:val="10"/>
                <w:rFonts w:hint="eastAsia"/>
              </w:rPr>
              <w:t>毒性及其标识：</w:t>
            </w:r>
            <w:r>
              <w:rPr>
                <w:rFonts w:hint="eastAsia"/>
              </w:rPr>
              <w:t xml:space="preserve"> </w:t>
            </w:r>
            <w:r>
              <w:rPr>
                <w:lang/>
              </w:rPr>
              <w:drawing>
                <wp:inline distT="0" distB="0" distL="114300" distR="114300">
                  <wp:extent cx="476250" cy="323850"/>
                  <wp:effectExtent l="0" t="0" r="0" b="0"/>
                  <wp:docPr id="319" name="图片 3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4620ECA3">
        <w:tblPrEx>
          <w:tblCellMar>
            <w:top w:w="0" w:type="dxa"/>
            <w:left w:w="0" w:type="dxa"/>
            <w:bottom w:w="0" w:type="dxa"/>
            <w:right w:w="0" w:type="dxa"/>
          </w:tblCellMar>
        </w:tblPrEx>
        <w:trPr>
          <w:wBefore w:w="0" w:type="auto"/>
          <w:tblCellSpacing w:w="0" w:type="dxa"/>
        </w:trPr>
        <w:tc>
          <w:tcPr>
            <w:tcW w:w="0" w:type="auto"/>
            <w:noWrap w:val="0"/>
            <w:vAlign w:val="center"/>
          </w:tcPr>
          <w:p w14:paraId="1287DE6B">
            <w:r>
              <w:rPr>
                <w:rStyle w:val="10"/>
                <w:rFonts w:hint="eastAsia"/>
              </w:rPr>
              <w:t>总有效成分含量：</w:t>
            </w:r>
            <w:r>
              <w:rPr>
                <w:rFonts w:hint="eastAsia"/>
              </w:rPr>
              <w:t>0.5%</w:t>
            </w:r>
          </w:p>
        </w:tc>
      </w:tr>
      <w:tr w14:paraId="068D987E">
        <w:tblPrEx>
          <w:tblCellMar>
            <w:top w:w="0" w:type="dxa"/>
            <w:left w:w="0" w:type="dxa"/>
            <w:bottom w:w="0" w:type="dxa"/>
            <w:right w:w="0" w:type="dxa"/>
          </w:tblCellMar>
        </w:tblPrEx>
        <w:trPr>
          <w:wBefore w:w="0" w:type="auto"/>
          <w:tblCellSpacing w:w="0" w:type="dxa"/>
        </w:trPr>
        <w:tc>
          <w:tcPr>
            <w:tcW w:w="0" w:type="auto"/>
            <w:noWrap w:val="0"/>
            <w:vAlign w:val="center"/>
          </w:tcPr>
          <w:p w14:paraId="4E14FC28">
            <w:r>
              <w:rPr>
                <w:rFonts w:hint="eastAsia"/>
              </w:rPr>
              <w:t xml:space="preserve">有效成分及其含量： </w:t>
            </w:r>
          </w:p>
          <w:p w14:paraId="4AD69742">
            <w:r>
              <w:rPr>
                <w:rFonts w:hint="eastAsia"/>
              </w:rPr>
              <w:t xml:space="preserve">    阿维菌素0.5%    </w:t>
            </w:r>
          </w:p>
        </w:tc>
      </w:tr>
      <w:tr w14:paraId="77A5B8AB">
        <w:tblPrEx>
          <w:tblCellMar>
            <w:top w:w="0" w:type="dxa"/>
            <w:left w:w="0" w:type="dxa"/>
            <w:bottom w:w="0" w:type="dxa"/>
            <w:right w:w="0" w:type="dxa"/>
          </w:tblCellMar>
        </w:tblPrEx>
        <w:trPr>
          <w:wBefore w:w="0" w:type="auto"/>
          <w:tblCellSpacing w:w="0" w:type="dxa"/>
        </w:trPr>
        <w:tc>
          <w:tcPr>
            <w:tcW w:w="0" w:type="auto"/>
            <w:noWrap w:val="0"/>
            <w:vAlign w:val="center"/>
          </w:tcPr>
          <w:p w14:paraId="5639FD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86CC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DDB09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B9861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F9AC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3F53A1">
                  <w:r>
                    <w:rPr>
                      <w:rStyle w:val="11"/>
                      <w:rFonts w:hint="eastAsia"/>
                    </w:rPr>
                    <w:t>施用方式</w:t>
                  </w:r>
                </w:p>
              </w:tc>
            </w:tr>
            <w:tr w14:paraId="7D84A5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2E44E7">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06FBB2">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0EC94F">
                  <w:r>
                    <w:rPr>
                      <w:rStyle w:val="11"/>
                      <w:rFonts w:hint="eastAsia"/>
                    </w:rPr>
                    <w:t>3000-4000克/亩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0FD6C">
                  <w:r>
                    <w:rPr>
                      <w:rStyle w:val="11"/>
                      <w:rFonts w:hint="eastAsia"/>
                    </w:rPr>
                    <w:t>沟施</w:t>
                  </w:r>
                </w:p>
              </w:tc>
            </w:tr>
          </w:tbl>
          <w:p w14:paraId="338D4C76">
            <w:pPr>
              <w:rPr>
                <w:rFonts w:ascii="Times New Roman" w:hAnsi="Times New Roman" w:cs="Times New Roman"/>
                <w:sz w:val="20"/>
                <w:szCs w:val="20"/>
              </w:rPr>
            </w:pPr>
          </w:p>
        </w:tc>
      </w:tr>
      <w:tr w14:paraId="3705BB7B">
        <w:tblPrEx>
          <w:tblCellMar>
            <w:top w:w="0" w:type="dxa"/>
            <w:left w:w="0" w:type="dxa"/>
            <w:bottom w:w="0" w:type="dxa"/>
            <w:right w:w="0" w:type="dxa"/>
          </w:tblCellMar>
        </w:tblPrEx>
        <w:trPr>
          <w:wBefore w:w="0" w:type="auto"/>
          <w:tblCellSpacing w:w="0" w:type="dxa"/>
        </w:trPr>
        <w:tc>
          <w:tcPr>
            <w:tcW w:w="0" w:type="auto"/>
            <w:noWrap w:val="0"/>
            <w:vAlign w:val="center"/>
          </w:tcPr>
          <w:p w14:paraId="1E4283CA">
            <w:r>
              <w:rPr>
                <w:rStyle w:val="10"/>
                <w:rFonts w:hint="eastAsia"/>
              </w:rPr>
              <w:t>使用技术要求:</w:t>
            </w:r>
            <w:r>
              <w:rPr>
                <w:rFonts w:hint="eastAsia"/>
              </w:rPr>
              <w:br w:type="textWrapping"/>
            </w:r>
            <w:r>
              <w:rPr>
                <w:rStyle w:val="11"/>
                <w:rFonts w:hint="eastAsia"/>
              </w:rPr>
              <w:t>1、本品应在烟草移栽时开沟撒施。2、本品每季最多使用1次。</w:t>
            </w:r>
          </w:p>
        </w:tc>
      </w:tr>
      <w:tr w14:paraId="77AE5C83">
        <w:tblPrEx>
          <w:tblCellMar>
            <w:top w:w="0" w:type="dxa"/>
            <w:left w:w="0" w:type="dxa"/>
            <w:bottom w:w="0" w:type="dxa"/>
            <w:right w:w="0" w:type="dxa"/>
          </w:tblCellMar>
        </w:tblPrEx>
        <w:trPr>
          <w:wBefore w:w="0" w:type="auto"/>
          <w:tblCellSpacing w:w="0" w:type="dxa"/>
        </w:trPr>
        <w:tc>
          <w:tcPr>
            <w:tcW w:w="0" w:type="auto"/>
            <w:noWrap w:val="0"/>
            <w:vAlign w:val="center"/>
          </w:tcPr>
          <w:p w14:paraId="167E8085">
            <w:r>
              <w:rPr>
                <w:rStyle w:val="10"/>
                <w:rFonts w:hint="eastAsia"/>
              </w:rPr>
              <w:t>产品性能:</w:t>
            </w:r>
            <w:r>
              <w:rPr>
                <w:rFonts w:hint="eastAsia"/>
              </w:rPr>
              <w:br w:type="textWrapping"/>
            </w:r>
            <w:r>
              <w:rPr>
                <w:rStyle w:val="11"/>
                <w:rFonts w:hint="eastAsia"/>
              </w:rPr>
              <w:t>阿维菌素通过干扰神经活动，刺激释放γ-氨基丁酸，增强γ-氨基丁酸与细胞膜上受体的结合，从而使细胞的氯离子增加，细胞膜超极化，导致神经信号传递受阻，致死麻痹、死亡。可用于防治烟草根结线虫。</w:t>
            </w:r>
          </w:p>
        </w:tc>
      </w:tr>
      <w:tr w14:paraId="1BBED040">
        <w:tblPrEx>
          <w:tblCellMar>
            <w:top w:w="0" w:type="dxa"/>
            <w:left w:w="0" w:type="dxa"/>
            <w:bottom w:w="0" w:type="dxa"/>
            <w:right w:w="0" w:type="dxa"/>
          </w:tblCellMar>
        </w:tblPrEx>
        <w:trPr>
          <w:wBefore w:w="0" w:type="auto"/>
          <w:tblCellSpacing w:w="0" w:type="dxa"/>
        </w:trPr>
        <w:tc>
          <w:tcPr>
            <w:tcW w:w="0" w:type="auto"/>
            <w:noWrap w:val="0"/>
            <w:vAlign w:val="center"/>
          </w:tcPr>
          <w:p w14:paraId="414DA6E9">
            <w:r>
              <w:rPr>
                <w:rStyle w:val="10"/>
                <w:rFonts w:hint="eastAsia"/>
              </w:rPr>
              <w:t>注意事项：</w:t>
            </w:r>
            <w:r>
              <w:rPr>
                <w:rFonts w:hint="eastAsia"/>
              </w:rPr>
              <w:br w:type="textWrapping"/>
            </w:r>
            <w:r>
              <w:rPr>
                <w:rStyle w:val="11"/>
                <w:rFonts w:hint="eastAsia"/>
              </w:rPr>
              <w:t>1）使用本品应采取相应的安全防护措施，穿戴长衣、长裤、帽子、口罩、手套等防护措施、避免吸入，施药期间不可吃东西和饮水，施药后应及时洗手、洗脸及其他裸露部位。施药后，彻底清洗防护用具，洗澡，并更换和清洗工作服。2）本品对鸟类有风险，鸟类保护区禁用，施药后立即覆土。3）本品对鱼类、溞、藻类等水生生物有毒，远离水产养殖区、河塘等水体施药，禁止在河塘等水体中清洗施药器具。4）建议与其它作用机制的杀线虫剂轮换使用。5）用过的容器应妥善处理，不可做他用，也不可随意丢弃。6）禁止儿童、孕妇及哺乳期的妇女接触。过敏者禁用，使用中有任何不良反应请及时就医。</w:t>
            </w:r>
          </w:p>
        </w:tc>
      </w:tr>
      <w:tr w14:paraId="1A3488AC">
        <w:tblPrEx>
          <w:tblCellMar>
            <w:top w:w="0" w:type="dxa"/>
            <w:left w:w="0" w:type="dxa"/>
            <w:bottom w:w="0" w:type="dxa"/>
            <w:right w:w="0" w:type="dxa"/>
          </w:tblCellMar>
        </w:tblPrEx>
        <w:trPr>
          <w:wBefore w:w="0" w:type="auto"/>
          <w:tblCellSpacing w:w="0" w:type="dxa"/>
        </w:trPr>
        <w:tc>
          <w:tcPr>
            <w:tcW w:w="0" w:type="auto"/>
            <w:noWrap w:val="0"/>
            <w:vAlign w:val="center"/>
          </w:tcPr>
          <w:p w14:paraId="5AAC909A">
            <w:r>
              <w:rPr>
                <w:rStyle w:val="10"/>
                <w:rFonts w:hint="eastAsia"/>
              </w:rPr>
              <w:t>中毒急救措施：</w:t>
            </w:r>
            <w:r>
              <w:rPr>
                <w:rFonts w:hint="eastAsia"/>
              </w:rPr>
              <w:br w:type="textWrapping"/>
            </w:r>
            <w:r>
              <w:rPr>
                <w:rStyle w:val="11"/>
                <w:rFonts w:hint="eastAsia"/>
              </w:rPr>
              <w:t>该产品对眼睛有刺激性，使用时避免接触眼睛。 急救措施：使用中或使用后如果感觉不适，应立即停止工作，采取急救措施，并携带标签送医院就诊。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清醒者立即催吐并给患者服用吐根糖浆或麻黄素，但切勿给已经昏迷的患者灌胃任何东西或催吐；避免使用能增强γ-氨基丁酸活性的药物（如巴比妥等）。</w:t>
            </w:r>
          </w:p>
        </w:tc>
      </w:tr>
      <w:tr w14:paraId="2F0BCB23">
        <w:tblPrEx>
          <w:tblCellMar>
            <w:top w:w="0" w:type="dxa"/>
            <w:left w:w="0" w:type="dxa"/>
            <w:bottom w:w="0" w:type="dxa"/>
            <w:right w:w="0" w:type="dxa"/>
          </w:tblCellMar>
        </w:tblPrEx>
        <w:trPr>
          <w:wBefore w:w="0" w:type="auto"/>
          <w:tblCellSpacing w:w="0" w:type="dxa"/>
        </w:trPr>
        <w:tc>
          <w:tcPr>
            <w:tcW w:w="0" w:type="auto"/>
            <w:noWrap w:val="0"/>
            <w:vAlign w:val="center"/>
          </w:tcPr>
          <w:p w14:paraId="249D24B0">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w:t>
            </w:r>
          </w:p>
        </w:tc>
      </w:tr>
      <w:tr w14:paraId="02493C25">
        <w:tblPrEx>
          <w:tblCellMar>
            <w:top w:w="0" w:type="dxa"/>
            <w:left w:w="0" w:type="dxa"/>
            <w:bottom w:w="0" w:type="dxa"/>
            <w:right w:w="0" w:type="dxa"/>
          </w:tblCellMar>
        </w:tblPrEx>
        <w:trPr>
          <w:wBefore w:w="0" w:type="auto"/>
          <w:tblCellSpacing w:w="0" w:type="dxa"/>
        </w:trPr>
        <w:tc>
          <w:tcPr>
            <w:tcW w:w="0" w:type="auto"/>
            <w:noWrap w:val="0"/>
            <w:vAlign w:val="center"/>
          </w:tcPr>
          <w:p w14:paraId="18A68FBC">
            <w:r>
              <w:rPr>
                <w:rStyle w:val="10"/>
                <w:rFonts w:hint="eastAsia"/>
              </w:rPr>
              <w:t>质量保证期：</w:t>
            </w:r>
            <w:r>
              <w:rPr>
                <w:rStyle w:val="11"/>
                <w:rFonts w:hint="eastAsia"/>
              </w:rPr>
              <w:t>2年</w:t>
            </w:r>
          </w:p>
        </w:tc>
      </w:tr>
      <w:tr w14:paraId="4AA3A6F1">
        <w:tblPrEx>
          <w:tblCellMar>
            <w:top w:w="0" w:type="dxa"/>
            <w:left w:w="0" w:type="dxa"/>
            <w:bottom w:w="0" w:type="dxa"/>
            <w:right w:w="0" w:type="dxa"/>
          </w:tblCellMar>
        </w:tblPrEx>
        <w:trPr>
          <w:wBefore w:w="0" w:type="auto"/>
          <w:tblCellSpacing w:w="0" w:type="dxa"/>
        </w:trPr>
        <w:tc>
          <w:tcPr>
            <w:tcW w:w="0" w:type="auto"/>
            <w:noWrap w:val="0"/>
            <w:vAlign w:val="center"/>
          </w:tcPr>
          <w:p w14:paraId="675CC21F">
            <w:r>
              <w:rPr>
                <w:rStyle w:val="10"/>
                <w:rFonts w:hint="eastAsia"/>
              </w:rPr>
              <w:t>备注：</w:t>
            </w:r>
          </w:p>
        </w:tc>
      </w:tr>
    </w:tbl>
    <w:p w14:paraId="2B9212C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32E627">
        <w:tblPrEx>
          <w:tblCellMar>
            <w:top w:w="0" w:type="dxa"/>
            <w:left w:w="0" w:type="dxa"/>
            <w:bottom w:w="0" w:type="dxa"/>
            <w:right w:w="0" w:type="dxa"/>
          </w:tblCellMar>
        </w:tblPrEx>
        <w:trPr>
          <w:wBefore w:w="0" w:type="auto"/>
          <w:tblCellSpacing w:w="0" w:type="dxa"/>
        </w:trPr>
        <w:tc>
          <w:tcPr>
            <w:tcW w:w="0" w:type="auto"/>
            <w:noWrap w:val="0"/>
            <w:vAlign w:val="center"/>
          </w:tcPr>
          <w:p w14:paraId="0536C1C2">
            <w:r>
              <w:rPr>
                <w:rStyle w:val="10"/>
                <w:rFonts w:hint="eastAsia"/>
              </w:rPr>
              <w:t>登记证号：</w:t>
            </w:r>
            <w:r>
              <w:rPr>
                <w:rFonts w:hint="eastAsia"/>
              </w:rPr>
              <w:t>WP20210376</w:t>
            </w:r>
          </w:p>
        </w:tc>
      </w:tr>
      <w:tr w14:paraId="13358109">
        <w:tblPrEx>
          <w:tblCellMar>
            <w:top w:w="0" w:type="dxa"/>
            <w:left w:w="0" w:type="dxa"/>
            <w:bottom w:w="0" w:type="dxa"/>
            <w:right w:w="0" w:type="dxa"/>
          </w:tblCellMar>
        </w:tblPrEx>
        <w:trPr>
          <w:wBefore w:w="0" w:type="auto"/>
          <w:tblCellSpacing w:w="0" w:type="dxa"/>
        </w:trPr>
        <w:tc>
          <w:tcPr>
            <w:tcW w:w="0" w:type="auto"/>
            <w:noWrap w:val="0"/>
            <w:vAlign w:val="center"/>
          </w:tcPr>
          <w:p w14:paraId="4CF5CCBB">
            <w:r>
              <w:rPr>
                <w:rStyle w:val="10"/>
                <w:rFonts w:hint="eastAsia"/>
              </w:rPr>
              <w:t>登记证持有人：</w:t>
            </w:r>
            <w:r>
              <w:rPr>
                <w:rFonts w:hint="eastAsia"/>
              </w:rPr>
              <w:t>江苏维尤纳特精细化工有限公司</w:t>
            </w:r>
          </w:p>
        </w:tc>
      </w:tr>
      <w:tr w14:paraId="729ED412">
        <w:tblPrEx>
          <w:tblCellMar>
            <w:top w:w="0" w:type="dxa"/>
            <w:left w:w="0" w:type="dxa"/>
            <w:bottom w:w="0" w:type="dxa"/>
            <w:right w:w="0" w:type="dxa"/>
          </w:tblCellMar>
        </w:tblPrEx>
        <w:trPr>
          <w:wBefore w:w="0" w:type="auto"/>
          <w:tblCellSpacing w:w="0" w:type="dxa"/>
        </w:trPr>
        <w:tc>
          <w:tcPr>
            <w:tcW w:w="0" w:type="auto"/>
            <w:noWrap w:val="0"/>
            <w:vAlign w:val="center"/>
          </w:tcPr>
          <w:p w14:paraId="437478F3">
            <w:r>
              <w:rPr>
                <w:rStyle w:val="10"/>
                <w:rFonts w:hint="eastAsia"/>
              </w:rPr>
              <w:t>农药名称：</w:t>
            </w:r>
            <w:r>
              <w:rPr>
                <w:rFonts w:hint="eastAsia"/>
              </w:rPr>
              <w:t>氯菊酯·四氟苯菊酯</w:t>
            </w:r>
          </w:p>
        </w:tc>
      </w:tr>
      <w:tr w14:paraId="4D05ABCA">
        <w:tblPrEx>
          <w:tblCellMar>
            <w:top w:w="0" w:type="dxa"/>
            <w:left w:w="0" w:type="dxa"/>
            <w:bottom w:w="0" w:type="dxa"/>
            <w:right w:w="0" w:type="dxa"/>
          </w:tblCellMar>
        </w:tblPrEx>
        <w:trPr>
          <w:wBefore w:w="0" w:type="auto"/>
          <w:tblCellSpacing w:w="0" w:type="dxa"/>
        </w:trPr>
        <w:tc>
          <w:tcPr>
            <w:tcW w:w="0" w:type="auto"/>
            <w:noWrap w:val="0"/>
            <w:vAlign w:val="center"/>
          </w:tcPr>
          <w:p w14:paraId="7430B8B4">
            <w:r>
              <w:rPr>
                <w:rStyle w:val="10"/>
                <w:rFonts w:hint="eastAsia"/>
              </w:rPr>
              <w:t>剂型：</w:t>
            </w:r>
            <w:r>
              <w:rPr>
                <w:rFonts w:hint="eastAsia"/>
              </w:rPr>
              <w:t>乳油</w:t>
            </w:r>
          </w:p>
        </w:tc>
      </w:tr>
      <w:tr w14:paraId="708A45E9">
        <w:tblPrEx>
          <w:tblCellMar>
            <w:top w:w="0" w:type="dxa"/>
            <w:left w:w="0" w:type="dxa"/>
            <w:bottom w:w="0" w:type="dxa"/>
            <w:right w:w="0" w:type="dxa"/>
          </w:tblCellMar>
        </w:tblPrEx>
        <w:trPr>
          <w:wBefore w:w="0" w:type="auto"/>
          <w:tblCellSpacing w:w="0" w:type="dxa"/>
        </w:trPr>
        <w:tc>
          <w:tcPr>
            <w:tcW w:w="0" w:type="auto"/>
            <w:noWrap w:val="0"/>
            <w:vAlign w:val="center"/>
          </w:tcPr>
          <w:p w14:paraId="0D80627C">
            <w:r>
              <w:rPr>
                <w:rStyle w:val="10"/>
                <w:rFonts w:hint="eastAsia"/>
              </w:rPr>
              <w:t>毒性及其标识：</w:t>
            </w:r>
            <w:r>
              <w:rPr>
                <w:rFonts w:hint="eastAsia"/>
              </w:rPr>
              <w:t xml:space="preserve"> 微毒 </w:t>
            </w:r>
          </w:p>
        </w:tc>
      </w:tr>
      <w:tr w14:paraId="11E07156">
        <w:tblPrEx>
          <w:tblCellMar>
            <w:top w:w="0" w:type="dxa"/>
            <w:left w:w="0" w:type="dxa"/>
            <w:bottom w:w="0" w:type="dxa"/>
            <w:right w:w="0" w:type="dxa"/>
          </w:tblCellMar>
        </w:tblPrEx>
        <w:trPr>
          <w:wBefore w:w="0" w:type="auto"/>
          <w:tblCellSpacing w:w="0" w:type="dxa"/>
        </w:trPr>
        <w:tc>
          <w:tcPr>
            <w:tcW w:w="0" w:type="auto"/>
            <w:noWrap w:val="0"/>
            <w:vAlign w:val="center"/>
          </w:tcPr>
          <w:p w14:paraId="6BE9F203">
            <w:r>
              <w:rPr>
                <w:rStyle w:val="10"/>
                <w:rFonts w:hint="eastAsia"/>
              </w:rPr>
              <w:t>总有效成分含量：</w:t>
            </w:r>
            <w:r>
              <w:rPr>
                <w:rFonts w:hint="eastAsia"/>
              </w:rPr>
              <w:t>12%</w:t>
            </w:r>
          </w:p>
        </w:tc>
      </w:tr>
      <w:tr w14:paraId="58A91B2C">
        <w:tblPrEx>
          <w:tblCellMar>
            <w:top w:w="0" w:type="dxa"/>
            <w:left w:w="0" w:type="dxa"/>
            <w:bottom w:w="0" w:type="dxa"/>
            <w:right w:w="0" w:type="dxa"/>
          </w:tblCellMar>
        </w:tblPrEx>
        <w:trPr>
          <w:wBefore w:w="0" w:type="auto"/>
          <w:tblCellSpacing w:w="0" w:type="dxa"/>
        </w:trPr>
        <w:tc>
          <w:tcPr>
            <w:tcW w:w="0" w:type="auto"/>
            <w:noWrap w:val="0"/>
            <w:vAlign w:val="center"/>
          </w:tcPr>
          <w:p w14:paraId="360B7283">
            <w:r>
              <w:rPr>
                <w:rFonts w:hint="eastAsia"/>
              </w:rPr>
              <w:t xml:space="preserve">有效成分及其含量： </w:t>
            </w:r>
          </w:p>
          <w:p w14:paraId="737A9AE1">
            <w:r>
              <w:rPr>
                <w:rFonts w:hint="eastAsia"/>
              </w:rPr>
              <w:t xml:space="preserve">    氯菊酯10%    四氟苯菊酯2%    </w:t>
            </w:r>
          </w:p>
        </w:tc>
      </w:tr>
      <w:tr w14:paraId="47B31F17">
        <w:tblPrEx>
          <w:tblCellMar>
            <w:top w:w="0" w:type="dxa"/>
            <w:left w:w="0" w:type="dxa"/>
            <w:bottom w:w="0" w:type="dxa"/>
            <w:right w:w="0" w:type="dxa"/>
          </w:tblCellMar>
        </w:tblPrEx>
        <w:trPr>
          <w:wBefore w:w="0" w:type="auto"/>
          <w:tblCellSpacing w:w="0" w:type="dxa"/>
        </w:trPr>
        <w:tc>
          <w:tcPr>
            <w:tcW w:w="0" w:type="auto"/>
            <w:noWrap w:val="0"/>
            <w:vAlign w:val="center"/>
          </w:tcPr>
          <w:p w14:paraId="38CC6A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A505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3FD04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1F80E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E9F76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310778">
                  <w:r>
                    <w:rPr>
                      <w:rStyle w:val="11"/>
                      <w:rFonts w:hint="eastAsia"/>
                    </w:rPr>
                    <w:t>施用方式</w:t>
                  </w:r>
                </w:p>
              </w:tc>
            </w:tr>
            <w:tr w14:paraId="6E01DD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4F490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3E1FD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7A7E7">
                  <w:r>
                    <w:rPr>
                      <w:rStyle w:val="11"/>
                      <w:rFonts w:hint="eastAsia"/>
                    </w:rPr>
                    <w:t>37.5毫升/立方米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7AF37C">
                  <w:r>
                    <w:rPr>
                      <w:rStyle w:val="11"/>
                      <w:rFonts w:hint="eastAsia"/>
                    </w:rPr>
                    <w:t>超低容量喷雾</w:t>
                  </w:r>
                </w:p>
              </w:tc>
            </w:tr>
            <w:tr w14:paraId="056EC9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3B650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E89C48">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20149F">
                  <w:r>
                    <w:rPr>
                      <w:rStyle w:val="11"/>
                      <w:rFonts w:hint="eastAsia"/>
                    </w:rPr>
                    <w:t>37.5毫升/立方米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7B3FA">
                  <w:r>
                    <w:rPr>
                      <w:rStyle w:val="11"/>
                      <w:rFonts w:hint="eastAsia"/>
                    </w:rPr>
                    <w:t>超低容量喷雾</w:t>
                  </w:r>
                </w:p>
              </w:tc>
            </w:tr>
          </w:tbl>
          <w:p w14:paraId="458EF325">
            <w:pPr>
              <w:rPr>
                <w:rFonts w:ascii="Times New Roman" w:hAnsi="Times New Roman" w:cs="Times New Roman"/>
                <w:sz w:val="20"/>
                <w:szCs w:val="20"/>
              </w:rPr>
            </w:pPr>
          </w:p>
        </w:tc>
      </w:tr>
      <w:tr w14:paraId="33708F8B">
        <w:tblPrEx>
          <w:tblCellMar>
            <w:top w:w="0" w:type="dxa"/>
            <w:left w:w="0" w:type="dxa"/>
            <w:bottom w:w="0" w:type="dxa"/>
            <w:right w:w="0" w:type="dxa"/>
          </w:tblCellMar>
        </w:tblPrEx>
        <w:trPr>
          <w:wBefore w:w="0" w:type="auto"/>
          <w:tblCellSpacing w:w="0" w:type="dxa"/>
        </w:trPr>
        <w:tc>
          <w:tcPr>
            <w:tcW w:w="0" w:type="auto"/>
            <w:noWrap w:val="0"/>
            <w:vAlign w:val="center"/>
          </w:tcPr>
          <w:p w14:paraId="4E49C0B4">
            <w:r>
              <w:rPr>
                <w:rStyle w:val="10"/>
                <w:rFonts w:hint="eastAsia"/>
              </w:rPr>
              <w:t>使用技术要求:</w:t>
            </w:r>
            <w:r>
              <w:rPr>
                <w:rFonts w:hint="eastAsia"/>
              </w:rPr>
              <w:br w:type="textWrapping"/>
            </w:r>
            <w:r>
              <w:rPr>
                <w:rStyle w:val="11"/>
                <w:rFonts w:hint="eastAsia"/>
              </w:rPr>
              <w:t>1. 本品兑水稀释20倍进行超低容量喷雾。 2. 用于家居、酒店、办公室、商店等室内场所。喷洒前关闭门窗，喷洒后，人、畜请立刻离开房间，关闭房间，20分钟后打开门窗充分通风后方可再次进入。</w:t>
            </w:r>
          </w:p>
        </w:tc>
      </w:tr>
      <w:tr w14:paraId="5F46ECFE">
        <w:tblPrEx>
          <w:tblCellMar>
            <w:top w:w="0" w:type="dxa"/>
            <w:left w:w="0" w:type="dxa"/>
            <w:bottom w:w="0" w:type="dxa"/>
            <w:right w:w="0" w:type="dxa"/>
          </w:tblCellMar>
        </w:tblPrEx>
        <w:trPr>
          <w:wBefore w:w="0" w:type="auto"/>
          <w:tblCellSpacing w:w="0" w:type="dxa"/>
        </w:trPr>
        <w:tc>
          <w:tcPr>
            <w:tcW w:w="0" w:type="auto"/>
            <w:noWrap w:val="0"/>
            <w:vAlign w:val="center"/>
          </w:tcPr>
          <w:p w14:paraId="0B3DA61C">
            <w:r>
              <w:rPr>
                <w:rStyle w:val="10"/>
                <w:rFonts w:hint="eastAsia"/>
              </w:rPr>
              <w:t>产品性能:</w:t>
            </w:r>
            <w:r>
              <w:rPr>
                <w:rFonts w:hint="eastAsia"/>
              </w:rPr>
              <w:br w:type="textWrapping"/>
            </w:r>
            <w:r>
              <w:rPr>
                <w:rStyle w:val="11"/>
                <w:rFonts w:hint="eastAsia"/>
              </w:rPr>
              <w:t>产品外观为浅黄色透明液体，是一种新型拟除虫菊酯类复配卫生杀虫剂，能有效防治蚊、蝇、蜚蠊卫生害虫。适用于酒店、宾馆、商业娱乐场所、建筑地、养殖场等面积较大的室内场所；以及地下室、仓库、下水道等相对密闭或不易直接施药的室内场所使用。仅限专业人员使用。</w:t>
            </w:r>
          </w:p>
        </w:tc>
      </w:tr>
      <w:tr w14:paraId="7BB4AA43">
        <w:tblPrEx>
          <w:tblCellMar>
            <w:top w:w="0" w:type="dxa"/>
            <w:left w:w="0" w:type="dxa"/>
            <w:bottom w:w="0" w:type="dxa"/>
            <w:right w:w="0" w:type="dxa"/>
          </w:tblCellMar>
        </w:tblPrEx>
        <w:trPr>
          <w:wBefore w:w="0" w:type="auto"/>
          <w:tblCellSpacing w:w="0" w:type="dxa"/>
        </w:trPr>
        <w:tc>
          <w:tcPr>
            <w:tcW w:w="0" w:type="auto"/>
            <w:noWrap w:val="0"/>
            <w:vAlign w:val="center"/>
          </w:tcPr>
          <w:p w14:paraId="1BE8E7E7">
            <w:r>
              <w:rPr>
                <w:rStyle w:val="10"/>
                <w:rFonts w:hint="eastAsia"/>
              </w:rPr>
              <w:t>注意事项：</w:t>
            </w:r>
            <w:r>
              <w:rPr>
                <w:rFonts w:hint="eastAsia"/>
              </w:rPr>
              <w:br w:type="textWrapping"/>
            </w:r>
            <w:r>
              <w:rPr>
                <w:rStyle w:val="11"/>
                <w:rFonts w:hint="eastAsia"/>
              </w:rPr>
              <w:t>1）本品仅用于室内。使用本品时应采取安全防护措施，穿戴防护服、口罩和手套等，避免药雾吸入和接触眼睛；施药期间不可吃东西和饮水；喷药后及时脱下衣服，用肥皂水冲洗裸露部位皮肤。 2）本品对鱼类、家蚕有毒，在蚕室、桑园及其附近禁用。远离水产养殖区及河塘等水域施药，禁止在河塘等水体中清洗施药器具。 3）切勿向人体、食物喷洒。4）用过的包装物应妥善处理，不可做它用，也不可随意丢弃。5）敏感体质人士、孕妇及哺乳期妇女请远离本品。过敏者禁用。使用中有任何不良反应，请及时就医。</w:t>
            </w:r>
          </w:p>
        </w:tc>
      </w:tr>
      <w:tr w14:paraId="1465A7F1">
        <w:tblPrEx>
          <w:tblCellMar>
            <w:top w:w="0" w:type="dxa"/>
            <w:left w:w="0" w:type="dxa"/>
            <w:bottom w:w="0" w:type="dxa"/>
            <w:right w:w="0" w:type="dxa"/>
          </w:tblCellMar>
        </w:tblPrEx>
        <w:trPr>
          <w:wBefore w:w="0" w:type="auto"/>
          <w:tblCellSpacing w:w="0" w:type="dxa"/>
        </w:trPr>
        <w:tc>
          <w:tcPr>
            <w:tcW w:w="0" w:type="auto"/>
            <w:noWrap w:val="0"/>
            <w:vAlign w:val="center"/>
          </w:tcPr>
          <w:p w14:paraId="3291FF0A">
            <w:r>
              <w:rPr>
                <w:rStyle w:val="10"/>
                <w:rFonts w:hint="eastAsia"/>
              </w:rPr>
              <w:t>中毒急救措施：</w:t>
            </w:r>
            <w:r>
              <w:rPr>
                <w:rFonts w:hint="eastAsia"/>
              </w:rPr>
              <w:br w:type="textWrapping"/>
            </w:r>
            <w:r>
              <w:rPr>
                <w:rStyle w:val="11"/>
                <w:rFonts w:hint="eastAsia"/>
              </w:rPr>
              <w:t>中毒症状：呕吐、抽搐、瞳孔缩小、惊厥、呼吸麻痹等。 急救措施：使用中或使用后如果感觉不适，应立即停止工作，采取急救措施，并携带标签送医院就诊。 皮肤接触：脱去污染的衣物，用软布去除污染农药，立即用大量清水和肥皂冲洗。 眼睛溅入：立即用流动清水冲洗不少于15分钟。 吸 入：立即离开施药现场，转移到空气清新处。 误 食：立即停止服用，用清水充分漱口后，立即携带农药标签到医院就诊。</w:t>
            </w:r>
          </w:p>
        </w:tc>
      </w:tr>
      <w:tr w14:paraId="63530964">
        <w:tblPrEx>
          <w:tblCellMar>
            <w:top w:w="0" w:type="dxa"/>
            <w:left w:w="0" w:type="dxa"/>
            <w:bottom w:w="0" w:type="dxa"/>
            <w:right w:w="0" w:type="dxa"/>
          </w:tblCellMar>
        </w:tblPrEx>
        <w:trPr>
          <w:wBefore w:w="0" w:type="auto"/>
          <w:tblCellSpacing w:w="0" w:type="dxa"/>
        </w:trPr>
        <w:tc>
          <w:tcPr>
            <w:tcW w:w="0" w:type="auto"/>
            <w:noWrap w:val="0"/>
            <w:vAlign w:val="center"/>
          </w:tcPr>
          <w:p w14:paraId="5D38259A">
            <w:r>
              <w:rPr>
                <w:rStyle w:val="10"/>
                <w:rFonts w:hint="eastAsia"/>
              </w:rPr>
              <w:t>储存和运输方法：</w:t>
            </w:r>
            <w:r>
              <w:rPr>
                <w:rFonts w:hint="eastAsia"/>
              </w:rPr>
              <w:br w:type="textWrapping"/>
            </w:r>
            <w:r>
              <w:rPr>
                <w:rStyle w:val="11"/>
                <w:rFonts w:hint="eastAsia"/>
              </w:rPr>
              <w:t>本品应贮存于阴凉、干燥、通风、避光处，远离火源或热源存放，置于儿童接触不到的地方，并加锁保管。 运输时，请防雨淋、高温，注意轻拿轻放，不得损坏包装。不能与食品、饮料、粮食、饲料等混合储运。</w:t>
            </w:r>
          </w:p>
        </w:tc>
      </w:tr>
      <w:tr w14:paraId="1CBE58A4">
        <w:tblPrEx>
          <w:tblCellMar>
            <w:top w:w="0" w:type="dxa"/>
            <w:left w:w="0" w:type="dxa"/>
            <w:bottom w:w="0" w:type="dxa"/>
            <w:right w:w="0" w:type="dxa"/>
          </w:tblCellMar>
        </w:tblPrEx>
        <w:trPr>
          <w:wBefore w:w="0" w:type="auto"/>
          <w:tblCellSpacing w:w="0" w:type="dxa"/>
        </w:trPr>
        <w:tc>
          <w:tcPr>
            <w:tcW w:w="0" w:type="auto"/>
            <w:noWrap w:val="0"/>
            <w:vAlign w:val="center"/>
          </w:tcPr>
          <w:p w14:paraId="34C2635A">
            <w:r>
              <w:rPr>
                <w:rStyle w:val="10"/>
                <w:rFonts w:hint="eastAsia"/>
              </w:rPr>
              <w:t>质量保证期：</w:t>
            </w:r>
            <w:r>
              <w:rPr>
                <w:rStyle w:val="11"/>
                <w:rFonts w:hint="eastAsia"/>
              </w:rPr>
              <w:t>2年</w:t>
            </w:r>
          </w:p>
        </w:tc>
      </w:tr>
      <w:tr w14:paraId="6BC6C8B6">
        <w:tblPrEx>
          <w:tblCellMar>
            <w:top w:w="0" w:type="dxa"/>
            <w:left w:w="0" w:type="dxa"/>
            <w:bottom w:w="0" w:type="dxa"/>
            <w:right w:w="0" w:type="dxa"/>
          </w:tblCellMar>
        </w:tblPrEx>
        <w:trPr>
          <w:wBefore w:w="0" w:type="auto"/>
          <w:tblCellSpacing w:w="0" w:type="dxa"/>
        </w:trPr>
        <w:tc>
          <w:tcPr>
            <w:tcW w:w="0" w:type="auto"/>
            <w:noWrap w:val="0"/>
            <w:vAlign w:val="center"/>
          </w:tcPr>
          <w:p w14:paraId="2BB0E712">
            <w:r>
              <w:rPr>
                <w:rStyle w:val="10"/>
                <w:rFonts w:hint="eastAsia"/>
              </w:rPr>
              <w:t>备注：</w:t>
            </w:r>
          </w:p>
        </w:tc>
      </w:tr>
    </w:tbl>
    <w:p w14:paraId="442F3F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E0F62C">
        <w:tblPrEx>
          <w:tblCellMar>
            <w:top w:w="0" w:type="dxa"/>
            <w:left w:w="0" w:type="dxa"/>
            <w:bottom w:w="0" w:type="dxa"/>
            <w:right w:w="0" w:type="dxa"/>
          </w:tblCellMar>
        </w:tblPrEx>
        <w:trPr>
          <w:wBefore w:w="0" w:type="auto"/>
          <w:tblCellSpacing w:w="0" w:type="dxa"/>
        </w:trPr>
        <w:tc>
          <w:tcPr>
            <w:tcW w:w="0" w:type="auto"/>
            <w:noWrap w:val="0"/>
            <w:vAlign w:val="center"/>
          </w:tcPr>
          <w:p w14:paraId="1C5D7D0C">
            <w:r>
              <w:rPr>
                <w:rStyle w:val="10"/>
                <w:rFonts w:hint="eastAsia"/>
              </w:rPr>
              <w:t>登记证号：</w:t>
            </w:r>
            <w:r>
              <w:rPr>
                <w:rFonts w:hint="eastAsia"/>
              </w:rPr>
              <w:t>WP20210385</w:t>
            </w:r>
          </w:p>
        </w:tc>
      </w:tr>
      <w:tr w14:paraId="7C859F81">
        <w:tblPrEx>
          <w:tblCellMar>
            <w:top w:w="0" w:type="dxa"/>
            <w:left w:w="0" w:type="dxa"/>
            <w:bottom w:w="0" w:type="dxa"/>
            <w:right w:w="0" w:type="dxa"/>
          </w:tblCellMar>
        </w:tblPrEx>
        <w:trPr>
          <w:wBefore w:w="0" w:type="auto"/>
          <w:tblCellSpacing w:w="0" w:type="dxa"/>
        </w:trPr>
        <w:tc>
          <w:tcPr>
            <w:tcW w:w="0" w:type="auto"/>
            <w:noWrap w:val="0"/>
            <w:vAlign w:val="center"/>
          </w:tcPr>
          <w:p w14:paraId="1E00A787">
            <w:r>
              <w:rPr>
                <w:rStyle w:val="10"/>
                <w:rFonts w:hint="eastAsia"/>
              </w:rPr>
              <w:t>登记证持有人：</w:t>
            </w:r>
            <w:r>
              <w:rPr>
                <w:rFonts w:hint="eastAsia"/>
              </w:rPr>
              <w:t>福建省金鹿日化股份有限公司</w:t>
            </w:r>
          </w:p>
        </w:tc>
      </w:tr>
      <w:tr w14:paraId="6ACA42EF">
        <w:tblPrEx>
          <w:tblCellMar>
            <w:top w:w="0" w:type="dxa"/>
            <w:left w:w="0" w:type="dxa"/>
            <w:bottom w:w="0" w:type="dxa"/>
            <w:right w:w="0" w:type="dxa"/>
          </w:tblCellMar>
        </w:tblPrEx>
        <w:trPr>
          <w:wBefore w:w="0" w:type="auto"/>
          <w:tblCellSpacing w:w="0" w:type="dxa"/>
        </w:trPr>
        <w:tc>
          <w:tcPr>
            <w:tcW w:w="0" w:type="auto"/>
            <w:noWrap w:val="0"/>
            <w:vAlign w:val="center"/>
          </w:tcPr>
          <w:p w14:paraId="0F930B0A">
            <w:r>
              <w:rPr>
                <w:rStyle w:val="10"/>
                <w:rFonts w:hint="eastAsia"/>
              </w:rPr>
              <w:t>农药名称：</w:t>
            </w:r>
            <w:r>
              <w:rPr>
                <w:rFonts w:hint="eastAsia"/>
              </w:rPr>
              <w:t>驱蚊液</w:t>
            </w:r>
          </w:p>
        </w:tc>
      </w:tr>
      <w:tr w14:paraId="7511AF42">
        <w:tblPrEx>
          <w:tblCellMar>
            <w:top w:w="0" w:type="dxa"/>
            <w:left w:w="0" w:type="dxa"/>
            <w:bottom w:w="0" w:type="dxa"/>
            <w:right w:w="0" w:type="dxa"/>
          </w:tblCellMar>
        </w:tblPrEx>
        <w:trPr>
          <w:wBefore w:w="0" w:type="auto"/>
          <w:tblCellSpacing w:w="0" w:type="dxa"/>
        </w:trPr>
        <w:tc>
          <w:tcPr>
            <w:tcW w:w="0" w:type="auto"/>
            <w:noWrap w:val="0"/>
            <w:vAlign w:val="center"/>
          </w:tcPr>
          <w:p w14:paraId="17962307">
            <w:r>
              <w:rPr>
                <w:rStyle w:val="10"/>
                <w:rFonts w:hint="eastAsia"/>
              </w:rPr>
              <w:t>剂型：</w:t>
            </w:r>
            <w:r>
              <w:rPr>
                <w:rFonts w:hint="eastAsia"/>
              </w:rPr>
              <w:t>驱蚊液</w:t>
            </w:r>
          </w:p>
        </w:tc>
      </w:tr>
      <w:tr w14:paraId="6CAF5BF4">
        <w:tblPrEx>
          <w:tblCellMar>
            <w:top w:w="0" w:type="dxa"/>
            <w:left w:w="0" w:type="dxa"/>
            <w:bottom w:w="0" w:type="dxa"/>
            <w:right w:w="0" w:type="dxa"/>
          </w:tblCellMar>
        </w:tblPrEx>
        <w:trPr>
          <w:wBefore w:w="0" w:type="auto"/>
          <w:tblCellSpacing w:w="0" w:type="dxa"/>
        </w:trPr>
        <w:tc>
          <w:tcPr>
            <w:tcW w:w="0" w:type="auto"/>
            <w:noWrap w:val="0"/>
            <w:vAlign w:val="center"/>
          </w:tcPr>
          <w:p w14:paraId="0B874A09">
            <w:r>
              <w:rPr>
                <w:rStyle w:val="10"/>
                <w:rFonts w:hint="eastAsia"/>
              </w:rPr>
              <w:t>毒性及其标识：</w:t>
            </w:r>
            <w:r>
              <w:rPr>
                <w:rFonts w:hint="eastAsia"/>
              </w:rPr>
              <w:t xml:space="preserve"> 微毒 </w:t>
            </w:r>
          </w:p>
        </w:tc>
      </w:tr>
      <w:tr w14:paraId="7D1A54D9">
        <w:tblPrEx>
          <w:tblCellMar>
            <w:top w:w="0" w:type="dxa"/>
            <w:left w:w="0" w:type="dxa"/>
            <w:bottom w:w="0" w:type="dxa"/>
            <w:right w:w="0" w:type="dxa"/>
          </w:tblCellMar>
        </w:tblPrEx>
        <w:trPr>
          <w:wBefore w:w="0" w:type="auto"/>
          <w:tblCellSpacing w:w="0" w:type="dxa"/>
        </w:trPr>
        <w:tc>
          <w:tcPr>
            <w:tcW w:w="0" w:type="auto"/>
            <w:noWrap w:val="0"/>
            <w:vAlign w:val="center"/>
          </w:tcPr>
          <w:p w14:paraId="3972744C">
            <w:r>
              <w:rPr>
                <w:rStyle w:val="10"/>
                <w:rFonts w:hint="eastAsia"/>
              </w:rPr>
              <w:t>总有效成分含量：</w:t>
            </w:r>
            <w:r>
              <w:rPr>
                <w:rFonts w:hint="eastAsia"/>
              </w:rPr>
              <w:t>20%</w:t>
            </w:r>
          </w:p>
        </w:tc>
      </w:tr>
      <w:tr w14:paraId="6514EA08">
        <w:tblPrEx>
          <w:tblCellMar>
            <w:top w:w="0" w:type="dxa"/>
            <w:left w:w="0" w:type="dxa"/>
            <w:bottom w:w="0" w:type="dxa"/>
            <w:right w:w="0" w:type="dxa"/>
          </w:tblCellMar>
        </w:tblPrEx>
        <w:trPr>
          <w:wBefore w:w="0" w:type="auto"/>
          <w:tblCellSpacing w:w="0" w:type="dxa"/>
        </w:trPr>
        <w:tc>
          <w:tcPr>
            <w:tcW w:w="0" w:type="auto"/>
            <w:noWrap w:val="0"/>
            <w:vAlign w:val="center"/>
          </w:tcPr>
          <w:p w14:paraId="2C133650">
            <w:r>
              <w:rPr>
                <w:rFonts w:hint="eastAsia"/>
              </w:rPr>
              <w:t xml:space="preserve">有效成分及其含量： </w:t>
            </w:r>
          </w:p>
          <w:p w14:paraId="317229DA">
            <w:r>
              <w:rPr>
                <w:rFonts w:hint="eastAsia"/>
              </w:rPr>
              <w:t xml:space="preserve">    羟哌酯20%    </w:t>
            </w:r>
          </w:p>
        </w:tc>
      </w:tr>
      <w:tr w14:paraId="43CD4DBD">
        <w:tblPrEx>
          <w:tblCellMar>
            <w:top w:w="0" w:type="dxa"/>
            <w:left w:w="0" w:type="dxa"/>
            <w:bottom w:w="0" w:type="dxa"/>
            <w:right w:w="0" w:type="dxa"/>
          </w:tblCellMar>
        </w:tblPrEx>
        <w:trPr>
          <w:wBefore w:w="0" w:type="auto"/>
          <w:tblCellSpacing w:w="0" w:type="dxa"/>
        </w:trPr>
        <w:tc>
          <w:tcPr>
            <w:tcW w:w="0" w:type="auto"/>
            <w:noWrap w:val="0"/>
            <w:vAlign w:val="center"/>
          </w:tcPr>
          <w:p w14:paraId="058CBC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7AE4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F891F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5117C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FF07B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E4988B">
                  <w:r>
                    <w:rPr>
                      <w:rStyle w:val="11"/>
                      <w:rFonts w:hint="eastAsia"/>
                    </w:rPr>
                    <w:t>施用方式</w:t>
                  </w:r>
                </w:p>
              </w:tc>
            </w:tr>
            <w:tr w14:paraId="4D6CB7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02402C">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9B8D7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BDBD6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328213">
                  <w:r>
                    <w:rPr>
                      <w:rStyle w:val="11"/>
                      <w:rFonts w:hint="eastAsia"/>
                    </w:rPr>
                    <w:t>涂抹</w:t>
                  </w:r>
                </w:p>
              </w:tc>
            </w:tr>
          </w:tbl>
          <w:p w14:paraId="43E8EDFF">
            <w:pPr>
              <w:rPr>
                <w:rFonts w:ascii="Times New Roman" w:hAnsi="Times New Roman" w:cs="Times New Roman"/>
                <w:sz w:val="20"/>
                <w:szCs w:val="20"/>
              </w:rPr>
            </w:pPr>
          </w:p>
        </w:tc>
      </w:tr>
      <w:tr w14:paraId="2FF8D1EC">
        <w:tblPrEx>
          <w:tblCellMar>
            <w:top w:w="0" w:type="dxa"/>
            <w:left w:w="0" w:type="dxa"/>
            <w:bottom w:w="0" w:type="dxa"/>
            <w:right w:w="0" w:type="dxa"/>
          </w:tblCellMar>
        </w:tblPrEx>
        <w:trPr>
          <w:wBefore w:w="0" w:type="auto"/>
          <w:tblCellSpacing w:w="0" w:type="dxa"/>
        </w:trPr>
        <w:tc>
          <w:tcPr>
            <w:tcW w:w="0" w:type="auto"/>
            <w:noWrap w:val="0"/>
            <w:vAlign w:val="center"/>
          </w:tcPr>
          <w:p w14:paraId="54D0BE09">
            <w:r>
              <w:rPr>
                <w:rStyle w:val="10"/>
                <w:rFonts w:hint="eastAsia"/>
              </w:rPr>
              <w:t>使用技术要求:</w:t>
            </w:r>
            <w:r>
              <w:rPr>
                <w:rFonts w:hint="eastAsia"/>
              </w:rPr>
              <w:br w:type="textWrapping"/>
            </w:r>
            <w:r>
              <w:rPr>
                <w:rStyle w:val="11"/>
                <w:rFonts w:hint="eastAsia"/>
              </w:rPr>
              <w:t xml:space="preserve">直接涂抹于裸露的肌肤，涂抹后能有效驱蚊防蚊。 </w:t>
            </w:r>
          </w:p>
        </w:tc>
      </w:tr>
      <w:tr w14:paraId="7FB71520">
        <w:tblPrEx>
          <w:tblCellMar>
            <w:top w:w="0" w:type="dxa"/>
            <w:left w:w="0" w:type="dxa"/>
            <w:bottom w:w="0" w:type="dxa"/>
            <w:right w:w="0" w:type="dxa"/>
          </w:tblCellMar>
        </w:tblPrEx>
        <w:trPr>
          <w:wBefore w:w="0" w:type="auto"/>
          <w:tblCellSpacing w:w="0" w:type="dxa"/>
        </w:trPr>
        <w:tc>
          <w:tcPr>
            <w:tcW w:w="0" w:type="auto"/>
            <w:noWrap w:val="0"/>
            <w:vAlign w:val="center"/>
          </w:tcPr>
          <w:p w14:paraId="1AC17CA9">
            <w:r>
              <w:rPr>
                <w:rStyle w:val="10"/>
                <w:rFonts w:hint="eastAsia"/>
              </w:rPr>
              <w:t>产品性能:</w:t>
            </w:r>
            <w:r>
              <w:rPr>
                <w:rFonts w:hint="eastAsia"/>
              </w:rPr>
              <w:br w:type="textWrapping"/>
            </w:r>
            <w:r>
              <w:rPr>
                <w:rStyle w:val="11"/>
                <w:rFonts w:hint="eastAsia"/>
              </w:rPr>
              <w:t xml:space="preserve">本品含德国进口羟哌酯有效成分，能有效驱蚊防蚊，是居家、旅行、户外活动、劳保必备防蚊用品。温和配方，不刺激皮肤，通过皮肤刺激性试验，对皮肤无刺激性。 </w:t>
            </w:r>
          </w:p>
        </w:tc>
      </w:tr>
      <w:tr w14:paraId="0CFAF108">
        <w:tblPrEx>
          <w:tblCellMar>
            <w:top w:w="0" w:type="dxa"/>
            <w:left w:w="0" w:type="dxa"/>
            <w:bottom w:w="0" w:type="dxa"/>
            <w:right w:w="0" w:type="dxa"/>
          </w:tblCellMar>
        </w:tblPrEx>
        <w:trPr>
          <w:wBefore w:w="0" w:type="auto"/>
          <w:tblCellSpacing w:w="0" w:type="dxa"/>
        </w:trPr>
        <w:tc>
          <w:tcPr>
            <w:tcW w:w="0" w:type="auto"/>
            <w:noWrap w:val="0"/>
            <w:vAlign w:val="center"/>
          </w:tcPr>
          <w:p w14:paraId="7573775C">
            <w:r>
              <w:rPr>
                <w:rStyle w:val="10"/>
                <w:rFonts w:hint="eastAsia"/>
              </w:rPr>
              <w:t>注意事项：</w:t>
            </w:r>
            <w:r>
              <w:rPr>
                <w:rFonts w:hint="eastAsia"/>
              </w:rPr>
              <w:br w:type="textWrapping"/>
            </w:r>
            <w:r>
              <w:rPr>
                <w:rStyle w:val="11"/>
                <w:rFonts w:hint="eastAsia"/>
              </w:rPr>
              <w:t>1.请勿与口、皮肤破损处等接触，本品对眼睛有刺激性，使用时避免接触眼睛。 2.用后洗手； 3.对鱼、蚕有毒，蚕室及其附近禁用，用后请洗手； 4.远离儿童，置于儿童接触不到的地方； 5.注意防火安全，本品含有易燃物，切勿接近火源使用； 6.本品含酒精，过敏者禁用，使用中有任何不良反应请及时就医。 7. 孕妇及哺乳期妇女禁止接触。</w:t>
            </w:r>
          </w:p>
        </w:tc>
      </w:tr>
      <w:tr w14:paraId="39D1F8F8">
        <w:tblPrEx>
          <w:tblCellMar>
            <w:top w:w="0" w:type="dxa"/>
            <w:left w:w="0" w:type="dxa"/>
            <w:bottom w:w="0" w:type="dxa"/>
            <w:right w:w="0" w:type="dxa"/>
          </w:tblCellMar>
        </w:tblPrEx>
        <w:trPr>
          <w:wBefore w:w="0" w:type="auto"/>
          <w:tblCellSpacing w:w="0" w:type="dxa"/>
        </w:trPr>
        <w:tc>
          <w:tcPr>
            <w:tcW w:w="0" w:type="auto"/>
            <w:noWrap w:val="0"/>
            <w:vAlign w:val="center"/>
          </w:tcPr>
          <w:p w14:paraId="4FF5EA6F">
            <w:r>
              <w:rPr>
                <w:rStyle w:val="10"/>
                <w:rFonts w:hint="eastAsia"/>
              </w:rPr>
              <w:t>中毒急救措施：</w:t>
            </w:r>
            <w:r>
              <w:rPr>
                <w:rFonts w:hint="eastAsia"/>
              </w:rPr>
              <w:br w:type="textWrapping"/>
            </w:r>
            <w:r>
              <w:rPr>
                <w:rStyle w:val="11"/>
                <w:rFonts w:hint="eastAsia"/>
              </w:rPr>
              <w:t>1.误食、吸入不适或使用中有任何不良反应请及时就医，对症治疗。 2.不慎溅入眼睛及皮肤破损处，应用大量清水冲洗至少15分钟并就医。</w:t>
            </w:r>
          </w:p>
        </w:tc>
      </w:tr>
      <w:tr w14:paraId="128F3D1C">
        <w:tblPrEx>
          <w:tblCellMar>
            <w:top w:w="0" w:type="dxa"/>
            <w:left w:w="0" w:type="dxa"/>
            <w:bottom w:w="0" w:type="dxa"/>
            <w:right w:w="0" w:type="dxa"/>
          </w:tblCellMar>
        </w:tblPrEx>
        <w:trPr>
          <w:wBefore w:w="0" w:type="auto"/>
          <w:tblCellSpacing w:w="0" w:type="dxa"/>
        </w:trPr>
        <w:tc>
          <w:tcPr>
            <w:tcW w:w="0" w:type="auto"/>
            <w:noWrap w:val="0"/>
            <w:vAlign w:val="center"/>
          </w:tcPr>
          <w:p w14:paraId="2131283C">
            <w:r>
              <w:rPr>
                <w:rStyle w:val="10"/>
                <w:rFonts w:hint="eastAsia"/>
              </w:rPr>
              <w:t>储存和运输方法：</w:t>
            </w:r>
            <w:r>
              <w:rPr>
                <w:rFonts w:hint="eastAsia"/>
              </w:rPr>
              <w:br w:type="textWrapping"/>
            </w:r>
            <w:r>
              <w:rPr>
                <w:rStyle w:val="11"/>
                <w:rFonts w:hint="eastAsia"/>
              </w:rPr>
              <w:t>1.本品应存放于阴凉、干燥及儿童未能触及处；本品属易燃液体，远离火源或热源； 2.搬运时要轻取轻放，防止剧烈震动、日晒、雨淋和重压，不得倒置； 3.不能与食物、饮料、粮食、种子、饲料或易燃易爆品等混合贮存运输。</w:t>
            </w:r>
          </w:p>
        </w:tc>
      </w:tr>
      <w:tr w14:paraId="02662390">
        <w:tblPrEx>
          <w:tblCellMar>
            <w:top w:w="0" w:type="dxa"/>
            <w:left w:w="0" w:type="dxa"/>
            <w:bottom w:w="0" w:type="dxa"/>
            <w:right w:w="0" w:type="dxa"/>
          </w:tblCellMar>
        </w:tblPrEx>
        <w:trPr>
          <w:wBefore w:w="0" w:type="auto"/>
          <w:tblCellSpacing w:w="0" w:type="dxa"/>
        </w:trPr>
        <w:tc>
          <w:tcPr>
            <w:tcW w:w="0" w:type="auto"/>
            <w:noWrap w:val="0"/>
            <w:vAlign w:val="center"/>
          </w:tcPr>
          <w:p w14:paraId="04A8F89C">
            <w:r>
              <w:rPr>
                <w:rStyle w:val="10"/>
                <w:rFonts w:hint="eastAsia"/>
              </w:rPr>
              <w:t>质量保证期：</w:t>
            </w:r>
            <w:r>
              <w:rPr>
                <w:rStyle w:val="11"/>
                <w:rFonts w:hint="eastAsia"/>
              </w:rPr>
              <w:t>3年</w:t>
            </w:r>
          </w:p>
        </w:tc>
      </w:tr>
      <w:tr w14:paraId="32ADC3B2">
        <w:tblPrEx>
          <w:tblCellMar>
            <w:top w:w="0" w:type="dxa"/>
            <w:left w:w="0" w:type="dxa"/>
            <w:bottom w:w="0" w:type="dxa"/>
            <w:right w:w="0" w:type="dxa"/>
          </w:tblCellMar>
        </w:tblPrEx>
        <w:trPr>
          <w:wBefore w:w="0" w:type="auto"/>
          <w:tblCellSpacing w:w="0" w:type="dxa"/>
        </w:trPr>
        <w:tc>
          <w:tcPr>
            <w:tcW w:w="0" w:type="auto"/>
            <w:noWrap w:val="0"/>
            <w:vAlign w:val="center"/>
          </w:tcPr>
          <w:p w14:paraId="0B0424D6">
            <w:r>
              <w:rPr>
                <w:rStyle w:val="10"/>
                <w:rFonts w:hint="eastAsia"/>
              </w:rPr>
              <w:t>备注：</w:t>
            </w:r>
          </w:p>
        </w:tc>
      </w:tr>
    </w:tbl>
    <w:p w14:paraId="189D93A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F36785">
        <w:tblPrEx>
          <w:tblCellMar>
            <w:top w:w="0" w:type="dxa"/>
            <w:left w:w="0" w:type="dxa"/>
            <w:bottom w:w="0" w:type="dxa"/>
            <w:right w:w="0" w:type="dxa"/>
          </w:tblCellMar>
        </w:tblPrEx>
        <w:trPr>
          <w:wBefore w:w="0" w:type="auto"/>
          <w:tblCellSpacing w:w="0" w:type="dxa"/>
        </w:trPr>
        <w:tc>
          <w:tcPr>
            <w:tcW w:w="0" w:type="auto"/>
            <w:noWrap w:val="0"/>
            <w:vAlign w:val="center"/>
          </w:tcPr>
          <w:p w14:paraId="317636B9">
            <w:r>
              <w:rPr>
                <w:rStyle w:val="10"/>
                <w:rFonts w:hint="eastAsia"/>
              </w:rPr>
              <w:t>登记证号：</w:t>
            </w:r>
            <w:r>
              <w:rPr>
                <w:rFonts w:hint="eastAsia"/>
              </w:rPr>
              <w:t>PD20212742</w:t>
            </w:r>
          </w:p>
        </w:tc>
      </w:tr>
      <w:tr w14:paraId="25989757">
        <w:tblPrEx>
          <w:tblCellMar>
            <w:top w:w="0" w:type="dxa"/>
            <w:left w:w="0" w:type="dxa"/>
            <w:bottom w:w="0" w:type="dxa"/>
            <w:right w:w="0" w:type="dxa"/>
          </w:tblCellMar>
        </w:tblPrEx>
        <w:trPr>
          <w:wBefore w:w="0" w:type="auto"/>
          <w:tblCellSpacing w:w="0" w:type="dxa"/>
        </w:trPr>
        <w:tc>
          <w:tcPr>
            <w:tcW w:w="0" w:type="auto"/>
            <w:noWrap w:val="0"/>
            <w:vAlign w:val="center"/>
          </w:tcPr>
          <w:p w14:paraId="3E94AE12">
            <w:r>
              <w:rPr>
                <w:rStyle w:val="10"/>
                <w:rFonts w:hint="eastAsia"/>
              </w:rPr>
              <w:t>登记证持有人：</w:t>
            </w:r>
            <w:r>
              <w:rPr>
                <w:rFonts w:hint="eastAsia"/>
              </w:rPr>
              <w:t>许昌市建安区昌盛日化实业有限公司</w:t>
            </w:r>
          </w:p>
        </w:tc>
      </w:tr>
      <w:tr w14:paraId="0A61BBAD">
        <w:tblPrEx>
          <w:tblCellMar>
            <w:top w:w="0" w:type="dxa"/>
            <w:left w:w="0" w:type="dxa"/>
            <w:bottom w:w="0" w:type="dxa"/>
            <w:right w:w="0" w:type="dxa"/>
          </w:tblCellMar>
        </w:tblPrEx>
        <w:trPr>
          <w:wBefore w:w="0" w:type="auto"/>
          <w:tblCellSpacing w:w="0" w:type="dxa"/>
        </w:trPr>
        <w:tc>
          <w:tcPr>
            <w:tcW w:w="0" w:type="auto"/>
            <w:noWrap w:val="0"/>
            <w:vAlign w:val="center"/>
          </w:tcPr>
          <w:p w14:paraId="65CBD842">
            <w:r>
              <w:rPr>
                <w:rStyle w:val="10"/>
                <w:rFonts w:hint="eastAsia"/>
              </w:rPr>
              <w:t>农药名称：</w:t>
            </w:r>
            <w:r>
              <w:rPr>
                <w:rFonts w:hint="eastAsia"/>
              </w:rPr>
              <w:t>三十烷醇</w:t>
            </w:r>
          </w:p>
        </w:tc>
      </w:tr>
      <w:tr w14:paraId="70E2B60E">
        <w:tblPrEx>
          <w:tblCellMar>
            <w:top w:w="0" w:type="dxa"/>
            <w:left w:w="0" w:type="dxa"/>
            <w:bottom w:w="0" w:type="dxa"/>
            <w:right w:w="0" w:type="dxa"/>
          </w:tblCellMar>
        </w:tblPrEx>
        <w:trPr>
          <w:wBefore w:w="0" w:type="auto"/>
          <w:tblCellSpacing w:w="0" w:type="dxa"/>
        </w:trPr>
        <w:tc>
          <w:tcPr>
            <w:tcW w:w="0" w:type="auto"/>
            <w:noWrap w:val="0"/>
            <w:vAlign w:val="center"/>
          </w:tcPr>
          <w:p w14:paraId="47D80481">
            <w:r>
              <w:rPr>
                <w:rStyle w:val="10"/>
                <w:rFonts w:hint="eastAsia"/>
              </w:rPr>
              <w:t>剂型：</w:t>
            </w:r>
            <w:r>
              <w:rPr>
                <w:rFonts w:hint="eastAsia"/>
              </w:rPr>
              <w:t>微乳剂</w:t>
            </w:r>
          </w:p>
        </w:tc>
      </w:tr>
      <w:tr w14:paraId="4633862F">
        <w:tblPrEx>
          <w:tblCellMar>
            <w:top w:w="0" w:type="dxa"/>
            <w:left w:w="0" w:type="dxa"/>
            <w:bottom w:w="0" w:type="dxa"/>
            <w:right w:w="0" w:type="dxa"/>
          </w:tblCellMar>
        </w:tblPrEx>
        <w:trPr>
          <w:wBefore w:w="0" w:type="auto"/>
          <w:tblCellSpacing w:w="0" w:type="dxa"/>
        </w:trPr>
        <w:tc>
          <w:tcPr>
            <w:tcW w:w="0" w:type="auto"/>
            <w:noWrap w:val="0"/>
            <w:vAlign w:val="center"/>
          </w:tcPr>
          <w:p w14:paraId="199B8E83">
            <w:r>
              <w:rPr>
                <w:rStyle w:val="10"/>
                <w:rFonts w:hint="eastAsia"/>
              </w:rPr>
              <w:t>毒性及其标识：</w:t>
            </w:r>
            <w:r>
              <w:rPr>
                <w:rFonts w:hint="eastAsia"/>
              </w:rPr>
              <w:t xml:space="preserve"> </w:t>
            </w:r>
            <w:r>
              <w:rPr>
                <w:lang/>
              </w:rPr>
              <w:drawing>
                <wp:inline distT="0" distB="0" distL="114300" distR="114300">
                  <wp:extent cx="476250" cy="323850"/>
                  <wp:effectExtent l="0" t="0" r="0" b="0"/>
                  <wp:docPr id="320" name="图片 3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0629E0">
        <w:tblPrEx>
          <w:tblCellMar>
            <w:top w:w="0" w:type="dxa"/>
            <w:left w:w="0" w:type="dxa"/>
            <w:bottom w:w="0" w:type="dxa"/>
            <w:right w:w="0" w:type="dxa"/>
          </w:tblCellMar>
        </w:tblPrEx>
        <w:trPr>
          <w:wBefore w:w="0" w:type="auto"/>
          <w:tblCellSpacing w:w="0" w:type="dxa"/>
        </w:trPr>
        <w:tc>
          <w:tcPr>
            <w:tcW w:w="0" w:type="auto"/>
            <w:noWrap w:val="0"/>
            <w:vAlign w:val="center"/>
          </w:tcPr>
          <w:p w14:paraId="39232963">
            <w:r>
              <w:rPr>
                <w:rStyle w:val="10"/>
                <w:rFonts w:hint="eastAsia"/>
              </w:rPr>
              <w:t>总有效成分含量：</w:t>
            </w:r>
            <w:r>
              <w:rPr>
                <w:rFonts w:hint="eastAsia"/>
              </w:rPr>
              <w:t>0.1%</w:t>
            </w:r>
          </w:p>
        </w:tc>
      </w:tr>
      <w:tr w14:paraId="7DFE3BEA">
        <w:tblPrEx>
          <w:tblCellMar>
            <w:top w:w="0" w:type="dxa"/>
            <w:left w:w="0" w:type="dxa"/>
            <w:bottom w:w="0" w:type="dxa"/>
            <w:right w:w="0" w:type="dxa"/>
          </w:tblCellMar>
        </w:tblPrEx>
        <w:trPr>
          <w:wBefore w:w="0" w:type="auto"/>
          <w:tblCellSpacing w:w="0" w:type="dxa"/>
        </w:trPr>
        <w:tc>
          <w:tcPr>
            <w:tcW w:w="0" w:type="auto"/>
            <w:noWrap w:val="0"/>
            <w:vAlign w:val="center"/>
          </w:tcPr>
          <w:p w14:paraId="773E7B1E">
            <w:r>
              <w:rPr>
                <w:rFonts w:hint="eastAsia"/>
              </w:rPr>
              <w:t xml:space="preserve">有效成分及其含量： </w:t>
            </w:r>
          </w:p>
          <w:p w14:paraId="2417C9A7">
            <w:r>
              <w:rPr>
                <w:rFonts w:hint="eastAsia"/>
              </w:rPr>
              <w:t xml:space="preserve">    三十烷醇0.1%    </w:t>
            </w:r>
          </w:p>
        </w:tc>
      </w:tr>
      <w:tr w14:paraId="140878B1">
        <w:tblPrEx>
          <w:tblCellMar>
            <w:top w:w="0" w:type="dxa"/>
            <w:left w:w="0" w:type="dxa"/>
            <w:bottom w:w="0" w:type="dxa"/>
            <w:right w:w="0" w:type="dxa"/>
          </w:tblCellMar>
        </w:tblPrEx>
        <w:trPr>
          <w:wBefore w:w="0" w:type="auto"/>
          <w:tblCellSpacing w:w="0" w:type="dxa"/>
        </w:trPr>
        <w:tc>
          <w:tcPr>
            <w:tcW w:w="0" w:type="auto"/>
            <w:noWrap w:val="0"/>
            <w:vAlign w:val="center"/>
          </w:tcPr>
          <w:p w14:paraId="3E9606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92947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5454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379D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4A122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D29372">
                  <w:r>
                    <w:rPr>
                      <w:rStyle w:val="11"/>
                      <w:rFonts w:hint="eastAsia"/>
                    </w:rPr>
                    <w:t>施用方式</w:t>
                  </w:r>
                </w:p>
              </w:tc>
            </w:tr>
            <w:tr w14:paraId="14E7BF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8C3E56">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16B765">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F30049">
                  <w:r>
                    <w:rPr>
                      <w:rStyle w:val="11"/>
                      <w:rFonts w:hint="eastAsia"/>
                    </w:rPr>
                    <w:t>1700-2200倍液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7D609B">
                  <w:r>
                    <w:rPr>
                      <w:rStyle w:val="11"/>
                      <w:rFonts w:hint="eastAsia"/>
                    </w:rPr>
                    <w:t>喷雾</w:t>
                  </w:r>
                </w:p>
              </w:tc>
            </w:tr>
          </w:tbl>
          <w:p w14:paraId="5E92F6E5">
            <w:pPr>
              <w:rPr>
                <w:rFonts w:ascii="Times New Roman" w:hAnsi="Times New Roman" w:cs="Times New Roman"/>
                <w:sz w:val="20"/>
                <w:szCs w:val="20"/>
              </w:rPr>
            </w:pPr>
          </w:p>
        </w:tc>
      </w:tr>
      <w:tr w14:paraId="55D5F7AF">
        <w:tblPrEx>
          <w:tblCellMar>
            <w:top w:w="0" w:type="dxa"/>
            <w:left w:w="0" w:type="dxa"/>
            <w:bottom w:w="0" w:type="dxa"/>
            <w:right w:w="0" w:type="dxa"/>
          </w:tblCellMar>
        </w:tblPrEx>
        <w:trPr>
          <w:wBefore w:w="0" w:type="auto"/>
          <w:tblCellSpacing w:w="0" w:type="dxa"/>
        </w:trPr>
        <w:tc>
          <w:tcPr>
            <w:tcW w:w="0" w:type="auto"/>
            <w:noWrap w:val="0"/>
            <w:vAlign w:val="center"/>
          </w:tcPr>
          <w:p w14:paraId="498F199F">
            <w:r>
              <w:rPr>
                <w:rStyle w:val="10"/>
                <w:rFonts w:hint="eastAsia"/>
              </w:rPr>
              <w:t>使用技术要求:</w:t>
            </w:r>
            <w:r>
              <w:rPr>
                <w:rFonts w:hint="eastAsia"/>
              </w:rPr>
              <w:br w:type="textWrapping"/>
            </w:r>
            <w:r>
              <w:rPr>
                <w:rStyle w:val="11"/>
                <w:rFonts w:hint="eastAsia"/>
              </w:rPr>
              <w:t>1、 在小麦孕穗期、扬花期各喷雾一次。每季作物最多使用2次。 2、以喷湿不滴水为度，力求均匀周到，勿重复喷施； 3、一般在早晨或傍晚施药，避免在高温烈日下使用。风天或预计1小时内降雨，请勿施药。</w:t>
            </w:r>
          </w:p>
        </w:tc>
      </w:tr>
      <w:tr w14:paraId="3239F311">
        <w:tblPrEx>
          <w:tblCellMar>
            <w:top w:w="0" w:type="dxa"/>
            <w:left w:w="0" w:type="dxa"/>
            <w:bottom w:w="0" w:type="dxa"/>
            <w:right w:w="0" w:type="dxa"/>
          </w:tblCellMar>
        </w:tblPrEx>
        <w:trPr>
          <w:wBefore w:w="0" w:type="auto"/>
          <w:tblCellSpacing w:w="0" w:type="dxa"/>
        </w:trPr>
        <w:tc>
          <w:tcPr>
            <w:tcW w:w="0" w:type="auto"/>
            <w:noWrap w:val="0"/>
            <w:vAlign w:val="center"/>
          </w:tcPr>
          <w:p w14:paraId="7AA9E55B">
            <w:r>
              <w:rPr>
                <w:rStyle w:val="10"/>
                <w:rFonts w:hint="eastAsia"/>
              </w:rPr>
              <w:t>产品性能:</w:t>
            </w:r>
            <w:r>
              <w:rPr>
                <w:rFonts w:hint="eastAsia"/>
              </w:rPr>
              <w:br w:type="textWrapping"/>
            </w:r>
            <w:r>
              <w:rPr>
                <w:rStyle w:val="11"/>
                <w:rFonts w:hint="eastAsia"/>
              </w:rPr>
              <w:t xml:space="preserve">三十烷醇是一种内源植物生长调节剂，其作用为提高光合色素含量，提高光合速率，增加干物质积累，促进生长发育，增强生理调控，用于提高作物品质和产量。 </w:t>
            </w:r>
          </w:p>
        </w:tc>
      </w:tr>
      <w:tr w14:paraId="1A563232">
        <w:tblPrEx>
          <w:tblCellMar>
            <w:top w:w="0" w:type="dxa"/>
            <w:left w:w="0" w:type="dxa"/>
            <w:bottom w:w="0" w:type="dxa"/>
            <w:right w:w="0" w:type="dxa"/>
          </w:tblCellMar>
        </w:tblPrEx>
        <w:trPr>
          <w:wBefore w:w="0" w:type="auto"/>
          <w:tblCellSpacing w:w="0" w:type="dxa"/>
        </w:trPr>
        <w:tc>
          <w:tcPr>
            <w:tcW w:w="0" w:type="auto"/>
            <w:noWrap w:val="0"/>
            <w:vAlign w:val="center"/>
          </w:tcPr>
          <w:p w14:paraId="39F33EFD">
            <w:r>
              <w:rPr>
                <w:rStyle w:val="10"/>
                <w:rFonts w:hint="eastAsia"/>
              </w:rPr>
              <w:t>注意事项：</w:t>
            </w:r>
            <w:r>
              <w:rPr>
                <w:rFonts w:hint="eastAsia"/>
              </w:rPr>
              <w:br w:type="textWrapping"/>
            </w:r>
            <w:r>
              <w:rPr>
                <w:rStyle w:val="11"/>
                <w:rFonts w:hint="eastAsia"/>
              </w:rPr>
              <w:t>1、要严格控制使用浓度，稀释液要现配现用。一般选晴天早晚或阴天喷施，喷后六小时内遇雨可补喷一次。 2、不能与铜汞制剂及强碱性药剂等物质混用，在喷铜汞制剂、强碱性药剂后应隔一周后再喷本品。 3、使用后的包装瓶应妥善处理，不能随意丢弃，也不能做他用。 4、使用本品时应穿戴防护服、口罩和手套等防护用具，避免吸入药液；施药期间不可吃东西、喝水和吸烟等；施药后应及时洗手和洗脸等。 5、禁止在河塘等水域内清洗施药器具或将清洗施药器具的废水倒入河流、池塘等水源。 6、孕妇及哺乳期妇女避免接触此药。 7、该产品为易燃液体，远离火源或热源。</w:t>
            </w:r>
          </w:p>
        </w:tc>
      </w:tr>
      <w:tr w14:paraId="5A17E3E3">
        <w:tblPrEx>
          <w:tblCellMar>
            <w:top w:w="0" w:type="dxa"/>
            <w:left w:w="0" w:type="dxa"/>
            <w:bottom w:w="0" w:type="dxa"/>
            <w:right w:w="0" w:type="dxa"/>
          </w:tblCellMar>
        </w:tblPrEx>
        <w:trPr>
          <w:wBefore w:w="0" w:type="auto"/>
          <w:tblCellSpacing w:w="0" w:type="dxa"/>
        </w:trPr>
        <w:tc>
          <w:tcPr>
            <w:tcW w:w="0" w:type="auto"/>
            <w:noWrap w:val="0"/>
            <w:vAlign w:val="center"/>
          </w:tcPr>
          <w:p w14:paraId="10D733F1">
            <w:r>
              <w:rPr>
                <w:rStyle w:val="10"/>
                <w:rFonts w:hint="eastAsia"/>
              </w:rPr>
              <w:t>中毒急救措施：</w:t>
            </w:r>
            <w:r>
              <w:rPr>
                <w:rFonts w:hint="eastAsia"/>
              </w:rPr>
              <w:br w:type="textWrapping"/>
            </w:r>
            <w:r>
              <w:rPr>
                <w:rStyle w:val="11"/>
                <w:rFonts w:hint="eastAsia"/>
              </w:rPr>
              <w:t xml:space="preserve">如不慎接触皮肤或溅入眼睛中，立即用清水彻底冲洗干净。仍有不适，应携此标签送医院对症治疗。如不慎吸入，立即将吸入者转移到空气清新处。如有误服，立即引吐，并迅速带标签就医，医务人员可给患者洗胃，但要防止胃存物进入呼吸道。对症治疗，无特效解毒剂。 </w:t>
            </w:r>
          </w:p>
        </w:tc>
      </w:tr>
      <w:tr w14:paraId="0F217CD9">
        <w:tblPrEx>
          <w:tblCellMar>
            <w:top w:w="0" w:type="dxa"/>
            <w:left w:w="0" w:type="dxa"/>
            <w:bottom w:w="0" w:type="dxa"/>
            <w:right w:w="0" w:type="dxa"/>
          </w:tblCellMar>
        </w:tblPrEx>
        <w:trPr>
          <w:wBefore w:w="0" w:type="auto"/>
          <w:tblCellSpacing w:w="0" w:type="dxa"/>
        </w:trPr>
        <w:tc>
          <w:tcPr>
            <w:tcW w:w="0" w:type="auto"/>
            <w:noWrap w:val="0"/>
            <w:vAlign w:val="center"/>
          </w:tcPr>
          <w:p w14:paraId="3DAC4E3A">
            <w:r>
              <w:rPr>
                <w:rStyle w:val="10"/>
                <w:rFonts w:hint="eastAsia"/>
              </w:rPr>
              <w:t>储存和运输方法：</w:t>
            </w:r>
            <w:r>
              <w:rPr>
                <w:rFonts w:hint="eastAsia"/>
              </w:rPr>
              <w:br w:type="textWrapping"/>
            </w:r>
            <w:r>
              <w:rPr>
                <w:rStyle w:val="11"/>
                <w:rFonts w:hint="eastAsia"/>
              </w:rPr>
              <w:t xml:space="preserve">本品应贮存于干燥阴凉通风处，远离火源或热源，不宜受冻。置于儿童触及不到之处，并加锁。勿与食品、种子、饮料、饲料和粮食等同贮同运。 </w:t>
            </w:r>
          </w:p>
        </w:tc>
      </w:tr>
      <w:tr w14:paraId="207684DD">
        <w:tblPrEx>
          <w:tblCellMar>
            <w:top w:w="0" w:type="dxa"/>
            <w:left w:w="0" w:type="dxa"/>
            <w:bottom w:w="0" w:type="dxa"/>
            <w:right w:w="0" w:type="dxa"/>
          </w:tblCellMar>
        </w:tblPrEx>
        <w:trPr>
          <w:wBefore w:w="0" w:type="auto"/>
          <w:tblCellSpacing w:w="0" w:type="dxa"/>
        </w:trPr>
        <w:tc>
          <w:tcPr>
            <w:tcW w:w="0" w:type="auto"/>
            <w:noWrap w:val="0"/>
            <w:vAlign w:val="center"/>
          </w:tcPr>
          <w:p w14:paraId="5B8830FD">
            <w:r>
              <w:rPr>
                <w:rStyle w:val="10"/>
                <w:rFonts w:hint="eastAsia"/>
              </w:rPr>
              <w:t>质量保证期：</w:t>
            </w:r>
            <w:r>
              <w:rPr>
                <w:rStyle w:val="11"/>
                <w:rFonts w:hint="eastAsia"/>
              </w:rPr>
              <w:t>2年</w:t>
            </w:r>
          </w:p>
        </w:tc>
      </w:tr>
      <w:tr w14:paraId="131F1471">
        <w:tblPrEx>
          <w:tblCellMar>
            <w:top w:w="0" w:type="dxa"/>
            <w:left w:w="0" w:type="dxa"/>
            <w:bottom w:w="0" w:type="dxa"/>
            <w:right w:w="0" w:type="dxa"/>
          </w:tblCellMar>
        </w:tblPrEx>
        <w:trPr>
          <w:wBefore w:w="0" w:type="auto"/>
          <w:tblCellSpacing w:w="0" w:type="dxa"/>
        </w:trPr>
        <w:tc>
          <w:tcPr>
            <w:tcW w:w="0" w:type="auto"/>
            <w:noWrap w:val="0"/>
            <w:vAlign w:val="center"/>
          </w:tcPr>
          <w:p w14:paraId="41C25351">
            <w:r>
              <w:rPr>
                <w:rStyle w:val="10"/>
                <w:rFonts w:hint="eastAsia"/>
              </w:rPr>
              <w:t>备注：</w:t>
            </w:r>
          </w:p>
        </w:tc>
      </w:tr>
    </w:tbl>
    <w:p w14:paraId="3A58C7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A80D2C">
        <w:tblPrEx>
          <w:tblCellMar>
            <w:top w:w="0" w:type="dxa"/>
            <w:left w:w="0" w:type="dxa"/>
            <w:bottom w:w="0" w:type="dxa"/>
            <w:right w:w="0" w:type="dxa"/>
          </w:tblCellMar>
        </w:tblPrEx>
        <w:trPr>
          <w:wBefore w:w="0" w:type="auto"/>
          <w:tblCellSpacing w:w="0" w:type="dxa"/>
        </w:trPr>
        <w:tc>
          <w:tcPr>
            <w:tcW w:w="0" w:type="auto"/>
            <w:noWrap w:val="0"/>
            <w:vAlign w:val="center"/>
          </w:tcPr>
          <w:p w14:paraId="604BB7DB">
            <w:r>
              <w:rPr>
                <w:rStyle w:val="10"/>
                <w:rFonts w:hint="eastAsia"/>
              </w:rPr>
              <w:t>登记证号：</w:t>
            </w:r>
            <w:r>
              <w:rPr>
                <w:rFonts w:hint="eastAsia"/>
              </w:rPr>
              <w:t>PD20212527</w:t>
            </w:r>
          </w:p>
        </w:tc>
      </w:tr>
      <w:tr w14:paraId="25E06AD4">
        <w:tblPrEx>
          <w:tblCellMar>
            <w:top w:w="0" w:type="dxa"/>
            <w:left w:w="0" w:type="dxa"/>
            <w:bottom w:w="0" w:type="dxa"/>
            <w:right w:w="0" w:type="dxa"/>
          </w:tblCellMar>
        </w:tblPrEx>
        <w:trPr>
          <w:wBefore w:w="0" w:type="auto"/>
          <w:tblCellSpacing w:w="0" w:type="dxa"/>
        </w:trPr>
        <w:tc>
          <w:tcPr>
            <w:tcW w:w="0" w:type="auto"/>
            <w:noWrap w:val="0"/>
            <w:vAlign w:val="center"/>
          </w:tcPr>
          <w:p w14:paraId="49ADB900">
            <w:r>
              <w:rPr>
                <w:rStyle w:val="10"/>
                <w:rFonts w:hint="eastAsia"/>
              </w:rPr>
              <w:t>登记证持有人：</w:t>
            </w:r>
            <w:r>
              <w:rPr>
                <w:rFonts w:hint="eastAsia"/>
              </w:rPr>
              <w:t>山东玥鸣生物科技有限公司</w:t>
            </w:r>
          </w:p>
        </w:tc>
      </w:tr>
      <w:tr w14:paraId="54AEB6B2">
        <w:tblPrEx>
          <w:tblCellMar>
            <w:top w:w="0" w:type="dxa"/>
            <w:left w:w="0" w:type="dxa"/>
            <w:bottom w:w="0" w:type="dxa"/>
            <w:right w:w="0" w:type="dxa"/>
          </w:tblCellMar>
        </w:tblPrEx>
        <w:trPr>
          <w:wBefore w:w="0" w:type="auto"/>
          <w:tblCellSpacing w:w="0" w:type="dxa"/>
        </w:trPr>
        <w:tc>
          <w:tcPr>
            <w:tcW w:w="0" w:type="auto"/>
            <w:noWrap w:val="0"/>
            <w:vAlign w:val="center"/>
          </w:tcPr>
          <w:p w14:paraId="0AECA9E1">
            <w:r>
              <w:rPr>
                <w:rStyle w:val="10"/>
                <w:rFonts w:hint="eastAsia"/>
              </w:rPr>
              <w:t>农药名称：</w:t>
            </w:r>
            <w:r>
              <w:rPr>
                <w:rFonts w:hint="eastAsia"/>
              </w:rPr>
              <w:t>麦·草·三氯吡</w:t>
            </w:r>
          </w:p>
        </w:tc>
      </w:tr>
      <w:tr w14:paraId="50AB4335">
        <w:tblPrEx>
          <w:tblCellMar>
            <w:top w:w="0" w:type="dxa"/>
            <w:left w:w="0" w:type="dxa"/>
            <w:bottom w:w="0" w:type="dxa"/>
            <w:right w:w="0" w:type="dxa"/>
          </w:tblCellMar>
        </w:tblPrEx>
        <w:trPr>
          <w:wBefore w:w="0" w:type="auto"/>
          <w:tblCellSpacing w:w="0" w:type="dxa"/>
        </w:trPr>
        <w:tc>
          <w:tcPr>
            <w:tcW w:w="0" w:type="auto"/>
            <w:noWrap w:val="0"/>
            <w:vAlign w:val="center"/>
          </w:tcPr>
          <w:p w14:paraId="486D9B4E">
            <w:r>
              <w:rPr>
                <w:rStyle w:val="10"/>
                <w:rFonts w:hint="eastAsia"/>
              </w:rPr>
              <w:t>剂型：</w:t>
            </w:r>
            <w:r>
              <w:rPr>
                <w:rFonts w:hint="eastAsia"/>
              </w:rPr>
              <w:t>可湿性粉剂</w:t>
            </w:r>
          </w:p>
        </w:tc>
      </w:tr>
      <w:tr w14:paraId="27FE6E1B">
        <w:tblPrEx>
          <w:tblCellMar>
            <w:top w:w="0" w:type="dxa"/>
            <w:left w:w="0" w:type="dxa"/>
            <w:bottom w:w="0" w:type="dxa"/>
            <w:right w:w="0" w:type="dxa"/>
          </w:tblCellMar>
        </w:tblPrEx>
        <w:trPr>
          <w:wBefore w:w="0" w:type="auto"/>
          <w:tblCellSpacing w:w="0" w:type="dxa"/>
        </w:trPr>
        <w:tc>
          <w:tcPr>
            <w:tcW w:w="0" w:type="auto"/>
            <w:noWrap w:val="0"/>
            <w:vAlign w:val="center"/>
          </w:tcPr>
          <w:p w14:paraId="210C4F41">
            <w:r>
              <w:rPr>
                <w:rStyle w:val="10"/>
                <w:rFonts w:hint="eastAsia"/>
              </w:rPr>
              <w:t>毒性及其标识：</w:t>
            </w:r>
            <w:r>
              <w:rPr>
                <w:rFonts w:hint="eastAsia"/>
              </w:rPr>
              <w:t xml:space="preserve"> </w:t>
            </w:r>
            <w:r>
              <w:rPr>
                <w:lang/>
              </w:rPr>
              <w:drawing>
                <wp:inline distT="0" distB="0" distL="114300" distR="114300">
                  <wp:extent cx="476250" cy="323850"/>
                  <wp:effectExtent l="0" t="0" r="0" b="0"/>
                  <wp:docPr id="321" name="图片 3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5152467">
        <w:tblPrEx>
          <w:tblCellMar>
            <w:top w:w="0" w:type="dxa"/>
            <w:left w:w="0" w:type="dxa"/>
            <w:bottom w:w="0" w:type="dxa"/>
            <w:right w:w="0" w:type="dxa"/>
          </w:tblCellMar>
        </w:tblPrEx>
        <w:trPr>
          <w:wBefore w:w="0" w:type="auto"/>
          <w:tblCellSpacing w:w="0" w:type="dxa"/>
        </w:trPr>
        <w:tc>
          <w:tcPr>
            <w:tcW w:w="0" w:type="auto"/>
            <w:noWrap w:val="0"/>
            <w:vAlign w:val="center"/>
          </w:tcPr>
          <w:p w14:paraId="02FAAFD4">
            <w:r>
              <w:rPr>
                <w:rStyle w:val="10"/>
                <w:rFonts w:hint="eastAsia"/>
              </w:rPr>
              <w:t>总有效成分含量：</w:t>
            </w:r>
            <w:r>
              <w:rPr>
                <w:rFonts w:hint="eastAsia"/>
              </w:rPr>
              <w:t>62%</w:t>
            </w:r>
          </w:p>
        </w:tc>
      </w:tr>
      <w:tr w14:paraId="6FA12CBC">
        <w:tblPrEx>
          <w:tblCellMar>
            <w:top w:w="0" w:type="dxa"/>
            <w:left w:w="0" w:type="dxa"/>
            <w:bottom w:w="0" w:type="dxa"/>
            <w:right w:w="0" w:type="dxa"/>
          </w:tblCellMar>
        </w:tblPrEx>
        <w:trPr>
          <w:wBefore w:w="0" w:type="auto"/>
          <w:tblCellSpacing w:w="0" w:type="dxa"/>
        </w:trPr>
        <w:tc>
          <w:tcPr>
            <w:tcW w:w="0" w:type="auto"/>
            <w:noWrap w:val="0"/>
            <w:vAlign w:val="center"/>
          </w:tcPr>
          <w:p w14:paraId="3F8A65A6">
            <w:r>
              <w:rPr>
                <w:rFonts w:hint="eastAsia"/>
              </w:rPr>
              <w:t xml:space="preserve">有效成分及其含量： </w:t>
            </w:r>
          </w:p>
          <w:p w14:paraId="3B5DDC42">
            <w:r>
              <w:rPr>
                <w:rFonts w:hint="eastAsia"/>
              </w:rPr>
              <w:t xml:space="preserve">    麦草畏2%    草甘膦50%    三氯吡氧乙酸10%    </w:t>
            </w:r>
          </w:p>
        </w:tc>
      </w:tr>
      <w:tr w14:paraId="047A1DCB">
        <w:tblPrEx>
          <w:tblCellMar>
            <w:top w:w="0" w:type="dxa"/>
            <w:left w:w="0" w:type="dxa"/>
            <w:bottom w:w="0" w:type="dxa"/>
            <w:right w:w="0" w:type="dxa"/>
          </w:tblCellMar>
        </w:tblPrEx>
        <w:trPr>
          <w:wBefore w:w="0" w:type="auto"/>
          <w:tblCellSpacing w:w="0" w:type="dxa"/>
        </w:trPr>
        <w:tc>
          <w:tcPr>
            <w:tcW w:w="0" w:type="auto"/>
            <w:noWrap w:val="0"/>
            <w:vAlign w:val="center"/>
          </w:tcPr>
          <w:p w14:paraId="16EFC5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AE87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1EE0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7EC2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EAFC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521924">
                  <w:r>
                    <w:rPr>
                      <w:rStyle w:val="11"/>
                      <w:rFonts w:hint="eastAsia"/>
                    </w:rPr>
                    <w:t>施用方式</w:t>
                  </w:r>
                </w:p>
              </w:tc>
            </w:tr>
            <w:tr w14:paraId="78DA67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D6A4D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8CE6F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F2D61F">
                  <w:r>
                    <w:rPr>
                      <w:rStyle w:val="11"/>
                      <w:rFonts w:hint="eastAsia"/>
                    </w:rPr>
                    <w:t>90-120克/亩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0697C">
                  <w:r>
                    <w:rPr>
                      <w:rStyle w:val="11"/>
                      <w:rFonts w:hint="eastAsia"/>
                    </w:rPr>
                    <w:t>茎叶喷雾</w:t>
                  </w:r>
                </w:p>
              </w:tc>
            </w:tr>
          </w:tbl>
          <w:p w14:paraId="2DD436CE">
            <w:pPr>
              <w:rPr>
                <w:rFonts w:ascii="Times New Roman" w:hAnsi="Times New Roman" w:cs="Times New Roman"/>
                <w:sz w:val="20"/>
                <w:szCs w:val="20"/>
              </w:rPr>
            </w:pPr>
          </w:p>
        </w:tc>
      </w:tr>
      <w:tr w14:paraId="4A91ECFA">
        <w:tblPrEx>
          <w:tblCellMar>
            <w:top w:w="0" w:type="dxa"/>
            <w:left w:w="0" w:type="dxa"/>
            <w:bottom w:w="0" w:type="dxa"/>
            <w:right w:w="0" w:type="dxa"/>
          </w:tblCellMar>
        </w:tblPrEx>
        <w:trPr>
          <w:wBefore w:w="0" w:type="auto"/>
          <w:tblCellSpacing w:w="0" w:type="dxa"/>
        </w:trPr>
        <w:tc>
          <w:tcPr>
            <w:tcW w:w="0" w:type="auto"/>
            <w:noWrap w:val="0"/>
            <w:vAlign w:val="center"/>
          </w:tcPr>
          <w:p w14:paraId="7E45D58A">
            <w:r>
              <w:rPr>
                <w:rStyle w:val="10"/>
                <w:rFonts w:hint="eastAsia"/>
              </w:rPr>
              <w:t>使用技术要求:</w:t>
            </w:r>
            <w:r>
              <w:rPr>
                <w:rFonts w:hint="eastAsia"/>
              </w:rPr>
              <w:br w:type="textWrapping"/>
            </w:r>
            <w:r>
              <w:rPr>
                <w:rStyle w:val="11"/>
                <w:rFonts w:hint="eastAsia"/>
              </w:rPr>
              <w:t>1.应用于杂草生长旺盛期茎叶喷雾，注意均匀喷雾到杂草茎叶上，以保证除草效果。2.本品为灭生性除草剂，宜在晴天露水干后喷药，用清水将本剂稀释后定向均匀喷雾在杂草叶面上，不得用污水、硬水，以免影响药效。施药时应防止药液飘移到邻近作物田及果树幼嫩茎叶上，以免产生药害。3.大风天或预计施药后4小时内降雨，请勿施药，如施药后4-8小时内降雨，应补喷。4.施药后5天内勿割草、放牧、翻地等。5.每季最多使用1次。</w:t>
            </w:r>
          </w:p>
        </w:tc>
      </w:tr>
      <w:tr w14:paraId="5E3CDDAD">
        <w:tblPrEx>
          <w:tblCellMar>
            <w:top w:w="0" w:type="dxa"/>
            <w:left w:w="0" w:type="dxa"/>
            <w:bottom w:w="0" w:type="dxa"/>
            <w:right w:w="0" w:type="dxa"/>
          </w:tblCellMar>
        </w:tblPrEx>
        <w:trPr>
          <w:wBefore w:w="0" w:type="auto"/>
          <w:tblCellSpacing w:w="0" w:type="dxa"/>
        </w:trPr>
        <w:tc>
          <w:tcPr>
            <w:tcW w:w="0" w:type="auto"/>
            <w:noWrap w:val="0"/>
            <w:vAlign w:val="center"/>
          </w:tcPr>
          <w:p w14:paraId="7D00A1C2">
            <w:r>
              <w:rPr>
                <w:rStyle w:val="10"/>
                <w:rFonts w:hint="eastAsia"/>
              </w:rPr>
              <w:t>产品性能:</w:t>
            </w:r>
            <w:r>
              <w:rPr>
                <w:rFonts w:hint="eastAsia"/>
              </w:rPr>
              <w:br w:type="textWrapping"/>
            </w:r>
            <w:r>
              <w:rPr>
                <w:rStyle w:val="11"/>
                <w:rFonts w:hint="eastAsia"/>
              </w:rPr>
              <w:t>麦草畏属激素类内吸、选择性除草剂，通过阻碍植物激素的正常活动，从而使其死亡；草甘膦为内吸传导型灭生性除草 剂，通过抑制植物体内烯醇丙酮基莽草素磷酸合成酶，从而抑制莽草素向苯丙氨酸、酪氨酸及色氨酸的转化，使蛋白质 的合成受到干扰导致植物死亡。三氯吡氧乙酸属内吸传导型选择性除草剂，可由植物的叶面和根系吸收，并在植物体内 传导到全株，主要作用于核酸代谢，使植物产生过量的核酸，一些组织转变成分生组织，造成其根、茎、叶畸形，储藏 物质耗尽，维管束被栓塞或破裂，植株逐渐死亡。三者混配，可扩大杀草谱，解决恶性杂草的抗药性问题，提高除草速 度，对非耕地杂草防效较好。</w:t>
            </w:r>
          </w:p>
        </w:tc>
      </w:tr>
      <w:tr w14:paraId="5A8D829A">
        <w:tblPrEx>
          <w:tblCellMar>
            <w:top w:w="0" w:type="dxa"/>
            <w:left w:w="0" w:type="dxa"/>
            <w:bottom w:w="0" w:type="dxa"/>
            <w:right w:w="0" w:type="dxa"/>
          </w:tblCellMar>
        </w:tblPrEx>
        <w:trPr>
          <w:wBefore w:w="0" w:type="auto"/>
          <w:tblCellSpacing w:w="0" w:type="dxa"/>
        </w:trPr>
        <w:tc>
          <w:tcPr>
            <w:tcW w:w="0" w:type="auto"/>
            <w:noWrap w:val="0"/>
            <w:vAlign w:val="center"/>
          </w:tcPr>
          <w:p w14:paraId="58E12F1D">
            <w:r>
              <w:rPr>
                <w:rStyle w:val="10"/>
                <w:rFonts w:hint="eastAsia"/>
              </w:rPr>
              <w:t>注意事项：</w:t>
            </w:r>
            <w:r>
              <w:rPr>
                <w:rFonts w:hint="eastAsia"/>
              </w:rPr>
              <w:br w:type="textWrapping"/>
            </w:r>
            <w:r>
              <w:rPr>
                <w:rStyle w:val="11"/>
                <w:rFonts w:hint="eastAsia"/>
              </w:rPr>
              <w:t>1.本品用于防治非耕地杂草，不可随意扩大使用范围或加大用药量。2.兑水稀释时充分搅拌均匀，喷雾时不可使用弥雾器械。喷雾器具使用后要反复清洗干净。洗涤水不得乱倒，不能排入河流、池塘等水源。3.使用本品应采取相应的安全防护措施，穿防护靴，戴防护手套、口罩等，避免皮肤接触及口鼻吸入。使用中不可吸烟、饮水及吃东西，使用后及时用大量清水和肥皂清洗手、脸等暴露部位皮肤并更换衣物。4.禁止在河塘等水体中清洗施药器具；蚕室及桑园附近禁用。5.避免孕妇及哺乳期的妇女接触本品。6.用过的容器应妥善处理，不可做它用，也不可随意丢弃。7.禁止儿童、孕妇及哺乳期的妇女接触。过敏者禁用，使用中有任何不良反应请及时就医。8.禁止在田间道路、田埂、果树行间、休耕地、林场地等农林区域使用。</w:t>
            </w:r>
          </w:p>
        </w:tc>
      </w:tr>
      <w:tr w14:paraId="44CC09F3">
        <w:tblPrEx>
          <w:tblCellMar>
            <w:top w:w="0" w:type="dxa"/>
            <w:left w:w="0" w:type="dxa"/>
            <w:bottom w:w="0" w:type="dxa"/>
            <w:right w:w="0" w:type="dxa"/>
          </w:tblCellMar>
        </w:tblPrEx>
        <w:trPr>
          <w:wBefore w:w="0" w:type="auto"/>
          <w:tblCellSpacing w:w="0" w:type="dxa"/>
        </w:trPr>
        <w:tc>
          <w:tcPr>
            <w:tcW w:w="0" w:type="auto"/>
            <w:noWrap w:val="0"/>
            <w:vAlign w:val="center"/>
          </w:tcPr>
          <w:p w14:paraId="1DDECAA1">
            <w:r>
              <w:rPr>
                <w:rStyle w:val="10"/>
                <w:rFonts w:hint="eastAsia"/>
              </w:rPr>
              <w:t>中毒急救措施：</w:t>
            </w:r>
            <w:r>
              <w:rPr>
                <w:rFonts w:hint="eastAsia"/>
              </w:rPr>
              <w:br w:type="textWrapping"/>
            </w:r>
            <w:r>
              <w:rPr>
                <w:rStyle w:val="11"/>
                <w:rFonts w:hint="eastAsia"/>
              </w:rPr>
              <w:t>中毒症状：对眼睛、皮肤和粘膜有刺激作用。 急救措施：使用中或使用后如果感觉不适，应立即停止工作，采取急救措施，并携带标签送医院就诊。皮肤接触：脱掉污染衣物，用软布去除污染农药，用大量清水和肥皂冲洗。眼睛溅入：立即用流动清水冲洗不少于15分钟。吸入：立即离开施药现场，转移到空气清新处。误服：立即停止服用，用清水充分漱口后，立即携带标签到医院就诊。</w:t>
            </w:r>
          </w:p>
        </w:tc>
      </w:tr>
      <w:tr w14:paraId="658E2049">
        <w:tblPrEx>
          <w:tblCellMar>
            <w:top w:w="0" w:type="dxa"/>
            <w:left w:w="0" w:type="dxa"/>
            <w:bottom w:w="0" w:type="dxa"/>
            <w:right w:w="0" w:type="dxa"/>
          </w:tblCellMar>
        </w:tblPrEx>
        <w:trPr>
          <w:wBefore w:w="0" w:type="auto"/>
          <w:tblCellSpacing w:w="0" w:type="dxa"/>
        </w:trPr>
        <w:tc>
          <w:tcPr>
            <w:tcW w:w="0" w:type="auto"/>
            <w:noWrap w:val="0"/>
            <w:vAlign w:val="center"/>
          </w:tcPr>
          <w:p w14:paraId="79B99D78">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本品应贮存在干燥、阴凉、通风、防雨处，远离火源或热源。置于儿童及无关人员触及不到之处，并加锁。不能与食品、饮料、粮食、饲料等同贮同运。</w:t>
            </w:r>
          </w:p>
        </w:tc>
      </w:tr>
      <w:tr w14:paraId="2EF30A8E">
        <w:tblPrEx>
          <w:tblCellMar>
            <w:top w:w="0" w:type="dxa"/>
            <w:left w:w="0" w:type="dxa"/>
            <w:bottom w:w="0" w:type="dxa"/>
            <w:right w:w="0" w:type="dxa"/>
          </w:tblCellMar>
        </w:tblPrEx>
        <w:trPr>
          <w:wBefore w:w="0" w:type="auto"/>
          <w:tblCellSpacing w:w="0" w:type="dxa"/>
        </w:trPr>
        <w:tc>
          <w:tcPr>
            <w:tcW w:w="0" w:type="auto"/>
            <w:noWrap w:val="0"/>
            <w:vAlign w:val="center"/>
          </w:tcPr>
          <w:p w14:paraId="02592A1B">
            <w:r>
              <w:rPr>
                <w:rStyle w:val="10"/>
                <w:rFonts w:hint="eastAsia"/>
              </w:rPr>
              <w:t>质量保证期：</w:t>
            </w:r>
            <w:r>
              <w:rPr>
                <w:rStyle w:val="11"/>
                <w:rFonts w:hint="eastAsia"/>
              </w:rPr>
              <w:t>2年</w:t>
            </w:r>
          </w:p>
        </w:tc>
      </w:tr>
      <w:tr w14:paraId="25298BA5">
        <w:tblPrEx>
          <w:tblCellMar>
            <w:top w:w="0" w:type="dxa"/>
            <w:left w:w="0" w:type="dxa"/>
            <w:bottom w:w="0" w:type="dxa"/>
            <w:right w:w="0" w:type="dxa"/>
          </w:tblCellMar>
        </w:tblPrEx>
        <w:trPr>
          <w:wBefore w:w="0" w:type="auto"/>
          <w:tblCellSpacing w:w="0" w:type="dxa"/>
        </w:trPr>
        <w:tc>
          <w:tcPr>
            <w:tcW w:w="0" w:type="auto"/>
            <w:noWrap w:val="0"/>
            <w:vAlign w:val="center"/>
          </w:tcPr>
          <w:p w14:paraId="01986D01">
            <w:r>
              <w:rPr>
                <w:rStyle w:val="10"/>
                <w:rFonts w:hint="eastAsia"/>
              </w:rPr>
              <w:t>备注：</w:t>
            </w:r>
          </w:p>
        </w:tc>
      </w:tr>
    </w:tbl>
    <w:p w14:paraId="60C51B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F1481E">
        <w:tblPrEx>
          <w:tblCellMar>
            <w:top w:w="0" w:type="dxa"/>
            <w:left w:w="0" w:type="dxa"/>
            <w:bottom w:w="0" w:type="dxa"/>
            <w:right w:w="0" w:type="dxa"/>
          </w:tblCellMar>
        </w:tblPrEx>
        <w:trPr>
          <w:wBefore w:w="0" w:type="auto"/>
          <w:tblCellSpacing w:w="0" w:type="dxa"/>
        </w:trPr>
        <w:tc>
          <w:tcPr>
            <w:tcW w:w="0" w:type="auto"/>
            <w:noWrap w:val="0"/>
            <w:vAlign w:val="center"/>
          </w:tcPr>
          <w:p w14:paraId="0CA924FA">
            <w:r>
              <w:rPr>
                <w:rStyle w:val="10"/>
                <w:rFonts w:hint="eastAsia"/>
              </w:rPr>
              <w:t>登记证号：</w:t>
            </w:r>
            <w:r>
              <w:rPr>
                <w:rFonts w:hint="eastAsia"/>
              </w:rPr>
              <w:t>WP20210397</w:t>
            </w:r>
          </w:p>
        </w:tc>
      </w:tr>
      <w:tr w14:paraId="2A1B09CE">
        <w:tblPrEx>
          <w:tblCellMar>
            <w:top w:w="0" w:type="dxa"/>
            <w:left w:w="0" w:type="dxa"/>
            <w:bottom w:w="0" w:type="dxa"/>
            <w:right w:w="0" w:type="dxa"/>
          </w:tblCellMar>
        </w:tblPrEx>
        <w:trPr>
          <w:wBefore w:w="0" w:type="auto"/>
          <w:tblCellSpacing w:w="0" w:type="dxa"/>
        </w:trPr>
        <w:tc>
          <w:tcPr>
            <w:tcW w:w="0" w:type="auto"/>
            <w:noWrap w:val="0"/>
            <w:vAlign w:val="center"/>
          </w:tcPr>
          <w:p w14:paraId="6DB3CA2C">
            <w:r>
              <w:rPr>
                <w:rStyle w:val="10"/>
                <w:rFonts w:hint="eastAsia"/>
              </w:rPr>
              <w:t>登记证持有人：</w:t>
            </w:r>
            <w:r>
              <w:rPr>
                <w:rFonts w:hint="eastAsia"/>
              </w:rPr>
              <w:t>开封一田生物科技有限公司</w:t>
            </w:r>
          </w:p>
        </w:tc>
      </w:tr>
      <w:tr w14:paraId="095F3E51">
        <w:tblPrEx>
          <w:tblCellMar>
            <w:top w:w="0" w:type="dxa"/>
            <w:left w:w="0" w:type="dxa"/>
            <w:bottom w:w="0" w:type="dxa"/>
            <w:right w:w="0" w:type="dxa"/>
          </w:tblCellMar>
        </w:tblPrEx>
        <w:trPr>
          <w:wBefore w:w="0" w:type="auto"/>
          <w:tblCellSpacing w:w="0" w:type="dxa"/>
        </w:trPr>
        <w:tc>
          <w:tcPr>
            <w:tcW w:w="0" w:type="auto"/>
            <w:noWrap w:val="0"/>
            <w:vAlign w:val="center"/>
          </w:tcPr>
          <w:p w14:paraId="3AE83D2C">
            <w:r>
              <w:rPr>
                <w:rStyle w:val="10"/>
                <w:rFonts w:hint="eastAsia"/>
              </w:rPr>
              <w:t>农药名称：</w:t>
            </w:r>
            <w:r>
              <w:rPr>
                <w:rFonts w:hint="eastAsia"/>
              </w:rPr>
              <w:t>氟氯·吡虫啉</w:t>
            </w:r>
          </w:p>
        </w:tc>
      </w:tr>
      <w:tr w14:paraId="76D4E70E">
        <w:tblPrEx>
          <w:tblCellMar>
            <w:top w:w="0" w:type="dxa"/>
            <w:left w:w="0" w:type="dxa"/>
            <w:bottom w:w="0" w:type="dxa"/>
            <w:right w:w="0" w:type="dxa"/>
          </w:tblCellMar>
        </w:tblPrEx>
        <w:trPr>
          <w:wBefore w:w="0" w:type="auto"/>
          <w:tblCellSpacing w:w="0" w:type="dxa"/>
        </w:trPr>
        <w:tc>
          <w:tcPr>
            <w:tcW w:w="0" w:type="auto"/>
            <w:noWrap w:val="0"/>
            <w:vAlign w:val="center"/>
          </w:tcPr>
          <w:p w14:paraId="4C84856E">
            <w:r>
              <w:rPr>
                <w:rStyle w:val="10"/>
                <w:rFonts w:hint="eastAsia"/>
              </w:rPr>
              <w:t>剂型：</w:t>
            </w:r>
            <w:r>
              <w:rPr>
                <w:rFonts w:hint="eastAsia"/>
              </w:rPr>
              <w:t>悬浮剂</w:t>
            </w:r>
          </w:p>
        </w:tc>
      </w:tr>
      <w:tr w14:paraId="72A4FD44">
        <w:tblPrEx>
          <w:tblCellMar>
            <w:top w:w="0" w:type="dxa"/>
            <w:left w:w="0" w:type="dxa"/>
            <w:bottom w:w="0" w:type="dxa"/>
            <w:right w:w="0" w:type="dxa"/>
          </w:tblCellMar>
        </w:tblPrEx>
        <w:trPr>
          <w:wBefore w:w="0" w:type="auto"/>
          <w:tblCellSpacing w:w="0" w:type="dxa"/>
        </w:trPr>
        <w:tc>
          <w:tcPr>
            <w:tcW w:w="0" w:type="auto"/>
            <w:noWrap w:val="0"/>
            <w:vAlign w:val="center"/>
          </w:tcPr>
          <w:p w14:paraId="1C8178F3">
            <w:r>
              <w:rPr>
                <w:rStyle w:val="10"/>
                <w:rFonts w:hint="eastAsia"/>
              </w:rPr>
              <w:t>毒性及其标识：</w:t>
            </w:r>
            <w:r>
              <w:rPr>
                <w:rFonts w:hint="eastAsia"/>
              </w:rPr>
              <w:t xml:space="preserve"> </w:t>
            </w:r>
            <w:r>
              <w:rPr>
                <w:lang/>
              </w:rPr>
              <w:drawing>
                <wp:inline distT="0" distB="0" distL="114300" distR="114300">
                  <wp:extent cx="476250" cy="323850"/>
                  <wp:effectExtent l="0" t="0" r="0" b="0"/>
                  <wp:docPr id="322" name="图片 3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A6B8F3C">
        <w:tblPrEx>
          <w:tblCellMar>
            <w:top w:w="0" w:type="dxa"/>
            <w:left w:w="0" w:type="dxa"/>
            <w:bottom w:w="0" w:type="dxa"/>
            <w:right w:w="0" w:type="dxa"/>
          </w:tblCellMar>
        </w:tblPrEx>
        <w:trPr>
          <w:wBefore w:w="0" w:type="auto"/>
          <w:tblCellSpacing w:w="0" w:type="dxa"/>
        </w:trPr>
        <w:tc>
          <w:tcPr>
            <w:tcW w:w="0" w:type="auto"/>
            <w:noWrap w:val="0"/>
            <w:vAlign w:val="center"/>
          </w:tcPr>
          <w:p w14:paraId="42F43565">
            <w:r>
              <w:rPr>
                <w:rStyle w:val="10"/>
                <w:rFonts w:hint="eastAsia"/>
              </w:rPr>
              <w:t>总有效成分含量：</w:t>
            </w:r>
            <w:r>
              <w:rPr>
                <w:rFonts w:hint="eastAsia"/>
              </w:rPr>
              <w:t>31%</w:t>
            </w:r>
          </w:p>
        </w:tc>
      </w:tr>
      <w:tr w14:paraId="059EB247">
        <w:tblPrEx>
          <w:tblCellMar>
            <w:top w:w="0" w:type="dxa"/>
            <w:left w:w="0" w:type="dxa"/>
            <w:bottom w:w="0" w:type="dxa"/>
            <w:right w:w="0" w:type="dxa"/>
          </w:tblCellMar>
        </w:tblPrEx>
        <w:trPr>
          <w:wBefore w:w="0" w:type="auto"/>
          <w:tblCellSpacing w:w="0" w:type="dxa"/>
        </w:trPr>
        <w:tc>
          <w:tcPr>
            <w:tcW w:w="0" w:type="auto"/>
            <w:noWrap w:val="0"/>
            <w:vAlign w:val="center"/>
          </w:tcPr>
          <w:p w14:paraId="7052D961">
            <w:r>
              <w:rPr>
                <w:rFonts w:hint="eastAsia"/>
              </w:rPr>
              <w:t xml:space="preserve">有效成分及其含量： </w:t>
            </w:r>
          </w:p>
          <w:p w14:paraId="23B7C8C5">
            <w:r>
              <w:rPr>
                <w:rFonts w:hint="eastAsia"/>
              </w:rPr>
              <w:t xml:space="preserve">    高效氟氯氰菊酯10%    吡虫啉21%    </w:t>
            </w:r>
          </w:p>
        </w:tc>
      </w:tr>
      <w:tr w14:paraId="484C9A6C">
        <w:tblPrEx>
          <w:tblCellMar>
            <w:top w:w="0" w:type="dxa"/>
            <w:left w:w="0" w:type="dxa"/>
            <w:bottom w:w="0" w:type="dxa"/>
            <w:right w:w="0" w:type="dxa"/>
          </w:tblCellMar>
        </w:tblPrEx>
        <w:trPr>
          <w:wBefore w:w="0" w:type="auto"/>
          <w:tblCellSpacing w:w="0" w:type="dxa"/>
        </w:trPr>
        <w:tc>
          <w:tcPr>
            <w:tcW w:w="0" w:type="auto"/>
            <w:noWrap w:val="0"/>
            <w:vAlign w:val="center"/>
          </w:tcPr>
          <w:p w14:paraId="630E35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78CC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05DD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EE72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69A4F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96C1CB">
                  <w:r>
                    <w:rPr>
                      <w:rStyle w:val="11"/>
                      <w:rFonts w:hint="eastAsia"/>
                    </w:rPr>
                    <w:t>施用方式</w:t>
                  </w:r>
                </w:p>
              </w:tc>
            </w:tr>
            <w:tr w14:paraId="61168C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D9B6C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349930">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FA6152">
                  <w:r>
                    <w:rPr>
                      <w:rStyle w:val="11"/>
                      <w:rFonts w:hint="eastAsia"/>
                    </w:rPr>
                    <w:t>0.24毫升/平方米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5BCD23">
                  <w:r>
                    <w:rPr>
                      <w:rStyle w:val="11"/>
                      <w:rFonts w:hint="eastAsia"/>
                    </w:rPr>
                    <w:t>滞留喷洒</w:t>
                  </w:r>
                </w:p>
              </w:tc>
            </w:tr>
            <w:tr w14:paraId="740A17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CB46D4">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D74E15">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BAAAAD">
                  <w:r>
                    <w:rPr>
                      <w:rStyle w:val="11"/>
                      <w:rFonts w:hint="eastAsia"/>
                    </w:rPr>
                    <w:t>0.24毫升/平方米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9E7F5B">
                  <w:r>
                    <w:rPr>
                      <w:rStyle w:val="11"/>
                      <w:rFonts w:hint="eastAsia"/>
                    </w:rPr>
                    <w:t>滞留喷洒</w:t>
                  </w:r>
                </w:p>
              </w:tc>
            </w:tr>
          </w:tbl>
          <w:p w14:paraId="1EF1EBE6">
            <w:pPr>
              <w:rPr>
                <w:rFonts w:ascii="Times New Roman" w:hAnsi="Times New Roman" w:cs="Times New Roman"/>
                <w:sz w:val="20"/>
                <w:szCs w:val="20"/>
              </w:rPr>
            </w:pPr>
          </w:p>
        </w:tc>
      </w:tr>
      <w:tr w14:paraId="366B8F4B">
        <w:tblPrEx>
          <w:tblCellMar>
            <w:top w:w="0" w:type="dxa"/>
            <w:left w:w="0" w:type="dxa"/>
            <w:bottom w:w="0" w:type="dxa"/>
            <w:right w:w="0" w:type="dxa"/>
          </w:tblCellMar>
        </w:tblPrEx>
        <w:trPr>
          <w:wBefore w:w="0" w:type="auto"/>
          <w:tblCellSpacing w:w="0" w:type="dxa"/>
        </w:trPr>
        <w:tc>
          <w:tcPr>
            <w:tcW w:w="0" w:type="auto"/>
            <w:noWrap w:val="0"/>
            <w:vAlign w:val="center"/>
          </w:tcPr>
          <w:p w14:paraId="768F6082">
            <w:r>
              <w:rPr>
                <w:rStyle w:val="10"/>
                <w:rFonts w:hint="eastAsia"/>
              </w:rPr>
              <w:t>使用技术要求:</w:t>
            </w:r>
            <w:r>
              <w:rPr>
                <w:rFonts w:hint="eastAsia"/>
              </w:rPr>
              <w:br w:type="textWrapping"/>
            </w:r>
            <w:r>
              <w:rPr>
                <w:rStyle w:val="11"/>
                <w:rFonts w:hint="eastAsia"/>
              </w:rPr>
              <w:t xml:space="preserve">按推荐用药量为进行滞留喷洒。 </w:t>
            </w:r>
          </w:p>
        </w:tc>
      </w:tr>
      <w:tr w14:paraId="7FEE8B44">
        <w:tblPrEx>
          <w:tblCellMar>
            <w:top w:w="0" w:type="dxa"/>
            <w:left w:w="0" w:type="dxa"/>
            <w:bottom w:w="0" w:type="dxa"/>
            <w:right w:w="0" w:type="dxa"/>
          </w:tblCellMar>
        </w:tblPrEx>
        <w:trPr>
          <w:wBefore w:w="0" w:type="auto"/>
          <w:tblCellSpacing w:w="0" w:type="dxa"/>
        </w:trPr>
        <w:tc>
          <w:tcPr>
            <w:tcW w:w="0" w:type="auto"/>
            <w:noWrap w:val="0"/>
            <w:vAlign w:val="center"/>
          </w:tcPr>
          <w:p w14:paraId="11BACF87">
            <w:r>
              <w:rPr>
                <w:rStyle w:val="10"/>
                <w:rFonts w:hint="eastAsia"/>
              </w:rPr>
              <w:t>产品性能:</w:t>
            </w:r>
            <w:r>
              <w:rPr>
                <w:rFonts w:hint="eastAsia"/>
              </w:rPr>
              <w:br w:type="textWrapping"/>
            </w:r>
            <w:r>
              <w:rPr>
                <w:rStyle w:val="11"/>
                <w:rFonts w:hint="eastAsia"/>
              </w:rPr>
              <w:t xml:space="preserve">本品是由两种不同杀虫机理的有效成分混配而成的卫生类杀虫剂，具有触杀和胃毒作用，可有效防治室内蚊、蝇。 </w:t>
            </w:r>
          </w:p>
        </w:tc>
      </w:tr>
      <w:tr w14:paraId="7D87136F">
        <w:tblPrEx>
          <w:tblCellMar>
            <w:top w:w="0" w:type="dxa"/>
            <w:left w:w="0" w:type="dxa"/>
            <w:bottom w:w="0" w:type="dxa"/>
            <w:right w:w="0" w:type="dxa"/>
          </w:tblCellMar>
        </w:tblPrEx>
        <w:trPr>
          <w:wBefore w:w="0" w:type="auto"/>
          <w:tblCellSpacing w:w="0" w:type="dxa"/>
        </w:trPr>
        <w:tc>
          <w:tcPr>
            <w:tcW w:w="0" w:type="auto"/>
            <w:noWrap w:val="0"/>
            <w:vAlign w:val="center"/>
          </w:tcPr>
          <w:p w14:paraId="66023FDF">
            <w:r>
              <w:rPr>
                <w:rStyle w:val="10"/>
                <w:rFonts w:hint="eastAsia"/>
              </w:rPr>
              <w:t>注意事项：</w:t>
            </w:r>
            <w:r>
              <w:rPr>
                <w:rFonts w:hint="eastAsia"/>
              </w:rPr>
              <w:br w:type="textWrapping"/>
            </w:r>
            <w:r>
              <w:rPr>
                <w:rStyle w:val="11"/>
                <w:rFonts w:hint="eastAsia"/>
              </w:rPr>
              <w:t>1.仅用于室内。2.使用本品时应采取安全防护措施，穿戴防护服（长衣、长裤）、胶鞋；戴好面罩和口罩、手套等，避免药雾吸入。施药期间不可吃东西和饮水。喷药后及时脱下衣服，用肥皂水冲洗裸露部位皮肤。3.切勿向人体、食物喷洒。 4.不宜与碱性物质混用，以防分解。 5.养蚕室及其附近禁用。6.用过的包装物应妥善处理，不可做它用，也不可随意丢弃。6.儿童、敏感体质人士、孕妇及哺乳期妇女请远离本品。过敏者禁用。使用中有任何不良反应，请及时就医。</w:t>
            </w:r>
          </w:p>
        </w:tc>
      </w:tr>
      <w:tr w14:paraId="3ED611D0">
        <w:tblPrEx>
          <w:tblCellMar>
            <w:top w:w="0" w:type="dxa"/>
            <w:left w:w="0" w:type="dxa"/>
            <w:bottom w:w="0" w:type="dxa"/>
            <w:right w:w="0" w:type="dxa"/>
          </w:tblCellMar>
        </w:tblPrEx>
        <w:trPr>
          <w:wBefore w:w="0" w:type="auto"/>
          <w:tblCellSpacing w:w="0" w:type="dxa"/>
        </w:trPr>
        <w:tc>
          <w:tcPr>
            <w:tcW w:w="0" w:type="auto"/>
            <w:noWrap w:val="0"/>
            <w:vAlign w:val="center"/>
          </w:tcPr>
          <w:p w14:paraId="5F008ADD">
            <w:r>
              <w:rPr>
                <w:rStyle w:val="10"/>
                <w:rFonts w:hint="eastAsia"/>
              </w:rPr>
              <w:t>中毒急救措施：</w:t>
            </w:r>
            <w:r>
              <w:rPr>
                <w:rFonts w:hint="eastAsia"/>
              </w:rPr>
              <w:br w:type="textWrapping"/>
            </w:r>
            <w:r>
              <w:rPr>
                <w:rStyle w:val="11"/>
                <w:rFonts w:hint="eastAsia"/>
              </w:rPr>
              <w:t>1.皮肤接触：立即脱掉污染的衣物和鞋袜，用大量流动清水彻底清洗15分钟以上，必要时立即拨打中毒急救电话寻求医疗救助。 2.眼睛接触：立即用流动清水轻柔冲洗约15-20分钟，冲洗过程中应注意保持眼睑张开，如果戴有隐形眼镜，应先冲洗5分钟之后摘掉眼镜，接着继续冲洗眼睛。必要时立即拨打中毒急救电话或就医。 3.吸入：当吸入后，将患者转移到新鲜空气处，安静休息，密切观察。若患者出现呼吸困难，可立即拨打中毒急救电话。发生呼吸心跳骤停，可进行口对口的人工呼吸和胸外按压。 4.误服：清醒患者可使用清水清洗口腔，口服少量水后进行催吐，并密切观察病情变化，必要时拨打中毒急救电话寻求医疗救助。意识不清患者严禁自行催吐，应立即就医或拨打中毒急救电话。</w:t>
            </w:r>
          </w:p>
        </w:tc>
      </w:tr>
      <w:tr w14:paraId="7BDBC93A">
        <w:tblPrEx>
          <w:tblCellMar>
            <w:top w:w="0" w:type="dxa"/>
            <w:left w:w="0" w:type="dxa"/>
            <w:bottom w:w="0" w:type="dxa"/>
            <w:right w:w="0" w:type="dxa"/>
          </w:tblCellMar>
        </w:tblPrEx>
        <w:trPr>
          <w:wBefore w:w="0" w:type="auto"/>
          <w:tblCellSpacing w:w="0" w:type="dxa"/>
        </w:trPr>
        <w:tc>
          <w:tcPr>
            <w:tcW w:w="0" w:type="auto"/>
            <w:noWrap w:val="0"/>
            <w:vAlign w:val="center"/>
          </w:tcPr>
          <w:p w14:paraId="28C4E62D">
            <w:r>
              <w:rPr>
                <w:rStyle w:val="10"/>
                <w:rFonts w:hint="eastAsia"/>
              </w:rPr>
              <w:t>储存和运输方法：</w:t>
            </w:r>
            <w:r>
              <w:rPr>
                <w:rFonts w:hint="eastAsia"/>
              </w:rPr>
              <w:br w:type="textWrapping"/>
            </w:r>
            <w:r>
              <w:rPr>
                <w:rStyle w:val="11"/>
                <w:rFonts w:hint="eastAsia"/>
              </w:rPr>
              <w:t>1、.本品应以原包装置于阴凉、干燥和通风处，远离热源或火源。置于儿童等无关人员接触不到的地方，并加锁保存。 2.不能与食品、饮料、粮食、饲料、种子、肥料等混合储存和运输。 3.搬运及运输过程中，轻拿轻放，切勿倒置。运输中应注意防雨防潮。</w:t>
            </w:r>
          </w:p>
        </w:tc>
      </w:tr>
      <w:tr w14:paraId="3297D475">
        <w:tblPrEx>
          <w:tblCellMar>
            <w:top w:w="0" w:type="dxa"/>
            <w:left w:w="0" w:type="dxa"/>
            <w:bottom w:w="0" w:type="dxa"/>
            <w:right w:w="0" w:type="dxa"/>
          </w:tblCellMar>
        </w:tblPrEx>
        <w:trPr>
          <w:wBefore w:w="0" w:type="auto"/>
          <w:tblCellSpacing w:w="0" w:type="dxa"/>
        </w:trPr>
        <w:tc>
          <w:tcPr>
            <w:tcW w:w="0" w:type="auto"/>
            <w:noWrap w:val="0"/>
            <w:vAlign w:val="center"/>
          </w:tcPr>
          <w:p w14:paraId="048A63A2">
            <w:r>
              <w:rPr>
                <w:rStyle w:val="10"/>
                <w:rFonts w:hint="eastAsia"/>
              </w:rPr>
              <w:t>质量保证期：</w:t>
            </w:r>
            <w:r>
              <w:rPr>
                <w:rStyle w:val="11"/>
                <w:rFonts w:hint="eastAsia"/>
              </w:rPr>
              <w:t>2年</w:t>
            </w:r>
          </w:p>
        </w:tc>
      </w:tr>
      <w:tr w14:paraId="08838A87">
        <w:tblPrEx>
          <w:tblCellMar>
            <w:top w:w="0" w:type="dxa"/>
            <w:left w:w="0" w:type="dxa"/>
            <w:bottom w:w="0" w:type="dxa"/>
            <w:right w:w="0" w:type="dxa"/>
          </w:tblCellMar>
        </w:tblPrEx>
        <w:trPr>
          <w:wBefore w:w="0" w:type="auto"/>
          <w:tblCellSpacing w:w="0" w:type="dxa"/>
        </w:trPr>
        <w:tc>
          <w:tcPr>
            <w:tcW w:w="0" w:type="auto"/>
            <w:noWrap w:val="0"/>
            <w:vAlign w:val="center"/>
          </w:tcPr>
          <w:p w14:paraId="527C61CD">
            <w:r>
              <w:rPr>
                <w:rStyle w:val="10"/>
                <w:rFonts w:hint="eastAsia"/>
              </w:rPr>
              <w:t>备注：</w:t>
            </w:r>
          </w:p>
        </w:tc>
      </w:tr>
    </w:tbl>
    <w:p w14:paraId="121432B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AF969E">
        <w:tblPrEx>
          <w:tblCellMar>
            <w:top w:w="0" w:type="dxa"/>
            <w:left w:w="0" w:type="dxa"/>
            <w:bottom w:w="0" w:type="dxa"/>
            <w:right w:w="0" w:type="dxa"/>
          </w:tblCellMar>
        </w:tblPrEx>
        <w:trPr>
          <w:wBefore w:w="0" w:type="auto"/>
          <w:tblCellSpacing w:w="0" w:type="dxa"/>
        </w:trPr>
        <w:tc>
          <w:tcPr>
            <w:tcW w:w="0" w:type="auto"/>
            <w:noWrap w:val="0"/>
            <w:vAlign w:val="center"/>
          </w:tcPr>
          <w:p w14:paraId="7927819F">
            <w:r>
              <w:rPr>
                <w:rStyle w:val="10"/>
                <w:rFonts w:hint="eastAsia"/>
              </w:rPr>
              <w:t>登记证号：</w:t>
            </w:r>
            <w:r>
              <w:rPr>
                <w:rFonts w:hint="eastAsia"/>
              </w:rPr>
              <w:t>PD20212399</w:t>
            </w:r>
          </w:p>
        </w:tc>
      </w:tr>
      <w:tr w14:paraId="3E12A0E3">
        <w:tblPrEx>
          <w:tblCellMar>
            <w:top w:w="0" w:type="dxa"/>
            <w:left w:w="0" w:type="dxa"/>
            <w:bottom w:w="0" w:type="dxa"/>
            <w:right w:w="0" w:type="dxa"/>
          </w:tblCellMar>
        </w:tblPrEx>
        <w:trPr>
          <w:wBefore w:w="0" w:type="auto"/>
          <w:tblCellSpacing w:w="0" w:type="dxa"/>
        </w:trPr>
        <w:tc>
          <w:tcPr>
            <w:tcW w:w="0" w:type="auto"/>
            <w:noWrap w:val="0"/>
            <w:vAlign w:val="center"/>
          </w:tcPr>
          <w:p w14:paraId="167AB90A">
            <w:r>
              <w:rPr>
                <w:rStyle w:val="10"/>
                <w:rFonts w:hint="eastAsia"/>
              </w:rPr>
              <w:t>登记证持有人：</w:t>
            </w:r>
            <w:r>
              <w:rPr>
                <w:rFonts w:hint="eastAsia"/>
              </w:rPr>
              <w:t>河南小龙人农业科技有限公司</w:t>
            </w:r>
          </w:p>
        </w:tc>
      </w:tr>
      <w:tr w14:paraId="0EB20AB7">
        <w:tblPrEx>
          <w:tblCellMar>
            <w:top w:w="0" w:type="dxa"/>
            <w:left w:w="0" w:type="dxa"/>
            <w:bottom w:w="0" w:type="dxa"/>
            <w:right w:w="0" w:type="dxa"/>
          </w:tblCellMar>
        </w:tblPrEx>
        <w:trPr>
          <w:wBefore w:w="0" w:type="auto"/>
          <w:tblCellSpacing w:w="0" w:type="dxa"/>
        </w:trPr>
        <w:tc>
          <w:tcPr>
            <w:tcW w:w="0" w:type="auto"/>
            <w:noWrap w:val="0"/>
            <w:vAlign w:val="center"/>
          </w:tcPr>
          <w:p w14:paraId="7D54659E">
            <w:r>
              <w:rPr>
                <w:rStyle w:val="10"/>
                <w:rFonts w:hint="eastAsia"/>
              </w:rPr>
              <w:t>农药名称：</w:t>
            </w:r>
            <w:r>
              <w:rPr>
                <w:rFonts w:hint="eastAsia"/>
              </w:rPr>
              <w:t>烯啶虫胺·呋虫胺</w:t>
            </w:r>
          </w:p>
        </w:tc>
      </w:tr>
      <w:tr w14:paraId="05DB2488">
        <w:tblPrEx>
          <w:tblCellMar>
            <w:top w:w="0" w:type="dxa"/>
            <w:left w:w="0" w:type="dxa"/>
            <w:bottom w:w="0" w:type="dxa"/>
            <w:right w:w="0" w:type="dxa"/>
          </w:tblCellMar>
        </w:tblPrEx>
        <w:trPr>
          <w:wBefore w:w="0" w:type="auto"/>
          <w:tblCellSpacing w:w="0" w:type="dxa"/>
        </w:trPr>
        <w:tc>
          <w:tcPr>
            <w:tcW w:w="0" w:type="auto"/>
            <w:noWrap w:val="0"/>
            <w:vAlign w:val="center"/>
          </w:tcPr>
          <w:p w14:paraId="2942778F">
            <w:r>
              <w:rPr>
                <w:rStyle w:val="10"/>
                <w:rFonts w:hint="eastAsia"/>
              </w:rPr>
              <w:t>剂型：</w:t>
            </w:r>
            <w:r>
              <w:rPr>
                <w:rFonts w:hint="eastAsia"/>
              </w:rPr>
              <w:t>水分散粒剂</w:t>
            </w:r>
          </w:p>
        </w:tc>
      </w:tr>
      <w:tr w14:paraId="5BA522E5">
        <w:tblPrEx>
          <w:tblCellMar>
            <w:top w:w="0" w:type="dxa"/>
            <w:left w:w="0" w:type="dxa"/>
            <w:bottom w:w="0" w:type="dxa"/>
            <w:right w:w="0" w:type="dxa"/>
          </w:tblCellMar>
        </w:tblPrEx>
        <w:trPr>
          <w:wBefore w:w="0" w:type="auto"/>
          <w:tblCellSpacing w:w="0" w:type="dxa"/>
        </w:trPr>
        <w:tc>
          <w:tcPr>
            <w:tcW w:w="0" w:type="auto"/>
            <w:noWrap w:val="0"/>
            <w:vAlign w:val="center"/>
          </w:tcPr>
          <w:p w14:paraId="271B4D19">
            <w:r>
              <w:rPr>
                <w:rStyle w:val="10"/>
                <w:rFonts w:hint="eastAsia"/>
              </w:rPr>
              <w:t>毒性及其标识：</w:t>
            </w:r>
            <w:r>
              <w:rPr>
                <w:rFonts w:hint="eastAsia"/>
              </w:rPr>
              <w:t xml:space="preserve"> 微毒 </w:t>
            </w:r>
          </w:p>
        </w:tc>
      </w:tr>
      <w:tr w14:paraId="6316B028">
        <w:tblPrEx>
          <w:tblCellMar>
            <w:top w:w="0" w:type="dxa"/>
            <w:left w:w="0" w:type="dxa"/>
            <w:bottom w:w="0" w:type="dxa"/>
            <w:right w:w="0" w:type="dxa"/>
          </w:tblCellMar>
        </w:tblPrEx>
        <w:trPr>
          <w:wBefore w:w="0" w:type="auto"/>
          <w:tblCellSpacing w:w="0" w:type="dxa"/>
        </w:trPr>
        <w:tc>
          <w:tcPr>
            <w:tcW w:w="0" w:type="auto"/>
            <w:noWrap w:val="0"/>
            <w:vAlign w:val="center"/>
          </w:tcPr>
          <w:p w14:paraId="0BB59414">
            <w:r>
              <w:rPr>
                <w:rStyle w:val="10"/>
                <w:rFonts w:hint="eastAsia"/>
              </w:rPr>
              <w:t>总有效成分含量：</w:t>
            </w:r>
            <w:r>
              <w:rPr>
                <w:rFonts w:hint="eastAsia"/>
              </w:rPr>
              <w:t>60%</w:t>
            </w:r>
          </w:p>
        </w:tc>
      </w:tr>
      <w:tr w14:paraId="6C126872">
        <w:tblPrEx>
          <w:tblCellMar>
            <w:top w:w="0" w:type="dxa"/>
            <w:left w:w="0" w:type="dxa"/>
            <w:bottom w:w="0" w:type="dxa"/>
            <w:right w:w="0" w:type="dxa"/>
          </w:tblCellMar>
        </w:tblPrEx>
        <w:trPr>
          <w:wBefore w:w="0" w:type="auto"/>
          <w:tblCellSpacing w:w="0" w:type="dxa"/>
        </w:trPr>
        <w:tc>
          <w:tcPr>
            <w:tcW w:w="0" w:type="auto"/>
            <w:noWrap w:val="0"/>
            <w:vAlign w:val="center"/>
          </w:tcPr>
          <w:p w14:paraId="7516091D">
            <w:r>
              <w:rPr>
                <w:rFonts w:hint="eastAsia"/>
              </w:rPr>
              <w:t xml:space="preserve">有效成分及其含量： </w:t>
            </w:r>
          </w:p>
          <w:p w14:paraId="67FEFFFF">
            <w:r>
              <w:rPr>
                <w:rFonts w:hint="eastAsia"/>
              </w:rPr>
              <w:t xml:space="preserve">    烯啶虫胺20%    呋虫胺40%    </w:t>
            </w:r>
          </w:p>
        </w:tc>
      </w:tr>
      <w:tr w14:paraId="05DAE113">
        <w:tblPrEx>
          <w:tblCellMar>
            <w:top w:w="0" w:type="dxa"/>
            <w:left w:w="0" w:type="dxa"/>
            <w:bottom w:w="0" w:type="dxa"/>
            <w:right w:w="0" w:type="dxa"/>
          </w:tblCellMar>
        </w:tblPrEx>
        <w:trPr>
          <w:wBefore w:w="0" w:type="auto"/>
          <w:tblCellSpacing w:w="0" w:type="dxa"/>
        </w:trPr>
        <w:tc>
          <w:tcPr>
            <w:tcW w:w="0" w:type="auto"/>
            <w:noWrap w:val="0"/>
            <w:vAlign w:val="center"/>
          </w:tcPr>
          <w:p w14:paraId="10B150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0E87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F694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472E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FB5C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219C9A">
                  <w:r>
                    <w:rPr>
                      <w:rStyle w:val="11"/>
                      <w:rFonts w:hint="eastAsia"/>
                    </w:rPr>
                    <w:t>施用方式</w:t>
                  </w:r>
                </w:p>
              </w:tc>
            </w:tr>
            <w:tr w14:paraId="676D2B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A56F2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C1FDFA">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799CC3">
                  <w:r>
                    <w:rPr>
                      <w:rStyle w:val="11"/>
                      <w:rFonts w:hint="eastAsia"/>
                    </w:rPr>
                    <w:t>10-15克/亩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450A10">
                  <w:r>
                    <w:rPr>
                      <w:rStyle w:val="11"/>
                      <w:rFonts w:hint="eastAsia"/>
                    </w:rPr>
                    <w:t>喷雾</w:t>
                  </w:r>
                </w:p>
              </w:tc>
            </w:tr>
          </w:tbl>
          <w:p w14:paraId="75E755C4">
            <w:pPr>
              <w:rPr>
                <w:rFonts w:ascii="Times New Roman" w:hAnsi="Times New Roman" w:cs="Times New Roman"/>
                <w:sz w:val="20"/>
                <w:szCs w:val="20"/>
              </w:rPr>
            </w:pPr>
          </w:p>
        </w:tc>
      </w:tr>
      <w:tr w14:paraId="6F91F5B9">
        <w:tblPrEx>
          <w:tblCellMar>
            <w:top w:w="0" w:type="dxa"/>
            <w:left w:w="0" w:type="dxa"/>
            <w:bottom w:w="0" w:type="dxa"/>
            <w:right w:w="0" w:type="dxa"/>
          </w:tblCellMar>
        </w:tblPrEx>
        <w:trPr>
          <w:wBefore w:w="0" w:type="auto"/>
          <w:tblCellSpacing w:w="0" w:type="dxa"/>
        </w:trPr>
        <w:tc>
          <w:tcPr>
            <w:tcW w:w="0" w:type="auto"/>
            <w:noWrap w:val="0"/>
            <w:vAlign w:val="center"/>
          </w:tcPr>
          <w:p w14:paraId="645FB047">
            <w:r>
              <w:rPr>
                <w:rStyle w:val="10"/>
                <w:rFonts w:hint="eastAsia"/>
              </w:rPr>
              <w:t>使用技术要求:</w:t>
            </w:r>
            <w:r>
              <w:rPr>
                <w:rFonts w:hint="eastAsia"/>
              </w:rPr>
              <w:br w:type="textWrapping"/>
            </w:r>
            <w:r>
              <w:rPr>
                <w:rStyle w:val="11"/>
                <w:rFonts w:hint="eastAsia"/>
              </w:rPr>
              <w:t>1. 本品应于稻飞虱卵孵高峰期至低龄若虫发生始盛期施药1次，注意喷雾均匀、周到。 2. 大风天或预计1小时内降雨，请勿施药。 3. 本品在水稻上使用的安全间隔期为14天，每季最多使用1次。</w:t>
            </w:r>
          </w:p>
        </w:tc>
      </w:tr>
      <w:tr w14:paraId="16EF7280">
        <w:tblPrEx>
          <w:tblCellMar>
            <w:top w:w="0" w:type="dxa"/>
            <w:left w:w="0" w:type="dxa"/>
            <w:bottom w:w="0" w:type="dxa"/>
            <w:right w:w="0" w:type="dxa"/>
          </w:tblCellMar>
        </w:tblPrEx>
        <w:trPr>
          <w:wBefore w:w="0" w:type="auto"/>
          <w:tblCellSpacing w:w="0" w:type="dxa"/>
        </w:trPr>
        <w:tc>
          <w:tcPr>
            <w:tcW w:w="0" w:type="auto"/>
            <w:noWrap w:val="0"/>
            <w:vAlign w:val="center"/>
          </w:tcPr>
          <w:p w14:paraId="0465CA13">
            <w:r>
              <w:rPr>
                <w:rStyle w:val="10"/>
                <w:rFonts w:hint="eastAsia"/>
              </w:rPr>
              <w:t>产品性能:</w:t>
            </w:r>
            <w:r>
              <w:rPr>
                <w:rFonts w:hint="eastAsia"/>
              </w:rPr>
              <w:br w:type="textWrapping"/>
            </w:r>
            <w:r>
              <w:rPr>
                <w:rStyle w:val="11"/>
                <w:rFonts w:hint="eastAsia"/>
              </w:rPr>
              <w:t>本品是由烯啶虫胺与呋虫胺复配而成的杀虫剂，烯啶虫胺的作用机理为主要作用于昆虫神经，对昆虫的轴突触受体具有神经阻断作用。呋虫胺主要作用于昆虫神经传递系统，使害虫引起麻痹从而发挥杀虫作用。按登记剂量使用时，对水稻飞虱具有较好的防治效果。在正常的使用技术条件下，对水稻的生长无不良影响。</w:t>
            </w:r>
          </w:p>
        </w:tc>
      </w:tr>
      <w:tr w14:paraId="3D0582C1">
        <w:tblPrEx>
          <w:tblCellMar>
            <w:top w:w="0" w:type="dxa"/>
            <w:left w:w="0" w:type="dxa"/>
            <w:bottom w:w="0" w:type="dxa"/>
            <w:right w:w="0" w:type="dxa"/>
          </w:tblCellMar>
        </w:tblPrEx>
        <w:trPr>
          <w:wBefore w:w="0" w:type="auto"/>
          <w:tblCellSpacing w:w="0" w:type="dxa"/>
        </w:trPr>
        <w:tc>
          <w:tcPr>
            <w:tcW w:w="0" w:type="auto"/>
            <w:noWrap w:val="0"/>
            <w:vAlign w:val="center"/>
          </w:tcPr>
          <w:p w14:paraId="2DD92774">
            <w:r>
              <w:rPr>
                <w:rStyle w:val="10"/>
                <w:rFonts w:hint="eastAsia"/>
              </w:rPr>
              <w:t>注意事项：</w:t>
            </w:r>
            <w:r>
              <w:rPr>
                <w:rFonts w:hint="eastAsia"/>
              </w:rPr>
              <w:br w:type="textWrapping"/>
            </w:r>
            <w:r>
              <w:rPr>
                <w:rStyle w:val="11"/>
                <w:rFonts w:hint="eastAsia"/>
              </w:rPr>
              <w:t>1. 本品不可与强碱性物质混合使用。 2. 本品对眼睛有刺激性，使用时避免接触眼睛，穿戴长衣、长裤、帽子、口罩、手套等防护措施，避免皮肤接触及口鼻吸入。使用中不可吸烟、饮水及吃东西，使用后及时清洗手、脸等暴露部位皮肤并更换衣物。 3. 用药后包装物及用过的容器应妥善处理，不可做他用，也不可随意丢弃。 4. 禁止在河塘等水体中清洗施药器具。 5. （周围）开花植物花期禁用，使用时封闭蜂箱并施药关注对附近蜂的影响；如花期施药，施用农药3日前告知所在地及邻近3000米以内的养蜂者。蚕室及桑园附近禁止使用，天敌（赤眼蜂）放飞区域禁用。6. 孕妇及哺乳期妇女禁止接触。</w:t>
            </w:r>
          </w:p>
        </w:tc>
      </w:tr>
      <w:tr w14:paraId="523B9613">
        <w:tblPrEx>
          <w:tblCellMar>
            <w:top w:w="0" w:type="dxa"/>
            <w:left w:w="0" w:type="dxa"/>
            <w:bottom w:w="0" w:type="dxa"/>
            <w:right w:w="0" w:type="dxa"/>
          </w:tblCellMar>
        </w:tblPrEx>
        <w:trPr>
          <w:wBefore w:w="0" w:type="auto"/>
          <w:tblCellSpacing w:w="0" w:type="dxa"/>
        </w:trPr>
        <w:tc>
          <w:tcPr>
            <w:tcW w:w="0" w:type="auto"/>
            <w:noWrap w:val="0"/>
            <w:vAlign w:val="center"/>
          </w:tcPr>
          <w:p w14:paraId="1877E86E">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皮肤接触：脱去污染的衣物，立即用软布去除沾染农药，用大量清水和肥皂冲洗。眼睛溅入：立即用流动清水冲洗干净，如仍有不适应就医。吸入：立即离开施药现场，转移到空气清新处。误食：立即停止服用，用清水充分漱口后，携带农药标签到医院就诊，对症治疗。 </w:t>
            </w:r>
          </w:p>
        </w:tc>
      </w:tr>
      <w:tr w14:paraId="0C26808D">
        <w:tblPrEx>
          <w:tblCellMar>
            <w:top w:w="0" w:type="dxa"/>
            <w:left w:w="0" w:type="dxa"/>
            <w:bottom w:w="0" w:type="dxa"/>
            <w:right w:w="0" w:type="dxa"/>
          </w:tblCellMar>
        </w:tblPrEx>
        <w:trPr>
          <w:wBefore w:w="0" w:type="auto"/>
          <w:tblCellSpacing w:w="0" w:type="dxa"/>
        </w:trPr>
        <w:tc>
          <w:tcPr>
            <w:tcW w:w="0" w:type="auto"/>
            <w:noWrap w:val="0"/>
            <w:vAlign w:val="center"/>
          </w:tcPr>
          <w:p w14:paraId="3CBC7B2A">
            <w:r>
              <w:rPr>
                <w:rStyle w:val="10"/>
                <w:rFonts w:hint="eastAsia"/>
              </w:rPr>
              <w:t>储存和运输方法：</w:t>
            </w:r>
            <w:r>
              <w:rPr>
                <w:rFonts w:hint="eastAsia"/>
              </w:rPr>
              <w:br w:type="textWrapping"/>
            </w:r>
            <w:r>
              <w:rPr>
                <w:rStyle w:val="11"/>
                <w:rFonts w:hint="eastAsia"/>
              </w:rPr>
              <w:t>1. 置于儿童触及不到之处，或其他无关人员无法接触的地方，并加锁保存。2. 必须密封保存于阴凉、干燥、通风处，远离火源，严防潮湿和日晒。3. 请勿与食品、饲料、粮食、饲料、日用品等其他商品同贮同运。</w:t>
            </w:r>
          </w:p>
        </w:tc>
      </w:tr>
      <w:tr w14:paraId="038C3902">
        <w:tblPrEx>
          <w:tblCellMar>
            <w:top w:w="0" w:type="dxa"/>
            <w:left w:w="0" w:type="dxa"/>
            <w:bottom w:w="0" w:type="dxa"/>
            <w:right w:w="0" w:type="dxa"/>
          </w:tblCellMar>
        </w:tblPrEx>
        <w:trPr>
          <w:wBefore w:w="0" w:type="auto"/>
          <w:tblCellSpacing w:w="0" w:type="dxa"/>
        </w:trPr>
        <w:tc>
          <w:tcPr>
            <w:tcW w:w="0" w:type="auto"/>
            <w:noWrap w:val="0"/>
            <w:vAlign w:val="center"/>
          </w:tcPr>
          <w:p w14:paraId="09C577D6">
            <w:r>
              <w:rPr>
                <w:rStyle w:val="10"/>
                <w:rFonts w:hint="eastAsia"/>
              </w:rPr>
              <w:t>质量保证期：</w:t>
            </w:r>
            <w:r>
              <w:rPr>
                <w:rStyle w:val="11"/>
                <w:rFonts w:hint="eastAsia"/>
              </w:rPr>
              <w:t>2年</w:t>
            </w:r>
          </w:p>
        </w:tc>
      </w:tr>
      <w:tr w14:paraId="1DC15EFC">
        <w:tblPrEx>
          <w:tblCellMar>
            <w:top w:w="0" w:type="dxa"/>
            <w:left w:w="0" w:type="dxa"/>
            <w:bottom w:w="0" w:type="dxa"/>
            <w:right w:w="0" w:type="dxa"/>
          </w:tblCellMar>
        </w:tblPrEx>
        <w:trPr>
          <w:wBefore w:w="0" w:type="auto"/>
          <w:tblCellSpacing w:w="0" w:type="dxa"/>
        </w:trPr>
        <w:tc>
          <w:tcPr>
            <w:tcW w:w="0" w:type="auto"/>
            <w:noWrap w:val="0"/>
            <w:vAlign w:val="center"/>
          </w:tcPr>
          <w:p w14:paraId="6A8EC07C">
            <w:r>
              <w:rPr>
                <w:rStyle w:val="10"/>
                <w:rFonts w:hint="eastAsia"/>
              </w:rPr>
              <w:t>备注：</w:t>
            </w:r>
          </w:p>
        </w:tc>
      </w:tr>
    </w:tbl>
    <w:p w14:paraId="70E3819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BD756E">
        <w:tblPrEx>
          <w:tblCellMar>
            <w:top w:w="0" w:type="dxa"/>
            <w:left w:w="0" w:type="dxa"/>
            <w:bottom w:w="0" w:type="dxa"/>
            <w:right w:w="0" w:type="dxa"/>
          </w:tblCellMar>
        </w:tblPrEx>
        <w:trPr>
          <w:wBefore w:w="0" w:type="auto"/>
          <w:tblCellSpacing w:w="0" w:type="dxa"/>
        </w:trPr>
        <w:tc>
          <w:tcPr>
            <w:tcW w:w="0" w:type="auto"/>
            <w:noWrap w:val="0"/>
            <w:vAlign w:val="center"/>
          </w:tcPr>
          <w:p w14:paraId="3DACDDC5">
            <w:r>
              <w:rPr>
                <w:rStyle w:val="10"/>
                <w:rFonts w:hint="eastAsia"/>
              </w:rPr>
              <w:t>登记证号：</w:t>
            </w:r>
            <w:r>
              <w:rPr>
                <w:rFonts w:hint="eastAsia"/>
              </w:rPr>
              <w:t>PD20212547</w:t>
            </w:r>
          </w:p>
        </w:tc>
      </w:tr>
      <w:tr w14:paraId="389BF00E">
        <w:tblPrEx>
          <w:tblCellMar>
            <w:top w:w="0" w:type="dxa"/>
            <w:left w:w="0" w:type="dxa"/>
            <w:bottom w:w="0" w:type="dxa"/>
            <w:right w:w="0" w:type="dxa"/>
          </w:tblCellMar>
        </w:tblPrEx>
        <w:trPr>
          <w:wBefore w:w="0" w:type="auto"/>
          <w:tblCellSpacing w:w="0" w:type="dxa"/>
        </w:trPr>
        <w:tc>
          <w:tcPr>
            <w:tcW w:w="0" w:type="auto"/>
            <w:noWrap w:val="0"/>
            <w:vAlign w:val="center"/>
          </w:tcPr>
          <w:p w14:paraId="41DAE11A">
            <w:r>
              <w:rPr>
                <w:rStyle w:val="10"/>
                <w:rFonts w:hint="eastAsia"/>
              </w:rPr>
              <w:t>登记证持有人：</w:t>
            </w:r>
            <w:r>
              <w:rPr>
                <w:rFonts w:hint="eastAsia"/>
              </w:rPr>
              <w:t>山东奥坤作物科学股份有限公司</w:t>
            </w:r>
          </w:p>
        </w:tc>
      </w:tr>
      <w:tr w14:paraId="6F08AD03">
        <w:tblPrEx>
          <w:tblCellMar>
            <w:top w:w="0" w:type="dxa"/>
            <w:left w:w="0" w:type="dxa"/>
            <w:bottom w:w="0" w:type="dxa"/>
            <w:right w:w="0" w:type="dxa"/>
          </w:tblCellMar>
        </w:tblPrEx>
        <w:trPr>
          <w:wBefore w:w="0" w:type="auto"/>
          <w:tblCellSpacing w:w="0" w:type="dxa"/>
        </w:trPr>
        <w:tc>
          <w:tcPr>
            <w:tcW w:w="0" w:type="auto"/>
            <w:noWrap w:val="0"/>
            <w:vAlign w:val="center"/>
          </w:tcPr>
          <w:p w14:paraId="7BEB58D7">
            <w:r>
              <w:rPr>
                <w:rStyle w:val="10"/>
                <w:rFonts w:hint="eastAsia"/>
              </w:rPr>
              <w:t>农药名称：</w:t>
            </w:r>
            <w:r>
              <w:rPr>
                <w:rFonts w:hint="eastAsia"/>
              </w:rPr>
              <w:t>苄嘧·丙草胺</w:t>
            </w:r>
          </w:p>
        </w:tc>
      </w:tr>
      <w:tr w14:paraId="6686C878">
        <w:tblPrEx>
          <w:tblCellMar>
            <w:top w:w="0" w:type="dxa"/>
            <w:left w:w="0" w:type="dxa"/>
            <w:bottom w:w="0" w:type="dxa"/>
            <w:right w:w="0" w:type="dxa"/>
          </w:tblCellMar>
        </w:tblPrEx>
        <w:trPr>
          <w:wBefore w:w="0" w:type="auto"/>
          <w:tblCellSpacing w:w="0" w:type="dxa"/>
        </w:trPr>
        <w:tc>
          <w:tcPr>
            <w:tcW w:w="0" w:type="auto"/>
            <w:noWrap w:val="0"/>
            <w:vAlign w:val="center"/>
          </w:tcPr>
          <w:p w14:paraId="2F699422">
            <w:r>
              <w:rPr>
                <w:rStyle w:val="10"/>
                <w:rFonts w:hint="eastAsia"/>
              </w:rPr>
              <w:t>剂型：</w:t>
            </w:r>
            <w:r>
              <w:rPr>
                <w:rFonts w:hint="eastAsia"/>
              </w:rPr>
              <w:t>可分散油悬浮剂</w:t>
            </w:r>
          </w:p>
        </w:tc>
      </w:tr>
      <w:tr w14:paraId="59131655">
        <w:tblPrEx>
          <w:tblCellMar>
            <w:top w:w="0" w:type="dxa"/>
            <w:left w:w="0" w:type="dxa"/>
            <w:bottom w:w="0" w:type="dxa"/>
            <w:right w:w="0" w:type="dxa"/>
          </w:tblCellMar>
        </w:tblPrEx>
        <w:trPr>
          <w:wBefore w:w="0" w:type="auto"/>
          <w:tblCellSpacing w:w="0" w:type="dxa"/>
        </w:trPr>
        <w:tc>
          <w:tcPr>
            <w:tcW w:w="0" w:type="auto"/>
            <w:noWrap w:val="0"/>
            <w:vAlign w:val="center"/>
          </w:tcPr>
          <w:p w14:paraId="65E8FBEF">
            <w:r>
              <w:rPr>
                <w:rStyle w:val="10"/>
                <w:rFonts w:hint="eastAsia"/>
              </w:rPr>
              <w:t>毒性及其标识：</w:t>
            </w:r>
            <w:r>
              <w:rPr>
                <w:rFonts w:hint="eastAsia"/>
              </w:rPr>
              <w:t xml:space="preserve"> </w:t>
            </w:r>
            <w:r>
              <w:rPr>
                <w:lang/>
              </w:rPr>
              <w:drawing>
                <wp:inline distT="0" distB="0" distL="114300" distR="114300">
                  <wp:extent cx="476250" cy="323850"/>
                  <wp:effectExtent l="0" t="0" r="0" b="0"/>
                  <wp:docPr id="323" name="图片 3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4A221D">
        <w:tblPrEx>
          <w:tblCellMar>
            <w:top w:w="0" w:type="dxa"/>
            <w:left w:w="0" w:type="dxa"/>
            <w:bottom w:w="0" w:type="dxa"/>
            <w:right w:w="0" w:type="dxa"/>
          </w:tblCellMar>
        </w:tblPrEx>
        <w:trPr>
          <w:wBefore w:w="0" w:type="auto"/>
          <w:tblCellSpacing w:w="0" w:type="dxa"/>
        </w:trPr>
        <w:tc>
          <w:tcPr>
            <w:tcW w:w="0" w:type="auto"/>
            <w:noWrap w:val="0"/>
            <w:vAlign w:val="center"/>
          </w:tcPr>
          <w:p w14:paraId="0602C974">
            <w:r>
              <w:rPr>
                <w:rStyle w:val="10"/>
                <w:rFonts w:hint="eastAsia"/>
              </w:rPr>
              <w:t>总有效成分含量：</w:t>
            </w:r>
            <w:r>
              <w:rPr>
                <w:rFonts w:hint="eastAsia"/>
              </w:rPr>
              <w:t>40%</w:t>
            </w:r>
          </w:p>
        </w:tc>
      </w:tr>
      <w:tr w14:paraId="4F6F4F96">
        <w:tblPrEx>
          <w:tblCellMar>
            <w:top w:w="0" w:type="dxa"/>
            <w:left w:w="0" w:type="dxa"/>
            <w:bottom w:w="0" w:type="dxa"/>
            <w:right w:w="0" w:type="dxa"/>
          </w:tblCellMar>
        </w:tblPrEx>
        <w:trPr>
          <w:wBefore w:w="0" w:type="auto"/>
          <w:tblCellSpacing w:w="0" w:type="dxa"/>
        </w:trPr>
        <w:tc>
          <w:tcPr>
            <w:tcW w:w="0" w:type="auto"/>
            <w:noWrap w:val="0"/>
            <w:vAlign w:val="center"/>
          </w:tcPr>
          <w:p w14:paraId="2A2F6ABC">
            <w:r>
              <w:rPr>
                <w:rFonts w:hint="eastAsia"/>
              </w:rPr>
              <w:t xml:space="preserve">有效成分及其含量： </w:t>
            </w:r>
          </w:p>
          <w:p w14:paraId="57D7E8ED">
            <w:r>
              <w:rPr>
                <w:rFonts w:hint="eastAsia"/>
              </w:rPr>
              <w:t xml:space="preserve">    丙草胺36%    苄嘧磺隆4%    </w:t>
            </w:r>
          </w:p>
        </w:tc>
      </w:tr>
      <w:tr w14:paraId="1124A703">
        <w:tblPrEx>
          <w:tblCellMar>
            <w:top w:w="0" w:type="dxa"/>
            <w:left w:w="0" w:type="dxa"/>
            <w:bottom w:w="0" w:type="dxa"/>
            <w:right w:w="0" w:type="dxa"/>
          </w:tblCellMar>
        </w:tblPrEx>
        <w:trPr>
          <w:wBefore w:w="0" w:type="auto"/>
          <w:tblCellSpacing w:w="0" w:type="dxa"/>
        </w:trPr>
        <w:tc>
          <w:tcPr>
            <w:tcW w:w="0" w:type="auto"/>
            <w:noWrap w:val="0"/>
            <w:vAlign w:val="center"/>
          </w:tcPr>
          <w:p w14:paraId="1477BC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AFD7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899A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3C2C4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C12D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BD2020">
                  <w:r>
                    <w:rPr>
                      <w:rStyle w:val="11"/>
                      <w:rFonts w:hint="eastAsia"/>
                    </w:rPr>
                    <w:t>施用方式</w:t>
                  </w:r>
                </w:p>
              </w:tc>
            </w:tr>
            <w:tr w14:paraId="540BE3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22617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8CCDD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2390A6">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6B1EAE">
                  <w:r>
                    <w:rPr>
                      <w:rStyle w:val="11"/>
                      <w:rFonts w:hint="eastAsia"/>
                    </w:rPr>
                    <w:t>土壤喷雾</w:t>
                  </w:r>
                </w:p>
              </w:tc>
            </w:tr>
          </w:tbl>
          <w:p w14:paraId="7A883AF2">
            <w:pPr>
              <w:rPr>
                <w:rFonts w:ascii="Times New Roman" w:hAnsi="Times New Roman" w:cs="Times New Roman"/>
                <w:sz w:val="20"/>
                <w:szCs w:val="20"/>
              </w:rPr>
            </w:pPr>
          </w:p>
        </w:tc>
      </w:tr>
      <w:tr w14:paraId="008D5698">
        <w:tblPrEx>
          <w:tblCellMar>
            <w:top w:w="0" w:type="dxa"/>
            <w:left w:w="0" w:type="dxa"/>
            <w:bottom w:w="0" w:type="dxa"/>
            <w:right w:w="0" w:type="dxa"/>
          </w:tblCellMar>
        </w:tblPrEx>
        <w:trPr>
          <w:wBefore w:w="0" w:type="auto"/>
          <w:tblCellSpacing w:w="0" w:type="dxa"/>
        </w:trPr>
        <w:tc>
          <w:tcPr>
            <w:tcW w:w="0" w:type="auto"/>
            <w:noWrap w:val="0"/>
            <w:vAlign w:val="center"/>
          </w:tcPr>
          <w:p w14:paraId="0C93273A">
            <w:r>
              <w:rPr>
                <w:rStyle w:val="10"/>
                <w:rFonts w:hint="eastAsia"/>
              </w:rPr>
              <w:t>使用技术要求:</w:t>
            </w:r>
            <w:r>
              <w:rPr>
                <w:rFonts w:hint="eastAsia"/>
              </w:rPr>
              <w:br w:type="textWrapping"/>
            </w:r>
            <w:r>
              <w:rPr>
                <w:rStyle w:val="11"/>
                <w:rFonts w:hint="eastAsia"/>
              </w:rPr>
              <w:t>1、本品使用时期应于水稻播种后 2~4天内用药，土壤喷雾处理，用水量450-750升/公顷。药后一周保持田间湿润。 2、大风天或预计1小时内降雨，请勿施药。 3、每季最多使用1次。4、田间积水易造成药害。</w:t>
            </w:r>
          </w:p>
        </w:tc>
      </w:tr>
      <w:tr w14:paraId="690DA9D6">
        <w:tblPrEx>
          <w:tblCellMar>
            <w:top w:w="0" w:type="dxa"/>
            <w:left w:w="0" w:type="dxa"/>
            <w:bottom w:w="0" w:type="dxa"/>
            <w:right w:w="0" w:type="dxa"/>
          </w:tblCellMar>
        </w:tblPrEx>
        <w:trPr>
          <w:wBefore w:w="0" w:type="auto"/>
          <w:tblCellSpacing w:w="0" w:type="dxa"/>
        </w:trPr>
        <w:tc>
          <w:tcPr>
            <w:tcW w:w="0" w:type="auto"/>
            <w:noWrap w:val="0"/>
            <w:vAlign w:val="center"/>
          </w:tcPr>
          <w:p w14:paraId="5F30F5A6">
            <w:r>
              <w:rPr>
                <w:rStyle w:val="10"/>
                <w:rFonts w:hint="eastAsia"/>
              </w:rPr>
              <w:t>产品性能:</w:t>
            </w:r>
            <w:r>
              <w:rPr>
                <w:rFonts w:hint="eastAsia"/>
              </w:rPr>
              <w:br w:type="textWrapping"/>
            </w:r>
            <w:r>
              <w:rPr>
                <w:rStyle w:val="11"/>
                <w:rFonts w:hint="eastAsia"/>
              </w:rPr>
              <w:t xml:space="preserve">本品是酰胺类选择性萌前处理剂，含安全剂解草啶，杂草可通过植物下胚轴，中胚轴和胚芽吸收，根部略有吸收，直接干扰杂草体内蛋白质合成，并对光合及呼吸作用有间接影响。受害杂草幼苗扭曲，初生叶难伸出，叶色变深绿，生长停止，直至死亡。可用于防除直播水稻田一年生杂草。 </w:t>
            </w:r>
          </w:p>
        </w:tc>
      </w:tr>
      <w:tr w14:paraId="5AF67BB5">
        <w:tblPrEx>
          <w:tblCellMar>
            <w:top w:w="0" w:type="dxa"/>
            <w:left w:w="0" w:type="dxa"/>
            <w:bottom w:w="0" w:type="dxa"/>
            <w:right w:w="0" w:type="dxa"/>
          </w:tblCellMar>
        </w:tblPrEx>
        <w:trPr>
          <w:wBefore w:w="0" w:type="auto"/>
          <w:tblCellSpacing w:w="0" w:type="dxa"/>
        </w:trPr>
        <w:tc>
          <w:tcPr>
            <w:tcW w:w="0" w:type="auto"/>
            <w:noWrap w:val="0"/>
            <w:vAlign w:val="center"/>
          </w:tcPr>
          <w:p w14:paraId="5C0C21A0">
            <w:r>
              <w:rPr>
                <w:rStyle w:val="10"/>
                <w:rFonts w:hint="eastAsia"/>
              </w:rPr>
              <w:t>注意事项：</w:t>
            </w:r>
            <w:r>
              <w:rPr>
                <w:rFonts w:hint="eastAsia"/>
              </w:rPr>
              <w:br w:type="textWrapping"/>
            </w:r>
            <w:r>
              <w:rPr>
                <w:rStyle w:val="11"/>
                <w:rFonts w:hint="eastAsia"/>
              </w:rPr>
              <w:t>1、在直播稻田使用时应先试验，掌握适合当地的用法再推广。2、使用本品应穿戴防护服、戴口罩和手套等，避免吸入药液。施药期间不可吃东西和饮水，施药后应及时洗手和洗脸。 3、远离水产养殖区、河塘等水体施药，施药时避免药液飘移到邻近作物上，施药后的田水不得直接排入水体。水产养殖区、河塘等水体附近禁用。 4、鱼或虾蟹套养稻田禁用。施药后的田水不得直接排入水体。 5、（周围）开花植物花期禁用。6、用过的容器应妥善处理，不可做他用，也不可随意丢弃。 7、孕妇及哺乳期妇女避免接触。 8、本品对眼睛有刺激性，使用时要注意避免与眼睛接触。</w:t>
            </w:r>
          </w:p>
        </w:tc>
      </w:tr>
      <w:tr w14:paraId="557C6E53">
        <w:tblPrEx>
          <w:tblCellMar>
            <w:top w:w="0" w:type="dxa"/>
            <w:left w:w="0" w:type="dxa"/>
            <w:bottom w:w="0" w:type="dxa"/>
            <w:right w:w="0" w:type="dxa"/>
          </w:tblCellMar>
        </w:tblPrEx>
        <w:trPr>
          <w:wBefore w:w="0" w:type="auto"/>
          <w:tblCellSpacing w:w="0" w:type="dxa"/>
        </w:trPr>
        <w:tc>
          <w:tcPr>
            <w:tcW w:w="0" w:type="auto"/>
            <w:noWrap w:val="0"/>
            <w:vAlign w:val="center"/>
          </w:tcPr>
          <w:p w14:paraId="1AD9009C">
            <w:r>
              <w:rPr>
                <w:rStyle w:val="10"/>
                <w:rFonts w:hint="eastAsia"/>
              </w:rPr>
              <w:t>中毒急救措施：</w:t>
            </w:r>
            <w:r>
              <w:rPr>
                <w:rFonts w:hint="eastAsia"/>
              </w:rPr>
              <w:br w:type="textWrapping"/>
            </w:r>
            <w:r>
              <w:rPr>
                <w:rStyle w:val="11"/>
                <w:rFonts w:hint="eastAsia"/>
              </w:rPr>
              <w:t>中毒症状：用药时如果感觉不适，立即停止工作，并携此标签送医就诊。本品对眼睛有刺激性，使用时要注意避免与眼睛接触。 急救治疗：不慎吸入应立即离开施药现场，转移到空气新鲜处。皮肤接触：立即脱掉污染衣物，用大量清水冲洗被污染的皮肤，如皮肤刺激感持续，请医生诊治。眼睛接触：立即翻开眼睑，用流动清水冲洗至少15分钟，请医生诊治。误服：立即携带标签，送医就诊，没有专门的解毒药，根据中毒症状进行治疗。</w:t>
            </w:r>
          </w:p>
        </w:tc>
      </w:tr>
      <w:tr w14:paraId="10B5346A">
        <w:tblPrEx>
          <w:tblCellMar>
            <w:top w:w="0" w:type="dxa"/>
            <w:left w:w="0" w:type="dxa"/>
            <w:bottom w:w="0" w:type="dxa"/>
            <w:right w:w="0" w:type="dxa"/>
          </w:tblCellMar>
        </w:tblPrEx>
        <w:trPr>
          <w:wBefore w:w="0" w:type="auto"/>
          <w:tblCellSpacing w:w="0" w:type="dxa"/>
        </w:trPr>
        <w:tc>
          <w:tcPr>
            <w:tcW w:w="0" w:type="auto"/>
            <w:noWrap w:val="0"/>
            <w:vAlign w:val="center"/>
          </w:tcPr>
          <w:p w14:paraId="476E723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0B06C848">
        <w:tblPrEx>
          <w:tblCellMar>
            <w:top w:w="0" w:type="dxa"/>
            <w:left w:w="0" w:type="dxa"/>
            <w:bottom w:w="0" w:type="dxa"/>
            <w:right w:w="0" w:type="dxa"/>
          </w:tblCellMar>
        </w:tblPrEx>
        <w:trPr>
          <w:wBefore w:w="0" w:type="auto"/>
          <w:tblCellSpacing w:w="0" w:type="dxa"/>
        </w:trPr>
        <w:tc>
          <w:tcPr>
            <w:tcW w:w="0" w:type="auto"/>
            <w:noWrap w:val="0"/>
            <w:vAlign w:val="center"/>
          </w:tcPr>
          <w:p w14:paraId="5CA77DA3">
            <w:r>
              <w:rPr>
                <w:rStyle w:val="10"/>
                <w:rFonts w:hint="eastAsia"/>
              </w:rPr>
              <w:t>质量保证期：</w:t>
            </w:r>
            <w:r>
              <w:rPr>
                <w:rStyle w:val="11"/>
                <w:rFonts w:hint="eastAsia"/>
              </w:rPr>
              <w:t>2年</w:t>
            </w:r>
          </w:p>
        </w:tc>
      </w:tr>
      <w:tr w14:paraId="6340C966">
        <w:tblPrEx>
          <w:tblCellMar>
            <w:top w:w="0" w:type="dxa"/>
            <w:left w:w="0" w:type="dxa"/>
            <w:bottom w:w="0" w:type="dxa"/>
            <w:right w:w="0" w:type="dxa"/>
          </w:tblCellMar>
        </w:tblPrEx>
        <w:trPr>
          <w:wBefore w:w="0" w:type="auto"/>
          <w:tblCellSpacing w:w="0" w:type="dxa"/>
        </w:trPr>
        <w:tc>
          <w:tcPr>
            <w:tcW w:w="0" w:type="auto"/>
            <w:noWrap w:val="0"/>
            <w:vAlign w:val="center"/>
          </w:tcPr>
          <w:p w14:paraId="386314C2">
            <w:r>
              <w:rPr>
                <w:rStyle w:val="10"/>
                <w:rFonts w:hint="eastAsia"/>
              </w:rPr>
              <w:t>备注：</w:t>
            </w:r>
          </w:p>
        </w:tc>
      </w:tr>
    </w:tbl>
    <w:p w14:paraId="39B4C5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CA5CD7">
        <w:tblPrEx>
          <w:tblCellMar>
            <w:top w:w="0" w:type="dxa"/>
            <w:left w:w="0" w:type="dxa"/>
            <w:bottom w:w="0" w:type="dxa"/>
            <w:right w:w="0" w:type="dxa"/>
          </w:tblCellMar>
        </w:tblPrEx>
        <w:trPr>
          <w:wBefore w:w="0" w:type="auto"/>
          <w:tblCellSpacing w:w="0" w:type="dxa"/>
        </w:trPr>
        <w:tc>
          <w:tcPr>
            <w:tcW w:w="0" w:type="auto"/>
            <w:noWrap w:val="0"/>
            <w:vAlign w:val="center"/>
          </w:tcPr>
          <w:p w14:paraId="6A63F0ED">
            <w:r>
              <w:rPr>
                <w:rStyle w:val="10"/>
                <w:rFonts w:hint="eastAsia"/>
              </w:rPr>
              <w:t>登记证号：</w:t>
            </w:r>
            <w:r>
              <w:rPr>
                <w:rFonts w:hint="eastAsia"/>
              </w:rPr>
              <w:t>PD20212758</w:t>
            </w:r>
          </w:p>
        </w:tc>
      </w:tr>
      <w:tr w14:paraId="0EC21FEA">
        <w:tblPrEx>
          <w:tblCellMar>
            <w:top w:w="0" w:type="dxa"/>
            <w:left w:w="0" w:type="dxa"/>
            <w:bottom w:w="0" w:type="dxa"/>
            <w:right w:w="0" w:type="dxa"/>
          </w:tblCellMar>
        </w:tblPrEx>
        <w:trPr>
          <w:wBefore w:w="0" w:type="auto"/>
          <w:tblCellSpacing w:w="0" w:type="dxa"/>
        </w:trPr>
        <w:tc>
          <w:tcPr>
            <w:tcW w:w="0" w:type="auto"/>
            <w:noWrap w:val="0"/>
            <w:vAlign w:val="center"/>
          </w:tcPr>
          <w:p w14:paraId="756E4029">
            <w:r>
              <w:rPr>
                <w:rStyle w:val="10"/>
                <w:rFonts w:hint="eastAsia"/>
              </w:rPr>
              <w:t>登记证持有人：</w:t>
            </w:r>
            <w:r>
              <w:rPr>
                <w:rFonts w:hint="eastAsia"/>
              </w:rPr>
              <w:t>河南瀚斯作物保护有限公司</w:t>
            </w:r>
          </w:p>
        </w:tc>
      </w:tr>
      <w:tr w14:paraId="64582814">
        <w:tblPrEx>
          <w:tblCellMar>
            <w:top w:w="0" w:type="dxa"/>
            <w:left w:w="0" w:type="dxa"/>
            <w:bottom w:w="0" w:type="dxa"/>
            <w:right w:w="0" w:type="dxa"/>
          </w:tblCellMar>
        </w:tblPrEx>
        <w:trPr>
          <w:wBefore w:w="0" w:type="auto"/>
          <w:tblCellSpacing w:w="0" w:type="dxa"/>
        </w:trPr>
        <w:tc>
          <w:tcPr>
            <w:tcW w:w="0" w:type="auto"/>
            <w:noWrap w:val="0"/>
            <w:vAlign w:val="center"/>
          </w:tcPr>
          <w:p w14:paraId="6D521197">
            <w:r>
              <w:rPr>
                <w:rStyle w:val="10"/>
                <w:rFonts w:hint="eastAsia"/>
              </w:rPr>
              <w:t>农药名称：</w:t>
            </w:r>
            <w:r>
              <w:rPr>
                <w:rFonts w:hint="eastAsia"/>
              </w:rPr>
              <w:t>24-表芸苔素内酯·S-诱抗素</w:t>
            </w:r>
          </w:p>
        </w:tc>
      </w:tr>
      <w:tr w14:paraId="757D75FB">
        <w:tblPrEx>
          <w:tblCellMar>
            <w:top w:w="0" w:type="dxa"/>
            <w:left w:w="0" w:type="dxa"/>
            <w:bottom w:w="0" w:type="dxa"/>
            <w:right w:w="0" w:type="dxa"/>
          </w:tblCellMar>
        </w:tblPrEx>
        <w:trPr>
          <w:wBefore w:w="0" w:type="auto"/>
          <w:tblCellSpacing w:w="0" w:type="dxa"/>
        </w:trPr>
        <w:tc>
          <w:tcPr>
            <w:tcW w:w="0" w:type="auto"/>
            <w:noWrap w:val="0"/>
            <w:vAlign w:val="center"/>
          </w:tcPr>
          <w:p w14:paraId="2EA196A4">
            <w:r>
              <w:rPr>
                <w:rStyle w:val="10"/>
                <w:rFonts w:hint="eastAsia"/>
              </w:rPr>
              <w:t>剂型：</w:t>
            </w:r>
            <w:r>
              <w:rPr>
                <w:rFonts w:hint="eastAsia"/>
              </w:rPr>
              <w:t>可溶液剂</w:t>
            </w:r>
          </w:p>
        </w:tc>
      </w:tr>
      <w:tr w14:paraId="1E8C5A1E">
        <w:tblPrEx>
          <w:tblCellMar>
            <w:top w:w="0" w:type="dxa"/>
            <w:left w:w="0" w:type="dxa"/>
            <w:bottom w:w="0" w:type="dxa"/>
            <w:right w:w="0" w:type="dxa"/>
          </w:tblCellMar>
        </w:tblPrEx>
        <w:trPr>
          <w:wBefore w:w="0" w:type="auto"/>
          <w:tblCellSpacing w:w="0" w:type="dxa"/>
        </w:trPr>
        <w:tc>
          <w:tcPr>
            <w:tcW w:w="0" w:type="auto"/>
            <w:noWrap w:val="0"/>
            <w:vAlign w:val="center"/>
          </w:tcPr>
          <w:p w14:paraId="7BB4E327">
            <w:r>
              <w:rPr>
                <w:rStyle w:val="10"/>
                <w:rFonts w:hint="eastAsia"/>
              </w:rPr>
              <w:t>毒性及其标识：</w:t>
            </w:r>
            <w:r>
              <w:rPr>
                <w:rFonts w:hint="eastAsia"/>
              </w:rPr>
              <w:t xml:space="preserve"> </w:t>
            </w:r>
            <w:r>
              <w:rPr>
                <w:lang/>
              </w:rPr>
              <w:drawing>
                <wp:inline distT="0" distB="0" distL="114300" distR="114300">
                  <wp:extent cx="476250" cy="323850"/>
                  <wp:effectExtent l="0" t="0" r="0" b="0"/>
                  <wp:docPr id="324" name="图片 3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F8BC10">
        <w:tblPrEx>
          <w:tblCellMar>
            <w:top w:w="0" w:type="dxa"/>
            <w:left w:w="0" w:type="dxa"/>
            <w:bottom w:w="0" w:type="dxa"/>
            <w:right w:w="0" w:type="dxa"/>
          </w:tblCellMar>
        </w:tblPrEx>
        <w:trPr>
          <w:wBefore w:w="0" w:type="auto"/>
          <w:tblCellSpacing w:w="0" w:type="dxa"/>
        </w:trPr>
        <w:tc>
          <w:tcPr>
            <w:tcW w:w="0" w:type="auto"/>
            <w:noWrap w:val="0"/>
            <w:vAlign w:val="center"/>
          </w:tcPr>
          <w:p w14:paraId="20B1A855">
            <w:r>
              <w:rPr>
                <w:rStyle w:val="10"/>
                <w:rFonts w:hint="eastAsia"/>
              </w:rPr>
              <w:t>总有效成分含量：</w:t>
            </w:r>
            <w:r>
              <w:rPr>
                <w:rFonts w:hint="eastAsia"/>
              </w:rPr>
              <w:t>0.25%</w:t>
            </w:r>
          </w:p>
        </w:tc>
      </w:tr>
      <w:tr w14:paraId="6C9409AA">
        <w:tblPrEx>
          <w:tblCellMar>
            <w:top w:w="0" w:type="dxa"/>
            <w:left w:w="0" w:type="dxa"/>
            <w:bottom w:w="0" w:type="dxa"/>
            <w:right w:w="0" w:type="dxa"/>
          </w:tblCellMar>
        </w:tblPrEx>
        <w:trPr>
          <w:wBefore w:w="0" w:type="auto"/>
          <w:tblCellSpacing w:w="0" w:type="dxa"/>
        </w:trPr>
        <w:tc>
          <w:tcPr>
            <w:tcW w:w="0" w:type="auto"/>
            <w:noWrap w:val="0"/>
            <w:vAlign w:val="center"/>
          </w:tcPr>
          <w:p w14:paraId="69071092">
            <w:r>
              <w:rPr>
                <w:rFonts w:hint="eastAsia"/>
              </w:rPr>
              <w:t xml:space="preserve">有效成分及其含量： </w:t>
            </w:r>
          </w:p>
          <w:p w14:paraId="2773E7C2">
            <w:r>
              <w:rPr>
                <w:rFonts w:hint="eastAsia"/>
              </w:rPr>
              <w:t xml:space="preserve">    24-表芸苔素内酯0.001%    S-诱抗素0.249%    </w:t>
            </w:r>
          </w:p>
        </w:tc>
      </w:tr>
      <w:tr w14:paraId="6579C425">
        <w:tblPrEx>
          <w:tblCellMar>
            <w:top w:w="0" w:type="dxa"/>
            <w:left w:w="0" w:type="dxa"/>
            <w:bottom w:w="0" w:type="dxa"/>
            <w:right w:w="0" w:type="dxa"/>
          </w:tblCellMar>
        </w:tblPrEx>
        <w:trPr>
          <w:wBefore w:w="0" w:type="auto"/>
          <w:tblCellSpacing w:w="0" w:type="dxa"/>
        </w:trPr>
        <w:tc>
          <w:tcPr>
            <w:tcW w:w="0" w:type="auto"/>
            <w:noWrap w:val="0"/>
            <w:vAlign w:val="center"/>
          </w:tcPr>
          <w:p w14:paraId="28123E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C6A5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01DA2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9DB0C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EB5E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3D255C">
                  <w:r>
                    <w:rPr>
                      <w:rStyle w:val="11"/>
                      <w:rFonts w:hint="eastAsia"/>
                    </w:rPr>
                    <w:t>施用方式</w:t>
                  </w:r>
                </w:p>
              </w:tc>
            </w:tr>
            <w:tr w14:paraId="42FA47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5E0C0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3AD58C">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283C2">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2B5253">
                  <w:r>
                    <w:rPr>
                      <w:rStyle w:val="11"/>
                      <w:rFonts w:hint="eastAsia"/>
                    </w:rPr>
                    <w:t>喷雾</w:t>
                  </w:r>
                </w:p>
              </w:tc>
            </w:tr>
          </w:tbl>
          <w:p w14:paraId="0A1561EB">
            <w:pPr>
              <w:rPr>
                <w:rFonts w:ascii="Times New Roman" w:hAnsi="Times New Roman" w:cs="Times New Roman"/>
                <w:sz w:val="20"/>
                <w:szCs w:val="20"/>
              </w:rPr>
            </w:pPr>
          </w:p>
        </w:tc>
      </w:tr>
      <w:tr w14:paraId="77B66DE1">
        <w:tblPrEx>
          <w:tblCellMar>
            <w:top w:w="0" w:type="dxa"/>
            <w:left w:w="0" w:type="dxa"/>
            <w:bottom w:w="0" w:type="dxa"/>
            <w:right w:w="0" w:type="dxa"/>
          </w:tblCellMar>
        </w:tblPrEx>
        <w:trPr>
          <w:wBefore w:w="0" w:type="auto"/>
          <w:tblCellSpacing w:w="0" w:type="dxa"/>
        </w:trPr>
        <w:tc>
          <w:tcPr>
            <w:tcW w:w="0" w:type="auto"/>
            <w:noWrap w:val="0"/>
            <w:vAlign w:val="center"/>
          </w:tcPr>
          <w:p w14:paraId="221EDD1A">
            <w:r>
              <w:rPr>
                <w:rStyle w:val="10"/>
                <w:rFonts w:hint="eastAsia"/>
              </w:rPr>
              <w:t>使用技术要求:</w:t>
            </w:r>
            <w:r>
              <w:rPr>
                <w:rFonts w:hint="eastAsia"/>
              </w:rPr>
              <w:br w:type="textWrapping"/>
            </w:r>
            <w:r>
              <w:rPr>
                <w:rStyle w:val="11"/>
                <w:rFonts w:hint="eastAsia"/>
              </w:rPr>
              <w:t>1. 在水稻分蘖期、破口期各喷雾一次，施药时应周到、均匀，勿重喷或漏喷。 2. 使用时间选择在早、晚较凉爽时为宜，喷药4小时内遇雨需重喷。 3. 大风天或下雨前后勿施药。</w:t>
            </w:r>
          </w:p>
        </w:tc>
      </w:tr>
      <w:tr w14:paraId="06D0FAAE">
        <w:tblPrEx>
          <w:tblCellMar>
            <w:top w:w="0" w:type="dxa"/>
            <w:left w:w="0" w:type="dxa"/>
            <w:bottom w:w="0" w:type="dxa"/>
            <w:right w:w="0" w:type="dxa"/>
          </w:tblCellMar>
        </w:tblPrEx>
        <w:trPr>
          <w:wBefore w:w="0" w:type="auto"/>
          <w:tblCellSpacing w:w="0" w:type="dxa"/>
        </w:trPr>
        <w:tc>
          <w:tcPr>
            <w:tcW w:w="0" w:type="auto"/>
            <w:noWrap w:val="0"/>
            <w:vAlign w:val="center"/>
          </w:tcPr>
          <w:p w14:paraId="1315489D">
            <w:r>
              <w:rPr>
                <w:rStyle w:val="10"/>
                <w:rFonts w:hint="eastAsia"/>
              </w:rPr>
              <w:t>产品性能:</w:t>
            </w:r>
            <w:r>
              <w:rPr>
                <w:rFonts w:hint="eastAsia"/>
              </w:rPr>
              <w:br w:type="textWrapping"/>
            </w:r>
            <w:r>
              <w:rPr>
                <w:rStyle w:val="11"/>
                <w:rFonts w:hint="eastAsia"/>
              </w:rPr>
              <w:t>本品是由24-表芸苔素内酯和S-诱抗素复配而成的植物生长调节剂，具有使植物细胞分裂和延长的双重作用，能平衡植物生长，增强光合作用，提高作物叶绿素含量，促进作物对肥料的有效吸收，辅助作物劣势部分良好的生长，有效增强植物抗逆能力。对水稻增产和改善品质有良好效果。</w:t>
            </w:r>
          </w:p>
        </w:tc>
      </w:tr>
      <w:tr w14:paraId="2A04858D">
        <w:tblPrEx>
          <w:tblCellMar>
            <w:top w:w="0" w:type="dxa"/>
            <w:left w:w="0" w:type="dxa"/>
            <w:bottom w:w="0" w:type="dxa"/>
            <w:right w:w="0" w:type="dxa"/>
          </w:tblCellMar>
        </w:tblPrEx>
        <w:trPr>
          <w:wBefore w:w="0" w:type="auto"/>
          <w:tblCellSpacing w:w="0" w:type="dxa"/>
        </w:trPr>
        <w:tc>
          <w:tcPr>
            <w:tcW w:w="0" w:type="auto"/>
            <w:noWrap w:val="0"/>
            <w:vAlign w:val="center"/>
          </w:tcPr>
          <w:p w14:paraId="10FB6696">
            <w:r>
              <w:rPr>
                <w:rStyle w:val="10"/>
                <w:rFonts w:hint="eastAsia"/>
              </w:rPr>
              <w:t>注意事项：</w:t>
            </w:r>
            <w:r>
              <w:rPr>
                <w:rFonts w:hint="eastAsia"/>
              </w:rPr>
              <w:br w:type="textWrapping"/>
            </w:r>
            <w:r>
              <w:rPr>
                <w:rStyle w:val="11"/>
                <w:rFonts w:hint="eastAsia"/>
              </w:rPr>
              <w:t>1. 本品不可与碱性物质混用。2. 注意避光保存，开启包装后最好一次性用完，配制好的水溶液不易久存，现配现用。3. 使用本品时应穿长衣长裤、戴手套、眼镜、口罩等，此时不可吃东西、喝水和吸烟；施药后应及时清洗干净手脸等。 4. 水产养殖区、河塘等水体附近禁用，禁止在河塘等水体中清洗施药器具； 鱼或虾蟹套养稻田禁用、施药后的田水不得直接排入水体。。5. 孕妇及哺乳期女禁止接触本品。 6. 用过的包装应妥善处理，不可做他用，也不可随意丢弃。7. 避免与具有氧化性物质接触或混合。</w:t>
            </w:r>
          </w:p>
        </w:tc>
      </w:tr>
      <w:tr w14:paraId="50000E28">
        <w:tblPrEx>
          <w:tblCellMar>
            <w:top w:w="0" w:type="dxa"/>
            <w:left w:w="0" w:type="dxa"/>
            <w:bottom w:w="0" w:type="dxa"/>
            <w:right w:w="0" w:type="dxa"/>
          </w:tblCellMar>
        </w:tblPrEx>
        <w:trPr>
          <w:wBefore w:w="0" w:type="auto"/>
          <w:tblCellSpacing w:w="0" w:type="dxa"/>
        </w:trPr>
        <w:tc>
          <w:tcPr>
            <w:tcW w:w="0" w:type="auto"/>
            <w:noWrap w:val="0"/>
            <w:vAlign w:val="center"/>
          </w:tcPr>
          <w:p w14:paraId="794BD40C">
            <w:r>
              <w:rPr>
                <w:rStyle w:val="10"/>
                <w:rFonts w:hint="eastAsia"/>
              </w:rPr>
              <w:t>中毒急救措施：</w:t>
            </w:r>
            <w:r>
              <w:rPr>
                <w:rFonts w:hint="eastAsia"/>
              </w:rPr>
              <w:br w:type="textWrapping"/>
            </w:r>
            <w:r>
              <w:rPr>
                <w:rStyle w:val="11"/>
                <w:rFonts w:hint="eastAsia"/>
              </w:rPr>
              <w:t>1. 中毒症状表现为头痛、呕吐、恶心、呼吸急促、抽搐、昏迷等。严重时对肝、肾损伤。2. 眼睛溅入：立刻用大量清水冲洗，如配戴隐形眼镜，冲洗1-2分钟后摘掉眼镜再冲洗数分钟。如症状持续，请就医。3. 不慎吸入，将病人移至空气流通处。4. 皮肤沾附∶除去被溅及衣物，并立刻用肥皂和大量清水冲洗皮肤。被溅及衣物须彻底清洗后方可再穿。5. 误食∶请勿引吐。如误食请就医，对症治疗。无特效解毒剂。</w:t>
            </w:r>
          </w:p>
        </w:tc>
      </w:tr>
      <w:tr w14:paraId="2805909F">
        <w:tblPrEx>
          <w:tblCellMar>
            <w:top w:w="0" w:type="dxa"/>
            <w:left w:w="0" w:type="dxa"/>
            <w:bottom w:w="0" w:type="dxa"/>
            <w:right w:w="0" w:type="dxa"/>
          </w:tblCellMar>
        </w:tblPrEx>
        <w:trPr>
          <w:wBefore w:w="0" w:type="auto"/>
          <w:tblCellSpacing w:w="0" w:type="dxa"/>
        </w:trPr>
        <w:tc>
          <w:tcPr>
            <w:tcW w:w="0" w:type="auto"/>
            <w:noWrap w:val="0"/>
            <w:vAlign w:val="center"/>
          </w:tcPr>
          <w:p w14:paraId="7B1AE93C">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本品应贮存在干燥、阴凉、通风处、防雨防湿防潮，远离火源或热源。置于儿童及无关人员触及不到的地方，并加锁保存。勿与食品、饮料、种子、饲料等其他商品同贮同运。</w:t>
            </w:r>
          </w:p>
        </w:tc>
      </w:tr>
      <w:tr w14:paraId="185A616D">
        <w:tblPrEx>
          <w:tblCellMar>
            <w:top w:w="0" w:type="dxa"/>
            <w:left w:w="0" w:type="dxa"/>
            <w:bottom w:w="0" w:type="dxa"/>
            <w:right w:w="0" w:type="dxa"/>
          </w:tblCellMar>
        </w:tblPrEx>
        <w:trPr>
          <w:wBefore w:w="0" w:type="auto"/>
          <w:tblCellSpacing w:w="0" w:type="dxa"/>
        </w:trPr>
        <w:tc>
          <w:tcPr>
            <w:tcW w:w="0" w:type="auto"/>
            <w:noWrap w:val="0"/>
            <w:vAlign w:val="center"/>
          </w:tcPr>
          <w:p w14:paraId="722F390D">
            <w:r>
              <w:rPr>
                <w:rStyle w:val="10"/>
                <w:rFonts w:hint="eastAsia"/>
              </w:rPr>
              <w:t>质量保证期：</w:t>
            </w:r>
            <w:r>
              <w:rPr>
                <w:rStyle w:val="11"/>
                <w:rFonts w:hint="eastAsia"/>
              </w:rPr>
              <w:t>2年</w:t>
            </w:r>
          </w:p>
        </w:tc>
      </w:tr>
      <w:tr w14:paraId="39CAEA90">
        <w:tblPrEx>
          <w:tblCellMar>
            <w:top w:w="0" w:type="dxa"/>
            <w:left w:w="0" w:type="dxa"/>
            <w:bottom w:w="0" w:type="dxa"/>
            <w:right w:w="0" w:type="dxa"/>
          </w:tblCellMar>
        </w:tblPrEx>
        <w:trPr>
          <w:wBefore w:w="0" w:type="auto"/>
          <w:tblCellSpacing w:w="0" w:type="dxa"/>
        </w:trPr>
        <w:tc>
          <w:tcPr>
            <w:tcW w:w="0" w:type="auto"/>
            <w:noWrap w:val="0"/>
            <w:vAlign w:val="center"/>
          </w:tcPr>
          <w:p w14:paraId="539123E2">
            <w:r>
              <w:rPr>
                <w:rStyle w:val="10"/>
                <w:rFonts w:hint="eastAsia"/>
              </w:rPr>
              <w:t>备注：</w:t>
            </w:r>
          </w:p>
        </w:tc>
      </w:tr>
    </w:tbl>
    <w:p w14:paraId="7A1D2B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B6F339">
        <w:tblPrEx>
          <w:tblCellMar>
            <w:top w:w="0" w:type="dxa"/>
            <w:left w:w="0" w:type="dxa"/>
            <w:bottom w:w="0" w:type="dxa"/>
            <w:right w:w="0" w:type="dxa"/>
          </w:tblCellMar>
        </w:tblPrEx>
        <w:trPr>
          <w:wBefore w:w="0" w:type="auto"/>
          <w:tblCellSpacing w:w="0" w:type="dxa"/>
        </w:trPr>
        <w:tc>
          <w:tcPr>
            <w:tcW w:w="0" w:type="auto"/>
            <w:noWrap w:val="0"/>
            <w:vAlign w:val="center"/>
          </w:tcPr>
          <w:p w14:paraId="7761EE99">
            <w:r>
              <w:rPr>
                <w:rStyle w:val="10"/>
                <w:rFonts w:hint="eastAsia"/>
              </w:rPr>
              <w:t>登记证号：</w:t>
            </w:r>
            <w:r>
              <w:rPr>
                <w:rFonts w:hint="eastAsia"/>
              </w:rPr>
              <w:t>WP20210407</w:t>
            </w:r>
          </w:p>
        </w:tc>
      </w:tr>
      <w:tr w14:paraId="2F878B9B">
        <w:tblPrEx>
          <w:tblCellMar>
            <w:top w:w="0" w:type="dxa"/>
            <w:left w:w="0" w:type="dxa"/>
            <w:bottom w:w="0" w:type="dxa"/>
            <w:right w:w="0" w:type="dxa"/>
          </w:tblCellMar>
        </w:tblPrEx>
        <w:trPr>
          <w:wBefore w:w="0" w:type="auto"/>
          <w:tblCellSpacing w:w="0" w:type="dxa"/>
        </w:trPr>
        <w:tc>
          <w:tcPr>
            <w:tcW w:w="0" w:type="auto"/>
            <w:noWrap w:val="0"/>
            <w:vAlign w:val="center"/>
          </w:tcPr>
          <w:p w14:paraId="73C682F1">
            <w:r>
              <w:rPr>
                <w:rStyle w:val="10"/>
                <w:rFonts w:hint="eastAsia"/>
              </w:rPr>
              <w:t>登记证持有人：</w:t>
            </w:r>
            <w:r>
              <w:rPr>
                <w:rFonts w:hint="eastAsia"/>
              </w:rPr>
              <w:t>珠海市佳弘科技有限公司</w:t>
            </w:r>
          </w:p>
        </w:tc>
      </w:tr>
      <w:tr w14:paraId="6637A8FF">
        <w:tblPrEx>
          <w:tblCellMar>
            <w:top w:w="0" w:type="dxa"/>
            <w:left w:w="0" w:type="dxa"/>
            <w:bottom w:w="0" w:type="dxa"/>
            <w:right w:w="0" w:type="dxa"/>
          </w:tblCellMar>
        </w:tblPrEx>
        <w:trPr>
          <w:wBefore w:w="0" w:type="auto"/>
          <w:tblCellSpacing w:w="0" w:type="dxa"/>
        </w:trPr>
        <w:tc>
          <w:tcPr>
            <w:tcW w:w="0" w:type="auto"/>
            <w:noWrap w:val="0"/>
            <w:vAlign w:val="center"/>
          </w:tcPr>
          <w:p w14:paraId="5479C7EA">
            <w:r>
              <w:rPr>
                <w:rStyle w:val="10"/>
                <w:rFonts w:hint="eastAsia"/>
              </w:rPr>
              <w:t>农药名称：</w:t>
            </w:r>
            <w:r>
              <w:rPr>
                <w:rFonts w:hint="eastAsia"/>
              </w:rPr>
              <w:t>杀蟑热雾剂</w:t>
            </w:r>
          </w:p>
        </w:tc>
      </w:tr>
      <w:tr w14:paraId="34E1CEEF">
        <w:tblPrEx>
          <w:tblCellMar>
            <w:top w:w="0" w:type="dxa"/>
            <w:left w:w="0" w:type="dxa"/>
            <w:bottom w:w="0" w:type="dxa"/>
            <w:right w:w="0" w:type="dxa"/>
          </w:tblCellMar>
        </w:tblPrEx>
        <w:trPr>
          <w:wBefore w:w="0" w:type="auto"/>
          <w:tblCellSpacing w:w="0" w:type="dxa"/>
        </w:trPr>
        <w:tc>
          <w:tcPr>
            <w:tcW w:w="0" w:type="auto"/>
            <w:noWrap w:val="0"/>
            <w:vAlign w:val="center"/>
          </w:tcPr>
          <w:p w14:paraId="123F5D92">
            <w:r>
              <w:rPr>
                <w:rStyle w:val="10"/>
                <w:rFonts w:hint="eastAsia"/>
              </w:rPr>
              <w:t>剂型：</w:t>
            </w:r>
            <w:r>
              <w:rPr>
                <w:rFonts w:hint="eastAsia"/>
              </w:rPr>
              <w:t>热雾剂</w:t>
            </w:r>
          </w:p>
        </w:tc>
      </w:tr>
      <w:tr w14:paraId="23B3398F">
        <w:tblPrEx>
          <w:tblCellMar>
            <w:top w:w="0" w:type="dxa"/>
            <w:left w:w="0" w:type="dxa"/>
            <w:bottom w:w="0" w:type="dxa"/>
            <w:right w:w="0" w:type="dxa"/>
          </w:tblCellMar>
        </w:tblPrEx>
        <w:trPr>
          <w:wBefore w:w="0" w:type="auto"/>
          <w:tblCellSpacing w:w="0" w:type="dxa"/>
        </w:trPr>
        <w:tc>
          <w:tcPr>
            <w:tcW w:w="0" w:type="auto"/>
            <w:noWrap w:val="0"/>
            <w:vAlign w:val="center"/>
          </w:tcPr>
          <w:p w14:paraId="047EF20A">
            <w:r>
              <w:rPr>
                <w:rStyle w:val="10"/>
                <w:rFonts w:hint="eastAsia"/>
              </w:rPr>
              <w:t>毒性及其标识：</w:t>
            </w:r>
            <w:r>
              <w:rPr>
                <w:rFonts w:hint="eastAsia"/>
              </w:rPr>
              <w:t xml:space="preserve"> 微毒 </w:t>
            </w:r>
          </w:p>
        </w:tc>
      </w:tr>
      <w:tr w14:paraId="3E62B779">
        <w:tblPrEx>
          <w:tblCellMar>
            <w:top w:w="0" w:type="dxa"/>
            <w:left w:w="0" w:type="dxa"/>
            <w:bottom w:w="0" w:type="dxa"/>
            <w:right w:w="0" w:type="dxa"/>
          </w:tblCellMar>
        </w:tblPrEx>
        <w:trPr>
          <w:wBefore w:w="0" w:type="auto"/>
          <w:tblCellSpacing w:w="0" w:type="dxa"/>
        </w:trPr>
        <w:tc>
          <w:tcPr>
            <w:tcW w:w="0" w:type="auto"/>
            <w:noWrap w:val="0"/>
            <w:vAlign w:val="center"/>
          </w:tcPr>
          <w:p w14:paraId="140F1C10">
            <w:r>
              <w:rPr>
                <w:rStyle w:val="10"/>
                <w:rFonts w:hint="eastAsia"/>
              </w:rPr>
              <w:t>总有效成分含量：</w:t>
            </w:r>
            <w:r>
              <w:rPr>
                <w:rFonts w:hint="eastAsia"/>
              </w:rPr>
              <w:t>2%</w:t>
            </w:r>
          </w:p>
        </w:tc>
      </w:tr>
      <w:tr w14:paraId="5BA8F896">
        <w:tblPrEx>
          <w:tblCellMar>
            <w:top w:w="0" w:type="dxa"/>
            <w:left w:w="0" w:type="dxa"/>
            <w:bottom w:w="0" w:type="dxa"/>
            <w:right w:w="0" w:type="dxa"/>
          </w:tblCellMar>
        </w:tblPrEx>
        <w:trPr>
          <w:wBefore w:w="0" w:type="auto"/>
          <w:tblCellSpacing w:w="0" w:type="dxa"/>
        </w:trPr>
        <w:tc>
          <w:tcPr>
            <w:tcW w:w="0" w:type="auto"/>
            <w:noWrap w:val="0"/>
            <w:vAlign w:val="center"/>
          </w:tcPr>
          <w:p w14:paraId="6E898C3A">
            <w:r>
              <w:rPr>
                <w:rFonts w:hint="eastAsia"/>
              </w:rPr>
              <w:t xml:space="preserve">有效成分及其含量： </w:t>
            </w:r>
          </w:p>
          <w:p w14:paraId="2862B2C1">
            <w:r>
              <w:rPr>
                <w:rFonts w:hint="eastAsia"/>
              </w:rPr>
              <w:t xml:space="preserve">    胺菊酯0.5%    高效氯氰菊酯1.5%    </w:t>
            </w:r>
          </w:p>
        </w:tc>
      </w:tr>
      <w:tr w14:paraId="365698B1">
        <w:tblPrEx>
          <w:tblCellMar>
            <w:top w:w="0" w:type="dxa"/>
            <w:left w:w="0" w:type="dxa"/>
            <w:bottom w:w="0" w:type="dxa"/>
            <w:right w:w="0" w:type="dxa"/>
          </w:tblCellMar>
        </w:tblPrEx>
        <w:trPr>
          <w:wBefore w:w="0" w:type="auto"/>
          <w:tblCellSpacing w:w="0" w:type="dxa"/>
        </w:trPr>
        <w:tc>
          <w:tcPr>
            <w:tcW w:w="0" w:type="auto"/>
            <w:noWrap w:val="0"/>
            <w:vAlign w:val="center"/>
          </w:tcPr>
          <w:p w14:paraId="6F8438B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7600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5E17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46F20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3EF72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632E97">
                  <w:r>
                    <w:rPr>
                      <w:rStyle w:val="11"/>
                      <w:rFonts w:hint="eastAsia"/>
                    </w:rPr>
                    <w:t>施用方式</w:t>
                  </w:r>
                </w:p>
              </w:tc>
            </w:tr>
            <w:tr w14:paraId="7DC4EE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C0638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CA1E8A">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86763F">
                  <w:r>
                    <w:rPr>
                      <w:rStyle w:val="11"/>
                      <w:rFonts w:hint="eastAsia"/>
                    </w:rPr>
                    <w:t>2毫升/立方米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8F3168">
                  <w:r>
                    <w:rPr>
                      <w:rStyle w:val="11"/>
                      <w:rFonts w:hint="eastAsia"/>
                    </w:rPr>
                    <w:t>热雾机喷雾</w:t>
                  </w:r>
                </w:p>
              </w:tc>
            </w:tr>
          </w:tbl>
          <w:p w14:paraId="0AA43E1A">
            <w:pPr>
              <w:rPr>
                <w:rFonts w:ascii="Times New Roman" w:hAnsi="Times New Roman" w:cs="Times New Roman"/>
                <w:sz w:val="20"/>
                <w:szCs w:val="20"/>
              </w:rPr>
            </w:pPr>
          </w:p>
        </w:tc>
      </w:tr>
      <w:tr w14:paraId="2FCE4420">
        <w:tblPrEx>
          <w:tblCellMar>
            <w:top w:w="0" w:type="dxa"/>
            <w:left w:w="0" w:type="dxa"/>
            <w:bottom w:w="0" w:type="dxa"/>
            <w:right w:w="0" w:type="dxa"/>
          </w:tblCellMar>
        </w:tblPrEx>
        <w:trPr>
          <w:wBefore w:w="0" w:type="auto"/>
          <w:tblCellSpacing w:w="0" w:type="dxa"/>
        </w:trPr>
        <w:tc>
          <w:tcPr>
            <w:tcW w:w="0" w:type="auto"/>
            <w:noWrap w:val="0"/>
            <w:vAlign w:val="center"/>
          </w:tcPr>
          <w:p w14:paraId="1A1242B8">
            <w:r>
              <w:rPr>
                <w:rStyle w:val="10"/>
                <w:rFonts w:hint="eastAsia"/>
              </w:rPr>
              <w:t>使用技术要求:</w:t>
            </w:r>
            <w:r>
              <w:rPr>
                <w:rFonts w:hint="eastAsia"/>
              </w:rPr>
              <w:br w:type="textWrapping"/>
            </w:r>
            <w:r>
              <w:rPr>
                <w:rStyle w:val="11"/>
                <w:rFonts w:hint="eastAsia"/>
              </w:rPr>
              <w:t>将本品喷洒于蜚蠊出没处，喷药后人、畜应立即离开房间，紧闭门窗30 分钟后打开门窗充分通风后方可进入。</w:t>
            </w:r>
          </w:p>
        </w:tc>
      </w:tr>
      <w:tr w14:paraId="417E4ED1">
        <w:tblPrEx>
          <w:tblCellMar>
            <w:top w:w="0" w:type="dxa"/>
            <w:left w:w="0" w:type="dxa"/>
            <w:bottom w:w="0" w:type="dxa"/>
            <w:right w:w="0" w:type="dxa"/>
          </w:tblCellMar>
        </w:tblPrEx>
        <w:trPr>
          <w:wBefore w:w="0" w:type="auto"/>
          <w:tblCellSpacing w:w="0" w:type="dxa"/>
        </w:trPr>
        <w:tc>
          <w:tcPr>
            <w:tcW w:w="0" w:type="auto"/>
            <w:noWrap w:val="0"/>
            <w:vAlign w:val="center"/>
          </w:tcPr>
          <w:p w14:paraId="312C685F">
            <w:r>
              <w:rPr>
                <w:rStyle w:val="10"/>
                <w:rFonts w:hint="eastAsia"/>
              </w:rPr>
              <w:t>产品性能:</w:t>
            </w:r>
            <w:r>
              <w:rPr>
                <w:rFonts w:hint="eastAsia"/>
              </w:rPr>
              <w:br w:type="textWrapping"/>
            </w:r>
            <w:r>
              <w:rPr>
                <w:rStyle w:val="11"/>
                <w:rFonts w:hint="eastAsia"/>
              </w:rPr>
              <w:t>本品采用胺菊酯和高效氯氰菊酯为有效成分，对蜚蠊有触杀作用，适用于家庭、宾馆、车间等大型室内环境。</w:t>
            </w:r>
          </w:p>
        </w:tc>
      </w:tr>
      <w:tr w14:paraId="08853C3B">
        <w:tblPrEx>
          <w:tblCellMar>
            <w:top w:w="0" w:type="dxa"/>
            <w:left w:w="0" w:type="dxa"/>
            <w:bottom w:w="0" w:type="dxa"/>
            <w:right w:w="0" w:type="dxa"/>
          </w:tblCellMar>
        </w:tblPrEx>
        <w:trPr>
          <w:wBefore w:w="0" w:type="auto"/>
          <w:tblCellSpacing w:w="0" w:type="dxa"/>
        </w:trPr>
        <w:tc>
          <w:tcPr>
            <w:tcW w:w="0" w:type="auto"/>
            <w:noWrap w:val="0"/>
            <w:vAlign w:val="center"/>
          </w:tcPr>
          <w:p w14:paraId="75C3C06D">
            <w:r>
              <w:rPr>
                <w:rStyle w:val="10"/>
                <w:rFonts w:hint="eastAsia"/>
              </w:rPr>
              <w:t>注意事项：</w:t>
            </w:r>
            <w:r>
              <w:rPr>
                <w:rFonts w:hint="eastAsia"/>
              </w:rPr>
              <w:br w:type="textWrapping"/>
            </w:r>
            <w:r>
              <w:rPr>
                <w:rStyle w:val="11"/>
                <w:rFonts w:hint="eastAsia"/>
              </w:rPr>
              <w:t>置于儿童接触不到的地方；请按使用方法进行操作，勿向人体及食物喷雾；使用后注意通风；用后洗手，过敏者禁用。使用中有任何不良反应请及时就医；本品对鱼、蚕有毒，蚕室内及其附近禁用。仅用于室内。</w:t>
            </w:r>
          </w:p>
        </w:tc>
      </w:tr>
      <w:tr w14:paraId="262FE30E">
        <w:tblPrEx>
          <w:tblCellMar>
            <w:top w:w="0" w:type="dxa"/>
            <w:left w:w="0" w:type="dxa"/>
            <w:bottom w:w="0" w:type="dxa"/>
            <w:right w:w="0" w:type="dxa"/>
          </w:tblCellMar>
        </w:tblPrEx>
        <w:trPr>
          <w:wBefore w:w="0" w:type="auto"/>
          <w:tblCellSpacing w:w="0" w:type="dxa"/>
        </w:trPr>
        <w:tc>
          <w:tcPr>
            <w:tcW w:w="0" w:type="auto"/>
            <w:noWrap w:val="0"/>
            <w:vAlign w:val="center"/>
          </w:tcPr>
          <w:p w14:paraId="0D3C353B">
            <w:r>
              <w:rPr>
                <w:rStyle w:val="10"/>
                <w:rFonts w:hint="eastAsia"/>
              </w:rPr>
              <w:t>中毒急救措施：</w:t>
            </w:r>
            <w:r>
              <w:rPr>
                <w:rFonts w:hint="eastAsia"/>
              </w:rPr>
              <w:br w:type="textWrapping"/>
            </w:r>
            <w:r>
              <w:rPr>
                <w:rStyle w:val="11"/>
                <w:rFonts w:hint="eastAsia"/>
              </w:rPr>
              <w:t>皮肤和眼睛污染者即用生理盐水或清水彻底清洗，如不慎误食，请及时送医。对症治疗；使用中出现任何不良反应请及时就医。</w:t>
            </w:r>
          </w:p>
        </w:tc>
      </w:tr>
      <w:tr w14:paraId="5F7B76D5">
        <w:tblPrEx>
          <w:tblCellMar>
            <w:top w:w="0" w:type="dxa"/>
            <w:left w:w="0" w:type="dxa"/>
            <w:bottom w:w="0" w:type="dxa"/>
            <w:right w:w="0" w:type="dxa"/>
          </w:tblCellMar>
        </w:tblPrEx>
        <w:trPr>
          <w:wBefore w:w="0" w:type="auto"/>
          <w:tblCellSpacing w:w="0" w:type="dxa"/>
        </w:trPr>
        <w:tc>
          <w:tcPr>
            <w:tcW w:w="0" w:type="auto"/>
            <w:noWrap w:val="0"/>
            <w:vAlign w:val="center"/>
          </w:tcPr>
          <w:p w14:paraId="43F20215">
            <w:r>
              <w:rPr>
                <w:rStyle w:val="10"/>
                <w:rFonts w:hint="eastAsia"/>
              </w:rPr>
              <w:t>储存和运输方法：</w:t>
            </w:r>
            <w:r>
              <w:rPr>
                <w:rFonts w:hint="eastAsia"/>
              </w:rPr>
              <w:br w:type="textWrapping"/>
            </w:r>
            <w:r>
              <w:rPr>
                <w:rStyle w:val="11"/>
                <w:rFonts w:hint="eastAsia"/>
              </w:rPr>
              <w:t xml:space="preserve">放置于常温避光干燥、通风处；远离儿童、不能与食物、饮料、种子、粮食、饲料等混合贮存和运输；本品易燃，勿与易燃易爆品混合贮存和运输。 </w:t>
            </w:r>
          </w:p>
        </w:tc>
      </w:tr>
      <w:tr w14:paraId="0E518308">
        <w:tblPrEx>
          <w:tblCellMar>
            <w:top w:w="0" w:type="dxa"/>
            <w:left w:w="0" w:type="dxa"/>
            <w:bottom w:w="0" w:type="dxa"/>
            <w:right w:w="0" w:type="dxa"/>
          </w:tblCellMar>
        </w:tblPrEx>
        <w:trPr>
          <w:wBefore w:w="0" w:type="auto"/>
          <w:tblCellSpacing w:w="0" w:type="dxa"/>
        </w:trPr>
        <w:tc>
          <w:tcPr>
            <w:tcW w:w="0" w:type="auto"/>
            <w:noWrap w:val="0"/>
            <w:vAlign w:val="center"/>
          </w:tcPr>
          <w:p w14:paraId="6C650EF5">
            <w:r>
              <w:rPr>
                <w:rStyle w:val="10"/>
                <w:rFonts w:hint="eastAsia"/>
              </w:rPr>
              <w:t>质量保证期：</w:t>
            </w:r>
            <w:r>
              <w:rPr>
                <w:rStyle w:val="11"/>
                <w:rFonts w:hint="eastAsia"/>
              </w:rPr>
              <w:t>2年</w:t>
            </w:r>
          </w:p>
        </w:tc>
      </w:tr>
      <w:tr w14:paraId="2FAA9954">
        <w:tblPrEx>
          <w:tblCellMar>
            <w:top w:w="0" w:type="dxa"/>
            <w:left w:w="0" w:type="dxa"/>
            <w:bottom w:w="0" w:type="dxa"/>
            <w:right w:w="0" w:type="dxa"/>
          </w:tblCellMar>
        </w:tblPrEx>
        <w:trPr>
          <w:wBefore w:w="0" w:type="auto"/>
          <w:tblCellSpacing w:w="0" w:type="dxa"/>
        </w:trPr>
        <w:tc>
          <w:tcPr>
            <w:tcW w:w="0" w:type="auto"/>
            <w:noWrap w:val="0"/>
            <w:vAlign w:val="center"/>
          </w:tcPr>
          <w:p w14:paraId="15ADEBEE">
            <w:r>
              <w:rPr>
                <w:rStyle w:val="10"/>
                <w:rFonts w:hint="eastAsia"/>
              </w:rPr>
              <w:t>备注：</w:t>
            </w:r>
          </w:p>
        </w:tc>
      </w:tr>
    </w:tbl>
    <w:p w14:paraId="36E70E7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377726">
        <w:tblPrEx>
          <w:tblCellMar>
            <w:top w:w="0" w:type="dxa"/>
            <w:left w:w="0" w:type="dxa"/>
            <w:bottom w:w="0" w:type="dxa"/>
            <w:right w:w="0" w:type="dxa"/>
          </w:tblCellMar>
        </w:tblPrEx>
        <w:trPr>
          <w:wBefore w:w="0" w:type="auto"/>
          <w:tblCellSpacing w:w="0" w:type="dxa"/>
        </w:trPr>
        <w:tc>
          <w:tcPr>
            <w:tcW w:w="0" w:type="auto"/>
            <w:noWrap w:val="0"/>
            <w:vAlign w:val="center"/>
          </w:tcPr>
          <w:p w14:paraId="4E3CA594">
            <w:r>
              <w:rPr>
                <w:rStyle w:val="10"/>
                <w:rFonts w:hint="eastAsia"/>
              </w:rPr>
              <w:t>登记证号：</w:t>
            </w:r>
            <w:r>
              <w:rPr>
                <w:rFonts w:hint="eastAsia"/>
              </w:rPr>
              <w:t>PD20212600</w:t>
            </w:r>
          </w:p>
        </w:tc>
      </w:tr>
      <w:tr w14:paraId="63F9FE43">
        <w:tblPrEx>
          <w:tblCellMar>
            <w:top w:w="0" w:type="dxa"/>
            <w:left w:w="0" w:type="dxa"/>
            <w:bottom w:w="0" w:type="dxa"/>
            <w:right w:w="0" w:type="dxa"/>
          </w:tblCellMar>
        </w:tblPrEx>
        <w:trPr>
          <w:wBefore w:w="0" w:type="auto"/>
          <w:tblCellSpacing w:w="0" w:type="dxa"/>
        </w:trPr>
        <w:tc>
          <w:tcPr>
            <w:tcW w:w="0" w:type="auto"/>
            <w:noWrap w:val="0"/>
            <w:vAlign w:val="center"/>
          </w:tcPr>
          <w:p w14:paraId="4EB6DAB4">
            <w:r>
              <w:rPr>
                <w:rStyle w:val="10"/>
                <w:rFonts w:hint="eastAsia"/>
              </w:rPr>
              <w:t>登记证持有人：</w:t>
            </w:r>
            <w:r>
              <w:rPr>
                <w:rFonts w:hint="eastAsia"/>
              </w:rPr>
              <w:t>安徽富田农化有限公司</w:t>
            </w:r>
          </w:p>
        </w:tc>
      </w:tr>
      <w:tr w14:paraId="4867779F">
        <w:tblPrEx>
          <w:tblCellMar>
            <w:top w:w="0" w:type="dxa"/>
            <w:left w:w="0" w:type="dxa"/>
            <w:bottom w:w="0" w:type="dxa"/>
            <w:right w:w="0" w:type="dxa"/>
          </w:tblCellMar>
        </w:tblPrEx>
        <w:trPr>
          <w:wBefore w:w="0" w:type="auto"/>
          <w:tblCellSpacing w:w="0" w:type="dxa"/>
        </w:trPr>
        <w:tc>
          <w:tcPr>
            <w:tcW w:w="0" w:type="auto"/>
            <w:noWrap w:val="0"/>
            <w:vAlign w:val="center"/>
          </w:tcPr>
          <w:p w14:paraId="41C0C239">
            <w:r>
              <w:rPr>
                <w:rStyle w:val="10"/>
                <w:rFonts w:hint="eastAsia"/>
              </w:rPr>
              <w:t>农药名称：</w:t>
            </w:r>
            <w:r>
              <w:rPr>
                <w:rFonts w:hint="eastAsia"/>
              </w:rPr>
              <w:t>丙草胺</w:t>
            </w:r>
          </w:p>
        </w:tc>
      </w:tr>
      <w:tr w14:paraId="66848C76">
        <w:tblPrEx>
          <w:tblCellMar>
            <w:top w:w="0" w:type="dxa"/>
            <w:left w:w="0" w:type="dxa"/>
            <w:bottom w:w="0" w:type="dxa"/>
            <w:right w:w="0" w:type="dxa"/>
          </w:tblCellMar>
        </w:tblPrEx>
        <w:trPr>
          <w:wBefore w:w="0" w:type="auto"/>
          <w:tblCellSpacing w:w="0" w:type="dxa"/>
        </w:trPr>
        <w:tc>
          <w:tcPr>
            <w:tcW w:w="0" w:type="auto"/>
            <w:noWrap w:val="0"/>
            <w:vAlign w:val="center"/>
          </w:tcPr>
          <w:p w14:paraId="57C13224">
            <w:r>
              <w:rPr>
                <w:rStyle w:val="10"/>
                <w:rFonts w:hint="eastAsia"/>
              </w:rPr>
              <w:t>剂型：</w:t>
            </w:r>
            <w:r>
              <w:rPr>
                <w:rFonts w:hint="eastAsia"/>
              </w:rPr>
              <w:t>乳油</w:t>
            </w:r>
          </w:p>
        </w:tc>
      </w:tr>
      <w:tr w14:paraId="5D3490DD">
        <w:tblPrEx>
          <w:tblCellMar>
            <w:top w:w="0" w:type="dxa"/>
            <w:left w:w="0" w:type="dxa"/>
            <w:bottom w:w="0" w:type="dxa"/>
            <w:right w:w="0" w:type="dxa"/>
          </w:tblCellMar>
        </w:tblPrEx>
        <w:trPr>
          <w:wBefore w:w="0" w:type="auto"/>
          <w:tblCellSpacing w:w="0" w:type="dxa"/>
        </w:trPr>
        <w:tc>
          <w:tcPr>
            <w:tcW w:w="0" w:type="auto"/>
            <w:noWrap w:val="0"/>
            <w:vAlign w:val="center"/>
          </w:tcPr>
          <w:p w14:paraId="6BCB252A">
            <w:r>
              <w:rPr>
                <w:rStyle w:val="10"/>
                <w:rFonts w:hint="eastAsia"/>
              </w:rPr>
              <w:t>毒性及其标识：</w:t>
            </w:r>
            <w:r>
              <w:rPr>
                <w:rFonts w:hint="eastAsia"/>
              </w:rPr>
              <w:t xml:space="preserve"> </w:t>
            </w:r>
            <w:r>
              <w:rPr>
                <w:lang/>
              </w:rPr>
              <w:drawing>
                <wp:inline distT="0" distB="0" distL="114300" distR="114300">
                  <wp:extent cx="476250" cy="323850"/>
                  <wp:effectExtent l="0" t="0" r="0" b="0"/>
                  <wp:docPr id="325" name="图片 3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A7A9A1">
        <w:tblPrEx>
          <w:tblCellMar>
            <w:top w:w="0" w:type="dxa"/>
            <w:left w:w="0" w:type="dxa"/>
            <w:bottom w:w="0" w:type="dxa"/>
            <w:right w:w="0" w:type="dxa"/>
          </w:tblCellMar>
        </w:tblPrEx>
        <w:trPr>
          <w:wBefore w:w="0" w:type="auto"/>
          <w:tblCellSpacing w:w="0" w:type="dxa"/>
        </w:trPr>
        <w:tc>
          <w:tcPr>
            <w:tcW w:w="0" w:type="auto"/>
            <w:noWrap w:val="0"/>
            <w:vAlign w:val="center"/>
          </w:tcPr>
          <w:p w14:paraId="44EEA819">
            <w:r>
              <w:rPr>
                <w:rStyle w:val="10"/>
                <w:rFonts w:hint="eastAsia"/>
              </w:rPr>
              <w:t>总有效成分含量：</w:t>
            </w:r>
            <w:r>
              <w:rPr>
                <w:rFonts w:hint="eastAsia"/>
              </w:rPr>
              <w:t>300克/升</w:t>
            </w:r>
          </w:p>
        </w:tc>
      </w:tr>
      <w:tr w14:paraId="2486B23D">
        <w:tblPrEx>
          <w:tblCellMar>
            <w:top w:w="0" w:type="dxa"/>
            <w:left w:w="0" w:type="dxa"/>
            <w:bottom w:w="0" w:type="dxa"/>
            <w:right w:w="0" w:type="dxa"/>
          </w:tblCellMar>
        </w:tblPrEx>
        <w:trPr>
          <w:wBefore w:w="0" w:type="auto"/>
          <w:tblCellSpacing w:w="0" w:type="dxa"/>
        </w:trPr>
        <w:tc>
          <w:tcPr>
            <w:tcW w:w="0" w:type="auto"/>
            <w:noWrap w:val="0"/>
            <w:vAlign w:val="center"/>
          </w:tcPr>
          <w:p w14:paraId="380BBCEC">
            <w:r>
              <w:rPr>
                <w:rFonts w:hint="eastAsia"/>
              </w:rPr>
              <w:t xml:space="preserve">有效成分及其含量： </w:t>
            </w:r>
          </w:p>
          <w:p w14:paraId="45AC7330">
            <w:r>
              <w:rPr>
                <w:rFonts w:hint="eastAsia"/>
              </w:rPr>
              <w:t xml:space="preserve">    丙草胺300克/升    </w:t>
            </w:r>
          </w:p>
        </w:tc>
      </w:tr>
      <w:tr w14:paraId="37895DE1">
        <w:tblPrEx>
          <w:tblCellMar>
            <w:top w:w="0" w:type="dxa"/>
            <w:left w:w="0" w:type="dxa"/>
            <w:bottom w:w="0" w:type="dxa"/>
            <w:right w:w="0" w:type="dxa"/>
          </w:tblCellMar>
        </w:tblPrEx>
        <w:trPr>
          <w:wBefore w:w="0" w:type="auto"/>
          <w:tblCellSpacing w:w="0" w:type="dxa"/>
        </w:trPr>
        <w:tc>
          <w:tcPr>
            <w:tcW w:w="0" w:type="auto"/>
            <w:noWrap w:val="0"/>
            <w:vAlign w:val="center"/>
          </w:tcPr>
          <w:p w14:paraId="53070A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6266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4D90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49AE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C5A53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0885C6">
                  <w:r>
                    <w:rPr>
                      <w:rStyle w:val="11"/>
                      <w:rFonts w:hint="eastAsia"/>
                    </w:rPr>
                    <w:t>施用方式</w:t>
                  </w:r>
                </w:p>
              </w:tc>
            </w:tr>
            <w:tr w14:paraId="2CD4F9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994A09">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41437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2CB175">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114A2B">
                  <w:r>
                    <w:rPr>
                      <w:rStyle w:val="11"/>
                      <w:rFonts w:hint="eastAsia"/>
                    </w:rPr>
                    <w:t>药土法</w:t>
                  </w:r>
                </w:p>
              </w:tc>
            </w:tr>
          </w:tbl>
          <w:p w14:paraId="1CF026CB">
            <w:pPr>
              <w:rPr>
                <w:rFonts w:ascii="Times New Roman" w:hAnsi="Times New Roman" w:cs="Times New Roman"/>
                <w:sz w:val="20"/>
                <w:szCs w:val="20"/>
              </w:rPr>
            </w:pPr>
          </w:p>
        </w:tc>
      </w:tr>
      <w:tr w14:paraId="6BF5CE1C">
        <w:tblPrEx>
          <w:tblCellMar>
            <w:top w:w="0" w:type="dxa"/>
            <w:left w:w="0" w:type="dxa"/>
            <w:bottom w:w="0" w:type="dxa"/>
            <w:right w:w="0" w:type="dxa"/>
          </w:tblCellMar>
        </w:tblPrEx>
        <w:trPr>
          <w:wBefore w:w="0" w:type="auto"/>
          <w:tblCellSpacing w:w="0" w:type="dxa"/>
        </w:trPr>
        <w:tc>
          <w:tcPr>
            <w:tcW w:w="0" w:type="auto"/>
            <w:noWrap w:val="0"/>
            <w:vAlign w:val="center"/>
          </w:tcPr>
          <w:p w14:paraId="588F56F7">
            <w:r>
              <w:rPr>
                <w:rStyle w:val="10"/>
                <w:rFonts w:hint="eastAsia"/>
              </w:rPr>
              <w:t>使用技术要求:</w:t>
            </w:r>
            <w:r>
              <w:rPr>
                <w:rFonts w:hint="eastAsia"/>
              </w:rPr>
              <w:br w:type="textWrapping"/>
            </w:r>
            <w:r>
              <w:rPr>
                <w:rStyle w:val="11"/>
                <w:rFonts w:hint="eastAsia"/>
              </w:rPr>
              <w:t>1. 本品用于防除水稻移栽田杂草，按推荐剂量，水稻移栽后3-5天，采用毒土法均匀撒施。2. 本品是芽前除草剂，用药不宜太迟。杂草过大（1.5叶期以上）时，耐药性会增强，从而影响药效的发挥。3. 施药后，田间应保持浅水层3-5天，水层深度不能淹没稻苗心叶。施药后遇雨应及时排水；漏水田勿用本品。4. 每季作物最多使用1次。</w:t>
            </w:r>
          </w:p>
        </w:tc>
      </w:tr>
      <w:tr w14:paraId="4DF878B6">
        <w:tblPrEx>
          <w:tblCellMar>
            <w:top w:w="0" w:type="dxa"/>
            <w:left w:w="0" w:type="dxa"/>
            <w:bottom w:w="0" w:type="dxa"/>
            <w:right w:w="0" w:type="dxa"/>
          </w:tblCellMar>
        </w:tblPrEx>
        <w:trPr>
          <w:wBefore w:w="0" w:type="auto"/>
          <w:tblCellSpacing w:w="0" w:type="dxa"/>
        </w:trPr>
        <w:tc>
          <w:tcPr>
            <w:tcW w:w="0" w:type="auto"/>
            <w:noWrap w:val="0"/>
            <w:vAlign w:val="center"/>
          </w:tcPr>
          <w:p w14:paraId="0CD14404">
            <w:r>
              <w:rPr>
                <w:rStyle w:val="10"/>
                <w:rFonts w:hint="eastAsia"/>
              </w:rPr>
              <w:t>产品性能:</w:t>
            </w:r>
            <w:r>
              <w:rPr>
                <w:rFonts w:hint="eastAsia"/>
              </w:rPr>
              <w:br w:type="textWrapping"/>
            </w:r>
            <w:r>
              <w:rPr>
                <w:rStyle w:val="11"/>
                <w:rFonts w:hint="eastAsia"/>
              </w:rPr>
              <w:t>本品为选择性、内吸型除草剂，可通过植物下胚轴、中胚轴和胚芽鞘吸收，根部略有吸收，不影响种子发芽，只能使幼苗中毒。可抑制细胞分裂和长链脂肪酸合成；并对光合及呼吸作用有间接影响。能有效地防除水稻移栽田中稗草、千金子、异型莎草及鸭舌草等大部分一年生禾本科杂草、莎草科杂草及部分阔叶杂草。</w:t>
            </w:r>
          </w:p>
        </w:tc>
      </w:tr>
      <w:tr w14:paraId="2547E8A8">
        <w:tblPrEx>
          <w:tblCellMar>
            <w:top w:w="0" w:type="dxa"/>
            <w:left w:w="0" w:type="dxa"/>
            <w:bottom w:w="0" w:type="dxa"/>
            <w:right w:w="0" w:type="dxa"/>
          </w:tblCellMar>
        </w:tblPrEx>
        <w:trPr>
          <w:wBefore w:w="0" w:type="auto"/>
          <w:tblCellSpacing w:w="0" w:type="dxa"/>
        </w:trPr>
        <w:tc>
          <w:tcPr>
            <w:tcW w:w="0" w:type="auto"/>
            <w:noWrap w:val="0"/>
            <w:vAlign w:val="center"/>
          </w:tcPr>
          <w:p w14:paraId="50F5359A">
            <w:r>
              <w:rPr>
                <w:rStyle w:val="10"/>
                <w:rFonts w:hint="eastAsia"/>
              </w:rPr>
              <w:t>注意事项：</w:t>
            </w:r>
            <w:r>
              <w:rPr>
                <w:rFonts w:hint="eastAsia"/>
              </w:rPr>
              <w:br w:type="textWrapping"/>
            </w:r>
            <w:r>
              <w:rPr>
                <w:rStyle w:val="11"/>
                <w:rFonts w:hint="eastAsia"/>
              </w:rPr>
              <w:t>1. 本品对鱼类、溞类等水生生物有毒，远离水产养殖区、河塘等水体施药；禁止在河塘等水体中清洗施药器具，清洗施药器具的水不能排入河塘等水体；鱼或虾蟹套养的稻田禁用；施药后的田水不得直接排入水体，也不可排入其它作物田，以免产生药害。 2. 本品对眼睛有刺激性，使用时避免接触眼睛，穿戴长衣、长裤、帽子、口罩、手套等防护措施。避免皮肤接触及口鼻吸入。使用中不可吸烟、饮水及吃东西，使用后及时清洗手、脸等暴露部位皮肤并更换衣物。 3. 用过的容器应妥善处理，不可做他用，也不可随意丢弃。 4. 建议与作用机制不同的除草剂轮换使用，以延缓抗性产生。 5. 禁止儿童、孕妇和哺乳期妇女接触。 6. 过敏者禁用，使用中有任何不良反应请及时就医。</w:t>
            </w:r>
          </w:p>
        </w:tc>
      </w:tr>
      <w:tr w14:paraId="39032F63">
        <w:tblPrEx>
          <w:tblCellMar>
            <w:top w:w="0" w:type="dxa"/>
            <w:left w:w="0" w:type="dxa"/>
            <w:bottom w:w="0" w:type="dxa"/>
            <w:right w:w="0" w:type="dxa"/>
          </w:tblCellMar>
        </w:tblPrEx>
        <w:trPr>
          <w:wBefore w:w="0" w:type="auto"/>
          <w:tblCellSpacing w:w="0" w:type="dxa"/>
        </w:trPr>
        <w:tc>
          <w:tcPr>
            <w:tcW w:w="0" w:type="auto"/>
            <w:noWrap w:val="0"/>
            <w:vAlign w:val="center"/>
          </w:tcPr>
          <w:p w14:paraId="6DA2D4B6">
            <w:r>
              <w:rPr>
                <w:rStyle w:val="10"/>
                <w:rFonts w:hint="eastAsia"/>
              </w:rPr>
              <w:t>中毒急救措施：</w:t>
            </w:r>
            <w:r>
              <w:rPr>
                <w:rFonts w:hint="eastAsia"/>
              </w:rPr>
              <w:br w:type="textWrapping"/>
            </w:r>
            <w:r>
              <w:rPr>
                <w:rStyle w:val="11"/>
                <w:rFonts w:hint="eastAsia"/>
              </w:rPr>
              <w:t>1. 一般建议：使用中或使用后如果感觉不适，应立即停止工作，采取急救措施，并携带标签送医院就诊。 2. 皮肤接触：立即脱掉被污染的衣物，立即脱掉被污染的衣物，用大量清水彻底清洗受污染的皮肤，如皮肤刺激感持续，请医生诊治。3. 眼睛溅药：立即将眼睑翻开，用清水冲洗至少15分钟，再请医生诊治。 4. 发生吸入：立即将吸入者转移到空气新鲜处，如果吸入者停止呼吸，需要进行人工呼吸。注意保暖和休息，请医生诊治。 5. 如误食：立即携带标签，送医就诊。紧急医疗措施：使用医用活性炭洗胃，洗胃时注意防止胃容物进入呼吸道。注意：对昏迷病人，切勿经口喂入任何东西或引吐。 6. 解毒剂：无专用解毒剂，对症治疗。</w:t>
            </w:r>
          </w:p>
        </w:tc>
      </w:tr>
      <w:tr w14:paraId="2A87972E">
        <w:tblPrEx>
          <w:tblCellMar>
            <w:top w:w="0" w:type="dxa"/>
            <w:left w:w="0" w:type="dxa"/>
            <w:bottom w:w="0" w:type="dxa"/>
            <w:right w:w="0" w:type="dxa"/>
          </w:tblCellMar>
        </w:tblPrEx>
        <w:trPr>
          <w:wBefore w:w="0" w:type="auto"/>
          <w:tblCellSpacing w:w="0" w:type="dxa"/>
        </w:trPr>
        <w:tc>
          <w:tcPr>
            <w:tcW w:w="0" w:type="auto"/>
            <w:noWrap w:val="0"/>
            <w:vAlign w:val="center"/>
          </w:tcPr>
          <w:p w14:paraId="0DC1B1A3">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0AF50477">
        <w:tblPrEx>
          <w:tblCellMar>
            <w:top w:w="0" w:type="dxa"/>
            <w:left w:w="0" w:type="dxa"/>
            <w:bottom w:w="0" w:type="dxa"/>
            <w:right w:w="0" w:type="dxa"/>
          </w:tblCellMar>
        </w:tblPrEx>
        <w:trPr>
          <w:wBefore w:w="0" w:type="auto"/>
          <w:tblCellSpacing w:w="0" w:type="dxa"/>
        </w:trPr>
        <w:tc>
          <w:tcPr>
            <w:tcW w:w="0" w:type="auto"/>
            <w:noWrap w:val="0"/>
            <w:vAlign w:val="center"/>
          </w:tcPr>
          <w:p w14:paraId="532818D9">
            <w:r>
              <w:rPr>
                <w:rStyle w:val="10"/>
                <w:rFonts w:hint="eastAsia"/>
              </w:rPr>
              <w:t>质量保证期：</w:t>
            </w:r>
            <w:r>
              <w:rPr>
                <w:rStyle w:val="11"/>
                <w:rFonts w:hint="eastAsia"/>
              </w:rPr>
              <w:t>2年</w:t>
            </w:r>
          </w:p>
        </w:tc>
      </w:tr>
      <w:tr w14:paraId="659ABBFF">
        <w:tblPrEx>
          <w:tblCellMar>
            <w:top w:w="0" w:type="dxa"/>
            <w:left w:w="0" w:type="dxa"/>
            <w:bottom w:w="0" w:type="dxa"/>
            <w:right w:w="0" w:type="dxa"/>
          </w:tblCellMar>
        </w:tblPrEx>
        <w:trPr>
          <w:wBefore w:w="0" w:type="auto"/>
          <w:tblCellSpacing w:w="0" w:type="dxa"/>
        </w:trPr>
        <w:tc>
          <w:tcPr>
            <w:tcW w:w="0" w:type="auto"/>
            <w:noWrap w:val="0"/>
            <w:vAlign w:val="center"/>
          </w:tcPr>
          <w:p w14:paraId="63B9B37B">
            <w:r>
              <w:rPr>
                <w:rStyle w:val="10"/>
                <w:rFonts w:hint="eastAsia"/>
              </w:rPr>
              <w:t>备注：</w:t>
            </w:r>
          </w:p>
        </w:tc>
      </w:tr>
    </w:tbl>
    <w:p w14:paraId="0170C8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2F3709">
        <w:tblPrEx>
          <w:tblCellMar>
            <w:top w:w="0" w:type="dxa"/>
            <w:left w:w="0" w:type="dxa"/>
            <w:bottom w:w="0" w:type="dxa"/>
            <w:right w:w="0" w:type="dxa"/>
          </w:tblCellMar>
        </w:tblPrEx>
        <w:trPr>
          <w:wBefore w:w="0" w:type="auto"/>
          <w:tblCellSpacing w:w="0" w:type="dxa"/>
        </w:trPr>
        <w:tc>
          <w:tcPr>
            <w:tcW w:w="0" w:type="auto"/>
            <w:noWrap w:val="0"/>
            <w:vAlign w:val="center"/>
          </w:tcPr>
          <w:p w14:paraId="12436229">
            <w:r>
              <w:rPr>
                <w:rStyle w:val="10"/>
                <w:rFonts w:hint="eastAsia"/>
              </w:rPr>
              <w:t>登记证号：</w:t>
            </w:r>
            <w:r>
              <w:rPr>
                <w:rFonts w:hint="eastAsia"/>
              </w:rPr>
              <w:t>PD20212423</w:t>
            </w:r>
          </w:p>
        </w:tc>
      </w:tr>
      <w:tr w14:paraId="6F166146">
        <w:tblPrEx>
          <w:tblCellMar>
            <w:top w:w="0" w:type="dxa"/>
            <w:left w:w="0" w:type="dxa"/>
            <w:bottom w:w="0" w:type="dxa"/>
            <w:right w:w="0" w:type="dxa"/>
          </w:tblCellMar>
        </w:tblPrEx>
        <w:trPr>
          <w:wBefore w:w="0" w:type="auto"/>
          <w:tblCellSpacing w:w="0" w:type="dxa"/>
        </w:trPr>
        <w:tc>
          <w:tcPr>
            <w:tcW w:w="0" w:type="auto"/>
            <w:noWrap w:val="0"/>
            <w:vAlign w:val="center"/>
          </w:tcPr>
          <w:p w14:paraId="12346C13">
            <w:r>
              <w:rPr>
                <w:rStyle w:val="10"/>
                <w:rFonts w:hint="eastAsia"/>
              </w:rPr>
              <w:t>登记证持有人：</w:t>
            </w:r>
            <w:r>
              <w:rPr>
                <w:rFonts w:hint="eastAsia"/>
              </w:rPr>
              <w:t>上海悦联生物科技有限公司</w:t>
            </w:r>
          </w:p>
        </w:tc>
      </w:tr>
      <w:tr w14:paraId="34B6E352">
        <w:tblPrEx>
          <w:tblCellMar>
            <w:top w:w="0" w:type="dxa"/>
            <w:left w:w="0" w:type="dxa"/>
            <w:bottom w:w="0" w:type="dxa"/>
            <w:right w:w="0" w:type="dxa"/>
          </w:tblCellMar>
        </w:tblPrEx>
        <w:trPr>
          <w:wBefore w:w="0" w:type="auto"/>
          <w:tblCellSpacing w:w="0" w:type="dxa"/>
        </w:trPr>
        <w:tc>
          <w:tcPr>
            <w:tcW w:w="0" w:type="auto"/>
            <w:noWrap w:val="0"/>
            <w:vAlign w:val="center"/>
          </w:tcPr>
          <w:p w14:paraId="6A51CB49">
            <w:r>
              <w:rPr>
                <w:rStyle w:val="10"/>
                <w:rFonts w:hint="eastAsia"/>
              </w:rPr>
              <w:t>农药名称：</w:t>
            </w:r>
            <w:r>
              <w:rPr>
                <w:rFonts w:hint="eastAsia"/>
              </w:rPr>
              <w:t>氟啶虫酰胺·联苯菊酯</w:t>
            </w:r>
          </w:p>
        </w:tc>
      </w:tr>
      <w:tr w14:paraId="0DF182E1">
        <w:tblPrEx>
          <w:tblCellMar>
            <w:top w:w="0" w:type="dxa"/>
            <w:left w:w="0" w:type="dxa"/>
            <w:bottom w:w="0" w:type="dxa"/>
            <w:right w:w="0" w:type="dxa"/>
          </w:tblCellMar>
        </w:tblPrEx>
        <w:trPr>
          <w:wBefore w:w="0" w:type="auto"/>
          <w:tblCellSpacing w:w="0" w:type="dxa"/>
        </w:trPr>
        <w:tc>
          <w:tcPr>
            <w:tcW w:w="0" w:type="auto"/>
            <w:noWrap w:val="0"/>
            <w:vAlign w:val="center"/>
          </w:tcPr>
          <w:p w14:paraId="3DC3E45C">
            <w:r>
              <w:rPr>
                <w:rStyle w:val="10"/>
                <w:rFonts w:hint="eastAsia"/>
              </w:rPr>
              <w:t>剂型：</w:t>
            </w:r>
            <w:r>
              <w:rPr>
                <w:rFonts w:hint="eastAsia"/>
              </w:rPr>
              <w:t>悬浮剂</w:t>
            </w:r>
          </w:p>
        </w:tc>
      </w:tr>
      <w:tr w14:paraId="50D3DD71">
        <w:tblPrEx>
          <w:tblCellMar>
            <w:top w:w="0" w:type="dxa"/>
            <w:left w:w="0" w:type="dxa"/>
            <w:bottom w:w="0" w:type="dxa"/>
            <w:right w:w="0" w:type="dxa"/>
          </w:tblCellMar>
        </w:tblPrEx>
        <w:trPr>
          <w:wBefore w:w="0" w:type="auto"/>
          <w:tblCellSpacing w:w="0" w:type="dxa"/>
        </w:trPr>
        <w:tc>
          <w:tcPr>
            <w:tcW w:w="0" w:type="auto"/>
            <w:noWrap w:val="0"/>
            <w:vAlign w:val="center"/>
          </w:tcPr>
          <w:p w14:paraId="7E7C22EE">
            <w:r>
              <w:rPr>
                <w:rStyle w:val="10"/>
                <w:rFonts w:hint="eastAsia"/>
              </w:rPr>
              <w:t>毒性及其标识：</w:t>
            </w:r>
            <w:r>
              <w:rPr>
                <w:rFonts w:hint="eastAsia"/>
              </w:rPr>
              <w:t xml:space="preserve"> </w:t>
            </w:r>
            <w:r>
              <w:rPr>
                <w:lang/>
              </w:rPr>
              <w:drawing>
                <wp:inline distT="0" distB="0" distL="114300" distR="114300">
                  <wp:extent cx="476250" cy="323850"/>
                  <wp:effectExtent l="0" t="0" r="0" b="0"/>
                  <wp:docPr id="326" name="图片 3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07CFEB0">
        <w:tblPrEx>
          <w:tblCellMar>
            <w:top w:w="0" w:type="dxa"/>
            <w:left w:w="0" w:type="dxa"/>
            <w:bottom w:w="0" w:type="dxa"/>
            <w:right w:w="0" w:type="dxa"/>
          </w:tblCellMar>
        </w:tblPrEx>
        <w:trPr>
          <w:wBefore w:w="0" w:type="auto"/>
          <w:tblCellSpacing w:w="0" w:type="dxa"/>
        </w:trPr>
        <w:tc>
          <w:tcPr>
            <w:tcW w:w="0" w:type="auto"/>
            <w:noWrap w:val="0"/>
            <w:vAlign w:val="center"/>
          </w:tcPr>
          <w:p w14:paraId="09557D49">
            <w:r>
              <w:rPr>
                <w:rStyle w:val="10"/>
                <w:rFonts w:hint="eastAsia"/>
              </w:rPr>
              <w:t>总有效成分含量：</w:t>
            </w:r>
            <w:r>
              <w:rPr>
                <w:rFonts w:hint="eastAsia"/>
              </w:rPr>
              <w:t>20%</w:t>
            </w:r>
          </w:p>
        </w:tc>
      </w:tr>
      <w:tr w14:paraId="7063E2F4">
        <w:tblPrEx>
          <w:tblCellMar>
            <w:top w:w="0" w:type="dxa"/>
            <w:left w:w="0" w:type="dxa"/>
            <w:bottom w:w="0" w:type="dxa"/>
            <w:right w:w="0" w:type="dxa"/>
          </w:tblCellMar>
        </w:tblPrEx>
        <w:trPr>
          <w:wBefore w:w="0" w:type="auto"/>
          <w:tblCellSpacing w:w="0" w:type="dxa"/>
        </w:trPr>
        <w:tc>
          <w:tcPr>
            <w:tcW w:w="0" w:type="auto"/>
            <w:noWrap w:val="0"/>
            <w:vAlign w:val="center"/>
          </w:tcPr>
          <w:p w14:paraId="2BE9062D">
            <w:r>
              <w:rPr>
                <w:rFonts w:hint="eastAsia"/>
              </w:rPr>
              <w:t xml:space="preserve">有效成分及其含量： </w:t>
            </w:r>
          </w:p>
          <w:p w14:paraId="0D0B52AF">
            <w:r>
              <w:rPr>
                <w:rFonts w:hint="eastAsia"/>
              </w:rPr>
              <w:t xml:space="preserve">    氟啶虫酰胺10%    联苯菊酯10%    </w:t>
            </w:r>
          </w:p>
        </w:tc>
      </w:tr>
      <w:tr w14:paraId="44CE9376">
        <w:tblPrEx>
          <w:tblCellMar>
            <w:top w:w="0" w:type="dxa"/>
            <w:left w:w="0" w:type="dxa"/>
            <w:bottom w:w="0" w:type="dxa"/>
            <w:right w:w="0" w:type="dxa"/>
          </w:tblCellMar>
        </w:tblPrEx>
        <w:trPr>
          <w:wBefore w:w="0" w:type="auto"/>
          <w:tblCellSpacing w:w="0" w:type="dxa"/>
        </w:trPr>
        <w:tc>
          <w:tcPr>
            <w:tcW w:w="0" w:type="auto"/>
            <w:noWrap w:val="0"/>
            <w:vAlign w:val="center"/>
          </w:tcPr>
          <w:p w14:paraId="278332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1691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5556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F2F7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67EFA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9BCCB44">
                  <w:r>
                    <w:rPr>
                      <w:rStyle w:val="11"/>
                      <w:rFonts w:hint="eastAsia"/>
                    </w:rPr>
                    <w:t>施用方式</w:t>
                  </w:r>
                </w:p>
              </w:tc>
            </w:tr>
            <w:tr w14:paraId="70E82E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E829DC">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1D5EFF">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58EA17">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1DE709">
                  <w:r>
                    <w:rPr>
                      <w:rStyle w:val="11"/>
                      <w:rFonts w:hint="eastAsia"/>
                    </w:rPr>
                    <w:t>喷雾</w:t>
                  </w:r>
                </w:p>
              </w:tc>
            </w:tr>
          </w:tbl>
          <w:p w14:paraId="6398557F">
            <w:pPr>
              <w:rPr>
                <w:rFonts w:ascii="Times New Roman" w:hAnsi="Times New Roman" w:cs="Times New Roman"/>
                <w:sz w:val="20"/>
                <w:szCs w:val="20"/>
              </w:rPr>
            </w:pPr>
          </w:p>
        </w:tc>
      </w:tr>
      <w:tr w14:paraId="6E4B6AEA">
        <w:tblPrEx>
          <w:tblCellMar>
            <w:top w:w="0" w:type="dxa"/>
            <w:left w:w="0" w:type="dxa"/>
            <w:bottom w:w="0" w:type="dxa"/>
            <w:right w:w="0" w:type="dxa"/>
          </w:tblCellMar>
        </w:tblPrEx>
        <w:trPr>
          <w:wBefore w:w="0" w:type="auto"/>
          <w:tblCellSpacing w:w="0" w:type="dxa"/>
        </w:trPr>
        <w:tc>
          <w:tcPr>
            <w:tcW w:w="0" w:type="auto"/>
            <w:noWrap w:val="0"/>
            <w:vAlign w:val="center"/>
          </w:tcPr>
          <w:p w14:paraId="031DBB40">
            <w:r>
              <w:rPr>
                <w:rStyle w:val="10"/>
                <w:rFonts w:hint="eastAsia"/>
              </w:rPr>
              <w:t>使用技术要求:</w:t>
            </w:r>
            <w:r>
              <w:rPr>
                <w:rFonts w:hint="eastAsia"/>
              </w:rPr>
              <w:br w:type="textWrapping"/>
            </w:r>
            <w:r>
              <w:rPr>
                <w:rStyle w:val="11"/>
                <w:rFonts w:hint="eastAsia"/>
              </w:rPr>
              <w:t>1. 茶树茶小绿叶蝉低龄若虫始发期施药。 2. 大风天或预计1小时内降雨，请勿施药。 3. 本品在茶树上的安全间隔期为7天，每季最多使用1次。</w:t>
            </w:r>
          </w:p>
        </w:tc>
      </w:tr>
      <w:tr w14:paraId="6FDB3DA6">
        <w:tblPrEx>
          <w:tblCellMar>
            <w:top w:w="0" w:type="dxa"/>
            <w:left w:w="0" w:type="dxa"/>
            <w:bottom w:w="0" w:type="dxa"/>
            <w:right w:w="0" w:type="dxa"/>
          </w:tblCellMar>
        </w:tblPrEx>
        <w:trPr>
          <w:wBefore w:w="0" w:type="auto"/>
          <w:tblCellSpacing w:w="0" w:type="dxa"/>
        </w:trPr>
        <w:tc>
          <w:tcPr>
            <w:tcW w:w="0" w:type="auto"/>
            <w:noWrap w:val="0"/>
            <w:vAlign w:val="center"/>
          </w:tcPr>
          <w:p w14:paraId="6D460997">
            <w:r>
              <w:rPr>
                <w:rStyle w:val="10"/>
                <w:rFonts w:hint="eastAsia"/>
              </w:rPr>
              <w:t>产品性能:</w:t>
            </w:r>
            <w:r>
              <w:rPr>
                <w:rFonts w:hint="eastAsia"/>
              </w:rPr>
              <w:br w:type="textWrapping"/>
            </w:r>
            <w:r>
              <w:rPr>
                <w:rStyle w:val="11"/>
                <w:rFonts w:hint="eastAsia"/>
              </w:rPr>
              <w:t>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联苯菊酯是一种高效合成拟除虫菊酯类杀虫、杀螨剂，具有触杀和胃毒作用。二者复配可有效防治茶树茶小绿叶蝉。</w:t>
            </w:r>
          </w:p>
        </w:tc>
      </w:tr>
      <w:tr w14:paraId="101752B1">
        <w:tblPrEx>
          <w:tblCellMar>
            <w:top w:w="0" w:type="dxa"/>
            <w:left w:w="0" w:type="dxa"/>
            <w:bottom w:w="0" w:type="dxa"/>
            <w:right w:w="0" w:type="dxa"/>
          </w:tblCellMar>
        </w:tblPrEx>
        <w:trPr>
          <w:wBefore w:w="0" w:type="auto"/>
          <w:tblCellSpacing w:w="0" w:type="dxa"/>
        </w:trPr>
        <w:tc>
          <w:tcPr>
            <w:tcW w:w="0" w:type="auto"/>
            <w:noWrap w:val="0"/>
            <w:vAlign w:val="center"/>
          </w:tcPr>
          <w:p w14:paraId="06EE81D3">
            <w:r>
              <w:rPr>
                <w:rStyle w:val="10"/>
                <w:rFonts w:hint="eastAsia"/>
              </w:rPr>
              <w:t>注意事项：</w:t>
            </w:r>
            <w:r>
              <w:rPr>
                <w:rFonts w:hint="eastAsia"/>
              </w:rPr>
              <w:br w:type="textWrapping"/>
            </w:r>
            <w:r>
              <w:rPr>
                <w:rStyle w:val="11"/>
                <w:rFonts w:hint="eastAsia"/>
              </w:rPr>
              <w:t>1. 该产品对眼睛有刺激性，使用时避免接触眼睛，使用时穿戴长衣、长裤、帽子、口罩、手套等防护措施。避免皮肤接触及口鼻吸入药液。使用中不可吸烟、饮水、吃东西等；使用后及时清洗手、脸等暴露部位皮肤并更换衣物。 2. 远离水产养殖区、河塘等水体施药；禁止在河塘等水体中清洗施药器具。 3. （周围）开花植物花期禁用，施药期间应密切关注对附近蜂群的影响；桑园及蚕室附近禁用；赤眼蜂等天敌放飞区域禁用。 4. 建议与其他作用机制不同的杀虫剂轮换使用，以延缓抗性产生。 5. 用过的容器应妥善处理，不可做他用，也不可随意丢弃。 6. 避免孕妇及哺乳期妇女接触。使用中有任何不良反应请及时就医。 7. 避免与具有氧化性质接触或混合。</w:t>
            </w:r>
          </w:p>
        </w:tc>
      </w:tr>
      <w:tr w14:paraId="7615E20E">
        <w:tblPrEx>
          <w:tblCellMar>
            <w:top w:w="0" w:type="dxa"/>
            <w:left w:w="0" w:type="dxa"/>
            <w:bottom w:w="0" w:type="dxa"/>
            <w:right w:w="0" w:type="dxa"/>
          </w:tblCellMar>
        </w:tblPrEx>
        <w:trPr>
          <w:wBefore w:w="0" w:type="auto"/>
          <w:tblCellSpacing w:w="0" w:type="dxa"/>
        </w:trPr>
        <w:tc>
          <w:tcPr>
            <w:tcW w:w="0" w:type="auto"/>
            <w:noWrap w:val="0"/>
            <w:vAlign w:val="center"/>
          </w:tcPr>
          <w:p w14:paraId="58891E0F">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 皮肤接触：脱去污染的衣物，用软布去除沾染农药，立即用大量清水和肥皂冲洗。 2. 眼睛溅入：立即用流动清水冲洗不少于15分钟，携带标签到医院就诊。 3. 吸入：立即离开施药现场，转移到空气清新处。 4. 误食：停止服用，用清水充分漱口后，立即携带标签到医院就诊。</w:t>
            </w:r>
          </w:p>
        </w:tc>
      </w:tr>
      <w:tr w14:paraId="6176FB52">
        <w:tblPrEx>
          <w:tblCellMar>
            <w:top w:w="0" w:type="dxa"/>
            <w:left w:w="0" w:type="dxa"/>
            <w:bottom w:w="0" w:type="dxa"/>
            <w:right w:w="0" w:type="dxa"/>
          </w:tblCellMar>
        </w:tblPrEx>
        <w:trPr>
          <w:wBefore w:w="0" w:type="auto"/>
          <w:tblCellSpacing w:w="0" w:type="dxa"/>
        </w:trPr>
        <w:tc>
          <w:tcPr>
            <w:tcW w:w="0" w:type="auto"/>
            <w:noWrap w:val="0"/>
            <w:vAlign w:val="center"/>
          </w:tcPr>
          <w:p w14:paraId="7FD1AEF9">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7C92DF86">
        <w:tblPrEx>
          <w:tblCellMar>
            <w:top w:w="0" w:type="dxa"/>
            <w:left w:w="0" w:type="dxa"/>
            <w:bottom w:w="0" w:type="dxa"/>
            <w:right w:w="0" w:type="dxa"/>
          </w:tblCellMar>
        </w:tblPrEx>
        <w:trPr>
          <w:wBefore w:w="0" w:type="auto"/>
          <w:tblCellSpacing w:w="0" w:type="dxa"/>
        </w:trPr>
        <w:tc>
          <w:tcPr>
            <w:tcW w:w="0" w:type="auto"/>
            <w:noWrap w:val="0"/>
            <w:vAlign w:val="center"/>
          </w:tcPr>
          <w:p w14:paraId="5693C26F">
            <w:r>
              <w:rPr>
                <w:rStyle w:val="10"/>
                <w:rFonts w:hint="eastAsia"/>
              </w:rPr>
              <w:t>质量保证期：</w:t>
            </w:r>
            <w:r>
              <w:rPr>
                <w:rStyle w:val="11"/>
                <w:rFonts w:hint="eastAsia"/>
              </w:rPr>
              <w:t>2年</w:t>
            </w:r>
          </w:p>
        </w:tc>
      </w:tr>
      <w:tr w14:paraId="4BA65814">
        <w:tblPrEx>
          <w:tblCellMar>
            <w:top w:w="0" w:type="dxa"/>
            <w:left w:w="0" w:type="dxa"/>
            <w:bottom w:w="0" w:type="dxa"/>
            <w:right w:w="0" w:type="dxa"/>
          </w:tblCellMar>
        </w:tblPrEx>
        <w:trPr>
          <w:wBefore w:w="0" w:type="auto"/>
          <w:tblCellSpacing w:w="0" w:type="dxa"/>
        </w:trPr>
        <w:tc>
          <w:tcPr>
            <w:tcW w:w="0" w:type="auto"/>
            <w:noWrap w:val="0"/>
            <w:vAlign w:val="center"/>
          </w:tcPr>
          <w:p w14:paraId="3EED42D4">
            <w:r>
              <w:rPr>
                <w:rStyle w:val="10"/>
                <w:rFonts w:hint="eastAsia"/>
              </w:rPr>
              <w:t>备注：</w:t>
            </w:r>
          </w:p>
        </w:tc>
      </w:tr>
    </w:tbl>
    <w:p w14:paraId="567F1E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C11917">
        <w:tblPrEx>
          <w:tblCellMar>
            <w:top w:w="0" w:type="dxa"/>
            <w:left w:w="0" w:type="dxa"/>
            <w:bottom w:w="0" w:type="dxa"/>
            <w:right w:w="0" w:type="dxa"/>
          </w:tblCellMar>
        </w:tblPrEx>
        <w:trPr>
          <w:wBefore w:w="0" w:type="auto"/>
          <w:tblCellSpacing w:w="0" w:type="dxa"/>
        </w:trPr>
        <w:tc>
          <w:tcPr>
            <w:tcW w:w="0" w:type="auto"/>
            <w:noWrap w:val="0"/>
            <w:vAlign w:val="center"/>
          </w:tcPr>
          <w:p w14:paraId="49EECAE1">
            <w:r>
              <w:rPr>
                <w:rStyle w:val="10"/>
                <w:rFonts w:hint="eastAsia"/>
              </w:rPr>
              <w:t>登记证号：</w:t>
            </w:r>
            <w:r>
              <w:rPr>
                <w:rFonts w:hint="eastAsia"/>
              </w:rPr>
              <w:t>PD20212562</w:t>
            </w:r>
          </w:p>
        </w:tc>
      </w:tr>
      <w:tr w14:paraId="2174673C">
        <w:tblPrEx>
          <w:tblCellMar>
            <w:top w:w="0" w:type="dxa"/>
            <w:left w:w="0" w:type="dxa"/>
            <w:bottom w:w="0" w:type="dxa"/>
            <w:right w:w="0" w:type="dxa"/>
          </w:tblCellMar>
        </w:tblPrEx>
        <w:trPr>
          <w:wBefore w:w="0" w:type="auto"/>
          <w:tblCellSpacing w:w="0" w:type="dxa"/>
        </w:trPr>
        <w:tc>
          <w:tcPr>
            <w:tcW w:w="0" w:type="auto"/>
            <w:noWrap w:val="0"/>
            <w:vAlign w:val="center"/>
          </w:tcPr>
          <w:p w14:paraId="401C192C">
            <w:r>
              <w:rPr>
                <w:rStyle w:val="10"/>
                <w:rFonts w:hint="eastAsia"/>
              </w:rPr>
              <w:t>登记证持有人：</w:t>
            </w:r>
            <w:r>
              <w:rPr>
                <w:rFonts w:hint="eastAsia"/>
              </w:rPr>
              <w:t>安徽隆冠生物科技有限公司</w:t>
            </w:r>
          </w:p>
        </w:tc>
      </w:tr>
      <w:tr w14:paraId="4D45BC5A">
        <w:tblPrEx>
          <w:tblCellMar>
            <w:top w:w="0" w:type="dxa"/>
            <w:left w:w="0" w:type="dxa"/>
            <w:bottom w:w="0" w:type="dxa"/>
            <w:right w:w="0" w:type="dxa"/>
          </w:tblCellMar>
        </w:tblPrEx>
        <w:trPr>
          <w:wBefore w:w="0" w:type="auto"/>
          <w:tblCellSpacing w:w="0" w:type="dxa"/>
        </w:trPr>
        <w:tc>
          <w:tcPr>
            <w:tcW w:w="0" w:type="auto"/>
            <w:noWrap w:val="0"/>
            <w:vAlign w:val="center"/>
          </w:tcPr>
          <w:p w14:paraId="53BF4D0F">
            <w:r>
              <w:rPr>
                <w:rStyle w:val="10"/>
                <w:rFonts w:hint="eastAsia"/>
              </w:rPr>
              <w:t>农药名称：</w:t>
            </w:r>
            <w:r>
              <w:rPr>
                <w:rFonts w:hint="eastAsia"/>
              </w:rPr>
              <w:t>噁唑·氰氟</w:t>
            </w:r>
          </w:p>
        </w:tc>
      </w:tr>
      <w:tr w14:paraId="0529729F">
        <w:tblPrEx>
          <w:tblCellMar>
            <w:top w:w="0" w:type="dxa"/>
            <w:left w:w="0" w:type="dxa"/>
            <w:bottom w:w="0" w:type="dxa"/>
            <w:right w:w="0" w:type="dxa"/>
          </w:tblCellMar>
        </w:tblPrEx>
        <w:trPr>
          <w:wBefore w:w="0" w:type="auto"/>
          <w:tblCellSpacing w:w="0" w:type="dxa"/>
        </w:trPr>
        <w:tc>
          <w:tcPr>
            <w:tcW w:w="0" w:type="auto"/>
            <w:noWrap w:val="0"/>
            <w:vAlign w:val="center"/>
          </w:tcPr>
          <w:p w14:paraId="76BAE795">
            <w:r>
              <w:rPr>
                <w:rStyle w:val="10"/>
                <w:rFonts w:hint="eastAsia"/>
              </w:rPr>
              <w:t>剂型：</w:t>
            </w:r>
            <w:r>
              <w:rPr>
                <w:rFonts w:hint="eastAsia"/>
              </w:rPr>
              <w:t>乳油</w:t>
            </w:r>
          </w:p>
        </w:tc>
      </w:tr>
      <w:tr w14:paraId="072D28D3">
        <w:tblPrEx>
          <w:tblCellMar>
            <w:top w:w="0" w:type="dxa"/>
            <w:left w:w="0" w:type="dxa"/>
            <w:bottom w:w="0" w:type="dxa"/>
            <w:right w:w="0" w:type="dxa"/>
          </w:tblCellMar>
        </w:tblPrEx>
        <w:trPr>
          <w:wBefore w:w="0" w:type="auto"/>
          <w:tblCellSpacing w:w="0" w:type="dxa"/>
        </w:trPr>
        <w:tc>
          <w:tcPr>
            <w:tcW w:w="0" w:type="auto"/>
            <w:noWrap w:val="0"/>
            <w:vAlign w:val="center"/>
          </w:tcPr>
          <w:p w14:paraId="5E9ADBC8">
            <w:r>
              <w:rPr>
                <w:rStyle w:val="10"/>
                <w:rFonts w:hint="eastAsia"/>
              </w:rPr>
              <w:t>毒性及其标识：</w:t>
            </w:r>
            <w:r>
              <w:rPr>
                <w:rFonts w:hint="eastAsia"/>
              </w:rPr>
              <w:t xml:space="preserve"> </w:t>
            </w:r>
            <w:r>
              <w:rPr>
                <w:lang/>
              </w:rPr>
              <w:drawing>
                <wp:inline distT="0" distB="0" distL="114300" distR="114300">
                  <wp:extent cx="476250" cy="323850"/>
                  <wp:effectExtent l="0" t="0" r="0" b="0"/>
                  <wp:docPr id="327" name="图片 3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3AC01E">
        <w:tblPrEx>
          <w:tblCellMar>
            <w:top w:w="0" w:type="dxa"/>
            <w:left w:w="0" w:type="dxa"/>
            <w:bottom w:w="0" w:type="dxa"/>
            <w:right w:w="0" w:type="dxa"/>
          </w:tblCellMar>
        </w:tblPrEx>
        <w:trPr>
          <w:wBefore w:w="0" w:type="auto"/>
          <w:tblCellSpacing w:w="0" w:type="dxa"/>
        </w:trPr>
        <w:tc>
          <w:tcPr>
            <w:tcW w:w="0" w:type="auto"/>
            <w:noWrap w:val="0"/>
            <w:vAlign w:val="center"/>
          </w:tcPr>
          <w:p w14:paraId="1F53080B">
            <w:r>
              <w:rPr>
                <w:rStyle w:val="10"/>
                <w:rFonts w:hint="eastAsia"/>
              </w:rPr>
              <w:t>总有效成分含量：</w:t>
            </w:r>
            <w:r>
              <w:rPr>
                <w:rFonts w:hint="eastAsia"/>
              </w:rPr>
              <w:t>40%</w:t>
            </w:r>
          </w:p>
        </w:tc>
      </w:tr>
      <w:tr w14:paraId="4AC8FF6B">
        <w:tblPrEx>
          <w:tblCellMar>
            <w:top w:w="0" w:type="dxa"/>
            <w:left w:w="0" w:type="dxa"/>
            <w:bottom w:w="0" w:type="dxa"/>
            <w:right w:w="0" w:type="dxa"/>
          </w:tblCellMar>
        </w:tblPrEx>
        <w:trPr>
          <w:wBefore w:w="0" w:type="auto"/>
          <w:tblCellSpacing w:w="0" w:type="dxa"/>
        </w:trPr>
        <w:tc>
          <w:tcPr>
            <w:tcW w:w="0" w:type="auto"/>
            <w:noWrap w:val="0"/>
            <w:vAlign w:val="center"/>
          </w:tcPr>
          <w:p w14:paraId="52635E56">
            <w:r>
              <w:rPr>
                <w:rFonts w:hint="eastAsia"/>
              </w:rPr>
              <w:t xml:space="preserve">有效成分及其含量： </w:t>
            </w:r>
          </w:p>
          <w:p w14:paraId="60631912">
            <w:r>
              <w:rPr>
                <w:rFonts w:hint="eastAsia"/>
              </w:rPr>
              <w:t xml:space="preserve">    噁唑酰草胺16%    氰氟草酯24%    </w:t>
            </w:r>
          </w:p>
        </w:tc>
      </w:tr>
      <w:tr w14:paraId="3237415F">
        <w:tblPrEx>
          <w:tblCellMar>
            <w:top w:w="0" w:type="dxa"/>
            <w:left w:w="0" w:type="dxa"/>
            <w:bottom w:w="0" w:type="dxa"/>
            <w:right w:w="0" w:type="dxa"/>
          </w:tblCellMar>
        </w:tblPrEx>
        <w:trPr>
          <w:wBefore w:w="0" w:type="auto"/>
          <w:tblCellSpacing w:w="0" w:type="dxa"/>
        </w:trPr>
        <w:tc>
          <w:tcPr>
            <w:tcW w:w="0" w:type="auto"/>
            <w:noWrap w:val="0"/>
            <w:vAlign w:val="center"/>
          </w:tcPr>
          <w:p w14:paraId="6A247FD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24F0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8233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E341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E191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8EC89E">
                  <w:r>
                    <w:rPr>
                      <w:rStyle w:val="11"/>
                      <w:rFonts w:hint="eastAsia"/>
                    </w:rPr>
                    <w:t>施用方式</w:t>
                  </w:r>
                </w:p>
              </w:tc>
            </w:tr>
            <w:tr w14:paraId="42F932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EC6D7F">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920291">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BF1833">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3E6DFE">
                  <w:r>
                    <w:rPr>
                      <w:rStyle w:val="11"/>
                      <w:rFonts w:hint="eastAsia"/>
                    </w:rPr>
                    <w:t>茎叶喷雾</w:t>
                  </w:r>
                </w:p>
              </w:tc>
            </w:tr>
          </w:tbl>
          <w:p w14:paraId="64C08E6B">
            <w:pPr>
              <w:rPr>
                <w:rFonts w:ascii="Times New Roman" w:hAnsi="Times New Roman" w:cs="Times New Roman"/>
                <w:sz w:val="20"/>
                <w:szCs w:val="20"/>
              </w:rPr>
            </w:pPr>
          </w:p>
        </w:tc>
      </w:tr>
      <w:tr w14:paraId="2BC5CEFD">
        <w:tblPrEx>
          <w:tblCellMar>
            <w:top w:w="0" w:type="dxa"/>
            <w:left w:w="0" w:type="dxa"/>
            <w:bottom w:w="0" w:type="dxa"/>
            <w:right w:w="0" w:type="dxa"/>
          </w:tblCellMar>
        </w:tblPrEx>
        <w:trPr>
          <w:wBefore w:w="0" w:type="auto"/>
          <w:tblCellSpacing w:w="0" w:type="dxa"/>
        </w:trPr>
        <w:tc>
          <w:tcPr>
            <w:tcW w:w="0" w:type="auto"/>
            <w:noWrap w:val="0"/>
            <w:vAlign w:val="center"/>
          </w:tcPr>
          <w:p w14:paraId="5CEEE3C6">
            <w:r>
              <w:rPr>
                <w:rStyle w:val="10"/>
                <w:rFonts w:hint="eastAsia"/>
              </w:rPr>
              <w:t>使用技术要求:</w:t>
            </w:r>
            <w:r>
              <w:rPr>
                <w:rFonts w:hint="eastAsia"/>
              </w:rPr>
              <w:br w:type="textWrapping"/>
            </w:r>
            <w:r>
              <w:rPr>
                <w:rStyle w:val="11"/>
                <w:rFonts w:hint="eastAsia"/>
              </w:rPr>
              <w:t>1. 在直播稻田一年生禾本科杂草，稗草2-4叶期施药，茎叶喷雾处理。2. 、药后保持3-5cm水层5-7天，水层勿淹没水稻心叶避免药害。3. 大风天或预计1小时内降雨请勿施药。4. 本品每季最多施药次数为1次。</w:t>
            </w:r>
          </w:p>
        </w:tc>
      </w:tr>
      <w:tr w14:paraId="4C9498BE">
        <w:tblPrEx>
          <w:tblCellMar>
            <w:top w:w="0" w:type="dxa"/>
            <w:left w:w="0" w:type="dxa"/>
            <w:bottom w:w="0" w:type="dxa"/>
            <w:right w:w="0" w:type="dxa"/>
          </w:tblCellMar>
        </w:tblPrEx>
        <w:trPr>
          <w:wBefore w:w="0" w:type="auto"/>
          <w:tblCellSpacing w:w="0" w:type="dxa"/>
        </w:trPr>
        <w:tc>
          <w:tcPr>
            <w:tcW w:w="0" w:type="auto"/>
            <w:noWrap w:val="0"/>
            <w:vAlign w:val="center"/>
          </w:tcPr>
          <w:p w14:paraId="58C7087F">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推荐剂量下使用，对水稻安全，二者混用能够有效防除水稻田(直播)一年生禾本科杂草。</w:t>
            </w:r>
          </w:p>
        </w:tc>
      </w:tr>
      <w:tr w14:paraId="64261826">
        <w:tblPrEx>
          <w:tblCellMar>
            <w:top w:w="0" w:type="dxa"/>
            <w:left w:w="0" w:type="dxa"/>
            <w:bottom w:w="0" w:type="dxa"/>
            <w:right w:w="0" w:type="dxa"/>
          </w:tblCellMar>
        </w:tblPrEx>
        <w:trPr>
          <w:wBefore w:w="0" w:type="auto"/>
          <w:tblCellSpacing w:w="0" w:type="dxa"/>
        </w:trPr>
        <w:tc>
          <w:tcPr>
            <w:tcW w:w="0" w:type="auto"/>
            <w:noWrap w:val="0"/>
            <w:vAlign w:val="center"/>
          </w:tcPr>
          <w:p w14:paraId="6A7856EF">
            <w:r>
              <w:rPr>
                <w:rStyle w:val="10"/>
                <w:rFonts w:hint="eastAsia"/>
              </w:rPr>
              <w:t>注意事项：</w:t>
            </w:r>
            <w:r>
              <w:rPr>
                <w:rFonts w:hint="eastAsia"/>
              </w:rPr>
              <w:br w:type="textWrapping"/>
            </w:r>
            <w:r>
              <w:rPr>
                <w:rStyle w:val="11"/>
                <w:rFonts w:hint="eastAsia"/>
              </w:rPr>
              <w:t>1. 正常使用技术条件下对后茬作物安全。2. 本品对眼睛有刺激性，使用时要注意避免药液与眼睛接触， 穿戴长衣、长裤、帽子、口罩、手套等防护措施。避免吸入药液；施药期间不可吃东西、饮水等。施药后应及时洗手、洗脸等。3. 远离水产养殖区、河塘等水域施药，禁止在河塘等水体清洗施药器械。4. 鱼或虾蟹套养稻田禁用，施药后的田水不得直接排入水体。5. 废弃物、用过的容器应妥善处理，不可做他用，也不可随意丢弃。6. 施用时若周围有桑园，最外围桑树为隔离带，不能用于饲养家蚕。7. 孕妇及哺乳期妇女应避免接触本品。8. 避免与氧化剂、煤油接触。</w:t>
            </w:r>
          </w:p>
        </w:tc>
      </w:tr>
      <w:tr w14:paraId="4075D78B">
        <w:tblPrEx>
          <w:tblCellMar>
            <w:top w:w="0" w:type="dxa"/>
            <w:left w:w="0" w:type="dxa"/>
            <w:bottom w:w="0" w:type="dxa"/>
            <w:right w:w="0" w:type="dxa"/>
          </w:tblCellMar>
        </w:tblPrEx>
        <w:trPr>
          <w:wBefore w:w="0" w:type="auto"/>
          <w:tblCellSpacing w:w="0" w:type="dxa"/>
        </w:trPr>
        <w:tc>
          <w:tcPr>
            <w:tcW w:w="0" w:type="auto"/>
            <w:noWrap w:val="0"/>
            <w:vAlign w:val="center"/>
          </w:tcPr>
          <w:p w14:paraId="2D396A2D">
            <w:r>
              <w:rPr>
                <w:rStyle w:val="10"/>
                <w:rFonts w:hint="eastAsia"/>
              </w:rPr>
              <w:t>中毒急救措施：</w:t>
            </w:r>
            <w:r>
              <w:rPr>
                <w:rFonts w:hint="eastAsia"/>
              </w:rPr>
              <w:br w:type="textWrapping"/>
            </w:r>
            <w:r>
              <w:rPr>
                <w:rStyle w:val="11"/>
                <w:rFonts w:hint="eastAsia"/>
              </w:rPr>
              <w:t>急救措施：1. 皮肤接触：立即脱掉污染的衣物，用肥皂和大量清水彻底清洗污染的皮肤。 2. 眼睛接触：立即分开眼睑，用清水冲洗眼至少15分钟，再请医生诊治。 3. 吸入：立即将患者转移到空气新鲜处，再请医生诊治。 4. 误服：立即携带标签，送医院就诊，对症治疗。 5. 本品无特效解毒剂，应对症治疗。</w:t>
            </w:r>
          </w:p>
        </w:tc>
      </w:tr>
      <w:tr w14:paraId="02976672">
        <w:tblPrEx>
          <w:tblCellMar>
            <w:top w:w="0" w:type="dxa"/>
            <w:left w:w="0" w:type="dxa"/>
            <w:bottom w:w="0" w:type="dxa"/>
            <w:right w:w="0" w:type="dxa"/>
          </w:tblCellMar>
        </w:tblPrEx>
        <w:trPr>
          <w:wBefore w:w="0" w:type="auto"/>
          <w:tblCellSpacing w:w="0" w:type="dxa"/>
        </w:trPr>
        <w:tc>
          <w:tcPr>
            <w:tcW w:w="0" w:type="auto"/>
            <w:noWrap w:val="0"/>
            <w:vAlign w:val="center"/>
          </w:tcPr>
          <w:p w14:paraId="542EE089">
            <w:r>
              <w:rPr>
                <w:rStyle w:val="10"/>
                <w:rFonts w:hint="eastAsia"/>
              </w:rPr>
              <w:t>储存和运输方法：</w:t>
            </w:r>
            <w:r>
              <w:rPr>
                <w:rFonts w:hint="eastAsia"/>
              </w:rPr>
              <w:br w:type="textWrapping"/>
            </w:r>
            <w:r>
              <w:rPr>
                <w:rStyle w:val="11"/>
                <w:rFonts w:hint="eastAsia"/>
              </w:rPr>
              <w:t>1. 本品应贮存在干燥、阴凉、通风、防雨处，远离火源或热源。2. 本品应当置于儿童、无关人员触及不到之处，并加锁保存。3. 勿与食品、饮料、饲料、粮食等其他商品同贮同运。</w:t>
            </w:r>
          </w:p>
        </w:tc>
      </w:tr>
      <w:tr w14:paraId="034AB387">
        <w:tblPrEx>
          <w:tblCellMar>
            <w:top w:w="0" w:type="dxa"/>
            <w:left w:w="0" w:type="dxa"/>
            <w:bottom w:w="0" w:type="dxa"/>
            <w:right w:w="0" w:type="dxa"/>
          </w:tblCellMar>
        </w:tblPrEx>
        <w:trPr>
          <w:wBefore w:w="0" w:type="auto"/>
          <w:tblCellSpacing w:w="0" w:type="dxa"/>
        </w:trPr>
        <w:tc>
          <w:tcPr>
            <w:tcW w:w="0" w:type="auto"/>
            <w:noWrap w:val="0"/>
            <w:vAlign w:val="center"/>
          </w:tcPr>
          <w:p w14:paraId="3FE69668">
            <w:r>
              <w:rPr>
                <w:rStyle w:val="10"/>
                <w:rFonts w:hint="eastAsia"/>
              </w:rPr>
              <w:t>质量保证期：</w:t>
            </w:r>
            <w:r>
              <w:rPr>
                <w:rStyle w:val="11"/>
                <w:rFonts w:hint="eastAsia"/>
              </w:rPr>
              <w:t>2年</w:t>
            </w:r>
          </w:p>
        </w:tc>
      </w:tr>
      <w:tr w14:paraId="4B438C5E">
        <w:tblPrEx>
          <w:tblCellMar>
            <w:top w:w="0" w:type="dxa"/>
            <w:left w:w="0" w:type="dxa"/>
            <w:bottom w:w="0" w:type="dxa"/>
            <w:right w:w="0" w:type="dxa"/>
          </w:tblCellMar>
        </w:tblPrEx>
        <w:trPr>
          <w:wBefore w:w="0" w:type="auto"/>
          <w:tblCellSpacing w:w="0" w:type="dxa"/>
        </w:trPr>
        <w:tc>
          <w:tcPr>
            <w:tcW w:w="0" w:type="auto"/>
            <w:noWrap w:val="0"/>
            <w:vAlign w:val="center"/>
          </w:tcPr>
          <w:p w14:paraId="5224FE5A">
            <w:r>
              <w:rPr>
                <w:rStyle w:val="10"/>
                <w:rFonts w:hint="eastAsia"/>
              </w:rPr>
              <w:t>备注：</w:t>
            </w:r>
          </w:p>
        </w:tc>
      </w:tr>
    </w:tbl>
    <w:p w14:paraId="59CAADF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2FF4B3">
        <w:tblPrEx>
          <w:tblCellMar>
            <w:top w:w="0" w:type="dxa"/>
            <w:left w:w="0" w:type="dxa"/>
            <w:bottom w:w="0" w:type="dxa"/>
            <w:right w:w="0" w:type="dxa"/>
          </w:tblCellMar>
        </w:tblPrEx>
        <w:trPr>
          <w:wBefore w:w="0" w:type="auto"/>
          <w:tblCellSpacing w:w="0" w:type="dxa"/>
        </w:trPr>
        <w:tc>
          <w:tcPr>
            <w:tcW w:w="0" w:type="auto"/>
            <w:noWrap w:val="0"/>
            <w:vAlign w:val="center"/>
          </w:tcPr>
          <w:p w14:paraId="2AB8FC03">
            <w:r>
              <w:rPr>
                <w:rStyle w:val="10"/>
                <w:rFonts w:hint="eastAsia"/>
              </w:rPr>
              <w:t>登记证号：</w:t>
            </w:r>
            <w:r>
              <w:rPr>
                <w:rFonts w:hint="eastAsia"/>
              </w:rPr>
              <w:t>PD20212606</w:t>
            </w:r>
          </w:p>
        </w:tc>
      </w:tr>
      <w:tr w14:paraId="781666EC">
        <w:tblPrEx>
          <w:tblCellMar>
            <w:top w:w="0" w:type="dxa"/>
            <w:left w:w="0" w:type="dxa"/>
            <w:bottom w:w="0" w:type="dxa"/>
            <w:right w:w="0" w:type="dxa"/>
          </w:tblCellMar>
        </w:tblPrEx>
        <w:trPr>
          <w:wBefore w:w="0" w:type="auto"/>
          <w:tblCellSpacing w:w="0" w:type="dxa"/>
        </w:trPr>
        <w:tc>
          <w:tcPr>
            <w:tcW w:w="0" w:type="auto"/>
            <w:noWrap w:val="0"/>
            <w:vAlign w:val="center"/>
          </w:tcPr>
          <w:p w14:paraId="5D40581F">
            <w:r>
              <w:rPr>
                <w:rStyle w:val="10"/>
                <w:rFonts w:hint="eastAsia"/>
              </w:rPr>
              <w:t>登记证持有人：</w:t>
            </w:r>
            <w:r>
              <w:rPr>
                <w:rFonts w:hint="eastAsia"/>
              </w:rPr>
              <w:t>安徽沙隆达生物科技有限公司</w:t>
            </w:r>
          </w:p>
        </w:tc>
      </w:tr>
      <w:tr w14:paraId="41D2D191">
        <w:tblPrEx>
          <w:tblCellMar>
            <w:top w:w="0" w:type="dxa"/>
            <w:left w:w="0" w:type="dxa"/>
            <w:bottom w:w="0" w:type="dxa"/>
            <w:right w:w="0" w:type="dxa"/>
          </w:tblCellMar>
        </w:tblPrEx>
        <w:trPr>
          <w:wBefore w:w="0" w:type="auto"/>
          <w:tblCellSpacing w:w="0" w:type="dxa"/>
        </w:trPr>
        <w:tc>
          <w:tcPr>
            <w:tcW w:w="0" w:type="auto"/>
            <w:noWrap w:val="0"/>
            <w:vAlign w:val="center"/>
          </w:tcPr>
          <w:p w14:paraId="62784389">
            <w:r>
              <w:rPr>
                <w:rStyle w:val="10"/>
                <w:rFonts w:hint="eastAsia"/>
              </w:rPr>
              <w:t>农药名称：</w:t>
            </w:r>
            <w:r>
              <w:rPr>
                <w:rFonts w:hint="eastAsia"/>
              </w:rPr>
              <w:t>二氯喹·噁唑胺·氰氟酯</w:t>
            </w:r>
          </w:p>
        </w:tc>
      </w:tr>
      <w:tr w14:paraId="22A9DEE0">
        <w:tblPrEx>
          <w:tblCellMar>
            <w:top w:w="0" w:type="dxa"/>
            <w:left w:w="0" w:type="dxa"/>
            <w:bottom w:w="0" w:type="dxa"/>
            <w:right w:w="0" w:type="dxa"/>
          </w:tblCellMar>
        </w:tblPrEx>
        <w:trPr>
          <w:wBefore w:w="0" w:type="auto"/>
          <w:tblCellSpacing w:w="0" w:type="dxa"/>
        </w:trPr>
        <w:tc>
          <w:tcPr>
            <w:tcW w:w="0" w:type="auto"/>
            <w:noWrap w:val="0"/>
            <w:vAlign w:val="center"/>
          </w:tcPr>
          <w:p w14:paraId="31DD89A7">
            <w:r>
              <w:rPr>
                <w:rStyle w:val="10"/>
                <w:rFonts w:hint="eastAsia"/>
              </w:rPr>
              <w:t>剂型：</w:t>
            </w:r>
            <w:r>
              <w:rPr>
                <w:rFonts w:hint="eastAsia"/>
              </w:rPr>
              <w:t>可分散油悬浮剂</w:t>
            </w:r>
          </w:p>
        </w:tc>
      </w:tr>
      <w:tr w14:paraId="1AA6FF8E">
        <w:tblPrEx>
          <w:tblCellMar>
            <w:top w:w="0" w:type="dxa"/>
            <w:left w:w="0" w:type="dxa"/>
            <w:bottom w:w="0" w:type="dxa"/>
            <w:right w:w="0" w:type="dxa"/>
          </w:tblCellMar>
        </w:tblPrEx>
        <w:trPr>
          <w:wBefore w:w="0" w:type="auto"/>
          <w:tblCellSpacing w:w="0" w:type="dxa"/>
        </w:trPr>
        <w:tc>
          <w:tcPr>
            <w:tcW w:w="0" w:type="auto"/>
            <w:noWrap w:val="0"/>
            <w:vAlign w:val="center"/>
          </w:tcPr>
          <w:p w14:paraId="79BA6B82">
            <w:r>
              <w:rPr>
                <w:rStyle w:val="10"/>
                <w:rFonts w:hint="eastAsia"/>
              </w:rPr>
              <w:t>毒性及其标识：</w:t>
            </w:r>
            <w:r>
              <w:rPr>
                <w:rFonts w:hint="eastAsia"/>
              </w:rPr>
              <w:t xml:space="preserve"> </w:t>
            </w:r>
            <w:r>
              <w:rPr>
                <w:lang/>
              </w:rPr>
              <w:drawing>
                <wp:inline distT="0" distB="0" distL="114300" distR="114300">
                  <wp:extent cx="476250" cy="323850"/>
                  <wp:effectExtent l="0" t="0" r="0" b="0"/>
                  <wp:docPr id="328" name="图片 3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9C57B5">
        <w:tblPrEx>
          <w:tblCellMar>
            <w:top w:w="0" w:type="dxa"/>
            <w:left w:w="0" w:type="dxa"/>
            <w:bottom w:w="0" w:type="dxa"/>
            <w:right w:w="0" w:type="dxa"/>
          </w:tblCellMar>
        </w:tblPrEx>
        <w:trPr>
          <w:wBefore w:w="0" w:type="auto"/>
          <w:tblCellSpacing w:w="0" w:type="dxa"/>
        </w:trPr>
        <w:tc>
          <w:tcPr>
            <w:tcW w:w="0" w:type="auto"/>
            <w:noWrap w:val="0"/>
            <w:vAlign w:val="center"/>
          </w:tcPr>
          <w:p w14:paraId="6FE32817">
            <w:r>
              <w:rPr>
                <w:rStyle w:val="10"/>
                <w:rFonts w:hint="eastAsia"/>
              </w:rPr>
              <w:t>总有效成分含量：</w:t>
            </w:r>
            <w:r>
              <w:rPr>
                <w:rFonts w:hint="eastAsia"/>
              </w:rPr>
              <w:t>30%</w:t>
            </w:r>
          </w:p>
        </w:tc>
      </w:tr>
      <w:tr w14:paraId="1CF8DAEF">
        <w:tblPrEx>
          <w:tblCellMar>
            <w:top w:w="0" w:type="dxa"/>
            <w:left w:w="0" w:type="dxa"/>
            <w:bottom w:w="0" w:type="dxa"/>
            <w:right w:w="0" w:type="dxa"/>
          </w:tblCellMar>
        </w:tblPrEx>
        <w:trPr>
          <w:wBefore w:w="0" w:type="auto"/>
          <w:tblCellSpacing w:w="0" w:type="dxa"/>
        </w:trPr>
        <w:tc>
          <w:tcPr>
            <w:tcW w:w="0" w:type="auto"/>
            <w:noWrap w:val="0"/>
            <w:vAlign w:val="center"/>
          </w:tcPr>
          <w:p w14:paraId="65BB9C83">
            <w:r>
              <w:rPr>
                <w:rFonts w:hint="eastAsia"/>
              </w:rPr>
              <w:t xml:space="preserve">有效成分及其含量： </w:t>
            </w:r>
          </w:p>
          <w:p w14:paraId="74D5387D">
            <w:r>
              <w:rPr>
                <w:rFonts w:hint="eastAsia"/>
              </w:rPr>
              <w:t xml:space="preserve">    二氯喹啉酸11%    噁唑酰草胺6%    氰氟草酯13%    </w:t>
            </w:r>
          </w:p>
        </w:tc>
      </w:tr>
      <w:tr w14:paraId="0D447999">
        <w:tblPrEx>
          <w:tblCellMar>
            <w:top w:w="0" w:type="dxa"/>
            <w:left w:w="0" w:type="dxa"/>
            <w:bottom w:w="0" w:type="dxa"/>
            <w:right w:w="0" w:type="dxa"/>
          </w:tblCellMar>
        </w:tblPrEx>
        <w:trPr>
          <w:wBefore w:w="0" w:type="auto"/>
          <w:tblCellSpacing w:w="0" w:type="dxa"/>
        </w:trPr>
        <w:tc>
          <w:tcPr>
            <w:tcW w:w="0" w:type="auto"/>
            <w:noWrap w:val="0"/>
            <w:vAlign w:val="center"/>
          </w:tcPr>
          <w:p w14:paraId="744B25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E859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BB5A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C0C7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9EB41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25DBE9">
                  <w:r>
                    <w:rPr>
                      <w:rStyle w:val="11"/>
                      <w:rFonts w:hint="eastAsia"/>
                    </w:rPr>
                    <w:t>施用方式</w:t>
                  </w:r>
                </w:p>
              </w:tc>
            </w:tr>
            <w:tr w14:paraId="6F1472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5E156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DF8D18">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D37C48">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6C5085">
                  <w:r>
                    <w:rPr>
                      <w:rStyle w:val="11"/>
                      <w:rFonts w:hint="eastAsia"/>
                    </w:rPr>
                    <w:t>茎叶喷雾</w:t>
                  </w:r>
                </w:p>
              </w:tc>
            </w:tr>
          </w:tbl>
          <w:p w14:paraId="04FF6BB3">
            <w:pPr>
              <w:rPr>
                <w:rFonts w:ascii="Times New Roman" w:hAnsi="Times New Roman" w:cs="Times New Roman"/>
                <w:sz w:val="20"/>
                <w:szCs w:val="20"/>
              </w:rPr>
            </w:pPr>
          </w:p>
        </w:tc>
      </w:tr>
      <w:tr w14:paraId="09A7EC29">
        <w:tblPrEx>
          <w:tblCellMar>
            <w:top w:w="0" w:type="dxa"/>
            <w:left w:w="0" w:type="dxa"/>
            <w:bottom w:w="0" w:type="dxa"/>
            <w:right w:w="0" w:type="dxa"/>
          </w:tblCellMar>
        </w:tblPrEx>
        <w:trPr>
          <w:wBefore w:w="0" w:type="auto"/>
          <w:tblCellSpacing w:w="0" w:type="dxa"/>
        </w:trPr>
        <w:tc>
          <w:tcPr>
            <w:tcW w:w="0" w:type="auto"/>
            <w:noWrap w:val="0"/>
            <w:vAlign w:val="center"/>
          </w:tcPr>
          <w:p w14:paraId="36C80356">
            <w:r>
              <w:rPr>
                <w:rStyle w:val="10"/>
                <w:rFonts w:hint="eastAsia"/>
              </w:rPr>
              <w:t>使用技术要求:</w:t>
            </w:r>
            <w:r>
              <w:rPr>
                <w:rFonts w:hint="eastAsia"/>
              </w:rPr>
              <w:br w:type="textWrapping"/>
            </w:r>
            <w:r>
              <w:rPr>
                <w:rStyle w:val="11"/>
                <w:rFonts w:hint="eastAsia"/>
              </w:rPr>
              <w:t>1. 在直播稻田禾草2-4叶期茎叶喷雾施药一次，制剂用药量30-50毫升/亩。使用注意事项：水层勿淹没水稻心叶，避免药害。 2. 大风天或预计1小时内降雨，请勿施药。3. 每季最多使用1次。</w:t>
            </w:r>
          </w:p>
        </w:tc>
      </w:tr>
      <w:tr w14:paraId="5804039D">
        <w:tblPrEx>
          <w:tblCellMar>
            <w:top w:w="0" w:type="dxa"/>
            <w:left w:w="0" w:type="dxa"/>
            <w:bottom w:w="0" w:type="dxa"/>
            <w:right w:w="0" w:type="dxa"/>
          </w:tblCellMar>
        </w:tblPrEx>
        <w:trPr>
          <w:wBefore w:w="0" w:type="auto"/>
          <w:tblCellSpacing w:w="0" w:type="dxa"/>
        </w:trPr>
        <w:tc>
          <w:tcPr>
            <w:tcW w:w="0" w:type="auto"/>
            <w:noWrap w:val="0"/>
            <w:vAlign w:val="center"/>
          </w:tcPr>
          <w:p w14:paraId="613862CD">
            <w:r>
              <w:rPr>
                <w:rStyle w:val="10"/>
                <w:rFonts w:hint="eastAsia"/>
              </w:rPr>
              <w:t>产品性能:</w:t>
            </w:r>
            <w:r>
              <w:rPr>
                <w:rFonts w:hint="eastAsia"/>
              </w:rPr>
              <w:br w:type="textWrapping"/>
            </w:r>
            <w:r>
              <w:rPr>
                <w:rStyle w:val="11"/>
                <w:rFonts w:hint="eastAsia"/>
              </w:rPr>
              <w:t>本品是由噁唑酰草胺、氰氟草酯与二氯喹啉酸三者混配而成，杀草谱广，对水稻直播田一年生禾本科杂草有较好的防治效果。</w:t>
            </w:r>
          </w:p>
        </w:tc>
      </w:tr>
      <w:tr w14:paraId="5B9FCCEA">
        <w:tblPrEx>
          <w:tblCellMar>
            <w:top w:w="0" w:type="dxa"/>
            <w:left w:w="0" w:type="dxa"/>
            <w:bottom w:w="0" w:type="dxa"/>
            <w:right w:w="0" w:type="dxa"/>
          </w:tblCellMar>
        </w:tblPrEx>
        <w:trPr>
          <w:wBefore w:w="0" w:type="auto"/>
          <w:tblCellSpacing w:w="0" w:type="dxa"/>
        </w:trPr>
        <w:tc>
          <w:tcPr>
            <w:tcW w:w="0" w:type="auto"/>
            <w:noWrap w:val="0"/>
            <w:vAlign w:val="center"/>
          </w:tcPr>
          <w:p w14:paraId="561FF7A2">
            <w:r>
              <w:rPr>
                <w:rStyle w:val="10"/>
                <w:rFonts w:hint="eastAsia"/>
              </w:rPr>
              <w:t>注意事项：</w:t>
            </w:r>
            <w:r>
              <w:rPr>
                <w:rFonts w:hint="eastAsia"/>
              </w:rPr>
              <w:br w:type="textWrapping"/>
            </w:r>
            <w:r>
              <w:rPr>
                <w:rStyle w:val="11"/>
                <w:rFonts w:hint="eastAsia"/>
              </w:rPr>
              <w:t>1. 本品为可分散油悬浮剂，施药前请充分摇匀。2. 本品对眼睛有刺激性，使用时避免接触眼睛，穿戴长衣、长裤、帽子、口罩、手套等防护措施，避免吸入药液；施药期间不可吃东西、饮水等。施药后应及时洗手、洗脸等。3. 清洗施药器具的废水不能排入河流、池塘等水源。废弃物应妥善处理，不可做他用，也不可随意丢弃。4. 本品对鱼类等水生生物有毒，水产养殖区、河塘等水体附近禁用，禁止在河塘等水体清洗施药器械，鱼或虾蟹套养稻田禁用，施药后的田水不得直接排入水体。5. 禁止在蚕室和桑园附近使用。6. 禁止老、弱、病、残、孕、小孩和哺乳期妇女接触和使用。</w:t>
            </w:r>
          </w:p>
        </w:tc>
      </w:tr>
      <w:tr w14:paraId="4614FEB1">
        <w:tblPrEx>
          <w:tblCellMar>
            <w:top w:w="0" w:type="dxa"/>
            <w:left w:w="0" w:type="dxa"/>
            <w:bottom w:w="0" w:type="dxa"/>
            <w:right w:w="0" w:type="dxa"/>
          </w:tblCellMar>
        </w:tblPrEx>
        <w:trPr>
          <w:wBefore w:w="0" w:type="auto"/>
          <w:tblCellSpacing w:w="0" w:type="dxa"/>
        </w:trPr>
        <w:tc>
          <w:tcPr>
            <w:tcW w:w="0" w:type="auto"/>
            <w:noWrap w:val="0"/>
            <w:vAlign w:val="center"/>
          </w:tcPr>
          <w:p w14:paraId="0A78E0BC">
            <w:r>
              <w:rPr>
                <w:rStyle w:val="10"/>
                <w:rFonts w:hint="eastAsia"/>
              </w:rPr>
              <w:t>中毒急救措施：</w:t>
            </w:r>
            <w:r>
              <w:rPr>
                <w:rFonts w:hint="eastAsia"/>
              </w:rPr>
              <w:br w:type="textWrapping"/>
            </w:r>
            <w:r>
              <w:rPr>
                <w:rStyle w:val="11"/>
                <w:rFonts w:hint="eastAsia"/>
              </w:rPr>
              <w:t>1. 皮肤接触：立即脱掉污染的衣物，用肥皂和大量清水彻底清洗污染的皮肤。 2. 眼睛接触：立即分开眼睑，用清水冲洗眼至少15分钟，再请医生诊治。 3. 吸入：立即将患者转移到空气新鲜处，再请医生诊治。 4. 误服：立即携带标签，送医院就诊，对症治疗。 5、本品无特效解毒剂，应对症治疗。</w:t>
            </w:r>
          </w:p>
        </w:tc>
      </w:tr>
      <w:tr w14:paraId="77FC5E2B">
        <w:tblPrEx>
          <w:tblCellMar>
            <w:top w:w="0" w:type="dxa"/>
            <w:left w:w="0" w:type="dxa"/>
            <w:bottom w:w="0" w:type="dxa"/>
            <w:right w:w="0" w:type="dxa"/>
          </w:tblCellMar>
        </w:tblPrEx>
        <w:trPr>
          <w:wBefore w:w="0" w:type="auto"/>
          <w:tblCellSpacing w:w="0" w:type="dxa"/>
        </w:trPr>
        <w:tc>
          <w:tcPr>
            <w:tcW w:w="0" w:type="auto"/>
            <w:noWrap w:val="0"/>
            <w:vAlign w:val="center"/>
          </w:tcPr>
          <w:p w14:paraId="269B7C1C">
            <w:r>
              <w:rPr>
                <w:rStyle w:val="10"/>
                <w:rFonts w:hint="eastAsia"/>
              </w:rPr>
              <w:t>储存和运输方法：</w:t>
            </w:r>
            <w:r>
              <w:rPr>
                <w:rFonts w:hint="eastAsia"/>
              </w:rPr>
              <w:br w:type="textWrapping"/>
            </w:r>
            <w:r>
              <w:rPr>
                <w:rStyle w:val="11"/>
                <w:rFonts w:hint="eastAsia"/>
              </w:rPr>
              <w:t>1. 本品应密封贮存在干燥、阴凉、通风、防雨处，远离火源或热源。 2. 存放于儿童、无关人员触及不到之处，并加锁。 3. 勿与食品、饮料、粮食、饲料等其他商品同贮同运。</w:t>
            </w:r>
          </w:p>
        </w:tc>
      </w:tr>
      <w:tr w14:paraId="6FF75B27">
        <w:tblPrEx>
          <w:tblCellMar>
            <w:top w:w="0" w:type="dxa"/>
            <w:left w:w="0" w:type="dxa"/>
            <w:bottom w:w="0" w:type="dxa"/>
            <w:right w:w="0" w:type="dxa"/>
          </w:tblCellMar>
        </w:tblPrEx>
        <w:trPr>
          <w:wBefore w:w="0" w:type="auto"/>
          <w:tblCellSpacing w:w="0" w:type="dxa"/>
        </w:trPr>
        <w:tc>
          <w:tcPr>
            <w:tcW w:w="0" w:type="auto"/>
            <w:noWrap w:val="0"/>
            <w:vAlign w:val="center"/>
          </w:tcPr>
          <w:p w14:paraId="633CA0F9">
            <w:r>
              <w:rPr>
                <w:rStyle w:val="10"/>
                <w:rFonts w:hint="eastAsia"/>
              </w:rPr>
              <w:t>质量保证期：</w:t>
            </w:r>
            <w:r>
              <w:rPr>
                <w:rStyle w:val="11"/>
                <w:rFonts w:hint="eastAsia"/>
              </w:rPr>
              <w:t>2年</w:t>
            </w:r>
          </w:p>
        </w:tc>
      </w:tr>
      <w:tr w14:paraId="6881F331">
        <w:tblPrEx>
          <w:tblCellMar>
            <w:top w:w="0" w:type="dxa"/>
            <w:left w:w="0" w:type="dxa"/>
            <w:bottom w:w="0" w:type="dxa"/>
            <w:right w:w="0" w:type="dxa"/>
          </w:tblCellMar>
        </w:tblPrEx>
        <w:trPr>
          <w:wBefore w:w="0" w:type="auto"/>
          <w:tblCellSpacing w:w="0" w:type="dxa"/>
        </w:trPr>
        <w:tc>
          <w:tcPr>
            <w:tcW w:w="0" w:type="auto"/>
            <w:noWrap w:val="0"/>
            <w:vAlign w:val="center"/>
          </w:tcPr>
          <w:p w14:paraId="059E4A40">
            <w:r>
              <w:rPr>
                <w:rStyle w:val="10"/>
                <w:rFonts w:hint="eastAsia"/>
              </w:rPr>
              <w:t>备注：</w:t>
            </w:r>
          </w:p>
        </w:tc>
      </w:tr>
    </w:tbl>
    <w:p w14:paraId="0B2610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129BB1">
        <w:tblPrEx>
          <w:tblCellMar>
            <w:top w:w="0" w:type="dxa"/>
            <w:left w:w="0" w:type="dxa"/>
            <w:bottom w:w="0" w:type="dxa"/>
            <w:right w:w="0" w:type="dxa"/>
          </w:tblCellMar>
        </w:tblPrEx>
        <w:trPr>
          <w:wBefore w:w="0" w:type="auto"/>
          <w:tblCellSpacing w:w="0" w:type="dxa"/>
        </w:trPr>
        <w:tc>
          <w:tcPr>
            <w:tcW w:w="0" w:type="auto"/>
            <w:noWrap w:val="0"/>
            <w:vAlign w:val="center"/>
          </w:tcPr>
          <w:p w14:paraId="402869F2">
            <w:r>
              <w:rPr>
                <w:rStyle w:val="10"/>
                <w:rFonts w:hint="eastAsia"/>
              </w:rPr>
              <w:t>登记证号：</w:t>
            </w:r>
            <w:r>
              <w:rPr>
                <w:rFonts w:hint="eastAsia"/>
              </w:rPr>
              <w:t>PD20212614</w:t>
            </w:r>
          </w:p>
        </w:tc>
      </w:tr>
      <w:tr w14:paraId="7356A4F0">
        <w:tblPrEx>
          <w:tblCellMar>
            <w:top w:w="0" w:type="dxa"/>
            <w:left w:w="0" w:type="dxa"/>
            <w:bottom w:w="0" w:type="dxa"/>
            <w:right w:w="0" w:type="dxa"/>
          </w:tblCellMar>
        </w:tblPrEx>
        <w:trPr>
          <w:wBefore w:w="0" w:type="auto"/>
          <w:tblCellSpacing w:w="0" w:type="dxa"/>
        </w:trPr>
        <w:tc>
          <w:tcPr>
            <w:tcW w:w="0" w:type="auto"/>
            <w:noWrap w:val="0"/>
            <w:vAlign w:val="center"/>
          </w:tcPr>
          <w:p w14:paraId="5ED2D95E">
            <w:r>
              <w:rPr>
                <w:rStyle w:val="10"/>
                <w:rFonts w:hint="eastAsia"/>
              </w:rPr>
              <w:t>登记证持有人：</w:t>
            </w:r>
            <w:r>
              <w:rPr>
                <w:rFonts w:hint="eastAsia"/>
              </w:rPr>
              <w:t>天津博克百胜科技有限公司</w:t>
            </w:r>
          </w:p>
        </w:tc>
      </w:tr>
      <w:tr w14:paraId="6655B550">
        <w:tblPrEx>
          <w:tblCellMar>
            <w:top w:w="0" w:type="dxa"/>
            <w:left w:w="0" w:type="dxa"/>
            <w:bottom w:w="0" w:type="dxa"/>
            <w:right w:w="0" w:type="dxa"/>
          </w:tblCellMar>
        </w:tblPrEx>
        <w:trPr>
          <w:wBefore w:w="0" w:type="auto"/>
          <w:tblCellSpacing w:w="0" w:type="dxa"/>
        </w:trPr>
        <w:tc>
          <w:tcPr>
            <w:tcW w:w="0" w:type="auto"/>
            <w:noWrap w:val="0"/>
            <w:vAlign w:val="center"/>
          </w:tcPr>
          <w:p w14:paraId="4736C221">
            <w:r>
              <w:rPr>
                <w:rStyle w:val="10"/>
                <w:rFonts w:hint="eastAsia"/>
              </w:rPr>
              <w:t>农药名称：</w:t>
            </w:r>
            <w:r>
              <w:rPr>
                <w:rFonts w:hint="eastAsia"/>
              </w:rPr>
              <w:t>精异丙甲草胺</w:t>
            </w:r>
          </w:p>
        </w:tc>
      </w:tr>
      <w:tr w14:paraId="5574539A">
        <w:tblPrEx>
          <w:tblCellMar>
            <w:top w:w="0" w:type="dxa"/>
            <w:left w:w="0" w:type="dxa"/>
            <w:bottom w:w="0" w:type="dxa"/>
            <w:right w:w="0" w:type="dxa"/>
          </w:tblCellMar>
        </w:tblPrEx>
        <w:trPr>
          <w:wBefore w:w="0" w:type="auto"/>
          <w:tblCellSpacing w:w="0" w:type="dxa"/>
        </w:trPr>
        <w:tc>
          <w:tcPr>
            <w:tcW w:w="0" w:type="auto"/>
            <w:noWrap w:val="0"/>
            <w:vAlign w:val="center"/>
          </w:tcPr>
          <w:p w14:paraId="40195880">
            <w:r>
              <w:rPr>
                <w:rStyle w:val="10"/>
                <w:rFonts w:hint="eastAsia"/>
              </w:rPr>
              <w:t>剂型：</w:t>
            </w:r>
            <w:r>
              <w:rPr>
                <w:rFonts w:hint="eastAsia"/>
              </w:rPr>
              <w:t>乳油</w:t>
            </w:r>
          </w:p>
        </w:tc>
      </w:tr>
      <w:tr w14:paraId="3077E493">
        <w:tblPrEx>
          <w:tblCellMar>
            <w:top w:w="0" w:type="dxa"/>
            <w:left w:w="0" w:type="dxa"/>
            <w:bottom w:w="0" w:type="dxa"/>
            <w:right w:w="0" w:type="dxa"/>
          </w:tblCellMar>
        </w:tblPrEx>
        <w:trPr>
          <w:wBefore w:w="0" w:type="auto"/>
          <w:tblCellSpacing w:w="0" w:type="dxa"/>
        </w:trPr>
        <w:tc>
          <w:tcPr>
            <w:tcW w:w="0" w:type="auto"/>
            <w:noWrap w:val="0"/>
            <w:vAlign w:val="center"/>
          </w:tcPr>
          <w:p w14:paraId="54F49369">
            <w:r>
              <w:rPr>
                <w:rStyle w:val="10"/>
                <w:rFonts w:hint="eastAsia"/>
              </w:rPr>
              <w:t>毒性及其标识：</w:t>
            </w:r>
            <w:r>
              <w:rPr>
                <w:rFonts w:hint="eastAsia"/>
              </w:rPr>
              <w:t xml:space="preserve"> </w:t>
            </w:r>
            <w:r>
              <w:rPr>
                <w:lang/>
              </w:rPr>
              <w:drawing>
                <wp:inline distT="0" distB="0" distL="114300" distR="114300">
                  <wp:extent cx="476250" cy="323850"/>
                  <wp:effectExtent l="0" t="0" r="0" b="0"/>
                  <wp:docPr id="329" name="图片 3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7EF763">
        <w:tblPrEx>
          <w:tblCellMar>
            <w:top w:w="0" w:type="dxa"/>
            <w:left w:w="0" w:type="dxa"/>
            <w:bottom w:w="0" w:type="dxa"/>
            <w:right w:w="0" w:type="dxa"/>
          </w:tblCellMar>
        </w:tblPrEx>
        <w:trPr>
          <w:wBefore w:w="0" w:type="auto"/>
          <w:tblCellSpacing w:w="0" w:type="dxa"/>
        </w:trPr>
        <w:tc>
          <w:tcPr>
            <w:tcW w:w="0" w:type="auto"/>
            <w:noWrap w:val="0"/>
            <w:vAlign w:val="center"/>
          </w:tcPr>
          <w:p w14:paraId="39ADB998">
            <w:r>
              <w:rPr>
                <w:rStyle w:val="10"/>
                <w:rFonts w:hint="eastAsia"/>
              </w:rPr>
              <w:t>总有效成分含量：</w:t>
            </w:r>
            <w:r>
              <w:rPr>
                <w:rFonts w:hint="eastAsia"/>
              </w:rPr>
              <w:t>960克/升</w:t>
            </w:r>
          </w:p>
        </w:tc>
      </w:tr>
      <w:tr w14:paraId="413E5750">
        <w:tblPrEx>
          <w:tblCellMar>
            <w:top w:w="0" w:type="dxa"/>
            <w:left w:w="0" w:type="dxa"/>
            <w:bottom w:w="0" w:type="dxa"/>
            <w:right w:w="0" w:type="dxa"/>
          </w:tblCellMar>
        </w:tblPrEx>
        <w:trPr>
          <w:wBefore w:w="0" w:type="auto"/>
          <w:tblCellSpacing w:w="0" w:type="dxa"/>
        </w:trPr>
        <w:tc>
          <w:tcPr>
            <w:tcW w:w="0" w:type="auto"/>
            <w:noWrap w:val="0"/>
            <w:vAlign w:val="center"/>
          </w:tcPr>
          <w:p w14:paraId="2EFC72D7">
            <w:r>
              <w:rPr>
                <w:rFonts w:hint="eastAsia"/>
              </w:rPr>
              <w:t xml:space="preserve">有效成分及其含量： </w:t>
            </w:r>
          </w:p>
          <w:p w14:paraId="545ECD4A">
            <w:r>
              <w:rPr>
                <w:rFonts w:hint="eastAsia"/>
              </w:rPr>
              <w:t xml:space="preserve">    精异丙甲草胺960克/升    </w:t>
            </w:r>
          </w:p>
        </w:tc>
      </w:tr>
      <w:tr w14:paraId="1B16F212">
        <w:tblPrEx>
          <w:tblCellMar>
            <w:top w:w="0" w:type="dxa"/>
            <w:left w:w="0" w:type="dxa"/>
            <w:bottom w:w="0" w:type="dxa"/>
            <w:right w:w="0" w:type="dxa"/>
          </w:tblCellMar>
        </w:tblPrEx>
        <w:trPr>
          <w:wBefore w:w="0" w:type="auto"/>
          <w:tblCellSpacing w:w="0" w:type="dxa"/>
        </w:trPr>
        <w:tc>
          <w:tcPr>
            <w:tcW w:w="0" w:type="auto"/>
            <w:noWrap w:val="0"/>
            <w:vAlign w:val="center"/>
          </w:tcPr>
          <w:p w14:paraId="1AC581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668B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F5F7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E7AF3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52DE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4A980C">
                  <w:r>
                    <w:rPr>
                      <w:rStyle w:val="11"/>
                      <w:rFonts w:hint="eastAsia"/>
                    </w:rPr>
                    <w:t>施用方式</w:t>
                  </w:r>
                </w:p>
              </w:tc>
            </w:tr>
            <w:tr w14:paraId="3251A8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940041">
                  <w:r>
                    <w:rPr>
                      <w:rStyle w:val="11"/>
                      <w:rFonts w:hint="eastAsia"/>
                    </w:rPr>
                    <w:t>西瓜田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01F73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4314B3">
                  <w:r>
                    <w:rPr>
                      <w:rStyle w:val="11"/>
                      <w:rFonts w:hint="eastAsia"/>
                    </w:rPr>
                    <w:t>50-65克/亩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E3D628">
                  <w:r>
                    <w:rPr>
                      <w:rStyle w:val="11"/>
                      <w:rFonts w:hint="eastAsia"/>
                    </w:rPr>
                    <w:t>土壤喷雾</w:t>
                  </w:r>
                </w:p>
              </w:tc>
            </w:tr>
          </w:tbl>
          <w:p w14:paraId="41513FE9">
            <w:pPr>
              <w:rPr>
                <w:rFonts w:ascii="Times New Roman" w:hAnsi="Times New Roman" w:cs="Times New Roman"/>
                <w:sz w:val="20"/>
                <w:szCs w:val="20"/>
              </w:rPr>
            </w:pPr>
          </w:p>
        </w:tc>
      </w:tr>
      <w:tr w14:paraId="26F5A83D">
        <w:tblPrEx>
          <w:tblCellMar>
            <w:top w:w="0" w:type="dxa"/>
            <w:left w:w="0" w:type="dxa"/>
            <w:bottom w:w="0" w:type="dxa"/>
            <w:right w:w="0" w:type="dxa"/>
          </w:tblCellMar>
        </w:tblPrEx>
        <w:trPr>
          <w:wBefore w:w="0" w:type="auto"/>
          <w:tblCellSpacing w:w="0" w:type="dxa"/>
        </w:trPr>
        <w:tc>
          <w:tcPr>
            <w:tcW w:w="0" w:type="auto"/>
            <w:noWrap w:val="0"/>
            <w:vAlign w:val="center"/>
          </w:tcPr>
          <w:p w14:paraId="628B0001">
            <w:r>
              <w:rPr>
                <w:rStyle w:val="10"/>
                <w:rFonts w:hint="eastAsia"/>
              </w:rPr>
              <w:t>使用技术要求:</w:t>
            </w:r>
            <w:r>
              <w:rPr>
                <w:rFonts w:hint="eastAsia"/>
              </w:rPr>
              <w:br w:type="textWrapping"/>
            </w:r>
            <w:r>
              <w:rPr>
                <w:rStyle w:val="11"/>
                <w:rFonts w:hint="eastAsia"/>
              </w:rPr>
              <w:t>1. 施药时，根据土壤墒情决定兑水量，推荐每亩兑水30-60公斤/亩，均匀喷雾。 2. 干旱气候不利于药效发挥，在土壤墒情较差时，可在施药后浅混土2-3厘米。 3. 用于地膜覆盖作物时，在播种后施药，然后盖膜；或在施药后盖膜，然后打孔移栽。必须按实际施用面积计算药量。 4. 在质地粘重的土壤上施用时，使用高剂量；在疏松的土壤上施用时，使用低剂量。 5. 该药剂在低洼地或砂壤土使用时，如遇雨，容易发生淋溶药害，需慎用。 6. 请勿在水旱轮作栽培的西瓜田和小拱棚使用本品。 7. 按推荐剂量，于西瓜播后苗前或西瓜苗移栽前，土壤喷雾施药。8. 每季作物最多使用1次。9. 西瓜属于敏感作物，应严格控制施药量，并根据当地使用情况，在植保部门指导下用药。10. 采用二次稀释法用药。</w:t>
            </w:r>
          </w:p>
        </w:tc>
      </w:tr>
      <w:tr w14:paraId="22D2D658">
        <w:tblPrEx>
          <w:tblCellMar>
            <w:top w:w="0" w:type="dxa"/>
            <w:left w:w="0" w:type="dxa"/>
            <w:bottom w:w="0" w:type="dxa"/>
            <w:right w:w="0" w:type="dxa"/>
          </w:tblCellMar>
        </w:tblPrEx>
        <w:trPr>
          <w:wBefore w:w="0" w:type="auto"/>
          <w:tblCellSpacing w:w="0" w:type="dxa"/>
        </w:trPr>
        <w:tc>
          <w:tcPr>
            <w:tcW w:w="0" w:type="auto"/>
            <w:noWrap w:val="0"/>
            <w:vAlign w:val="center"/>
          </w:tcPr>
          <w:p w14:paraId="1B85885D">
            <w:r>
              <w:rPr>
                <w:rStyle w:val="10"/>
                <w:rFonts w:hint="eastAsia"/>
              </w:rPr>
              <w:t>产品性能:</w:t>
            </w:r>
            <w:r>
              <w:rPr>
                <w:rFonts w:hint="eastAsia"/>
              </w:rPr>
              <w:br w:type="textWrapping"/>
            </w:r>
            <w:r>
              <w:rPr>
                <w:rStyle w:val="11"/>
                <w:rFonts w:hint="eastAsia"/>
              </w:rPr>
              <w:t>本品通过萌发杂草的芽鞘、幼芽吸收而发挥杀草作用。适用于作物播后苗前或移栽前土壤处理，可防除一年生杂草。</w:t>
            </w:r>
          </w:p>
        </w:tc>
      </w:tr>
      <w:tr w14:paraId="76F22260">
        <w:tblPrEx>
          <w:tblCellMar>
            <w:top w:w="0" w:type="dxa"/>
            <w:left w:w="0" w:type="dxa"/>
            <w:bottom w:w="0" w:type="dxa"/>
            <w:right w:w="0" w:type="dxa"/>
          </w:tblCellMar>
        </w:tblPrEx>
        <w:trPr>
          <w:wBefore w:w="0" w:type="auto"/>
          <w:tblCellSpacing w:w="0" w:type="dxa"/>
        </w:trPr>
        <w:tc>
          <w:tcPr>
            <w:tcW w:w="0" w:type="auto"/>
            <w:noWrap w:val="0"/>
            <w:vAlign w:val="center"/>
          </w:tcPr>
          <w:p w14:paraId="4AD0AED1">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本品对眼睛有刺激性，使用时避免接触眼睛，穿戴长衣、长裤、帽子、口罩、手套等防护措施；此时不能吸烟、饮水等；施药后清洗干净手脸等。 2. 使用过的空包装，用清水冲洗三次后妥善处理，切勿重复使用或改作其它用途。所有施药器具，用后应立即用清水或适当的洗涤剂清洗。 3. 施药地块严禁放牧和畜禽进入。 4. 本品对鱼、藻类和水蚤有毒，应避免污染水源。远离水产养殖区、河塘等水体施药；禁止在河塘等水体中清洗施药器具。5. 蚕室及桑园附近禁用。6. 未用完的制剂应放在原包装内密封保存，切勿将本品置于饮、食容器内。7. 用过的容器应妥善处理，不可做他用，也不可随意丢弃。 8. 孕妇及哺乳期的妇女避免接触。</w:t>
            </w:r>
          </w:p>
        </w:tc>
      </w:tr>
      <w:tr w14:paraId="27D5F50C">
        <w:tblPrEx>
          <w:tblCellMar>
            <w:top w:w="0" w:type="dxa"/>
            <w:left w:w="0" w:type="dxa"/>
            <w:bottom w:w="0" w:type="dxa"/>
            <w:right w:w="0" w:type="dxa"/>
          </w:tblCellMar>
        </w:tblPrEx>
        <w:trPr>
          <w:wBefore w:w="0" w:type="auto"/>
          <w:tblCellSpacing w:w="0" w:type="dxa"/>
        </w:trPr>
        <w:tc>
          <w:tcPr>
            <w:tcW w:w="0" w:type="auto"/>
            <w:noWrap w:val="0"/>
            <w:vAlign w:val="center"/>
          </w:tcPr>
          <w:p w14:paraId="09C985A7">
            <w:r>
              <w:rPr>
                <w:rStyle w:val="10"/>
                <w:rFonts w:hint="eastAsia"/>
              </w:rPr>
              <w:t>中毒急救措施：</w:t>
            </w:r>
            <w:r>
              <w:rPr>
                <w:rFonts w:hint="eastAsia"/>
              </w:rPr>
              <w:br w:type="textWrapping"/>
            </w:r>
            <w:r>
              <w:rPr>
                <w:rStyle w:val="11"/>
                <w:rFonts w:hint="eastAsia"/>
              </w:rPr>
              <w:t>中毒症状：按标签推荐方法使用，无典型中毒症状。一旦发生中毒，请对症治疗。不慎吸入，立即将患者移到空气流通处；不慎接触皮肤或溅入眼睛，立即用清水冲洗至少15分钟；如误服，不要引吐，可用清水漱口并立即携带标签或包装送医就诊。使用医用活性炭洗胃，洗胃时注意防止胃容物进入呼吸道。注意：对昏迷病人，切勿经口喂入任何东西或引吐。本品无特效解毒药，对症治疗。</w:t>
            </w:r>
          </w:p>
        </w:tc>
      </w:tr>
      <w:tr w14:paraId="0D5CCE03">
        <w:tblPrEx>
          <w:tblCellMar>
            <w:top w:w="0" w:type="dxa"/>
            <w:left w:w="0" w:type="dxa"/>
            <w:bottom w:w="0" w:type="dxa"/>
            <w:right w:w="0" w:type="dxa"/>
          </w:tblCellMar>
        </w:tblPrEx>
        <w:trPr>
          <w:wBefore w:w="0" w:type="auto"/>
          <w:tblCellSpacing w:w="0" w:type="dxa"/>
        </w:trPr>
        <w:tc>
          <w:tcPr>
            <w:tcW w:w="0" w:type="auto"/>
            <w:noWrap w:val="0"/>
            <w:vAlign w:val="center"/>
          </w:tcPr>
          <w:p w14:paraId="3A4DA33B">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 2.本品应贮藏在避光、干燥、通风处。运输时应注意避光、防高温、雨淋。 3.产品码放高度不宜超过2米，以免损坏包装。 4.贮藏时应注意防火。</w:t>
            </w:r>
          </w:p>
        </w:tc>
      </w:tr>
      <w:tr w14:paraId="6A53288C">
        <w:tblPrEx>
          <w:tblCellMar>
            <w:top w:w="0" w:type="dxa"/>
            <w:left w:w="0" w:type="dxa"/>
            <w:bottom w:w="0" w:type="dxa"/>
            <w:right w:w="0" w:type="dxa"/>
          </w:tblCellMar>
        </w:tblPrEx>
        <w:trPr>
          <w:wBefore w:w="0" w:type="auto"/>
          <w:tblCellSpacing w:w="0" w:type="dxa"/>
        </w:trPr>
        <w:tc>
          <w:tcPr>
            <w:tcW w:w="0" w:type="auto"/>
            <w:noWrap w:val="0"/>
            <w:vAlign w:val="center"/>
          </w:tcPr>
          <w:p w14:paraId="6332154A">
            <w:r>
              <w:rPr>
                <w:rStyle w:val="10"/>
                <w:rFonts w:hint="eastAsia"/>
              </w:rPr>
              <w:t>质量保证期：</w:t>
            </w:r>
            <w:r>
              <w:rPr>
                <w:rStyle w:val="11"/>
                <w:rFonts w:hint="eastAsia"/>
              </w:rPr>
              <w:t>2年</w:t>
            </w:r>
          </w:p>
        </w:tc>
      </w:tr>
      <w:tr w14:paraId="02658634">
        <w:tblPrEx>
          <w:tblCellMar>
            <w:top w:w="0" w:type="dxa"/>
            <w:left w:w="0" w:type="dxa"/>
            <w:bottom w:w="0" w:type="dxa"/>
            <w:right w:w="0" w:type="dxa"/>
          </w:tblCellMar>
        </w:tblPrEx>
        <w:trPr>
          <w:wBefore w:w="0" w:type="auto"/>
          <w:tblCellSpacing w:w="0" w:type="dxa"/>
        </w:trPr>
        <w:tc>
          <w:tcPr>
            <w:tcW w:w="0" w:type="auto"/>
            <w:noWrap w:val="0"/>
            <w:vAlign w:val="center"/>
          </w:tcPr>
          <w:p w14:paraId="19C4BFDA">
            <w:r>
              <w:rPr>
                <w:rStyle w:val="10"/>
                <w:rFonts w:hint="eastAsia"/>
              </w:rPr>
              <w:t>备注：</w:t>
            </w:r>
            <w:r>
              <w:rPr>
                <w:rFonts w:hint="eastAsia"/>
              </w:rPr>
              <w:br w:type="textWrapping"/>
            </w:r>
            <w:r>
              <w:rPr>
                <w:rStyle w:val="11"/>
                <w:rFonts w:hint="eastAsia"/>
              </w:rPr>
              <w:t>质量分数87%。</w:t>
            </w:r>
          </w:p>
        </w:tc>
      </w:tr>
    </w:tbl>
    <w:p w14:paraId="247A776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99413E">
        <w:tblPrEx>
          <w:tblCellMar>
            <w:top w:w="0" w:type="dxa"/>
            <w:left w:w="0" w:type="dxa"/>
            <w:bottom w:w="0" w:type="dxa"/>
            <w:right w:w="0" w:type="dxa"/>
          </w:tblCellMar>
        </w:tblPrEx>
        <w:trPr>
          <w:wBefore w:w="0" w:type="auto"/>
          <w:tblCellSpacing w:w="0" w:type="dxa"/>
        </w:trPr>
        <w:tc>
          <w:tcPr>
            <w:tcW w:w="0" w:type="auto"/>
            <w:noWrap w:val="0"/>
            <w:vAlign w:val="center"/>
          </w:tcPr>
          <w:p w14:paraId="3DAF35E7">
            <w:r>
              <w:rPr>
                <w:rStyle w:val="10"/>
                <w:rFonts w:hint="eastAsia"/>
              </w:rPr>
              <w:t>登记证号：</w:t>
            </w:r>
            <w:r>
              <w:rPr>
                <w:rFonts w:hint="eastAsia"/>
              </w:rPr>
              <w:t>PD20212444</w:t>
            </w:r>
          </w:p>
        </w:tc>
      </w:tr>
      <w:tr w14:paraId="3171FA8D">
        <w:tblPrEx>
          <w:tblCellMar>
            <w:top w:w="0" w:type="dxa"/>
            <w:left w:w="0" w:type="dxa"/>
            <w:bottom w:w="0" w:type="dxa"/>
            <w:right w:w="0" w:type="dxa"/>
          </w:tblCellMar>
        </w:tblPrEx>
        <w:trPr>
          <w:wBefore w:w="0" w:type="auto"/>
          <w:tblCellSpacing w:w="0" w:type="dxa"/>
        </w:trPr>
        <w:tc>
          <w:tcPr>
            <w:tcW w:w="0" w:type="auto"/>
            <w:noWrap w:val="0"/>
            <w:vAlign w:val="center"/>
          </w:tcPr>
          <w:p w14:paraId="24D9E610">
            <w:r>
              <w:rPr>
                <w:rStyle w:val="10"/>
                <w:rFonts w:hint="eastAsia"/>
              </w:rPr>
              <w:t>登记证持有人：</w:t>
            </w:r>
            <w:r>
              <w:rPr>
                <w:rFonts w:hint="eastAsia"/>
              </w:rPr>
              <w:t>上海沪联生物药业（夏邑）股份有限公司</w:t>
            </w:r>
          </w:p>
        </w:tc>
      </w:tr>
      <w:tr w14:paraId="3E7A3564">
        <w:tblPrEx>
          <w:tblCellMar>
            <w:top w:w="0" w:type="dxa"/>
            <w:left w:w="0" w:type="dxa"/>
            <w:bottom w:w="0" w:type="dxa"/>
            <w:right w:w="0" w:type="dxa"/>
          </w:tblCellMar>
        </w:tblPrEx>
        <w:trPr>
          <w:wBefore w:w="0" w:type="auto"/>
          <w:tblCellSpacing w:w="0" w:type="dxa"/>
        </w:trPr>
        <w:tc>
          <w:tcPr>
            <w:tcW w:w="0" w:type="auto"/>
            <w:noWrap w:val="0"/>
            <w:vAlign w:val="center"/>
          </w:tcPr>
          <w:p w14:paraId="4A1CDAA3">
            <w:r>
              <w:rPr>
                <w:rStyle w:val="10"/>
                <w:rFonts w:hint="eastAsia"/>
              </w:rPr>
              <w:t>农药名称：</w:t>
            </w:r>
            <w:r>
              <w:rPr>
                <w:rFonts w:hint="eastAsia"/>
              </w:rPr>
              <w:t>噻虫·高氯氟</w:t>
            </w:r>
          </w:p>
        </w:tc>
      </w:tr>
      <w:tr w14:paraId="5EE5E3E0">
        <w:tblPrEx>
          <w:tblCellMar>
            <w:top w:w="0" w:type="dxa"/>
            <w:left w:w="0" w:type="dxa"/>
            <w:bottom w:w="0" w:type="dxa"/>
            <w:right w:w="0" w:type="dxa"/>
          </w:tblCellMar>
        </w:tblPrEx>
        <w:trPr>
          <w:wBefore w:w="0" w:type="auto"/>
          <w:tblCellSpacing w:w="0" w:type="dxa"/>
        </w:trPr>
        <w:tc>
          <w:tcPr>
            <w:tcW w:w="0" w:type="auto"/>
            <w:noWrap w:val="0"/>
            <w:vAlign w:val="center"/>
          </w:tcPr>
          <w:p w14:paraId="1F1F73CB">
            <w:r>
              <w:rPr>
                <w:rStyle w:val="10"/>
                <w:rFonts w:hint="eastAsia"/>
              </w:rPr>
              <w:t>剂型：</w:t>
            </w:r>
            <w:r>
              <w:rPr>
                <w:rFonts w:hint="eastAsia"/>
              </w:rPr>
              <w:t>微囊悬浮-悬浮剂</w:t>
            </w:r>
          </w:p>
        </w:tc>
      </w:tr>
      <w:tr w14:paraId="77E8C8A5">
        <w:tblPrEx>
          <w:tblCellMar>
            <w:top w:w="0" w:type="dxa"/>
            <w:left w:w="0" w:type="dxa"/>
            <w:bottom w:w="0" w:type="dxa"/>
            <w:right w:w="0" w:type="dxa"/>
          </w:tblCellMar>
        </w:tblPrEx>
        <w:trPr>
          <w:wBefore w:w="0" w:type="auto"/>
          <w:tblCellSpacing w:w="0" w:type="dxa"/>
        </w:trPr>
        <w:tc>
          <w:tcPr>
            <w:tcW w:w="0" w:type="auto"/>
            <w:noWrap w:val="0"/>
            <w:vAlign w:val="center"/>
          </w:tcPr>
          <w:p w14:paraId="6AEEB35A">
            <w:r>
              <w:rPr>
                <w:rStyle w:val="10"/>
                <w:rFonts w:hint="eastAsia"/>
              </w:rPr>
              <w:t>毒性及其标识：</w:t>
            </w:r>
            <w:r>
              <w:rPr>
                <w:rFonts w:hint="eastAsia"/>
              </w:rPr>
              <w:t xml:space="preserve"> </w:t>
            </w:r>
            <w:r>
              <w:rPr>
                <w:lang/>
              </w:rPr>
              <w:drawing>
                <wp:inline distT="0" distB="0" distL="114300" distR="114300">
                  <wp:extent cx="476250" cy="323850"/>
                  <wp:effectExtent l="0" t="0" r="0" b="0"/>
                  <wp:docPr id="330" name="图片 330"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5DA1619">
        <w:tblPrEx>
          <w:tblCellMar>
            <w:top w:w="0" w:type="dxa"/>
            <w:left w:w="0" w:type="dxa"/>
            <w:bottom w:w="0" w:type="dxa"/>
            <w:right w:w="0" w:type="dxa"/>
          </w:tblCellMar>
        </w:tblPrEx>
        <w:trPr>
          <w:wBefore w:w="0" w:type="auto"/>
          <w:tblCellSpacing w:w="0" w:type="dxa"/>
        </w:trPr>
        <w:tc>
          <w:tcPr>
            <w:tcW w:w="0" w:type="auto"/>
            <w:noWrap w:val="0"/>
            <w:vAlign w:val="center"/>
          </w:tcPr>
          <w:p w14:paraId="342E0F86">
            <w:r>
              <w:rPr>
                <w:rStyle w:val="10"/>
                <w:rFonts w:hint="eastAsia"/>
              </w:rPr>
              <w:t>总有效成分含量：</w:t>
            </w:r>
            <w:r>
              <w:rPr>
                <w:rFonts w:hint="eastAsia"/>
              </w:rPr>
              <w:t>22%</w:t>
            </w:r>
          </w:p>
        </w:tc>
      </w:tr>
      <w:tr w14:paraId="036EEFED">
        <w:tblPrEx>
          <w:tblCellMar>
            <w:top w:w="0" w:type="dxa"/>
            <w:left w:w="0" w:type="dxa"/>
            <w:bottom w:w="0" w:type="dxa"/>
            <w:right w:w="0" w:type="dxa"/>
          </w:tblCellMar>
        </w:tblPrEx>
        <w:trPr>
          <w:wBefore w:w="0" w:type="auto"/>
          <w:tblCellSpacing w:w="0" w:type="dxa"/>
        </w:trPr>
        <w:tc>
          <w:tcPr>
            <w:tcW w:w="0" w:type="auto"/>
            <w:noWrap w:val="0"/>
            <w:vAlign w:val="center"/>
          </w:tcPr>
          <w:p w14:paraId="13DFD678">
            <w:r>
              <w:rPr>
                <w:rFonts w:hint="eastAsia"/>
              </w:rPr>
              <w:t xml:space="preserve">有效成分及其含量： </w:t>
            </w:r>
          </w:p>
          <w:p w14:paraId="5F1025A1">
            <w:r>
              <w:rPr>
                <w:rFonts w:hint="eastAsia"/>
              </w:rPr>
              <w:t xml:space="preserve">    噻虫嗪12.6%    高效氯氟氰菊酯9.4%    </w:t>
            </w:r>
          </w:p>
        </w:tc>
      </w:tr>
      <w:tr w14:paraId="4098A86F">
        <w:tblPrEx>
          <w:tblCellMar>
            <w:top w:w="0" w:type="dxa"/>
            <w:left w:w="0" w:type="dxa"/>
            <w:bottom w:w="0" w:type="dxa"/>
            <w:right w:w="0" w:type="dxa"/>
          </w:tblCellMar>
        </w:tblPrEx>
        <w:trPr>
          <w:wBefore w:w="0" w:type="auto"/>
          <w:tblCellSpacing w:w="0" w:type="dxa"/>
        </w:trPr>
        <w:tc>
          <w:tcPr>
            <w:tcW w:w="0" w:type="auto"/>
            <w:noWrap w:val="0"/>
            <w:vAlign w:val="center"/>
          </w:tcPr>
          <w:p w14:paraId="1CE1CB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E0FA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40BDC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2BCB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C27AE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29AB67">
                  <w:r>
                    <w:rPr>
                      <w:rStyle w:val="11"/>
                      <w:rFonts w:hint="eastAsia"/>
                    </w:rPr>
                    <w:t>施用方式</w:t>
                  </w:r>
                </w:p>
              </w:tc>
            </w:tr>
            <w:tr w14:paraId="2088F5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68EB22">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1BCACD">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E4B219">
                  <w:r>
                    <w:rPr>
                      <w:rStyle w:val="11"/>
                      <w:rFonts w:hint="eastAsia"/>
                    </w:rPr>
                    <w:t>4-6毫升/亩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4E2510">
                  <w:r>
                    <w:rPr>
                      <w:rStyle w:val="11"/>
                      <w:rFonts w:hint="eastAsia"/>
                    </w:rPr>
                    <w:t>喷雾</w:t>
                  </w:r>
                </w:p>
              </w:tc>
            </w:tr>
          </w:tbl>
          <w:p w14:paraId="35B3B2DF">
            <w:pPr>
              <w:rPr>
                <w:rFonts w:ascii="Times New Roman" w:hAnsi="Times New Roman" w:cs="Times New Roman"/>
                <w:sz w:val="20"/>
                <w:szCs w:val="20"/>
              </w:rPr>
            </w:pPr>
          </w:p>
        </w:tc>
      </w:tr>
      <w:tr w14:paraId="6BD8A659">
        <w:tblPrEx>
          <w:tblCellMar>
            <w:top w:w="0" w:type="dxa"/>
            <w:left w:w="0" w:type="dxa"/>
            <w:bottom w:w="0" w:type="dxa"/>
            <w:right w:w="0" w:type="dxa"/>
          </w:tblCellMar>
        </w:tblPrEx>
        <w:trPr>
          <w:wBefore w:w="0" w:type="auto"/>
          <w:tblCellSpacing w:w="0" w:type="dxa"/>
        </w:trPr>
        <w:tc>
          <w:tcPr>
            <w:tcW w:w="0" w:type="auto"/>
            <w:noWrap w:val="0"/>
            <w:vAlign w:val="center"/>
          </w:tcPr>
          <w:p w14:paraId="44438969">
            <w:r>
              <w:rPr>
                <w:rStyle w:val="10"/>
                <w:rFonts w:hint="eastAsia"/>
              </w:rPr>
              <w:t>使用技术要求:</w:t>
            </w:r>
            <w:r>
              <w:rPr>
                <w:rFonts w:hint="eastAsia"/>
              </w:rPr>
              <w:br w:type="textWrapping"/>
            </w:r>
            <w:r>
              <w:rPr>
                <w:rStyle w:val="11"/>
                <w:rFonts w:hint="eastAsia"/>
              </w:rPr>
              <w:t>1. 本品用于马铃薯蚜虫发生始盛期施药1次。2. 施药方式为叶面喷雾，施药时均匀、周到，注意对叶片背面喷雾。3. 大风天或预计1小时内降雨，请勿施药，避免药液漂移。4. 本品在马铃薯上使用的安全间隔期为14天，每季最多使用1次</w:t>
            </w:r>
          </w:p>
        </w:tc>
      </w:tr>
      <w:tr w14:paraId="61245A7A">
        <w:tblPrEx>
          <w:tblCellMar>
            <w:top w:w="0" w:type="dxa"/>
            <w:left w:w="0" w:type="dxa"/>
            <w:bottom w:w="0" w:type="dxa"/>
            <w:right w:w="0" w:type="dxa"/>
          </w:tblCellMar>
        </w:tblPrEx>
        <w:trPr>
          <w:wBefore w:w="0" w:type="auto"/>
          <w:tblCellSpacing w:w="0" w:type="dxa"/>
        </w:trPr>
        <w:tc>
          <w:tcPr>
            <w:tcW w:w="0" w:type="auto"/>
            <w:noWrap w:val="0"/>
            <w:vAlign w:val="center"/>
          </w:tcPr>
          <w:p w14:paraId="57831732">
            <w:r>
              <w:rPr>
                <w:rStyle w:val="10"/>
                <w:rFonts w:hint="eastAsia"/>
              </w:rPr>
              <w:t>产品性能:</w:t>
            </w:r>
            <w:r>
              <w:rPr>
                <w:rFonts w:hint="eastAsia"/>
              </w:rPr>
              <w:br w:type="textWrapping"/>
            </w:r>
            <w:r>
              <w:rPr>
                <w:rStyle w:val="11"/>
                <w:rFonts w:hint="eastAsia"/>
              </w:rPr>
              <w:t>本品是由噻虫嗪和高效氯氟氰菊酯复配而成的微囊悬浮-悬浮剂杀虫剂，具有内吸和触杀作用。两者混配能有效防除马铃薯上的蚜虫。</w:t>
            </w:r>
          </w:p>
        </w:tc>
      </w:tr>
      <w:tr w14:paraId="659ECFC5">
        <w:tblPrEx>
          <w:tblCellMar>
            <w:top w:w="0" w:type="dxa"/>
            <w:left w:w="0" w:type="dxa"/>
            <w:bottom w:w="0" w:type="dxa"/>
            <w:right w:w="0" w:type="dxa"/>
          </w:tblCellMar>
        </w:tblPrEx>
        <w:trPr>
          <w:wBefore w:w="0" w:type="auto"/>
          <w:tblCellSpacing w:w="0" w:type="dxa"/>
        </w:trPr>
        <w:tc>
          <w:tcPr>
            <w:tcW w:w="0" w:type="auto"/>
            <w:noWrap w:val="0"/>
            <w:vAlign w:val="center"/>
          </w:tcPr>
          <w:p w14:paraId="707634F7">
            <w:r>
              <w:rPr>
                <w:rStyle w:val="10"/>
                <w:rFonts w:hint="eastAsia"/>
              </w:rPr>
              <w:t>注意事项：</w:t>
            </w:r>
            <w:r>
              <w:rPr>
                <w:rFonts w:hint="eastAsia"/>
              </w:rPr>
              <w:br w:type="textWrapping"/>
            </w:r>
            <w:r>
              <w:rPr>
                <w:rStyle w:val="11"/>
                <w:rFonts w:hint="eastAsia"/>
              </w:rPr>
              <w:t>1. 本品不可与碱性物质混用（波尔多液、石硫合剂等）。2. 使用时严格按照《农药安全操作规程》作业，做好安全防护，使用时穿戴长衣、长裤、帽子、口罩、手套等防护措施。，防止药液由口鼻吸入，不得吸烟、饮食、进水等，施药后及时清洗手、脸以及身体被污染的部位。3. 水产养殖区、河塘等水体附近禁用，禁止在河塘等水体清洗施药器具以免污染水源；（周围）开花植物花期禁用，本品对蜜蜂、家蚕有毒，施药期间应密切关注对附近蜂群的影响，桑园及蚕室附近禁用；赤眼蜂等天敌放飞区域禁用。4. 避免孕妇或哺乳期妇女接触本品。5. 用过的包装物应妥善处理，不可做他用，也不可随意丢弃。6. 孕妇及哺乳期妇女避免接触本品。</w:t>
            </w:r>
          </w:p>
        </w:tc>
      </w:tr>
      <w:tr w14:paraId="28F33342">
        <w:tblPrEx>
          <w:tblCellMar>
            <w:top w:w="0" w:type="dxa"/>
            <w:left w:w="0" w:type="dxa"/>
            <w:bottom w:w="0" w:type="dxa"/>
            <w:right w:w="0" w:type="dxa"/>
          </w:tblCellMar>
        </w:tblPrEx>
        <w:trPr>
          <w:wBefore w:w="0" w:type="auto"/>
          <w:tblCellSpacing w:w="0" w:type="dxa"/>
        </w:trPr>
        <w:tc>
          <w:tcPr>
            <w:tcW w:w="0" w:type="auto"/>
            <w:noWrap w:val="0"/>
            <w:vAlign w:val="center"/>
          </w:tcPr>
          <w:p w14:paraId="3CE4CAFE">
            <w:r>
              <w:rPr>
                <w:rStyle w:val="10"/>
                <w:rFonts w:hint="eastAsia"/>
              </w:rPr>
              <w:t>中毒急救措施：</w:t>
            </w:r>
            <w:r>
              <w:rPr>
                <w:rFonts w:hint="eastAsia"/>
              </w:rPr>
              <w:br w:type="textWrapping"/>
            </w:r>
            <w:r>
              <w:rPr>
                <w:rStyle w:val="11"/>
                <w:rFonts w:hint="eastAsia"/>
              </w:rPr>
              <w:t>中毒症状：本品对眼睛和皮肤有刺激作用，使用中或使用后，如果感觉不适，应立即停止工作，采取急救措施，并携此标签送往医院就诊。皮肤接触：脱去污染的衣服，用软布去除沾染农药，立即用大量清水和肥皂冲洗；眼睛溅入：立即用流动清水冲洗不少于15分钟；吸入：立即将病人转移到空气新鲜处；若不慎误服：请勿引吐，立即送往医院对症治疗。本品无特效解毒剂。</w:t>
            </w:r>
          </w:p>
        </w:tc>
      </w:tr>
      <w:tr w14:paraId="4465A00E">
        <w:tblPrEx>
          <w:tblCellMar>
            <w:top w:w="0" w:type="dxa"/>
            <w:left w:w="0" w:type="dxa"/>
            <w:bottom w:w="0" w:type="dxa"/>
            <w:right w:w="0" w:type="dxa"/>
          </w:tblCellMar>
        </w:tblPrEx>
        <w:trPr>
          <w:wBefore w:w="0" w:type="auto"/>
          <w:tblCellSpacing w:w="0" w:type="dxa"/>
        </w:trPr>
        <w:tc>
          <w:tcPr>
            <w:tcW w:w="0" w:type="auto"/>
            <w:noWrap w:val="0"/>
            <w:vAlign w:val="center"/>
          </w:tcPr>
          <w:p w14:paraId="79C19B4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069F2A10">
        <w:tblPrEx>
          <w:tblCellMar>
            <w:top w:w="0" w:type="dxa"/>
            <w:left w:w="0" w:type="dxa"/>
            <w:bottom w:w="0" w:type="dxa"/>
            <w:right w:w="0" w:type="dxa"/>
          </w:tblCellMar>
        </w:tblPrEx>
        <w:trPr>
          <w:wBefore w:w="0" w:type="auto"/>
          <w:tblCellSpacing w:w="0" w:type="dxa"/>
        </w:trPr>
        <w:tc>
          <w:tcPr>
            <w:tcW w:w="0" w:type="auto"/>
            <w:noWrap w:val="0"/>
            <w:vAlign w:val="center"/>
          </w:tcPr>
          <w:p w14:paraId="17817BE4">
            <w:r>
              <w:rPr>
                <w:rStyle w:val="10"/>
                <w:rFonts w:hint="eastAsia"/>
              </w:rPr>
              <w:t>质量保证期：</w:t>
            </w:r>
            <w:r>
              <w:rPr>
                <w:rStyle w:val="11"/>
                <w:rFonts w:hint="eastAsia"/>
              </w:rPr>
              <w:t>2年</w:t>
            </w:r>
          </w:p>
        </w:tc>
      </w:tr>
      <w:tr w14:paraId="08EA0ADC">
        <w:tblPrEx>
          <w:tblCellMar>
            <w:top w:w="0" w:type="dxa"/>
            <w:left w:w="0" w:type="dxa"/>
            <w:bottom w:w="0" w:type="dxa"/>
            <w:right w:w="0" w:type="dxa"/>
          </w:tblCellMar>
        </w:tblPrEx>
        <w:trPr>
          <w:wBefore w:w="0" w:type="auto"/>
          <w:tblCellSpacing w:w="0" w:type="dxa"/>
        </w:trPr>
        <w:tc>
          <w:tcPr>
            <w:tcW w:w="0" w:type="auto"/>
            <w:noWrap w:val="0"/>
            <w:vAlign w:val="center"/>
          </w:tcPr>
          <w:p w14:paraId="6179357D">
            <w:r>
              <w:rPr>
                <w:rStyle w:val="10"/>
                <w:rFonts w:hint="eastAsia"/>
              </w:rPr>
              <w:t>备注：</w:t>
            </w:r>
          </w:p>
        </w:tc>
      </w:tr>
    </w:tbl>
    <w:p w14:paraId="2BA079F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EEB68F">
        <w:tblPrEx>
          <w:tblCellMar>
            <w:top w:w="0" w:type="dxa"/>
            <w:left w:w="0" w:type="dxa"/>
            <w:bottom w:w="0" w:type="dxa"/>
            <w:right w:w="0" w:type="dxa"/>
          </w:tblCellMar>
        </w:tblPrEx>
        <w:trPr>
          <w:wBefore w:w="0" w:type="auto"/>
          <w:tblCellSpacing w:w="0" w:type="dxa"/>
        </w:trPr>
        <w:tc>
          <w:tcPr>
            <w:tcW w:w="0" w:type="auto"/>
            <w:noWrap w:val="0"/>
            <w:vAlign w:val="center"/>
          </w:tcPr>
          <w:p w14:paraId="6BCC1753">
            <w:r>
              <w:rPr>
                <w:rStyle w:val="10"/>
                <w:rFonts w:hint="eastAsia"/>
              </w:rPr>
              <w:t>登记证号：</w:t>
            </w:r>
            <w:r>
              <w:rPr>
                <w:rFonts w:hint="eastAsia"/>
              </w:rPr>
              <w:t>PD20212776</w:t>
            </w:r>
          </w:p>
        </w:tc>
      </w:tr>
      <w:tr w14:paraId="69C0C931">
        <w:tblPrEx>
          <w:tblCellMar>
            <w:top w:w="0" w:type="dxa"/>
            <w:left w:w="0" w:type="dxa"/>
            <w:bottom w:w="0" w:type="dxa"/>
            <w:right w:w="0" w:type="dxa"/>
          </w:tblCellMar>
        </w:tblPrEx>
        <w:trPr>
          <w:wBefore w:w="0" w:type="auto"/>
          <w:tblCellSpacing w:w="0" w:type="dxa"/>
        </w:trPr>
        <w:tc>
          <w:tcPr>
            <w:tcW w:w="0" w:type="auto"/>
            <w:noWrap w:val="0"/>
            <w:vAlign w:val="center"/>
          </w:tcPr>
          <w:p w14:paraId="59EF179D">
            <w:r>
              <w:rPr>
                <w:rStyle w:val="10"/>
                <w:rFonts w:hint="eastAsia"/>
              </w:rPr>
              <w:t>登记证持有人：</w:t>
            </w:r>
            <w:r>
              <w:rPr>
                <w:rFonts w:hint="eastAsia"/>
              </w:rPr>
              <w:t>山东坤牛植物保护有限公司</w:t>
            </w:r>
          </w:p>
        </w:tc>
      </w:tr>
      <w:tr w14:paraId="7BDE2A44">
        <w:tblPrEx>
          <w:tblCellMar>
            <w:top w:w="0" w:type="dxa"/>
            <w:left w:w="0" w:type="dxa"/>
            <w:bottom w:w="0" w:type="dxa"/>
            <w:right w:w="0" w:type="dxa"/>
          </w:tblCellMar>
        </w:tblPrEx>
        <w:trPr>
          <w:wBefore w:w="0" w:type="auto"/>
          <w:tblCellSpacing w:w="0" w:type="dxa"/>
        </w:trPr>
        <w:tc>
          <w:tcPr>
            <w:tcW w:w="0" w:type="auto"/>
            <w:noWrap w:val="0"/>
            <w:vAlign w:val="center"/>
          </w:tcPr>
          <w:p w14:paraId="41BC19BE">
            <w:r>
              <w:rPr>
                <w:rStyle w:val="10"/>
                <w:rFonts w:hint="eastAsia"/>
              </w:rPr>
              <w:t>农药名称：</w:t>
            </w:r>
            <w:r>
              <w:rPr>
                <w:rFonts w:hint="eastAsia"/>
              </w:rPr>
              <w:t>吲丁·萘乙酸</w:t>
            </w:r>
          </w:p>
        </w:tc>
      </w:tr>
      <w:tr w14:paraId="57A7461D">
        <w:tblPrEx>
          <w:tblCellMar>
            <w:top w:w="0" w:type="dxa"/>
            <w:left w:w="0" w:type="dxa"/>
            <w:bottom w:w="0" w:type="dxa"/>
            <w:right w:w="0" w:type="dxa"/>
          </w:tblCellMar>
        </w:tblPrEx>
        <w:trPr>
          <w:wBefore w:w="0" w:type="auto"/>
          <w:tblCellSpacing w:w="0" w:type="dxa"/>
        </w:trPr>
        <w:tc>
          <w:tcPr>
            <w:tcW w:w="0" w:type="auto"/>
            <w:noWrap w:val="0"/>
            <w:vAlign w:val="center"/>
          </w:tcPr>
          <w:p w14:paraId="72A6518C">
            <w:r>
              <w:rPr>
                <w:rStyle w:val="10"/>
                <w:rFonts w:hint="eastAsia"/>
              </w:rPr>
              <w:t>剂型：</w:t>
            </w:r>
            <w:r>
              <w:rPr>
                <w:rFonts w:hint="eastAsia"/>
              </w:rPr>
              <w:t>可溶液剂</w:t>
            </w:r>
          </w:p>
        </w:tc>
      </w:tr>
      <w:tr w14:paraId="5C1AAAA7">
        <w:tblPrEx>
          <w:tblCellMar>
            <w:top w:w="0" w:type="dxa"/>
            <w:left w:w="0" w:type="dxa"/>
            <w:bottom w:w="0" w:type="dxa"/>
            <w:right w:w="0" w:type="dxa"/>
          </w:tblCellMar>
        </w:tblPrEx>
        <w:trPr>
          <w:wBefore w:w="0" w:type="auto"/>
          <w:tblCellSpacing w:w="0" w:type="dxa"/>
        </w:trPr>
        <w:tc>
          <w:tcPr>
            <w:tcW w:w="0" w:type="auto"/>
            <w:noWrap w:val="0"/>
            <w:vAlign w:val="center"/>
          </w:tcPr>
          <w:p w14:paraId="0CA7AC7C">
            <w:r>
              <w:rPr>
                <w:rStyle w:val="10"/>
                <w:rFonts w:hint="eastAsia"/>
              </w:rPr>
              <w:t>毒性及其标识：</w:t>
            </w:r>
            <w:r>
              <w:rPr>
                <w:rFonts w:hint="eastAsia"/>
              </w:rPr>
              <w:t xml:space="preserve"> 微毒 </w:t>
            </w:r>
          </w:p>
        </w:tc>
      </w:tr>
      <w:tr w14:paraId="0583D2A9">
        <w:tblPrEx>
          <w:tblCellMar>
            <w:top w:w="0" w:type="dxa"/>
            <w:left w:w="0" w:type="dxa"/>
            <w:bottom w:w="0" w:type="dxa"/>
            <w:right w:w="0" w:type="dxa"/>
          </w:tblCellMar>
        </w:tblPrEx>
        <w:trPr>
          <w:wBefore w:w="0" w:type="auto"/>
          <w:tblCellSpacing w:w="0" w:type="dxa"/>
        </w:trPr>
        <w:tc>
          <w:tcPr>
            <w:tcW w:w="0" w:type="auto"/>
            <w:noWrap w:val="0"/>
            <w:vAlign w:val="center"/>
          </w:tcPr>
          <w:p w14:paraId="27FDF221">
            <w:r>
              <w:rPr>
                <w:rStyle w:val="10"/>
                <w:rFonts w:hint="eastAsia"/>
              </w:rPr>
              <w:t>总有效成分含量：</w:t>
            </w:r>
            <w:r>
              <w:rPr>
                <w:rFonts w:hint="eastAsia"/>
              </w:rPr>
              <w:t>5%</w:t>
            </w:r>
          </w:p>
        </w:tc>
      </w:tr>
      <w:tr w14:paraId="14E75297">
        <w:tblPrEx>
          <w:tblCellMar>
            <w:top w:w="0" w:type="dxa"/>
            <w:left w:w="0" w:type="dxa"/>
            <w:bottom w:w="0" w:type="dxa"/>
            <w:right w:w="0" w:type="dxa"/>
          </w:tblCellMar>
        </w:tblPrEx>
        <w:trPr>
          <w:wBefore w:w="0" w:type="auto"/>
          <w:tblCellSpacing w:w="0" w:type="dxa"/>
        </w:trPr>
        <w:tc>
          <w:tcPr>
            <w:tcW w:w="0" w:type="auto"/>
            <w:noWrap w:val="0"/>
            <w:vAlign w:val="center"/>
          </w:tcPr>
          <w:p w14:paraId="0EB09E19">
            <w:r>
              <w:rPr>
                <w:rFonts w:hint="eastAsia"/>
              </w:rPr>
              <w:t xml:space="preserve">有效成分及其含量： </w:t>
            </w:r>
          </w:p>
          <w:p w14:paraId="3A0E3839">
            <w:r>
              <w:rPr>
                <w:rFonts w:hint="eastAsia"/>
              </w:rPr>
              <w:t xml:space="preserve">    吲哚丁酸2.5%    萘乙酸2.5%    </w:t>
            </w:r>
          </w:p>
        </w:tc>
      </w:tr>
      <w:tr w14:paraId="32B1422D">
        <w:tblPrEx>
          <w:tblCellMar>
            <w:top w:w="0" w:type="dxa"/>
            <w:left w:w="0" w:type="dxa"/>
            <w:bottom w:w="0" w:type="dxa"/>
            <w:right w:w="0" w:type="dxa"/>
          </w:tblCellMar>
        </w:tblPrEx>
        <w:trPr>
          <w:wBefore w:w="0" w:type="auto"/>
          <w:tblCellSpacing w:w="0" w:type="dxa"/>
        </w:trPr>
        <w:tc>
          <w:tcPr>
            <w:tcW w:w="0" w:type="auto"/>
            <w:noWrap w:val="0"/>
            <w:vAlign w:val="center"/>
          </w:tcPr>
          <w:p w14:paraId="3C7477D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DDC9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47E56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F704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5059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5B44AA">
                  <w:r>
                    <w:rPr>
                      <w:rStyle w:val="11"/>
                      <w:rFonts w:hint="eastAsia"/>
                    </w:rPr>
                    <w:t>施用方式</w:t>
                  </w:r>
                </w:p>
              </w:tc>
            </w:tr>
            <w:tr w14:paraId="6C443E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1AD0D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2A42D7">
                  <w:r>
                    <w:rPr>
                      <w:rStyle w:val="11"/>
                      <w:rFonts w:hint="eastAsia"/>
                    </w:rPr>
                    <w:t>提高成活率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0EBB81">
                  <w:r>
                    <w:rPr>
                      <w:rStyle w:val="11"/>
                      <w:rFonts w:hint="eastAsia"/>
                    </w:rPr>
                    <w:t>250-500倍液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32A6FD">
                  <w:r>
                    <w:rPr>
                      <w:rStyle w:val="11"/>
                      <w:rFonts w:hint="eastAsia"/>
                    </w:rPr>
                    <w:t>浸泡插条基部</w:t>
                  </w:r>
                </w:p>
              </w:tc>
            </w:tr>
          </w:tbl>
          <w:p w14:paraId="7C5F4FBD">
            <w:pPr>
              <w:rPr>
                <w:rFonts w:ascii="Times New Roman" w:hAnsi="Times New Roman" w:cs="Times New Roman"/>
                <w:sz w:val="20"/>
                <w:szCs w:val="20"/>
              </w:rPr>
            </w:pPr>
          </w:p>
        </w:tc>
      </w:tr>
      <w:tr w14:paraId="341342CD">
        <w:tblPrEx>
          <w:tblCellMar>
            <w:top w:w="0" w:type="dxa"/>
            <w:left w:w="0" w:type="dxa"/>
            <w:bottom w:w="0" w:type="dxa"/>
            <w:right w:w="0" w:type="dxa"/>
          </w:tblCellMar>
        </w:tblPrEx>
        <w:trPr>
          <w:wBefore w:w="0" w:type="auto"/>
          <w:tblCellSpacing w:w="0" w:type="dxa"/>
        </w:trPr>
        <w:tc>
          <w:tcPr>
            <w:tcW w:w="0" w:type="auto"/>
            <w:noWrap w:val="0"/>
            <w:vAlign w:val="center"/>
          </w:tcPr>
          <w:p w14:paraId="047FFD68">
            <w:r>
              <w:rPr>
                <w:rStyle w:val="10"/>
                <w:rFonts w:hint="eastAsia"/>
              </w:rPr>
              <w:t>使用技术要求:</w:t>
            </w:r>
            <w:r>
              <w:rPr>
                <w:rFonts w:hint="eastAsia"/>
              </w:rPr>
              <w:br w:type="textWrapping"/>
            </w:r>
            <w:r>
              <w:rPr>
                <w:rStyle w:val="11"/>
                <w:rFonts w:hint="eastAsia"/>
              </w:rPr>
              <w:t>1. 使用时期及方法：将葡萄枝条成捆捆好后浸泡2-3小时左右，浸泡深度为插条基部2-3厘米，浸泡后捞出即扦插。将浸泡好的插穗与地面成45度角，埋入田间，上部露出1-2个芽，切忌将插穗倒插。2. 本品不能与铜制剂及碱性药剂混用。3. 本品使用时只施药1次。</w:t>
            </w:r>
          </w:p>
        </w:tc>
      </w:tr>
      <w:tr w14:paraId="4FA00A35">
        <w:tblPrEx>
          <w:tblCellMar>
            <w:top w:w="0" w:type="dxa"/>
            <w:left w:w="0" w:type="dxa"/>
            <w:bottom w:w="0" w:type="dxa"/>
            <w:right w:w="0" w:type="dxa"/>
          </w:tblCellMar>
        </w:tblPrEx>
        <w:trPr>
          <w:wBefore w:w="0" w:type="auto"/>
          <w:tblCellSpacing w:w="0" w:type="dxa"/>
        </w:trPr>
        <w:tc>
          <w:tcPr>
            <w:tcW w:w="0" w:type="auto"/>
            <w:noWrap w:val="0"/>
            <w:vAlign w:val="center"/>
          </w:tcPr>
          <w:p w14:paraId="21A18CEB">
            <w:r>
              <w:rPr>
                <w:rStyle w:val="10"/>
                <w:rFonts w:hint="eastAsia"/>
              </w:rPr>
              <w:t>产品性能:</w:t>
            </w:r>
            <w:r>
              <w:rPr>
                <w:rFonts w:hint="eastAsia"/>
              </w:rPr>
              <w:br w:type="textWrapping"/>
            </w:r>
            <w:r>
              <w:rPr>
                <w:rStyle w:val="11"/>
                <w:rFonts w:hint="eastAsia"/>
              </w:rPr>
              <w:t>本品由萘乙酸和吲哚丁酸复配而成，具有促进细胞分裂与扩大，诱导形成不定根。可以明显促进葡萄插穗的萌发生长，促进植株的生长发育。</w:t>
            </w:r>
          </w:p>
        </w:tc>
      </w:tr>
      <w:tr w14:paraId="25A20735">
        <w:tblPrEx>
          <w:tblCellMar>
            <w:top w:w="0" w:type="dxa"/>
            <w:left w:w="0" w:type="dxa"/>
            <w:bottom w:w="0" w:type="dxa"/>
            <w:right w:w="0" w:type="dxa"/>
          </w:tblCellMar>
        </w:tblPrEx>
        <w:trPr>
          <w:wBefore w:w="0" w:type="auto"/>
          <w:tblCellSpacing w:w="0" w:type="dxa"/>
        </w:trPr>
        <w:tc>
          <w:tcPr>
            <w:tcW w:w="0" w:type="auto"/>
            <w:noWrap w:val="0"/>
            <w:vAlign w:val="center"/>
          </w:tcPr>
          <w:p w14:paraId="12F8AC23">
            <w:r>
              <w:rPr>
                <w:rStyle w:val="10"/>
                <w:rFonts w:hint="eastAsia"/>
              </w:rPr>
              <w:t>注意事项：</w:t>
            </w:r>
            <w:r>
              <w:rPr>
                <w:rFonts w:hint="eastAsia"/>
              </w:rPr>
              <w:br w:type="textWrapping"/>
            </w:r>
            <w:r>
              <w:rPr>
                <w:rStyle w:val="11"/>
                <w:rFonts w:hint="eastAsia"/>
              </w:rPr>
              <w:t>1. 请按农药安全使用规程使用，工作完毕及时用肥皂洗净手和脸，皮肤着药部位随时洗净。2. 用过的容器妥善处理，不可随意丢弃，也不可作他用，避免对环境产生不良影响。禁止在河塘等水域清洗施药器具。3. 本品对眼睛有刺激性，使用时避免接触眼睛，穿戴长衣、长裤、帽子、口罩、手套等防护措施，避免吸入药液。施药期间不可吃东西和饮水。4. 孕妇及哺乳期妇女禁止接触本品。</w:t>
            </w:r>
          </w:p>
        </w:tc>
      </w:tr>
      <w:tr w14:paraId="12E26C54">
        <w:tblPrEx>
          <w:tblCellMar>
            <w:top w:w="0" w:type="dxa"/>
            <w:left w:w="0" w:type="dxa"/>
            <w:bottom w:w="0" w:type="dxa"/>
            <w:right w:w="0" w:type="dxa"/>
          </w:tblCellMar>
        </w:tblPrEx>
        <w:trPr>
          <w:wBefore w:w="0" w:type="auto"/>
          <w:tblCellSpacing w:w="0" w:type="dxa"/>
        </w:trPr>
        <w:tc>
          <w:tcPr>
            <w:tcW w:w="0" w:type="auto"/>
            <w:noWrap w:val="0"/>
            <w:vAlign w:val="center"/>
          </w:tcPr>
          <w:p w14:paraId="6A496B81">
            <w:r>
              <w:rPr>
                <w:rStyle w:val="10"/>
                <w:rFonts w:hint="eastAsia"/>
              </w:rPr>
              <w:t>中毒急救措施：</w:t>
            </w:r>
            <w:r>
              <w:rPr>
                <w:rFonts w:hint="eastAsia"/>
              </w:rPr>
              <w:br w:type="textWrapping"/>
            </w:r>
            <w:r>
              <w:rPr>
                <w:rStyle w:val="11"/>
                <w:rFonts w:hint="eastAsia"/>
              </w:rPr>
              <w:t>1. 使用时应注意防护，防止药液误入眼内，若测入眼，翻开眼睑，用清水至少冲洗15分钟，仍有不适，就医。工作完毕后用肥皂洗净脸手。2. 本品低毒，无专用解毒药剂，误服中毒请携本标签到医院对症治疗。</w:t>
            </w:r>
          </w:p>
        </w:tc>
      </w:tr>
      <w:tr w14:paraId="26BB2278">
        <w:tblPrEx>
          <w:tblCellMar>
            <w:top w:w="0" w:type="dxa"/>
            <w:left w:w="0" w:type="dxa"/>
            <w:bottom w:w="0" w:type="dxa"/>
            <w:right w:w="0" w:type="dxa"/>
          </w:tblCellMar>
        </w:tblPrEx>
        <w:trPr>
          <w:wBefore w:w="0" w:type="auto"/>
          <w:tblCellSpacing w:w="0" w:type="dxa"/>
        </w:trPr>
        <w:tc>
          <w:tcPr>
            <w:tcW w:w="0" w:type="auto"/>
            <w:noWrap w:val="0"/>
            <w:vAlign w:val="center"/>
          </w:tcPr>
          <w:p w14:paraId="4DEC9CF2">
            <w:r>
              <w:rPr>
                <w:rStyle w:val="10"/>
                <w:rFonts w:hint="eastAsia"/>
              </w:rPr>
              <w:t>储存和运输方法：</w:t>
            </w:r>
            <w:r>
              <w:rPr>
                <w:rFonts w:hint="eastAsia"/>
              </w:rPr>
              <w:br w:type="textWrapping"/>
            </w:r>
            <w:r>
              <w:rPr>
                <w:rStyle w:val="11"/>
                <w:rFonts w:hint="eastAsia"/>
              </w:rPr>
              <w:t>1. 本品闪点62.2℃，属易燃液体。应贮存在干燥、阴凉、通风、防雨处，远离火源或热源。 2. 置于儿童、无关人员及其他动物触及不到之处，并加锁保存。 3. 禁止与食品、饮料、粮食、饲料等物品同贮同运。</w:t>
            </w:r>
          </w:p>
        </w:tc>
      </w:tr>
      <w:tr w14:paraId="456735BD">
        <w:tblPrEx>
          <w:tblCellMar>
            <w:top w:w="0" w:type="dxa"/>
            <w:left w:w="0" w:type="dxa"/>
            <w:bottom w:w="0" w:type="dxa"/>
            <w:right w:w="0" w:type="dxa"/>
          </w:tblCellMar>
        </w:tblPrEx>
        <w:trPr>
          <w:wBefore w:w="0" w:type="auto"/>
          <w:tblCellSpacing w:w="0" w:type="dxa"/>
        </w:trPr>
        <w:tc>
          <w:tcPr>
            <w:tcW w:w="0" w:type="auto"/>
            <w:noWrap w:val="0"/>
            <w:vAlign w:val="center"/>
          </w:tcPr>
          <w:p w14:paraId="620FD035">
            <w:r>
              <w:rPr>
                <w:rStyle w:val="10"/>
                <w:rFonts w:hint="eastAsia"/>
              </w:rPr>
              <w:t>质量保证期：</w:t>
            </w:r>
            <w:r>
              <w:rPr>
                <w:rStyle w:val="11"/>
                <w:rFonts w:hint="eastAsia"/>
              </w:rPr>
              <w:t>2年</w:t>
            </w:r>
          </w:p>
        </w:tc>
      </w:tr>
      <w:tr w14:paraId="6169C1BA">
        <w:tblPrEx>
          <w:tblCellMar>
            <w:top w:w="0" w:type="dxa"/>
            <w:left w:w="0" w:type="dxa"/>
            <w:bottom w:w="0" w:type="dxa"/>
            <w:right w:w="0" w:type="dxa"/>
          </w:tblCellMar>
        </w:tblPrEx>
        <w:trPr>
          <w:wBefore w:w="0" w:type="auto"/>
          <w:tblCellSpacing w:w="0" w:type="dxa"/>
        </w:trPr>
        <w:tc>
          <w:tcPr>
            <w:tcW w:w="0" w:type="auto"/>
            <w:noWrap w:val="0"/>
            <w:vAlign w:val="center"/>
          </w:tcPr>
          <w:p w14:paraId="14C9762E">
            <w:r>
              <w:rPr>
                <w:rStyle w:val="10"/>
                <w:rFonts w:hint="eastAsia"/>
              </w:rPr>
              <w:t>备注：</w:t>
            </w:r>
          </w:p>
        </w:tc>
      </w:tr>
    </w:tbl>
    <w:p w14:paraId="679887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C5A9E4">
        <w:tblPrEx>
          <w:tblCellMar>
            <w:top w:w="0" w:type="dxa"/>
            <w:left w:w="0" w:type="dxa"/>
            <w:bottom w:w="0" w:type="dxa"/>
            <w:right w:w="0" w:type="dxa"/>
          </w:tblCellMar>
        </w:tblPrEx>
        <w:trPr>
          <w:wBefore w:w="0" w:type="auto"/>
          <w:tblCellSpacing w:w="0" w:type="dxa"/>
        </w:trPr>
        <w:tc>
          <w:tcPr>
            <w:tcW w:w="0" w:type="auto"/>
            <w:noWrap w:val="0"/>
            <w:vAlign w:val="center"/>
          </w:tcPr>
          <w:p w14:paraId="04F543FF">
            <w:r>
              <w:rPr>
                <w:rStyle w:val="10"/>
                <w:rFonts w:hint="eastAsia"/>
              </w:rPr>
              <w:t>登记证号：</w:t>
            </w:r>
            <w:r>
              <w:rPr>
                <w:rFonts w:hint="eastAsia"/>
              </w:rPr>
              <w:t>PD20084202</w:t>
            </w:r>
          </w:p>
        </w:tc>
      </w:tr>
      <w:tr w14:paraId="3227B837">
        <w:tblPrEx>
          <w:tblCellMar>
            <w:top w:w="0" w:type="dxa"/>
            <w:left w:w="0" w:type="dxa"/>
            <w:bottom w:w="0" w:type="dxa"/>
            <w:right w:w="0" w:type="dxa"/>
          </w:tblCellMar>
        </w:tblPrEx>
        <w:trPr>
          <w:wBefore w:w="0" w:type="auto"/>
          <w:tblCellSpacing w:w="0" w:type="dxa"/>
        </w:trPr>
        <w:tc>
          <w:tcPr>
            <w:tcW w:w="0" w:type="auto"/>
            <w:noWrap w:val="0"/>
            <w:vAlign w:val="center"/>
          </w:tcPr>
          <w:p w14:paraId="39DD7E14">
            <w:r>
              <w:rPr>
                <w:rStyle w:val="10"/>
                <w:rFonts w:hint="eastAsia"/>
              </w:rPr>
              <w:t>登记证持有人：</w:t>
            </w:r>
            <w:r>
              <w:rPr>
                <w:rFonts w:hint="eastAsia"/>
              </w:rPr>
              <w:t>四川利尔作物科学有限公司</w:t>
            </w:r>
          </w:p>
        </w:tc>
      </w:tr>
      <w:tr w14:paraId="021AB692">
        <w:tblPrEx>
          <w:tblCellMar>
            <w:top w:w="0" w:type="dxa"/>
            <w:left w:w="0" w:type="dxa"/>
            <w:bottom w:w="0" w:type="dxa"/>
            <w:right w:w="0" w:type="dxa"/>
          </w:tblCellMar>
        </w:tblPrEx>
        <w:trPr>
          <w:wBefore w:w="0" w:type="auto"/>
          <w:tblCellSpacing w:w="0" w:type="dxa"/>
        </w:trPr>
        <w:tc>
          <w:tcPr>
            <w:tcW w:w="0" w:type="auto"/>
            <w:noWrap w:val="0"/>
            <w:vAlign w:val="center"/>
          </w:tcPr>
          <w:p w14:paraId="374DFBB1">
            <w:r>
              <w:rPr>
                <w:rStyle w:val="10"/>
                <w:rFonts w:hint="eastAsia"/>
              </w:rPr>
              <w:t>农药名称：</w:t>
            </w:r>
            <w:r>
              <w:rPr>
                <w:rFonts w:hint="eastAsia"/>
              </w:rPr>
              <w:t>氰戊·马拉松</w:t>
            </w:r>
          </w:p>
        </w:tc>
      </w:tr>
      <w:tr w14:paraId="59F356DA">
        <w:tblPrEx>
          <w:tblCellMar>
            <w:top w:w="0" w:type="dxa"/>
            <w:left w:w="0" w:type="dxa"/>
            <w:bottom w:w="0" w:type="dxa"/>
            <w:right w:w="0" w:type="dxa"/>
          </w:tblCellMar>
        </w:tblPrEx>
        <w:trPr>
          <w:wBefore w:w="0" w:type="auto"/>
          <w:tblCellSpacing w:w="0" w:type="dxa"/>
        </w:trPr>
        <w:tc>
          <w:tcPr>
            <w:tcW w:w="0" w:type="auto"/>
            <w:noWrap w:val="0"/>
            <w:vAlign w:val="center"/>
          </w:tcPr>
          <w:p w14:paraId="614B1791">
            <w:r>
              <w:rPr>
                <w:rStyle w:val="10"/>
                <w:rFonts w:hint="eastAsia"/>
              </w:rPr>
              <w:t>剂型：</w:t>
            </w:r>
            <w:r>
              <w:rPr>
                <w:rFonts w:hint="eastAsia"/>
              </w:rPr>
              <w:t>乳油</w:t>
            </w:r>
          </w:p>
        </w:tc>
      </w:tr>
      <w:tr w14:paraId="6633573C">
        <w:tblPrEx>
          <w:tblCellMar>
            <w:top w:w="0" w:type="dxa"/>
            <w:left w:w="0" w:type="dxa"/>
            <w:bottom w:w="0" w:type="dxa"/>
            <w:right w:w="0" w:type="dxa"/>
          </w:tblCellMar>
        </w:tblPrEx>
        <w:trPr>
          <w:wBefore w:w="0" w:type="auto"/>
          <w:tblCellSpacing w:w="0" w:type="dxa"/>
        </w:trPr>
        <w:tc>
          <w:tcPr>
            <w:tcW w:w="0" w:type="auto"/>
            <w:noWrap w:val="0"/>
            <w:vAlign w:val="center"/>
          </w:tcPr>
          <w:p w14:paraId="0C216639">
            <w:r>
              <w:rPr>
                <w:rStyle w:val="10"/>
                <w:rFonts w:hint="eastAsia"/>
              </w:rPr>
              <w:t>毒性及其标识：</w:t>
            </w:r>
            <w:r>
              <w:rPr>
                <w:rFonts w:hint="eastAsia"/>
              </w:rPr>
              <w:t xml:space="preserve"> </w:t>
            </w:r>
            <w:r>
              <w:rPr>
                <w:lang/>
              </w:rPr>
              <w:drawing>
                <wp:inline distT="0" distB="0" distL="114300" distR="114300">
                  <wp:extent cx="476250" cy="323850"/>
                  <wp:effectExtent l="0" t="0" r="0" b="0"/>
                  <wp:docPr id="331" name="图片 331"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7C28376E">
        <w:tblPrEx>
          <w:tblCellMar>
            <w:top w:w="0" w:type="dxa"/>
            <w:left w:w="0" w:type="dxa"/>
            <w:bottom w:w="0" w:type="dxa"/>
            <w:right w:w="0" w:type="dxa"/>
          </w:tblCellMar>
        </w:tblPrEx>
        <w:trPr>
          <w:wBefore w:w="0" w:type="auto"/>
          <w:tblCellSpacing w:w="0" w:type="dxa"/>
        </w:trPr>
        <w:tc>
          <w:tcPr>
            <w:tcW w:w="0" w:type="auto"/>
            <w:noWrap w:val="0"/>
            <w:vAlign w:val="center"/>
          </w:tcPr>
          <w:p w14:paraId="347D3775">
            <w:r>
              <w:rPr>
                <w:rStyle w:val="10"/>
                <w:rFonts w:hint="eastAsia"/>
              </w:rPr>
              <w:t>总有效成分含量：</w:t>
            </w:r>
            <w:r>
              <w:rPr>
                <w:rFonts w:hint="eastAsia"/>
              </w:rPr>
              <w:t>21%</w:t>
            </w:r>
          </w:p>
        </w:tc>
      </w:tr>
      <w:tr w14:paraId="0F85DCC2">
        <w:tblPrEx>
          <w:tblCellMar>
            <w:top w:w="0" w:type="dxa"/>
            <w:left w:w="0" w:type="dxa"/>
            <w:bottom w:w="0" w:type="dxa"/>
            <w:right w:w="0" w:type="dxa"/>
          </w:tblCellMar>
        </w:tblPrEx>
        <w:trPr>
          <w:wBefore w:w="0" w:type="auto"/>
          <w:tblCellSpacing w:w="0" w:type="dxa"/>
        </w:trPr>
        <w:tc>
          <w:tcPr>
            <w:tcW w:w="0" w:type="auto"/>
            <w:noWrap w:val="0"/>
            <w:vAlign w:val="center"/>
          </w:tcPr>
          <w:p w14:paraId="788FE06F">
            <w:r>
              <w:rPr>
                <w:rFonts w:hint="eastAsia"/>
              </w:rPr>
              <w:t xml:space="preserve">有效成分及其含量： </w:t>
            </w:r>
          </w:p>
          <w:p w14:paraId="5ED486B5">
            <w:r>
              <w:rPr>
                <w:rFonts w:hint="eastAsia"/>
              </w:rPr>
              <w:t xml:space="preserve">    氰戊菊酯6%    马拉硫磷15%    </w:t>
            </w:r>
          </w:p>
        </w:tc>
      </w:tr>
      <w:tr w14:paraId="77E00E18">
        <w:tblPrEx>
          <w:tblCellMar>
            <w:top w:w="0" w:type="dxa"/>
            <w:left w:w="0" w:type="dxa"/>
            <w:bottom w:w="0" w:type="dxa"/>
            <w:right w:w="0" w:type="dxa"/>
          </w:tblCellMar>
        </w:tblPrEx>
        <w:trPr>
          <w:wBefore w:w="0" w:type="auto"/>
          <w:tblCellSpacing w:w="0" w:type="dxa"/>
        </w:trPr>
        <w:tc>
          <w:tcPr>
            <w:tcW w:w="0" w:type="auto"/>
            <w:noWrap w:val="0"/>
            <w:vAlign w:val="center"/>
          </w:tcPr>
          <w:p w14:paraId="614F40D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876A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ABA7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10D9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E0042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6AA655">
                  <w:r>
                    <w:rPr>
                      <w:rStyle w:val="11"/>
                      <w:rFonts w:hint="eastAsia"/>
                    </w:rPr>
                    <w:t>施用方式</w:t>
                  </w:r>
                </w:p>
              </w:tc>
            </w:tr>
            <w:tr w14:paraId="19D425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1E357B">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6CF2AD">
                  <w:r>
                    <w:rPr>
                      <w:rStyle w:val="11"/>
                      <w:rFonts w:hint="eastAsia"/>
                    </w:rPr>
                    <w:t>棉铃虫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3DD155">
                  <w:r>
                    <w:rPr>
                      <w:rStyle w:val="11"/>
                      <w:rFonts w:hint="eastAsia"/>
                    </w:rPr>
                    <w:t>38-57克/亩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141737">
                  <w:r>
                    <w:rPr>
                      <w:rStyle w:val="11"/>
                      <w:rFonts w:hint="eastAsia"/>
                    </w:rPr>
                    <w:t>喷雾</w:t>
                  </w:r>
                </w:p>
              </w:tc>
            </w:tr>
          </w:tbl>
          <w:p w14:paraId="4B44400F">
            <w:pPr>
              <w:rPr>
                <w:rFonts w:ascii="Times New Roman" w:hAnsi="Times New Roman" w:cs="Times New Roman"/>
                <w:sz w:val="20"/>
                <w:szCs w:val="20"/>
              </w:rPr>
            </w:pPr>
          </w:p>
        </w:tc>
      </w:tr>
      <w:tr w14:paraId="63DB0ECA">
        <w:tblPrEx>
          <w:tblCellMar>
            <w:top w:w="0" w:type="dxa"/>
            <w:left w:w="0" w:type="dxa"/>
            <w:bottom w:w="0" w:type="dxa"/>
            <w:right w:w="0" w:type="dxa"/>
          </w:tblCellMar>
        </w:tblPrEx>
        <w:trPr>
          <w:wBefore w:w="0" w:type="auto"/>
          <w:tblCellSpacing w:w="0" w:type="dxa"/>
        </w:trPr>
        <w:tc>
          <w:tcPr>
            <w:tcW w:w="0" w:type="auto"/>
            <w:noWrap w:val="0"/>
            <w:vAlign w:val="center"/>
          </w:tcPr>
          <w:p w14:paraId="4E64C1A1">
            <w:r>
              <w:rPr>
                <w:rStyle w:val="10"/>
                <w:rFonts w:hint="eastAsia"/>
              </w:rPr>
              <w:t>使用技术要求:</w:t>
            </w:r>
            <w:r>
              <w:rPr>
                <w:rFonts w:hint="eastAsia"/>
              </w:rPr>
              <w:br w:type="textWrapping"/>
            </w:r>
            <w:r>
              <w:rPr>
                <w:rStyle w:val="11"/>
                <w:rFonts w:hint="eastAsia"/>
              </w:rPr>
              <w:t>/</w:t>
            </w:r>
          </w:p>
        </w:tc>
      </w:tr>
      <w:tr w14:paraId="295C95EB">
        <w:tblPrEx>
          <w:tblCellMar>
            <w:top w:w="0" w:type="dxa"/>
            <w:left w:w="0" w:type="dxa"/>
            <w:bottom w:w="0" w:type="dxa"/>
            <w:right w:w="0" w:type="dxa"/>
          </w:tblCellMar>
        </w:tblPrEx>
        <w:trPr>
          <w:wBefore w:w="0" w:type="auto"/>
          <w:tblCellSpacing w:w="0" w:type="dxa"/>
        </w:trPr>
        <w:tc>
          <w:tcPr>
            <w:tcW w:w="0" w:type="auto"/>
            <w:noWrap w:val="0"/>
            <w:vAlign w:val="center"/>
          </w:tcPr>
          <w:p w14:paraId="1082EB6E">
            <w:r>
              <w:rPr>
                <w:rStyle w:val="10"/>
                <w:rFonts w:hint="eastAsia"/>
              </w:rPr>
              <w:t>产品性能:</w:t>
            </w:r>
            <w:r>
              <w:rPr>
                <w:rFonts w:hint="eastAsia"/>
              </w:rPr>
              <w:br w:type="textWrapping"/>
            </w:r>
            <w:r>
              <w:rPr>
                <w:rStyle w:val="11"/>
                <w:rFonts w:hint="eastAsia"/>
              </w:rPr>
              <w:t>/</w:t>
            </w:r>
          </w:p>
        </w:tc>
      </w:tr>
      <w:tr w14:paraId="5C0DCD22">
        <w:tblPrEx>
          <w:tblCellMar>
            <w:top w:w="0" w:type="dxa"/>
            <w:left w:w="0" w:type="dxa"/>
            <w:bottom w:w="0" w:type="dxa"/>
            <w:right w:w="0" w:type="dxa"/>
          </w:tblCellMar>
        </w:tblPrEx>
        <w:trPr>
          <w:wBefore w:w="0" w:type="auto"/>
          <w:tblCellSpacing w:w="0" w:type="dxa"/>
        </w:trPr>
        <w:tc>
          <w:tcPr>
            <w:tcW w:w="0" w:type="auto"/>
            <w:noWrap w:val="0"/>
            <w:vAlign w:val="center"/>
          </w:tcPr>
          <w:p w14:paraId="45E575C0">
            <w:r>
              <w:rPr>
                <w:rStyle w:val="10"/>
                <w:rFonts w:hint="eastAsia"/>
              </w:rPr>
              <w:t>注意事项：</w:t>
            </w:r>
            <w:r>
              <w:rPr>
                <w:rFonts w:hint="eastAsia"/>
              </w:rPr>
              <w:br w:type="textWrapping"/>
            </w:r>
            <w:r>
              <w:rPr>
                <w:rStyle w:val="11"/>
                <w:rFonts w:hint="eastAsia"/>
              </w:rPr>
              <w:t>/</w:t>
            </w:r>
          </w:p>
        </w:tc>
      </w:tr>
      <w:tr w14:paraId="0927173F">
        <w:tblPrEx>
          <w:tblCellMar>
            <w:top w:w="0" w:type="dxa"/>
            <w:left w:w="0" w:type="dxa"/>
            <w:bottom w:w="0" w:type="dxa"/>
            <w:right w:w="0" w:type="dxa"/>
          </w:tblCellMar>
        </w:tblPrEx>
        <w:trPr>
          <w:wBefore w:w="0" w:type="auto"/>
          <w:tblCellSpacing w:w="0" w:type="dxa"/>
        </w:trPr>
        <w:tc>
          <w:tcPr>
            <w:tcW w:w="0" w:type="auto"/>
            <w:noWrap w:val="0"/>
            <w:vAlign w:val="center"/>
          </w:tcPr>
          <w:p w14:paraId="42C562E8">
            <w:r>
              <w:rPr>
                <w:rStyle w:val="10"/>
                <w:rFonts w:hint="eastAsia"/>
              </w:rPr>
              <w:t>中毒急救措施：</w:t>
            </w:r>
            <w:r>
              <w:rPr>
                <w:rFonts w:hint="eastAsia"/>
              </w:rPr>
              <w:br w:type="textWrapping"/>
            </w:r>
            <w:r>
              <w:rPr>
                <w:rStyle w:val="11"/>
                <w:rFonts w:hint="eastAsia"/>
              </w:rPr>
              <w:t>/</w:t>
            </w:r>
          </w:p>
        </w:tc>
      </w:tr>
      <w:tr w14:paraId="0CC85CC9">
        <w:tblPrEx>
          <w:tblCellMar>
            <w:top w:w="0" w:type="dxa"/>
            <w:left w:w="0" w:type="dxa"/>
            <w:bottom w:w="0" w:type="dxa"/>
            <w:right w:w="0" w:type="dxa"/>
          </w:tblCellMar>
        </w:tblPrEx>
        <w:trPr>
          <w:wBefore w:w="0" w:type="auto"/>
          <w:tblCellSpacing w:w="0" w:type="dxa"/>
        </w:trPr>
        <w:tc>
          <w:tcPr>
            <w:tcW w:w="0" w:type="auto"/>
            <w:noWrap w:val="0"/>
            <w:vAlign w:val="center"/>
          </w:tcPr>
          <w:p w14:paraId="051A5F05">
            <w:r>
              <w:rPr>
                <w:rStyle w:val="10"/>
                <w:rFonts w:hint="eastAsia"/>
              </w:rPr>
              <w:t>储存和运输方法：</w:t>
            </w:r>
            <w:r>
              <w:rPr>
                <w:rFonts w:hint="eastAsia"/>
              </w:rPr>
              <w:br w:type="textWrapping"/>
            </w:r>
            <w:r>
              <w:rPr>
                <w:rStyle w:val="11"/>
                <w:rFonts w:hint="eastAsia"/>
              </w:rPr>
              <w:t>/</w:t>
            </w:r>
          </w:p>
        </w:tc>
      </w:tr>
      <w:tr w14:paraId="43CB9212">
        <w:tblPrEx>
          <w:tblCellMar>
            <w:top w:w="0" w:type="dxa"/>
            <w:left w:w="0" w:type="dxa"/>
            <w:bottom w:w="0" w:type="dxa"/>
            <w:right w:w="0" w:type="dxa"/>
          </w:tblCellMar>
        </w:tblPrEx>
        <w:trPr>
          <w:wBefore w:w="0" w:type="auto"/>
          <w:tblCellSpacing w:w="0" w:type="dxa"/>
        </w:trPr>
        <w:tc>
          <w:tcPr>
            <w:tcW w:w="0" w:type="auto"/>
            <w:noWrap w:val="0"/>
            <w:vAlign w:val="center"/>
          </w:tcPr>
          <w:p w14:paraId="6273FAAF">
            <w:r>
              <w:rPr>
                <w:rStyle w:val="10"/>
                <w:rFonts w:hint="eastAsia"/>
              </w:rPr>
              <w:t>质量保证期：</w:t>
            </w:r>
            <w:r>
              <w:rPr>
                <w:rStyle w:val="11"/>
                <w:rFonts w:hint="eastAsia"/>
              </w:rPr>
              <w:t>/</w:t>
            </w:r>
          </w:p>
        </w:tc>
      </w:tr>
      <w:tr w14:paraId="732B59BB">
        <w:tblPrEx>
          <w:tblCellMar>
            <w:top w:w="0" w:type="dxa"/>
            <w:left w:w="0" w:type="dxa"/>
            <w:bottom w:w="0" w:type="dxa"/>
            <w:right w:w="0" w:type="dxa"/>
          </w:tblCellMar>
        </w:tblPrEx>
        <w:trPr>
          <w:wBefore w:w="0" w:type="auto"/>
          <w:tblCellSpacing w:w="0" w:type="dxa"/>
        </w:trPr>
        <w:tc>
          <w:tcPr>
            <w:tcW w:w="0" w:type="auto"/>
            <w:noWrap w:val="0"/>
            <w:vAlign w:val="center"/>
          </w:tcPr>
          <w:p w14:paraId="4D404831">
            <w:r>
              <w:rPr>
                <w:rStyle w:val="10"/>
                <w:rFonts w:hint="eastAsia"/>
              </w:rPr>
              <w:t>备注：</w:t>
            </w:r>
          </w:p>
        </w:tc>
      </w:tr>
    </w:tbl>
    <w:p w14:paraId="295EC4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C3162B">
        <w:tblPrEx>
          <w:tblCellMar>
            <w:top w:w="0" w:type="dxa"/>
            <w:left w:w="0" w:type="dxa"/>
            <w:bottom w:w="0" w:type="dxa"/>
            <w:right w:w="0" w:type="dxa"/>
          </w:tblCellMar>
        </w:tblPrEx>
        <w:trPr>
          <w:wBefore w:w="0" w:type="auto"/>
          <w:tblCellSpacing w:w="0" w:type="dxa"/>
        </w:trPr>
        <w:tc>
          <w:tcPr>
            <w:tcW w:w="0" w:type="auto"/>
            <w:noWrap w:val="0"/>
            <w:vAlign w:val="center"/>
          </w:tcPr>
          <w:p w14:paraId="30ACF87B">
            <w:r>
              <w:rPr>
                <w:rStyle w:val="10"/>
                <w:rFonts w:hint="eastAsia"/>
              </w:rPr>
              <w:t>登记证号：</w:t>
            </w:r>
            <w:r>
              <w:rPr>
                <w:rFonts w:hint="eastAsia"/>
              </w:rPr>
              <w:t>PD20170474</w:t>
            </w:r>
          </w:p>
        </w:tc>
      </w:tr>
      <w:tr w14:paraId="79C18BAF">
        <w:tblPrEx>
          <w:tblCellMar>
            <w:top w:w="0" w:type="dxa"/>
            <w:left w:w="0" w:type="dxa"/>
            <w:bottom w:w="0" w:type="dxa"/>
            <w:right w:w="0" w:type="dxa"/>
          </w:tblCellMar>
        </w:tblPrEx>
        <w:trPr>
          <w:wBefore w:w="0" w:type="auto"/>
          <w:tblCellSpacing w:w="0" w:type="dxa"/>
        </w:trPr>
        <w:tc>
          <w:tcPr>
            <w:tcW w:w="0" w:type="auto"/>
            <w:noWrap w:val="0"/>
            <w:vAlign w:val="center"/>
          </w:tcPr>
          <w:p w14:paraId="6337D47C">
            <w:r>
              <w:rPr>
                <w:rStyle w:val="10"/>
                <w:rFonts w:hint="eastAsia"/>
              </w:rPr>
              <w:t>登记证持有人：</w:t>
            </w:r>
            <w:r>
              <w:rPr>
                <w:rFonts w:hint="eastAsia"/>
              </w:rPr>
              <w:t>江西新瑞丰生化股份有限公司</w:t>
            </w:r>
          </w:p>
        </w:tc>
      </w:tr>
      <w:tr w14:paraId="56FB0C23">
        <w:tblPrEx>
          <w:tblCellMar>
            <w:top w:w="0" w:type="dxa"/>
            <w:left w:w="0" w:type="dxa"/>
            <w:bottom w:w="0" w:type="dxa"/>
            <w:right w:w="0" w:type="dxa"/>
          </w:tblCellMar>
        </w:tblPrEx>
        <w:trPr>
          <w:wBefore w:w="0" w:type="auto"/>
          <w:tblCellSpacing w:w="0" w:type="dxa"/>
        </w:trPr>
        <w:tc>
          <w:tcPr>
            <w:tcW w:w="0" w:type="auto"/>
            <w:noWrap w:val="0"/>
            <w:vAlign w:val="center"/>
          </w:tcPr>
          <w:p w14:paraId="6B15B179">
            <w:r>
              <w:rPr>
                <w:rStyle w:val="10"/>
                <w:rFonts w:hint="eastAsia"/>
              </w:rPr>
              <w:t>农药名称：</w:t>
            </w:r>
            <w:r>
              <w:rPr>
                <w:rFonts w:hint="eastAsia"/>
              </w:rPr>
              <w:t>S-诱抗素</w:t>
            </w:r>
          </w:p>
        </w:tc>
      </w:tr>
      <w:tr w14:paraId="75A49025">
        <w:tblPrEx>
          <w:tblCellMar>
            <w:top w:w="0" w:type="dxa"/>
            <w:left w:w="0" w:type="dxa"/>
            <w:bottom w:w="0" w:type="dxa"/>
            <w:right w:w="0" w:type="dxa"/>
          </w:tblCellMar>
        </w:tblPrEx>
        <w:trPr>
          <w:wBefore w:w="0" w:type="auto"/>
          <w:tblCellSpacing w:w="0" w:type="dxa"/>
        </w:trPr>
        <w:tc>
          <w:tcPr>
            <w:tcW w:w="0" w:type="auto"/>
            <w:noWrap w:val="0"/>
            <w:vAlign w:val="center"/>
          </w:tcPr>
          <w:p w14:paraId="5289FFFD">
            <w:r>
              <w:rPr>
                <w:rStyle w:val="10"/>
                <w:rFonts w:hint="eastAsia"/>
              </w:rPr>
              <w:t>剂型：</w:t>
            </w:r>
            <w:r>
              <w:rPr>
                <w:rFonts w:hint="eastAsia"/>
              </w:rPr>
              <w:t>可溶粒剂</w:t>
            </w:r>
          </w:p>
        </w:tc>
      </w:tr>
      <w:tr w14:paraId="1388EBEE">
        <w:tblPrEx>
          <w:tblCellMar>
            <w:top w:w="0" w:type="dxa"/>
            <w:left w:w="0" w:type="dxa"/>
            <w:bottom w:w="0" w:type="dxa"/>
            <w:right w:w="0" w:type="dxa"/>
          </w:tblCellMar>
        </w:tblPrEx>
        <w:trPr>
          <w:wBefore w:w="0" w:type="auto"/>
          <w:tblCellSpacing w:w="0" w:type="dxa"/>
        </w:trPr>
        <w:tc>
          <w:tcPr>
            <w:tcW w:w="0" w:type="auto"/>
            <w:noWrap w:val="0"/>
            <w:vAlign w:val="center"/>
          </w:tcPr>
          <w:p w14:paraId="286CCB8D">
            <w:r>
              <w:rPr>
                <w:rStyle w:val="10"/>
                <w:rFonts w:hint="eastAsia"/>
              </w:rPr>
              <w:t>毒性及其标识：</w:t>
            </w:r>
            <w:r>
              <w:rPr>
                <w:rFonts w:hint="eastAsia"/>
              </w:rPr>
              <w:t xml:space="preserve"> 微毒 </w:t>
            </w:r>
          </w:p>
        </w:tc>
      </w:tr>
      <w:tr w14:paraId="6C51E509">
        <w:tblPrEx>
          <w:tblCellMar>
            <w:top w:w="0" w:type="dxa"/>
            <w:left w:w="0" w:type="dxa"/>
            <w:bottom w:w="0" w:type="dxa"/>
            <w:right w:w="0" w:type="dxa"/>
          </w:tblCellMar>
        </w:tblPrEx>
        <w:trPr>
          <w:wBefore w:w="0" w:type="auto"/>
          <w:tblCellSpacing w:w="0" w:type="dxa"/>
        </w:trPr>
        <w:tc>
          <w:tcPr>
            <w:tcW w:w="0" w:type="auto"/>
            <w:noWrap w:val="0"/>
            <w:vAlign w:val="center"/>
          </w:tcPr>
          <w:p w14:paraId="26922C36">
            <w:r>
              <w:rPr>
                <w:rStyle w:val="10"/>
                <w:rFonts w:hint="eastAsia"/>
              </w:rPr>
              <w:t>总有效成分含量：</w:t>
            </w:r>
            <w:r>
              <w:rPr>
                <w:rFonts w:hint="eastAsia"/>
              </w:rPr>
              <w:t>5%</w:t>
            </w:r>
          </w:p>
        </w:tc>
      </w:tr>
      <w:tr w14:paraId="7C67738B">
        <w:tblPrEx>
          <w:tblCellMar>
            <w:top w:w="0" w:type="dxa"/>
            <w:left w:w="0" w:type="dxa"/>
            <w:bottom w:w="0" w:type="dxa"/>
            <w:right w:w="0" w:type="dxa"/>
          </w:tblCellMar>
        </w:tblPrEx>
        <w:trPr>
          <w:wBefore w:w="0" w:type="auto"/>
          <w:tblCellSpacing w:w="0" w:type="dxa"/>
        </w:trPr>
        <w:tc>
          <w:tcPr>
            <w:tcW w:w="0" w:type="auto"/>
            <w:noWrap w:val="0"/>
            <w:vAlign w:val="center"/>
          </w:tcPr>
          <w:p w14:paraId="051DE54C">
            <w:r>
              <w:rPr>
                <w:rFonts w:hint="eastAsia"/>
              </w:rPr>
              <w:t xml:space="preserve">有效成分及其含量： </w:t>
            </w:r>
          </w:p>
          <w:p w14:paraId="7379A1EB">
            <w:r>
              <w:rPr>
                <w:rFonts w:hint="eastAsia"/>
              </w:rPr>
              <w:t xml:space="preserve">    S-诱抗素5%    </w:t>
            </w:r>
          </w:p>
        </w:tc>
      </w:tr>
      <w:tr w14:paraId="666B6CEA">
        <w:tblPrEx>
          <w:tblCellMar>
            <w:top w:w="0" w:type="dxa"/>
            <w:left w:w="0" w:type="dxa"/>
            <w:bottom w:w="0" w:type="dxa"/>
            <w:right w:w="0" w:type="dxa"/>
          </w:tblCellMar>
        </w:tblPrEx>
        <w:trPr>
          <w:wBefore w:w="0" w:type="auto"/>
          <w:tblCellSpacing w:w="0" w:type="dxa"/>
        </w:trPr>
        <w:tc>
          <w:tcPr>
            <w:tcW w:w="0" w:type="auto"/>
            <w:noWrap w:val="0"/>
            <w:vAlign w:val="center"/>
          </w:tcPr>
          <w:p w14:paraId="606052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0472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70896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03143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BD72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4FEB33">
                  <w:r>
                    <w:rPr>
                      <w:rStyle w:val="11"/>
                      <w:rFonts w:hint="eastAsia"/>
                    </w:rPr>
                    <w:t>施用方式</w:t>
                  </w:r>
                </w:p>
              </w:tc>
            </w:tr>
            <w:tr w14:paraId="059904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796CDC">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4B1A2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55E355">
                  <w:r>
                    <w:rPr>
                      <w:rStyle w:val="11"/>
                      <w:rFonts w:hint="eastAsia"/>
                    </w:rPr>
                    <w:t>15000-25000倍液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C20DCB">
                  <w:r>
                    <w:rPr>
                      <w:rStyle w:val="11"/>
                      <w:rFonts w:hint="eastAsia"/>
                    </w:rPr>
                    <w:t>喷雾</w:t>
                  </w:r>
                </w:p>
              </w:tc>
            </w:tr>
          </w:tbl>
          <w:p w14:paraId="45D6A37C">
            <w:pPr>
              <w:rPr>
                <w:rFonts w:ascii="Times New Roman" w:hAnsi="Times New Roman" w:cs="Times New Roman"/>
                <w:sz w:val="20"/>
                <w:szCs w:val="20"/>
              </w:rPr>
            </w:pPr>
          </w:p>
        </w:tc>
      </w:tr>
      <w:tr w14:paraId="0278856B">
        <w:tblPrEx>
          <w:tblCellMar>
            <w:top w:w="0" w:type="dxa"/>
            <w:left w:w="0" w:type="dxa"/>
            <w:bottom w:w="0" w:type="dxa"/>
            <w:right w:w="0" w:type="dxa"/>
          </w:tblCellMar>
        </w:tblPrEx>
        <w:trPr>
          <w:wBefore w:w="0" w:type="auto"/>
          <w:tblCellSpacing w:w="0" w:type="dxa"/>
        </w:trPr>
        <w:tc>
          <w:tcPr>
            <w:tcW w:w="0" w:type="auto"/>
            <w:noWrap w:val="0"/>
            <w:vAlign w:val="center"/>
          </w:tcPr>
          <w:p w14:paraId="2DD51C91">
            <w:r>
              <w:rPr>
                <w:rStyle w:val="10"/>
                <w:rFonts w:hint="eastAsia"/>
              </w:rPr>
              <w:t>使用技术要求:</w:t>
            </w:r>
            <w:r>
              <w:rPr>
                <w:rFonts w:hint="eastAsia"/>
              </w:rPr>
              <w:br w:type="textWrapping"/>
            </w:r>
            <w:r>
              <w:rPr>
                <w:rStyle w:val="11"/>
                <w:rFonts w:hint="eastAsia"/>
              </w:rPr>
              <w:t>1. 本品可直接溶于水，加水充分搅拌，在葡萄果实转色初期（转色前5天）喷果穗一次；应于柑橘树秋梢老熟后、果实采收后、次年春芽萌动期各施药1次；注意喷雾均匀周到，以确保药效。该药稀释倍数大，用药时应将药液充分混匀，以保证效果和安全性。2. 大风或预计1小时内有雨，请勿施药。</w:t>
            </w:r>
          </w:p>
        </w:tc>
      </w:tr>
      <w:tr w14:paraId="1C52F261">
        <w:tblPrEx>
          <w:tblCellMar>
            <w:top w:w="0" w:type="dxa"/>
            <w:left w:w="0" w:type="dxa"/>
            <w:bottom w:w="0" w:type="dxa"/>
            <w:right w:w="0" w:type="dxa"/>
          </w:tblCellMar>
        </w:tblPrEx>
        <w:trPr>
          <w:wBefore w:w="0" w:type="auto"/>
          <w:tblCellSpacing w:w="0" w:type="dxa"/>
        </w:trPr>
        <w:tc>
          <w:tcPr>
            <w:tcW w:w="0" w:type="auto"/>
            <w:noWrap w:val="0"/>
            <w:vAlign w:val="center"/>
          </w:tcPr>
          <w:p w14:paraId="2F2610B0">
            <w:r>
              <w:rPr>
                <w:rStyle w:val="10"/>
                <w:rFonts w:hint="eastAsia"/>
              </w:rPr>
              <w:t>产品性能:</w:t>
            </w:r>
            <w:r>
              <w:rPr>
                <w:rFonts w:hint="eastAsia"/>
              </w:rPr>
              <w:br w:type="textWrapping"/>
            </w:r>
            <w:r>
              <w:rPr>
                <w:rStyle w:val="11"/>
                <w:rFonts w:hint="eastAsia"/>
              </w:rPr>
              <w:t>S-诱抗素是一种植物生长调节剂，俗称“天然脱落酸”，能诱导并激活植物多种抗逆基因的表达，增强植物抵抗不良生长环境（逆境）的能力。本产品在葡萄转色初期使用，促进葡萄着色和成熟早收，促进柑橘花芽分化、花芽数、花朵数、坐果率、单果重，对改善品质，提高产量有一定效果。</w:t>
            </w:r>
          </w:p>
        </w:tc>
      </w:tr>
      <w:tr w14:paraId="1AE538C6">
        <w:tblPrEx>
          <w:tblCellMar>
            <w:top w:w="0" w:type="dxa"/>
            <w:left w:w="0" w:type="dxa"/>
            <w:bottom w:w="0" w:type="dxa"/>
            <w:right w:w="0" w:type="dxa"/>
          </w:tblCellMar>
        </w:tblPrEx>
        <w:trPr>
          <w:wBefore w:w="0" w:type="auto"/>
          <w:tblCellSpacing w:w="0" w:type="dxa"/>
        </w:trPr>
        <w:tc>
          <w:tcPr>
            <w:tcW w:w="0" w:type="auto"/>
            <w:noWrap w:val="0"/>
            <w:vAlign w:val="center"/>
          </w:tcPr>
          <w:p w14:paraId="7E58B274">
            <w:r>
              <w:rPr>
                <w:rStyle w:val="10"/>
                <w:rFonts w:hint="eastAsia"/>
              </w:rPr>
              <w:t>注意事项：</w:t>
            </w:r>
            <w:r>
              <w:rPr>
                <w:rFonts w:hint="eastAsia"/>
              </w:rPr>
              <w:br w:type="textWrapping"/>
            </w:r>
            <w:r>
              <w:rPr>
                <w:rStyle w:val="11"/>
                <w:rFonts w:hint="eastAsia"/>
              </w:rPr>
              <w:t>1. 本品不可与碱性物质混用。 2. 注意避光保存，开启包装后最好一次性用完，配制好的水溶液不易久存，现配现用，不可用热水，水温超过50℃会失 4. 禁止河塘等水域内清洗施药器具或将清洗施药器具的废水倒入河流、池塘等水源。 5. 孕妇及哺乳期女禁止接触本品。 6. 正确开启包装袋，用过的包装袋、容器应妥善处理，不可做他用，也不可随意丢弃。</w:t>
            </w:r>
          </w:p>
        </w:tc>
      </w:tr>
      <w:tr w14:paraId="366AE770">
        <w:tblPrEx>
          <w:tblCellMar>
            <w:top w:w="0" w:type="dxa"/>
            <w:left w:w="0" w:type="dxa"/>
            <w:bottom w:w="0" w:type="dxa"/>
            <w:right w:w="0" w:type="dxa"/>
          </w:tblCellMar>
        </w:tblPrEx>
        <w:trPr>
          <w:wBefore w:w="0" w:type="auto"/>
          <w:tblCellSpacing w:w="0" w:type="dxa"/>
        </w:trPr>
        <w:tc>
          <w:tcPr>
            <w:tcW w:w="0" w:type="auto"/>
            <w:noWrap w:val="0"/>
            <w:vAlign w:val="center"/>
          </w:tcPr>
          <w:p w14:paraId="3512CCC0">
            <w:r>
              <w:rPr>
                <w:rStyle w:val="10"/>
                <w:rFonts w:hint="eastAsia"/>
              </w:rPr>
              <w:t>中毒急救措施：</w:t>
            </w:r>
            <w:r>
              <w:rPr>
                <w:rFonts w:hint="eastAsia"/>
              </w:rPr>
              <w:br w:type="textWrapping"/>
            </w:r>
            <w:r>
              <w:rPr>
                <w:rStyle w:val="11"/>
                <w:rFonts w:hint="eastAsia"/>
              </w:rPr>
              <w:t>避免接触到眼睛或皮肤，不慎接触皮肤或溅入眼睛，应用大量清水冲洗至少15分钟。吸入或误食时，如有不适症状，立即携此标签送医院对症治疗。</w:t>
            </w:r>
          </w:p>
        </w:tc>
      </w:tr>
      <w:tr w14:paraId="0190344A">
        <w:tblPrEx>
          <w:tblCellMar>
            <w:top w:w="0" w:type="dxa"/>
            <w:left w:w="0" w:type="dxa"/>
            <w:bottom w:w="0" w:type="dxa"/>
            <w:right w:w="0" w:type="dxa"/>
          </w:tblCellMar>
        </w:tblPrEx>
        <w:trPr>
          <w:wBefore w:w="0" w:type="auto"/>
          <w:tblCellSpacing w:w="0" w:type="dxa"/>
        </w:trPr>
        <w:tc>
          <w:tcPr>
            <w:tcW w:w="0" w:type="auto"/>
            <w:noWrap w:val="0"/>
            <w:vAlign w:val="center"/>
          </w:tcPr>
          <w:p w14:paraId="7A75F44A">
            <w:r>
              <w:rPr>
                <w:rStyle w:val="10"/>
                <w:rFonts w:hint="eastAsia"/>
              </w:rPr>
              <w:t>储存和运输方法：</w:t>
            </w:r>
            <w:r>
              <w:rPr>
                <w:rFonts w:hint="eastAsia"/>
              </w:rPr>
              <w:br w:type="textWrapping"/>
            </w:r>
            <w:r>
              <w:rPr>
                <w:rStyle w:val="11"/>
                <w:rFonts w:hint="eastAsia"/>
              </w:rPr>
              <w:t>本品应贮存在干燥、阴凉、避光、通风、防雨处，远离火源和热源。置于儿童、无关人员触及不到之处，并加锁。勿与食物、饮料、种子、饲料同贮同运。用过的包装应妥善处理，不可做他用，也不可随意丢弃。</w:t>
            </w:r>
          </w:p>
        </w:tc>
      </w:tr>
      <w:tr w14:paraId="40DD2193">
        <w:tblPrEx>
          <w:tblCellMar>
            <w:top w:w="0" w:type="dxa"/>
            <w:left w:w="0" w:type="dxa"/>
            <w:bottom w:w="0" w:type="dxa"/>
            <w:right w:w="0" w:type="dxa"/>
          </w:tblCellMar>
        </w:tblPrEx>
        <w:trPr>
          <w:wBefore w:w="0" w:type="auto"/>
          <w:tblCellSpacing w:w="0" w:type="dxa"/>
        </w:trPr>
        <w:tc>
          <w:tcPr>
            <w:tcW w:w="0" w:type="auto"/>
            <w:noWrap w:val="0"/>
            <w:vAlign w:val="center"/>
          </w:tcPr>
          <w:p w14:paraId="30F932F2">
            <w:r>
              <w:rPr>
                <w:rStyle w:val="10"/>
                <w:rFonts w:hint="eastAsia"/>
              </w:rPr>
              <w:t>质量保证期：</w:t>
            </w:r>
            <w:r>
              <w:rPr>
                <w:rStyle w:val="11"/>
                <w:rFonts w:hint="eastAsia"/>
              </w:rPr>
              <w:t>2年</w:t>
            </w:r>
          </w:p>
        </w:tc>
      </w:tr>
      <w:tr w14:paraId="6B7EEE40">
        <w:tblPrEx>
          <w:tblCellMar>
            <w:top w:w="0" w:type="dxa"/>
            <w:left w:w="0" w:type="dxa"/>
            <w:bottom w:w="0" w:type="dxa"/>
            <w:right w:w="0" w:type="dxa"/>
          </w:tblCellMar>
        </w:tblPrEx>
        <w:trPr>
          <w:wBefore w:w="0" w:type="auto"/>
          <w:tblCellSpacing w:w="0" w:type="dxa"/>
        </w:trPr>
        <w:tc>
          <w:tcPr>
            <w:tcW w:w="0" w:type="auto"/>
            <w:noWrap w:val="0"/>
            <w:vAlign w:val="center"/>
          </w:tcPr>
          <w:p w14:paraId="724193C2">
            <w:r>
              <w:rPr>
                <w:rStyle w:val="10"/>
                <w:rFonts w:hint="eastAsia"/>
              </w:rPr>
              <w:t>备注：</w:t>
            </w:r>
          </w:p>
        </w:tc>
      </w:tr>
    </w:tbl>
    <w:p w14:paraId="192A1A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769F7B">
        <w:tblPrEx>
          <w:tblCellMar>
            <w:top w:w="0" w:type="dxa"/>
            <w:left w:w="0" w:type="dxa"/>
            <w:bottom w:w="0" w:type="dxa"/>
            <w:right w:w="0" w:type="dxa"/>
          </w:tblCellMar>
        </w:tblPrEx>
        <w:trPr>
          <w:wBefore w:w="0" w:type="auto"/>
          <w:tblCellSpacing w:w="0" w:type="dxa"/>
        </w:trPr>
        <w:tc>
          <w:tcPr>
            <w:tcW w:w="0" w:type="auto"/>
            <w:noWrap w:val="0"/>
            <w:vAlign w:val="center"/>
          </w:tcPr>
          <w:p w14:paraId="3059AD01">
            <w:r>
              <w:rPr>
                <w:rStyle w:val="10"/>
                <w:rFonts w:hint="eastAsia"/>
              </w:rPr>
              <w:t>登记证号：</w:t>
            </w:r>
            <w:r>
              <w:rPr>
                <w:rFonts w:hint="eastAsia"/>
              </w:rPr>
              <w:t>PD20212692</w:t>
            </w:r>
          </w:p>
        </w:tc>
      </w:tr>
      <w:tr w14:paraId="5C8DAC00">
        <w:tblPrEx>
          <w:tblCellMar>
            <w:top w:w="0" w:type="dxa"/>
            <w:left w:w="0" w:type="dxa"/>
            <w:bottom w:w="0" w:type="dxa"/>
            <w:right w:w="0" w:type="dxa"/>
          </w:tblCellMar>
        </w:tblPrEx>
        <w:trPr>
          <w:wBefore w:w="0" w:type="auto"/>
          <w:tblCellSpacing w:w="0" w:type="dxa"/>
        </w:trPr>
        <w:tc>
          <w:tcPr>
            <w:tcW w:w="0" w:type="auto"/>
            <w:noWrap w:val="0"/>
            <w:vAlign w:val="center"/>
          </w:tcPr>
          <w:p w14:paraId="201E4F8A">
            <w:r>
              <w:rPr>
                <w:rStyle w:val="10"/>
                <w:rFonts w:hint="eastAsia"/>
              </w:rPr>
              <w:t>登记证持有人：</w:t>
            </w:r>
            <w:r>
              <w:rPr>
                <w:rFonts w:hint="eastAsia"/>
              </w:rPr>
              <w:t>广东植物龙生物技术股份有限公司</w:t>
            </w:r>
          </w:p>
        </w:tc>
      </w:tr>
      <w:tr w14:paraId="45E666A7">
        <w:tblPrEx>
          <w:tblCellMar>
            <w:top w:w="0" w:type="dxa"/>
            <w:left w:w="0" w:type="dxa"/>
            <w:bottom w:w="0" w:type="dxa"/>
            <w:right w:w="0" w:type="dxa"/>
          </w:tblCellMar>
        </w:tblPrEx>
        <w:trPr>
          <w:wBefore w:w="0" w:type="auto"/>
          <w:tblCellSpacing w:w="0" w:type="dxa"/>
        </w:trPr>
        <w:tc>
          <w:tcPr>
            <w:tcW w:w="0" w:type="auto"/>
            <w:noWrap w:val="0"/>
            <w:vAlign w:val="center"/>
          </w:tcPr>
          <w:p w14:paraId="75DE1B8B">
            <w:r>
              <w:rPr>
                <w:rStyle w:val="10"/>
                <w:rFonts w:hint="eastAsia"/>
              </w:rPr>
              <w:t>农药名称：</w:t>
            </w:r>
            <w:r>
              <w:rPr>
                <w:rFonts w:hint="eastAsia"/>
              </w:rPr>
              <w:t>松脂酸铜</w:t>
            </w:r>
          </w:p>
        </w:tc>
      </w:tr>
      <w:tr w14:paraId="0AC5FE2C">
        <w:tblPrEx>
          <w:tblCellMar>
            <w:top w:w="0" w:type="dxa"/>
            <w:left w:w="0" w:type="dxa"/>
            <w:bottom w:w="0" w:type="dxa"/>
            <w:right w:w="0" w:type="dxa"/>
          </w:tblCellMar>
        </w:tblPrEx>
        <w:trPr>
          <w:wBefore w:w="0" w:type="auto"/>
          <w:tblCellSpacing w:w="0" w:type="dxa"/>
        </w:trPr>
        <w:tc>
          <w:tcPr>
            <w:tcW w:w="0" w:type="auto"/>
            <w:noWrap w:val="0"/>
            <w:vAlign w:val="center"/>
          </w:tcPr>
          <w:p w14:paraId="0B0BB0A5">
            <w:r>
              <w:rPr>
                <w:rStyle w:val="10"/>
                <w:rFonts w:hint="eastAsia"/>
              </w:rPr>
              <w:t>剂型：</w:t>
            </w:r>
            <w:r>
              <w:rPr>
                <w:rFonts w:hint="eastAsia"/>
              </w:rPr>
              <w:t>悬浮剂</w:t>
            </w:r>
          </w:p>
        </w:tc>
      </w:tr>
      <w:tr w14:paraId="6BA5FD36">
        <w:tblPrEx>
          <w:tblCellMar>
            <w:top w:w="0" w:type="dxa"/>
            <w:left w:w="0" w:type="dxa"/>
            <w:bottom w:w="0" w:type="dxa"/>
            <w:right w:w="0" w:type="dxa"/>
          </w:tblCellMar>
        </w:tblPrEx>
        <w:trPr>
          <w:wBefore w:w="0" w:type="auto"/>
          <w:tblCellSpacing w:w="0" w:type="dxa"/>
        </w:trPr>
        <w:tc>
          <w:tcPr>
            <w:tcW w:w="0" w:type="auto"/>
            <w:noWrap w:val="0"/>
            <w:vAlign w:val="center"/>
          </w:tcPr>
          <w:p w14:paraId="54C8F50B">
            <w:r>
              <w:rPr>
                <w:rStyle w:val="10"/>
                <w:rFonts w:hint="eastAsia"/>
              </w:rPr>
              <w:t>毒性及其标识：</w:t>
            </w:r>
            <w:r>
              <w:rPr>
                <w:rFonts w:hint="eastAsia"/>
              </w:rPr>
              <w:t xml:space="preserve"> 微毒 </w:t>
            </w:r>
          </w:p>
        </w:tc>
      </w:tr>
      <w:tr w14:paraId="708CEB77">
        <w:tblPrEx>
          <w:tblCellMar>
            <w:top w:w="0" w:type="dxa"/>
            <w:left w:w="0" w:type="dxa"/>
            <w:bottom w:w="0" w:type="dxa"/>
            <w:right w:w="0" w:type="dxa"/>
          </w:tblCellMar>
        </w:tblPrEx>
        <w:trPr>
          <w:wBefore w:w="0" w:type="auto"/>
          <w:tblCellSpacing w:w="0" w:type="dxa"/>
        </w:trPr>
        <w:tc>
          <w:tcPr>
            <w:tcW w:w="0" w:type="auto"/>
            <w:noWrap w:val="0"/>
            <w:vAlign w:val="center"/>
          </w:tcPr>
          <w:p w14:paraId="0637A411">
            <w:r>
              <w:rPr>
                <w:rStyle w:val="10"/>
                <w:rFonts w:hint="eastAsia"/>
              </w:rPr>
              <w:t>总有效成分含量：</w:t>
            </w:r>
            <w:r>
              <w:rPr>
                <w:rFonts w:hint="eastAsia"/>
              </w:rPr>
              <w:t>23%</w:t>
            </w:r>
          </w:p>
        </w:tc>
      </w:tr>
      <w:tr w14:paraId="674BA5CC">
        <w:tblPrEx>
          <w:tblCellMar>
            <w:top w:w="0" w:type="dxa"/>
            <w:left w:w="0" w:type="dxa"/>
            <w:bottom w:w="0" w:type="dxa"/>
            <w:right w:w="0" w:type="dxa"/>
          </w:tblCellMar>
        </w:tblPrEx>
        <w:trPr>
          <w:wBefore w:w="0" w:type="auto"/>
          <w:tblCellSpacing w:w="0" w:type="dxa"/>
        </w:trPr>
        <w:tc>
          <w:tcPr>
            <w:tcW w:w="0" w:type="auto"/>
            <w:noWrap w:val="0"/>
            <w:vAlign w:val="center"/>
          </w:tcPr>
          <w:p w14:paraId="3A509EE3">
            <w:r>
              <w:rPr>
                <w:rFonts w:hint="eastAsia"/>
              </w:rPr>
              <w:t xml:space="preserve">有效成分及其含量： </w:t>
            </w:r>
          </w:p>
          <w:p w14:paraId="037914C7">
            <w:r>
              <w:rPr>
                <w:rFonts w:hint="eastAsia"/>
              </w:rPr>
              <w:t xml:space="preserve">    松脂酸铜23%    </w:t>
            </w:r>
          </w:p>
        </w:tc>
      </w:tr>
      <w:tr w14:paraId="154672BF">
        <w:tblPrEx>
          <w:tblCellMar>
            <w:top w:w="0" w:type="dxa"/>
            <w:left w:w="0" w:type="dxa"/>
            <w:bottom w:w="0" w:type="dxa"/>
            <w:right w:w="0" w:type="dxa"/>
          </w:tblCellMar>
        </w:tblPrEx>
        <w:trPr>
          <w:wBefore w:w="0" w:type="auto"/>
          <w:tblCellSpacing w:w="0" w:type="dxa"/>
        </w:trPr>
        <w:tc>
          <w:tcPr>
            <w:tcW w:w="0" w:type="auto"/>
            <w:noWrap w:val="0"/>
            <w:vAlign w:val="center"/>
          </w:tcPr>
          <w:p w14:paraId="102F6C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BECB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90452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D256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A446C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DAD597">
                  <w:r>
                    <w:rPr>
                      <w:rStyle w:val="11"/>
                      <w:rFonts w:hint="eastAsia"/>
                    </w:rPr>
                    <w:t>施用方式</w:t>
                  </w:r>
                </w:p>
              </w:tc>
            </w:tr>
            <w:tr w14:paraId="208680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B41DE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C2E4F">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5D4AF">
                  <w:r>
                    <w:rPr>
                      <w:rStyle w:val="11"/>
                      <w:rFonts w:hint="eastAsia"/>
                    </w:rPr>
                    <w:t>500-900倍液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BA6271">
                  <w:r>
                    <w:rPr>
                      <w:rStyle w:val="11"/>
                      <w:rFonts w:hint="eastAsia"/>
                    </w:rPr>
                    <w:t>喷雾</w:t>
                  </w:r>
                </w:p>
              </w:tc>
            </w:tr>
          </w:tbl>
          <w:p w14:paraId="2272309E">
            <w:pPr>
              <w:rPr>
                <w:rFonts w:ascii="Times New Roman" w:hAnsi="Times New Roman" w:cs="Times New Roman"/>
                <w:sz w:val="20"/>
                <w:szCs w:val="20"/>
              </w:rPr>
            </w:pPr>
          </w:p>
        </w:tc>
      </w:tr>
      <w:tr w14:paraId="588B3ECB">
        <w:tblPrEx>
          <w:tblCellMar>
            <w:top w:w="0" w:type="dxa"/>
            <w:left w:w="0" w:type="dxa"/>
            <w:bottom w:w="0" w:type="dxa"/>
            <w:right w:w="0" w:type="dxa"/>
          </w:tblCellMar>
        </w:tblPrEx>
        <w:trPr>
          <w:wBefore w:w="0" w:type="auto"/>
          <w:tblCellSpacing w:w="0" w:type="dxa"/>
        </w:trPr>
        <w:tc>
          <w:tcPr>
            <w:tcW w:w="0" w:type="auto"/>
            <w:noWrap w:val="0"/>
            <w:vAlign w:val="center"/>
          </w:tcPr>
          <w:p w14:paraId="1918671F">
            <w:r>
              <w:rPr>
                <w:rStyle w:val="10"/>
                <w:rFonts w:hint="eastAsia"/>
              </w:rPr>
              <w:t>使用技术要求:</w:t>
            </w:r>
            <w:r>
              <w:rPr>
                <w:rFonts w:hint="eastAsia"/>
              </w:rPr>
              <w:br w:type="textWrapping"/>
            </w:r>
            <w:r>
              <w:rPr>
                <w:rStyle w:val="11"/>
                <w:rFonts w:hint="eastAsia"/>
              </w:rPr>
              <w:t>1. 于柑橘溃疡病发病前或发病初期施药，施药间隔10-20天，连续施药3次。 2. 喷药时注意叶片正、反面及果实喷洒均匀，避免漏喷。 3. 大风天或预计1小时内降雨，请勿施药。 4.本品的安全间隔期为14天，每季作物最多使用次数为3次。</w:t>
            </w:r>
          </w:p>
        </w:tc>
      </w:tr>
      <w:tr w14:paraId="1C2A6BB0">
        <w:tblPrEx>
          <w:tblCellMar>
            <w:top w:w="0" w:type="dxa"/>
            <w:left w:w="0" w:type="dxa"/>
            <w:bottom w:w="0" w:type="dxa"/>
            <w:right w:w="0" w:type="dxa"/>
          </w:tblCellMar>
        </w:tblPrEx>
        <w:trPr>
          <w:wBefore w:w="0" w:type="auto"/>
          <w:tblCellSpacing w:w="0" w:type="dxa"/>
        </w:trPr>
        <w:tc>
          <w:tcPr>
            <w:tcW w:w="0" w:type="auto"/>
            <w:noWrap w:val="0"/>
            <w:vAlign w:val="center"/>
          </w:tcPr>
          <w:p w14:paraId="2D34FD03">
            <w:r>
              <w:rPr>
                <w:rStyle w:val="10"/>
                <w:rFonts w:hint="eastAsia"/>
              </w:rPr>
              <w:t>产品性能:</w:t>
            </w:r>
            <w:r>
              <w:rPr>
                <w:rFonts w:hint="eastAsia"/>
              </w:rPr>
              <w:br w:type="textWrapping"/>
            </w:r>
            <w:r>
              <w:rPr>
                <w:rStyle w:val="11"/>
                <w:rFonts w:hint="eastAsia"/>
              </w:rPr>
              <w:t>本品为新型有机铜素杀菌剂，在作物表面缓慢释放铜离子而起到杀菌作用，对多种细菌和真菌引起的病害效果优良，具有持效期长、使用方便的特点，且长期使用不易产生抗药性。对柑橘溃疡病有较好的防治效果。</w:t>
            </w:r>
          </w:p>
        </w:tc>
      </w:tr>
      <w:tr w14:paraId="25F7EB6C">
        <w:tblPrEx>
          <w:tblCellMar>
            <w:top w:w="0" w:type="dxa"/>
            <w:left w:w="0" w:type="dxa"/>
            <w:bottom w:w="0" w:type="dxa"/>
            <w:right w:w="0" w:type="dxa"/>
          </w:tblCellMar>
        </w:tblPrEx>
        <w:trPr>
          <w:wBefore w:w="0" w:type="auto"/>
          <w:tblCellSpacing w:w="0" w:type="dxa"/>
        </w:trPr>
        <w:tc>
          <w:tcPr>
            <w:tcW w:w="0" w:type="auto"/>
            <w:noWrap w:val="0"/>
            <w:vAlign w:val="center"/>
          </w:tcPr>
          <w:p w14:paraId="600F45E6">
            <w:r>
              <w:rPr>
                <w:rStyle w:val="10"/>
                <w:rFonts w:hint="eastAsia"/>
              </w:rPr>
              <w:t>注意事项：</w:t>
            </w:r>
            <w:r>
              <w:rPr>
                <w:rFonts w:hint="eastAsia"/>
              </w:rPr>
              <w:br w:type="textWrapping"/>
            </w:r>
            <w:r>
              <w:rPr>
                <w:rStyle w:val="11"/>
                <w:rFonts w:hint="eastAsia"/>
              </w:rPr>
              <w:t>1. 使用时避免接触眼睛，穿戴长衣、长裤、帽子、口罩、手套等防护措施，避免吸入药液，施药期间不可吃东西和饮水，施药后应及时洗手和洗脸。 2. 本品对鱼类、大型溞、藻类毒性高，使用时应注意远离水产养殖区、河塘等水体附近施药，禁止在河塘等水体中清洗施药器具，药液及其废液不得污染河流和水源等各类水域。3. 蚕室及桑园附近禁用，最外围桑树应设为隔离带，不要在蜜源作物开花期施药。4. 用过的容器应妥善处理，不可作他用，也不可随意丢弃。5. 建议与其他作用机制不同的杀菌剂交替使用。6. 孕妇及哺乳期妇女不得接触本品。7. 避免与氧化剂接触。</w:t>
            </w:r>
          </w:p>
        </w:tc>
      </w:tr>
      <w:tr w14:paraId="1C4CA7B9">
        <w:tblPrEx>
          <w:tblCellMar>
            <w:top w:w="0" w:type="dxa"/>
            <w:left w:w="0" w:type="dxa"/>
            <w:bottom w:w="0" w:type="dxa"/>
            <w:right w:w="0" w:type="dxa"/>
          </w:tblCellMar>
        </w:tblPrEx>
        <w:trPr>
          <w:wBefore w:w="0" w:type="auto"/>
          <w:tblCellSpacing w:w="0" w:type="dxa"/>
        </w:trPr>
        <w:tc>
          <w:tcPr>
            <w:tcW w:w="0" w:type="auto"/>
            <w:noWrap w:val="0"/>
            <w:vAlign w:val="center"/>
          </w:tcPr>
          <w:p w14:paraId="0B8960B7">
            <w:r>
              <w:rPr>
                <w:rStyle w:val="10"/>
                <w:rFonts w:hint="eastAsia"/>
              </w:rPr>
              <w:t>中毒急救措施：</w:t>
            </w:r>
            <w:r>
              <w:rPr>
                <w:rFonts w:hint="eastAsia"/>
              </w:rPr>
              <w:br w:type="textWrapping"/>
            </w:r>
            <w:r>
              <w:rPr>
                <w:rStyle w:val="11"/>
                <w:rFonts w:hint="eastAsia"/>
              </w:rPr>
              <w:t>使用中或使用后若感觉不适，应立即停止工作，采取急救措施。对眼睛有刺激性，不慎接触皮肤或溅入眼睛，应用大量清水冲洗至少15分钟；不慎吸入，应将病人移至空气流通处；无特殊解毒剂，如误服则立即催吐、洗胃，携此标签将病人送医院对症治疗。</w:t>
            </w:r>
          </w:p>
        </w:tc>
      </w:tr>
      <w:tr w14:paraId="6C96F582">
        <w:tblPrEx>
          <w:tblCellMar>
            <w:top w:w="0" w:type="dxa"/>
            <w:left w:w="0" w:type="dxa"/>
            <w:bottom w:w="0" w:type="dxa"/>
            <w:right w:w="0" w:type="dxa"/>
          </w:tblCellMar>
        </w:tblPrEx>
        <w:trPr>
          <w:wBefore w:w="0" w:type="auto"/>
          <w:tblCellSpacing w:w="0" w:type="dxa"/>
        </w:trPr>
        <w:tc>
          <w:tcPr>
            <w:tcW w:w="0" w:type="auto"/>
            <w:noWrap w:val="0"/>
            <w:vAlign w:val="center"/>
          </w:tcPr>
          <w:p w14:paraId="135E3DF4">
            <w:r>
              <w:rPr>
                <w:rStyle w:val="10"/>
                <w:rFonts w:hint="eastAsia"/>
              </w:rPr>
              <w:t>储存和运输方法：</w:t>
            </w:r>
            <w:r>
              <w:rPr>
                <w:rFonts w:hint="eastAsia"/>
              </w:rPr>
              <w:br w:type="textWrapping"/>
            </w:r>
            <w:r>
              <w:rPr>
                <w:rStyle w:val="11"/>
                <w:rFonts w:hint="eastAsia"/>
              </w:rPr>
              <w:t>本品应贮存在通风、干燥、阴凉、防雨处，远离火源和热源。贮运时，严防潮湿、日晒和雨淋，不能与食物、粮食、饮料、种子、饲料等商品同贮同运，避免与皮肤、眼睛接触，防止由口鼻吸入。置于儿童触及不到之处，并加锁。</w:t>
            </w:r>
          </w:p>
        </w:tc>
      </w:tr>
      <w:tr w14:paraId="1A774BB9">
        <w:tblPrEx>
          <w:tblCellMar>
            <w:top w:w="0" w:type="dxa"/>
            <w:left w:w="0" w:type="dxa"/>
            <w:bottom w:w="0" w:type="dxa"/>
            <w:right w:w="0" w:type="dxa"/>
          </w:tblCellMar>
        </w:tblPrEx>
        <w:trPr>
          <w:wBefore w:w="0" w:type="auto"/>
          <w:tblCellSpacing w:w="0" w:type="dxa"/>
        </w:trPr>
        <w:tc>
          <w:tcPr>
            <w:tcW w:w="0" w:type="auto"/>
            <w:noWrap w:val="0"/>
            <w:vAlign w:val="center"/>
          </w:tcPr>
          <w:p w14:paraId="40EB7D5B">
            <w:r>
              <w:rPr>
                <w:rStyle w:val="10"/>
                <w:rFonts w:hint="eastAsia"/>
              </w:rPr>
              <w:t>质量保证期：</w:t>
            </w:r>
            <w:r>
              <w:rPr>
                <w:rStyle w:val="11"/>
                <w:rFonts w:hint="eastAsia"/>
              </w:rPr>
              <w:t>2年</w:t>
            </w:r>
          </w:p>
        </w:tc>
      </w:tr>
      <w:tr w14:paraId="5A67444F">
        <w:tblPrEx>
          <w:tblCellMar>
            <w:top w:w="0" w:type="dxa"/>
            <w:left w:w="0" w:type="dxa"/>
            <w:bottom w:w="0" w:type="dxa"/>
            <w:right w:w="0" w:type="dxa"/>
          </w:tblCellMar>
        </w:tblPrEx>
        <w:trPr>
          <w:wBefore w:w="0" w:type="auto"/>
          <w:tblCellSpacing w:w="0" w:type="dxa"/>
        </w:trPr>
        <w:tc>
          <w:tcPr>
            <w:tcW w:w="0" w:type="auto"/>
            <w:noWrap w:val="0"/>
            <w:vAlign w:val="center"/>
          </w:tcPr>
          <w:p w14:paraId="7F699A48">
            <w:r>
              <w:rPr>
                <w:rStyle w:val="10"/>
                <w:rFonts w:hint="eastAsia"/>
              </w:rPr>
              <w:t>备注：</w:t>
            </w:r>
          </w:p>
        </w:tc>
      </w:tr>
    </w:tbl>
    <w:p w14:paraId="33BBADB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6535FC">
        <w:tblPrEx>
          <w:tblCellMar>
            <w:top w:w="0" w:type="dxa"/>
            <w:left w:w="0" w:type="dxa"/>
            <w:bottom w:w="0" w:type="dxa"/>
            <w:right w:w="0" w:type="dxa"/>
          </w:tblCellMar>
        </w:tblPrEx>
        <w:trPr>
          <w:wBefore w:w="0" w:type="auto"/>
          <w:tblCellSpacing w:w="0" w:type="dxa"/>
        </w:trPr>
        <w:tc>
          <w:tcPr>
            <w:tcW w:w="0" w:type="auto"/>
            <w:noWrap w:val="0"/>
            <w:vAlign w:val="center"/>
          </w:tcPr>
          <w:p w14:paraId="19588E29">
            <w:r>
              <w:rPr>
                <w:rStyle w:val="10"/>
                <w:rFonts w:hint="eastAsia"/>
              </w:rPr>
              <w:t>登记证号：</w:t>
            </w:r>
            <w:r>
              <w:rPr>
                <w:rFonts w:hint="eastAsia"/>
              </w:rPr>
              <w:t>PD20212599</w:t>
            </w:r>
          </w:p>
        </w:tc>
      </w:tr>
      <w:tr w14:paraId="38A1A0FC">
        <w:tblPrEx>
          <w:tblCellMar>
            <w:top w:w="0" w:type="dxa"/>
            <w:left w:w="0" w:type="dxa"/>
            <w:bottom w:w="0" w:type="dxa"/>
            <w:right w:w="0" w:type="dxa"/>
          </w:tblCellMar>
        </w:tblPrEx>
        <w:trPr>
          <w:wBefore w:w="0" w:type="auto"/>
          <w:tblCellSpacing w:w="0" w:type="dxa"/>
        </w:trPr>
        <w:tc>
          <w:tcPr>
            <w:tcW w:w="0" w:type="auto"/>
            <w:noWrap w:val="0"/>
            <w:vAlign w:val="center"/>
          </w:tcPr>
          <w:p w14:paraId="6E45FA55">
            <w:r>
              <w:rPr>
                <w:rStyle w:val="10"/>
                <w:rFonts w:hint="eastAsia"/>
              </w:rPr>
              <w:t>登记证持有人：</w:t>
            </w:r>
            <w:r>
              <w:rPr>
                <w:rFonts w:hint="eastAsia"/>
              </w:rPr>
              <w:t>深圳诺普信农化股份有限公司</w:t>
            </w:r>
          </w:p>
        </w:tc>
      </w:tr>
      <w:tr w14:paraId="6CBF28D5">
        <w:tblPrEx>
          <w:tblCellMar>
            <w:top w:w="0" w:type="dxa"/>
            <w:left w:w="0" w:type="dxa"/>
            <w:bottom w:w="0" w:type="dxa"/>
            <w:right w:w="0" w:type="dxa"/>
          </w:tblCellMar>
        </w:tblPrEx>
        <w:trPr>
          <w:wBefore w:w="0" w:type="auto"/>
          <w:tblCellSpacing w:w="0" w:type="dxa"/>
        </w:trPr>
        <w:tc>
          <w:tcPr>
            <w:tcW w:w="0" w:type="auto"/>
            <w:noWrap w:val="0"/>
            <w:vAlign w:val="center"/>
          </w:tcPr>
          <w:p w14:paraId="7DD7D27E">
            <w:r>
              <w:rPr>
                <w:rStyle w:val="10"/>
                <w:rFonts w:hint="eastAsia"/>
              </w:rPr>
              <w:t>农药名称：</w:t>
            </w:r>
            <w:r>
              <w:rPr>
                <w:rFonts w:hint="eastAsia"/>
              </w:rPr>
              <w:t>唑啉草酯</w:t>
            </w:r>
          </w:p>
        </w:tc>
      </w:tr>
      <w:tr w14:paraId="06D82A35">
        <w:tblPrEx>
          <w:tblCellMar>
            <w:top w:w="0" w:type="dxa"/>
            <w:left w:w="0" w:type="dxa"/>
            <w:bottom w:w="0" w:type="dxa"/>
            <w:right w:w="0" w:type="dxa"/>
          </w:tblCellMar>
        </w:tblPrEx>
        <w:trPr>
          <w:wBefore w:w="0" w:type="auto"/>
          <w:tblCellSpacing w:w="0" w:type="dxa"/>
        </w:trPr>
        <w:tc>
          <w:tcPr>
            <w:tcW w:w="0" w:type="auto"/>
            <w:noWrap w:val="0"/>
            <w:vAlign w:val="center"/>
          </w:tcPr>
          <w:p w14:paraId="429E16EC">
            <w:r>
              <w:rPr>
                <w:rStyle w:val="10"/>
                <w:rFonts w:hint="eastAsia"/>
              </w:rPr>
              <w:t>剂型：</w:t>
            </w:r>
            <w:r>
              <w:rPr>
                <w:rFonts w:hint="eastAsia"/>
              </w:rPr>
              <w:t>乳油</w:t>
            </w:r>
          </w:p>
        </w:tc>
      </w:tr>
      <w:tr w14:paraId="33F2E42B">
        <w:tblPrEx>
          <w:tblCellMar>
            <w:top w:w="0" w:type="dxa"/>
            <w:left w:w="0" w:type="dxa"/>
            <w:bottom w:w="0" w:type="dxa"/>
            <w:right w:w="0" w:type="dxa"/>
          </w:tblCellMar>
        </w:tblPrEx>
        <w:trPr>
          <w:wBefore w:w="0" w:type="auto"/>
          <w:tblCellSpacing w:w="0" w:type="dxa"/>
        </w:trPr>
        <w:tc>
          <w:tcPr>
            <w:tcW w:w="0" w:type="auto"/>
            <w:noWrap w:val="0"/>
            <w:vAlign w:val="center"/>
          </w:tcPr>
          <w:p w14:paraId="5D861F8E">
            <w:r>
              <w:rPr>
                <w:rStyle w:val="10"/>
                <w:rFonts w:hint="eastAsia"/>
              </w:rPr>
              <w:t>毒性及其标识：</w:t>
            </w:r>
            <w:r>
              <w:rPr>
                <w:rFonts w:hint="eastAsia"/>
              </w:rPr>
              <w:t xml:space="preserve"> </w:t>
            </w:r>
            <w:r>
              <w:rPr>
                <w:lang/>
              </w:rPr>
              <w:drawing>
                <wp:inline distT="0" distB="0" distL="114300" distR="114300">
                  <wp:extent cx="476250" cy="323850"/>
                  <wp:effectExtent l="0" t="0" r="0" b="0"/>
                  <wp:docPr id="332" name="图片 3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155A26">
        <w:tblPrEx>
          <w:tblCellMar>
            <w:top w:w="0" w:type="dxa"/>
            <w:left w:w="0" w:type="dxa"/>
            <w:bottom w:w="0" w:type="dxa"/>
            <w:right w:w="0" w:type="dxa"/>
          </w:tblCellMar>
        </w:tblPrEx>
        <w:trPr>
          <w:wBefore w:w="0" w:type="auto"/>
          <w:tblCellSpacing w:w="0" w:type="dxa"/>
        </w:trPr>
        <w:tc>
          <w:tcPr>
            <w:tcW w:w="0" w:type="auto"/>
            <w:noWrap w:val="0"/>
            <w:vAlign w:val="center"/>
          </w:tcPr>
          <w:p w14:paraId="3CC550CF">
            <w:r>
              <w:rPr>
                <w:rStyle w:val="10"/>
                <w:rFonts w:hint="eastAsia"/>
              </w:rPr>
              <w:t>总有效成分含量：</w:t>
            </w:r>
            <w:r>
              <w:rPr>
                <w:rFonts w:hint="eastAsia"/>
              </w:rPr>
              <w:t>5%</w:t>
            </w:r>
          </w:p>
        </w:tc>
      </w:tr>
      <w:tr w14:paraId="72E4D16D">
        <w:tblPrEx>
          <w:tblCellMar>
            <w:top w:w="0" w:type="dxa"/>
            <w:left w:w="0" w:type="dxa"/>
            <w:bottom w:w="0" w:type="dxa"/>
            <w:right w:w="0" w:type="dxa"/>
          </w:tblCellMar>
        </w:tblPrEx>
        <w:trPr>
          <w:wBefore w:w="0" w:type="auto"/>
          <w:tblCellSpacing w:w="0" w:type="dxa"/>
        </w:trPr>
        <w:tc>
          <w:tcPr>
            <w:tcW w:w="0" w:type="auto"/>
            <w:noWrap w:val="0"/>
            <w:vAlign w:val="center"/>
          </w:tcPr>
          <w:p w14:paraId="69150EFF">
            <w:r>
              <w:rPr>
                <w:rFonts w:hint="eastAsia"/>
              </w:rPr>
              <w:t xml:space="preserve">有效成分及其含量： </w:t>
            </w:r>
          </w:p>
          <w:p w14:paraId="008702F0">
            <w:r>
              <w:rPr>
                <w:rFonts w:hint="eastAsia"/>
              </w:rPr>
              <w:t xml:space="preserve">    唑啉草酯5%    </w:t>
            </w:r>
          </w:p>
        </w:tc>
      </w:tr>
      <w:tr w14:paraId="1FB52758">
        <w:tblPrEx>
          <w:tblCellMar>
            <w:top w:w="0" w:type="dxa"/>
            <w:left w:w="0" w:type="dxa"/>
            <w:bottom w:w="0" w:type="dxa"/>
            <w:right w:w="0" w:type="dxa"/>
          </w:tblCellMar>
        </w:tblPrEx>
        <w:trPr>
          <w:wBefore w:w="0" w:type="auto"/>
          <w:tblCellSpacing w:w="0" w:type="dxa"/>
        </w:trPr>
        <w:tc>
          <w:tcPr>
            <w:tcW w:w="0" w:type="auto"/>
            <w:noWrap w:val="0"/>
            <w:vAlign w:val="center"/>
          </w:tcPr>
          <w:p w14:paraId="4925A9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0E6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FF678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3B33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F8374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DF94AD">
                  <w:r>
                    <w:rPr>
                      <w:rStyle w:val="11"/>
                      <w:rFonts w:hint="eastAsia"/>
                    </w:rPr>
                    <w:t>施用方式</w:t>
                  </w:r>
                </w:p>
              </w:tc>
            </w:tr>
            <w:tr w14:paraId="2BF997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99FAA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72FCED">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87CF1E">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079EA7">
                  <w:r>
                    <w:rPr>
                      <w:rStyle w:val="11"/>
                      <w:rFonts w:hint="eastAsia"/>
                    </w:rPr>
                    <w:t>茎叶喷雾</w:t>
                  </w:r>
                </w:p>
              </w:tc>
            </w:tr>
          </w:tbl>
          <w:p w14:paraId="74F251C1">
            <w:pPr>
              <w:rPr>
                <w:rFonts w:ascii="Times New Roman" w:hAnsi="Times New Roman" w:cs="Times New Roman"/>
                <w:sz w:val="20"/>
                <w:szCs w:val="20"/>
              </w:rPr>
            </w:pPr>
          </w:p>
        </w:tc>
      </w:tr>
      <w:tr w14:paraId="760AC4C5">
        <w:tblPrEx>
          <w:tblCellMar>
            <w:top w:w="0" w:type="dxa"/>
            <w:left w:w="0" w:type="dxa"/>
            <w:bottom w:w="0" w:type="dxa"/>
            <w:right w:w="0" w:type="dxa"/>
          </w:tblCellMar>
        </w:tblPrEx>
        <w:trPr>
          <w:wBefore w:w="0" w:type="auto"/>
          <w:tblCellSpacing w:w="0" w:type="dxa"/>
        </w:trPr>
        <w:tc>
          <w:tcPr>
            <w:tcW w:w="0" w:type="auto"/>
            <w:noWrap w:val="0"/>
            <w:vAlign w:val="center"/>
          </w:tcPr>
          <w:p w14:paraId="442C667C">
            <w:r>
              <w:rPr>
                <w:rStyle w:val="10"/>
                <w:rFonts w:hint="eastAsia"/>
              </w:rPr>
              <w:t>使用技术要求:</w:t>
            </w:r>
            <w:r>
              <w:rPr>
                <w:rFonts w:hint="eastAsia"/>
              </w:rPr>
              <w:br w:type="textWrapping"/>
            </w:r>
            <w:r>
              <w:rPr>
                <w:rStyle w:val="11"/>
                <w:rFonts w:hint="eastAsia"/>
              </w:rPr>
              <w:t>1. 在小麦田一年生禾本科杂草3-5叶期施药，茎叶喷雾处理，注意喷雾均匀。2．严格按推荐剂量，田间喷液量要均匀一致，严禁重喷、多喷和漏喷。杂草草龄较大或/和发生密度较大时，采用批准登记高剂量。3.避免在极端气候，如气温大幅波动前/后3天内，干旱，低温（霜冻期）高温，日最高温度低于10℃，田间积水，小麦生长不良或遭受涝害、冻害、旱害、盐碱害、病害等胁迫条件下使用，否则可能影响药效或导致作物药害。4.不推荐与激素类除草剂混用，如2,4-D、2甲4氯、麦草畏等；与其他除草剂、农药、肥料混用前建议先进行小面积测试。5.避免药液漂移到邻近作物田；施药后仔细清洗喷雾器，避免药物残留造成玉米、高粱及其他敏感作物药害。6.勿在冬前使用，避免因特殊气候的影响下，在农业生产中造成大面积药害。7.在小麦上每季最多使用1次，安全间隔期为收获期。</w:t>
            </w:r>
          </w:p>
        </w:tc>
      </w:tr>
      <w:tr w14:paraId="7F39A623">
        <w:tblPrEx>
          <w:tblCellMar>
            <w:top w:w="0" w:type="dxa"/>
            <w:left w:w="0" w:type="dxa"/>
            <w:bottom w:w="0" w:type="dxa"/>
            <w:right w:w="0" w:type="dxa"/>
          </w:tblCellMar>
        </w:tblPrEx>
        <w:trPr>
          <w:wBefore w:w="0" w:type="auto"/>
          <w:tblCellSpacing w:w="0" w:type="dxa"/>
        </w:trPr>
        <w:tc>
          <w:tcPr>
            <w:tcW w:w="0" w:type="auto"/>
            <w:noWrap w:val="0"/>
            <w:vAlign w:val="center"/>
          </w:tcPr>
          <w:p w14:paraId="35EB17DA">
            <w:r>
              <w:rPr>
                <w:rStyle w:val="10"/>
                <w:rFonts w:hint="eastAsia"/>
              </w:rPr>
              <w:t>产品性能:</w:t>
            </w:r>
            <w:r>
              <w:rPr>
                <w:rFonts w:hint="eastAsia"/>
              </w:rPr>
              <w:br w:type="textWrapping"/>
            </w:r>
            <w:r>
              <w:rPr>
                <w:rStyle w:val="11"/>
                <w:rFonts w:hint="eastAsia"/>
              </w:rPr>
              <w:t>唑啉草酯为内吸传导型，用于小麦田苗后茎叶处理的新一代除草剂，可防除野燕麦、（多花）黑麦草、狗尾草、看麦娘、硬草、菵草和棒头草等大多数一年生禾本科杂草。</w:t>
            </w:r>
          </w:p>
        </w:tc>
      </w:tr>
      <w:tr w14:paraId="1CC83CBF">
        <w:tblPrEx>
          <w:tblCellMar>
            <w:top w:w="0" w:type="dxa"/>
            <w:left w:w="0" w:type="dxa"/>
            <w:bottom w:w="0" w:type="dxa"/>
            <w:right w:w="0" w:type="dxa"/>
          </w:tblCellMar>
        </w:tblPrEx>
        <w:trPr>
          <w:wBefore w:w="0" w:type="auto"/>
          <w:tblCellSpacing w:w="0" w:type="dxa"/>
        </w:trPr>
        <w:tc>
          <w:tcPr>
            <w:tcW w:w="0" w:type="auto"/>
            <w:noWrap w:val="0"/>
            <w:vAlign w:val="center"/>
          </w:tcPr>
          <w:p w14:paraId="02D55A51">
            <w:r>
              <w:rPr>
                <w:rStyle w:val="10"/>
                <w:rFonts w:hint="eastAsia"/>
              </w:rPr>
              <w:t>注意事项：</w:t>
            </w:r>
            <w:r>
              <w:rPr>
                <w:rFonts w:hint="eastAsia"/>
              </w:rPr>
              <w:br w:type="textWrapping"/>
            </w:r>
            <w:r>
              <w:rPr>
                <w:rStyle w:val="11"/>
                <w:rFonts w:hint="eastAsia"/>
              </w:rPr>
              <w:t>1.该产品对皮肤和眼睛有刺激性作用，对皮肤致敏，配药和施药过程中操作人员应穿戴长衣、长裤、鞋，以避免污染皮肤和眼睛，施药完毕后应及时换洗衣物，洗净手、脸和被污染的皮肤。2.水产养殖区、河塘等水体附近禁用。3.施药前、后要彻底清洗喷药器械，禁止在河塘等水域中清洗施药器具，洗涤后的废水不应污染河流等水源，未用完的药液应密封后妥善放置。4.开启封口应小心药液溅出，废弃包装物应由生产企业或其他单位回收处理，不可随意丢弃或作他用。5.用过的容器应妥善处理，不可做他用，也不可随意丢弃。6. 天敌赤眼蜂放飞区禁用。7.孕妇及哺乳期妇女禁止接触本品。</w:t>
            </w:r>
          </w:p>
        </w:tc>
      </w:tr>
      <w:tr w14:paraId="5E252DBC">
        <w:tblPrEx>
          <w:tblCellMar>
            <w:top w:w="0" w:type="dxa"/>
            <w:left w:w="0" w:type="dxa"/>
            <w:bottom w:w="0" w:type="dxa"/>
            <w:right w:w="0" w:type="dxa"/>
          </w:tblCellMar>
        </w:tblPrEx>
        <w:trPr>
          <w:wBefore w:w="0" w:type="auto"/>
          <w:tblCellSpacing w:w="0" w:type="dxa"/>
        </w:trPr>
        <w:tc>
          <w:tcPr>
            <w:tcW w:w="0" w:type="auto"/>
            <w:noWrap w:val="0"/>
            <w:vAlign w:val="center"/>
          </w:tcPr>
          <w:p w14:paraId="2B9AFB01">
            <w:r>
              <w:rPr>
                <w:rStyle w:val="10"/>
                <w:rFonts w:hint="eastAsia"/>
              </w:rPr>
              <w:t>中毒急救措施：</w:t>
            </w:r>
            <w:r>
              <w:rPr>
                <w:rFonts w:hint="eastAsia"/>
              </w:rPr>
              <w:br w:type="textWrapping"/>
            </w:r>
            <w:r>
              <w:rPr>
                <w:rStyle w:val="11"/>
                <w:rFonts w:hint="eastAsia"/>
              </w:rPr>
              <w:t>使用中或使用后如感觉不适，应立即采取急救措施。本品如误入眼睛，立即用清水至少冲洗15分钟，仍有不适立即就医；如接触皮肤，立即用清水冲洗并换洗衣物；如误服立即送医院对症治疗，无特殊解毒剂。</w:t>
            </w:r>
          </w:p>
        </w:tc>
      </w:tr>
      <w:tr w14:paraId="6552D3E8">
        <w:tblPrEx>
          <w:tblCellMar>
            <w:top w:w="0" w:type="dxa"/>
            <w:left w:w="0" w:type="dxa"/>
            <w:bottom w:w="0" w:type="dxa"/>
            <w:right w:w="0" w:type="dxa"/>
          </w:tblCellMar>
        </w:tblPrEx>
        <w:trPr>
          <w:wBefore w:w="0" w:type="auto"/>
          <w:tblCellSpacing w:w="0" w:type="dxa"/>
        </w:trPr>
        <w:tc>
          <w:tcPr>
            <w:tcW w:w="0" w:type="auto"/>
            <w:noWrap w:val="0"/>
            <w:vAlign w:val="center"/>
          </w:tcPr>
          <w:p w14:paraId="48006E28">
            <w:r>
              <w:rPr>
                <w:rStyle w:val="10"/>
                <w:rFonts w:hint="eastAsia"/>
              </w:rPr>
              <w:t>储存和运输方法：</w:t>
            </w:r>
            <w:r>
              <w:rPr>
                <w:rFonts w:hint="eastAsia"/>
              </w:rPr>
              <w:br w:type="textWrapping"/>
            </w:r>
            <w:r>
              <w:rPr>
                <w:rStyle w:val="11"/>
                <w:rFonts w:hint="eastAsia"/>
              </w:rPr>
              <w:t>本品储存应注意阴凉、干燥、通风，远离热源火源，不能与食品、饮料、粮食、饲料等物品同储同运。远离儿童无关人员及家畜，并加锁保存，以免误服。避免与皮肤、眼睛接触。装卸运输时注意检查包装是否密封完整，轻拿轻放，不可倒置。</w:t>
            </w:r>
          </w:p>
        </w:tc>
      </w:tr>
      <w:tr w14:paraId="20E110A5">
        <w:tblPrEx>
          <w:tblCellMar>
            <w:top w:w="0" w:type="dxa"/>
            <w:left w:w="0" w:type="dxa"/>
            <w:bottom w:w="0" w:type="dxa"/>
            <w:right w:w="0" w:type="dxa"/>
          </w:tblCellMar>
        </w:tblPrEx>
        <w:trPr>
          <w:wBefore w:w="0" w:type="auto"/>
          <w:tblCellSpacing w:w="0" w:type="dxa"/>
        </w:trPr>
        <w:tc>
          <w:tcPr>
            <w:tcW w:w="0" w:type="auto"/>
            <w:noWrap w:val="0"/>
            <w:vAlign w:val="center"/>
          </w:tcPr>
          <w:p w14:paraId="4F04EADD">
            <w:r>
              <w:rPr>
                <w:rStyle w:val="10"/>
                <w:rFonts w:hint="eastAsia"/>
              </w:rPr>
              <w:t>质量保证期：</w:t>
            </w:r>
            <w:r>
              <w:rPr>
                <w:rStyle w:val="11"/>
                <w:rFonts w:hint="eastAsia"/>
              </w:rPr>
              <w:t>2年</w:t>
            </w:r>
          </w:p>
        </w:tc>
      </w:tr>
      <w:tr w14:paraId="72150015">
        <w:tblPrEx>
          <w:tblCellMar>
            <w:top w:w="0" w:type="dxa"/>
            <w:left w:w="0" w:type="dxa"/>
            <w:bottom w:w="0" w:type="dxa"/>
            <w:right w:w="0" w:type="dxa"/>
          </w:tblCellMar>
        </w:tblPrEx>
        <w:trPr>
          <w:wBefore w:w="0" w:type="auto"/>
          <w:tblCellSpacing w:w="0" w:type="dxa"/>
        </w:trPr>
        <w:tc>
          <w:tcPr>
            <w:tcW w:w="0" w:type="auto"/>
            <w:noWrap w:val="0"/>
            <w:vAlign w:val="center"/>
          </w:tcPr>
          <w:p w14:paraId="70098BFF">
            <w:r>
              <w:rPr>
                <w:rStyle w:val="10"/>
                <w:rFonts w:hint="eastAsia"/>
              </w:rPr>
              <w:t>备注：</w:t>
            </w:r>
          </w:p>
        </w:tc>
      </w:tr>
    </w:tbl>
    <w:p w14:paraId="5CB0C9F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3192D4">
        <w:tblPrEx>
          <w:tblCellMar>
            <w:top w:w="0" w:type="dxa"/>
            <w:left w:w="0" w:type="dxa"/>
            <w:bottom w:w="0" w:type="dxa"/>
            <w:right w:w="0" w:type="dxa"/>
          </w:tblCellMar>
        </w:tblPrEx>
        <w:trPr>
          <w:wBefore w:w="0" w:type="auto"/>
          <w:tblCellSpacing w:w="0" w:type="dxa"/>
        </w:trPr>
        <w:tc>
          <w:tcPr>
            <w:tcW w:w="0" w:type="auto"/>
            <w:noWrap w:val="0"/>
            <w:vAlign w:val="center"/>
          </w:tcPr>
          <w:p w14:paraId="2DF9EFA0">
            <w:r>
              <w:rPr>
                <w:rStyle w:val="10"/>
                <w:rFonts w:hint="eastAsia"/>
              </w:rPr>
              <w:t>登记证号：</w:t>
            </w:r>
            <w:r>
              <w:rPr>
                <w:rFonts w:hint="eastAsia"/>
              </w:rPr>
              <w:t>PD20212417</w:t>
            </w:r>
          </w:p>
        </w:tc>
      </w:tr>
      <w:tr w14:paraId="0D7DE1CF">
        <w:tblPrEx>
          <w:tblCellMar>
            <w:top w:w="0" w:type="dxa"/>
            <w:left w:w="0" w:type="dxa"/>
            <w:bottom w:w="0" w:type="dxa"/>
            <w:right w:w="0" w:type="dxa"/>
          </w:tblCellMar>
        </w:tblPrEx>
        <w:trPr>
          <w:wBefore w:w="0" w:type="auto"/>
          <w:tblCellSpacing w:w="0" w:type="dxa"/>
        </w:trPr>
        <w:tc>
          <w:tcPr>
            <w:tcW w:w="0" w:type="auto"/>
            <w:noWrap w:val="0"/>
            <w:vAlign w:val="center"/>
          </w:tcPr>
          <w:p w14:paraId="2BC15D9B">
            <w:r>
              <w:rPr>
                <w:rStyle w:val="10"/>
                <w:rFonts w:hint="eastAsia"/>
              </w:rPr>
              <w:t>登记证持有人：</w:t>
            </w:r>
            <w:r>
              <w:rPr>
                <w:rFonts w:hint="eastAsia"/>
              </w:rPr>
              <w:t>顶秀作物科技有限公司</w:t>
            </w:r>
          </w:p>
        </w:tc>
      </w:tr>
      <w:tr w14:paraId="300ADFEA">
        <w:tblPrEx>
          <w:tblCellMar>
            <w:top w:w="0" w:type="dxa"/>
            <w:left w:w="0" w:type="dxa"/>
            <w:bottom w:w="0" w:type="dxa"/>
            <w:right w:w="0" w:type="dxa"/>
          </w:tblCellMar>
        </w:tblPrEx>
        <w:trPr>
          <w:wBefore w:w="0" w:type="auto"/>
          <w:tblCellSpacing w:w="0" w:type="dxa"/>
        </w:trPr>
        <w:tc>
          <w:tcPr>
            <w:tcW w:w="0" w:type="auto"/>
            <w:noWrap w:val="0"/>
            <w:vAlign w:val="center"/>
          </w:tcPr>
          <w:p w14:paraId="08C14D2C">
            <w:r>
              <w:rPr>
                <w:rStyle w:val="10"/>
                <w:rFonts w:hint="eastAsia"/>
              </w:rPr>
              <w:t>农药名称：</w:t>
            </w:r>
            <w:r>
              <w:rPr>
                <w:rFonts w:hint="eastAsia"/>
              </w:rPr>
              <w:t>氟啶虫酰胺</w:t>
            </w:r>
          </w:p>
        </w:tc>
      </w:tr>
      <w:tr w14:paraId="21C32C4A">
        <w:tblPrEx>
          <w:tblCellMar>
            <w:top w:w="0" w:type="dxa"/>
            <w:left w:w="0" w:type="dxa"/>
            <w:bottom w:w="0" w:type="dxa"/>
            <w:right w:w="0" w:type="dxa"/>
          </w:tblCellMar>
        </w:tblPrEx>
        <w:trPr>
          <w:wBefore w:w="0" w:type="auto"/>
          <w:tblCellSpacing w:w="0" w:type="dxa"/>
        </w:trPr>
        <w:tc>
          <w:tcPr>
            <w:tcW w:w="0" w:type="auto"/>
            <w:noWrap w:val="0"/>
            <w:vAlign w:val="center"/>
          </w:tcPr>
          <w:p w14:paraId="0B11A69A">
            <w:r>
              <w:rPr>
                <w:rStyle w:val="10"/>
                <w:rFonts w:hint="eastAsia"/>
              </w:rPr>
              <w:t>剂型：</w:t>
            </w:r>
            <w:r>
              <w:rPr>
                <w:rFonts w:hint="eastAsia"/>
              </w:rPr>
              <w:t>悬浮剂</w:t>
            </w:r>
          </w:p>
        </w:tc>
      </w:tr>
      <w:tr w14:paraId="197832B5">
        <w:tblPrEx>
          <w:tblCellMar>
            <w:top w:w="0" w:type="dxa"/>
            <w:left w:w="0" w:type="dxa"/>
            <w:bottom w:w="0" w:type="dxa"/>
            <w:right w:w="0" w:type="dxa"/>
          </w:tblCellMar>
        </w:tblPrEx>
        <w:trPr>
          <w:wBefore w:w="0" w:type="auto"/>
          <w:tblCellSpacing w:w="0" w:type="dxa"/>
        </w:trPr>
        <w:tc>
          <w:tcPr>
            <w:tcW w:w="0" w:type="auto"/>
            <w:noWrap w:val="0"/>
            <w:vAlign w:val="center"/>
          </w:tcPr>
          <w:p w14:paraId="2C9E9E1E">
            <w:r>
              <w:rPr>
                <w:rStyle w:val="10"/>
                <w:rFonts w:hint="eastAsia"/>
              </w:rPr>
              <w:t>毒性及其标识：</w:t>
            </w:r>
            <w:r>
              <w:rPr>
                <w:rFonts w:hint="eastAsia"/>
              </w:rPr>
              <w:t xml:space="preserve"> 微毒 </w:t>
            </w:r>
          </w:p>
        </w:tc>
      </w:tr>
      <w:tr w14:paraId="08369FA8">
        <w:tblPrEx>
          <w:tblCellMar>
            <w:top w:w="0" w:type="dxa"/>
            <w:left w:w="0" w:type="dxa"/>
            <w:bottom w:w="0" w:type="dxa"/>
            <w:right w:w="0" w:type="dxa"/>
          </w:tblCellMar>
        </w:tblPrEx>
        <w:trPr>
          <w:wBefore w:w="0" w:type="auto"/>
          <w:tblCellSpacing w:w="0" w:type="dxa"/>
        </w:trPr>
        <w:tc>
          <w:tcPr>
            <w:tcW w:w="0" w:type="auto"/>
            <w:noWrap w:val="0"/>
            <w:vAlign w:val="center"/>
          </w:tcPr>
          <w:p w14:paraId="3F6F4BD5">
            <w:r>
              <w:rPr>
                <w:rStyle w:val="10"/>
                <w:rFonts w:hint="eastAsia"/>
              </w:rPr>
              <w:t>总有效成分含量：</w:t>
            </w:r>
            <w:r>
              <w:rPr>
                <w:rFonts w:hint="eastAsia"/>
              </w:rPr>
              <w:t>20%</w:t>
            </w:r>
          </w:p>
        </w:tc>
      </w:tr>
      <w:tr w14:paraId="1DC0445C">
        <w:tblPrEx>
          <w:tblCellMar>
            <w:top w:w="0" w:type="dxa"/>
            <w:left w:w="0" w:type="dxa"/>
            <w:bottom w:w="0" w:type="dxa"/>
            <w:right w:w="0" w:type="dxa"/>
          </w:tblCellMar>
        </w:tblPrEx>
        <w:trPr>
          <w:wBefore w:w="0" w:type="auto"/>
          <w:tblCellSpacing w:w="0" w:type="dxa"/>
        </w:trPr>
        <w:tc>
          <w:tcPr>
            <w:tcW w:w="0" w:type="auto"/>
            <w:noWrap w:val="0"/>
            <w:vAlign w:val="center"/>
          </w:tcPr>
          <w:p w14:paraId="7B6C5354">
            <w:r>
              <w:rPr>
                <w:rFonts w:hint="eastAsia"/>
              </w:rPr>
              <w:t xml:space="preserve">有效成分及其含量： </w:t>
            </w:r>
          </w:p>
          <w:p w14:paraId="5F33606C">
            <w:r>
              <w:rPr>
                <w:rFonts w:hint="eastAsia"/>
              </w:rPr>
              <w:t xml:space="preserve">    氟啶虫酰胺20%    </w:t>
            </w:r>
          </w:p>
        </w:tc>
      </w:tr>
      <w:tr w14:paraId="7982018C">
        <w:tblPrEx>
          <w:tblCellMar>
            <w:top w:w="0" w:type="dxa"/>
            <w:left w:w="0" w:type="dxa"/>
            <w:bottom w:w="0" w:type="dxa"/>
            <w:right w:w="0" w:type="dxa"/>
          </w:tblCellMar>
        </w:tblPrEx>
        <w:trPr>
          <w:wBefore w:w="0" w:type="auto"/>
          <w:tblCellSpacing w:w="0" w:type="dxa"/>
        </w:trPr>
        <w:tc>
          <w:tcPr>
            <w:tcW w:w="0" w:type="auto"/>
            <w:noWrap w:val="0"/>
            <w:vAlign w:val="center"/>
          </w:tcPr>
          <w:p w14:paraId="02EAAA9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752E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234B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4262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B251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701688">
                  <w:r>
                    <w:rPr>
                      <w:rStyle w:val="11"/>
                      <w:rFonts w:hint="eastAsia"/>
                    </w:rPr>
                    <w:t>施用方式</w:t>
                  </w:r>
                </w:p>
              </w:tc>
            </w:tr>
            <w:tr w14:paraId="2B2A5A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E9C3B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DC887A">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7740EB">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98D4C0">
                  <w:r>
                    <w:rPr>
                      <w:rStyle w:val="11"/>
                      <w:rFonts w:hint="eastAsia"/>
                    </w:rPr>
                    <w:t>喷雾</w:t>
                  </w:r>
                </w:p>
              </w:tc>
            </w:tr>
          </w:tbl>
          <w:p w14:paraId="1BED76E2">
            <w:pPr>
              <w:rPr>
                <w:rFonts w:ascii="Times New Roman" w:hAnsi="Times New Roman" w:cs="Times New Roman"/>
                <w:sz w:val="20"/>
                <w:szCs w:val="20"/>
              </w:rPr>
            </w:pPr>
          </w:p>
        </w:tc>
      </w:tr>
      <w:tr w14:paraId="5ED7FC85">
        <w:tblPrEx>
          <w:tblCellMar>
            <w:top w:w="0" w:type="dxa"/>
            <w:left w:w="0" w:type="dxa"/>
            <w:bottom w:w="0" w:type="dxa"/>
            <w:right w:w="0" w:type="dxa"/>
          </w:tblCellMar>
        </w:tblPrEx>
        <w:trPr>
          <w:wBefore w:w="0" w:type="auto"/>
          <w:tblCellSpacing w:w="0" w:type="dxa"/>
        </w:trPr>
        <w:tc>
          <w:tcPr>
            <w:tcW w:w="0" w:type="auto"/>
            <w:noWrap w:val="0"/>
            <w:vAlign w:val="center"/>
          </w:tcPr>
          <w:p w14:paraId="59ADA675">
            <w:r>
              <w:rPr>
                <w:rStyle w:val="10"/>
                <w:rFonts w:hint="eastAsia"/>
              </w:rPr>
              <w:t>使用技术要求:</w:t>
            </w:r>
            <w:r>
              <w:rPr>
                <w:rFonts w:hint="eastAsia"/>
              </w:rPr>
              <w:br w:type="textWrapping"/>
            </w:r>
            <w:r>
              <w:rPr>
                <w:rStyle w:val="11"/>
                <w:rFonts w:hint="eastAsia"/>
              </w:rPr>
              <w:t>1. 本品应于稻飞虱低龄若虫盛发期施药1次，兑水均匀喷雾。 2. 视虫害发生情况，根据推荐剂量用药，重复用药间隔期不得低于7天。 3. 大风天或预计1小时内降雨，请勿施药。 4. 在水稻上使用的安全间隔期为21天，每季作物最多使用1次。</w:t>
            </w:r>
          </w:p>
        </w:tc>
      </w:tr>
      <w:tr w14:paraId="01147CD1">
        <w:tblPrEx>
          <w:tblCellMar>
            <w:top w:w="0" w:type="dxa"/>
            <w:left w:w="0" w:type="dxa"/>
            <w:bottom w:w="0" w:type="dxa"/>
            <w:right w:w="0" w:type="dxa"/>
          </w:tblCellMar>
        </w:tblPrEx>
        <w:trPr>
          <w:wBefore w:w="0" w:type="auto"/>
          <w:tblCellSpacing w:w="0" w:type="dxa"/>
        </w:trPr>
        <w:tc>
          <w:tcPr>
            <w:tcW w:w="0" w:type="auto"/>
            <w:noWrap w:val="0"/>
            <w:vAlign w:val="center"/>
          </w:tcPr>
          <w:p w14:paraId="4510DFD8">
            <w:r>
              <w:rPr>
                <w:rStyle w:val="10"/>
                <w:rFonts w:hint="eastAsia"/>
              </w:rPr>
              <w:t>产品性能:</w:t>
            </w:r>
            <w:r>
              <w:rPr>
                <w:rFonts w:hint="eastAsia"/>
              </w:rPr>
              <w:br w:type="textWrapping"/>
            </w:r>
            <w:r>
              <w:rPr>
                <w:rStyle w:val="11"/>
                <w:rFonts w:hint="eastAsia"/>
              </w:rPr>
              <w:t>本产品一种新型低毒吡啶酰胺类昆虫生长调节剂类杀虫剂，具有触杀和胃毒作用，还具有很好的神经毒剂和快速拒食作用。持效性较长，对水稻稻飞虱有较好防效。</w:t>
            </w:r>
          </w:p>
        </w:tc>
      </w:tr>
      <w:tr w14:paraId="05DD614A">
        <w:tblPrEx>
          <w:tblCellMar>
            <w:top w:w="0" w:type="dxa"/>
            <w:left w:w="0" w:type="dxa"/>
            <w:bottom w:w="0" w:type="dxa"/>
            <w:right w:w="0" w:type="dxa"/>
          </w:tblCellMar>
        </w:tblPrEx>
        <w:trPr>
          <w:wBefore w:w="0" w:type="auto"/>
          <w:tblCellSpacing w:w="0" w:type="dxa"/>
        </w:trPr>
        <w:tc>
          <w:tcPr>
            <w:tcW w:w="0" w:type="auto"/>
            <w:noWrap w:val="0"/>
            <w:vAlign w:val="center"/>
          </w:tcPr>
          <w:p w14:paraId="4BC1081A">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本品对眼睛有刺激性，使用时避免接触眼睛，穿戴长衣、长裤、帽子、口罩、手套等防护措施，避免吸入药液。施药期间不可吃东西和饮水。施药后应及时洗手和洗脸。2. 对水生生物有毒，鱼或虾蟹套养稻田禁用，施药后的田水不得直接排入水体。要远离水产养殖区、河塘等水域施药，禁止在河塘等水体中清洗施药器具。（周围）开花植物花期禁用，赤眼蜂等天敌放飞区禁用。远离桑蚕养殖区施药。3. 用过的容器应妥善处理，不可做它用，也不可随意丢弃。4. 孕妇与哺乳期妇女禁止接触。5. 建议与其他作用机制不同的杀虫剂轮换使用，以延缓抗性产生。</w:t>
            </w:r>
          </w:p>
        </w:tc>
      </w:tr>
      <w:tr w14:paraId="45BAC8AC">
        <w:tblPrEx>
          <w:tblCellMar>
            <w:top w:w="0" w:type="dxa"/>
            <w:left w:w="0" w:type="dxa"/>
            <w:bottom w:w="0" w:type="dxa"/>
            <w:right w:w="0" w:type="dxa"/>
          </w:tblCellMar>
        </w:tblPrEx>
        <w:trPr>
          <w:wBefore w:w="0" w:type="auto"/>
          <w:tblCellSpacing w:w="0" w:type="dxa"/>
        </w:trPr>
        <w:tc>
          <w:tcPr>
            <w:tcW w:w="0" w:type="auto"/>
            <w:noWrap w:val="0"/>
            <w:vAlign w:val="center"/>
          </w:tcPr>
          <w:p w14:paraId="5AA192AD">
            <w:r>
              <w:rPr>
                <w:rStyle w:val="10"/>
                <w:rFonts w:hint="eastAsia"/>
              </w:rPr>
              <w:t>中毒急救措施：</w:t>
            </w:r>
            <w:r>
              <w:rPr>
                <w:rFonts w:hint="eastAsia"/>
              </w:rPr>
              <w:br w:type="textWrapping"/>
            </w:r>
            <w:r>
              <w:rPr>
                <w:rStyle w:val="11"/>
                <w:rFonts w:hint="eastAsia"/>
              </w:rPr>
              <w:t>中毒症状：无典型中毒症状。若不慎吸入：1、应将病人移至空气流通处。2、不慎接触皮肤或溅入眼睛，立即用大量清水冲洗至少15分钟。3、如误服，不要引吐，迅速携带容器、本标签送往医院对症治疗。紧急医疗措施：如病人可吞咽，可适量饮水缓释。</w:t>
            </w:r>
          </w:p>
        </w:tc>
      </w:tr>
      <w:tr w14:paraId="2817A73B">
        <w:tblPrEx>
          <w:tblCellMar>
            <w:top w:w="0" w:type="dxa"/>
            <w:left w:w="0" w:type="dxa"/>
            <w:bottom w:w="0" w:type="dxa"/>
            <w:right w:w="0" w:type="dxa"/>
          </w:tblCellMar>
        </w:tblPrEx>
        <w:trPr>
          <w:wBefore w:w="0" w:type="auto"/>
          <w:tblCellSpacing w:w="0" w:type="dxa"/>
        </w:trPr>
        <w:tc>
          <w:tcPr>
            <w:tcW w:w="0" w:type="auto"/>
            <w:noWrap w:val="0"/>
            <w:vAlign w:val="center"/>
          </w:tcPr>
          <w:p w14:paraId="021B43B3">
            <w:r>
              <w:rPr>
                <w:rStyle w:val="10"/>
                <w:rFonts w:hint="eastAsia"/>
              </w:rPr>
              <w:t>储存和运输方法：</w:t>
            </w:r>
            <w:r>
              <w:rPr>
                <w:rFonts w:hint="eastAsia"/>
              </w:rPr>
              <w:br w:type="textWrapping"/>
            </w:r>
            <w:r>
              <w:rPr>
                <w:rStyle w:val="11"/>
                <w:rFonts w:hint="eastAsia"/>
              </w:rPr>
              <w:t>1. 本品应贮存于干燥、阴凉、通风、防雨处，远离热源或火源。置于儿童与无关人员接触不到的地方，并加锁保管，不可与食品、饮料、粮食、饲料等混合贮运。 2. 运输时，严防潮湿和日晒雨淋，搬运时轻搬轻放，避免与皮肤、眼睛接触，防止由口鼻吸入。</w:t>
            </w:r>
          </w:p>
        </w:tc>
      </w:tr>
      <w:tr w14:paraId="02FE757F">
        <w:tblPrEx>
          <w:tblCellMar>
            <w:top w:w="0" w:type="dxa"/>
            <w:left w:w="0" w:type="dxa"/>
            <w:bottom w:w="0" w:type="dxa"/>
            <w:right w:w="0" w:type="dxa"/>
          </w:tblCellMar>
        </w:tblPrEx>
        <w:trPr>
          <w:wBefore w:w="0" w:type="auto"/>
          <w:tblCellSpacing w:w="0" w:type="dxa"/>
        </w:trPr>
        <w:tc>
          <w:tcPr>
            <w:tcW w:w="0" w:type="auto"/>
            <w:noWrap w:val="0"/>
            <w:vAlign w:val="center"/>
          </w:tcPr>
          <w:p w14:paraId="6C9262F7">
            <w:r>
              <w:rPr>
                <w:rStyle w:val="10"/>
                <w:rFonts w:hint="eastAsia"/>
              </w:rPr>
              <w:t>质量保证期：</w:t>
            </w:r>
            <w:r>
              <w:rPr>
                <w:rStyle w:val="11"/>
                <w:rFonts w:hint="eastAsia"/>
              </w:rPr>
              <w:t>2年</w:t>
            </w:r>
          </w:p>
        </w:tc>
      </w:tr>
      <w:tr w14:paraId="5BCCA494">
        <w:tblPrEx>
          <w:tblCellMar>
            <w:top w:w="0" w:type="dxa"/>
            <w:left w:w="0" w:type="dxa"/>
            <w:bottom w:w="0" w:type="dxa"/>
            <w:right w:w="0" w:type="dxa"/>
          </w:tblCellMar>
        </w:tblPrEx>
        <w:trPr>
          <w:wBefore w:w="0" w:type="auto"/>
          <w:tblCellSpacing w:w="0" w:type="dxa"/>
        </w:trPr>
        <w:tc>
          <w:tcPr>
            <w:tcW w:w="0" w:type="auto"/>
            <w:noWrap w:val="0"/>
            <w:vAlign w:val="center"/>
          </w:tcPr>
          <w:p w14:paraId="447998B5">
            <w:r>
              <w:rPr>
                <w:rStyle w:val="10"/>
                <w:rFonts w:hint="eastAsia"/>
              </w:rPr>
              <w:t>备注：</w:t>
            </w:r>
          </w:p>
        </w:tc>
      </w:tr>
    </w:tbl>
    <w:p w14:paraId="2C323D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B933D5">
        <w:tblPrEx>
          <w:tblCellMar>
            <w:top w:w="0" w:type="dxa"/>
            <w:left w:w="0" w:type="dxa"/>
            <w:bottom w:w="0" w:type="dxa"/>
            <w:right w:w="0" w:type="dxa"/>
          </w:tblCellMar>
        </w:tblPrEx>
        <w:trPr>
          <w:wBefore w:w="0" w:type="auto"/>
          <w:tblCellSpacing w:w="0" w:type="dxa"/>
        </w:trPr>
        <w:tc>
          <w:tcPr>
            <w:tcW w:w="0" w:type="auto"/>
            <w:noWrap w:val="0"/>
            <w:vAlign w:val="center"/>
          </w:tcPr>
          <w:p w14:paraId="6E318AAA">
            <w:r>
              <w:rPr>
                <w:rStyle w:val="10"/>
                <w:rFonts w:hint="eastAsia"/>
              </w:rPr>
              <w:t>登记证号：</w:t>
            </w:r>
            <w:r>
              <w:rPr>
                <w:rFonts w:hint="eastAsia"/>
              </w:rPr>
              <w:t>PD20212532</w:t>
            </w:r>
          </w:p>
        </w:tc>
      </w:tr>
      <w:tr w14:paraId="15A936BA">
        <w:tblPrEx>
          <w:tblCellMar>
            <w:top w:w="0" w:type="dxa"/>
            <w:left w:w="0" w:type="dxa"/>
            <w:bottom w:w="0" w:type="dxa"/>
            <w:right w:w="0" w:type="dxa"/>
          </w:tblCellMar>
        </w:tblPrEx>
        <w:trPr>
          <w:wBefore w:w="0" w:type="auto"/>
          <w:tblCellSpacing w:w="0" w:type="dxa"/>
        </w:trPr>
        <w:tc>
          <w:tcPr>
            <w:tcW w:w="0" w:type="auto"/>
            <w:noWrap w:val="0"/>
            <w:vAlign w:val="center"/>
          </w:tcPr>
          <w:p w14:paraId="439B9CEE">
            <w:r>
              <w:rPr>
                <w:rStyle w:val="10"/>
                <w:rFonts w:hint="eastAsia"/>
              </w:rPr>
              <w:t>登记证持有人：</w:t>
            </w:r>
            <w:r>
              <w:rPr>
                <w:rFonts w:hint="eastAsia"/>
              </w:rPr>
              <w:t>山东坤牛植物保护有限公司</w:t>
            </w:r>
          </w:p>
        </w:tc>
      </w:tr>
      <w:tr w14:paraId="4B775407">
        <w:tblPrEx>
          <w:tblCellMar>
            <w:top w:w="0" w:type="dxa"/>
            <w:left w:w="0" w:type="dxa"/>
            <w:bottom w:w="0" w:type="dxa"/>
            <w:right w:w="0" w:type="dxa"/>
          </w:tblCellMar>
        </w:tblPrEx>
        <w:trPr>
          <w:wBefore w:w="0" w:type="auto"/>
          <w:tblCellSpacing w:w="0" w:type="dxa"/>
        </w:trPr>
        <w:tc>
          <w:tcPr>
            <w:tcW w:w="0" w:type="auto"/>
            <w:noWrap w:val="0"/>
            <w:vAlign w:val="center"/>
          </w:tcPr>
          <w:p w14:paraId="57791B85">
            <w:r>
              <w:rPr>
                <w:rStyle w:val="10"/>
                <w:rFonts w:hint="eastAsia"/>
              </w:rPr>
              <w:t>农药名称：</w:t>
            </w:r>
            <w:r>
              <w:rPr>
                <w:rFonts w:hint="eastAsia"/>
              </w:rPr>
              <w:t>乙羧·草铵膦</w:t>
            </w:r>
          </w:p>
        </w:tc>
      </w:tr>
      <w:tr w14:paraId="4C67D1B5">
        <w:tblPrEx>
          <w:tblCellMar>
            <w:top w:w="0" w:type="dxa"/>
            <w:left w:w="0" w:type="dxa"/>
            <w:bottom w:w="0" w:type="dxa"/>
            <w:right w:w="0" w:type="dxa"/>
          </w:tblCellMar>
        </w:tblPrEx>
        <w:trPr>
          <w:wBefore w:w="0" w:type="auto"/>
          <w:tblCellSpacing w:w="0" w:type="dxa"/>
        </w:trPr>
        <w:tc>
          <w:tcPr>
            <w:tcW w:w="0" w:type="auto"/>
            <w:noWrap w:val="0"/>
            <w:vAlign w:val="center"/>
          </w:tcPr>
          <w:p w14:paraId="122259B4">
            <w:r>
              <w:rPr>
                <w:rStyle w:val="10"/>
                <w:rFonts w:hint="eastAsia"/>
              </w:rPr>
              <w:t>剂型：</w:t>
            </w:r>
            <w:r>
              <w:rPr>
                <w:rFonts w:hint="eastAsia"/>
              </w:rPr>
              <w:t>微乳剂</w:t>
            </w:r>
          </w:p>
        </w:tc>
      </w:tr>
      <w:tr w14:paraId="7430AA4C">
        <w:tblPrEx>
          <w:tblCellMar>
            <w:top w:w="0" w:type="dxa"/>
            <w:left w:w="0" w:type="dxa"/>
            <w:bottom w:w="0" w:type="dxa"/>
            <w:right w:w="0" w:type="dxa"/>
          </w:tblCellMar>
        </w:tblPrEx>
        <w:trPr>
          <w:wBefore w:w="0" w:type="auto"/>
          <w:tblCellSpacing w:w="0" w:type="dxa"/>
        </w:trPr>
        <w:tc>
          <w:tcPr>
            <w:tcW w:w="0" w:type="auto"/>
            <w:noWrap w:val="0"/>
            <w:vAlign w:val="center"/>
          </w:tcPr>
          <w:p w14:paraId="060C549E">
            <w:r>
              <w:rPr>
                <w:rStyle w:val="10"/>
                <w:rFonts w:hint="eastAsia"/>
              </w:rPr>
              <w:t>毒性及其标识：</w:t>
            </w:r>
            <w:r>
              <w:rPr>
                <w:rFonts w:hint="eastAsia"/>
              </w:rPr>
              <w:t xml:space="preserve"> </w:t>
            </w:r>
            <w:r>
              <w:rPr>
                <w:lang/>
              </w:rPr>
              <w:drawing>
                <wp:inline distT="0" distB="0" distL="114300" distR="114300">
                  <wp:extent cx="476250" cy="323850"/>
                  <wp:effectExtent l="0" t="0" r="0" b="0"/>
                  <wp:docPr id="333" name="图片 3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4C39F6">
        <w:tblPrEx>
          <w:tblCellMar>
            <w:top w:w="0" w:type="dxa"/>
            <w:left w:w="0" w:type="dxa"/>
            <w:bottom w:w="0" w:type="dxa"/>
            <w:right w:w="0" w:type="dxa"/>
          </w:tblCellMar>
        </w:tblPrEx>
        <w:trPr>
          <w:wBefore w:w="0" w:type="auto"/>
          <w:tblCellSpacing w:w="0" w:type="dxa"/>
        </w:trPr>
        <w:tc>
          <w:tcPr>
            <w:tcW w:w="0" w:type="auto"/>
            <w:noWrap w:val="0"/>
            <w:vAlign w:val="center"/>
          </w:tcPr>
          <w:p w14:paraId="2D8ECB24">
            <w:r>
              <w:rPr>
                <w:rStyle w:val="10"/>
                <w:rFonts w:hint="eastAsia"/>
              </w:rPr>
              <w:t>总有效成分含量：</w:t>
            </w:r>
            <w:r>
              <w:rPr>
                <w:rFonts w:hint="eastAsia"/>
              </w:rPr>
              <w:t>20%</w:t>
            </w:r>
          </w:p>
        </w:tc>
      </w:tr>
      <w:tr w14:paraId="68A8DE01">
        <w:tblPrEx>
          <w:tblCellMar>
            <w:top w:w="0" w:type="dxa"/>
            <w:left w:w="0" w:type="dxa"/>
            <w:bottom w:w="0" w:type="dxa"/>
            <w:right w:w="0" w:type="dxa"/>
          </w:tblCellMar>
        </w:tblPrEx>
        <w:trPr>
          <w:wBefore w:w="0" w:type="auto"/>
          <w:tblCellSpacing w:w="0" w:type="dxa"/>
        </w:trPr>
        <w:tc>
          <w:tcPr>
            <w:tcW w:w="0" w:type="auto"/>
            <w:noWrap w:val="0"/>
            <w:vAlign w:val="center"/>
          </w:tcPr>
          <w:p w14:paraId="166196E4">
            <w:r>
              <w:rPr>
                <w:rFonts w:hint="eastAsia"/>
              </w:rPr>
              <w:t xml:space="preserve">有效成分及其含量： </w:t>
            </w:r>
          </w:p>
          <w:p w14:paraId="7BC3F0D1">
            <w:r>
              <w:rPr>
                <w:rFonts w:hint="eastAsia"/>
              </w:rPr>
              <w:t xml:space="preserve">    乙羧氟草醚1%    草铵膦19%    </w:t>
            </w:r>
          </w:p>
        </w:tc>
      </w:tr>
      <w:tr w14:paraId="2AAF0B7E">
        <w:tblPrEx>
          <w:tblCellMar>
            <w:top w:w="0" w:type="dxa"/>
            <w:left w:w="0" w:type="dxa"/>
            <w:bottom w:w="0" w:type="dxa"/>
            <w:right w:w="0" w:type="dxa"/>
          </w:tblCellMar>
        </w:tblPrEx>
        <w:trPr>
          <w:wBefore w:w="0" w:type="auto"/>
          <w:tblCellSpacing w:w="0" w:type="dxa"/>
        </w:trPr>
        <w:tc>
          <w:tcPr>
            <w:tcW w:w="0" w:type="auto"/>
            <w:noWrap w:val="0"/>
            <w:vAlign w:val="center"/>
          </w:tcPr>
          <w:p w14:paraId="10728F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DE43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FF24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33FE2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0CD4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009C02">
                  <w:r>
                    <w:rPr>
                      <w:rStyle w:val="11"/>
                      <w:rFonts w:hint="eastAsia"/>
                    </w:rPr>
                    <w:t>施用方式</w:t>
                  </w:r>
                </w:p>
              </w:tc>
            </w:tr>
            <w:tr w14:paraId="1446DB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E092C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5E976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BAD6DE">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6E398B">
                  <w:r>
                    <w:rPr>
                      <w:rStyle w:val="11"/>
                      <w:rFonts w:hint="eastAsia"/>
                    </w:rPr>
                    <w:t>茎叶喷雾</w:t>
                  </w:r>
                </w:p>
              </w:tc>
            </w:tr>
          </w:tbl>
          <w:p w14:paraId="560C142A">
            <w:pPr>
              <w:rPr>
                <w:rFonts w:ascii="Times New Roman" w:hAnsi="Times New Roman" w:cs="Times New Roman"/>
                <w:sz w:val="20"/>
                <w:szCs w:val="20"/>
              </w:rPr>
            </w:pPr>
          </w:p>
        </w:tc>
      </w:tr>
      <w:tr w14:paraId="030F4002">
        <w:tblPrEx>
          <w:tblCellMar>
            <w:top w:w="0" w:type="dxa"/>
            <w:left w:w="0" w:type="dxa"/>
            <w:bottom w:w="0" w:type="dxa"/>
            <w:right w:w="0" w:type="dxa"/>
          </w:tblCellMar>
        </w:tblPrEx>
        <w:trPr>
          <w:wBefore w:w="0" w:type="auto"/>
          <w:tblCellSpacing w:w="0" w:type="dxa"/>
        </w:trPr>
        <w:tc>
          <w:tcPr>
            <w:tcW w:w="0" w:type="auto"/>
            <w:noWrap w:val="0"/>
            <w:vAlign w:val="center"/>
          </w:tcPr>
          <w:p w14:paraId="3D4A3CAB">
            <w:r>
              <w:rPr>
                <w:rStyle w:val="10"/>
                <w:rFonts w:hint="eastAsia"/>
              </w:rPr>
              <w:t>使用技术要求:</w:t>
            </w:r>
            <w:r>
              <w:rPr>
                <w:rFonts w:hint="eastAsia"/>
              </w:rPr>
              <w:br w:type="textWrapping"/>
            </w:r>
            <w:r>
              <w:rPr>
                <w:rStyle w:val="11"/>
                <w:rFonts w:hint="eastAsia"/>
              </w:rPr>
              <w:t>1、在非耕地杂草旺盛生长期茎叶喷雾施药一次。 2、干旱及杂草密度大或防除大龄杂草及多年生恶性杂草时，采用较高的推荐制剂用量和兑水量。3、避免飘移药害。4、禁止在田间道路、田埂、果树行间、休耕地、林场林地等农林业区域使用。</w:t>
            </w:r>
          </w:p>
        </w:tc>
      </w:tr>
      <w:tr w14:paraId="110C9A5D">
        <w:tblPrEx>
          <w:tblCellMar>
            <w:top w:w="0" w:type="dxa"/>
            <w:left w:w="0" w:type="dxa"/>
            <w:bottom w:w="0" w:type="dxa"/>
            <w:right w:w="0" w:type="dxa"/>
          </w:tblCellMar>
        </w:tblPrEx>
        <w:trPr>
          <w:wBefore w:w="0" w:type="auto"/>
          <w:tblCellSpacing w:w="0" w:type="dxa"/>
        </w:trPr>
        <w:tc>
          <w:tcPr>
            <w:tcW w:w="0" w:type="auto"/>
            <w:noWrap w:val="0"/>
            <w:vAlign w:val="center"/>
          </w:tcPr>
          <w:p w14:paraId="4368DE29">
            <w:r>
              <w:rPr>
                <w:rStyle w:val="10"/>
                <w:rFonts w:hint="eastAsia"/>
              </w:rPr>
              <w:t>产品性能:</w:t>
            </w:r>
            <w:r>
              <w:rPr>
                <w:rFonts w:hint="eastAsia"/>
              </w:rPr>
              <w:br w:type="textWrapping"/>
            </w:r>
            <w:r>
              <w:rPr>
                <w:rStyle w:val="11"/>
                <w:rFonts w:hint="eastAsia"/>
              </w:rPr>
              <w:t>本品为非选择性触杀型杂草茎叶处理剂，是膦酸类拟天然化感仿生物源除草剂草铵膦与二苯醚类除草剂乙羧氟草醚复配而成的微乳剂。</w:t>
            </w:r>
          </w:p>
        </w:tc>
      </w:tr>
      <w:tr w14:paraId="6068AAF6">
        <w:tblPrEx>
          <w:tblCellMar>
            <w:top w:w="0" w:type="dxa"/>
            <w:left w:w="0" w:type="dxa"/>
            <w:bottom w:w="0" w:type="dxa"/>
            <w:right w:w="0" w:type="dxa"/>
          </w:tblCellMar>
        </w:tblPrEx>
        <w:trPr>
          <w:wBefore w:w="0" w:type="auto"/>
          <w:tblCellSpacing w:w="0" w:type="dxa"/>
        </w:trPr>
        <w:tc>
          <w:tcPr>
            <w:tcW w:w="0" w:type="auto"/>
            <w:noWrap w:val="0"/>
            <w:vAlign w:val="center"/>
          </w:tcPr>
          <w:p w14:paraId="024757FD">
            <w:r>
              <w:rPr>
                <w:rStyle w:val="10"/>
                <w:rFonts w:hint="eastAsia"/>
              </w:rPr>
              <w:t>注意事项：</w:t>
            </w:r>
            <w:r>
              <w:rPr>
                <w:rFonts w:hint="eastAsia"/>
              </w:rPr>
              <w:br w:type="textWrapping"/>
            </w:r>
            <w:r>
              <w:rPr>
                <w:rStyle w:val="11"/>
                <w:rFonts w:hint="eastAsia"/>
              </w:rPr>
              <w:t>1、防除多年生杂草或进入花期的杂草应使用推荐的高剂量。 2、配药时用清水配制，浑水会影响药效。本品与土壤接触立即失去活性，宜作茎叶处理。 3、喷药后4小时内降雨，药效会降低，可酌情补喷。 4、注意风向，防止药雾飘移到附近作物上造成药害。 5、使用本品时应穿戴长衣、长裤、帽子、口罩、手套等防护措施，避免吸入药液。施药期间不可吃东西、喝水和吸烟。施药后应及时洗手和洗脸。水产养殖区、河塘等水体附近禁用，禁止在河塘等水域清洗施药器具。6、剩余药液或空容器要妥善处理，不可随意丢弃，亦不可做它用，不要污染水源、水系及污染食物和饲料。 7、孕妇和哺乳期妇女禁止接触此药。8、本品对蜜蜂、鱼类等水生生物、家蚕有毒，施药期间应避免对周围蜂群的影响、开花作物花期、蚕室和桑园附近禁用。9、赤眼蜂等天敌放飞区域禁用。10、避免与氧化剂接触。</w:t>
            </w:r>
          </w:p>
        </w:tc>
      </w:tr>
      <w:tr w14:paraId="00C456A1">
        <w:tblPrEx>
          <w:tblCellMar>
            <w:top w:w="0" w:type="dxa"/>
            <w:left w:w="0" w:type="dxa"/>
            <w:bottom w:w="0" w:type="dxa"/>
            <w:right w:w="0" w:type="dxa"/>
          </w:tblCellMar>
        </w:tblPrEx>
        <w:trPr>
          <w:wBefore w:w="0" w:type="auto"/>
          <w:tblCellSpacing w:w="0" w:type="dxa"/>
        </w:trPr>
        <w:tc>
          <w:tcPr>
            <w:tcW w:w="0" w:type="auto"/>
            <w:noWrap w:val="0"/>
            <w:vAlign w:val="center"/>
          </w:tcPr>
          <w:p w14:paraId="64B26823">
            <w:r>
              <w:rPr>
                <w:rStyle w:val="10"/>
                <w:rFonts w:hint="eastAsia"/>
              </w:rPr>
              <w:t>中毒急救措施：</w:t>
            </w:r>
            <w:r>
              <w:rPr>
                <w:rFonts w:hint="eastAsia"/>
              </w:rPr>
              <w:br w:type="textWrapping"/>
            </w:r>
            <w:r>
              <w:rPr>
                <w:rStyle w:val="11"/>
                <w:rFonts w:hint="eastAsia"/>
              </w:rPr>
              <w:t>该产品对眼睛有刺激性，使用时避免接触眼睛。 对皮肤、眼睛和上呼吸道有刺激作用，无经口中毒报道。急救措施：不慎吸入，应将病人移至空气流通处。不慎接触皮肤，应用大量清水冲洗，若溅入眼睛，应用大量清水冲洗至少15分钟；本品无特效 解毒剂，如误服，严禁引吐，应先立即用清水漱口，再携带本标签到医院诊治。</w:t>
            </w:r>
          </w:p>
        </w:tc>
      </w:tr>
      <w:tr w14:paraId="5AB73443">
        <w:tblPrEx>
          <w:tblCellMar>
            <w:top w:w="0" w:type="dxa"/>
            <w:left w:w="0" w:type="dxa"/>
            <w:bottom w:w="0" w:type="dxa"/>
            <w:right w:w="0" w:type="dxa"/>
          </w:tblCellMar>
        </w:tblPrEx>
        <w:trPr>
          <w:wBefore w:w="0" w:type="auto"/>
          <w:tblCellSpacing w:w="0" w:type="dxa"/>
        </w:trPr>
        <w:tc>
          <w:tcPr>
            <w:tcW w:w="0" w:type="auto"/>
            <w:noWrap w:val="0"/>
            <w:vAlign w:val="center"/>
          </w:tcPr>
          <w:p w14:paraId="13F5FAD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本品应贮存在干燥、阴凉、通风、防雨处，远离火源或热源。置于儿童、无关人员触及不到之处，并加锁保存。勿与食品、饮料、粮食、饲料等物其他商品同贮同运。</w:t>
            </w:r>
          </w:p>
        </w:tc>
      </w:tr>
      <w:tr w14:paraId="74EEAA43">
        <w:tblPrEx>
          <w:tblCellMar>
            <w:top w:w="0" w:type="dxa"/>
            <w:left w:w="0" w:type="dxa"/>
            <w:bottom w:w="0" w:type="dxa"/>
            <w:right w:w="0" w:type="dxa"/>
          </w:tblCellMar>
        </w:tblPrEx>
        <w:trPr>
          <w:wBefore w:w="0" w:type="auto"/>
          <w:tblCellSpacing w:w="0" w:type="dxa"/>
        </w:trPr>
        <w:tc>
          <w:tcPr>
            <w:tcW w:w="0" w:type="auto"/>
            <w:noWrap w:val="0"/>
            <w:vAlign w:val="center"/>
          </w:tcPr>
          <w:p w14:paraId="7C0ABBA5">
            <w:r>
              <w:rPr>
                <w:rStyle w:val="10"/>
                <w:rFonts w:hint="eastAsia"/>
              </w:rPr>
              <w:t>质量保证期：</w:t>
            </w:r>
            <w:r>
              <w:rPr>
                <w:rStyle w:val="11"/>
                <w:rFonts w:hint="eastAsia"/>
              </w:rPr>
              <w:t>2年</w:t>
            </w:r>
          </w:p>
        </w:tc>
      </w:tr>
      <w:tr w14:paraId="4EE543CD">
        <w:tblPrEx>
          <w:tblCellMar>
            <w:top w:w="0" w:type="dxa"/>
            <w:left w:w="0" w:type="dxa"/>
            <w:bottom w:w="0" w:type="dxa"/>
            <w:right w:w="0" w:type="dxa"/>
          </w:tblCellMar>
        </w:tblPrEx>
        <w:trPr>
          <w:wBefore w:w="0" w:type="auto"/>
          <w:tblCellSpacing w:w="0" w:type="dxa"/>
        </w:trPr>
        <w:tc>
          <w:tcPr>
            <w:tcW w:w="0" w:type="auto"/>
            <w:noWrap w:val="0"/>
            <w:vAlign w:val="center"/>
          </w:tcPr>
          <w:p w14:paraId="5ABC488E">
            <w:r>
              <w:rPr>
                <w:rStyle w:val="10"/>
                <w:rFonts w:hint="eastAsia"/>
              </w:rPr>
              <w:t>备注：</w:t>
            </w:r>
          </w:p>
        </w:tc>
      </w:tr>
    </w:tbl>
    <w:p w14:paraId="441A19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A33467">
        <w:tblPrEx>
          <w:tblCellMar>
            <w:top w:w="0" w:type="dxa"/>
            <w:left w:w="0" w:type="dxa"/>
            <w:bottom w:w="0" w:type="dxa"/>
            <w:right w:w="0" w:type="dxa"/>
          </w:tblCellMar>
        </w:tblPrEx>
        <w:trPr>
          <w:wBefore w:w="0" w:type="auto"/>
          <w:tblCellSpacing w:w="0" w:type="dxa"/>
        </w:trPr>
        <w:tc>
          <w:tcPr>
            <w:tcW w:w="0" w:type="auto"/>
            <w:noWrap w:val="0"/>
            <w:vAlign w:val="center"/>
          </w:tcPr>
          <w:p w14:paraId="35896B32">
            <w:r>
              <w:rPr>
                <w:rStyle w:val="10"/>
                <w:rFonts w:hint="eastAsia"/>
              </w:rPr>
              <w:t>登记证号：</w:t>
            </w:r>
            <w:r>
              <w:rPr>
                <w:rFonts w:hint="eastAsia"/>
              </w:rPr>
              <w:t>PD20212752</w:t>
            </w:r>
          </w:p>
        </w:tc>
      </w:tr>
      <w:tr w14:paraId="5D3B55B2">
        <w:tblPrEx>
          <w:tblCellMar>
            <w:top w:w="0" w:type="dxa"/>
            <w:left w:w="0" w:type="dxa"/>
            <w:bottom w:w="0" w:type="dxa"/>
            <w:right w:w="0" w:type="dxa"/>
          </w:tblCellMar>
        </w:tblPrEx>
        <w:trPr>
          <w:wBefore w:w="0" w:type="auto"/>
          <w:tblCellSpacing w:w="0" w:type="dxa"/>
        </w:trPr>
        <w:tc>
          <w:tcPr>
            <w:tcW w:w="0" w:type="auto"/>
            <w:noWrap w:val="0"/>
            <w:vAlign w:val="center"/>
          </w:tcPr>
          <w:p w14:paraId="639DA19B">
            <w:r>
              <w:rPr>
                <w:rStyle w:val="10"/>
                <w:rFonts w:hint="eastAsia"/>
              </w:rPr>
              <w:t>登记证持有人：</w:t>
            </w:r>
            <w:r>
              <w:rPr>
                <w:rFonts w:hint="eastAsia"/>
              </w:rPr>
              <w:t>上海升联化工有限公司</w:t>
            </w:r>
          </w:p>
        </w:tc>
      </w:tr>
      <w:tr w14:paraId="51AC42F2">
        <w:tblPrEx>
          <w:tblCellMar>
            <w:top w:w="0" w:type="dxa"/>
            <w:left w:w="0" w:type="dxa"/>
            <w:bottom w:w="0" w:type="dxa"/>
            <w:right w:w="0" w:type="dxa"/>
          </w:tblCellMar>
        </w:tblPrEx>
        <w:trPr>
          <w:wBefore w:w="0" w:type="auto"/>
          <w:tblCellSpacing w:w="0" w:type="dxa"/>
        </w:trPr>
        <w:tc>
          <w:tcPr>
            <w:tcW w:w="0" w:type="auto"/>
            <w:noWrap w:val="0"/>
            <w:vAlign w:val="center"/>
          </w:tcPr>
          <w:p w14:paraId="54F700CA">
            <w:r>
              <w:rPr>
                <w:rStyle w:val="10"/>
                <w:rFonts w:hint="eastAsia"/>
              </w:rPr>
              <w:t>农药名称：</w:t>
            </w:r>
            <w:r>
              <w:rPr>
                <w:rFonts w:hint="eastAsia"/>
              </w:rPr>
              <w:t>多效唑</w:t>
            </w:r>
          </w:p>
        </w:tc>
      </w:tr>
      <w:tr w14:paraId="237E6800">
        <w:tblPrEx>
          <w:tblCellMar>
            <w:top w:w="0" w:type="dxa"/>
            <w:left w:w="0" w:type="dxa"/>
            <w:bottom w:w="0" w:type="dxa"/>
            <w:right w:w="0" w:type="dxa"/>
          </w:tblCellMar>
        </w:tblPrEx>
        <w:trPr>
          <w:wBefore w:w="0" w:type="auto"/>
          <w:tblCellSpacing w:w="0" w:type="dxa"/>
        </w:trPr>
        <w:tc>
          <w:tcPr>
            <w:tcW w:w="0" w:type="auto"/>
            <w:noWrap w:val="0"/>
            <w:vAlign w:val="center"/>
          </w:tcPr>
          <w:p w14:paraId="0AF68B3F">
            <w:r>
              <w:rPr>
                <w:rStyle w:val="10"/>
                <w:rFonts w:hint="eastAsia"/>
              </w:rPr>
              <w:t>剂型：</w:t>
            </w:r>
            <w:r>
              <w:rPr>
                <w:rFonts w:hint="eastAsia"/>
              </w:rPr>
              <w:t>悬浮剂</w:t>
            </w:r>
          </w:p>
        </w:tc>
      </w:tr>
      <w:tr w14:paraId="138973E2">
        <w:tblPrEx>
          <w:tblCellMar>
            <w:top w:w="0" w:type="dxa"/>
            <w:left w:w="0" w:type="dxa"/>
            <w:bottom w:w="0" w:type="dxa"/>
            <w:right w:w="0" w:type="dxa"/>
          </w:tblCellMar>
        </w:tblPrEx>
        <w:trPr>
          <w:wBefore w:w="0" w:type="auto"/>
          <w:tblCellSpacing w:w="0" w:type="dxa"/>
        </w:trPr>
        <w:tc>
          <w:tcPr>
            <w:tcW w:w="0" w:type="auto"/>
            <w:noWrap w:val="0"/>
            <w:vAlign w:val="center"/>
          </w:tcPr>
          <w:p w14:paraId="0D352C2C">
            <w:r>
              <w:rPr>
                <w:rStyle w:val="10"/>
                <w:rFonts w:hint="eastAsia"/>
              </w:rPr>
              <w:t>毒性及其标识：</w:t>
            </w:r>
            <w:r>
              <w:rPr>
                <w:rFonts w:hint="eastAsia"/>
              </w:rPr>
              <w:t xml:space="preserve"> </w:t>
            </w:r>
            <w:r>
              <w:rPr>
                <w:lang/>
              </w:rPr>
              <w:drawing>
                <wp:inline distT="0" distB="0" distL="114300" distR="114300">
                  <wp:extent cx="476250" cy="323850"/>
                  <wp:effectExtent l="0" t="0" r="0" b="0"/>
                  <wp:docPr id="334" name="图片 3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1B6335">
        <w:tblPrEx>
          <w:tblCellMar>
            <w:top w:w="0" w:type="dxa"/>
            <w:left w:w="0" w:type="dxa"/>
            <w:bottom w:w="0" w:type="dxa"/>
            <w:right w:w="0" w:type="dxa"/>
          </w:tblCellMar>
        </w:tblPrEx>
        <w:trPr>
          <w:wBefore w:w="0" w:type="auto"/>
          <w:tblCellSpacing w:w="0" w:type="dxa"/>
        </w:trPr>
        <w:tc>
          <w:tcPr>
            <w:tcW w:w="0" w:type="auto"/>
            <w:noWrap w:val="0"/>
            <w:vAlign w:val="center"/>
          </w:tcPr>
          <w:p w14:paraId="6368C4C1">
            <w:r>
              <w:rPr>
                <w:rStyle w:val="10"/>
                <w:rFonts w:hint="eastAsia"/>
              </w:rPr>
              <w:t>总有效成分含量：</w:t>
            </w:r>
            <w:r>
              <w:rPr>
                <w:rFonts w:hint="eastAsia"/>
              </w:rPr>
              <w:t>25%</w:t>
            </w:r>
          </w:p>
        </w:tc>
      </w:tr>
      <w:tr w14:paraId="4EC69B96">
        <w:tblPrEx>
          <w:tblCellMar>
            <w:top w:w="0" w:type="dxa"/>
            <w:left w:w="0" w:type="dxa"/>
            <w:bottom w:w="0" w:type="dxa"/>
            <w:right w:w="0" w:type="dxa"/>
          </w:tblCellMar>
        </w:tblPrEx>
        <w:trPr>
          <w:wBefore w:w="0" w:type="auto"/>
          <w:tblCellSpacing w:w="0" w:type="dxa"/>
        </w:trPr>
        <w:tc>
          <w:tcPr>
            <w:tcW w:w="0" w:type="auto"/>
            <w:noWrap w:val="0"/>
            <w:vAlign w:val="center"/>
          </w:tcPr>
          <w:p w14:paraId="01AA31B4">
            <w:r>
              <w:rPr>
                <w:rFonts w:hint="eastAsia"/>
              </w:rPr>
              <w:t xml:space="preserve">有效成分及其含量： </w:t>
            </w:r>
          </w:p>
          <w:p w14:paraId="55E1A891">
            <w:r>
              <w:rPr>
                <w:rFonts w:hint="eastAsia"/>
              </w:rPr>
              <w:t xml:space="preserve">    多效唑25%    </w:t>
            </w:r>
          </w:p>
        </w:tc>
      </w:tr>
      <w:tr w14:paraId="5BB1EA98">
        <w:tblPrEx>
          <w:tblCellMar>
            <w:top w:w="0" w:type="dxa"/>
            <w:left w:w="0" w:type="dxa"/>
            <w:bottom w:w="0" w:type="dxa"/>
            <w:right w:w="0" w:type="dxa"/>
          </w:tblCellMar>
        </w:tblPrEx>
        <w:trPr>
          <w:wBefore w:w="0" w:type="auto"/>
          <w:tblCellSpacing w:w="0" w:type="dxa"/>
        </w:trPr>
        <w:tc>
          <w:tcPr>
            <w:tcW w:w="0" w:type="auto"/>
            <w:noWrap w:val="0"/>
            <w:vAlign w:val="center"/>
          </w:tcPr>
          <w:p w14:paraId="419345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1C64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0A78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F500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B95C2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7B5A53">
                  <w:r>
                    <w:rPr>
                      <w:rStyle w:val="11"/>
                      <w:rFonts w:hint="eastAsia"/>
                    </w:rPr>
                    <w:t>施用方式</w:t>
                  </w:r>
                </w:p>
              </w:tc>
            </w:tr>
            <w:tr w14:paraId="673C1E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8E7EAC">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D0A72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8E5D7B">
                  <w:r>
                    <w:rPr>
                      <w:rStyle w:val="11"/>
                      <w:rFonts w:hint="eastAsia"/>
                    </w:rPr>
                    <w:t>2800-3500倍液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C372B3">
                  <w:r>
                    <w:rPr>
                      <w:rStyle w:val="11"/>
                      <w:rFonts w:hint="eastAsia"/>
                    </w:rPr>
                    <w:t>沟施</w:t>
                  </w:r>
                </w:p>
              </w:tc>
            </w:tr>
          </w:tbl>
          <w:p w14:paraId="681C5F84">
            <w:pPr>
              <w:rPr>
                <w:rFonts w:ascii="Times New Roman" w:hAnsi="Times New Roman" w:cs="Times New Roman"/>
                <w:sz w:val="20"/>
                <w:szCs w:val="20"/>
              </w:rPr>
            </w:pPr>
          </w:p>
        </w:tc>
      </w:tr>
      <w:tr w14:paraId="0C9E3063">
        <w:tblPrEx>
          <w:tblCellMar>
            <w:top w:w="0" w:type="dxa"/>
            <w:left w:w="0" w:type="dxa"/>
            <w:bottom w:w="0" w:type="dxa"/>
            <w:right w:w="0" w:type="dxa"/>
          </w:tblCellMar>
        </w:tblPrEx>
        <w:trPr>
          <w:wBefore w:w="0" w:type="auto"/>
          <w:tblCellSpacing w:w="0" w:type="dxa"/>
        </w:trPr>
        <w:tc>
          <w:tcPr>
            <w:tcW w:w="0" w:type="auto"/>
            <w:noWrap w:val="0"/>
            <w:vAlign w:val="center"/>
          </w:tcPr>
          <w:p w14:paraId="180F029D">
            <w:r>
              <w:rPr>
                <w:rStyle w:val="10"/>
                <w:rFonts w:hint="eastAsia"/>
              </w:rPr>
              <w:t>使用技术要求:</w:t>
            </w:r>
            <w:r>
              <w:rPr>
                <w:rFonts w:hint="eastAsia"/>
              </w:rPr>
              <w:br w:type="textWrapping"/>
            </w:r>
            <w:r>
              <w:rPr>
                <w:rStyle w:val="11"/>
                <w:rFonts w:hint="eastAsia"/>
              </w:rPr>
              <w:t>1.应于苹果树萌芽前，在树冠下方土壤开环行浅沟兑水施药，将药液均匀施入沟内，药液下渗后覆土。2.下雨天或预计4小时内降雨，请勿施药。3.大风天或预计4小时内降雨，请勿使用。 4.在苹果树上每季最多使用1次。</w:t>
            </w:r>
          </w:p>
        </w:tc>
      </w:tr>
      <w:tr w14:paraId="6C512DCD">
        <w:tblPrEx>
          <w:tblCellMar>
            <w:top w:w="0" w:type="dxa"/>
            <w:left w:w="0" w:type="dxa"/>
            <w:bottom w:w="0" w:type="dxa"/>
            <w:right w:w="0" w:type="dxa"/>
          </w:tblCellMar>
        </w:tblPrEx>
        <w:trPr>
          <w:wBefore w:w="0" w:type="auto"/>
          <w:tblCellSpacing w:w="0" w:type="dxa"/>
        </w:trPr>
        <w:tc>
          <w:tcPr>
            <w:tcW w:w="0" w:type="auto"/>
            <w:noWrap w:val="0"/>
            <w:vAlign w:val="center"/>
          </w:tcPr>
          <w:p w14:paraId="31F4FC65">
            <w:r>
              <w:rPr>
                <w:rStyle w:val="10"/>
                <w:rFonts w:hint="eastAsia"/>
              </w:rPr>
              <w:t>产品性能:</w:t>
            </w:r>
            <w:r>
              <w:rPr>
                <w:rFonts w:hint="eastAsia"/>
              </w:rPr>
              <w:br w:type="textWrapping"/>
            </w:r>
            <w:r>
              <w:rPr>
                <w:rStyle w:val="11"/>
                <w:rFonts w:hint="eastAsia"/>
              </w:rPr>
              <w:t>本品是一种具有内吸性的植物生长调节剂，通过改变植物体内激素平衡，调节控制植物生长发育。在苹果树上施用，能抑制根系和营养体的生长，使叶绿素含量增加；抑制顶芽生长，促进侧芽萌发和花芽的形成，提高着果率，改进果实品质、增加产量等作用。</w:t>
            </w:r>
          </w:p>
        </w:tc>
      </w:tr>
      <w:tr w14:paraId="2DFB695C">
        <w:tblPrEx>
          <w:tblCellMar>
            <w:top w:w="0" w:type="dxa"/>
            <w:left w:w="0" w:type="dxa"/>
            <w:bottom w:w="0" w:type="dxa"/>
            <w:right w:w="0" w:type="dxa"/>
          </w:tblCellMar>
        </w:tblPrEx>
        <w:trPr>
          <w:wBefore w:w="0" w:type="auto"/>
          <w:tblCellSpacing w:w="0" w:type="dxa"/>
        </w:trPr>
        <w:tc>
          <w:tcPr>
            <w:tcW w:w="0" w:type="auto"/>
            <w:noWrap w:val="0"/>
            <w:vAlign w:val="center"/>
          </w:tcPr>
          <w:p w14:paraId="3CC99638">
            <w:r>
              <w:rPr>
                <w:rStyle w:val="10"/>
                <w:rFonts w:hint="eastAsia"/>
              </w:rPr>
              <w:t>注意事项：</w:t>
            </w:r>
            <w:r>
              <w:rPr>
                <w:rFonts w:hint="eastAsia"/>
              </w:rPr>
              <w:br w:type="textWrapping"/>
            </w:r>
            <w:r>
              <w:rPr>
                <w:rStyle w:val="11"/>
                <w:rFonts w:hint="eastAsia"/>
              </w:rPr>
              <w:t>1.本品在土壤中残效期长，收货后应翻耕，否则会影响后茬作物的生长。切忌施药后大水灌溉和过量使用氮肥。2.使用本品时应采取相应的安全防护措施，穿戴防护服、手套、口罩和护目镜等，避免皮肤接触及口鼻吸入。施药期间不可吸烟、饮水及吃东西，施药后应及时洗手和洗脸等暴露部位皮肤并更换衣服。3.远离水产养殖区、河塘等水体施药；禁止在河塘等水体中清洗施药器具。4.一般情况下，使用本品不易产生药害，若用量过高，对作物抑制过度时，可增施氨肥或赤霉素解救。5.用过的容器应妥善处理。不能随意丢弃，也不能做他用。6. 禁止孕妇及哺乳期的妇女接触。</w:t>
            </w:r>
          </w:p>
        </w:tc>
      </w:tr>
      <w:tr w14:paraId="7938BA81">
        <w:tblPrEx>
          <w:tblCellMar>
            <w:top w:w="0" w:type="dxa"/>
            <w:left w:w="0" w:type="dxa"/>
            <w:bottom w:w="0" w:type="dxa"/>
            <w:right w:w="0" w:type="dxa"/>
          </w:tblCellMar>
        </w:tblPrEx>
        <w:trPr>
          <w:wBefore w:w="0" w:type="auto"/>
          <w:tblCellSpacing w:w="0" w:type="dxa"/>
        </w:trPr>
        <w:tc>
          <w:tcPr>
            <w:tcW w:w="0" w:type="auto"/>
            <w:noWrap w:val="0"/>
            <w:vAlign w:val="center"/>
          </w:tcPr>
          <w:p w14:paraId="76F471D7">
            <w:r>
              <w:rPr>
                <w:rStyle w:val="10"/>
                <w:rFonts w:hint="eastAsia"/>
              </w:rPr>
              <w:t>中毒急救措施：</w:t>
            </w:r>
            <w:r>
              <w:rPr>
                <w:rFonts w:hint="eastAsia"/>
              </w:rPr>
              <w:br w:type="textWrapping"/>
            </w:r>
            <w:r>
              <w:rPr>
                <w:rStyle w:val="11"/>
                <w:rFonts w:hint="eastAsia"/>
              </w:rPr>
              <w:t>本品对眼睛有刺激性。 使用中或使用后如果感觉不适，应立即停止工作，采取急救措施，并携带标签送医院就诊。 皮肤接触：脱去污染的衣物，用软布去除沾染农药，立即用大量清水和肥皂冲洗；眼睛溅入：立即用流动清水冲洗不少于15分钟；吸入：立即离开施药现场，转移到空气清新处；误食：立即停止服用，用清水充分漱口，立即携带农药标签到医院就诊 。本品无专用解毒剂，对症治疗。</w:t>
            </w:r>
          </w:p>
        </w:tc>
      </w:tr>
      <w:tr w14:paraId="4CA0F8B5">
        <w:tblPrEx>
          <w:tblCellMar>
            <w:top w:w="0" w:type="dxa"/>
            <w:left w:w="0" w:type="dxa"/>
            <w:bottom w:w="0" w:type="dxa"/>
            <w:right w:w="0" w:type="dxa"/>
          </w:tblCellMar>
        </w:tblPrEx>
        <w:trPr>
          <w:wBefore w:w="0" w:type="auto"/>
          <w:tblCellSpacing w:w="0" w:type="dxa"/>
        </w:trPr>
        <w:tc>
          <w:tcPr>
            <w:tcW w:w="0" w:type="auto"/>
            <w:noWrap w:val="0"/>
            <w:vAlign w:val="center"/>
          </w:tcPr>
          <w:p w14:paraId="5EEC35F8">
            <w:r>
              <w:rPr>
                <w:rStyle w:val="10"/>
                <w:rFonts w:hint="eastAsia"/>
              </w:rPr>
              <w:t>储存和运输方法：</w:t>
            </w:r>
            <w:r>
              <w:rPr>
                <w:rFonts w:hint="eastAsia"/>
              </w:rPr>
              <w:br w:type="textWrapping"/>
            </w:r>
            <w:r>
              <w:rPr>
                <w:rStyle w:val="11"/>
                <w:rFonts w:hint="eastAsia"/>
              </w:rPr>
              <w:t>本品应贮存在干燥、阴凉、通风、防雨处。远离火源和热源。运输时防雨防潮；装卸时轻卸轻放 。应当置于儿童、无关人员及动物接触不到的地方，并加锁保存。 勿与食品、种子、粮食、饲料、饮料等同贮同运。</w:t>
            </w:r>
          </w:p>
        </w:tc>
      </w:tr>
      <w:tr w14:paraId="446488E4">
        <w:tblPrEx>
          <w:tblCellMar>
            <w:top w:w="0" w:type="dxa"/>
            <w:left w:w="0" w:type="dxa"/>
            <w:bottom w:w="0" w:type="dxa"/>
            <w:right w:w="0" w:type="dxa"/>
          </w:tblCellMar>
        </w:tblPrEx>
        <w:trPr>
          <w:wBefore w:w="0" w:type="auto"/>
          <w:tblCellSpacing w:w="0" w:type="dxa"/>
        </w:trPr>
        <w:tc>
          <w:tcPr>
            <w:tcW w:w="0" w:type="auto"/>
            <w:noWrap w:val="0"/>
            <w:vAlign w:val="center"/>
          </w:tcPr>
          <w:p w14:paraId="105FF321">
            <w:r>
              <w:rPr>
                <w:rStyle w:val="10"/>
                <w:rFonts w:hint="eastAsia"/>
              </w:rPr>
              <w:t>质量保证期：</w:t>
            </w:r>
            <w:r>
              <w:rPr>
                <w:rStyle w:val="11"/>
                <w:rFonts w:hint="eastAsia"/>
              </w:rPr>
              <w:t>2年</w:t>
            </w:r>
          </w:p>
        </w:tc>
      </w:tr>
      <w:tr w14:paraId="1CD0946A">
        <w:tblPrEx>
          <w:tblCellMar>
            <w:top w:w="0" w:type="dxa"/>
            <w:left w:w="0" w:type="dxa"/>
            <w:bottom w:w="0" w:type="dxa"/>
            <w:right w:w="0" w:type="dxa"/>
          </w:tblCellMar>
        </w:tblPrEx>
        <w:trPr>
          <w:wBefore w:w="0" w:type="auto"/>
          <w:tblCellSpacing w:w="0" w:type="dxa"/>
        </w:trPr>
        <w:tc>
          <w:tcPr>
            <w:tcW w:w="0" w:type="auto"/>
            <w:noWrap w:val="0"/>
            <w:vAlign w:val="center"/>
          </w:tcPr>
          <w:p w14:paraId="3D03EB3C">
            <w:r>
              <w:rPr>
                <w:rStyle w:val="10"/>
                <w:rFonts w:hint="eastAsia"/>
              </w:rPr>
              <w:t>备注：</w:t>
            </w:r>
          </w:p>
        </w:tc>
      </w:tr>
    </w:tbl>
    <w:p w14:paraId="09A401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92650D">
        <w:tblPrEx>
          <w:tblCellMar>
            <w:top w:w="0" w:type="dxa"/>
            <w:left w:w="0" w:type="dxa"/>
            <w:bottom w:w="0" w:type="dxa"/>
            <w:right w:w="0" w:type="dxa"/>
          </w:tblCellMar>
        </w:tblPrEx>
        <w:trPr>
          <w:wBefore w:w="0" w:type="auto"/>
          <w:tblCellSpacing w:w="0" w:type="dxa"/>
        </w:trPr>
        <w:tc>
          <w:tcPr>
            <w:tcW w:w="0" w:type="auto"/>
            <w:noWrap w:val="0"/>
            <w:vAlign w:val="center"/>
          </w:tcPr>
          <w:p w14:paraId="40B7C1D2">
            <w:r>
              <w:rPr>
                <w:rStyle w:val="10"/>
                <w:rFonts w:hint="eastAsia"/>
              </w:rPr>
              <w:t>登记证号：</w:t>
            </w:r>
            <w:r>
              <w:rPr>
                <w:rFonts w:hint="eastAsia"/>
              </w:rPr>
              <w:t>PD20212574</w:t>
            </w:r>
          </w:p>
        </w:tc>
      </w:tr>
      <w:tr w14:paraId="5D61444A">
        <w:tblPrEx>
          <w:tblCellMar>
            <w:top w:w="0" w:type="dxa"/>
            <w:left w:w="0" w:type="dxa"/>
            <w:bottom w:w="0" w:type="dxa"/>
            <w:right w:w="0" w:type="dxa"/>
          </w:tblCellMar>
        </w:tblPrEx>
        <w:trPr>
          <w:wBefore w:w="0" w:type="auto"/>
          <w:tblCellSpacing w:w="0" w:type="dxa"/>
        </w:trPr>
        <w:tc>
          <w:tcPr>
            <w:tcW w:w="0" w:type="auto"/>
            <w:noWrap w:val="0"/>
            <w:vAlign w:val="center"/>
          </w:tcPr>
          <w:p w14:paraId="18A1A1A8">
            <w:r>
              <w:rPr>
                <w:rStyle w:val="10"/>
                <w:rFonts w:hint="eastAsia"/>
              </w:rPr>
              <w:t>登记证持有人：</w:t>
            </w:r>
            <w:r>
              <w:rPr>
                <w:rFonts w:hint="eastAsia"/>
              </w:rPr>
              <w:t>河南巴博斯生物科技有限公司</w:t>
            </w:r>
          </w:p>
        </w:tc>
      </w:tr>
      <w:tr w14:paraId="5B058BC0">
        <w:tblPrEx>
          <w:tblCellMar>
            <w:top w:w="0" w:type="dxa"/>
            <w:left w:w="0" w:type="dxa"/>
            <w:bottom w:w="0" w:type="dxa"/>
            <w:right w:w="0" w:type="dxa"/>
          </w:tblCellMar>
        </w:tblPrEx>
        <w:trPr>
          <w:wBefore w:w="0" w:type="auto"/>
          <w:tblCellSpacing w:w="0" w:type="dxa"/>
        </w:trPr>
        <w:tc>
          <w:tcPr>
            <w:tcW w:w="0" w:type="auto"/>
            <w:noWrap w:val="0"/>
            <w:vAlign w:val="center"/>
          </w:tcPr>
          <w:p w14:paraId="3EE0D534">
            <w:r>
              <w:rPr>
                <w:rStyle w:val="10"/>
                <w:rFonts w:hint="eastAsia"/>
              </w:rPr>
              <w:t>农药名称：</w:t>
            </w:r>
            <w:r>
              <w:rPr>
                <w:rFonts w:hint="eastAsia"/>
              </w:rPr>
              <w:t>草铵·草甘膦</w:t>
            </w:r>
          </w:p>
        </w:tc>
      </w:tr>
      <w:tr w14:paraId="3E497258">
        <w:tblPrEx>
          <w:tblCellMar>
            <w:top w:w="0" w:type="dxa"/>
            <w:left w:w="0" w:type="dxa"/>
            <w:bottom w:w="0" w:type="dxa"/>
            <w:right w:w="0" w:type="dxa"/>
          </w:tblCellMar>
        </w:tblPrEx>
        <w:trPr>
          <w:wBefore w:w="0" w:type="auto"/>
          <w:tblCellSpacing w:w="0" w:type="dxa"/>
        </w:trPr>
        <w:tc>
          <w:tcPr>
            <w:tcW w:w="0" w:type="auto"/>
            <w:noWrap w:val="0"/>
            <w:vAlign w:val="center"/>
          </w:tcPr>
          <w:p w14:paraId="709C7793">
            <w:r>
              <w:rPr>
                <w:rStyle w:val="10"/>
                <w:rFonts w:hint="eastAsia"/>
              </w:rPr>
              <w:t>剂型：</w:t>
            </w:r>
            <w:r>
              <w:rPr>
                <w:rFonts w:hint="eastAsia"/>
              </w:rPr>
              <w:t>可溶粒剂</w:t>
            </w:r>
          </w:p>
        </w:tc>
      </w:tr>
      <w:tr w14:paraId="7812363F">
        <w:tblPrEx>
          <w:tblCellMar>
            <w:top w:w="0" w:type="dxa"/>
            <w:left w:w="0" w:type="dxa"/>
            <w:bottom w:w="0" w:type="dxa"/>
            <w:right w:w="0" w:type="dxa"/>
          </w:tblCellMar>
        </w:tblPrEx>
        <w:trPr>
          <w:wBefore w:w="0" w:type="auto"/>
          <w:tblCellSpacing w:w="0" w:type="dxa"/>
        </w:trPr>
        <w:tc>
          <w:tcPr>
            <w:tcW w:w="0" w:type="auto"/>
            <w:noWrap w:val="0"/>
            <w:vAlign w:val="center"/>
          </w:tcPr>
          <w:p w14:paraId="3D6BBC27">
            <w:r>
              <w:rPr>
                <w:rStyle w:val="10"/>
                <w:rFonts w:hint="eastAsia"/>
              </w:rPr>
              <w:t>毒性及其标识：</w:t>
            </w:r>
            <w:r>
              <w:rPr>
                <w:rFonts w:hint="eastAsia"/>
              </w:rPr>
              <w:t xml:space="preserve"> </w:t>
            </w:r>
            <w:r>
              <w:rPr>
                <w:lang/>
              </w:rPr>
              <w:drawing>
                <wp:inline distT="0" distB="0" distL="114300" distR="114300">
                  <wp:extent cx="476250" cy="323850"/>
                  <wp:effectExtent l="0" t="0" r="0" b="0"/>
                  <wp:docPr id="335" name="图片 3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41DA03">
        <w:tblPrEx>
          <w:tblCellMar>
            <w:top w:w="0" w:type="dxa"/>
            <w:left w:w="0" w:type="dxa"/>
            <w:bottom w:w="0" w:type="dxa"/>
            <w:right w:w="0" w:type="dxa"/>
          </w:tblCellMar>
        </w:tblPrEx>
        <w:trPr>
          <w:wBefore w:w="0" w:type="auto"/>
          <w:tblCellSpacing w:w="0" w:type="dxa"/>
        </w:trPr>
        <w:tc>
          <w:tcPr>
            <w:tcW w:w="0" w:type="auto"/>
            <w:noWrap w:val="0"/>
            <w:vAlign w:val="center"/>
          </w:tcPr>
          <w:p w14:paraId="23991DC9">
            <w:r>
              <w:rPr>
                <w:rStyle w:val="10"/>
                <w:rFonts w:hint="eastAsia"/>
              </w:rPr>
              <w:t>总有效成分含量：</w:t>
            </w:r>
            <w:r>
              <w:rPr>
                <w:rFonts w:hint="eastAsia"/>
              </w:rPr>
              <w:t>80%</w:t>
            </w:r>
          </w:p>
        </w:tc>
      </w:tr>
      <w:tr w14:paraId="21EC81ED">
        <w:tblPrEx>
          <w:tblCellMar>
            <w:top w:w="0" w:type="dxa"/>
            <w:left w:w="0" w:type="dxa"/>
            <w:bottom w:w="0" w:type="dxa"/>
            <w:right w:w="0" w:type="dxa"/>
          </w:tblCellMar>
        </w:tblPrEx>
        <w:trPr>
          <w:wBefore w:w="0" w:type="auto"/>
          <w:tblCellSpacing w:w="0" w:type="dxa"/>
        </w:trPr>
        <w:tc>
          <w:tcPr>
            <w:tcW w:w="0" w:type="auto"/>
            <w:noWrap w:val="0"/>
            <w:vAlign w:val="center"/>
          </w:tcPr>
          <w:p w14:paraId="17D30181">
            <w:r>
              <w:rPr>
                <w:rFonts w:hint="eastAsia"/>
              </w:rPr>
              <w:t xml:space="preserve">有效成分及其含量： </w:t>
            </w:r>
          </w:p>
          <w:p w14:paraId="0CBEFA1B">
            <w:r>
              <w:rPr>
                <w:rFonts w:hint="eastAsia"/>
              </w:rPr>
              <w:t xml:space="preserve">    草甘膦60%    草铵膦20%    </w:t>
            </w:r>
          </w:p>
        </w:tc>
      </w:tr>
      <w:tr w14:paraId="4C2B1DFC">
        <w:tblPrEx>
          <w:tblCellMar>
            <w:top w:w="0" w:type="dxa"/>
            <w:left w:w="0" w:type="dxa"/>
            <w:bottom w:w="0" w:type="dxa"/>
            <w:right w:w="0" w:type="dxa"/>
          </w:tblCellMar>
        </w:tblPrEx>
        <w:trPr>
          <w:wBefore w:w="0" w:type="auto"/>
          <w:tblCellSpacing w:w="0" w:type="dxa"/>
        </w:trPr>
        <w:tc>
          <w:tcPr>
            <w:tcW w:w="0" w:type="auto"/>
            <w:noWrap w:val="0"/>
            <w:vAlign w:val="center"/>
          </w:tcPr>
          <w:p w14:paraId="7CE272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9021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BAC2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E2E0F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46C7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8CA416">
                  <w:r>
                    <w:rPr>
                      <w:rStyle w:val="11"/>
                      <w:rFonts w:hint="eastAsia"/>
                    </w:rPr>
                    <w:t>施用方式</w:t>
                  </w:r>
                </w:p>
              </w:tc>
            </w:tr>
            <w:tr w14:paraId="70491F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8B48A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10C88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DD600E">
                  <w:r>
                    <w:rPr>
                      <w:rStyle w:val="11"/>
                      <w:rFonts w:hint="eastAsia"/>
                    </w:rPr>
                    <w:t>100-160克/亩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2E9F01">
                  <w:r>
                    <w:rPr>
                      <w:rStyle w:val="11"/>
                      <w:rFonts w:hint="eastAsia"/>
                    </w:rPr>
                    <w:t>茎叶喷雾</w:t>
                  </w:r>
                </w:p>
              </w:tc>
            </w:tr>
          </w:tbl>
          <w:p w14:paraId="6FCBBA9C">
            <w:pPr>
              <w:rPr>
                <w:rFonts w:ascii="Times New Roman" w:hAnsi="Times New Roman" w:cs="Times New Roman"/>
                <w:sz w:val="20"/>
                <w:szCs w:val="20"/>
              </w:rPr>
            </w:pPr>
          </w:p>
        </w:tc>
      </w:tr>
      <w:tr w14:paraId="158766FA">
        <w:tblPrEx>
          <w:tblCellMar>
            <w:top w:w="0" w:type="dxa"/>
            <w:left w:w="0" w:type="dxa"/>
            <w:bottom w:w="0" w:type="dxa"/>
            <w:right w:w="0" w:type="dxa"/>
          </w:tblCellMar>
        </w:tblPrEx>
        <w:trPr>
          <w:wBefore w:w="0" w:type="auto"/>
          <w:tblCellSpacing w:w="0" w:type="dxa"/>
        </w:trPr>
        <w:tc>
          <w:tcPr>
            <w:tcW w:w="0" w:type="auto"/>
            <w:noWrap w:val="0"/>
            <w:vAlign w:val="center"/>
          </w:tcPr>
          <w:p w14:paraId="466B3C38">
            <w:r>
              <w:rPr>
                <w:rStyle w:val="10"/>
                <w:rFonts w:hint="eastAsia"/>
              </w:rPr>
              <w:t>使用技术要求:</w:t>
            </w:r>
            <w:r>
              <w:rPr>
                <w:rFonts w:hint="eastAsia"/>
              </w:rPr>
              <w:br w:type="textWrapping"/>
            </w:r>
            <w:r>
              <w:rPr>
                <w:rStyle w:val="11"/>
                <w:rFonts w:hint="eastAsia"/>
              </w:rPr>
              <w:t>1. 于非耕地杂草生长旺盛期施药，注意均匀茎叶喷雾，干旱及杂草密度较大或防除大龄杂草及多年生恶性杂草时，采用较高的推荐制剂用量。 2. 大风天或预计4小时内有雨请勿施药。 喷雾时应注意防止药液飘移到其他作物田上，以免产生药害。3. 禁止在田间道路、田埂、果树行间、休耕地、林场林地等农林业区域使用。</w:t>
            </w:r>
          </w:p>
        </w:tc>
      </w:tr>
      <w:tr w14:paraId="74D3BD72">
        <w:tblPrEx>
          <w:tblCellMar>
            <w:top w:w="0" w:type="dxa"/>
            <w:left w:w="0" w:type="dxa"/>
            <w:bottom w:w="0" w:type="dxa"/>
            <w:right w:w="0" w:type="dxa"/>
          </w:tblCellMar>
        </w:tblPrEx>
        <w:trPr>
          <w:wBefore w:w="0" w:type="auto"/>
          <w:tblCellSpacing w:w="0" w:type="dxa"/>
        </w:trPr>
        <w:tc>
          <w:tcPr>
            <w:tcW w:w="0" w:type="auto"/>
            <w:noWrap w:val="0"/>
            <w:vAlign w:val="center"/>
          </w:tcPr>
          <w:p w14:paraId="09910315">
            <w:r>
              <w:rPr>
                <w:rStyle w:val="10"/>
                <w:rFonts w:hint="eastAsia"/>
              </w:rPr>
              <w:t>产品性能:</w:t>
            </w:r>
            <w:r>
              <w:rPr>
                <w:rFonts w:hint="eastAsia"/>
              </w:rPr>
              <w:br w:type="textWrapping"/>
            </w:r>
            <w:r>
              <w:rPr>
                <w:rStyle w:val="11"/>
                <w:rFonts w:hint="eastAsia"/>
              </w:rPr>
              <w:t>本品是由草甘膦和草铵膦混配而成的灭生性除草剂；具有内吸和触杀作用。该产品具有活性高、除草速度快、杀草谱广、持效期长的特点。可用于杀灭非耕地一年生和多年生杂草。</w:t>
            </w:r>
          </w:p>
        </w:tc>
      </w:tr>
      <w:tr w14:paraId="00C16CC5">
        <w:tblPrEx>
          <w:tblCellMar>
            <w:top w:w="0" w:type="dxa"/>
            <w:left w:w="0" w:type="dxa"/>
            <w:bottom w:w="0" w:type="dxa"/>
            <w:right w:w="0" w:type="dxa"/>
          </w:tblCellMar>
        </w:tblPrEx>
        <w:trPr>
          <w:wBefore w:w="0" w:type="auto"/>
          <w:tblCellSpacing w:w="0" w:type="dxa"/>
        </w:trPr>
        <w:tc>
          <w:tcPr>
            <w:tcW w:w="0" w:type="auto"/>
            <w:noWrap w:val="0"/>
            <w:vAlign w:val="center"/>
          </w:tcPr>
          <w:p w14:paraId="38C81758">
            <w:r>
              <w:rPr>
                <w:rStyle w:val="10"/>
                <w:rFonts w:hint="eastAsia"/>
              </w:rPr>
              <w:t>注意事项：</w:t>
            </w:r>
            <w:r>
              <w:rPr>
                <w:rFonts w:hint="eastAsia"/>
              </w:rPr>
              <w:br w:type="textWrapping"/>
            </w:r>
            <w:r>
              <w:rPr>
                <w:rStyle w:val="11"/>
                <w:rFonts w:hint="eastAsia"/>
              </w:rPr>
              <w:t>1. 用药后5天内请勿割草、放牧、耕地等。 2. 本品对眼睛有刺激性，使用时避免接触眼睛，穿戴长衣、长裤、帽子、口罩、手套等防护措施。避免皮肤接触及口鼻吸入药液。使用中不可吸烟、饮水和吃东西等；使用后及时清洗手、脸等暴露部位皮肤并更换衣物。 3. 远离水产养殖区、河塘等水体施药。不得将剩余药液倒入河塘湖泊等水体中。禁止在河塘等水域清洗施药器具。 4. 蚕室及桑园附近禁用。5. 用过的容器应妥善处理不可作他用，也不可随意丢弃。 6.避免孕妇及哺乳期妇女接触。</w:t>
            </w:r>
          </w:p>
        </w:tc>
      </w:tr>
      <w:tr w14:paraId="190F2DA1">
        <w:tblPrEx>
          <w:tblCellMar>
            <w:top w:w="0" w:type="dxa"/>
            <w:left w:w="0" w:type="dxa"/>
            <w:bottom w:w="0" w:type="dxa"/>
            <w:right w:w="0" w:type="dxa"/>
          </w:tblCellMar>
        </w:tblPrEx>
        <w:trPr>
          <w:wBefore w:w="0" w:type="auto"/>
          <w:tblCellSpacing w:w="0" w:type="dxa"/>
        </w:trPr>
        <w:tc>
          <w:tcPr>
            <w:tcW w:w="0" w:type="auto"/>
            <w:noWrap w:val="0"/>
            <w:vAlign w:val="center"/>
          </w:tcPr>
          <w:p w14:paraId="77B02845">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 皮肤接触：脱去污染的衣物，用软布去除沾染农药，用大量清水和肥皂冲洗。 2. 眼睛溅入：立即用流动清水冲洗不少于15分钟。 3. 吸入：立即离开施药现场，转移到空气清新处。 4. 误食：立即停止服用，用清水充分漱口后，立即携带标签送医院就诊。 5. 无特效解毒剂，对症治疗。</w:t>
            </w:r>
          </w:p>
        </w:tc>
      </w:tr>
      <w:tr w14:paraId="35A28423">
        <w:tblPrEx>
          <w:tblCellMar>
            <w:top w:w="0" w:type="dxa"/>
            <w:left w:w="0" w:type="dxa"/>
            <w:bottom w:w="0" w:type="dxa"/>
            <w:right w:w="0" w:type="dxa"/>
          </w:tblCellMar>
        </w:tblPrEx>
        <w:trPr>
          <w:wBefore w:w="0" w:type="auto"/>
          <w:tblCellSpacing w:w="0" w:type="dxa"/>
        </w:trPr>
        <w:tc>
          <w:tcPr>
            <w:tcW w:w="0" w:type="auto"/>
            <w:noWrap w:val="0"/>
            <w:vAlign w:val="center"/>
          </w:tcPr>
          <w:p w14:paraId="62E182C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32A59326">
        <w:tblPrEx>
          <w:tblCellMar>
            <w:top w:w="0" w:type="dxa"/>
            <w:left w:w="0" w:type="dxa"/>
            <w:bottom w:w="0" w:type="dxa"/>
            <w:right w:w="0" w:type="dxa"/>
          </w:tblCellMar>
        </w:tblPrEx>
        <w:trPr>
          <w:wBefore w:w="0" w:type="auto"/>
          <w:tblCellSpacing w:w="0" w:type="dxa"/>
        </w:trPr>
        <w:tc>
          <w:tcPr>
            <w:tcW w:w="0" w:type="auto"/>
            <w:noWrap w:val="0"/>
            <w:vAlign w:val="center"/>
          </w:tcPr>
          <w:p w14:paraId="3A703C80">
            <w:r>
              <w:rPr>
                <w:rStyle w:val="10"/>
                <w:rFonts w:hint="eastAsia"/>
              </w:rPr>
              <w:t>质量保证期：</w:t>
            </w:r>
            <w:r>
              <w:rPr>
                <w:rStyle w:val="11"/>
                <w:rFonts w:hint="eastAsia"/>
              </w:rPr>
              <w:t>2年</w:t>
            </w:r>
          </w:p>
        </w:tc>
      </w:tr>
      <w:tr w14:paraId="7D8D3BB3">
        <w:tblPrEx>
          <w:tblCellMar>
            <w:top w:w="0" w:type="dxa"/>
            <w:left w:w="0" w:type="dxa"/>
            <w:bottom w:w="0" w:type="dxa"/>
            <w:right w:w="0" w:type="dxa"/>
          </w:tblCellMar>
        </w:tblPrEx>
        <w:trPr>
          <w:wBefore w:w="0" w:type="auto"/>
          <w:tblCellSpacing w:w="0" w:type="dxa"/>
        </w:trPr>
        <w:tc>
          <w:tcPr>
            <w:tcW w:w="0" w:type="auto"/>
            <w:noWrap w:val="0"/>
            <w:vAlign w:val="center"/>
          </w:tcPr>
          <w:p w14:paraId="541E202A">
            <w:r>
              <w:rPr>
                <w:rStyle w:val="10"/>
                <w:rFonts w:hint="eastAsia"/>
              </w:rPr>
              <w:t>备注：</w:t>
            </w:r>
            <w:r>
              <w:rPr>
                <w:rFonts w:hint="eastAsia"/>
              </w:rPr>
              <w:br w:type="textWrapping"/>
            </w:r>
            <w:r>
              <w:rPr>
                <w:rStyle w:val="11"/>
                <w:rFonts w:hint="eastAsia"/>
              </w:rPr>
              <w:t>草甘膦铵盐66%。</w:t>
            </w:r>
          </w:p>
        </w:tc>
      </w:tr>
    </w:tbl>
    <w:p w14:paraId="3B6089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79E21A">
        <w:tblPrEx>
          <w:tblCellMar>
            <w:top w:w="0" w:type="dxa"/>
            <w:left w:w="0" w:type="dxa"/>
            <w:bottom w:w="0" w:type="dxa"/>
            <w:right w:w="0" w:type="dxa"/>
          </w:tblCellMar>
        </w:tblPrEx>
        <w:trPr>
          <w:wBefore w:w="0" w:type="auto"/>
          <w:tblCellSpacing w:w="0" w:type="dxa"/>
        </w:trPr>
        <w:tc>
          <w:tcPr>
            <w:tcW w:w="0" w:type="auto"/>
            <w:noWrap w:val="0"/>
            <w:vAlign w:val="center"/>
          </w:tcPr>
          <w:p w14:paraId="604906E6">
            <w:r>
              <w:rPr>
                <w:rStyle w:val="10"/>
                <w:rFonts w:hint="eastAsia"/>
              </w:rPr>
              <w:t>登记证号：</w:t>
            </w:r>
            <w:r>
              <w:rPr>
                <w:rFonts w:hint="eastAsia"/>
              </w:rPr>
              <w:t>PD20212595</w:t>
            </w:r>
          </w:p>
        </w:tc>
      </w:tr>
      <w:tr w14:paraId="41CD8094">
        <w:tblPrEx>
          <w:tblCellMar>
            <w:top w:w="0" w:type="dxa"/>
            <w:left w:w="0" w:type="dxa"/>
            <w:bottom w:w="0" w:type="dxa"/>
            <w:right w:w="0" w:type="dxa"/>
          </w:tblCellMar>
        </w:tblPrEx>
        <w:trPr>
          <w:wBefore w:w="0" w:type="auto"/>
          <w:tblCellSpacing w:w="0" w:type="dxa"/>
        </w:trPr>
        <w:tc>
          <w:tcPr>
            <w:tcW w:w="0" w:type="auto"/>
            <w:noWrap w:val="0"/>
            <w:vAlign w:val="center"/>
          </w:tcPr>
          <w:p w14:paraId="048514C2">
            <w:r>
              <w:rPr>
                <w:rStyle w:val="10"/>
                <w:rFonts w:hint="eastAsia"/>
              </w:rPr>
              <w:t>登记证持有人：</w:t>
            </w:r>
            <w:r>
              <w:rPr>
                <w:rFonts w:hint="eastAsia"/>
              </w:rPr>
              <w:t>安徽富田农化有限公司</w:t>
            </w:r>
          </w:p>
        </w:tc>
      </w:tr>
      <w:tr w14:paraId="4B139625">
        <w:tblPrEx>
          <w:tblCellMar>
            <w:top w:w="0" w:type="dxa"/>
            <w:left w:w="0" w:type="dxa"/>
            <w:bottom w:w="0" w:type="dxa"/>
            <w:right w:w="0" w:type="dxa"/>
          </w:tblCellMar>
        </w:tblPrEx>
        <w:trPr>
          <w:wBefore w:w="0" w:type="auto"/>
          <w:tblCellSpacing w:w="0" w:type="dxa"/>
        </w:trPr>
        <w:tc>
          <w:tcPr>
            <w:tcW w:w="0" w:type="auto"/>
            <w:noWrap w:val="0"/>
            <w:vAlign w:val="center"/>
          </w:tcPr>
          <w:p w14:paraId="508065AD">
            <w:r>
              <w:rPr>
                <w:rStyle w:val="10"/>
                <w:rFonts w:hint="eastAsia"/>
              </w:rPr>
              <w:t>农药名称：</w:t>
            </w:r>
            <w:r>
              <w:rPr>
                <w:rFonts w:hint="eastAsia"/>
              </w:rPr>
              <w:t>甲草胺</w:t>
            </w:r>
          </w:p>
        </w:tc>
      </w:tr>
      <w:tr w14:paraId="696C468E">
        <w:tblPrEx>
          <w:tblCellMar>
            <w:top w:w="0" w:type="dxa"/>
            <w:left w:w="0" w:type="dxa"/>
            <w:bottom w:w="0" w:type="dxa"/>
            <w:right w:w="0" w:type="dxa"/>
          </w:tblCellMar>
        </w:tblPrEx>
        <w:trPr>
          <w:wBefore w:w="0" w:type="auto"/>
          <w:tblCellSpacing w:w="0" w:type="dxa"/>
        </w:trPr>
        <w:tc>
          <w:tcPr>
            <w:tcW w:w="0" w:type="auto"/>
            <w:noWrap w:val="0"/>
            <w:vAlign w:val="center"/>
          </w:tcPr>
          <w:p w14:paraId="62E4EB91">
            <w:r>
              <w:rPr>
                <w:rStyle w:val="10"/>
                <w:rFonts w:hint="eastAsia"/>
              </w:rPr>
              <w:t>剂型：</w:t>
            </w:r>
            <w:r>
              <w:rPr>
                <w:rFonts w:hint="eastAsia"/>
              </w:rPr>
              <w:t>乳油</w:t>
            </w:r>
          </w:p>
        </w:tc>
      </w:tr>
      <w:tr w14:paraId="372A5672">
        <w:tblPrEx>
          <w:tblCellMar>
            <w:top w:w="0" w:type="dxa"/>
            <w:left w:w="0" w:type="dxa"/>
            <w:bottom w:w="0" w:type="dxa"/>
            <w:right w:w="0" w:type="dxa"/>
          </w:tblCellMar>
        </w:tblPrEx>
        <w:trPr>
          <w:wBefore w:w="0" w:type="auto"/>
          <w:tblCellSpacing w:w="0" w:type="dxa"/>
        </w:trPr>
        <w:tc>
          <w:tcPr>
            <w:tcW w:w="0" w:type="auto"/>
            <w:noWrap w:val="0"/>
            <w:vAlign w:val="center"/>
          </w:tcPr>
          <w:p w14:paraId="343C3934">
            <w:r>
              <w:rPr>
                <w:rStyle w:val="10"/>
                <w:rFonts w:hint="eastAsia"/>
              </w:rPr>
              <w:t>毒性及其标识：</w:t>
            </w:r>
            <w:r>
              <w:rPr>
                <w:rFonts w:hint="eastAsia"/>
              </w:rPr>
              <w:t xml:space="preserve"> </w:t>
            </w:r>
            <w:r>
              <w:rPr>
                <w:lang/>
              </w:rPr>
              <w:drawing>
                <wp:inline distT="0" distB="0" distL="114300" distR="114300">
                  <wp:extent cx="476250" cy="323850"/>
                  <wp:effectExtent l="0" t="0" r="0" b="0"/>
                  <wp:docPr id="336" name="图片 3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E576AFA">
        <w:tblPrEx>
          <w:tblCellMar>
            <w:top w:w="0" w:type="dxa"/>
            <w:left w:w="0" w:type="dxa"/>
            <w:bottom w:w="0" w:type="dxa"/>
            <w:right w:w="0" w:type="dxa"/>
          </w:tblCellMar>
        </w:tblPrEx>
        <w:trPr>
          <w:wBefore w:w="0" w:type="auto"/>
          <w:tblCellSpacing w:w="0" w:type="dxa"/>
        </w:trPr>
        <w:tc>
          <w:tcPr>
            <w:tcW w:w="0" w:type="auto"/>
            <w:noWrap w:val="0"/>
            <w:vAlign w:val="center"/>
          </w:tcPr>
          <w:p w14:paraId="32040259">
            <w:r>
              <w:rPr>
                <w:rStyle w:val="10"/>
                <w:rFonts w:hint="eastAsia"/>
              </w:rPr>
              <w:t>总有效成分含量：</w:t>
            </w:r>
            <w:r>
              <w:rPr>
                <w:rFonts w:hint="eastAsia"/>
              </w:rPr>
              <w:t>480克/升</w:t>
            </w:r>
          </w:p>
        </w:tc>
      </w:tr>
      <w:tr w14:paraId="625605F1">
        <w:tblPrEx>
          <w:tblCellMar>
            <w:top w:w="0" w:type="dxa"/>
            <w:left w:w="0" w:type="dxa"/>
            <w:bottom w:w="0" w:type="dxa"/>
            <w:right w:w="0" w:type="dxa"/>
          </w:tblCellMar>
        </w:tblPrEx>
        <w:trPr>
          <w:wBefore w:w="0" w:type="auto"/>
          <w:tblCellSpacing w:w="0" w:type="dxa"/>
        </w:trPr>
        <w:tc>
          <w:tcPr>
            <w:tcW w:w="0" w:type="auto"/>
            <w:noWrap w:val="0"/>
            <w:vAlign w:val="center"/>
          </w:tcPr>
          <w:p w14:paraId="5669BF60">
            <w:r>
              <w:rPr>
                <w:rFonts w:hint="eastAsia"/>
              </w:rPr>
              <w:t xml:space="preserve">有效成分及其含量： </w:t>
            </w:r>
          </w:p>
          <w:p w14:paraId="2D8743F9">
            <w:r>
              <w:rPr>
                <w:rFonts w:hint="eastAsia"/>
              </w:rPr>
              <w:t xml:space="preserve">    甲草胺480克/升    </w:t>
            </w:r>
          </w:p>
        </w:tc>
      </w:tr>
      <w:tr w14:paraId="1E9600CB">
        <w:tblPrEx>
          <w:tblCellMar>
            <w:top w:w="0" w:type="dxa"/>
            <w:left w:w="0" w:type="dxa"/>
            <w:bottom w:w="0" w:type="dxa"/>
            <w:right w:w="0" w:type="dxa"/>
          </w:tblCellMar>
        </w:tblPrEx>
        <w:trPr>
          <w:wBefore w:w="0" w:type="auto"/>
          <w:tblCellSpacing w:w="0" w:type="dxa"/>
        </w:trPr>
        <w:tc>
          <w:tcPr>
            <w:tcW w:w="0" w:type="auto"/>
            <w:noWrap w:val="0"/>
            <w:vAlign w:val="center"/>
          </w:tcPr>
          <w:p w14:paraId="1A13913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CE03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9D19D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9D3C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B487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8586DA">
                  <w:r>
                    <w:rPr>
                      <w:rStyle w:val="11"/>
                      <w:rFonts w:hint="eastAsia"/>
                    </w:rPr>
                    <w:t>施用方式</w:t>
                  </w:r>
                </w:p>
              </w:tc>
            </w:tr>
            <w:tr w14:paraId="433AC8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CA7486">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70E70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68856E">
                  <w:r>
                    <w:rPr>
                      <w:rStyle w:val="11"/>
                      <w:rFonts w:hint="eastAsia"/>
                    </w:rPr>
                    <w:t>350-400毫升/亩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FA4993">
                  <w:r>
                    <w:rPr>
                      <w:rStyle w:val="11"/>
                      <w:rFonts w:hint="eastAsia"/>
                    </w:rPr>
                    <w:t>土壤喷雾</w:t>
                  </w:r>
                </w:p>
              </w:tc>
            </w:tr>
          </w:tbl>
          <w:p w14:paraId="1CC666F1">
            <w:pPr>
              <w:rPr>
                <w:rFonts w:ascii="Times New Roman" w:hAnsi="Times New Roman" w:cs="Times New Roman"/>
                <w:sz w:val="20"/>
                <w:szCs w:val="20"/>
              </w:rPr>
            </w:pPr>
          </w:p>
        </w:tc>
      </w:tr>
      <w:tr w14:paraId="58A8E3D6">
        <w:tblPrEx>
          <w:tblCellMar>
            <w:top w:w="0" w:type="dxa"/>
            <w:left w:w="0" w:type="dxa"/>
            <w:bottom w:w="0" w:type="dxa"/>
            <w:right w:w="0" w:type="dxa"/>
          </w:tblCellMar>
        </w:tblPrEx>
        <w:trPr>
          <w:wBefore w:w="0" w:type="auto"/>
          <w:tblCellSpacing w:w="0" w:type="dxa"/>
        </w:trPr>
        <w:tc>
          <w:tcPr>
            <w:tcW w:w="0" w:type="auto"/>
            <w:noWrap w:val="0"/>
            <w:vAlign w:val="center"/>
          </w:tcPr>
          <w:p w14:paraId="0023EFCD">
            <w:r>
              <w:rPr>
                <w:rStyle w:val="10"/>
                <w:rFonts w:hint="eastAsia"/>
              </w:rPr>
              <w:t>使用技术要求:</w:t>
            </w:r>
            <w:r>
              <w:rPr>
                <w:rFonts w:hint="eastAsia"/>
              </w:rPr>
              <w:br w:type="textWrapping"/>
            </w:r>
            <w:r>
              <w:rPr>
                <w:rStyle w:val="11"/>
                <w:rFonts w:hint="eastAsia"/>
              </w:rPr>
              <w:t>1. 本品应于春大豆播后苗前，杂草出苗前，每亩兑水30～50升，均匀喷洒于土壤表面。2、高粱、谷子、水稻、小麦、黄瓜、瓜类、胡萝卜、韭菜、菠菜不宜使用甲草胺，喷雾应在无风或微风天进行，以防药液飘移危害邻近敏感作物产生药害。3. 土壤湿度大有利提高防效，药后如遇干旱不能灌溉，土壤积水易发生药害，要结合中耕松土，镇压措施确保防效。4. 每季作物最多使用1次。</w:t>
            </w:r>
          </w:p>
        </w:tc>
      </w:tr>
      <w:tr w14:paraId="4AEC51E7">
        <w:tblPrEx>
          <w:tblCellMar>
            <w:top w:w="0" w:type="dxa"/>
            <w:left w:w="0" w:type="dxa"/>
            <w:bottom w:w="0" w:type="dxa"/>
            <w:right w:w="0" w:type="dxa"/>
          </w:tblCellMar>
        </w:tblPrEx>
        <w:trPr>
          <w:wBefore w:w="0" w:type="auto"/>
          <w:tblCellSpacing w:w="0" w:type="dxa"/>
        </w:trPr>
        <w:tc>
          <w:tcPr>
            <w:tcW w:w="0" w:type="auto"/>
            <w:noWrap w:val="0"/>
            <w:vAlign w:val="center"/>
          </w:tcPr>
          <w:p w14:paraId="7A966AB0">
            <w:r>
              <w:rPr>
                <w:rStyle w:val="10"/>
                <w:rFonts w:hint="eastAsia"/>
              </w:rPr>
              <w:t>产品性能:</w:t>
            </w:r>
            <w:r>
              <w:rPr>
                <w:rFonts w:hint="eastAsia"/>
              </w:rPr>
              <w:br w:type="textWrapping"/>
            </w:r>
            <w:r>
              <w:rPr>
                <w:rStyle w:val="11"/>
                <w:rFonts w:hint="eastAsia"/>
              </w:rPr>
              <w:t>本品为酰胺类选择性芽前除草剂，安全性较高，进入植物体内抑制蛋白酶活动，使蛋白质无法合成，造成芽和根停止生长，使不定根无法形成，整株逐渐枯死，可用于防除春大豆田里的一年生杂草。</w:t>
            </w:r>
          </w:p>
        </w:tc>
      </w:tr>
      <w:tr w14:paraId="3265FD4E">
        <w:tblPrEx>
          <w:tblCellMar>
            <w:top w:w="0" w:type="dxa"/>
            <w:left w:w="0" w:type="dxa"/>
            <w:bottom w:w="0" w:type="dxa"/>
            <w:right w:w="0" w:type="dxa"/>
          </w:tblCellMar>
        </w:tblPrEx>
        <w:trPr>
          <w:wBefore w:w="0" w:type="auto"/>
          <w:tblCellSpacing w:w="0" w:type="dxa"/>
        </w:trPr>
        <w:tc>
          <w:tcPr>
            <w:tcW w:w="0" w:type="auto"/>
            <w:noWrap w:val="0"/>
            <w:vAlign w:val="center"/>
          </w:tcPr>
          <w:p w14:paraId="4931C882">
            <w:r>
              <w:rPr>
                <w:rStyle w:val="10"/>
                <w:rFonts w:hint="eastAsia"/>
              </w:rPr>
              <w:t>注意事项：</w:t>
            </w:r>
            <w:r>
              <w:rPr>
                <w:rFonts w:hint="eastAsia"/>
              </w:rPr>
              <w:br w:type="textWrapping"/>
            </w:r>
            <w:r>
              <w:rPr>
                <w:rStyle w:val="11"/>
                <w:rFonts w:hint="eastAsia"/>
              </w:rPr>
              <w:t>1. 本品对鱼类等水生生物有毒，对鸟类和家蚕高风险。水产养殖区、河塘等水体附近禁用，禁止在河塘等水体中清洗施药器具，施药后的田水和清洗施药器具的水也不能直接排入河塘等水体；鸟类保护区附近禁用；蚕室及桑园附近禁用。 2. 本品对眼睛有刺激性，使用时避免接触眼睛，穿戴长衣、长裤、帽子、口罩、手套等防护措施。，避免皮肤接触及口鼻吸入。使用中不可吸烟、饮水及吃东西，使用后及时清洗手、脸等暴露部位皮肤并更换衣物。 3. 用过的容器应妥善处理，不可做他用，也不可随意丢弃。 4. 建议与作用机制不同的除草剂轮换使用，以延缓抗性产生。 5. 禁止儿童、孕妇和哺乳期妇女接触。 6. 过敏者禁用，使用中有任何不良反应请及时就医。</w:t>
            </w:r>
          </w:p>
        </w:tc>
      </w:tr>
      <w:tr w14:paraId="5B19D87F">
        <w:tblPrEx>
          <w:tblCellMar>
            <w:top w:w="0" w:type="dxa"/>
            <w:left w:w="0" w:type="dxa"/>
            <w:bottom w:w="0" w:type="dxa"/>
            <w:right w:w="0" w:type="dxa"/>
          </w:tblCellMar>
        </w:tblPrEx>
        <w:trPr>
          <w:wBefore w:w="0" w:type="auto"/>
          <w:tblCellSpacing w:w="0" w:type="dxa"/>
        </w:trPr>
        <w:tc>
          <w:tcPr>
            <w:tcW w:w="0" w:type="auto"/>
            <w:noWrap w:val="0"/>
            <w:vAlign w:val="center"/>
          </w:tcPr>
          <w:p w14:paraId="3BA54DCD">
            <w:r>
              <w:rPr>
                <w:rStyle w:val="10"/>
                <w:rFonts w:hint="eastAsia"/>
              </w:rPr>
              <w:t>中毒急救措施：</w:t>
            </w:r>
            <w:r>
              <w:rPr>
                <w:rFonts w:hint="eastAsia"/>
              </w:rPr>
              <w:br w:type="textWrapping"/>
            </w:r>
            <w:r>
              <w:rPr>
                <w:rStyle w:val="11"/>
                <w:rFonts w:hint="eastAsia"/>
              </w:rPr>
              <w:t xml:space="preserve">中毒症状：表现为头痛、头晕、恶心、呕吐、胸闷、嘴唇及指尖发紫；可能对皮肤、眼、呼吸道有刺激作用。 中毒急救：1. 一般建议：使用中或使用后如果感觉不适，应立即停止工作，采取急救措施，并携带标签送医院就诊。2. 如皮肤接触：立即脱掉被污染的衣物，用肥皂和大量清水彻底清洗，如仍有不适，应立即就医；3. 如误入眼睛：立即用大量清水冲洗至少15分钟，如仍有不适，应立即就医；4. 如误吸入：不慎吸入时，将患者移到空气新鲜处，使其保持温暖和休息，如仍有不适，应立即就医；5）如误食：不慎误服，立即携标签送医院。本品无特效解毒剂，请对症治疗。洗胃时应注意保护气管和食管。 </w:t>
            </w:r>
          </w:p>
        </w:tc>
      </w:tr>
      <w:tr w14:paraId="29248EBC">
        <w:tblPrEx>
          <w:tblCellMar>
            <w:top w:w="0" w:type="dxa"/>
            <w:left w:w="0" w:type="dxa"/>
            <w:bottom w:w="0" w:type="dxa"/>
            <w:right w:w="0" w:type="dxa"/>
          </w:tblCellMar>
        </w:tblPrEx>
        <w:trPr>
          <w:wBefore w:w="0" w:type="auto"/>
          <w:tblCellSpacing w:w="0" w:type="dxa"/>
        </w:trPr>
        <w:tc>
          <w:tcPr>
            <w:tcW w:w="0" w:type="auto"/>
            <w:noWrap w:val="0"/>
            <w:vAlign w:val="center"/>
          </w:tcPr>
          <w:p w14:paraId="10D5A10C">
            <w:r>
              <w:rPr>
                <w:rStyle w:val="10"/>
                <w:rFonts w:hint="eastAsia"/>
              </w:rPr>
              <w:t>储存和运输方法：</w:t>
            </w:r>
            <w:r>
              <w:rPr>
                <w:rFonts w:hint="eastAsia"/>
              </w:rPr>
              <w:br w:type="textWrapping"/>
            </w:r>
            <w:r>
              <w:rPr>
                <w:rStyle w:val="11"/>
                <w:rFonts w:hint="eastAsia"/>
              </w:rPr>
              <w:t>本品应贮存在通风、干燥的库房中。贮运时，严防潮湿和日晒，本产品闭口闪点较低，避免高温储运，远离火源或热源。置于儿童、无关人员及动物接触不到的地方，并加锁保存。不能与食品、饮料、粮食、饲料等混合储存。</w:t>
            </w:r>
          </w:p>
        </w:tc>
      </w:tr>
      <w:tr w14:paraId="4F03E8E2">
        <w:tblPrEx>
          <w:tblCellMar>
            <w:top w:w="0" w:type="dxa"/>
            <w:left w:w="0" w:type="dxa"/>
            <w:bottom w:w="0" w:type="dxa"/>
            <w:right w:w="0" w:type="dxa"/>
          </w:tblCellMar>
        </w:tblPrEx>
        <w:trPr>
          <w:wBefore w:w="0" w:type="auto"/>
          <w:tblCellSpacing w:w="0" w:type="dxa"/>
        </w:trPr>
        <w:tc>
          <w:tcPr>
            <w:tcW w:w="0" w:type="auto"/>
            <w:noWrap w:val="0"/>
            <w:vAlign w:val="center"/>
          </w:tcPr>
          <w:p w14:paraId="0C9B0E59">
            <w:r>
              <w:rPr>
                <w:rStyle w:val="10"/>
                <w:rFonts w:hint="eastAsia"/>
              </w:rPr>
              <w:t>质量保证期：</w:t>
            </w:r>
            <w:r>
              <w:rPr>
                <w:rStyle w:val="11"/>
                <w:rFonts w:hint="eastAsia"/>
              </w:rPr>
              <w:t>2年</w:t>
            </w:r>
          </w:p>
        </w:tc>
      </w:tr>
      <w:tr w14:paraId="21EA42D2">
        <w:tblPrEx>
          <w:tblCellMar>
            <w:top w:w="0" w:type="dxa"/>
            <w:left w:w="0" w:type="dxa"/>
            <w:bottom w:w="0" w:type="dxa"/>
            <w:right w:w="0" w:type="dxa"/>
          </w:tblCellMar>
        </w:tblPrEx>
        <w:trPr>
          <w:wBefore w:w="0" w:type="auto"/>
          <w:tblCellSpacing w:w="0" w:type="dxa"/>
        </w:trPr>
        <w:tc>
          <w:tcPr>
            <w:tcW w:w="0" w:type="auto"/>
            <w:noWrap w:val="0"/>
            <w:vAlign w:val="center"/>
          </w:tcPr>
          <w:p w14:paraId="01DEE1CE">
            <w:r>
              <w:rPr>
                <w:rStyle w:val="10"/>
                <w:rFonts w:hint="eastAsia"/>
              </w:rPr>
              <w:t>备注：</w:t>
            </w:r>
          </w:p>
        </w:tc>
      </w:tr>
    </w:tbl>
    <w:p w14:paraId="252C25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AF8801">
        <w:tblPrEx>
          <w:tblCellMar>
            <w:top w:w="0" w:type="dxa"/>
            <w:left w:w="0" w:type="dxa"/>
            <w:bottom w:w="0" w:type="dxa"/>
            <w:right w:w="0" w:type="dxa"/>
          </w:tblCellMar>
        </w:tblPrEx>
        <w:trPr>
          <w:wBefore w:w="0" w:type="auto"/>
          <w:tblCellSpacing w:w="0" w:type="dxa"/>
        </w:trPr>
        <w:tc>
          <w:tcPr>
            <w:tcW w:w="0" w:type="auto"/>
            <w:noWrap w:val="0"/>
            <w:vAlign w:val="center"/>
          </w:tcPr>
          <w:p w14:paraId="4637AB7C">
            <w:r>
              <w:rPr>
                <w:rStyle w:val="10"/>
                <w:rFonts w:hint="eastAsia"/>
              </w:rPr>
              <w:t>登记证号：</w:t>
            </w:r>
            <w:r>
              <w:rPr>
                <w:rFonts w:hint="eastAsia"/>
              </w:rPr>
              <w:t>PD20212764</w:t>
            </w:r>
          </w:p>
        </w:tc>
      </w:tr>
      <w:tr w14:paraId="3BE332AC">
        <w:tblPrEx>
          <w:tblCellMar>
            <w:top w:w="0" w:type="dxa"/>
            <w:left w:w="0" w:type="dxa"/>
            <w:bottom w:w="0" w:type="dxa"/>
            <w:right w:w="0" w:type="dxa"/>
          </w:tblCellMar>
        </w:tblPrEx>
        <w:trPr>
          <w:wBefore w:w="0" w:type="auto"/>
          <w:tblCellSpacing w:w="0" w:type="dxa"/>
        </w:trPr>
        <w:tc>
          <w:tcPr>
            <w:tcW w:w="0" w:type="auto"/>
            <w:noWrap w:val="0"/>
            <w:vAlign w:val="center"/>
          </w:tcPr>
          <w:p w14:paraId="2C531828">
            <w:r>
              <w:rPr>
                <w:rStyle w:val="10"/>
                <w:rFonts w:hint="eastAsia"/>
              </w:rPr>
              <w:t>登记证持有人：</w:t>
            </w:r>
            <w:r>
              <w:rPr>
                <w:rFonts w:hint="eastAsia"/>
              </w:rPr>
              <w:t>江苏建农植物保护有限公司</w:t>
            </w:r>
          </w:p>
        </w:tc>
      </w:tr>
      <w:tr w14:paraId="15B9EE82">
        <w:tblPrEx>
          <w:tblCellMar>
            <w:top w:w="0" w:type="dxa"/>
            <w:left w:w="0" w:type="dxa"/>
            <w:bottom w:w="0" w:type="dxa"/>
            <w:right w:w="0" w:type="dxa"/>
          </w:tblCellMar>
        </w:tblPrEx>
        <w:trPr>
          <w:wBefore w:w="0" w:type="auto"/>
          <w:tblCellSpacing w:w="0" w:type="dxa"/>
        </w:trPr>
        <w:tc>
          <w:tcPr>
            <w:tcW w:w="0" w:type="auto"/>
            <w:noWrap w:val="0"/>
            <w:vAlign w:val="center"/>
          </w:tcPr>
          <w:p w14:paraId="21C332AD">
            <w:r>
              <w:rPr>
                <w:rStyle w:val="10"/>
                <w:rFonts w:hint="eastAsia"/>
              </w:rPr>
              <w:t>农药名称：</w:t>
            </w:r>
            <w:r>
              <w:rPr>
                <w:rFonts w:hint="eastAsia"/>
              </w:rPr>
              <w:t>1-甲基环丙烯</w:t>
            </w:r>
          </w:p>
        </w:tc>
      </w:tr>
      <w:tr w14:paraId="094F0DF4">
        <w:tblPrEx>
          <w:tblCellMar>
            <w:top w:w="0" w:type="dxa"/>
            <w:left w:w="0" w:type="dxa"/>
            <w:bottom w:w="0" w:type="dxa"/>
            <w:right w:w="0" w:type="dxa"/>
          </w:tblCellMar>
        </w:tblPrEx>
        <w:trPr>
          <w:wBefore w:w="0" w:type="auto"/>
          <w:tblCellSpacing w:w="0" w:type="dxa"/>
        </w:trPr>
        <w:tc>
          <w:tcPr>
            <w:tcW w:w="0" w:type="auto"/>
            <w:noWrap w:val="0"/>
            <w:vAlign w:val="center"/>
          </w:tcPr>
          <w:p w14:paraId="77DFAC36">
            <w:r>
              <w:rPr>
                <w:rStyle w:val="10"/>
                <w:rFonts w:hint="eastAsia"/>
              </w:rPr>
              <w:t>剂型：</w:t>
            </w:r>
            <w:r>
              <w:rPr>
                <w:rFonts w:hint="eastAsia"/>
              </w:rPr>
              <w:t>粉剂</w:t>
            </w:r>
          </w:p>
        </w:tc>
      </w:tr>
      <w:tr w14:paraId="261FE435">
        <w:tblPrEx>
          <w:tblCellMar>
            <w:top w:w="0" w:type="dxa"/>
            <w:left w:w="0" w:type="dxa"/>
            <w:bottom w:w="0" w:type="dxa"/>
            <w:right w:w="0" w:type="dxa"/>
          </w:tblCellMar>
        </w:tblPrEx>
        <w:trPr>
          <w:wBefore w:w="0" w:type="auto"/>
          <w:tblCellSpacing w:w="0" w:type="dxa"/>
        </w:trPr>
        <w:tc>
          <w:tcPr>
            <w:tcW w:w="0" w:type="auto"/>
            <w:noWrap w:val="0"/>
            <w:vAlign w:val="center"/>
          </w:tcPr>
          <w:p w14:paraId="1BF9E95D">
            <w:r>
              <w:rPr>
                <w:rStyle w:val="10"/>
                <w:rFonts w:hint="eastAsia"/>
              </w:rPr>
              <w:t>毒性及其标识：</w:t>
            </w:r>
            <w:r>
              <w:rPr>
                <w:rFonts w:hint="eastAsia"/>
              </w:rPr>
              <w:t xml:space="preserve"> </w:t>
            </w:r>
            <w:r>
              <w:rPr>
                <w:lang/>
              </w:rPr>
              <w:drawing>
                <wp:inline distT="0" distB="0" distL="114300" distR="114300">
                  <wp:extent cx="476250" cy="323850"/>
                  <wp:effectExtent l="0" t="0" r="0" b="0"/>
                  <wp:docPr id="337" name="图片 3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31C6D5">
        <w:tblPrEx>
          <w:tblCellMar>
            <w:top w:w="0" w:type="dxa"/>
            <w:left w:w="0" w:type="dxa"/>
            <w:bottom w:w="0" w:type="dxa"/>
            <w:right w:w="0" w:type="dxa"/>
          </w:tblCellMar>
        </w:tblPrEx>
        <w:trPr>
          <w:wBefore w:w="0" w:type="auto"/>
          <w:tblCellSpacing w:w="0" w:type="dxa"/>
        </w:trPr>
        <w:tc>
          <w:tcPr>
            <w:tcW w:w="0" w:type="auto"/>
            <w:noWrap w:val="0"/>
            <w:vAlign w:val="center"/>
          </w:tcPr>
          <w:p w14:paraId="5B0F1822">
            <w:r>
              <w:rPr>
                <w:rStyle w:val="10"/>
                <w:rFonts w:hint="eastAsia"/>
              </w:rPr>
              <w:t>总有效成分含量：</w:t>
            </w:r>
            <w:r>
              <w:rPr>
                <w:rFonts w:hint="eastAsia"/>
              </w:rPr>
              <w:t>0.03%</w:t>
            </w:r>
          </w:p>
        </w:tc>
      </w:tr>
      <w:tr w14:paraId="22351319">
        <w:tblPrEx>
          <w:tblCellMar>
            <w:top w:w="0" w:type="dxa"/>
            <w:left w:w="0" w:type="dxa"/>
            <w:bottom w:w="0" w:type="dxa"/>
            <w:right w:w="0" w:type="dxa"/>
          </w:tblCellMar>
        </w:tblPrEx>
        <w:trPr>
          <w:wBefore w:w="0" w:type="auto"/>
          <w:tblCellSpacing w:w="0" w:type="dxa"/>
        </w:trPr>
        <w:tc>
          <w:tcPr>
            <w:tcW w:w="0" w:type="auto"/>
            <w:noWrap w:val="0"/>
            <w:vAlign w:val="center"/>
          </w:tcPr>
          <w:p w14:paraId="7ED2F16A">
            <w:r>
              <w:rPr>
                <w:rFonts w:hint="eastAsia"/>
              </w:rPr>
              <w:t xml:space="preserve">有效成分及其含量： </w:t>
            </w:r>
          </w:p>
          <w:p w14:paraId="5D15885A">
            <w:r>
              <w:rPr>
                <w:rFonts w:hint="eastAsia"/>
              </w:rPr>
              <w:t xml:space="preserve">    1-甲基环丙烯0.03%    </w:t>
            </w:r>
          </w:p>
        </w:tc>
      </w:tr>
      <w:tr w14:paraId="200BA209">
        <w:tblPrEx>
          <w:tblCellMar>
            <w:top w:w="0" w:type="dxa"/>
            <w:left w:w="0" w:type="dxa"/>
            <w:bottom w:w="0" w:type="dxa"/>
            <w:right w:w="0" w:type="dxa"/>
          </w:tblCellMar>
        </w:tblPrEx>
        <w:trPr>
          <w:wBefore w:w="0" w:type="auto"/>
          <w:tblCellSpacing w:w="0" w:type="dxa"/>
        </w:trPr>
        <w:tc>
          <w:tcPr>
            <w:tcW w:w="0" w:type="auto"/>
            <w:noWrap w:val="0"/>
            <w:vAlign w:val="center"/>
          </w:tcPr>
          <w:p w14:paraId="108177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627F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00E2B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57007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156B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656FDC">
                  <w:r>
                    <w:rPr>
                      <w:rStyle w:val="11"/>
                      <w:rFonts w:hint="eastAsia"/>
                    </w:rPr>
                    <w:t>施用方式</w:t>
                  </w:r>
                </w:p>
              </w:tc>
            </w:tr>
            <w:tr w14:paraId="501FCC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A39ECE">
                  <w:r>
                    <w:rPr>
                      <w:rStyle w:val="11"/>
                      <w:rFonts w:hint="eastAsia"/>
                    </w:rPr>
                    <w:t>苹果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FFF601">
                  <w:r>
                    <w:rPr>
                      <w:rStyle w:val="11"/>
                      <w:rFonts w:hint="eastAsia"/>
                    </w:rPr>
                    <w:t>保鲜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353A7C">
                  <w:r>
                    <w:rPr>
                      <w:rStyle w:val="11"/>
                      <w:rFonts w:hint="eastAsia"/>
                    </w:rPr>
                    <w:t>15-25克/立方米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DA0D24">
                  <w:r>
                    <w:rPr>
                      <w:rStyle w:val="11"/>
                      <w:rFonts w:hint="eastAsia"/>
                    </w:rPr>
                    <w:t>密闭熏蒸</w:t>
                  </w:r>
                </w:p>
              </w:tc>
            </w:tr>
            <w:tr w14:paraId="7171F5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E656DA">
                  <w:r>
                    <w:rPr>
                      <w:rStyle w:val="11"/>
                      <w:rFonts w:hint="eastAsia"/>
                    </w:rPr>
                    <w:t>猕猴桃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4F4D11">
                  <w:r>
                    <w:rPr>
                      <w:rStyle w:val="11"/>
                      <w:rFonts w:hint="eastAsia"/>
                    </w:rPr>
                    <w:t>保鲜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6F56E0">
                  <w:r>
                    <w:rPr>
                      <w:rStyle w:val="11"/>
                      <w:rFonts w:hint="eastAsia"/>
                    </w:rPr>
                    <w:t>2-4克/立方米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1C4F4D">
                  <w:r>
                    <w:rPr>
                      <w:rStyle w:val="11"/>
                      <w:rFonts w:hint="eastAsia"/>
                    </w:rPr>
                    <w:t>密闭熏蒸</w:t>
                  </w:r>
                </w:p>
              </w:tc>
            </w:tr>
          </w:tbl>
          <w:p w14:paraId="4C6CBA93">
            <w:pPr>
              <w:rPr>
                <w:rFonts w:ascii="Times New Roman" w:hAnsi="Times New Roman" w:cs="Times New Roman"/>
                <w:sz w:val="20"/>
                <w:szCs w:val="20"/>
              </w:rPr>
            </w:pPr>
          </w:p>
        </w:tc>
      </w:tr>
      <w:tr w14:paraId="29BC6482">
        <w:tblPrEx>
          <w:tblCellMar>
            <w:top w:w="0" w:type="dxa"/>
            <w:left w:w="0" w:type="dxa"/>
            <w:bottom w:w="0" w:type="dxa"/>
            <w:right w:w="0" w:type="dxa"/>
          </w:tblCellMar>
        </w:tblPrEx>
        <w:trPr>
          <w:wBefore w:w="0" w:type="auto"/>
          <w:tblCellSpacing w:w="0" w:type="dxa"/>
        </w:trPr>
        <w:tc>
          <w:tcPr>
            <w:tcW w:w="0" w:type="auto"/>
            <w:noWrap w:val="0"/>
            <w:vAlign w:val="center"/>
          </w:tcPr>
          <w:p w14:paraId="5550753A">
            <w:r>
              <w:rPr>
                <w:rStyle w:val="10"/>
                <w:rFonts w:hint="eastAsia"/>
              </w:rPr>
              <w:t>使用技术要求:</w:t>
            </w:r>
            <w:r>
              <w:rPr>
                <w:rFonts w:hint="eastAsia"/>
              </w:rPr>
              <w:br w:type="textWrapping"/>
            </w:r>
            <w:r>
              <w:rPr>
                <w:rStyle w:val="11"/>
                <w:rFonts w:hint="eastAsia"/>
              </w:rPr>
              <w:t>准备贮藏的苹果、猕猴桃应于采收后24小时内尽快使用本品处理。在推荐剂量下，室温条件下密闭熏蒸24小时，保鲜效果较好。</w:t>
            </w:r>
          </w:p>
        </w:tc>
      </w:tr>
      <w:tr w14:paraId="10EA6773">
        <w:tblPrEx>
          <w:tblCellMar>
            <w:top w:w="0" w:type="dxa"/>
            <w:left w:w="0" w:type="dxa"/>
            <w:bottom w:w="0" w:type="dxa"/>
            <w:right w:w="0" w:type="dxa"/>
          </w:tblCellMar>
        </w:tblPrEx>
        <w:trPr>
          <w:wBefore w:w="0" w:type="auto"/>
          <w:tblCellSpacing w:w="0" w:type="dxa"/>
        </w:trPr>
        <w:tc>
          <w:tcPr>
            <w:tcW w:w="0" w:type="auto"/>
            <w:noWrap w:val="0"/>
            <w:vAlign w:val="center"/>
          </w:tcPr>
          <w:p w14:paraId="3C38B6F5">
            <w:r>
              <w:rPr>
                <w:rStyle w:val="10"/>
                <w:rFonts w:hint="eastAsia"/>
              </w:rPr>
              <w:t>产品性能:</w:t>
            </w:r>
            <w:r>
              <w:rPr>
                <w:rFonts w:hint="eastAsia"/>
              </w:rPr>
              <w:br w:type="textWrapping"/>
            </w:r>
            <w:r>
              <w:rPr>
                <w:rStyle w:val="11"/>
                <w:rFonts w:hint="eastAsia"/>
              </w:rPr>
              <w:t>本品通过阻断乙烯和受体蛋白的结合，延缓植物细胞衰老，延长保鲜期，可用于苹果、猕猴桃保鲜。</w:t>
            </w:r>
          </w:p>
        </w:tc>
      </w:tr>
      <w:tr w14:paraId="4AE3C66B">
        <w:tblPrEx>
          <w:tblCellMar>
            <w:top w:w="0" w:type="dxa"/>
            <w:left w:w="0" w:type="dxa"/>
            <w:bottom w:w="0" w:type="dxa"/>
            <w:right w:w="0" w:type="dxa"/>
          </w:tblCellMar>
        </w:tblPrEx>
        <w:trPr>
          <w:wBefore w:w="0" w:type="auto"/>
          <w:tblCellSpacing w:w="0" w:type="dxa"/>
        </w:trPr>
        <w:tc>
          <w:tcPr>
            <w:tcW w:w="0" w:type="auto"/>
            <w:noWrap w:val="0"/>
            <w:vAlign w:val="center"/>
          </w:tcPr>
          <w:p w14:paraId="4278507E">
            <w:r>
              <w:rPr>
                <w:rStyle w:val="10"/>
                <w:rFonts w:hint="eastAsia"/>
              </w:rPr>
              <w:t>注意事项：</w:t>
            </w:r>
            <w:r>
              <w:rPr>
                <w:rFonts w:hint="eastAsia"/>
              </w:rPr>
              <w:br w:type="textWrapping"/>
            </w:r>
            <w:r>
              <w:rPr>
                <w:rStyle w:val="11"/>
                <w:rFonts w:hint="eastAsia"/>
              </w:rPr>
              <w:t>1.严格按照使用说明使用。仅限于室内密闭空间使用，不得与其他产品混用。 2.使用本品应采取相应的安全防护措施，穿防护服，戴防护手套、口罩等，避免皮肤接触及口鼻吸入。使用中不可吸烟、饮水及吃东西，使用后及时清洗手、脸等暴露部位皮肤并更换衣物。 3.药剂或其包装不得污染水源，包装材料不得重复使用。 4.用过的容器应妥善处理，不可做他用，也不可随意丢弃。 5.禁止儿童、孕妇及哺乳期妇女接触该药剂。</w:t>
            </w:r>
          </w:p>
        </w:tc>
      </w:tr>
      <w:tr w14:paraId="00F0555A">
        <w:tblPrEx>
          <w:tblCellMar>
            <w:top w:w="0" w:type="dxa"/>
            <w:left w:w="0" w:type="dxa"/>
            <w:bottom w:w="0" w:type="dxa"/>
            <w:right w:w="0" w:type="dxa"/>
          </w:tblCellMar>
        </w:tblPrEx>
        <w:trPr>
          <w:wBefore w:w="0" w:type="auto"/>
          <w:tblCellSpacing w:w="0" w:type="dxa"/>
        </w:trPr>
        <w:tc>
          <w:tcPr>
            <w:tcW w:w="0" w:type="auto"/>
            <w:noWrap w:val="0"/>
            <w:vAlign w:val="center"/>
          </w:tcPr>
          <w:p w14:paraId="4CE91F19">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误食：立即停止服用，用清水充分漱口后，携带农药标签到医院就诊。无特效解毒剂，对症治疗。 </w:t>
            </w:r>
          </w:p>
        </w:tc>
      </w:tr>
      <w:tr w14:paraId="1C457E81">
        <w:tblPrEx>
          <w:tblCellMar>
            <w:top w:w="0" w:type="dxa"/>
            <w:left w:w="0" w:type="dxa"/>
            <w:bottom w:w="0" w:type="dxa"/>
            <w:right w:w="0" w:type="dxa"/>
          </w:tblCellMar>
        </w:tblPrEx>
        <w:trPr>
          <w:wBefore w:w="0" w:type="auto"/>
          <w:tblCellSpacing w:w="0" w:type="dxa"/>
        </w:trPr>
        <w:tc>
          <w:tcPr>
            <w:tcW w:w="0" w:type="auto"/>
            <w:noWrap w:val="0"/>
            <w:vAlign w:val="center"/>
          </w:tcPr>
          <w:p w14:paraId="37624C83">
            <w:r>
              <w:rPr>
                <w:rStyle w:val="10"/>
                <w:rFonts w:hint="eastAsia"/>
              </w:rPr>
              <w:t>储存和运输方法：</w:t>
            </w:r>
            <w:r>
              <w:rPr>
                <w:rFonts w:hint="eastAsia"/>
              </w:rPr>
              <w:br w:type="textWrapping"/>
            </w:r>
            <w:r>
              <w:rPr>
                <w:rStyle w:val="11"/>
                <w:rFonts w:hint="eastAsia"/>
              </w:rPr>
              <w:t>本品应贮存在干燥、阴凉、通风、防雨处，严防潮湿和日晒。远离热源或火源。置于儿童接触不到的地方，并加锁保存。不能与食品、饮料、粮食、饲料等混合储存。</w:t>
            </w:r>
          </w:p>
        </w:tc>
      </w:tr>
      <w:tr w14:paraId="2518A9AF">
        <w:tblPrEx>
          <w:tblCellMar>
            <w:top w:w="0" w:type="dxa"/>
            <w:left w:w="0" w:type="dxa"/>
            <w:bottom w:w="0" w:type="dxa"/>
            <w:right w:w="0" w:type="dxa"/>
          </w:tblCellMar>
        </w:tblPrEx>
        <w:trPr>
          <w:wBefore w:w="0" w:type="auto"/>
          <w:tblCellSpacing w:w="0" w:type="dxa"/>
        </w:trPr>
        <w:tc>
          <w:tcPr>
            <w:tcW w:w="0" w:type="auto"/>
            <w:noWrap w:val="0"/>
            <w:vAlign w:val="center"/>
          </w:tcPr>
          <w:p w14:paraId="33A90C69">
            <w:r>
              <w:rPr>
                <w:rStyle w:val="10"/>
                <w:rFonts w:hint="eastAsia"/>
              </w:rPr>
              <w:t>质量保证期：</w:t>
            </w:r>
            <w:r>
              <w:rPr>
                <w:rStyle w:val="11"/>
                <w:rFonts w:hint="eastAsia"/>
              </w:rPr>
              <w:t>2年</w:t>
            </w:r>
          </w:p>
        </w:tc>
      </w:tr>
      <w:tr w14:paraId="1984151B">
        <w:tblPrEx>
          <w:tblCellMar>
            <w:top w:w="0" w:type="dxa"/>
            <w:left w:w="0" w:type="dxa"/>
            <w:bottom w:w="0" w:type="dxa"/>
            <w:right w:w="0" w:type="dxa"/>
          </w:tblCellMar>
        </w:tblPrEx>
        <w:trPr>
          <w:wBefore w:w="0" w:type="auto"/>
          <w:tblCellSpacing w:w="0" w:type="dxa"/>
        </w:trPr>
        <w:tc>
          <w:tcPr>
            <w:tcW w:w="0" w:type="auto"/>
            <w:noWrap w:val="0"/>
            <w:vAlign w:val="center"/>
          </w:tcPr>
          <w:p w14:paraId="3BCA937D">
            <w:r>
              <w:rPr>
                <w:rStyle w:val="10"/>
                <w:rFonts w:hint="eastAsia"/>
              </w:rPr>
              <w:t>备注：</w:t>
            </w:r>
          </w:p>
        </w:tc>
      </w:tr>
    </w:tbl>
    <w:p w14:paraId="324CF5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5A4480">
        <w:tblPrEx>
          <w:tblCellMar>
            <w:top w:w="0" w:type="dxa"/>
            <w:left w:w="0" w:type="dxa"/>
            <w:bottom w:w="0" w:type="dxa"/>
            <w:right w:w="0" w:type="dxa"/>
          </w:tblCellMar>
        </w:tblPrEx>
        <w:trPr>
          <w:wBefore w:w="0" w:type="auto"/>
          <w:tblCellSpacing w:w="0" w:type="dxa"/>
        </w:trPr>
        <w:tc>
          <w:tcPr>
            <w:tcW w:w="0" w:type="auto"/>
            <w:noWrap w:val="0"/>
            <w:vAlign w:val="center"/>
          </w:tcPr>
          <w:p w14:paraId="343E447E">
            <w:r>
              <w:rPr>
                <w:rStyle w:val="10"/>
                <w:rFonts w:hint="eastAsia"/>
              </w:rPr>
              <w:t>登记证号：</w:t>
            </w:r>
            <w:r>
              <w:rPr>
                <w:rFonts w:hint="eastAsia"/>
              </w:rPr>
              <w:t>PD20212768</w:t>
            </w:r>
          </w:p>
        </w:tc>
      </w:tr>
      <w:tr w14:paraId="3EE52FF5">
        <w:tblPrEx>
          <w:tblCellMar>
            <w:top w:w="0" w:type="dxa"/>
            <w:left w:w="0" w:type="dxa"/>
            <w:bottom w:w="0" w:type="dxa"/>
            <w:right w:w="0" w:type="dxa"/>
          </w:tblCellMar>
        </w:tblPrEx>
        <w:trPr>
          <w:wBefore w:w="0" w:type="auto"/>
          <w:tblCellSpacing w:w="0" w:type="dxa"/>
        </w:trPr>
        <w:tc>
          <w:tcPr>
            <w:tcW w:w="0" w:type="auto"/>
            <w:noWrap w:val="0"/>
            <w:vAlign w:val="center"/>
          </w:tcPr>
          <w:p w14:paraId="61AF24CB">
            <w:r>
              <w:rPr>
                <w:rStyle w:val="10"/>
                <w:rFonts w:hint="eastAsia"/>
              </w:rPr>
              <w:t>登记证持有人：</w:t>
            </w:r>
            <w:r>
              <w:rPr>
                <w:rFonts w:hint="eastAsia"/>
              </w:rPr>
              <w:t>河南瀚正益农农业科技有限公司</w:t>
            </w:r>
          </w:p>
        </w:tc>
      </w:tr>
      <w:tr w14:paraId="45A9484D">
        <w:tblPrEx>
          <w:tblCellMar>
            <w:top w:w="0" w:type="dxa"/>
            <w:left w:w="0" w:type="dxa"/>
            <w:bottom w:w="0" w:type="dxa"/>
            <w:right w:w="0" w:type="dxa"/>
          </w:tblCellMar>
        </w:tblPrEx>
        <w:trPr>
          <w:wBefore w:w="0" w:type="auto"/>
          <w:tblCellSpacing w:w="0" w:type="dxa"/>
        </w:trPr>
        <w:tc>
          <w:tcPr>
            <w:tcW w:w="0" w:type="auto"/>
            <w:noWrap w:val="0"/>
            <w:vAlign w:val="center"/>
          </w:tcPr>
          <w:p w14:paraId="56B1E769">
            <w:r>
              <w:rPr>
                <w:rStyle w:val="10"/>
                <w:rFonts w:hint="eastAsia"/>
              </w:rPr>
              <w:t>农药名称：</w:t>
            </w:r>
            <w:r>
              <w:rPr>
                <w:rFonts w:hint="eastAsia"/>
              </w:rPr>
              <w:t>苄氨·赤霉酸</w:t>
            </w:r>
          </w:p>
        </w:tc>
      </w:tr>
      <w:tr w14:paraId="63320697">
        <w:tblPrEx>
          <w:tblCellMar>
            <w:top w:w="0" w:type="dxa"/>
            <w:left w:w="0" w:type="dxa"/>
            <w:bottom w:w="0" w:type="dxa"/>
            <w:right w:w="0" w:type="dxa"/>
          </w:tblCellMar>
        </w:tblPrEx>
        <w:trPr>
          <w:wBefore w:w="0" w:type="auto"/>
          <w:tblCellSpacing w:w="0" w:type="dxa"/>
        </w:trPr>
        <w:tc>
          <w:tcPr>
            <w:tcW w:w="0" w:type="auto"/>
            <w:noWrap w:val="0"/>
            <w:vAlign w:val="center"/>
          </w:tcPr>
          <w:p w14:paraId="2D797079">
            <w:r>
              <w:rPr>
                <w:rStyle w:val="10"/>
                <w:rFonts w:hint="eastAsia"/>
              </w:rPr>
              <w:t>剂型：</w:t>
            </w:r>
            <w:r>
              <w:rPr>
                <w:rFonts w:hint="eastAsia"/>
              </w:rPr>
              <w:t>可溶液剂</w:t>
            </w:r>
          </w:p>
        </w:tc>
      </w:tr>
      <w:tr w14:paraId="734226D5">
        <w:tblPrEx>
          <w:tblCellMar>
            <w:top w:w="0" w:type="dxa"/>
            <w:left w:w="0" w:type="dxa"/>
            <w:bottom w:w="0" w:type="dxa"/>
            <w:right w:w="0" w:type="dxa"/>
          </w:tblCellMar>
        </w:tblPrEx>
        <w:trPr>
          <w:wBefore w:w="0" w:type="auto"/>
          <w:tblCellSpacing w:w="0" w:type="dxa"/>
        </w:trPr>
        <w:tc>
          <w:tcPr>
            <w:tcW w:w="0" w:type="auto"/>
            <w:noWrap w:val="0"/>
            <w:vAlign w:val="center"/>
          </w:tcPr>
          <w:p w14:paraId="2FC8FAFF">
            <w:r>
              <w:rPr>
                <w:rStyle w:val="10"/>
                <w:rFonts w:hint="eastAsia"/>
              </w:rPr>
              <w:t>毒性及其标识：</w:t>
            </w:r>
            <w:r>
              <w:rPr>
                <w:rFonts w:hint="eastAsia"/>
              </w:rPr>
              <w:t xml:space="preserve"> </w:t>
            </w:r>
            <w:r>
              <w:rPr>
                <w:lang/>
              </w:rPr>
              <w:drawing>
                <wp:inline distT="0" distB="0" distL="114300" distR="114300">
                  <wp:extent cx="476250" cy="323850"/>
                  <wp:effectExtent l="0" t="0" r="0" b="0"/>
                  <wp:docPr id="338" name="图片 3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6292E6">
        <w:tblPrEx>
          <w:tblCellMar>
            <w:top w:w="0" w:type="dxa"/>
            <w:left w:w="0" w:type="dxa"/>
            <w:bottom w:w="0" w:type="dxa"/>
            <w:right w:w="0" w:type="dxa"/>
          </w:tblCellMar>
        </w:tblPrEx>
        <w:trPr>
          <w:wBefore w:w="0" w:type="auto"/>
          <w:tblCellSpacing w:w="0" w:type="dxa"/>
        </w:trPr>
        <w:tc>
          <w:tcPr>
            <w:tcW w:w="0" w:type="auto"/>
            <w:noWrap w:val="0"/>
            <w:vAlign w:val="center"/>
          </w:tcPr>
          <w:p w14:paraId="681E0771">
            <w:r>
              <w:rPr>
                <w:rStyle w:val="10"/>
                <w:rFonts w:hint="eastAsia"/>
              </w:rPr>
              <w:t>总有效成分含量：</w:t>
            </w:r>
            <w:r>
              <w:rPr>
                <w:rFonts w:hint="eastAsia"/>
              </w:rPr>
              <w:t>3.6%</w:t>
            </w:r>
          </w:p>
        </w:tc>
      </w:tr>
      <w:tr w14:paraId="63567230">
        <w:tblPrEx>
          <w:tblCellMar>
            <w:top w:w="0" w:type="dxa"/>
            <w:left w:w="0" w:type="dxa"/>
            <w:bottom w:w="0" w:type="dxa"/>
            <w:right w:w="0" w:type="dxa"/>
          </w:tblCellMar>
        </w:tblPrEx>
        <w:trPr>
          <w:wBefore w:w="0" w:type="auto"/>
          <w:tblCellSpacing w:w="0" w:type="dxa"/>
        </w:trPr>
        <w:tc>
          <w:tcPr>
            <w:tcW w:w="0" w:type="auto"/>
            <w:noWrap w:val="0"/>
            <w:vAlign w:val="center"/>
          </w:tcPr>
          <w:p w14:paraId="2BC27BE0">
            <w:r>
              <w:rPr>
                <w:rFonts w:hint="eastAsia"/>
              </w:rPr>
              <w:t xml:space="preserve">有效成分及其含量： </w:t>
            </w:r>
          </w:p>
          <w:p w14:paraId="52921877">
            <w:r>
              <w:rPr>
                <w:rFonts w:hint="eastAsia"/>
              </w:rPr>
              <w:t xml:space="preserve">    赤霉酸A4+A71.8%    苄氨基嘌呤1.8%    </w:t>
            </w:r>
          </w:p>
        </w:tc>
      </w:tr>
      <w:tr w14:paraId="39B40BAB">
        <w:tblPrEx>
          <w:tblCellMar>
            <w:top w:w="0" w:type="dxa"/>
            <w:left w:w="0" w:type="dxa"/>
            <w:bottom w:w="0" w:type="dxa"/>
            <w:right w:w="0" w:type="dxa"/>
          </w:tblCellMar>
        </w:tblPrEx>
        <w:trPr>
          <w:wBefore w:w="0" w:type="auto"/>
          <w:tblCellSpacing w:w="0" w:type="dxa"/>
        </w:trPr>
        <w:tc>
          <w:tcPr>
            <w:tcW w:w="0" w:type="auto"/>
            <w:noWrap w:val="0"/>
            <w:vAlign w:val="center"/>
          </w:tcPr>
          <w:p w14:paraId="5F63B4A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0FD4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89621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D4E7E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1C59F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C2248F">
                  <w:r>
                    <w:rPr>
                      <w:rStyle w:val="11"/>
                      <w:rFonts w:hint="eastAsia"/>
                    </w:rPr>
                    <w:t>施用方式</w:t>
                  </w:r>
                </w:p>
              </w:tc>
            </w:tr>
            <w:tr w14:paraId="11A9F8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B1B2F1">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5E0FFB">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B5BE28">
                  <w:r>
                    <w:rPr>
                      <w:rStyle w:val="11"/>
                      <w:rFonts w:hint="eastAsia"/>
                    </w:rPr>
                    <w:t>600-800倍液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BE4C3A">
                  <w:r>
                    <w:rPr>
                      <w:rStyle w:val="11"/>
                      <w:rFonts w:hint="eastAsia"/>
                    </w:rPr>
                    <w:t>喷雾</w:t>
                  </w:r>
                </w:p>
              </w:tc>
            </w:tr>
          </w:tbl>
          <w:p w14:paraId="4F5F87D3">
            <w:pPr>
              <w:rPr>
                <w:rFonts w:ascii="Times New Roman" w:hAnsi="Times New Roman" w:cs="Times New Roman"/>
                <w:sz w:val="20"/>
                <w:szCs w:val="20"/>
              </w:rPr>
            </w:pPr>
          </w:p>
        </w:tc>
      </w:tr>
      <w:tr w14:paraId="3EA687FF">
        <w:tblPrEx>
          <w:tblCellMar>
            <w:top w:w="0" w:type="dxa"/>
            <w:left w:w="0" w:type="dxa"/>
            <w:bottom w:w="0" w:type="dxa"/>
            <w:right w:w="0" w:type="dxa"/>
          </w:tblCellMar>
        </w:tblPrEx>
        <w:trPr>
          <w:wBefore w:w="0" w:type="auto"/>
          <w:tblCellSpacing w:w="0" w:type="dxa"/>
        </w:trPr>
        <w:tc>
          <w:tcPr>
            <w:tcW w:w="0" w:type="auto"/>
            <w:noWrap w:val="0"/>
            <w:vAlign w:val="center"/>
          </w:tcPr>
          <w:p w14:paraId="12B85A96">
            <w:r>
              <w:rPr>
                <w:rStyle w:val="10"/>
                <w:rFonts w:hint="eastAsia"/>
              </w:rPr>
              <w:t>使用技术要求:</w:t>
            </w:r>
            <w:r>
              <w:rPr>
                <w:rFonts w:hint="eastAsia"/>
              </w:rPr>
              <w:br w:type="textWrapping"/>
            </w:r>
            <w:r>
              <w:rPr>
                <w:rStyle w:val="11"/>
                <w:rFonts w:hint="eastAsia"/>
              </w:rPr>
              <w:t xml:space="preserve">1、 在苹果树盛花期至幼果期各喷雾一次，共施药2次。全株均匀喷雾； 2、以喷湿不滴水为度，力求均匀周到，勿重复喷施； 3、一般在早晨或傍晚施药，避免在高温烈日下使用。风天或预计1小时内降雨，请勿施药。 </w:t>
            </w:r>
          </w:p>
        </w:tc>
      </w:tr>
      <w:tr w14:paraId="105512FD">
        <w:tblPrEx>
          <w:tblCellMar>
            <w:top w:w="0" w:type="dxa"/>
            <w:left w:w="0" w:type="dxa"/>
            <w:bottom w:w="0" w:type="dxa"/>
            <w:right w:w="0" w:type="dxa"/>
          </w:tblCellMar>
        </w:tblPrEx>
        <w:trPr>
          <w:wBefore w:w="0" w:type="auto"/>
          <w:tblCellSpacing w:w="0" w:type="dxa"/>
        </w:trPr>
        <w:tc>
          <w:tcPr>
            <w:tcW w:w="0" w:type="auto"/>
            <w:noWrap w:val="0"/>
            <w:vAlign w:val="center"/>
          </w:tcPr>
          <w:p w14:paraId="67307345">
            <w:r>
              <w:rPr>
                <w:rStyle w:val="10"/>
                <w:rFonts w:hint="eastAsia"/>
              </w:rPr>
              <w:t>产品性能:</w:t>
            </w:r>
            <w:r>
              <w:rPr>
                <w:rFonts w:hint="eastAsia"/>
              </w:rPr>
              <w:br w:type="textWrapping"/>
            </w:r>
            <w:r>
              <w:rPr>
                <w:rStyle w:val="11"/>
                <w:rFonts w:hint="eastAsia"/>
              </w:rPr>
              <w:t xml:space="preserve">本品是由赤霉酸和苄氨基嘌呤复配而成，可促进作物花芽分化，催花促花，花茎伸长，促进幼果细胞分裂，细胞膨大，促进单性结实和果实生长，而达到提高座果率，保花保果的效果；本品还可激活细胞活力、增大叶片、促进作物生长、缓解逆境障碍等。 </w:t>
            </w:r>
          </w:p>
        </w:tc>
      </w:tr>
      <w:tr w14:paraId="365927D3">
        <w:tblPrEx>
          <w:tblCellMar>
            <w:top w:w="0" w:type="dxa"/>
            <w:left w:w="0" w:type="dxa"/>
            <w:bottom w:w="0" w:type="dxa"/>
            <w:right w:w="0" w:type="dxa"/>
          </w:tblCellMar>
        </w:tblPrEx>
        <w:trPr>
          <w:wBefore w:w="0" w:type="auto"/>
          <w:tblCellSpacing w:w="0" w:type="dxa"/>
        </w:trPr>
        <w:tc>
          <w:tcPr>
            <w:tcW w:w="0" w:type="auto"/>
            <w:noWrap w:val="0"/>
            <w:vAlign w:val="center"/>
          </w:tcPr>
          <w:p w14:paraId="0D1BF3E0">
            <w:r>
              <w:rPr>
                <w:rStyle w:val="10"/>
                <w:rFonts w:hint="eastAsia"/>
              </w:rPr>
              <w:t>注意事项：</w:t>
            </w:r>
            <w:r>
              <w:rPr>
                <w:rFonts w:hint="eastAsia"/>
              </w:rPr>
              <w:br w:type="textWrapping"/>
            </w:r>
            <w:r>
              <w:rPr>
                <w:rStyle w:val="11"/>
                <w:rFonts w:hint="eastAsia"/>
              </w:rPr>
              <w:t>1、本品系接触型植物生长调节剂，用水量需足以喷湿全株叶片，花瓣及幼果。喷出液需成细雾状，水质以微酸性为宜。2、切勿与铜制剂、碱性肥药混用。3、用清洁的水配制药液，随配随用切勿久置。4、喷药的果树应加强肥水管理。5、禁止在河塘等水体清洗施药器具，清洗器具的废水不能排入河流、池塘等水源。6、本品对眼睛有刺激性，使用时避免药液接触眼睛，穿戴长衣、长裤、帽子、口罩、眼镜、手套等防护措施。 7、废弃物要妥善处理，不能随意丢弃，也不能做他用。8、避免孕妇及哺乳期的妇女接触。</w:t>
            </w:r>
          </w:p>
        </w:tc>
      </w:tr>
      <w:tr w14:paraId="41DE0DEC">
        <w:tblPrEx>
          <w:tblCellMar>
            <w:top w:w="0" w:type="dxa"/>
            <w:left w:w="0" w:type="dxa"/>
            <w:bottom w:w="0" w:type="dxa"/>
            <w:right w:w="0" w:type="dxa"/>
          </w:tblCellMar>
        </w:tblPrEx>
        <w:trPr>
          <w:wBefore w:w="0" w:type="auto"/>
          <w:tblCellSpacing w:w="0" w:type="dxa"/>
        </w:trPr>
        <w:tc>
          <w:tcPr>
            <w:tcW w:w="0" w:type="auto"/>
            <w:noWrap w:val="0"/>
            <w:vAlign w:val="center"/>
          </w:tcPr>
          <w:p w14:paraId="430AB3C7">
            <w:r>
              <w:rPr>
                <w:rStyle w:val="10"/>
                <w:rFonts w:hint="eastAsia"/>
              </w:rPr>
              <w:t>中毒急救措施：</w:t>
            </w:r>
            <w:r>
              <w:rPr>
                <w:rFonts w:hint="eastAsia"/>
              </w:rPr>
              <w:br w:type="textWrapping"/>
            </w:r>
            <w:r>
              <w:rPr>
                <w:rStyle w:val="11"/>
                <w:rFonts w:hint="eastAsia"/>
              </w:rPr>
              <w:t xml:space="preserve">中毒症状：无明显症状。中毒急救：本品对皮肤和眼睛有刺激作用，避免接触到眼睛或皮肤，万一滴到眼睛、皮肤请立即用大量清水冲洗至少15分钟以上，有持续异状时，请送医治疗。吸入：立即离开施药现场，转移到空气清新处。误食时，立即喝大量牛奶、含胶质饮料或开水，切勿饮酒或含酒精饮料，立即携此标签将病人送医院诊治，本品无特殊解毒剂。 </w:t>
            </w:r>
          </w:p>
        </w:tc>
      </w:tr>
      <w:tr w14:paraId="072A5C15">
        <w:tblPrEx>
          <w:tblCellMar>
            <w:top w:w="0" w:type="dxa"/>
            <w:left w:w="0" w:type="dxa"/>
            <w:bottom w:w="0" w:type="dxa"/>
            <w:right w:w="0" w:type="dxa"/>
          </w:tblCellMar>
        </w:tblPrEx>
        <w:trPr>
          <w:wBefore w:w="0" w:type="auto"/>
          <w:tblCellSpacing w:w="0" w:type="dxa"/>
        </w:trPr>
        <w:tc>
          <w:tcPr>
            <w:tcW w:w="0" w:type="auto"/>
            <w:noWrap w:val="0"/>
            <w:vAlign w:val="center"/>
          </w:tcPr>
          <w:p w14:paraId="42FEB557">
            <w:r>
              <w:rPr>
                <w:rStyle w:val="10"/>
                <w:rFonts w:hint="eastAsia"/>
              </w:rPr>
              <w:t>储存和运输方法：</w:t>
            </w:r>
            <w:r>
              <w:rPr>
                <w:rFonts w:hint="eastAsia"/>
              </w:rPr>
              <w:br w:type="textWrapping"/>
            </w:r>
            <w:r>
              <w:rPr>
                <w:rStyle w:val="11"/>
                <w:rFonts w:hint="eastAsia"/>
              </w:rPr>
              <w:t xml:space="preserve">本品应贮存在干燥、阴凉、通风、防雨处。远离火源或热源。置儿童触及不到之处，并加锁保持。勿与食品、饮料、饲料、粮食等同贮同运。 </w:t>
            </w:r>
          </w:p>
        </w:tc>
      </w:tr>
      <w:tr w14:paraId="0A59EBB5">
        <w:tblPrEx>
          <w:tblCellMar>
            <w:top w:w="0" w:type="dxa"/>
            <w:left w:w="0" w:type="dxa"/>
            <w:bottom w:w="0" w:type="dxa"/>
            <w:right w:w="0" w:type="dxa"/>
          </w:tblCellMar>
        </w:tblPrEx>
        <w:trPr>
          <w:wBefore w:w="0" w:type="auto"/>
          <w:tblCellSpacing w:w="0" w:type="dxa"/>
        </w:trPr>
        <w:tc>
          <w:tcPr>
            <w:tcW w:w="0" w:type="auto"/>
            <w:noWrap w:val="0"/>
            <w:vAlign w:val="center"/>
          </w:tcPr>
          <w:p w14:paraId="40D3D475">
            <w:r>
              <w:rPr>
                <w:rStyle w:val="10"/>
                <w:rFonts w:hint="eastAsia"/>
              </w:rPr>
              <w:t>质量保证期：</w:t>
            </w:r>
            <w:r>
              <w:rPr>
                <w:rStyle w:val="11"/>
                <w:rFonts w:hint="eastAsia"/>
              </w:rPr>
              <w:t>2</w:t>
            </w:r>
          </w:p>
        </w:tc>
      </w:tr>
      <w:tr w14:paraId="684E208E">
        <w:tblPrEx>
          <w:tblCellMar>
            <w:top w:w="0" w:type="dxa"/>
            <w:left w:w="0" w:type="dxa"/>
            <w:bottom w:w="0" w:type="dxa"/>
            <w:right w:w="0" w:type="dxa"/>
          </w:tblCellMar>
        </w:tblPrEx>
        <w:trPr>
          <w:wBefore w:w="0" w:type="auto"/>
          <w:tblCellSpacing w:w="0" w:type="dxa"/>
        </w:trPr>
        <w:tc>
          <w:tcPr>
            <w:tcW w:w="0" w:type="auto"/>
            <w:noWrap w:val="0"/>
            <w:vAlign w:val="center"/>
          </w:tcPr>
          <w:p w14:paraId="4E285870">
            <w:r>
              <w:rPr>
                <w:rStyle w:val="10"/>
                <w:rFonts w:hint="eastAsia"/>
              </w:rPr>
              <w:t>备注：</w:t>
            </w:r>
          </w:p>
        </w:tc>
      </w:tr>
    </w:tbl>
    <w:p w14:paraId="670254A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E851B1">
        <w:tblPrEx>
          <w:tblCellMar>
            <w:top w:w="0" w:type="dxa"/>
            <w:left w:w="0" w:type="dxa"/>
            <w:bottom w:w="0" w:type="dxa"/>
            <w:right w:w="0" w:type="dxa"/>
          </w:tblCellMar>
        </w:tblPrEx>
        <w:trPr>
          <w:wBefore w:w="0" w:type="auto"/>
          <w:tblCellSpacing w:w="0" w:type="dxa"/>
        </w:trPr>
        <w:tc>
          <w:tcPr>
            <w:tcW w:w="0" w:type="auto"/>
            <w:noWrap w:val="0"/>
            <w:vAlign w:val="center"/>
          </w:tcPr>
          <w:p w14:paraId="229570EB">
            <w:r>
              <w:rPr>
                <w:rStyle w:val="10"/>
                <w:rFonts w:hint="eastAsia"/>
              </w:rPr>
              <w:t>登记证号：</w:t>
            </w:r>
            <w:r>
              <w:rPr>
                <w:rFonts w:hint="eastAsia"/>
              </w:rPr>
              <w:t>PD20212440</w:t>
            </w:r>
          </w:p>
        </w:tc>
      </w:tr>
      <w:tr w14:paraId="65DE71D8">
        <w:tblPrEx>
          <w:tblCellMar>
            <w:top w:w="0" w:type="dxa"/>
            <w:left w:w="0" w:type="dxa"/>
            <w:bottom w:w="0" w:type="dxa"/>
            <w:right w:w="0" w:type="dxa"/>
          </w:tblCellMar>
        </w:tblPrEx>
        <w:trPr>
          <w:wBefore w:w="0" w:type="auto"/>
          <w:tblCellSpacing w:w="0" w:type="dxa"/>
        </w:trPr>
        <w:tc>
          <w:tcPr>
            <w:tcW w:w="0" w:type="auto"/>
            <w:noWrap w:val="0"/>
            <w:vAlign w:val="center"/>
          </w:tcPr>
          <w:p w14:paraId="3F03017D">
            <w:r>
              <w:rPr>
                <w:rStyle w:val="10"/>
                <w:rFonts w:hint="eastAsia"/>
              </w:rPr>
              <w:t>登记证持有人：</w:t>
            </w:r>
            <w:r>
              <w:rPr>
                <w:rFonts w:hint="eastAsia"/>
              </w:rPr>
              <w:t>河南常见生物科技有限公司</w:t>
            </w:r>
          </w:p>
        </w:tc>
      </w:tr>
      <w:tr w14:paraId="21C7628D">
        <w:tblPrEx>
          <w:tblCellMar>
            <w:top w:w="0" w:type="dxa"/>
            <w:left w:w="0" w:type="dxa"/>
            <w:bottom w:w="0" w:type="dxa"/>
            <w:right w:w="0" w:type="dxa"/>
          </w:tblCellMar>
        </w:tblPrEx>
        <w:trPr>
          <w:wBefore w:w="0" w:type="auto"/>
          <w:tblCellSpacing w:w="0" w:type="dxa"/>
        </w:trPr>
        <w:tc>
          <w:tcPr>
            <w:tcW w:w="0" w:type="auto"/>
            <w:noWrap w:val="0"/>
            <w:vAlign w:val="center"/>
          </w:tcPr>
          <w:p w14:paraId="15095CF0">
            <w:r>
              <w:rPr>
                <w:rStyle w:val="10"/>
                <w:rFonts w:hint="eastAsia"/>
              </w:rPr>
              <w:t>农药名称：</w:t>
            </w:r>
            <w:r>
              <w:rPr>
                <w:rFonts w:hint="eastAsia"/>
              </w:rPr>
              <w:t>联苯·虫螨腈</w:t>
            </w:r>
          </w:p>
        </w:tc>
      </w:tr>
      <w:tr w14:paraId="2CEE17D8">
        <w:tblPrEx>
          <w:tblCellMar>
            <w:top w:w="0" w:type="dxa"/>
            <w:left w:w="0" w:type="dxa"/>
            <w:bottom w:w="0" w:type="dxa"/>
            <w:right w:w="0" w:type="dxa"/>
          </w:tblCellMar>
        </w:tblPrEx>
        <w:trPr>
          <w:wBefore w:w="0" w:type="auto"/>
          <w:tblCellSpacing w:w="0" w:type="dxa"/>
        </w:trPr>
        <w:tc>
          <w:tcPr>
            <w:tcW w:w="0" w:type="auto"/>
            <w:noWrap w:val="0"/>
            <w:vAlign w:val="center"/>
          </w:tcPr>
          <w:p w14:paraId="40F7D254">
            <w:r>
              <w:rPr>
                <w:rStyle w:val="10"/>
                <w:rFonts w:hint="eastAsia"/>
              </w:rPr>
              <w:t>剂型：</w:t>
            </w:r>
            <w:r>
              <w:rPr>
                <w:rFonts w:hint="eastAsia"/>
              </w:rPr>
              <w:t>悬浮剂</w:t>
            </w:r>
          </w:p>
        </w:tc>
      </w:tr>
      <w:tr w14:paraId="4B4F3727">
        <w:tblPrEx>
          <w:tblCellMar>
            <w:top w:w="0" w:type="dxa"/>
            <w:left w:w="0" w:type="dxa"/>
            <w:bottom w:w="0" w:type="dxa"/>
            <w:right w:w="0" w:type="dxa"/>
          </w:tblCellMar>
        </w:tblPrEx>
        <w:trPr>
          <w:wBefore w:w="0" w:type="auto"/>
          <w:tblCellSpacing w:w="0" w:type="dxa"/>
        </w:trPr>
        <w:tc>
          <w:tcPr>
            <w:tcW w:w="0" w:type="auto"/>
            <w:noWrap w:val="0"/>
            <w:vAlign w:val="center"/>
          </w:tcPr>
          <w:p w14:paraId="3AF3369A">
            <w:r>
              <w:rPr>
                <w:rStyle w:val="10"/>
                <w:rFonts w:hint="eastAsia"/>
              </w:rPr>
              <w:t>毒性及其标识：</w:t>
            </w:r>
            <w:r>
              <w:rPr>
                <w:rFonts w:hint="eastAsia"/>
              </w:rPr>
              <w:t xml:space="preserve"> </w:t>
            </w:r>
            <w:r>
              <w:rPr>
                <w:lang/>
              </w:rPr>
              <w:drawing>
                <wp:inline distT="0" distB="0" distL="114300" distR="114300">
                  <wp:extent cx="476250" cy="323850"/>
                  <wp:effectExtent l="0" t="0" r="0" b="0"/>
                  <wp:docPr id="339" name="图片 3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F68490">
        <w:tblPrEx>
          <w:tblCellMar>
            <w:top w:w="0" w:type="dxa"/>
            <w:left w:w="0" w:type="dxa"/>
            <w:bottom w:w="0" w:type="dxa"/>
            <w:right w:w="0" w:type="dxa"/>
          </w:tblCellMar>
        </w:tblPrEx>
        <w:trPr>
          <w:wBefore w:w="0" w:type="auto"/>
          <w:tblCellSpacing w:w="0" w:type="dxa"/>
        </w:trPr>
        <w:tc>
          <w:tcPr>
            <w:tcW w:w="0" w:type="auto"/>
            <w:noWrap w:val="0"/>
            <w:vAlign w:val="center"/>
          </w:tcPr>
          <w:p w14:paraId="6217618B">
            <w:r>
              <w:rPr>
                <w:rStyle w:val="10"/>
                <w:rFonts w:hint="eastAsia"/>
              </w:rPr>
              <w:t>总有效成分含量：</w:t>
            </w:r>
            <w:r>
              <w:rPr>
                <w:rFonts w:hint="eastAsia"/>
              </w:rPr>
              <w:t>20%</w:t>
            </w:r>
          </w:p>
        </w:tc>
      </w:tr>
      <w:tr w14:paraId="1D034670">
        <w:tblPrEx>
          <w:tblCellMar>
            <w:top w:w="0" w:type="dxa"/>
            <w:left w:w="0" w:type="dxa"/>
            <w:bottom w:w="0" w:type="dxa"/>
            <w:right w:w="0" w:type="dxa"/>
          </w:tblCellMar>
        </w:tblPrEx>
        <w:trPr>
          <w:wBefore w:w="0" w:type="auto"/>
          <w:tblCellSpacing w:w="0" w:type="dxa"/>
        </w:trPr>
        <w:tc>
          <w:tcPr>
            <w:tcW w:w="0" w:type="auto"/>
            <w:noWrap w:val="0"/>
            <w:vAlign w:val="center"/>
          </w:tcPr>
          <w:p w14:paraId="0412060C">
            <w:r>
              <w:rPr>
                <w:rFonts w:hint="eastAsia"/>
              </w:rPr>
              <w:t xml:space="preserve">有效成分及其含量： </w:t>
            </w:r>
          </w:p>
          <w:p w14:paraId="297BF407">
            <w:r>
              <w:rPr>
                <w:rFonts w:hint="eastAsia"/>
              </w:rPr>
              <w:t xml:space="preserve">    虫螨腈14%    联苯菊酯6%    </w:t>
            </w:r>
          </w:p>
        </w:tc>
      </w:tr>
      <w:tr w14:paraId="2FF08C98">
        <w:tblPrEx>
          <w:tblCellMar>
            <w:top w:w="0" w:type="dxa"/>
            <w:left w:w="0" w:type="dxa"/>
            <w:bottom w:w="0" w:type="dxa"/>
            <w:right w:w="0" w:type="dxa"/>
          </w:tblCellMar>
        </w:tblPrEx>
        <w:trPr>
          <w:wBefore w:w="0" w:type="auto"/>
          <w:tblCellSpacing w:w="0" w:type="dxa"/>
        </w:trPr>
        <w:tc>
          <w:tcPr>
            <w:tcW w:w="0" w:type="auto"/>
            <w:noWrap w:val="0"/>
            <w:vAlign w:val="center"/>
          </w:tcPr>
          <w:p w14:paraId="3036AA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728D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519E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EFD1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EECFD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DBF1A8">
                  <w:r>
                    <w:rPr>
                      <w:rStyle w:val="11"/>
                      <w:rFonts w:hint="eastAsia"/>
                    </w:rPr>
                    <w:t>施用方式</w:t>
                  </w:r>
                </w:p>
              </w:tc>
            </w:tr>
            <w:tr w14:paraId="3FCED3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94F6AF">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E285C6">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579CFB">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D434B3">
                  <w:r>
                    <w:rPr>
                      <w:rStyle w:val="11"/>
                      <w:rFonts w:hint="eastAsia"/>
                    </w:rPr>
                    <w:t>喷雾</w:t>
                  </w:r>
                </w:p>
              </w:tc>
            </w:tr>
          </w:tbl>
          <w:p w14:paraId="63A8B6A0">
            <w:pPr>
              <w:rPr>
                <w:rFonts w:ascii="Times New Roman" w:hAnsi="Times New Roman" w:cs="Times New Roman"/>
                <w:sz w:val="20"/>
                <w:szCs w:val="20"/>
              </w:rPr>
            </w:pPr>
          </w:p>
        </w:tc>
      </w:tr>
      <w:tr w14:paraId="37119E60">
        <w:tblPrEx>
          <w:tblCellMar>
            <w:top w:w="0" w:type="dxa"/>
            <w:left w:w="0" w:type="dxa"/>
            <w:bottom w:w="0" w:type="dxa"/>
            <w:right w:w="0" w:type="dxa"/>
          </w:tblCellMar>
        </w:tblPrEx>
        <w:trPr>
          <w:wBefore w:w="0" w:type="auto"/>
          <w:tblCellSpacing w:w="0" w:type="dxa"/>
        </w:trPr>
        <w:tc>
          <w:tcPr>
            <w:tcW w:w="0" w:type="auto"/>
            <w:noWrap w:val="0"/>
            <w:vAlign w:val="center"/>
          </w:tcPr>
          <w:p w14:paraId="56DA09C6">
            <w:r>
              <w:rPr>
                <w:rStyle w:val="10"/>
                <w:rFonts w:hint="eastAsia"/>
              </w:rPr>
              <w:t>使用技术要求:</w:t>
            </w:r>
            <w:r>
              <w:rPr>
                <w:rFonts w:hint="eastAsia"/>
              </w:rPr>
              <w:br w:type="textWrapping"/>
            </w:r>
            <w:r>
              <w:rPr>
                <w:rStyle w:val="11"/>
                <w:rFonts w:hint="eastAsia"/>
              </w:rPr>
              <w:t>1.在茄子蓟马发生初期进行施药，施药1次，每亩兑水45~50升。 2、施药时应避免药液漂移到其它作物上，以防产生药害。 3、大雨天或预计1小时内降雨，请勿施药。 4、本品在茄子上每季作物使用1次，安全间隔期5天。</w:t>
            </w:r>
          </w:p>
        </w:tc>
      </w:tr>
      <w:tr w14:paraId="215B931B">
        <w:tblPrEx>
          <w:tblCellMar>
            <w:top w:w="0" w:type="dxa"/>
            <w:left w:w="0" w:type="dxa"/>
            <w:bottom w:w="0" w:type="dxa"/>
            <w:right w:w="0" w:type="dxa"/>
          </w:tblCellMar>
        </w:tblPrEx>
        <w:trPr>
          <w:wBefore w:w="0" w:type="auto"/>
          <w:tblCellSpacing w:w="0" w:type="dxa"/>
        </w:trPr>
        <w:tc>
          <w:tcPr>
            <w:tcW w:w="0" w:type="auto"/>
            <w:noWrap w:val="0"/>
            <w:vAlign w:val="center"/>
          </w:tcPr>
          <w:p w14:paraId="2E99728C">
            <w:r>
              <w:rPr>
                <w:rStyle w:val="10"/>
                <w:rFonts w:hint="eastAsia"/>
              </w:rPr>
              <w:t>产品性能:</w:t>
            </w:r>
            <w:r>
              <w:rPr>
                <w:rFonts w:hint="eastAsia"/>
              </w:rPr>
              <w:br w:type="textWrapping"/>
            </w:r>
            <w:r>
              <w:rPr>
                <w:rStyle w:val="11"/>
                <w:rFonts w:hint="eastAsia"/>
              </w:rPr>
              <w:t xml:space="preserve">本品是由虫螨腈与联苯菊酯复配而成的杀虫剂，具有触杀和胃毒作用，击倒速度快、残效期长，对茄子蓟马有较好防效。 </w:t>
            </w:r>
          </w:p>
        </w:tc>
      </w:tr>
      <w:tr w14:paraId="576A1CCD">
        <w:tblPrEx>
          <w:tblCellMar>
            <w:top w:w="0" w:type="dxa"/>
            <w:left w:w="0" w:type="dxa"/>
            <w:bottom w:w="0" w:type="dxa"/>
            <w:right w:w="0" w:type="dxa"/>
          </w:tblCellMar>
        </w:tblPrEx>
        <w:trPr>
          <w:wBefore w:w="0" w:type="auto"/>
          <w:tblCellSpacing w:w="0" w:type="dxa"/>
        </w:trPr>
        <w:tc>
          <w:tcPr>
            <w:tcW w:w="0" w:type="auto"/>
            <w:noWrap w:val="0"/>
            <w:vAlign w:val="center"/>
          </w:tcPr>
          <w:p w14:paraId="16CC31F8">
            <w:r>
              <w:rPr>
                <w:rStyle w:val="10"/>
                <w:rFonts w:hint="eastAsia"/>
              </w:rPr>
              <w:t>注意事项：</w:t>
            </w:r>
            <w:r>
              <w:rPr>
                <w:rFonts w:hint="eastAsia"/>
              </w:rPr>
              <w:br w:type="textWrapping"/>
            </w:r>
            <w:r>
              <w:rPr>
                <w:rStyle w:val="11"/>
                <w:rFonts w:hint="eastAsia"/>
              </w:rPr>
              <w:t>（1）严格按照规定用药量和方法使用。 （2）本品应避免与氧化剂接触，建议与其他不同作用机制的杀虫剂轮换使用。 （3）本品对蜜蜂、鸟、鱼、蚕、水蚤、藻类有毒。水产养殖区、河塘等水体附近禁用，禁止在河塘等水体中清洗施药器具；养蜂场所和周围开花植物花期禁用，使用时应密切关注对附近蜂群的影响；鸟类保护区、蚕室及桑园附近禁用；天敌放飞区禁用。 （4）使用本品时应穿防护服和戴手套，避免吸入药液。施药期间不可吃东西和饮水。施药后应及时洗手和洗脸。 （5）用药后包装物及用过的容器应妥善处理，不可做他用，也不可随意丢弃。 （6）孕妇及哺乳期妇女禁止接触本品。</w:t>
            </w:r>
          </w:p>
        </w:tc>
      </w:tr>
      <w:tr w14:paraId="1537B036">
        <w:tblPrEx>
          <w:tblCellMar>
            <w:top w:w="0" w:type="dxa"/>
            <w:left w:w="0" w:type="dxa"/>
            <w:bottom w:w="0" w:type="dxa"/>
            <w:right w:w="0" w:type="dxa"/>
          </w:tblCellMar>
        </w:tblPrEx>
        <w:trPr>
          <w:wBefore w:w="0" w:type="auto"/>
          <w:tblCellSpacing w:w="0" w:type="dxa"/>
        </w:trPr>
        <w:tc>
          <w:tcPr>
            <w:tcW w:w="0" w:type="auto"/>
            <w:noWrap w:val="0"/>
            <w:vAlign w:val="center"/>
          </w:tcPr>
          <w:p w14:paraId="6FD6BE0C">
            <w:r>
              <w:rPr>
                <w:rStyle w:val="10"/>
                <w:rFonts w:hint="eastAsia"/>
              </w:rPr>
              <w:t>中毒急救措施：</w:t>
            </w:r>
            <w:r>
              <w:rPr>
                <w:rFonts w:hint="eastAsia"/>
              </w:rPr>
              <w:br w:type="textWrapping"/>
            </w:r>
            <w:r>
              <w:rPr>
                <w:rStyle w:val="11"/>
                <w:rFonts w:hint="eastAsia"/>
              </w:rPr>
              <w:t xml:space="preserve">中毒症状：缺乏协调性，震颤， 瞳孔扩张。 急救措施：使用中或使用后如果感觉不适，应立即停止工作，采取急救措施， 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4、误食：立即停止服用，用清水充分漱口后，请勿引吐，立即携带农药标签到医院就诊。 5、本品无专用解毒剂，对症治疗。 </w:t>
            </w:r>
          </w:p>
        </w:tc>
      </w:tr>
      <w:tr w14:paraId="67F16D83">
        <w:tblPrEx>
          <w:tblCellMar>
            <w:top w:w="0" w:type="dxa"/>
            <w:left w:w="0" w:type="dxa"/>
            <w:bottom w:w="0" w:type="dxa"/>
            <w:right w:w="0" w:type="dxa"/>
          </w:tblCellMar>
        </w:tblPrEx>
        <w:trPr>
          <w:wBefore w:w="0" w:type="auto"/>
          <w:tblCellSpacing w:w="0" w:type="dxa"/>
        </w:trPr>
        <w:tc>
          <w:tcPr>
            <w:tcW w:w="0" w:type="auto"/>
            <w:noWrap w:val="0"/>
            <w:vAlign w:val="center"/>
          </w:tcPr>
          <w:p w14:paraId="5712DC1D">
            <w:r>
              <w:rPr>
                <w:rStyle w:val="10"/>
                <w:rFonts w:hint="eastAsia"/>
              </w:rPr>
              <w:t>储存和运输方法：</w:t>
            </w:r>
            <w:r>
              <w:rPr>
                <w:rFonts w:hint="eastAsia"/>
              </w:rPr>
              <w:br w:type="textWrapping"/>
            </w:r>
            <w:r>
              <w:rPr>
                <w:rStyle w:val="11"/>
                <w:rFonts w:hint="eastAsia"/>
              </w:rPr>
              <w:t>1.本品应贮存在阴凉、干燥、通风、防雨处，不可倒置。远离火源、热源。 2.本品应当置于儿童、无关人员及动物接触不到的地方，并加锁保存。 3.勿与食品、饮料、粮食、种子、饲料等同贮同运。 4.运输过程中要防晒、防雨淋；确保容器不泄露、不倒塌、不坠落、不损坏，并按规定路线行驶。专用车辆运输。</w:t>
            </w:r>
          </w:p>
        </w:tc>
      </w:tr>
      <w:tr w14:paraId="32E809F5">
        <w:tblPrEx>
          <w:tblCellMar>
            <w:top w:w="0" w:type="dxa"/>
            <w:left w:w="0" w:type="dxa"/>
            <w:bottom w:w="0" w:type="dxa"/>
            <w:right w:w="0" w:type="dxa"/>
          </w:tblCellMar>
        </w:tblPrEx>
        <w:trPr>
          <w:wBefore w:w="0" w:type="auto"/>
          <w:tblCellSpacing w:w="0" w:type="dxa"/>
        </w:trPr>
        <w:tc>
          <w:tcPr>
            <w:tcW w:w="0" w:type="auto"/>
            <w:noWrap w:val="0"/>
            <w:vAlign w:val="center"/>
          </w:tcPr>
          <w:p w14:paraId="0E860749">
            <w:r>
              <w:rPr>
                <w:rStyle w:val="10"/>
                <w:rFonts w:hint="eastAsia"/>
              </w:rPr>
              <w:t>质量保证期：</w:t>
            </w:r>
            <w:r>
              <w:rPr>
                <w:rStyle w:val="11"/>
                <w:rFonts w:hint="eastAsia"/>
              </w:rPr>
              <w:t>2年</w:t>
            </w:r>
          </w:p>
        </w:tc>
      </w:tr>
      <w:tr w14:paraId="123CDE3E">
        <w:tblPrEx>
          <w:tblCellMar>
            <w:top w:w="0" w:type="dxa"/>
            <w:left w:w="0" w:type="dxa"/>
            <w:bottom w:w="0" w:type="dxa"/>
            <w:right w:w="0" w:type="dxa"/>
          </w:tblCellMar>
        </w:tblPrEx>
        <w:trPr>
          <w:wBefore w:w="0" w:type="auto"/>
          <w:tblCellSpacing w:w="0" w:type="dxa"/>
        </w:trPr>
        <w:tc>
          <w:tcPr>
            <w:tcW w:w="0" w:type="auto"/>
            <w:noWrap w:val="0"/>
            <w:vAlign w:val="center"/>
          </w:tcPr>
          <w:p w14:paraId="69D61CE2">
            <w:r>
              <w:rPr>
                <w:rStyle w:val="10"/>
                <w:rFonts w:hint="eastAsia"/>
              </w:rPr>
              <w:t>备注：</w:t>
            </w:r>
          </w:p>
        </w:tc>
      </w:tr>
    </w:tbl>
    <w:p w14:paraId="5031B2D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433A02">
        <w:tblPrEx>
          <w:tblCellMar>
            <w:top w:w="0" w:type="dxa"/>
            <w:left w:w="0" w:type="dxa"/>
            <w:bottom w:w="0" w:type="dxa"/>
            <w:right w:w="0" w:type="dxa"/>
          </w:tblCellMar>
        </w:tblPrEx>
        <w:trPr>
          <w:wBefore w:w="0" w:type="auto"/>
          <w:tblCellSpacing w:w="0" w:type="dxa"/>
        </w:trPr>
        <w:tc>
          <w:tcPr>
            <w:tcW w:w="0" w:type="auto"/>
            <w:noWrap w:val="0"/>
            <w:vAlign w:val="center"/>
          </w:tcPr>
          <w:p w14:paraId="60F1D381">
            <w:r>
              <w:rPr>
                <w:rStyle w:val="10"/>
                <w:rFonts w:hint="eastAsia"/>
              </w:rPr>
              <w:t>登记证号：</w:t>
            </w:r>
            <w:r>
              <w:rPr>
                <w:rFonts w:hint="eastAsia"/>
              </w:rPr>
              <w:t>PD20212777</w:t>
            </w:r>
          </w:p>
        </w:tc>
      </w:tr>
      <w:tr w14:paraId="1808BFF3">
        <w:tblPrEx>
          <w:tblCellMar>
            <w:top w:w="0" w:type="dxa"/>
            <w:left w:w="0" w:type="dxa"/>
            <w:bottom w:w="0" w:type="dxa"/>
            <w:right w:w="0" w:type="dxa"/>
          </w:tblCellMar>
        </w:tblPrEx>
        <w:trPr>
          <w:wBefore w:w="0" w:type="auto"/>
          <w:tblCellSpacing w:w="0" w:type="dxa"/>
        </w:trPr>
        <w:tc>
          <w:tcPr>
            <w:tcW w:w="0" w:type="auto"/>
            <w:noWrap w:val="0"/>
            <w:vAlign w:val="center"/>
          </w:tcPr>
          <w:p w14:paraId="7376B30D">
            <w:r>
              <w:rPr>
                <w:rStyle w:val="10"/>
                <w:rFonts w:hint="eastAsia"/>
              </w:rPr>
              <w:t>登记证持有人：</w:t>
            </w:r>
            <w:r>
              <w:rPr>
                <w:rFonts w:hint="eastAsia"/>
              </w:rPr>
              <w:t>江西新瑞丰生化股份有限公司</w:t>
            </w:r>
          </w:p>
        </w:tc>
      </w:tr>
      <w:tr w14:paraId="35C8C060">
        <w:tblPrEx>
          <w:tblCellMar>
            <w:top w:w="0" w:type="dxa"/>
            <w:left w:w="0" w:type="dxa"/>
            <w:bottom w:w="0" w:type="dxa"/>
            <w:right w:w="0" w:type="dxa"/>
          </w:tblCellMar>
        </w:tblPrEx>
        <w:trPr>
          <w:wBefore w:w="0" w:type="auto"/>
          <w:tblCellSpacing w:w="0" w:type="dxa"/>
        </w:trPr>
        <w:tc>
          <w:tcPr>
            <w:tcW w:w="0" w:type="auto"/>
            <w:noWrap w:val="0"/>
            <w:vAlign w:val="center"/>
          </w:tcPr>
          <w:p w14:paraId="4F6073B7">
            <w:r>
              <w:rPr>
                <w:rStyle w:val="10"/>
                <w:rFonts w:hint="eastAsia"/>
              </w:rPr>
              <w:t>农药名称：</w:t>
            </w:r>
            <w:r>
              <w:rPr>
                <w:rFonts w:hint="eastAsia"/>
              </w:rPr>
              <w:t>赤霉·氯吡脲</w:t>
            </w:r>
          </w:p>
        </w:tc>
      </w:tr>
      <w:tr w14:paraId="1D74F6F0">
        <w:tblPrEx>
          <w:tblCellMar>
            <w:top w:w="0" w:type="dxa"/>
            <w:left w:w="0" w:type="dxa"/>
            <w:bottom w:w="0" w:type="dxa"/>
            <w:right w:w="0" w:type="dxa"/>
          </w:tblCellMar>
        </w:tblPrEx>
        <w:trPr>
          <w:wBefore w:w="0" w:type="auto"/>
          <w:tblCellSpacing w:w="0" w:type="dxa"/>
        </w:trPr>
        <w:tc>
          <w:tcPr>
            <w:tcW w:w="0" w:type="auto"/>
            <w:noWrap w:val="0"/>
            <w:vAlign w:val="center"/>
          </w:tcPr>
          <w:p w14:paraId="47310219">
            <w:r>
              <w:rPr>
                <w:rStyle w:val="10"/>
                <w:rFonts w:hint="eastAsia"/>
              </w:rPr>
              <w:t>剂型：</w:t>
            </w:r>
            <w:r>
              <w:rPr>
                <w:rFonts w:hint="eastAsia"/>
              </w:rPr>
              <w:t>可溶液剂</w:t>
            </w:r>
          </w:p>
        </w:tc>
      </w:tr>
      <w:tr w14:paraId="3020200A">
        <w:tblPrEx>
          <w:tblCellMar>
            <w:top w:w="0" w:type="dxa"/>
            <w:left w:w="0" w:type="dxa"/>
            <w:bottom w:w="0" w:type="dxa"/>
            <w:right w:w="0" w:type="dxa"/>
          </w:tblCellMar>
        </w:tblPrEx>
        <w:trPr>
          <w:wBefore w:w="0" w:type="auto"/>
          <w:tblCellSpacing w:w="0" w:type="dxa"/>
        </w:trPr>
        <w:tc>
          <w:tcPr>
            <w:tcW w:w="0" w:type="auto"/>
            <w:noWrap w:val="0"/>
            <w:vAlign w:val="center"/>
          </w:tcPr>
          <w:p w14:paraId="774F2471">
            <w:r>
              <w:rPr>
                <w:rStyle w:val="10"/>
                <w:rFonts w:hint="eastAsia"/>
              </w:rPr>
              <w:t>毒性及其标识：</w:t>
            </w:r>
            <w:r>
              <w:rPr>
                <w:rFonts w:hint="eastAsia"/>
              </w:rPr>
              <w:t xml:space="preserve"> </w:t>
            </w:r>
            <w:r>
              <w:rPr>
                <w:lang/>
              </w:rPr>
              <w:drawing>
                <wp:inline distT="0" distB="0" distL="114300" distR="114300">
                  <wp:extent cx="476250" cy="323850"/>
                  <wp:effectExtent l="0" t="0" r="0" b="0"/>
                  <wp:docPr id="340" name="图片 3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E4030B1">
        <w:tblPrEx>
          <w:tblCellMar>
            <w:top w:w="0" w:type="dxa"/>
            <w:left w:w="0" w:type="dxa"/>
            <w:bottom w:w="0" w:type="dxa"/>
            <w:right w:w="0" w:type="dxa"/>
          </w:tblCellMar>
        </w:tblPrEx>
        <w:trPr>
          <w:wBefore w:w="0" w:type="auto"/>
          <w:tblCellSpacing w:w="0" w:type="dxa"/>
        </w:trPr>
        <w:tc>
          <w:tcPr>
            <w:tcW w:w="0" w:type="auto"/>
            <w:noWrap w:val="0"/>
            <w:vAlign w:val="center"/>
          </w:tcPr>
          <w:p w14:paraId="7B733DE6">
            <w:r>
              <w:rPr>
                <w:rStyle w:val="10"/>
                <w:rFonts w:hint="eastAsia"/>
              </w:rPr>
              <w:t>总有效成分含量：</w:t>
            </w:r>
            <w:r>
              <w:rPr>
                <w:rFonts w:hint="eastAsia"/>
              </w:rPr>
              <w:t>0.5%</w:t>
            </w:r>
          </w:p>
        </w:tc>
      </w:tr>
      <w:tr w14:paraId="25EE2F4A">
        <w:tblPrEx>
          <w:tblCellMar>
            <w:top w:w="0" w:type="dxa"/>
            <w:left w:w="0" w:type="dxa"/>
            <w:bottom w:w="0" w:type="dxa"/>
            <w:right w:w="0" w:type="dxa"/>
          </w:tblCellMar>
        </w:tblPrEx>
        <w:trPr>
          <w:wBefore w:w="0" w:type="auto"/>
          <w:tblCellSpacing w:w="0" w:type="dxa"/>
        </w:trPr>
        <w:tc>
          <w:tcPr>
            <w:tcW w:w="0" w:type="auto"/>
            <w:noWrap w:val="0"/>
            <w:vAlign w:val="center"/>
          </w:tcPr>
          <w:p w14:paraId="7226286E">
            <w:r>
              <w:rPr>
                <w:rFonts w:hint="eastAsia"/>
              </w:rPr>
              <w:t xml:space="preserve">有效成分及其含量： </w:t>
            </w:r>
          </w:p>
          <w:p w14:paraId="53D20E18">
            <w:r>
              <w:rPr>
                <w:rFonts w:hint="eastAsia"/>
              </w:rPr>
              <w:t xml:space="preserve">    赤霉酸0.4%    氯吡脲0.1%    </w:t>
            </w:r>
          </w:p>
        </w:tc>
      </w:tr>
      <w:tr w14:paraId="4CC06A1F">
        <w:tblPrEx>
          <w:tblCellMar>
            <w:top w:w="0" w:type="dxa"/>
            <w:left w:w="0" w:type="dxa"/>
            <w:bottom w:w="0" w:type="dxa"/>
            <w:right w:w="0" w:type="dxa"/>
          </w:tblCellMar>
        </w:tblPrEx>
        <w:trPr>
          <w:wBefore w:w="0" w:type="auto"/>
          <w:tblCellSpacing w:w="0" w:type="dxa"/>
        </w:trPr>
        <w:tc>
          <w:tcPr>
            <w:tcW w:w="0" w:type="auto"/>
            <w:noWrap w:val="0"/>
            <w:vAlign w:val="center"/>
          </w:tcPr>
          <w:p w14:paraId="43E68C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5F9C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FA47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7BFD0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1CAAB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BD6176">
                  <w:r>
                    <w:rPr>
                      <w:rStyle w:val="11"/>
                      <w:rFonts w:hint="eastAsia"/>
                    </w:rPr>
                    <w:t>施用方式</w:t>
                  </w:r>
                </w:p>
              </w:tc>
            </w:tr>
            <w:tr w14:paraId="00D4B1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755FE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B31AF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B3221">
                  <w:r>
                    <w:rPr>
                      <w:rStyle w:val="11"/>
                      <w:rFonts w:hint="eastAsia"/>
                    </w:rPr>
                    <w:t>100-250倍液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31C9A1">
                  <w:r>
                    <w:rPr>
                      <w:rStyle w:val="11"/>
                      <w:rFonts w:hint="eastAsia"/>
                    </w:rPr>
                    <w:t>浸果穗</w:t>
                  </w:r>
                </w:p>
              </w:tc>
            </w:tr>
          </w:tbl>
          <w:p w14:paraId="47561315">
            <w:pPr>
              <w:rPr>
                <w:rFonts w:ascii="Times New Roman" w:hAnsi="Times New Roman" w:cs="Times New Roman"/>
                <w:sz w:val="20"/>
                <w:szCs w:val="20"/>
              </w:rPr>
            </w:pPr>
          </w:p>
        </w:tc>
      </w:tr>
      <w:tr w14:paraId="4F432F15">
        <w:tblPrEx>
          <w:tblCellMar>
            <w:top w:w="0" w:type="dxa"/>
            <w:left w:w="0" w:type="dxa"/>
            <w:bottom w:w="0" w:type="dxa"/>
            <w:right w:w="0" w:type="dxa"/>
          </w:tblCellMar>
        </w:tblPrEx>
        <w:trPr>
          <w:wBefore w:w="0" w:type="auto"/>
          <w:tblCellSpacing w:w="0" w:type="dxa"/>
        </w:trPr>
        <w:tc>
          <w:tcPr>
            <w:tcW w:w="0" w:type="auto"/>
            <w:noWrap w:val="0"/>
            <w:vAlign w:val="center"/>
          </w:tcPr>
          <w:p w14:paraId="27541B1C">
            <w:r>
              <w:rPr>
                <w:rStyle w:val="10"/>
                <w:rFonts w:hint="eastAsia"/>
              </w:rPr>
              <w:t>使用技术要求:</w:t>
            </w:r>
            <w:r>
              <w:rPr>
                <w:rFonts w:hint="eastAsia"/>
              </w:rPr>
              <w:br w:type="textWrapping"/>
            </w:r>
            <w:r>
              <w:rPr>
                <w:rStyle w:val="11"/>
                <w:rFonts w:hint="eastAsia"/>
              </w:rPr>
              <w:t>1. 在葡萄谢花后10-15天，浸果穗1次。最佳使用时间及兑水量受品种特性、气温、栽培管理水平的影响，应根据实际情况调整。 2. 大风天或预计1小时内降雨，请勿施药。3. 现配现用，稀释宜用清洁冷水，不可用热水。 4. 每季最多使用1次，安全间隔期45天。</w:t>
            </w:r>
          </w:p>
        </w:tc>
      </w:tr>
      <w:tr w14:paraId="65DE07DB">
        <w:tblPrEx>
          <w:tblCellMar>
            <w:top w:w="0" w:type="dxa"/>
            <w:left w:w="0" w:type="dxa"/>
            <w:bottom w:w="0" w:type="dxa"/>
            <w:right w:w="0" w:type="dxa"/>
          </w:tblCellMar>
        </w:tblPrEx>
        <w:trPr>
          <w:wBefore w:w="0" w:type="auto"/>
          <w:tblCellSpacing w:w="0" w:type="dxa"/>
        </w:trPr>
        <w:tc>
          <w:tcPr>
            <w:tcW w:w="0" w:type="auto"/>
            <w:noWrap w:val="0"/>
            <w:vAlign w:val="center"/>
          </w:tcPr>
          <w:p w14:paraId="3D5725D9">
            <w:r>
              <w:rPr>
                <w:rStyle w:val="10"/>
                <w:rFonts w:hint="eastAsia"/>
              </w:rPr>
              <w:t>产品性能:</w:t>
            </w:r>
            <w:r>
              <w:rPr>
                <w:rFonts w:hint="eastAsia"/>
              </w:rPr>
              <w:br w:type="textWrapping"/>
            </w:r>
            <w:r>
              <w:rPr>
                <w:rStyle w:val="11"/>
                <w:rFonts w:hint="eastAsia"/>
              </w:rPr>
              <w:t>本品是一种由赤霉酸和氯吡脲混配而成的植物生长调节剂，具有促进生长发育，提高产量，提高果实结果率的作用。葡萄上使用具有一定的增产作用。</w:t>
            </w:r>
          </w:p>
        </w:tc>
      </w:tr>
      <w:tr w14:paraId="3DBCED58">
        <w:tblPrEx>
          <w:tblCellMar>
            <w:top w:w="0" w:type="dxa"/>
            <w:left w:w="0" w:type="dxa"/>
            <w:bottom w:w="0" w:type="dxa"/>
            <w:right w:w="0" w:type="dxa"/>
          </w:tblCellMar>
        </w:tblPrEx>
        <w:trPr>
          <w:wBefore w:w="0" w:type="auto"/>
          <w:tblCellSpacing w:w="0" w:type="dxa"/>
        </w:trPr>
        <w:tc>
          <w:tcPr>
            <w:tcW w:w="0" w:type="auto"/>
            <w:noWrap w:val="0"/>
            <w:vAlign w:val="center"/>
          </w:tcPr>
          <w:p w14:paraId="35EB4892">
            <w:r>
              <w:rPr>
                <w:rStyle w:val="10"/>
                <w:rFonts w:hint="eastAsia"/>
              </w:rPr>
              <w:t>注意事项：</w:t>
            </w:r>
            <w:r>
              <w:rPr>
                <w:rFonts w:hint="eastAsia"/>
              </w:rPr>
              <w:br w:type="textWrapping"/>
            </w:r>
            <w:r>
              <w:rPr>
                <w:rStyle w:val="11"/>
                <w:rFonts w:hint="eastAsia"/>
              </w:rPr>
              <w:t>1. 避免与氧化剂接触。 2. 施药时应密切关注对周围蜂群的影响，鸟类保护区附近禁用，蚕室和桑园附近禁用，瓢虫等天敌放飞区域禁用。使用时应远离水源，避免污染鱼塘，禁止在河塘等水域清洗施药器具。 3. 施用人员在配药和施药时，应采取相应的安全防护措施，使用时穿戴长衣、长裤、帽子、口罩、手套等安全防护措施。，使用中不准吸烟、饮水、进食，作业结束后应及时淋浴、更衣。 4. 禁止将废液倾倒于水产养殖区，河塘等水体，禁止在河塘等水体中清洗施药器具。 6. 用过的容器应妥善处理，不可做他用，也不可随意丢弃。 7. 孕妇及哺乳期的妇女禁止接触本产品。</w:t>
            </w:r>
          </w:p>
        </w:tc>
      </w:tr>
      <w:tr w14:paraId="148A95A4">
        <w:tblPrEx>
          <w:tblCellMar>
            <w:top w:w="0" w:type="dxa"/>
            <w:left w:w="0" w:type="dxa"/>
            <w:bottom w:w="0" w:type="dxa"/>
            <w:right w:w="0" w:type="dxa"/>
          </w:tblCellMar>
        </w:tblPrEx>
        <w:trPr>
          <w:wBefore w:w="0" w:type="auto"/>
          <w:tblCellSpacing w:w="0" w:type="dxa"/>
        </w:trPr>
        <w:tc>
          <w:tcPr>
            <w:tcW w:w="0" w:type="auto"/>
            <w:noWrap w:val="0"/>
            <w:vAlign w:val="center"/>
          </w:tcPr>
          <w:p w14:paraId="4D4BC08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11179192">
        <w:tblPrEx>
          <w:tblCellMar>
            <w:top w:w="0" w:type="dxa"/>
            <w:left w:w="0" w:type="dxa"/>
            <w:bottom w:w="0" w:type="dxa"/>
            <w:right w:w="0" w:type="dxa"/>
          </w:tblCellMar>
        </w:tblPrEx>
        <w:trPr>
          <w:wBefore w:w="0" w:type="auto"/>
          <w:tblCellSpacing w:w="0" w:type="dxa"/>
        </w:trPr>
        <w:tc>
          <w:tcPr>
            <w:tcW w:w="0" w:type="auto"/>
            <w:noWrap w:val="0"/>
            <w:vAlign w:val="center"/>
          </w:tcPr>
          <w:p w14:paraId="15DCD835">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本品应储存在干燥、阴凉、通风、防雨处，远离火源或热源。置于儿童、无关人员接触不到的地方，并加锁。不能与食品、饮料、粮食、饲料等同储同运。在装卸、运输时应轻拿轻放。</w:t>
            </w:r>
          </w:p>
        </w:tc>
      </w:tr>
      <w:tr w14:paraId="108C6B6A">
        <w:tblPrEx>
          <w:tblCellMar>
            <w:top w:w="0" w:type="dxa"/>
            <w:left w:w="0" w:type="dxa"/>
            <w:bottom w:w="0" w:type="dxa"/>
            <w:right w:w="0" w:type="dxa"/>
          </w:tblCellMar>
        </w:tblPrEx>
        <w:trPr>
          <w:wBefore w:w="0" w:type="auto"/>
          <w:tblCellSpacing w:w="0" w:type="dxa"/>
        </w:trPr>
        <w:tc>
          <w:tcPr>
            <w:tcW w:w="0" w:type="auto"/>
            <w:noWrap w:val="0"/>
            <w:vAlign w:val="center"/>
          </w:tcPr>
          <w:p w14:paraId="727A7315">
            <w:r>
              <w:rPr>
                <w:rStyle w:val="10"/>
                <w:rFonts w:hint="eastAsia"/>
              </w:rPr>
              <w:t>质量保证期：</w:t>
            </w:r>
            <w:r>
              <w:rPr>
                <w:rStyle w:val="11"/>
                <w:rFonts w:hint="eastAsia"/>
              </w:rPr>
              <w:t>2年</w:t>
            </w:r>
          </w:p>
        </w:tc>
      </w:tr>
      <w:tr w14:paraId="68CFB2C2">
        <w:tblPrEx>
          <w:tblCellMar>
            <w:top w:w="0" w:type="dxa"/>
            <w:left w:w="0" w:type="dxa"/>
            <w:bottom w:w="0" w:type="dxa"/>
            <w:right w:w="0" w:type="dxa"/>
          </w:tblCellMar>
        </w:tblPrEx>
        <w:trPr>
          <w:wBefore w:w="0" w:type="auto"/>
          <w:tblCellSpacing w:w="0" w:type="dxa"/>
        </w:trPr>
        <w:tc>
          <w:tcPr>
            <w:tcW w:w="0" w:type="auto"/>
            <w:noWrap w:val="0"/>
            <w:vAlign w:val="center"/>
          </w:tcPr>
          <w:p w14:paraId="3EE4D944">
            <w:r>
              <w:rPr>
                <w:rStyle w:val="10"/>
                <w:rFonts w:hint="eastAsia"/>
              </w:rPr>
              <w:t>备注：</w:t>
            </w:r>
          </w:p>
        </w:tc>
      </w:tr>
    </w:tbl>
    <w:p w14:paraId="24AB4AF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AE7E04">
        <w:tblPrEx>
          <w:tblCellMar>
            <w:top w:w="0" w:type="dxa"/>
            <w:left w:w="0" w:type="dxa"/>
            <w:bottom w:w="0" w:type="dxa"/>
            <w:right w:w="0" w:type="dxa"/>
          </w:tblCellMar>
        </w:tblPrEx>
        <w:trPr>
          <w:wBefore w:w="0" w:type="auto"/>
          <w:tblCellSpacing w:w="0" w:type="dxa"/>
        </w:trPr>
        <w:tc>
          <w:tcPr>
            <w:tcW w:w="0" w:type="auto"/>
            <w:noWrap w:val="0"/>
            <w:vAlign w:val="center"/>
          </w:tcPr>
          <w:p w14:paraId="4201E82D">
            <w:r>
              <w:rPr>
                <w:rStyle w:val="10"/>
                <w:rFonts w:hint="eastAsia"/>
              </w:rPr>
              <w:t>登记证号：</w:t>
            </w:r>
            <w:r>
              <w:rPr>
                <w:rFonts w:hint="eastAsia"/>
              </w:rPr>
              <w:t>WP20210375</w:t>
            </w:r>
          </w:p>
        </w:tc>
      </w:tr>
      <w:tr w14:paraId="3074111F">
        <w:tblPrEx>
          <w:tblCellMar>
            <w:top w:w="0" w:type="dxa"/>
            <w:left w:w="0" w:type="dxa"/>
            <w:bottom w:w="0" w:type="dxa"/>
            <w:right w:w="0" w:type="dxa"/>
          </w:tblCellMar>
        </w:tblPrEx>
        <w:trPr>
          <w:wBefore w:w="0" w:type="auto"/>
          <w:tblCellSpacing w:w="0" w:type="dxa"/>
        </w:trPr>
        <w:tc>
          <w:tcPr>
            <w:tcW w:w="0" w:type="auto"/>
            <w:noWrap w:val="0"/>
            <w:vAlign w:val="center"/>
          </w:tcPr>
          <w:p w14:paraId="1DF67E74">
            <w:r>
              <w:rPr>
                <w:rStyle w:val="10"/>
                <w:rFonts w:hint="eastAsia"/>
              </w:rPr>
              <w:t>登记证持有人：</w:t>
            </w:r>
            <w:r>
              <w:rPr>
                <w:rFonts w:hint="eastAsia"/>
              </w:rPr>
              <w:t>江苏功成生物科技有限公司</w:t>
            </w:r>
          </w:p>
        </w:tc>
      </w:tr>
      <w:tr w14:paraId="7B2F1EC6">
        <w:tblPrEx>
          <w:tblCellMar>
            <w:top w:w="0" w:type="dxa"/>
            <w:left w:w="0" w:type="dxa"/>
            <w:bottom w:w="0" w:type="dxa"/>
            <w:right w:w="0" w:type="dxa"/>
          </w:tblCellMar>
        </w:tblPrEx>
        <w:trPr>
          <w:wBefore w:w="0" w:type="auto"/>
          <w:tblCellSpacing w:w="0" w:type="dxa"/>
        </w:trPr>
        <w:tc>
          <w:tcPr>
            <w:tcW w:w="0" w:type="auto"/>
            <w:noWrap w:val="0"/>
            <w:vAlign w:val="center"/>
          </w:tcPr>
          <w:p w14:paraId="058901E6">
            <w:r>
              <w:rPr>
                <w:rStyle w:val="10"/>
                <w:rFonts w:hint="eastAsia"/>
              </w:rPr>
              <w:t>农药名称：</w:t>
            </w:r>
            <w:r>
              <w:rPr>
                <w:rFonts w:hint="eastAsia"/>
              </w:rPr>
              <w:t>高效氯氟氰菊酯</w:t>
            </w:r>
          </w:p>
        </w:tc>
      </w:tr>
      <w:tr w14:paraId="1CBA019E">
        <w:tblPrEx>
          <w:tblCellMar>
            <w:top w:w="0" w:type="dxa"/>
            <w:left w:w="0" w:type="dxa"/>
            <w:bottom w:w="0" w:type="dxa"/>
            <w:right w:w="0" w:type="dxa"/>
          </w:tblCellMar>
        </w:tblPrEx>
        <w:trPr>
          <w:wBefore w:w="0" w:type="auto"/>
          <w:tblCellSpacing w:w="0" w:type="dxa"/>
        </w:trPr>
        <w:tc>
          <w:tcPr>
            <w:tcW w:w="0" w:type="auto"/>
            <w:noWrap w:val="0"/>
            <w:vAlign w:val="center"/>
          </w:tcPr>
          <w:p w14:paraId="6980BD24">
            <w:r>
              <w:rPr>
                <w:rStyle w:val="10"/>
                <w:rFonts w:hint="eastAsia"/>
              </w:rPr>
              <w:t>剂型：</w:t>
            </w:r>
            <w:r>
              <w:rPr>
                <w:rFonts w:hint="eastAsia"/>
              </w:rPr>
              <w:t>可湿性粉剂</w:t>
            </w:r>
          </w:p>
        </w:tc>
      </w:tr>
      <w:tr w14:paraId="61102252">
        <w:tblPrEx>
          <w:tblCellMar>
            <w:top w:w="0" w:type="dxa"/>
            <w:left w:w="0" w:type="dxa"/>
            <w:bottom w:w="0" w:type="dxa"/>
            <w:right w:w="0" w:type="dxa"/>
          </w:tblCellMar>
        </w:tblPrEx>
        <w:trPr>
          <w:wBefore w:w="0" w:type="auto"/>
          <w:tblCellSpacing w:w="0" w:type="dxa"/>
        </w:trPr>
        <w:tc>
          <w:tcPr>
            <w:tcW w:w="0" w:type="auto"/>
            <w:noWrap w:val="0"/>
            <w:vAlign w:val="center"/>
          </w:tcPr>
          <w:p w14:paraId="189260E4">
            <w:r>
              <w:rPr>
                <w:rStyle w:val="10"/>
                <w:rFonts w:hint="eastAsia"/>
              </w:rPr>
              <w:t>毒性及其标识：</w:t>
            </w:r>
            <w:r>
              <w:rPr>
                <w:rFonts w:hint="eastAsia"/>
              </w:rPr>
              <w:t xml:space="preserve"> </w:t>
            </w:r>
            <w:r>
              <w:rPr>
                <w:lang/>
              </w:rPr>
              <w:drawing>
                <wp:inline distT="0" distB="0" distL="114300" distR="114300">
                  <wp:extent cx="476250" cy="323850"/>
                  <wp:effectExtent l="0" t="0" r="0" b="0"/>
                  <wp:docPr id="341" name="图片 341"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60BA589">
        <w:tblPrEx>
          <w:tblCellMar>
            <w:top w:w="0" w:type="dxa"/>
            <w:left w:w="0" w:type="dxa"/>
            <w:bottom w:w="0" w:type="dxa"/>
            <w:right w:w="0" w:type="dxa"/>
          </w:tblCellMar>
        </w:tblPrEx>
        <w:trPr>
          <w:wBefore w:w="0" w:type="auto"/>
          <w:tblCellSpacing w:w="0" w:type="dxa"/>
        </w:trPr>
        <w:tc>
          <w:tcPr>
            <w:tcW w:w="0" w:type="auto"/>
            <w:noWrap w:val="0"/>
            <w:vAlign w:val="center"/>
          </w:tcPr>
          <w:p w14:paraId="3A494CF6">
            <w:r>
              <w:rPr>
                <w:rStyle w:val="10"/>
                <w:rFonts w:hint="eastAsia"/>
              </w:rPr>
              <w:t>总有效成分含量：</w:t>
            </w:r>
            <w:r>
              <w:rPr>
                <w:rFonts w:hint="eastAsia"/>
              </w:rPr>
              <w:t>25%</w:t>
            </w:r>
          </w:p>
        </w:tc>
      </w:tr>
      <w:tr w14:paraId="0F5ABAB2">
        <w:tblPrEx>
          <w:tblCellMar>
            <w:top w:w="0" w:type="dxa"/>
            <w:left w:w="0" w:type="dxa"/>
            <w:bottom w:w="0" w:type="dxa"/>
            <w:right w:w="0" w:type="dxa"/>
          </w:tblCellMar>
        </w:tblPrEx>
        <w:trPr>
          <w:wBefore w:w="0" w:type="auto"/>
          <w:tblCellSpacing w:w="0" w:type="dxa"/>
        </w:trPr>
        <w:tc>
          <w:tcPr>
            <w:tcW w:w="0" w:type="auto"/>
            <w:noWrap w:val="0"/>
            <w:vAlign w:val="center"/>
          </w:tcPr>
          <w:p w14:paraId="588D8D94">
            <w:r>
              <w:rPr>
                <w:rFonts w:hint="eastAsia"/>
              </w:rPr>
              <w:t xml:space="preserve">有效成分及其含量： </w:t>
            </w:r>
          </w:p>
          <w:p w14:paraId="1791CB60">
            <w:r>
              <w:rPr>
                <w:rFonts w:hint="eastAsia"/>
              </w:rPr>
              <w:t xml:space="preserve">    高效氯氟氰菊酯25%    </w:t>
            </w:r>
          </w:p>
        </w:tc>
      </w:tr>
      <w:tr w14:paraId="43821263">
        <w:tblPrEx>
          <w:tblCellMar>
            <w:top w:w="0" w:type="dxa"/>
            <w:left w:w="0" w:type="dxa"/>
            <w:bottom w:w="0" w:type="dxa"/>
            <w:right w:w="0" w:type="dxa"/>
          </w:tblCellMar>
        </w:tblPrEx>
        <w:trPr>
          <w:wBefore w:w="0" w:type="auto"/>
          <w:tblCellSpacing w:w="0" w:type="dxa"/>
        </w:trPr>
        <w:tc>
          <w:tcPr>
            <w:tcW w:w="0" w:type="auto"/>
            <w:noWrap w:val="0"/>
            <w:vAlign w:val="center"/>
          </w:tcPr>
          <w:p w14:paraId="4D84C0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B682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7FA35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7B42D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13B0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39B7CC">
                  <w:r>
                    <w:rPr>
                      <w:rStyle w:val="11"/>
                      <w:rFonts w:hint="eastAsia"/>
                    </w:rPr>
                    <w:t>施用方式</w:t>
                  </w:r>
                </w:p>
              </w:tc>
            </w:tr>
            <w:tr w14:paraId="778807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6694B0">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C765DD">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32EE15">
                  <w:r>
                    <w:rPr>
                      <w:rStyle w:val="11"/>
                      <w:rFonts w:hint="eastAsia"/>
                    </w:rPr>
                    <w:t>10毫克/平方米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AB1484">
                  <w:r>
                    <w:rPr>
                      <w:rStyle w:val="11"/>
                      <w:rFonts w:hint="eastAsia"/>
                    </w:rPr>
                    <w:t>喷雾</w:t>
                  </w:r>
                </w:p>
              </w:tc>
            </w:tr>
          </w:tbl>
          <w:p w14:paraId="534E8DDA">
            <w:pPr>
              <w:rPr>
                <w:rFonts w:ascii="Times New Roman" w:hAnsi="Times New Roman" w:cs="Times New Roman"/>
                <w:sz w:val="20"/>
                <w:szCs w:val="20"/>
              </w:rPr>
            </w:pPr>
          </w:p>
        </w:tc>
      </w:tr>
      <w:tr w14:paraId="1F42E95D">
        <w:tblPrEx>
          <w:tblCellMar>
            <w:top w:w="0" w:type="dxa"/>
            <w:left w:w="0" w:type="dxa"/>
            <w:bottom w:w="0" w:type="dxa"/>
            <w:right w:w="0" w:type="dxa"/>
          </w:tblCellMar>
        </w:tblPrEx>
        <w:trPr>
          <w:wBefore w:w="0" w:type="auto"/>
          <w:tblCellSpacing w:w="0" w:type="dxa"/>
        </w:trPr>
        <w:tc>
          <w:tcPr>
            <w:tcW w:w="0" w:type="auto"/>
            <w:noWrap w:val="0"/>
            <w:vAlign w:val="center"/>
          </w:tcPr>
          <w:p w14:paraId="50356CE1">
            <w:r>
              <w:rPr>
                <w:rStyle w:val="10"/>
                <w:rFonts w:hint="eastAsia"/>
              </w:rPr>
              <w:t>使用技术要求:</w:t>
            </w:r>
            <w:r>
              <w:rPr>
                <w:rFonts w:hint="eastAsia"/>
              </w:rPr>
              <w:br w:type="textWrapping"/>
            </w:r>
            <w:r>
              <w:rPr>
                <w:rStyle w:val="11"/>
                <w:rFonts w:hint="eastAsia"/>
              </w:rPr>
              <w:t xml:space="preserve">使用时，将本品按10毫克/平方米制剂用药量，兑水稀释500倍后，全面均匀喷雾处理。具体稀释倍数可根据施药器械的性能和施药环境做适当的调整。 </w:t>
            </w:r>
          </w:p>
        </w:tc>
      </w:tr>
      <w:tr w14:paraId="5A0E6743">
        <w:tblPrEx>
          <w:tblCellMar>
            <w:top w:w="0" w:type="dxa"/>
            <w:left w:w="0" w:type="dxa"/>
            <w:bottom w:w="0" w:type="dxa"/>
            <w:right w:w="0" w:type="dxa"/>
          </w:tblCellMar>
        </w:tblPrEx>
        <w:trPr>
          <w:wBefore w:w="0" w:type="auto"/>
          <w:tblCellSpacing w:w="0" w:type="dxa"/>
        </w:trPr>
        <w:tc>
          <w:tcPr>
            <w:tcW w:w="0" w:type="auto"/>
            <w:noWrap w:val="0"/>
            <w:vAlign w:val="center"/>
          </w:tcPr>
          <w:p w14:paraId="00088B2C">
            <w:r>
              <w:rPr>
                <w:rStyle w:val="10"/>
                <w:rFonts w:hint="eastAsia"/>
              </w:rPr>
              <w:t>产品性能:</w:t>
            </w:r>
            <w:r>
              <w:rPr>
                <w:rFonts w:hint="eastAsia"/>
              </w:rPr>
              <w:br w:type="textWrapping"/>
            </w:r>
            <w:r>
              <w:rPr>
                <w:rStyle w:val="11"/>
                <w:rFonts w:hint="eastAsia"/>
              </w:rPr>
              <w:t>本品为拟除虫菊酯类杀虫剂，能有效防治蝇。适用于公园、室外下水道、污水沟、垃圾场、垃圾中转站等室外公共环境场所。</w:t>
            </w:r>
          </w:p>
        </w:tc>
      </w:tr>
      <w:tr w14:paraId="157E2EB9">
        <w:tblPrEx>
          <w:tblCellMar>
            <w:top w:w="0" w:type="dxa"/>
            <w:left w:w="0" w:type="dxa"/>
            <w:bottom w:w="0" w:type="dxa"/>
            <w:right w:w="0" w:type="dxa"/>
          </w:tblCellMar>
        </w:tblPrEx>
        <w:trPr>
          <w:wBefore w:w="0" w:type="auto"/>
          <w:tblCellSpacing w:w="0" w:type="dxa"/>
        </w:trPr>
        <w:tc>
          <w:tcPr>
            <w:tcW w:w="0" w:type="auto"/>
            <w:noWrap w:val="0"/>
            <w:vAlign w:val="center"/>
          </w:tcPr>
          <w:p w14:paraId="24BFC5C0">
            <w:r>
              <w:rPr>
                <w:rStyle w:val="10"/>
                <w:rFonts w:hint="eastAsia"/>
              </w:rPr>
              <w:t>注意事项：</w:t>
            </w:r>
            <w:r>
              <w:rPr>
                <w:rFonts w:hint="eastAsia"/>
              </w:rPr>
              <w:br w:type="textWrapping"/>
            </w:r>
            <w:r>
              <w:rPr>
                <w:rStyle w:val="11"/>
                <w:rFonts w:hint="eastAsia"/>
              </w:rPr>
              <w:t>1）使用本品时应采取安全防护措施，穿防护服（长衣、长裤）、胶鞋；戴好口罩和面罩、手套等，避免药雾吸入或接触人体。施药期间不可饮食，施药后及时清洗暴露部位皮肤并更换工作服。 2）本品对蚕、鱼、蜜蜂有毒，施药期间应避免对周围蜂群的影响，开花植物花期、蚕室和桑园附近禁用。远离水产养殖区及河塘等水域施药，禁止在河塘等水体中清洗施药器具。 3）切勿污染食物及饮用水。 4）本品现配现用，加水稀释后，不可久置。碱性条件下易分解。 5）用过的包装物应妥善处理，不可做它用，也不可随意丢弃。 6）敏感体质人士、孕妇及哺乳期妇女请远离本品及施药场所。过敏者禁用。使用中有任何不良反应，请及时就医。 7）本品仅用于室外。</w:t>
            </w:r>
          </w:p>
        </w:tc>
      </w:tr>
      <w:tr w14:paraId="25899BF6">
        <w:tblPrEx>
          <w:tblCellMar>
            <w:top w:w="0" w:type="dxa"/>
            <w:left w:w="0" w:type="dxa"/>
            <w:bottom w:w="0" w:type="dxa"/>
            <w:right w:w="0" w:type="dxa"/>
          </w:tblCellMar>
        </w:tblPrEx>
        <w:trPr>
          <w:wBefore w:w="0" w:type="auto"/>
          <w:tblCellSpacing w:w="0" w:type="dxa"/>
        </w:trPr>
        <w:tc>
          <w:tcPr>
            <w:tcW w:w="0" w:type="auto"/>
            <w:noWrap w:val="0"/>
            <w:vAlign w:val="center"/>
          </w:tcPr>
          <w:p w14:paraId="7C58129C">
            <w:r>
              <w:rPr>
                <w:rStyle w:val="10"/>
                <w:rFonts w:hint="eastAsia"/>
              </w:rPr>
              <w:t>中毒急救措施：</w:t>
            </w:r>
            <w:r>
              <w:rPr>
                <w:rFonts w:hint="eastAsia"/>
              </w:rPr>
              <w:br w:type="textWrapping"/>
            </w:r>
            <w:r>
              <w:rPr>
                <w:rStyle w:val="11"/>
                <w:rFonts w:hint="eastAsia"/>
              </w:rPr>
              <w:t xml:space="preserve">该产品对眼睛有刺激性，使用时避免接触眼睛。 ·若药剂沾染皮肤或眼睛，请即用大量清水冲洗至少15分钟。·若不慎吸入，请立即转移至空气清新处。·本品无专用解毒药，若发生误食、中毒或使用中有任何不良反应，请立即携标签就医，对症治疗。 </w:t>
            </w:r>
          </w:p>
        </w:tc>
      </w:tr>
      <w:tr w14:paraId="3FA46B6E">
        <w:tblPrEx>
          <w:tblCellMar>
            <w:top w:w="0" w:type="dxa"/>
            <w:left w:w="0" w:type="dxa"/>
            <w:bottom w:w="0" w:type="dxa"/>
            <w:right w:w="0" w:type="dxa"/>
          </w:tblCellMar>
        </w:tblPrEx>
        <w:trPr>
          <w:wBefore w:w="0" w:type="auto"/>
          <w:tblCellSpacing w:w="0" w:type="dxa"/>
        </w:trPr>
        <w:tc>
          <w:tcPr>
            <w:tcW w:w="0" w:type="auto"/>
            <w:noWrap w:val="0"/>
            <w:vAlign w:val="center"/>
          </w:tcPr>
          <w:p w14:paraId="431FD6B6">
            <w:r>
              <w:rPr>
                <w:rStyle w:val="10"/>
                <w:rFonts w:hint="eastAsia"/>
              </w:rPr>
              <w:t>储存和运输方法：</w:t>
            </w:r>
            <w:r>
              <w:rPr>
                <w:rFonts w:hint="eastAsia"/>
              </w:rPr>
              <w:br w:type="textWrapping"/>
            </w:r>
            <w:r>
              <w:rPr>
                <w:rStyle w:val="11"/>
                <w:rFonts w:hint="eastAsia"/>
              </w:rPr>
              <w:t>·本品应贮存于阴凉、干燥、通风、避光处，并远离火源或热源存放。 ·应置于儿童及宠物触及不到之处，并加锁。 ·运输时，请防雨淋、高温，注意轻拿轻放，不得损坏包装。 ·请勿与食品、饮料、种子、饲料、粮食等其它商品同贮同运。</w:t>
            </w:r>
          </w:p>
        </w:tc>
      </w:tr>
      <w:tr w14:paraId="1E934810">
        <w:tblPrEx>
          <w:tblCellMar>
            <w:top w:w="0" w:type="dxa"/>
            <w:left w:w="0" w:type="dxa"/>
            <w:bottom w:w="0" w:type="dxa"/>
            <w:right w:w="0" w:type="dxa"/>
          </w:tblCellMar>
        </w:tblPrEx>
        <w:trPr>
          <w:wBefore w:w="0" w:type="auto"/>
          <w:tblCellSpacing w:w="0" w:type="dxa"/>
        </w:trPr>
        <w:tc>
          <w:tcPr>
            <w:tcW w:w="0" w:type="auto"/>
            <w:noWrap w:val="0"/>
            <w:vAlign w:val="center"/>
          </w:tcPr>
          <w:p w14:paraId="33D8757E">
            <w:r>
              <w:rPr>
                <w:rStyle w:val="10"/>
                <w:rFonts w:hint="eastAsia"/>
              </w:rPr>
              <w:t>质量保证期：</w:t>
            </w:r>
            <w:r>
              <w:rPr>
                <w:rStyle w:val="11"/>
                <w:rFonts w:hint="eastAsia"/>
              </w:rPr>
              <w:t>2年</w:t>
            </w:r>
          </w:p>
        </w:tc>
      </w:tr>
      <w:tr w14:paraId="1D444359">
        <w:tblPrEx>
          <w:tblCellMar>
            <w:top w:w="0" w:type="dxa"/>
            <w:left w:w="0" w:type="dxa"/>
            <w:bottom w:w="0" w:type="dxa"/>
            <w:right w:w="0" w:type="dxa"/>
          </w:tblCellMar>
        </w:tblPrEx>
        <w:trPr>
          <w:wBefore w:w="0" w:type="auto"/>
          <w:tblCellSpacing w:w="0" w:type="dxa"/>
        </w:trPr>
        <w:tc>
          <w:tcPr>
            <w:tcW w:w="0" w:type="auto"/>
            <w:noWrap w:val="0"/>
            <w:vAlign w:val="center"/>
          </w:tcPr>
          <w:p w14:paraId="39B3AB87">
            <w:r>
              <w:rPr>
                <w:rStyle w:val="10"/>
                <w:rFonts w:hint="eastAsia"/>
              </w:rPr>
              <w:t>备注：</w:t>
            </w:r>
          </w:p>
        </w:tc>
      </w:tr>
    </w:tbl>
    <w:p w14:paraId="723C94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CB87FB">
        <w:tblPrEx>
          <w:tblCellMar>
            <w:top w:w="0" w:type="dxa"/>
            <w:left w:w="0" w:type="dxa"/>
            <w:bottom w:w="0" w:type="dxa"/>
            <w:right w:w="0" w:type="dxa"/>
          </w:tblCellMar>
        </w:tblPrEx>
        <w:trPr>
          <w:wBefore w:w="0" w:type="auto"/>
          <w:tblCellSpacing w:w="0" w:type="dxa"/>
        </w:trPr>
        <w:tc>
          <w:tcPr>
            <w:tcW w:w="0" w:type="auto"/>
            <w:noWrap w:val="0"/>
            <w:vAlign w:val="center"/>
          </w:tcPr>
          <w:p w14:paraId="2431EE4F">
            <w:r>
              <w:rPr>
                <w:rStyle w:val="10"/>
                <w:rFonts w:hint="eastAsia"/>
              </w:rPr>
              <w:t>登记证号：</w:t>
            </w:r>
            <w:r>
              <w:rPr>
                <w:rFonts w:hint="eastAsia"/>
              </w:rPr>
              <w:t>WP20210384</w:t>
            </w:r>
          </w:p>
        </w:tc>
      </w:tr>
      <w:tr w14:paraId="11333D2C">
        <w:tblPrEx>
          <w:tblCellMar>
            <w:top w:w="0" w:type="dxa"/>
            <w:left w:w="0" w:type="dxa"/>
            <w:bottom w:w="0" w:type="dxa"/>
            <w:right w:w="0" w:type="dxa"/>
          </w:tblCellMar>
        </w:tblPrEx>
        <w:trPr>
          <w:wBefore w:w="0" w:type="auto"/>
          <w:tblCellSpacing w:w="0" w:type="dxa"/>
        </w:trPr>
        <w:tc>
          <w:tcPr>
            <w:tcW w:w="0" w:type="auto"/>
            <w:noWrap w:val="0"/>
            <w:vAlign w:val="center"/>
          </w:tcPr>
          <w:p w14:paraId="38291620">
            <w:r>
              <w:rPr>
                <w:rStyle w:val="10"/>
                <w:rFonts w:hint="eastAsia"/>
              </w:rPr>
              <w:t>登记证持有人：</w:t>
            </w:r>
            <w:r>
              <w:rPr>
                <w:rFonts w:hint="eastAsia"/>
              </w:rPr>
              <w:t>广州超威日用化学用品有限公司</w:t>
            </w:r>
          </w:p>
        </w:tc>
      </w:tr>
      <w:tr w14:paraId="25E5BAB9">
        <w:tblPrEx>
          <w:tblCellMar>
            <w:top w:w="0" w:type="dxa"/>
            <w:left w:w="0" w:type="dxa"/>
            <w:bottom w:w="0" w:type="dxa"/>
            <w:right w:w="0" w:type="dxa"/>
          </w:tblCellMar>
        </w:tblPrEx>
        <w:trPr>
          <w:wBefore w:w="0" w:type="auto"/>
          <w:tblCellSpacing w:w="0" w:type="dxa"/>
        </w:trPr>
        <w:tc>
          <w:tcPr>
            <w:tcW w:w="0" w:type="auto"/>
            <w:noWrap w:val="0"/>
            <w:vAlign w:val="center"/>
          </w:tcPr>
          <w:p w14:paraId="796E0AF7">
            <w:r>
              <w:rPr>
                <w:rStyle w:val="10"/>
                <w:rFonts w:hint="eastAsia"/>
              </w:rPr>
              <w:t>农药名称：</w:t>
            </w:r>
            <w:r>
              <w:rPr>
                <w:rFonts w:hint="eastAsia"/>
              </w:rPr>
              <w:t>电热蚊香液</w:t>
            </w:r>
          </w:p>
        </w:tc>
      </w:tr>
      <w:tr w14:paraId="03FEF995">
        <w:tblPrEx>
          <w:tblCellMar>
            <w:top w:w="0" w:type="dxa"/>
            <w:left w:w="0" w:type="dxa"/>
            <w:bottom w:w="0" w:type="dxa"/>
            <w:right w:w="0" w:type="dxa"/>
          </w:tblCellMar>
        </w:tblPrEx>
        <w:trPr>
          <w:wBefore w:w="0" w:type="auto"/>
          <w:tblCellSpacing w:w="0" w:type="dxa"/>
        </w:trPr>
        <w:tc>
          <w:tcPr>
            <w:tcW w:w="0" w:type="auto"/>
            <w:noWrap w:val="0"/>
            <w:vAlign w:val="center"/>
          </w:tcPr>
          <w:p w14:paraId="60F8A67E">
            <w:r>
              <w:rPr>
                <w:rStyle w:val="10"/>
                <w:rFonts w:hint="eastAsia"/>
              </w:rPr>
              <w:t>剂型：</w:t>
            </w:r>
            <w:r>
              <w:rPr>
                <w:rFonts w:hint="eastAsia"/>
              </w:rPr>
              <w:t>电热香蚊液</w:t>
            </w:r>
          </w:p>
        </w:tc>
      </w:tr>
      <w:tr w14:paraId="70216153">
        <w:tblPrEx>
          <w:tblCellMar>
            <w:top w:w="0" w:type="dxa"/>
            <w:left w:w="0" w:type="dxa"/>
            <w:bottom w:w="0" w:type="dxa"/>
            <w:right w:w="0" w:type="dxa"/>
          </w:tblCellMar>
        </w:tblPrEx>
        <w:trPr>
          <w:wBefore w:w="0" w:type="auto"/>
          <w:tblCellSpacing w:w="0" w:type="dxa"/>
        </w:trPr>
        <w:tc>
          <w:tcPr>
            <w:tcW w:w="0" w:type="auto"/>
            <w:noWrap w:val="0"/>
            <w:vAlign w:val="center"/>
          </w:tcPr>
          <w:p w14:paraId="2EF78B49">
            <w:r>
              <w:rPr>
                <w:rStyle w:val="10"/>
                <w:rFonts w:hint="eastAsia"/>
              </w:rPr>
              <w:t>毒性及其标识：</w:t>
            </w:r>
            <w:r>
              <w:rPr>
                <w:rFonts w:hint="eastAsia"/>
              </w:rPr>
              <w:t xml:space="preserve"> 微毒 </w:t>
            </w:r>
          </w:p>
        </w:tc>
      </w:tr>
      <w:tr w14:paraId="51CB9D1B">
        <w:tblPrEx>
          <w:tblCellMar>
            <w:top w:w="0" w:type="dxa"/>
            <w:left w:w="0" w:type="dxa"/>
            <w:bottom w:w="0" w:type="dxa"/>
            <w:right w:w="0" w:type="dxa"/>
          </w:tblCellMar>
        </w:tblPrEx>
        <w:trPr>
          <w:wBefore w:w="0" w:type="auto"/>
          <w:tblCellSpacing w:w="0" w:type="dxa"/>
        </w:trPr>
        <w:tc>
          <w:tcPr>
            <w:tcW w:w="0" w:type="auto"/>
            <w:noWrap w:val="0"/>
            <w:vAlign w:val="center"/>
          </w:tcPr>
          <w:p w14:paraId="04F1525B">
            <w:r>
              <w:rPr>
                <w:rStyle w:val="10"/>
                <w:rFonts w:hint="eastAsia"/>
              </w:rPr>
              <w:t>总有效成分含量：</w:t>
            </w:r>
            <w:r>
              <w:rPr>
                <w:rFonts w:hint="eastAsia"/>
              </w:rPr>
              <w:t>1.24%</w:t>
            </w:r>
          </w:p>
        </w:tc>
      </w:tr>
      <w:tr w14:paraId="21421523">
        <w:tblPrEx>
          <w:tblCellMar>
            <w:top w:w="0" w:type="dxa"/>
            <w:left w:w="0" w:type="dxa"/>
            <w:bottom w:w="0" w:type="dxa"/>
            <w:right w:w="0" w:type="dxa"/>
          </w:tblCellMar>
        </w:tblPrEx>
        <w:trPr>
          <w:wBefore w:w="0" w:type="auto"/>
          <w:tblCellSpacing w:w="0" w:type="dxa"/>
        </w:trPr>
        <w:tc>
          <w:tcPr>
            <w:tcW w:w="0" w:type="auto"/>
            <w:noWrap w:val="0"/>
            <w:vAlign w:val="center"/>
          </w:tcPr>
          <w:p w14:paraId="53A12A31">
            <w:r>
              <w:rPr>
                <w:rFonts w:hint="eastAsia"/>
              </w:rPr>
              <w:t xml:space="preserve">有效成分及其含量： </w:t>
            </w:r>
          </w:p>
          <w:p w14:paraId="4994B979">
            <w:r>
              <w:rPr>
                <w:rFonts w:hint="eastAsia"/>
              </w:rPr>
              <w:t xml:space="preserve">    四氟甲醚菊酯1.24%    </w:t>
            </w:r>
          </w:p>
        </w:tc>
      </w:tr>
      <w:tr w14:paraId="29142C9A">
        <w:tblPrEx>
          <w:tblCellMar>
            <w:top w:w="0" w:type="dxa"/>
            <w:left w:w="0" w:type="dxa"/>
            <w:bottom w:w="0" w:type="dxa"/>
            <w:right w:w="0" w:type="dxa"/>
          </w:tblCellMar>
        </w:tblPrEx>
        <w:trPr>
          <w:wBefore w:w="0" w:type="auto"/>
          <w:tblCellSpacing w:w="0" w:type="dxa"/>
        </w:trPr>
        <w:tc>
          <w:tcPr>
            <w:tcW w:w="0" w:type="auto"/>
            <w:noWrap w:val="0"/>
            <w:vAlign w:val="center"/>
          </w:tcPr>
          <w:p w14:paraId="0D77EF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956E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DE44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1384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1509A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564977">
                  <w:r>
                    <w:rPr>
                      <w:rStyle w:val="11"/>
                      <w:rFonts w:hint="eastAsia"/>
                    </w:rPr>
                    <w:t>施用方式</w:t>
                  </w:r>
                </w:p>
              </w:tc>
            </w:tr>
            <w:tr w14:paraId="4606CB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FEADE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3CD1A9">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7AAFA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A321A7">
                  <w:r>
                    <w:rPr>
                      <w:rStyle w:val="11"/>
                      <w:rFonts w:hint="eastAsia"/>
                    </w:rPr>
                    <w:t>电热加温</w:t>
                  </w:r>
                </w:p>
              </w:tc>
            </w:tr>
          </w:tbl>
          <w:p w14:paraId="49D932AA">
            <w:pPr>
              <w:rPr>
                <w:rFonts w:ascii="Times New Roman" w:hAnsi="Times New Roman" w:cs="Times New Roman"/>
                <w:sz w:val="20"/>
                <w:szCs w:val="20"/>
              </w:rPr>
            </w:pPr>
          </w:p>
        </w:tc>
      </w:tr>
      <w:tr w14:paraId="77756F64">
        <w:tblPrEx>
          <w:tblCellMar>
            <w:top w:w="0" w:type="dxa"/>
            <w:left w:w="0" w:type="dxa"/>
            <w:bottom w:w="0" w:type="dxa"/>
            <w:right w:w="0" w:type="dxa"/>
          </w:tblCellMar>
        </w:tblPrEx>
        <w:trPr>
          <w:wBefore w:w="0" w:type="auto"/>
          <w:tblCellSpacing w:w="0" w:type="dxa"/>
        </w:trPr>
        <w:tc>
          <w:tcPr>
            <w:tcW w:w="0" w:type="auto"/>
            <w:noWrap w:val="0"/>
            <w:vAlign w:val="center"/>
          </w:tcPr>
          <w:p w14:paraId="1EB761F6">
            <w:r>
              <w:rPr>
                <w:rStyle w:val="10"/>
                <w:rFonts w:hint="eastAsia"/>
              </w:rPr>
              <w:t>使用技术要求:</w:t>
            </w:r>
            <w:r>
              <w:rPr>
                <w:rFonts w:hint="eastAsia"/>
              </w:rPr>
              <w:br w:type="textWrapping"/>
            </w:r>
            <w:r>
              <w:rPr>
                <w:rStyle w:val="11"/>
                <w:rFonts w:hint="eastAsia"/>
              </w:rPr>
              <w:t>拧开电热蚊香液的瓶盖。将蚊香液瓶旋紧于加热器内； 接通电源，按下开关，指示灯亮即可；蚊香液用尽，请关闭电源后，更换一瓶新的蚊香液； 若想取得最佳效果，请配套使用超威牌电热蚊香液加热器，使用时请保持蚊香液瓶竖直向上；使用时请将加热置于上风处，离人体2米为宜。 提前半小时使用，效果更佳。 适用于15平方米以下房间，大于此面积建议同时使用2套以上本产品。</w:t>
            </w:r>
          </w:p>
        </w:tc>
      </w:tr>
      <w:tr w14:paraId="702CB2F8">
        <w:tblPrEx>
          <w:tblCellMar>
            <w:top w:w="0" w:type="dxa"/>
            <w:left w:w="0" w:type="dxa"/>
            <w:bottom w:w="0" w:type="dxa"/>
            <w:right w:w="0" w:type="dxa"/>
          </w:tblCellMar>
        </w:tblPrEx>
        <w:trPr>
          <w:wBefore w:w="0" w:type="auto"/>
          <w:tblCellSpacing w:w="0" w:type="dxa"/>
        </w:trPr>
        <w:tc>
          <w:tcPr>
            <w:tcW w:w="0" w:type="auto"/>
            <w:noWrap w:val="0"/>
            <w:vAlign w:val="center"/>
          </w:tcPr>
          <w:p w14:paraId="310E3C9F">
            <w:r>
              <w:rPr>
                <w:rStyle w:val="10"/>
                <w:rFonts w:hint="eastAsia"/>
              </w:rPr>
              <w:t>产品性能:</w:t>
            </w:r>
            <w:r>
              <w:rPr>
                <w:rFonts w:hint="eastAsia"/>
              </w:rPr>
              <w:br w:type="textWrapping"/>
            </w:r>
            <w:r>
              <w:rPr>
                <w:rStyle w:val="11"/>
                <w:rFonts w:hint="eastAsia"/>
              </w:rPr>
              <w:t xml:space="preserve">本品含四氟甲醚菊酯成分，有效驱蚊； 特选优质芯棒，不易堵塞； 电热蚊香液可持续使用，无需每天添加或更换。 </w:t>
            </w:r>
          </w:p>
        </w:tc>
      </w:tr>
      <w:tr w14:paraId="4BAAE058">
        <w:tblPrEx>
          <w:tblCellMar>
            <w:top w:w="0" w:type="dxa"/>
            <w:left w:w="0" w:type="dxa"/>
            <w:bottom w:w="0" w:type="dxa"/>
            <w:right w:w="0" w:type="dxa"/>
          </w:tblCellMar>
        </w:tblPrEx>
        <w:trPr>
          <w:wBefore w:w="0" w:type="auto"/>
          <w:tblCellSpacing w:w="0" w:type="dxa"/>
        </w:trPr>
        <w:tc>
          <w:tcPr>
            <w:tcW w:w="0" w:type="auto"/>
            <w:noWrap w:val="0"/>
            <w:vAlign w:val="center"/>
          </w:tcPr>
          <w:p w14:paraId="74F4D2F3">
            <w:r>
              <w:rPr>
                <w:rStyle w:val="10"/>
                <w:rFonts w:hint="eastAsia"/>
              </w:rPr>
              <w:t>注意事项：</w:t>
            </w:r>
            <w:r>
              <w:rPr>
                <w:rFonts w:hint="eastAsia"/>
              </w:rPr>
              <w:br w:type="textWrapping"/>
            </w:r>
            <w:r>
              <w:rPr>
                <w:rStyle w:val="11"/>
                <w:rFonts w:hint="eastAsia"/>
              </w:rPr>
              <w:t xml:space="preserve">置于儿童接触不到的地方。使用时注意通风；不要在加热器表面覆盖任何物品。注意用电及防火安全；本品对鱼、蚕有毒，蚕室及其附近禁用；勿用手触摸芯棒，以免药效发挥不稳定；用后洗手。过敏者禁用；使用中有任何不良反应请及时就医。 </w:t>
            </w:r>
          </w:p>
        </w:tc>
      </w:tr>
      <w:tr w14:paraId="6B7C5EE7">
        <w:tblPrEx>
          <w:tblCellMar>
            <w:top w:w="0" w:type="dxa"/>
            <w:left w:w="0" w:type="dxa"/>
            <w:bottom w:w="0" w:type="dxa"/>
            <w:right w:w="0" w:type="dxa"/>
          </w:tblCellMar>
        </w:tblPrEx>
        <w:trPr>
          <w:wBefore w:w="0" w:type="auto"/>
          <w:tblCellSpacing w:w="0" w:type="dxa"/>
        </w:trPr>
        <w:tc>
          <w:tcPr>
            <w:tcW w:w="0" w:type="auto"/>
            <w:noWrap w:val="0"/>
            <w:vAlign w:val="center"/>
          </w:tcPr>
          <w:p w14:paraId="47359CD4">
            <w:r>
              <w:rPr>
                <w:rStyle w:val="10"/>
                <w:rFonts w:hint="eastAsia"/>
              </w:rPr>
              <w:t>中毒急救措施：</w:t>
            </w:r>
            <w:r>
              <w:rPr>
                <w:rFonts w:hint="eastAsia"/>
              </w:rPr>
              <w:br w:type="textWrapping"/>
            </w:r>
            <w:r>
              <w:rPr>
                <w:rStyle w:val="11"/>
                <w:rFonts w:hint="eastAsia"/>
              </w:rPr>
              <w:t xml:space="preserve">如眼睛或皮肤接触药液，请即用清水冲洗； 如误饮，请即饮大量清水并携包装及时就诊。 </w:t>
            </w:r>
          </w:p>
        </w:tc>
      </w:tr>
      <w:tr w14:paraId="3B9CF18A">
        <w:tblPrEx>
          <w:tblCellMar>
            <w:top w:w="0" w:type="dxa"/>
            <w:left w:w="0" w:type="dxa"/>
            <w:bottom w:w="0" w:type="dxa"/>
            <w:right w:w="0" w:type="dxa"/>
          </w:tblCellMar>
        </w:tblPrEx>
        <w:trPr>
          <w:wBefore w:w="0" w:type="auto"/>
          <w:tblCellSpacing w:w="0" w:type="dxa"/>
        </w:trPr>
        <w:tc>
          <w:tcPr>
            <w:tcW w:w="0" w:type="auto"/>
            <w:noWrap w:val="0"/>
            <w:vAlign w:val="center"/>
          </w:tcPr>
          <w:p w14:paraId="7DFB5533">
            <w:r>
              <w:rPr>
                <w:rStyle w:val="10"/>
                <w:rFonts w:hint="eastAsia"/>
              </w:rPr>
              <w:t>储存和运输方法：</w:t>
            </w:r>
            <w:r>
              <w:rPr>
                <w:rFonts w:hint="eastAsia"/>
              </w:rPr>
              <w:br w:type="textWrapping"/>
            </w:r>
            <w:r>
              <w:rPr>
                <w:rStyle w:val="11"/>
                <w:rFonts w:hint="eastAsia"/>
              </w:rPr>
              <w:t xml:space="preserve">本品应贮存在干燥、阴凉、通风、防雨处，远离火源或热源，勿让阳光直接照射； 勿与食品、饮料、饲料等商品同贮同运； 置于儿童接触不到的地方。 </w:t>
            </w:r>
          </w:p>
        </w:tc>
      </w:tr>
      <w:tr w14:paraId="1897D018">
        <w:tblPrEx>
          <w:tblCellMar>
            <w:top w:w="0" w:type="dxa"/>
            <w:left w:w="0" w:type="dxa"/>
            <w:bottom w:w="0" w:type="dxa"/>
            <w:right w:w="0" w:type="dxa"/>
          </w:tblCellMar>
        </w:tblPrEx>
        <w:trPr>
          <w:wBefore w:w="0" w:type="auto"/>
          <w:tblCellSpacing w:w="0" w:type="dxa"/>
        </w:trPr>
        <w:tc>
          <w:tcPr>
            <w:tcW w:w="0" w:type="auto"/>
            <w:noWrap w:val="0"/>
            <w:vAlign w:val="center"/>
          </w:tcPr>
          <w:p w14:paraId="6C551D33">
            <w:r>
              <w:rPr>
                <w:rStyle w:val="10"/>
                <w:rFonts w:hint="eastAsia"/>
              </w:rPr>
              <w:t>质量保证期：</w:t>
            </w:r>
            <w:r>
              <w:rPr>
                <w:rStyle w:val="11"/>
                <w:rFonts w:hint="eastAsia"/>
              </w:rPr>
              <w:t>2年</w:t>
            </w:r>
          </w:p>
        </w:tc>
      </w:tr>
      <w:tr w14:paraId="775DA4BD">
        <w:tblPrEx>
          <w:tblCellMar>
            <w:top w:w="0" w:type="dxa"/>
            <w:left w:w="0" w:type="dxa"/>
            <w:bottom w:w="0" w:type="dxa"/>
            <w:right w:w="0" w:type="dxa"/>
          </w:tblCellMar>
        </w:tblPrEx>
        <w:trPr>
          <w:wBefore w:w="0" w:type="auto"/>
          <w:tblCellSpacing w:w="0" w:type="dxa"/>
        </w:trPr>
        <w:tc>
          <w:tcPr>
            <w:tcW w:w="0" w:type="auto"/>
            <w:noWrap w:val="0"/>
            <w:vAlign w:val="center"/>
          </w:tcPr>
          <w:p w14:paraId="241835C7">
            <w:r>
              <w:rPr>
                <w:rStyle w:val="10"/>
                <w:rFonts w:hint="eastAsia"/>
              </w:rPr>
              <w:t>备注：</w:t>
            </w:r>
          </w:p>
        </w:tc>
      </w:tr>
    </w:tbl>
    <w:p w14:paraId="7C81AA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ACE5CA">
        <w:tblPrEx>
          <w:tblCellMar>
            <w:top w:w="0" w:type="dxa"/>
            <w:left w:w="0" w:type="dxa"/>
            <w:bottom w:w="0" w:type="dxa"/>
            <w:right w:w="0" w:type="dxa"/>
          </w:tblCellMar>
        </w:tblPrEx>
        <w:trPr>
          <w:wBefore w:w="0" w:type="auto"/>
          <w:tblCellSpacing w:w="0" w:type="dxa"/>
        </w:trPr>
        <w:tc>
          <w:tcPr>
            <w:tcW w:w="0" w:type="auto"/>
            <w:noWrap w:val="0"/>
            <w:vAlign w:val="center"/>
          </w:tcPr>
          <w:p w14:paraId="408F5A81">
            <w:r>
              <w:rPr>
                <w:rStyle w:val="10"/>
                <w:rFonts w:hint="eastAsia"/>
              </w:rPr>
              <w:t>登记证号：</w:t>
            </w:r>
            <w:r>
              <w:rPr>
                <w:rFonts w:hint="eastAsia"/>
              </w:rPr>
              <w:t>WP20210389</w:t>
            </w:r>
          </w:p>
        </w:tc>
      </w:tr>
      <w:tr w14:paraId="59A46CE6">
        <w:tblPrEx>
          <w:tblCellMar>
            <w:top w:w="0" w:type="dxa"/>
            <w:left w:w="0" w:type="dxa"/>
            <w:bottom w:w="0" w:type="dxa"/>
            <w:right w:w="0" w:type="dxa"/>
          </w:tblCellMar>
        </w:tblPrEx>
        <w:trPr>
          <w:wBefore w:w="0" w:type="auto"/>
          <w:tblCellSpacing w:w="0" w:type="dxa"/>
        </w:trPr>
        <w:tc>
          <w:tcPr>
            <w:tcW w:w="0" w:type="auto"/>
            <w:noWrap w:val="0"/>
            <w:vAlign w:val="center"/>
          </w:tcPr>
          <w:p w14:paraId="2C0AA9F2">
            <w:r>
              <w:rPr>
                <w:rStyle w:val="10"/>
                <w:rFonts w:hint="eastAsia"/>
              </w:rPr>
              <w:t>登记证持有人：</w:t>
            </w:r>
            <w:r>
              <w:rPr>
                <w:rFonts w:hint="eastAsia"/>
              </w:rPr>
              <w:t>新乡市莱恩坪安园林有限公司</w:t>
            </w:r>
          </w:p>
        </w:tc>
      </w:tr>
      <w:tr w14:paraId="0C8BE5D7">
        <w:tblPrEx>
          <w:tblCellMar>
            <w:top w:w="0" w:type="dxa"/>
            <w:left w:w="0" w:type="dxa"/>
            <w:bottom w:w="0" w:type="dxa"/>
            <w:right w:w="0" w:type="dxa"/>
          </w:tblCellMar>
        </w:tblPrEx>
        <w:trPr>
          <w:wBefore w:w="0" w:type="auto"/>
          <w:tblCellSpacing w:w="0" w:type="dxa"/>
        </w:trPr>
        <w:tc>
          <w:tcPr>
            <w:tcW w:w="0" w:type="auto"/>
            <w:noWrap w:val="0"/>
            <w:vAlign w:val="center"/>
          </w:tcPr>
          <w:p w14:paraId="6B5ADCBA">
            <w:r>
              <w:rPr>
                <w:rStyle w:val="10"/>
                <w:rFonts w:hint="eastAsia"/>
              </w:rPr>
              <w:t>农药名称：</w:t>
            </w:r>
            <w:r>
              <w:rPr>
                <w:rFonts w:hint="eastAsia"/>
              </w:rPr>
              <w:t>吡丙醚</w:t>
            </w:r>
          </w:p>
        </w:tc>
      </w:tr>
      <w:tr w14:paraId="025FCB06">
        <w:tblPrEx>
          <w:tblCellMar>
            <w:top w:w="0" w:type="dxa"/>
            <w:left w:w="0" w:type="dxa"/>
            <w:bottom w:w="0" w:type="dxa"/>
            <w:right w:w="0" w:type="dxa"/>
          </w:tblCellMar>
        </w:tblPrEx>
        <w:trPr>
          <w:wBefore w:w="0" w:type="auto"/>
          <w:tblCellSpacing w:w="0" w:type="dxa"/>
        </w:trPr>
        <w:tc>
          <w:tcPr>
            <w:tcW w:w="0" w:type="auto"/>
            <w:noWrap w:val="0"/>
            <w:vAlign w:val="center"/>
          </w:tcPr>
          <w:p w14:paraId="738FE424">
            <w:r>
              <w:rPr>
                <w:rStyle w:val="10"/>
                <w:rFonts w:hint="eastAsia"/>
              </w:rPr>
              <w:t>剂型：</w:t>
            </w:r>
            <w:r>
              <w:rPr>
                <w:rFonts w:hint="eastAsia"/>
              </w:rPr>
              <w:t>悬浮剂</w:t>
            </w:r>
          </w:p>
        </w:tc>
      </w:tr>
      <w:tr w14:paraId="67E7C37D">
        <w:tblPrEx>
          <w:tblCellMar>
            <w:top w:w="0" w:type="dxa"/>
            <w:left w:w="0" w:type="dxa"/>
            <w:bottom w:w="0" w:type="dxa"/>
            <w:right w:w="0" w:type="dxa"/>
          </w:tblCellMar>
        </w:tblPrEx>
        <w:trPr>
          <w:wBefore w:w="0" w:type="auto"/>
          <w:tblCellSpacing w:w="0" w:type="dxa"/>
        </w:trPr>
        <w:tc>
          <w:tcPr>
            <w:tcW w:w="0" w:type="auto"/>
            <w:noWrap w:val="0"/>
            <w:vAlign w:val="center"/>
          </w:tcPr>
          <w:p w14:paraId="06E0F235">
            <w:r>
              <w:rPr>
                <w:rStyle w:val="10"/>
                <w:rFonts w:hint="eastAsia"/>
              </w:rPr>
              <w:t>毒性及其标识：</w:t>
            </w:r>
            <w:r>
              <w:rPr>
                <w:rFonts w:hint="eastAsia"/>
              </w:rPr>
              <w:t xml:space="preserve"> </w:t>
            </w:r>
            <w:r>
              <w:rPr>
                <w:lang/>
              </w:rPr>
              <w:drawing>
                <wp:inline distT="0" distB="0" distL="114300" distR="114300">
                  <wp:extent cx="476250" cy="323850"/>
                  <wp:effectExtent l="0" t="0" r="0" b="0"/>
                  <wp:docPr id="342" name="图片 3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2DA664">
        <w:tblPrEx>
          <w:tblCellMar>
            <w:top w:w="0" w:type="dxa"/>
            <w:left w:w="0" w:type="dxa"/>
            <w:bottom w:w="0" w:type="dxa"/>
            <w:right w:w="0" w:type="dxa"/>
          </w:tblCellMar>
        </w:tblPrEx>
        <w:trPr>
          <w:wBefore w:w="0" w:type="auto"/>
          <w:tblCellSpacing w:w="0" w:type="dxa"/>
        </w:trPr>
        <w:tc>
          <w:tcPr>
            <w:tcW w:w="0" w:type="auto"/>
            <w:noWrap w:val="0"/>
            <w:vAlign w:val="center"/>
          </w:tcPr>
          <w:p w14:paraId="0E060960">
            <w:r>
              <w:rPr>
                <w:rStyle w:val="10"/>
                <w:rFonts w:hint="eastAsia"/>
              </w:rPr>
              <w:t>总有效成分含量：</w:t>
            </w:r>
            <w:r>
              <w:rPr>
                <w:rFonts w:hint="eastAsia"/>
              </w:rPr>
              <w:t>10%</w:t>
            </w:r>
          </w:p>
        </w:tc>
      </w:tr>
      <w:tr w14:paraId="1B65F04B">
        <w:tblPrEx>
          <w:tblCellMar>
            <w:top w:w="0" w:type="dxa"/>
            <w:left w:w="0" w:type="dxa"/>
            <w:bottom w:w="0" w:type="dxa"/>
            <w:right w:w="0" w:type="dxa"/>
          </w:tblCellMar>
        </w:tblPrEx>
        <w:trPr>
          <w:wBefore w:w="0" w:type="auto"/>
          <w:tblCellSpacing w:w="0" w:type="dxa"/>
        </w:trPr>
        <w:tc>
          <w:tcPr>
            <w:tcW w:w="0" w:type="auto"/>
            <w:noWrap w:val="0"/>
            <w:vAlign w:val="center"/>
          </w:tcPr>
          <w:p w14:paraId="2F26A2F3">
            <w:r>
              <w:rPr>
                <w:rFonts w:hint="eastAsia"/>
              </w:rPr>
              <w:t xml:space="preserve">有效成分及其含量： </w:t>
            </w:r>
          </w:p>
          <w:p w14:paraId="4BB672F7">
            <w:r>
              <w:rPr>
                <w:rFonts w:hint="eastAsia"/>
              </w:rPr>
              <w:t xml:space="preserve">    吡丙醚10%    </w:t>
            </w:r>
          </w:p>
        </w:tc>
      </w:tr>
      <w:tr w14:paraId="4C4307AD">
        <w:tblPrEx>
          <w:tblCellMar>
            <w:top w:w="0" w:type="dxa"/>
            <w:left w:w="0" w:type="dxa"/>
            <w:bottom w:w="0" w:type="dxa"/>
            <w:right w:w="0" w:type="dxa"/>
          </w:tblCellMar>
        </w:tblPrEx>
        <w:trPr>
          <w:wBefore w:w="0" w:type="auto"/>
          <w:tblCellSpacing w:w="0" w:type="dxa"/>
        </w:trPr>
        <w:tc>
          <w:tcPr>
            <w:tcW w:w="0" w:type="auto"/>
            <w:noWrap w:val="0"/>
            <w:vAlign w:val="center"/>
          </w:tcPr>
          <w:p w14:paraId="267614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97573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DDCC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BD30B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5CDCF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75DFC2">
                  <w:r>
                    <w:rPr>
                      <w:rStyle w:val="11"/>
                      <w:rFonts w:hint="eastAsia"/>
                    </w:rPr>
                    <w:t>施用方式</w:t>
                  </w:r>
                </w:p>
              </w:tc>
            </w:tr>
            <w:tr w14:paraId="52DC2D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FAE02B">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CCB196">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A332FC">
                  <w:r>
                    <w:rPr>
                      <w:rStyle w:val="11"/>
                      <w:rFonts w:hint="eastAsia"/>
                    </w:rPr>
                    <w:t>1-2毫升/平方米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B1C5E">
                  <w:r>
                    <w:rPr>
                      <w:rStyle w:val="11"/>
                      <w:rFonts w:hint="eastAsia"/>
                    </w:rPr>
                    <w:t>喷洒</w:t>
                  </w:r>
                </w:p>
              </w:tc>
            </w:tr>
          </w:tbl>
          <w:p w14:paraId="102F3CE4">
            <w:pPr>
              <w:rPr>
                <w:rFonts w:ascii="Times New Roman" w:hAnsi="Times New Roman" w:cs="Times New Roman"/>
                <w:sz w:val="20"/>
                <w:szCs w:val="20"/>
              </w:rPr>
            </w:pPr>
          </w:p>
        </w:tc>
      </w:tr>
      <w:tr w14:paraId="6D6450EB">
        <w:tblPrEx>
          <w:tblCellMar>
            <w:top w:w="0" w:type="dxa"/>
            <w:left w:w="0" w:type="dxa"/>
            <w:bottom w:w="0" w:type="dxa"/>
            <w:right w:w="0" w:type="dxa"/>
          </w:tblCellMar>
        </w:tblPrEx>
        <w:trPr>
          <w:wBefore w:w="0" w:type="auto"/>
          <w:tblCellSpacing w:w="0" w:type="dxa"/>
        </w:trPr>
        <w:tc>
          <w:tcPr>
            <w:tcW w:w="0" w:type="auto"/>
            <w:noWrap w:val="0"/>
            <w:vAlign w:val="center"/>
          </w:tcPr>
          <w:p w14:paraId="47434A10">
            <w:r>
              <w:rPr>
                <w:rStyle w:val="10"/>
                <w:rFonts w:hint="eastAsia"/>
              </w:rPr>
              <w:t>使用技术要求:</w:t>
            </w:r>
            <w:r>
              <w:rPr>
                <w:rFonts w:hint="eastAsia"/>
              </w:rPr>
              <w:br w:type="textWrapping"/>
            </w:r>
            <w:r>
              <w:rPr>
                <w:rStyle w:val="11"/>
                <w:rFonts w:hint="eastAsia"/>
              </w:rPr>
              <w:t>1、本品按上述用药量，稀释500～2000倍用于蝇幼虫聚集区即可。 2、本品不应与碱性物质混合使用。</w:t>
            </w:r>
          </w:p>
        </w:tc>
      </w:tr>
      <w:tr w14:paraId="7F4A238C">
        <w:tblPrEx>
          <w:tblCellMar>
            <w:top w:w="0" w:type="dxa"/>
            <w:left w:w="0" w:type="dxa"/>
            <w:bottom w:w="0" w:type="dxa"/>
            <w:right w:w="0" w:type="dxa"/>
          </w:tblCellMar>
        </w:tblPrEx>
        <w:trPr>
          <w:wBefore w:w="0" w:type="auto"/>
          <w:tblCellSpacing w:w="0" w:type="dxa"/>
        </w:trPr>
        <w:tc>
          <w:tcPr>
            <w:tcW w:w="0" w:type="auto"/>
            <w:noWrap w:val="0"/>
            <w:vAlign w:val="center"/>
          </w:tcPr>
          <w:p w14:paraId="5661DDAF">
            <w:r>
              <w:rPr>
                <w:rStyle w:val="10"/>
                <w:rFonts w:hint="eastAsia"/>
              </w:rPr>
              <w:t>产品性能:</w:t>
            </w:r>
            <w:r>
              <w:rPr>
                <w:rFonts w:hint="eastAsia"/>
              </w:rPr>
              <w:br w:type="textWrapping"/>
            </w:r>
            <w:r>
              <w:rPr>
                <w:rStyle w:val="11"/>
                <w:rFonts w:hint="eastAsia"/>
              </w:rPr>
              <w:t xml:space="preserve">本品所含吡丙醚是一种保幼激素类型的几丁质合成抑制剂，具有杀卵作用，还具有内吸性转移活性。 </w:t>
            </w:r>
          </w:p>
        </w:tc>
      </w:tr>
      <w:tr w14:paraId="106D1C4E">
        <w:tblPrEx>
          <w:tblCellMar>
            <w:top w:w="0" w:type="dxa"/>
            <w:left w:w="0" w:type="dxa"/>
            <w:bottom w:w="0" w:type="dxa"/>
            <w:right w:w="0" w:type="dxa"/>
          </w:tblCellMar>
        </w:tblPrEx>
        <w:trPr>
          <w:wBefore w:w="0" w:type="auto"/>
          <w:tblCellSpacing w:w="0" w:type="dxa"/>
        </w:trPr>
        <w:tc>
          <w:tcPr>
            <w:tcW w:w="0" w:type="auto"/>
            <w:noWrap w:val="0"/>
            <w:vAlign w:val="center"/>
          </w:tcPr>
          <w:p w14:paraId="0ED8AD02">
            <w:r>
              <w:rPr>
                <w:rStyle w:val="10"/>
                <w:rFonts w:hint="eastAsia"/>
              </w:rPr>
              <w:t>注意事项：</w:t>
            </w:r>
            <w:r>
              <w:rPr>
                <w:rFonts w:hint="eastAsia"/>
              </w:rPr>
              <w:br w:type="textWrapping"/>
            </w:r>
            <w:r>
              <w:rPr>
                <w:rStyle w:val="11"/>
                <w:rFonts w:hint="eastAsia"/>
              </w:rPr>
              <w:t>1、应现配现用，配好的药液不宜存放太久。2、本品对鱼类等水生生物有毒，喷洒时防止药雾漂移污染，远离水产养殖区、河塘等水域施药，禁止在河塘等水体中清洗施药器具。虽然对家蚕、蜜蜂为低毒，施药期间应密切关注对附近蜂群的影响。但在喷洒时注意避开蜜源作物花期、桑园、蚕室附近。本品仅用于室外。3、鸟类保护区附近禁用。4、(周围)开花植物花期禁用。5、使用本品时应穿戴防护服和手套，避免吸入药液。严格按照“农药安全使用规定”要求操作。6、施药时严禁吸烟和饮食，不得迎风施药，避免直接接触药液，防止由口鼻吸入，对眼睛有刺激性作用，避免接触眼睛，施药后应清洗手、脸及身体被污染部分和衣服。7、勿向人体，食物喷洒。8、用过的容器应妥善处理，不可做他用，也不可随意丢弃。9、过敏者禁用，使用中有任何不良反应请及时就医。10、孕妇及哺乳期妇女避免接触该药剂。</w:t>
            </w:r>
          </w:p>
        </w:tc>
      </w:tr>
      <w:tr w14:paraId="62E6BE88">
        <w:tblPrEx>
          <w:tblCellMar>
            <w:top w:w="0" w:type="dxa"/>
            <w:left w:w="0" w:type="dxa"/>
            <w:bottom w:w="0" w:type="dxa"/>
            <w:right w:w="0" w:type="dxa"/>
          </w:tblCellMar>
        </w:tblPrEx>
        <w:trPr>
          <w:wBefore w:w="0" w:type="auto"/>
          <w:tblCellSpacing w:w="0" w:type="dxa"/>
        </w:trPr>
        <w:tc>
          <w:tcPr>
            <w:tcW w:w="0" w:type="auto"/>
            <w:noWrap w:val="0"/>
            <w:vAlign w:val="center"/>
          </w:tcPr>
          <w:p w14:paraId="55B99624">
            <w:r>
              <w:rPr>
                <w:rStyle w:val="10"/>
                <w:rFonts w:hint="eastAsia"/>
              </w:rPr>
              <w:t>中毒急救措施：</w:t>
            </w:r>
            <w:r>
              <w:rPr>
                <w:rFonts w:hint="eastAsia"/>
              </w:rPr>
              <w:br w:type="textWrapping"/>
            </w:r>
            <w:r>
              <w:rPr>
                <w:rStyle w:val="11"/>
                <w:rFonts w:hint="eastAsia"/>
              </w:rPr>
              <w:t xml:space="preserve">眼睛接触：用大量的水冲洗直至刺激消退，如果刺激不退，请立即就医。皮肤接触：用大量的水冲洗，尽可能用肥皂或洗涤剂洗涤，立即脱去受污染的衣服、鞋子，流动的水冲洗干净。吸入：在急救前需戴上合适的呼吸保护器。立即将中毒者转移到有新鲜空气的地方，并就医。如果停止呼吸，进行人工呼吸，若呼吸困难，给氧并就医。食入：若发生吞服，用水漱嘴。保持休息。不能给中毒者用嘴吃任何东西，勿催吐。立即就医。无解毒药，对症治疗。如误服或在接触药剂后有不适症状，应立即脱离接触环境，并立即携标签到医院诊治。 </w:t>
            </w:r>
          </w:p>
        </w:tc>
      </w:tr>
      <w:tr w14:paraId="523554C0">
        <w:tblPrEx>
          <w:tblCellMar>
            <w:top w:w="0" w:type="dxa"/>
            <w:left w:w="0" w:type="dxa"/>
            <w:bottom w:w="0" w:type="dxa"/>
            <w:right w:w="0" w:type="dxa"/>
          </w:tblCellMar>
        </w:tblPrEx>
        <w:trPr>
          <w:wBefore w:w="0" w:type="auto"/>
          <w:tblCellSpacing w:w="0" w:type="dxa"/>
        </w:trPr>
        <w:tc>
          <w:tcPr>
            <w:tcW w:w="0" w:type="auto"/>
            <w:noWrap w:val="0"/>
            <w:vAlign w:val="center"/>
          </w:tcPr>
          <w:p w14:paraId="737F54DA">
            <w:r>
              <w:rPr>
                <w:rStyle w:val="10"/>
                <w:rFonts w:hint="eastAsia"/>
              </w:rPr>
              <w:t>储存和运输方法：</w:t>
            </w:r>
            <w:r>
              <w:rPr>
                <w:rFonts w:hint="eastAsia"/>
              </w:rPr>
              <w:br w:type="textWrapping"/>
            </w:r>
            <w:r>
              <w:rPr>
                <w:rStyle w:val="11"/>
                <w:rFonts w:hint="eastAsia"/>
              </w:rPr>
              <w:t>1、本品应贮存在干燥、阴凉、通风、防雨处，远离火源或热源。储存和运输时严防潮湿和日晒。 2、本品应置于儿童、无关人员及动物触及不到之处，并加锁保存。 3、不能与食品、饮料、粮食、饲料等混合储存。</w:t>
            </w:r>
          </w:p>
        </w:tc>
      </w:tr>
      <w:tr w14:paraId="1CF1FE25">
        <w:tblPrEx>
          <w:tblCellMar>
            <w:top w:w="0" w:type="dxa"/>
            <w:left w:w="0" w:type="dxa"/>
            <w:bottom w:w="0" w:type="dxa"/>
            <w:right w:w="0" w:type="dxa"/>
          </w:tblCellMar>
        </w:tblPrEx>
        <w:trPr>
          <w:wBefore w:w="0" w:type="auto"/>
          <w:tblCellSpacing w:w="0" w:type="dxa"/>
        </w:trPr>
        <w:tc>
          <w:tcPr>
            <w:tcW w:w="0" w:type="auto"/>
            <w:noWrap w:val="0"/>
            <w:vAlign w:val="center"/>
          </w:tcPr>
          <w:p w14:paraId="5A994D8A">
            <w:r>
              <w:rPr>
                <w:rStyle w:val="10"/>
                <w:rFonts w:hint="eastAsia"/>
              </w:rPr>
              <w:t>质量保证期：</w:t>
            </w:r>
            <w:r>
              <w:rPr>
                <w:rStyle w:val="11"/>
                <w:rFonts w:hint="eastAsia"/>
              </w:rPr>
              <w:t>2年</w:t>
            </w:r>
          </w:p>
        </w:tc>
      </w:tr>
      <w:tr w14:paraId="0B3CAD7D">
        <w:tblPrEx>
          <w:tblCellMar>
            <w:top w:w="0" w:type="dxa"/>
            <w:left w:w="0" w:type="dxa"/>
            <w:bottom w:w="0" w:type="dxa"/>
            <w:right w:w="0" w:type="dxa"/>
          </w:tblCellMar>
        </w:tblPrEx>
        <w:trPr>
          <w:wBefore w:w="0" w:type="auto"/>
          <w:tblCellSpacing w:w="0" w:type="dxa"/>
        </w:trPr>
        <w:tc>
          <w:tcPr>
            <w:tcW w:w="0" w:type="auto"/>
            <w:noWrap w:val="0"/>
            <w:vAlign w:val="center"/>
          </w:tcPr>
          <w:p w14:paraId="30D967DB">
            <w:r>
              <w:rPr>
                <w:rStyle w:val="10"/>
                <w:rFonts w:hint="eastAsia"/>
              </w:rPr>
              <w:t>备注：</w:t>
            </w:r>
          </w:p>
        </w:tc>
      </w:tr>
    </w:tbl>
    <w:p w14:paraId="479BE11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C26BE9">
        <w:tblPrEx>
          <w:tblCellMar>
            <w:top w:w="0" w:type="dxa"/>
            <w:left w:w="0" w:type="dxa"/>
            <w:bottom w:w="0" w:type="dxa"/>
            <w:right w:w="0" w:type="dxa"/>
          </w:tblCellMar>
        </w:tblPrEx>
        <w:trPr>
          <w:wBefore w:w="0" w:type="auto"/>
          <w:tblCellSpacing w:w="0" w:type="dxa"/>
        </w:trPr>
        <w:tc>
          <w:tcPr>
            <w:tcW w:w="0" w:type="auto"/>
            <w:noWrap w:val="0"/>
            <w:vAlign w:val="center"/>
          </w:tcPr>
          <w:p w14:paraId="7E1C5C6E">
            <w:r>
              <w:rPr>
                <w:rStyle w:val="10"/>
                <w:rFonts w:hint="eastAsia"/>
              </w:rPr>
              <w:t>登记证号：</w:t>
            </w:r>
            <w:r>
              <w:rPr>
                <w:rFonts w:hint="eastAsia"/>
              </w:rPr>
              <w:t>WP20210403</w:t>
            </w:r>
          </w:p>
        </w:tc>
      </w:tr>
      <w:tr w14:paraId="14904FAB">
        <w:tblPrEx>
          <w:tblCellMar>
            <w:top w:w="0" w:type="dxa"/>
            <w:left w:w="0" w:type="dxa"/>
            <w:bottom w:w="0" w:type="dxa"/>
            <w:right w:w="0" w:type="dxa"/>
          </w:tblCellMar>
        </w:tblPrEx>
        <w:trPr>
          <w:wBefore w:w="0" w:type="auto"/>
          <w:tblCellSpacing w:w="0" w:type="dxa"/>
        </w:trPr>
        <w:tc>
          <w:tcPr>
            <w:tcW w:w="0" w:type="auto"/>
            <w:noWrap w:val="0"/>
            <w:vAlign w:val="center"/>
          </w:tcPr>
          <w:p w14:paraId="7596E548">
            <w:r>
              <w:rPr>
                <w:rStyle w:val="10"/>
                <w:rFonts w:hint="eastAsia"/>
              </w:rPr>
              <w:t>登记证持有人：</w:t>
            </w:r>
            <w:r>
              <w:rPr>
                <w:rFonts w:hint="eastAsia"/>
              </w:rPr>
              <w:t>山东洁保生物科技有限公司</w:t>
            </w:r>
          </w:p>
        </w:tc>
      </w:tr>
      <w:tr w14:paraId="7888036C">
        <w:tblPrEx>
          <w:tblCellMar>
            <w:top w:w="0" w:type="dxa"/>
            <w:left w:w="0" w:type="dxa"/>
            <w:bottom w:w="0" w:type="dxa"/>
            <w:right w:w="0" w:type="dxa"/>
          </w:tblCellMar>
        </w:tblPrEx>
        <w:trPr>
          <w:wBefore w:w="0" w:type="auto"/>
          <w:tblCellSpacing w:w="0" w:type="dxa"/>
        </w:trPr>
        <w:tc>
          <w:tcPr>
            <w:tcW w:w="0" w:type="auto"/>
            <w:noWrap w:val="0"/>
            <w:vAlign w:val="center"/>
          </w:tcPr>
          <w:p w14:paraId="6B69AC58">
            <w:r>
              <w:rPr>
                <w:rStyle w:val="10"/>
                <w:rFonts w:hint="eastAsia"/>
              </w:rPr>
              <w:t>农药名称：</w:t>
            </w:r>
            <w:r>
              <w:rPr>
                <w:rFonts w:hint="eastAsia"/>
              </w:rPr>
              <w:t>驱蚊液</w:t>
            </w:r>
          </w:p>
        </w:tc>
      </w:tr>
      <w:tr w14:paraId="0C490561">
        <w:tblPrEx>
          <w:tblCellMar>
            <w:top w:w="0" w:type="dxa"/>
            <w:left w:w="0" w:type="dxa"/>
            <w:bottom w:w="0" w:type="dxa"/>
            <w:right w:w="0" w:type="dxa"/>
          </w:tblCellMar>
        </w:tblPrEx>
        <w:trPr>
          <w:wBefore w:w="0" w:type="auto"/>
          <w:tblCellSpacing w:w="0" w:type="dxa"/>
        </w:trPr>
        <w:tc>
          <w:tcPr>
            <w:tcW w:w="0" w:type="auto"/>
            <w:noWrap w:val="0"/>
            <w:vAlign w:val="center"/>
          </w:tcPr>
          <w:p w14:paraId="2651FCDA">
            <w:r>
              <w:rPr>
                <w:rStyle w:val="10"/>
                <w:rFonts w:hint="eastAsia"/>
              </w:rPr>
              <w:t>剂型：</w:t>
            </w:r>
            <w:r>
              <w:rPr>
                <w:rFonts w:hint="eastAsia"/>
              </w:rPr>
              <w:t>驱蚊液</w:t>
            </w:r>
          </w:p>
        </w:tc>
      </w:tr>
      <w:tr w14:paraId="206B95EA">
        <w:tblPrEx>
          <w:tblCellMar>
            <w:top w:w="0" w:type="dxa"/>
            <w:left w:w="0" w:type="dxa"/>
            <w:bottom w:w="0" w:type="dxa"/>
            <w:right w:w="0" w:type="dxa"/>
          </w:tblCellMar>
        </w:tblPrEx>
        <w:trPr>
          <w:wBefore w:w="0" w:type="auto"/>
          <w:tblCellSpacing w:w="0" w:type="dxa"/>
        </w:trPr>
        <w:tc>
          <w:tcPr>
            <w:tcW w:w="0" w:type="auto"/>
            <w:noWrap w:val="0"/>
            <w:vAlign w:val="center"/>
          </w:tcPr>
          <w:p w14:paraId="4EB09D08">
            <w:r>
              <w:rPr>
                <w:rStyle w:val="10"/>
                <w:rFonts w:hint="eastAsia"/>
              </w:rPr>
              <w:t>毒性及其标识：</w:t>
            </w:r>
            <w:r>
              <w:rPr>
                <w:rFonts w:hint="eastAsia"/>
              </w:rPr>
              <w:t xml:space="preserve"> 微毒 </w:t>
            </w:r>
          </w:p>
        </w:tc>
      </w:tr>
      <w:tr w14:paraId="2BB3D2B9">
        <w:tblPrEx>
          <w:tblCellMar>
            <w:top w:w="0" w:type="dxa"/>
            <w:left w:w="0" w:type="dxa"/>
            <w:bottom w:w="0" w:type="dxa"/>
            <w:right w:w="0" w:type="dxa"/>
          </w:tblCellMar>
        </w:tblPrEx>
        <w:trPr>
          <w:wBefore w:w="0" w:type="auto"/>
          <w:tblCellSpacing w:w="0" w:type="dxa"/>
        </w:trPr>
        <w:tc>
          <w:tcPr>
            <w:tcW w:w="0" w:type="auto"/>
            <w:noWrap w:val="0"/>
            <w:vAlign w:val="center"/>
          </w:tcPr>
          <w:p w14:paraId="4423CC5A">
            <w:r>
              <w:rPr>
                <w:rStyle w:val="10"/>
                <w:rFonts w:hint="eastAsia"/>
              </w:rPr>
              <w:t>总有效成分含量：</w:t>
            </w:r>
            <w:r>
              <w:rPr>
                <w:rFonts w:hint="eastAsia"/>
              </w:rPr>
              <w:t>15%</w:t>
            </w:r>
          </w:p>
        </w:tc>
      </w:tr>
      <w:tr w14:paraId="15F75562">
        <w:tblPrEx>
          <w:tblCellMar>
            <w:top w:w="0" w:type="dxa"/>
            <w:left w:w="0" w:type="dxa"/>
            <w:bottom w:w="0" w:type="dxa"/>
            <w:right w:w="0" w:type="dxa"/>
          </w:tblCellMar>
        </w:tblPrEx>
        <w:trPr>
          <w:wBefore w:w="0" w:type="auto"/>
          <w:tblCellSpacing w:w="0" w:type="dxa"/>
        </w:trPr>
        <w:tc>
          <w:tcPr>
            <w:tcW w:w="0" w:type="auto"/>
            <w:noWrap w:val="0"/>
            <w:vAlign w:val="center"/>
          </w:tcPr>
          <w:p w14:paraId="28274C83">
            <w:r>
              <w:rPr>
                <w:rFonts w:hint="eastAsia"/>
              </w:rPr>
              <w:t xml:space="preserve">有效成分及其含量： </w:t>
            </w:r>
          </w:p>
          <w:p w14:paraId="4971FA99">
            <w:r>
              <w:rPr>
                <w:rFonts w:hint="eastAsia"/>
              </w:rPr>
              <w:t xml:space="preserve">    羟哌酯15%    </w:t>
            </w:r>
          </w:p>
        </w:tc>
      </w:tr>
      <w:tr w14:paraId="288877AE">
        <w:tblPrEx>
          <w:tblCellMar>
            <w:top w:w="0" w:type="dxa"/>
            <w:left w:w="0" w:type="dxa"/>
            <w:bottom w:w="0" w:type="dxa"/>
            <w:right w:w="0" w:type="dxa"/>
          </w:tblCellMar>
        </w:tblPrEx>
        <w:trPr>
          <w:wBefore w:w="0" w:type="auto"/>
          <w:tblCellSpacing w:w="0" w:type="dxa"/>
        </w:trPr>
        <w:tc>
          <w:tcPr>
            <w:tcW w:w="0" w:type="auto"/>
            <w:noWrap w:val="0"/>
            <w:vAlign w:val="center"/>
          </w:tcPr>
          <w:p w14:paraId="1E769A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6FB2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B2A8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2235A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5FD6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122E55">
                  <w:r>
                    <w:rPr>
                      <w:rStyle w:val="11"/>
                      <w:rFonts w:hint="eastAsia"/>
                    </w:rPr>
                    <w:t>施用方式</w:t>
                  </w:r>
                </w:p>
              </w:tc>
            </w:tr>
            <w:tr w14:paraId="119AFE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50E686">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2B7E3">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6DCB11">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E37DC">
                  <w:r>
                    <w:rPr>
                      <w:rStyle w:val="11"/>
                      <w:rFonts w:hint="eastAsia"/>
                    </w:rPr>
                    <w:t>涂沫</w:t>
                  </w:r>
                </w:p>
              </w:tc>
            </w:tr>
          </w:tbl>
          <w:p w14:paraId="22B3CC28">
            <w:pPr>
              <w:rPr>
                <w:rFonts w:ascii="Times New Roman" w:hAnsi="Times New Roman" w:cs="Times New Roman"/>
                <w:sz w:val="20"/>
                <w:szCs w:val="20"/>
              </w:rPr>
            </w:pPr>
          </w:p>
        </w:tc>
      </w:tr>
      <w:tr w14:paraId="327E7D34">
        <w:tblPrEx>
          <w:tblCellMar>
            <w:top w:w="0" w:type="dxa"/>
            <w:left w:w="0" w:type="dxa"/>
            <w:bottom w:w="0" w:type="dxa"/>
            <w:right w:w="0" w:type="dxa"/>
          </w:tblCellMar>
        </w:tblPrEx>
        <w:trPr>
          <w:wBefore w:w="0" w:type="auto"/>
          <w:tblCellSpacing w:w="0" w:type="dxa"/>
        </w:trPr>
        <w:tc>
          <w:tcPr>
            <w:tcW w:w="0" w:type="auto"/>
            <w:noWrap w:val="0"/>
            <w:vAlign w:val="center"/>
          </w:tcPr>
          <w:p w14:paraId="4BA2B6F3">
            <w:r>
              <w:rPr>
                <w:rStyle w:val="10"/>
                <w:rFonts w:hint="eastAsia"/>
              </w:rPr>
              <w:t>使用技术要求:</w:t>
            </w:r>
            <w:r>
              <w:rPr>
                <w:rFonts w:hint="eastAsia"/>
              </w:rPr>
              <w:br w:type="textWrapping"/>
            </w:r>
            <w:r>
              <w:rPr>
                <w:rStyle w:val="11"/>
                <w:rFonts w:hint="eastAsia"/>
              </w:rPr>
              <w:t>直接将本品涂抹于皮肤暴露部分即可有效趋避蚊子叮咬。每6小时涂抹1次，防蚊效果更佳。</w:t>
            </w:r>
          </w:p>
        </w:tc>
      </w:tr>
      <w:tr w14:paraId="6D925799">
        <w:tblPrEx>
          <w:tblCellMar>
            <w:top w:w="0" w:type="dxa"/>
            <w:left w:w="0" w:type="dxa"/>
            <w:bottom w:w="0" w:type="dxa"/>
            <w:right w:w="0" w:type="dxa"/>
          </w:tblCellMar>
        </w:tblPrEx>
        <w:trPr>
          <w:wBefore w:w="0" w:type="auto"/>
          <w:tblCellSpacing w:w="0" w:type="dxa"/>
        </w:trPr>
        <w:tc>
          <w:tcPr>
            <w:tcW w:w="0" w:type="auto"/>
            <w:noWrap w:val="0"/>
            <w:vAlign w:val="center"/>
          </w:tcPr>
          <w:p w14:paraId="76C5AC2D">
            <w:r>
              <w:rPr>
                <w:rStyle w:val="10"/>
                <w:rFonts w:hint="eastAsia"/>
              </w:rPr>
              <w:t>产品性能:</w:t>
            </w:r>
            <w:r>
              <w:rPr>
                <w:rFonts w:hint="eastAsia"/>
              </w:rPr>
              <w:br w:type="textWrapping"/>
            </w:r>
            <w:r>
              <w:rPr>
                <w:rStyle w:val="11"/>
                <w:rFonts w:hint="eastAsia"/>
              </w:rPr>
              <w:t xml:space="preserve">本品采用羟哌酯为有效成分，涂抹在皮肤上对蚊子具有驱避作用。是居家、旅行的必备佳品。 </w:t>
            </w:r>
          </w:p>
        </w:tc>
      </w:tr>
      <w:tr w14:paraId="64462A48">
        <w:tblPrEx>
          <w:tblCellMar>
            <w:top w:w="0" w:type="dxa"/>
            <w:left w:w="0" w:type="dxa"/>
            <w:bottom w:w="0" w:type="dxa"/>
            <w:right w:w="0" w:type="dxa"/>
          </w:tblCellMar>
        </w:tblPrEx>
        <w:trPr>
          <w:wBefore w:w="0" w:type="auto"/>
          <w:tblCellSpacing w:w="0" w:type="dxa"/>
        </w:trPr>
        <w:tc>
          <w:tcPr>
            <w:tcW w:w="0" w:type="auto"/>
            <w:noWrap w:val="0"/>
            <w:vAlign w:val="center"/>
          </w:tcPr>
          <w:p w14:paraId="62D88E24">
            <w:r>
              <w:rPr>
                <w:rStyle w:val="10"/>
                <w:rFonts w:hint="eastAsia"/>
              </w:rPr>
              <w:t>注意事项：</w:t>
            </w:r>
            <w:r>
              <w:rPr>
                <w:rFonts w:hint="eastAsia"/>
              </w:rPr>
              <w:br w:type="textWrapping"/>
            </w:r>
            <w:r>
              <w:rPr>
                <w:rStyle w:val="11"/>
                <w:rFonts w:hint="eastAsia"/>
              </w:rPr>
              <w:t>1. 本品应置于儿童接触不到的地方，避免误服。 仅限室内使用。 2. 避免眼睛、唇部皮肤直接接触。 3. 施药后应清洗双手。 4. 有皮炎、皮肤破损和过敏者禁用。使用中有任何不良反应请及时就医。 5. 禁止孕妇及哺乳期妇女接触。 6. 避免药液触及河流、水源、鱼塘；废弃包装物应妥善处理，不可随意丢弃或做他用。 7. 婴幼儿禁用。</w:t>
            </w:r>
          </w:p>
        </w:tc>
      </w:tr>
      <w:tr w14:paraId="0C4A6BC9">
        <w:tblPrEx>
          <w:tblCellMar>
            <w:top w:w="0" w:type="dxa"/>
            <w:left w:w="0" w:type="dxa"/>
            <w:bottom w:w="0" w:type="dxa"/>
            <w:right w:w="0" w:type="dxa"/>
          </w:tblCellMar>
        </w:tblPrEx>
        <w:trPr>
          <w:wBefore w:w="0" w:type="auto"/>
          <w:tblCellSpacing w:w="0" w:type="dxa"/>
        </w:trPr>
        <w:tc>
          <w:tcPr>
            <w:tcW w:w="0" w:type="auto"/>
            <w:noWrap w:val="0"/>
            <w:vAlign w:val="center"/>
          </w:tcPr>
          <w:p w14:paraId="1D4E3B6B">
            <w:r>
              <w:rPr>
                <w:rStyle w:val="10"/>
                <w:rFonts w:hint="eastAsia"/>
              </w:rPr>
              <w:t>中毒急救措施：</w:t>
            </w:r>
            <w:r>
              <w:rPr>
                <w:rFonts w:hint="eastAsia"/>
              </w:rPr>
              <w:br w:type="textWrapping"/>
            </w:r>
            <w:r>
              <w:rPr>
                <w:rStyle w:val="11"/>
                <w:rFonts w:hint="eastAsia"/>
              </w:rPr>
              <w:t xml:space="preserve">眼睛污染者即用生理盐水或清水彻底清洗，如不慎误食，请及时携标签送医，对症治疗；使用中出现任何不良反应请及时携标签就医。 </w:t>
            </w:r>
          </w:p>
        </w:tc>
      </w:tr>
      <w:tr w14:paraId="647319F0">
        <w:tblPrEx>
          <w:tblCellMar>
            <w:top w:w="0" w:type="dxa"/>
            <w:left w:w="0" w:type="dxa"/>
            <w:bottom w:w="0" w:type="dxa"/>
            <w:right w:w="0" w:type="dxa"/>
          </w:tblCellMar>
        </w:tblPrEx>
        <w:trPr>
          <w:wBefore w:w="0" w:type="auto"/>
          <w:tblCellSpacing w:w="0" w:type="dxa"/>
        </w:trPr>
        <w:tc>
          <w:tcPr>
            <w:tcW w:w="0" w:type="auto"/>
            <w:noWrap w:val="0"/>
            <w:vAlign w:val="center"/>
          </w:tcPr>
          <w:p w14:paraId="742CC8D8">
            <w:r>
              <w:rPr>
                <w:rStyle w:val="10"/>
                <w:rFonts w:hint="eastAsia"/>
              </w:rPr>
              <w:t>储存和运输方法：</w:t>
            </w:r>
            <w:r>
              <w:rPr>
                <w:rFonts w:hint="eastAsia"/>
              </w:rPr>
              <w:br w:type="textWrapping"/>
            </w:r>
            <w:r>
              <w:rPr>
                <w:rStyle w:val="11"/>
                <w:rFonts w:hint="eastAsia"/>
              </w:rPr>
              <w:t>本品属易燃液体，应贮存于阴凉、干燥、通风、避光处，并远离火源和热源。 应置于儿童、无关人员及宠物触及不到之处，并加锁。 运输时，请注意防雨淋、高温，轻拿轻放，不得损坏包装。 请勿与食品、饮料、种子、饲料等其他商品同贮同运。</w:t>
            </w:r>
          </w:p>
        </w:tc>
      </w:tr>
      <w:tr w14:paraId="496C1099">
        <w:tblPrEx>
          <w:tblCellMar>
            <w:top w:w="0" w:type="dxa"/>
            <w:left w:w="0" w:type="dxa"/>
            <w:bottom w:w="0" w:type="dxa"/>
            <w:right w:w="0" w:type="dxa"/>
          </w:tblCellMar>
        </w:tblPrEx>
        <w:trPr>
          <w:wBefore w:w="0" w:type="auto"/>
          <w:tblCellSpacing w:w="0" w:type="dxa"/>
        </w:trPr>
        <w:tc>
          <w:tcPr>
            <w:tcW w:w="0" w:type="auto"/>
            <w:noWrap w:val="0"/>
            <w:vAlign w:val="center"/>
          </w:tcPr>
          <w:p w14:paraId="4B3909F0">
            <w:r>
              <w:rPr>
                <w:rStyle w:val="10"/>
                <w:rFonts w:hint="eastAsia"/>
              </w:rPr>
              <w:t>质量保证期：</w:t>
            </w:r>
            <w:r>
              <w:rPr>
                <w:rStyle w:val="11"/>
                <w:rFonts w:hint="eastAsia"/>
              </w:rPr>
              <w:t>2年</w:t>
            </w:r>
          </w:p>
        </w:tc>
      </w:tr>
      <w:tr w14:paraId="7AFB17C7">
        <w:tblPrEx>
          <w:tblCellMar>
            <w:top w:w="0" w:type="dxa"/>
            <w:left w:w="0" w:type="dxa"/>
            <w:bottom w:w="0" w:type="dxa"/>
            <w:right w:w="0" w:type="dxa"/>
          </w:tblCellMar>
        </w:tblPrEx>
        <w:trPr>
          <w:wBefore w:w="0" w:type="auto"/>
          <w:tblCellSpacing w:w="0" w:type="dxa"/>
        </w:trPr>
        <w:tc>
          <w:tcPr>
            <w:tcW w:w="0" w:type="auto"/>
            <w:noWrap w:val="0"/>
            <w:vAlign w:val="center"/>
          </w:tcPr>
          <w:p w14:paraId="1E3A680E">
            <w:r>
              <w:rPr>
                <w:rStyle w:val="10"/>
                <w:rFonts w:hint="eastAsia"/>
              </w:rPr>
              <w:t>备注：</w:t>
            </w:r>
          </w:p>
        </w:tc>
      </w:tr>
    </w:tbl>
    <w:p w14:paraId="7F6664F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ADDB53">
        <w:tblPrEx>
          <w:tblCellMar>
            <w:top w:w="0" w:type="dxa"/>
            <w:left w:w="0" w:type="dxa"/>
            <w:bottom w:w="0" w:type="dxa"/>
            <w:right w:w="0" w:type="dxa"/>
          </w:tblCellMar>
        </w:tblPrEx>
        <w:trPr>
          <w:wBefore w:w="0" w:type="auto"/>
          <w:tblCellSpacing w:w="0" w:type="dxa"/>
        </w:trPr>
        <w:tc>
          <w:tcPr>
            <w:tcW w:w="0" w:type="auto"/>
            <w:noWrap w:val="0"/>
            <w:vAlign w:val="center"/>
          </w:tcPr>
          <w:p w14:paraId="0C1D85D3">
            <w:r>
              <w:rPr>
                <w:rStyle w:val="10"/>
                <w:rFonts w:hint="eastAsia"/>
              </w:rPr>
              <w:t>登记证号：</w:t>
            </w:r>
            <w:r>
              <w:rPr>
                <w:rFonts w:hint="eastAsia"/>
              </w:rPr>
              <w:t>WP20210419</w:t>
            </w:r>
          </w:p>
        </w:tc>
      </w:tr>
      <w:tr w14:paraId="07E8DE34">
        <w:tblPrEx>
          <w:tblCellMar>
            <w:top w:w="0" w:type="dxa"/>
            <w:left w:w="0" w:type="dxa"/>
            <w:bottom w:w="0" w:type="dxa"/>
            <w:right w:w="0" w:type="dxa"/>
          </w:tblCellMar>
        </w:tblPrEx>
        <w:trPr>
          <w:wBefore w:w="0" w:type="auto"/>
          <w:tblCellSpacing w:w="0" w:type="dxa"/>
        </w:trPr>
        <w:tc>
          <w:tcPr>
            <w:tcW w:w="0" w:type="auto"/>
            <w:noWrap w:val="0"/>
            <w:vAlign w:val="center"/>
          </w:tcPr>
          <w:p w14:paraId="52298BC9">
            <w:r>
              <w:rPr>
                <w:rStyle w:val="10"/>
                <w:rFonts w:hint="eastAsia"/>
              </w:rPr>
              <w:t>登记证持有人：</w:t>
            </w:r>
            <w:r>
              <w:rPr>
                <w:rFonts w:hint="eastAsia"/>
              </w:rPr>
              <w:t>河北绿色农华作物科技有限公司</w:t>
            </w:r>
          </w:p>
        </w:tc>
      </w:tr>
      <w:tr w14:paraId="7E8AB04F">
        <w:tblPrEx>
          <w:tblCellMar>
            <w:top w:w="0" w:type="dxa"/>
            <w:left w:w="0" w:type="dxa"/>
            <w:bottom w:w="0" w:type="dxa"/>
            <w:right w:w="0" w:type="dxa"/>
          </w:tblCellMar>
        </w:tblPrEx>
        <w:trPr>
          <w:wBefore w:w="0" w:type="auto"/>
          <w:tblCellSpacing w:w="0" w:type="dxa"/>
        </w:trPr>
        <w:tc>
          <w:tcPr>
            <w:tcW w:w="0" w:type="auto"/>
            <w:noWrap w:val="0"/>
            <w:vAlign w:val="center"/>
          </w:tcPr>
          <w:p w14:paraId="376DF9D3">
            <w:r>
              <w:rPr>
                <w:rStyle w:val="10"/>
                <w:rFonts w:hint="eastAsia"/>
              </w:rPr>
              <w:t>农药名称：</w:t>
            </w:r>
            <w:r>
              <w:rPr>
                <w:rFonts w:hint="eastAsia"/>
              </w:rPr>
              <w:t>呋虫胺</w:t>
            </w:r>
          </w:p>
        </w:tc>
      </w:tr>
      <w:tr w14:paraId="52384A70">
        <w:tblPrEx>
          <w:tblCellMar>
            <w:top w:w="0" w:type="dxa"/>
            <w:left w:w="0" w:type="dxa"/>
            <w:bottom w:w="0" w:type="dxa"/>
            <w:right w:w="0" w:type="dxa"/>
          </w:tblCellMar>
        </w:tblPrEx>
        <w:trPr>
          <w:wBefore w:w="0" w:type="auto"/>
          <w:tblCellSpacing w:w="0" w:type="dxa"/>
        </w:trPr>
        <w:tc>
          <w:tcPr>
            <w:tcW w:w="0" w:type="auto"/>
            <w:noWrap w:val="0"/>
            <w:vAlign w:val="center"/>
          </w:tcPr>
          <w:p w14:paraId="715F2F00">
            <w:r>
              <w:rPr>
                <w:rStyle w:val="10"/>
                <w:rFonts w:hint="eastAsia"/>
              </w:rPr>
              <w:t>剂型：</w:t>
            </w:r>
            <w:r>
              <w:rPr>
                <w:rFonts w:hint="eastAsia"/>
              </w:rPr>
              <w:t>可溶液剂</w:t>
            </w:r>
          </w:p>
        </w:tc>
      </w:tr>
      <w:tr w14:paraId="3DABE8E2">
        <w:tblPrEx>
          <w:tblCellMar>
            <w:top w:w="0" w:type="dxa"/>
            <w:left w:w="0" w:type="dxa"/>
            <w:bottom w:w="0" w:type="dxa"/>
            <w:right w:w="0" w:type="dxa"/>
          </w:tblCellMar>
        </w:tblPrEx>
        <w:trPr>
          <w:wBefore w:w="0" w:type="auto"/>
          <w:tblCellSpacing w:w="0" w:type="dxa"/>
        </w:trPr>
        <w:tc>
          <w:tcPr>
            <w:tcW w:w="0" w:type="auto"/>
            <w:noWrap w:val="0"/>
            <w:vAlign w:val="center"/>
          </w:tcPr>
          <w:p w14:paraId="6DA6ECAB">
            <w:r>
              <w:rPr>
                <w:rStyle w:val="10"/>
                <w:rFonts w:hint="eastAsia"/>
              </w:rPr>
              <w:t>毒性及其标识：</w:t>
            </w:r>
            <w:r>
              <w:rPr>
                <w:rFonts w:hint="eastAsia"/>
              </w:rPr>
              <w:t xml:space="preserve"> </w:t>
            </w:r>
            <w:r>
              <w:rPr>
                <w:lang/>
              </w:rPr>
              <w:drawing>
                <wp:inline distT="0" distB="0" distL="114300" distR="114300">
                  <wp:extent cx="476250" cy="323850"/>
                  <wp:effectExtent l="0" t="0" r="0" b="0"/>
                  <wp:docPr id="343" name="图片 3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93CCF3">
        <w:tblPrEx>
          <w:tblCellMar>
            <w:top w:w="0" w:type="dxa"/>
            <w:left w:w="0" w:type="dxa"/>
            <w:bottom w:w="0" w:type="dxa"/>
            <w:right w:w="0" w:type="dxa"/>
          </w:tblCellMar>
        </w:tblPrEx>
        <w:trPr>
          <w:wBefore w:w="0" w:type="auto"/>
          <w:tblCellSpacing w:w="0" w:type="dxa"/>
        </w:trPr>
        <w:tc>
          <w:tcPr>
            <w:tcW w:w="0" w:type="auto"/>
            <w:noWrap w:val="0"/>
            <w:vAlign w:val="center"/>
          </w:tcPr>
          <w:p w14:paraId="773E968F">
            <w:r>
              <w:rPr>
                <w:rStyle w:val="10"/>
                <w:rFonts w:hint="eastAsia"/>
              </w:rPr>
              <w:t>总有效成分含量：</w:t>
            </w:r>
            <w:r>
              <w:rPr>
                <w:rFonts w:hint="eastAsia"/>
              </w:rPr>
              <w:t>0.5%</w:t>
            </w:r>
          </w:p>
        </w:tc>
      </w:tr>
      <w:tr w14:paraId="62A81667">
        <w:tblPrEx>
          <w:tblCellMar>
            <w:top w:w="0" w:type="dxa"/>
            <w:left w:w="0" w:type="dxa"/>
            <w:bottom w:w="0" w:type="dxa"/>
            <w:right w:w="0" w:type="dxa"/>
          </w:tblCellMar>
        </w:tblPrEx>
        <w:trPr>
          <w:wBefore w:w="0" w:type="auto"/>
          <w:tblCellSpacing w:w="0" w:type="dxa"/>
        </w:trPr>
        <w:tc>
          <w:tcPr>
            <w:tcW w:w="0" w:type="auto"/>
            <w:noWrap w:val="0"/>
            <w:vAlign w:val="center"/>
          </w:tcPr>
          <w:p w14:paraId="6BF9B0E7">
            <w:r>
              <w:rPr>
                <w:rFonts w:hint="eastAsia"/>
              </w:rPr>
              <w:t xml:space="preserve">有效成分及其含量： </w:t>
            </w:r>
          </w:p>
          <w:p w14:paraId="41E9CE9B">
            <w:r>
              <w:rPr>
                <w:rFonts w:hint="eastAsia"/>
              </w:rPr>
              <w:t xml:space="preserve">    呋虫胺0.5%    </w:t>
            </w:r>
          </w:p>
        </w:tc>
      </w:tr>
      <w:tr w14:paraId="2DF20CB8">
        <w:tblPrEx>
          <w:tblCellMar>
            <w:top w:w="0" w:type="dxa"/>
            <w:left w:w="0" w:type="dxa"/>
            <w:bottom w:w="0" w:type="dxa"/>
            <w:right w:w="0" w:type="dxa"/>
          </w:tblCellMar>
        </w:tblPrEx>
        <w:trPr>
          <w:wBefore w:w="0" w:type="auto"/>
          <w:tblCellSpacing w:w="0" w:type="dxa"/>
        </w:trPr>
        <w:tc>
          <w:tcPr>
            <w:tcW w:w="0" w:type="auto"/>
            <w:noWrap w:val="0"/>
            <w:vAlign w:val="center"/>
          </w:tcPr>
          <w:p w14:paraId="018FDA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7D9A4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7E24F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284C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C327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5681B9">
                  <w:r>
                    <w:rPr>
                      <w:rStyle w:val="11"/>
                      <w:rFonts w:hint="eastAsia"/>
                    </w:rPr>
                    <w:t>施用方式</w:t>
                  </w:r>
                </w:p>
              </w:tc>
            </w:tr>
            <w:tr w14:paraId="771965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DBCC7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4948C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D6CBBA">
                  <w:r>
                    <w:rPr>
                      <w:rStyle w:val="11"/>
                      <w:rFonts w:hint="eastAsia"/>
                    </w:rPr>
                    <w:t>7毫升/立方米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A6A095">
                  <w:r>
                    <w:rPr>
                      <w:rStyle w:val="11"/>
                      <w:rFonts w:hint="eastAsia"/>
                    </w:rPr>
                    <w:t>喷雾</w:t>
                  </w:r>
                </w:p>
              </w:tc>
            </w:tr>
          </w:tbl>
          <w:p w14:paraId="02C15C5F">
            <w:pPr>
              <w:rPr>
                <w:rFonts w:ascii="Times New Roman" w:hAnsi="Times New Roman" w:cs="Times New Roman"/>
                <w:sz w:val="20"/>
                <w:szCs w:val="20"/>
              </w:rPr>
            </w:pPr>
          </w:p>
        </w:tc>
      </w:tr>
      <w:tr w14:paraId="4AC39002">
        <w:tblPrEx>
          <w:tblCellMar>
            <w:top w:w="0" w:type="dxa"/>
            <w:left w:w="0" w:type="dxa"/>
            <w:bottom w:w="0" w:type="dxa"/>
            <w:right w:w="0" w:type="dxa"/>
          </w:tblCellMar>
        </w:tblPrEx>
        <w:trPr>
          <w:wBefore w:w="0" w:type="auto"/>
          <w:tblCellSpacing w:w="0" w:type="dxa"/>
        </w:trPr>
        <w:tc>
          <w:tcPr>
            <w:tcW w:w="0" w:type="auto"/>
            <w:noWrap w:val="0"/>
            <w:vAlign w:val="center"/>
          </w:tcPr>
          <w:p w14:paraId="1169BA43">
            <w:r>
              <w:rPr>
                <w:rStyle w:val="10"/>
                <w:rFonts w:hint="eastAsia"/>
              </w:rPr>
              <w:t>使用技术要求:</w:t>
            </w:r>
            <w:r>
              <w:rPr>
                <w:rFonts w:hint="eastAsia"/>
              </w:rPr>
              <w:br w:type="textWrapping"/>
            </w:r>
            <w:r>
              <w:rPr>
                <w:rStyle w:val="11"/>
                <w:rFonts w:hint="eastAsia"/>
              </w:rPr>
              <w:t>本品使用方法为喷雾，仅限室内使用。</w:t>
            </w:r>
          </w:p>
        </w:tc>
      </w:tr>
      <w:tr w14:paraId="2E0C8A54">
        <w:tblPrEx>
          <w:tblCellMar>
            <w:top w:w="0" w:type="dxa"/>
            <w:left w:w="0" w:type="dxa"/>
            <w:bottom w:w="0" w:type="dxa"/>
            <w:right w:w="0" w:type="dxa"/>
          </w:tblCellMar>
        </w:tblPrEx>
        <w:trPr>
          <w:wBefore w:w="0" w:type="auto"/>
          <w:tblCellSpacing w:w="0" w:type="dxa"/>
        </w:trPr>
        <w:tc>
          <w:tcPr>
            <w:tcW w:w="0" w:type="auto"/>
            <w:noWrap w:val="0"/>
            <w:vAlign w:val="center"/>
          </w:tcPr>
          <w:p w14:paraId="5DC6857C">
            <w:r>
              <w:rPr>
                <w:rStyle w:val="10"/>
                <w:rFonts w:hint="eastAsia"/>
              </w:rPr>
              <w:t>产品性能:</w:t>
            </w:r>
            <w:r>
              <w:rPr>
                <w:rFonts w:hint="eastAsia"/>
              </w:rPr>
              <w:br w:type="textWrapping"/>
            </w:r>
            <w:r>
              <w:rPr>
                <w:rStyle w:val="11"/>
                <w:rFonts w:hint="eastAsia"/>
              </w:rPr>
              <w:t>本品以呋虫胺为有效成分，气味温和，能有效杀灭蜚蠊（俗称：蟑螂）等卫生害虫，适用于酒店、写字楼、医院、学校、食品厂、餐馆等室内场所使用。</w:t>
            </w:r>
          </w:p>
        </w:tc>
      </w:tr>
      <w:tr w14:paraId="139CE711">
        <w:tblPrEx>
          <w:tblCellMar>
            <w:top w:w="0" w:type="dxa"/>
            <w:left w:w="0" w:type="dxa"/>
            <w:bottom w:w="0" w:type="dxa"/>
            <w:right w:w="0" w:type="dxa"/>
          </w:tblCellMar>
        </w:tblPrEx>
        <w:trPr>
          <w:wBefore w:w="0" w:type="auto"/>
          <w:tblCellSpacing w:w="0" w:type="dxa"/>
        </w:trPr>
        <w:tc>
          <w:tcPr>
            <w:tcW w:w="0" w:type="auto"/>
            <w:noWrap w:val="0"/>
            <w:vAlign w:val="center"/>
          </w:tcPr>
          <w:p w14:paraId="037CC5A7">
            <w:r>
              <w:rPr>
                <w:rStyle w:val="10"/>
                <w:rFonts w:hint="eastAsia"/>
              </w:rPr>
              <w:t>注意事项：</w:t>
            </w:r>
            <w:r>
              <w:rPr>
                <w:rFonts w:hint="eastAsia"/>
              </w:rPr>
              <w:br w:type="textWrapping"/>
            </w:r>
            <w:r>
              <w:rPr>
                <w:rStyle w:val="11"/>
                <w:rFonts w:hint="eastAsia"/>
              </w:rPr>
              <w:t>1. 使用本品后应立即用肥皂清洗手。 2. 仅用于室内； 养蚕室及其附近禁用。 3. 切勿在火源附近使用，切勿倒置喷射。 4. 切勿对人体、食物、餐具喷射。 5. 用过的包装物应妥善处理，不可做它用，也不可随意丢弃。 6. 避免孕妇、婴儿及哺乳期妇女接触本品。过敏者禁用。使用中有任何不良反应，请及时就医。</w:t>
            </w:r>
          </w:p>
        </w:tc>
      </w:tr>
      <w:tr w14:paraId="28665FAA">
        <w:tblPrEx>
          <w:tblCellMar>
            <w:top w:w="0" w:type="dxa"/>
            <w:left w:w="0" w:type="dxa"/>
            <w:bottom w:w="0" w:type="dxa"/>
            <w:right w:w="0" w:type="dxa"/>
          </w:tblCellMar>
        </w:tblPrEx>
        <w:trPr>
          <w:wBefore w:w="0" w:type="auto"/>
          <w:tblCellSpacing w:w="0" w:type="dxa"/>
        </w:trPr>
        <w:tc>
          <w:tcPr>
            <w:tcW w:w="0" w:type="auto"/>
            <w:noWrap w:val="0"/>
            <w:vAlign w:val="center"/>
          </w:tcPr>
          <w:p w14:paraId="6A16D246">
            <w:r>
              <w:rPr>
                <w:rStyle w:val="10"/>
                <w:rFonts w:hint="eastAsia"/>
              </w:rPr>
              <w:t>中毒急救措施：</w:t>
            </w:r>
            <w:r>
              <w:rPr>
                <w:rFonts w:hint="eastAsia"/>
              </w:rPr>
              <w:br w:type="textWrapping"/>
            </w:r>
            <w:r>
              <w:rPr>
                <w:rStyle w:val="11"/>
                <w:rFonts w:hint="eastAsia"/>
              </w:rPr>
              <w:t>若药液接触皮肤，立即用肥皂和大量的清水冲洗；若接触眼睛，请即用大量清水冲洗至少15分钟；若不慎吸入，请立即转移至空气清新处；若误服、中毒或使用中有任何不良反应，立即携标签送医院，对症治疗。</w:t>
            </w:r>
          </w:p>
        </w:tc>
      </w:tr>
      <w:tr w14:paraId="3ABF5930">
        <w:tblPrEx>
          <w:tblCellMar>
            <w:top w:w="0" w:type="dxa"/>
            <w:left w:w="0" w:type="dxa"/>
            <w:bottom w:w="0" w:type="dxa"/>
            <w:right w:w="0" w:type="dxa"/>
          </w:tblCellMar>
        </w:tblPrEx>
        <w:trPr>
          <w:wBefore w:w="0" w:type="auto"/>
          <w:tblCellSpacing w:w="0" w:type="dxa"/>
        </w:trPr>
        <w:tc>
          <w:tcPr>
            <w:tcW w:w="0" w:type="auto"/>
            <w:noWrap w:val="0"/>
            <w:vAlign w:val="center"/>
          </w:tcPr>
          <w:p w14:paraId="5D39B4B1">
            <w:r>
              <w:rPr>
                <w:rStyle w:val="10"/>
                <w:rFonts w:hint="eastAsia"/>
              </w:rPr>
              <w:t>储存和运输方法：</w:t>
            </w:r>
            <w:r>
              <w:rPr>
                <w:rFonts w:hint="eastAsia"/>
              </w:rPr>
              <w:br w:type="textWrapping"/>
            </w:r>
            <w:r>
              <w:rPr>
                <w:rStyle w:val="11"/>
                <w:rFonts w:hint="eastAsia"/>
              </w:rPr>
              <w:t>本品应贮存于阴凉、干燥、通风、避光处，远离火源或热源存放。置于儿童、无关人员接触不到的地方，并加锁。 ·运输时，请防雨淋、高温，注意轻拿轻放，不得损坏包装。 不能与食品、饮料、粮食、饲料等混合储运。</w:t>
            </w:r>
          </w:p>
        </w:tc>
      </w:tr>
      <w:tr w14:paraId="29008983">
        <w:tblPrEx>
          <w:tblCellMar>
            <w:top w:w="0" w:type="dxa"/>
            <w:left w:w="0" w:type="dxa"/>
            <w:bottom w:w="0" w:type="dxa"/>
            <w:right w:w="0" w:type="dxa"/>
          </w:tblCellMar>
        </w:tblPrEx>
        <w:trPr>
          <w:wBefore w:w="0" w:type="auto"/>
          <w:tblCellSpacing w:w="0" w:type="dxa"/>
        </w:trPr>
        <w:tc>
          <w:tcPr>
            <w:tcW w:w="0" w:type="auto"/>
            <w:noWrap w:val="0"/>
            <w:vAlign w:val="center"/>
          </w:tcPr>
          <w:p w14:paraId="0AC2DAC4">
            <w:r>
              <w:rPr>
                <w:rStyle w:val="10"/>
                <w:rFonts w:hint="eastAsia"/>
              </w:rPr>
              <w:t>质量保证期：</w:t>
            </w:r>
            <w:r>
              <w:rPr>
                <w:rStyle w:val="11"/>
                <w:rFonts w:hint="eastAsia"/>
              </w:rPr>
              <w:t>2年</w:t>
            </w:r>
          </w:p>
        </w:tc>
      </w:tr>
      <w:tr w14:paraId="027A5A54">
        <w:tblPrEx>
          <w:tblCellMar>
            <w:top w:w="0" w:type="dxa"/>
            <w:left w:w="0" w:type="dxa"/>
            <w:bottom w:w="0" w:type="dxa"/>
            <w:right w:w="0" w:type="dxa"/>
          </w:tblCellMar>
        </w:tblPrEx>
        <w:trPr>
          <w:wBefore w:w="0" w:type="auto"/>
          <w:tblCellSpacing w:w="0" w:type="dxa"/>
        </w:trPr>
        <w:tc>
          <w:tcPr>
            <w:tcW w:w="0" w:type="auto"/>
            <w:noWrap w:val="0"/>
            <w:vAlign w:val="center"/>
          </w:tcPr>
          <w:p w14:paraId="588EBFC8">
            <w:r>
              <w:rPr>
                <w:rStyle w:val="10"/>
                <w:rFonts w:hint="eastAsia"/>
              </w:rPr>
              <w:t>备注：</w:t>
            </w:r>
          </w:p>
        </w:tc>
      </w:tr>
    </w:tbl>
    <w:p w14:paraId="429802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2EF87F">
        <w:tblPrEx>
          <w:tblCellMar>
            <w:top w:w="0" w:type="dxa"/>
            <w:left w:w="0" w:type="dxa"/>
            <w:bottom w:w="0" w:type="dxa"/>
            <w:right w:w="0" w:type="dxa"/>
          </w:tblCellMar>
        </w:tblPrEx>
        <w:trPr>
          <w:wBefore w:w="0" w:type="auto"/>
          <w:tblCellSpacing w:w="0" w:type="dxa"/>
        </w:trPr>
        <w:tc>
          <w:tcPr>
            <w:tcW w:w="0" w:type="auto"/>
            <w:noWrap w:val="0"/>
            <w:vAlign w:val="center"/>
          </w:tcPr>
          <w:p w14:paraId="7E0D3DE1">
            <w:r>
              <w:rPr>
                <w:rStyle w:val="10"/>
                <w:rFonts w:hint="eastAsia"/>
              </w:rPr>
              <w:t>登记证号：</w:t>
            </w:r>
            <w:r>
              <w:rPr>
                <w:rFonts w:hint="eastAsia"/>
              </w:rPr>
              <w:t>WP20210420</w:t>
            </w:r>
          </w:p>
        </w:tc>
      </w:tr>
      <w:tr w14:paraId="2FEE85F8">
        <w:tblPrEx>
          <w:tblCellMar>
            <w:top w:w="0" w:type="dxa"/>
            <w:left w:w="0" w:type="dxa"/>
            <w:bottom w:w="0" w:type="dxa"/>
            <w:right w:w="0" w:type="dxa"/>
          </w:tblCellMar>
        </w:tblPrEx>
        <w:trPr>
          <w:wBefore w:w="0" w:type="auto"/>
          <w:tblCellSpacing w:w="0" w:type="dxa"/>
        </w:trPr>
        <w:tc>
          <w:tcPr>
            <w:tcW w:w="0" w:type="auto"/>
            <w:noWrap w:val="0"/>
            <w:vAlign w:val="center"/>
          </w:tcPr>
          <w:p w14:paraId="593F337A">
            <w:r>
              <w:rPr>
                <w:rStyle w:val="10"/>
                <w:rFonts w:hint="eastAsia"/>
              </w:rPr>
              <w:t>登记证持有人：</w:t>
            </w:r>
            <w:r>
              <w:rPr>
                <w:rFonts w:hint="eastAsia"/>
              </w:rPr>
              <w:t>英德市东顺精细化工实业有限公司</w:t>
            </w:r>
          </w:p>
        </w:tc>
      </w:tr>
      <w:tr w14:paraId="4DF94B76">
        <w:tblPrEx>
          <w:tblCellMar>
            <w:top w:w="0" w:type="dxa"/>
            <w:left w:w="0" w:type="dxa"/>
            <w:bottom w:w="0" w:type="dxa"/>
            <w:right w:w="0" w:type="dxa"/>
          </w:tblCellMar>
        </w:tblPrEx>
        <w:trPr>
          <w:wBefore w:w="0" w:type="auto"/>
          <w:tblCellSpacing w:w="0" w:type="dxa"/>
        </w:trPr>
        <w:tc>
          <w:tcPr>
            <w:tcW w:w="0" w:type="auto"/>
            <w:noWrap w:val="0"/>
            <w:vAlign w:val="center"/>
          </w:tcPr>
          <w:p w14:paraId="761EE84D">
            <w:r>
              <w:rPr>
                <w:rStyle w:val="10"/>
                <w:rFonts w:hint="eastAsia"/>
              </w:rPr>
              <w:t>农药名称：</w:t>
            </w:r>
            <w:r>
              <w:rPr>
                <w:rFonts w:hint="eastAsia"/>
              </w:rPr>
              <w:t>杀蟑气雾剂</w:t>
            </w:r>
          </w:p>
        </w:tc>
      </w:tr>
      <w:tr w14:paraId="27995CB4">
        <w:tblPrEx>
          <w:tblCellMar>
            <w:top w:w="0" w:type="dxa"/>
            <w:left w:w="0" w:type="dxa"/>
            <w:bottom w:w="0" w:type="dxa"/>
            <w:right w:w="0" w:type="dxa"/>
          </w:tblCellMar>
        </w:tblPrEx>
        <w:trPr>
          <w:wBefore w:w="0" w:type="auto"/>
          <w:tblCellSpacing w:w="0" w:type="dxa"/>
        </w:trPr>
        <w:tc>
          <w:tcPr>
            <w:tcW w:w="0" w:type="auto"/>
            <w:noWrap w:val="0"/>
            <w:vAlign w:val="center"/>
          </w:tcPr>
          <w:p w14:paraId="3977E90D">
            <w:r>
              <w:rPr>
                <w:rStyle w:val="10"/>
                <w:rFonts w:hint="eastAsia"/>
              </w:rPr>
              <w:t>剂型：</w:t>
            </w:r>
            <w:r>
              <w:rPr>
                <w:rFonts w:hint="eastAsia"/>
              </w:rPr>
              <w:t>气雾剂</w:t>
            </w:r>
          </w:p>
        </w:tc>
      </w:tr>
      <w:tr w14:paraId="2D3416E5">
        <w:tblPrEx>
          <w:tblCellMar>
            <w:top w:w="0" w:type="dxa"/>
            <w:left w:w="0" w:type="dxa"/>
            <w:bottom w:w="0" w:type="dxa"/>
            <w:right w:w="0" w:type="dxa"/>
          </w:tblCellMar>
        </w:tblPrEx>
        <w:trPr>
          <w:wBefore w:w="0" w:type="auto"/>
          <w:tblCellSpacing w:w="0" w:type="dxa"/>
        </w:trPr>
        <w:tc>
          <w:tcPr>
            <w:tcW w:w="0" w:type="auto"/>
            <w:noWrap w:val="0"/>
            <w:vAlign w:val="center"/>
          </w:tcPr>
          <w:p w14:paraId="30BB2474">
            <w:r>
              <w:rPr>
                <w:rStyle w:val="10"/>
                <w:rFonts w:hint="eastAsia"/>
              </w:rPr>
              <w:t>毒性及其标识：</w:t>
            </w:r>
            <w:r>
              <w:rPr>
                <w:rFonts w:hint="eastAsia"/>
              </w:rPr>
              <w:t xml:space="preserve"> 微毒 </w:t>
            </w:r>
          </w:p>
        </w:tc>
      </w:tr>
      <w:tr w14:paraId="73337F29">
        <w:tblPrEx>
          <w:tblCellMar>
            <w:top w:w="0" w:type="dxa"/>
            <w:left w:w="0" w:type="dxa"/>
            <w:bottom w:w="0" w:type="dxa"/>
            <w:right w:w="0" w:type="dxa"/>
          </w:tblCellMar>
        </w:tblPrEx>
        <w:trPr>
          <w:wBefore w:w="0" w:type="auto"/>
          <w:tblCellSpacing w:w="0" w:type="dxa"/>
        </w:trPr>
        <w:tc>
          <w:tcPr>
            <w:tcW w:w="0" w:type="auto"/>
            <w:noWrap w:val="0"/>
            <w:vAlign w:val="center"/>
          </w:tcPr>
          <w:p w14:paraId="1A7B1F85">
            <w:r>
              <w:rPr>
                <w:rStyle w:val="10"/>
                <w:rFonts w:hint="eastAsia"/>
              </w:rPr>
              <w:t>总有效成分含量：</w:t>
            </w:r>
            <w:r>
              <w:rPr>
                <w:rFonts w:hint="eastAsia"/>
              </w:rPr>
              <w:t>0.4%</w:t>
            </w:r>
          </w:p>
        </w:tc>
      </w:tr>
      <w:tr w14:paraId="5BA72134">
        <w:tblPrEx>
          <w:tblCellMar>
            <w:top w:w="0" w:type="dxa"/>
            <w:left w:w="0" w:type="dxa"/>
            <w:bottom w:w="0" w:type="dxa"/>
            <w:right w:w="0" w:type="dxa"/>
          </w:tblCellMar>
        </w:tblPrEx>
        <w:trPr>
          <w:wBefore w:w="0" w:type="auto"/>
          <w:tblCellSpacing w:w="0" w:type="dxa"/>
        </w:trPr>
        <w:tc>
          <w:tcPr>
            <w:tcW w:w="0" w:type="auto"/>
            <w:noWrap w:val="0"/>
            <w:vAlign w:val="center"/>
          </w:tcPr>
          <w:p w14:paraId="7AE6E780">
            <w:r>
              <w:rPr>
                <w:rFonts w:hint="eastAsia"/>
              </w:rPr>
              <w:t xml:space="preserve">有效成分及其含量： </w:t>
            </w:r>
          </w:p>
          <w:p w14:paraId="611A824A">
            <w:r>
              <w:rPr>
                <w:rFonts w:hint="eastAsia"/>
              </w:rPr>
              <w:t xml:space="preserve">    右旋苯醚氰菊酯0.25%    炔咪菊酯0.15%    </w:t>
            </w:r>
          </w:p>
        </w:tc>
      </w:tr>
      <w:tr w14:paraId="56964FED">
        <w:tblPrEx>
          <w:tblCellMar>
            <w:top w:w="0" w:type="dxa"/>
            <w:left w:w="0" w:type="dxa"/>
            <w:bottom w:w="0" w:type="dxa"/>
            <w:right w:w="0" w:type="dxa"/>
          </w:tblCellMar>
        </w:tblPrEx>
        <w:trPr>
          <w:wBefore w:w="0" w:type="auto"/>
          <w:tblCellSpacing w:w="0" w:type="dxa"/>
        </w:trPr>
        <w:tc>
          <w:tcPr>
            <w:tcW w:w="0" w:type="auto"/>
            <w:noWrap w:val="0"/>
            <w:vAlign w:val="center"/>
          </w:tcPr>
          <w:p w14:paraId="07DC23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F742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D1CC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556E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FD66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EC0447">
                  <w:r>
                    <w:rPr>
                      <w:rStyle w:val="11"/>
                      <w:rFonts w:hint="eastAsia"/>
                    </w:rPr>
                    <w:t>施用方式</w:t>
                  </w:r>
                </w:p>
              </w:tc>
            </w:tr>
            <w:tr w14:paraId="0B5DDA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1C9DB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8CD7CD">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8C8F1D">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D45968">
                  <w:r>
                    <w:rPr>
                      <w:rStyle w:val="11"/>
                      <w:rFonts w:hint="eastAsia"/>
                    </w:rPr>
                    <w:t>喷雾</w:t>
                  </w:r>
                </w:p>
              </w:tc>
            </w:tr>
          </w:tbl>
          <w:p w14:paraId="5AE8A698">
            <w:pPr>
              <w:rPr>
                <w:rFonts w:ascii="Times New Roman" w:hAnsi="Times New Roman" w:cs="Times New Roman"/>
                <w:sz w:val="20"/>
                <w:szCs w:val="20"/>
              </w:rPr>
            </w:pPr>
          </w:p>
        </w:tc>
      </w:tr>
      <w:tr w14:paraId="1EA9938E">
        <w:tblPrEx>
          <w:tblCellMar>
            <w:top w:w="0" w:type="dxa"/>
            <w:left w:w="0" w:type="dxa"/>
            <w:bottom w:w="0" w:type="dxa"/>
            <w:right w:w="0" w:type="dxa"/>
          </w:tblCellMar>
        </w:tblPrEx>
        <w:trPr>
          <w:wBefore w:w="0" w:type="auto"/>
          <w:tblCellSpacing w:w="0" w:type="dxa"/>
        </w:trPr>
        <w:tc>
          <w:tcPr>
            <w:tcW w:w="0" w:type="auto"/>
            <w:noWrap w:val="0"/>
            <w:vAlign w:val="center"/>
          </w:tcPr>
          <w:p w14:paraId="235871B0">
            <w:r>
              <w:rPr>
                <w:rStyle w:val="10"/>
                <w:rFonts w:hint="eastAsia"/>
              </w:rPr>
              <w:t>使用技术要求:</w:t>
            </w:r>
            <w:r>
              <w:rPr>
                <w:rFonts w:hint="eastAsia"/>
              </w:rPr>
              <w:br w:type="textWrapping"/>
            </w:r>
            <w:r>
              <w:rPr>
                <w:rStyle w:val="11"/>
                <w:rFonts w:hint="eastAsia"/>
              </w:rPr>
              <w:t>1. 用前先摇匀，罐体直立喷射，不可倒置罐喷射。 2. 驱杀蟑螂（蜚蠊）时，按房间面积空间适量喷雾，或向其经常出没或栖息处如墙角、洞穴喷射，每平方米喷射1秒～3秒。 3. 使用后人、畜立即离开房间，关闭门窗，20分钟后打开门窗，充分通风后方可再次进入房间。</w:t>
            </w:r>
          </w:p>
        </w:tc>
      </w:tr>
      <w:tr w14:paraId="4FA99C8C">
        <w:tblPrEx>
          <w:tblCellMar>
            <w:top w:w="0" w:type="dxa"/>
            <w:left w:w="0" w:type="dxa"/>
            <w:bottom w:w="0" w:type="dxa"/>
            <w:right w:w="0" w:type="dxa"/>
          </w:tblCellMar>
        </w:tblPrEx>
        <w:trPr>
          <w:wBefore w:w="0" w:type="auto"/>
          <w:tblCellSpacing w:w="0" w:type="dxa"/>
        </w:trPr>
        <w:tc>
          <w:tcPr>
            <w:tcW w:w="0" w:type="auto"/>
            <w:noWrap w:val="0"/>
            <w:vAlign w:val="center"/>
          </w:tcPr>
          <w:p w14:paraId="0D07C8E3">
            <w:r>
              <w:rPr>
                <w:rStyle w:val="10"/>
                <w:rFonts w:hint="eastAsia"/>
              </w:rPr>
              <w:t>产品性能:</w:t>
            </w:r>
            <w:r>
              <w:rPr>
                <w:rFonts w:hint="eastAsia"/>
              </w:rPr>
              <w:br w:type="textWrapping"/>
            </w:r>
            <w:r>
              <w:rPr>
                <w:rStyle w:val="11"/>
                <w:rFonts w:hint="eastAsia"/>
              </w:rPr>
              <w:t>本产品采用炔咪菊脂和右旋苯醚氰菊酯为有效成分配制而成，能有效驱杀蜚蠊（蟑螂），适合于家庭、宾馆、办公室等室内场所使用。</w:t>
            </w:r>
          </w:p>
        </w:tc>
      </w:tr>
      <w:tr w14:paraId="51084409">
        <w:tblPrEx>
          <w:tblCellMar>
            <w:top w:w="0" w:type="dxa"/>
            <w:left w:w="0" w:type="dxa"/>
            <w:bottom w:w="0" w:type="dxa"/>
            <w:right w:w="0" w:type="dxa"/>
          </w:tblCellMar>
        </w:tblPrEx>
        <w:trPr>
          <w:wBefore w:w="0" w:type="auto"/>
          <w:tblCellSpacing w:w="0" w:type="dxa"/>
        </w:trPr>
        <w:tc>
          <w:tcPr>
            <w:tcW w:w="0" w:type="auto"/>
            <w:noWrap w:val="0"/>
            <w:vAlign w:val="center"/>
          </w:tcPr>
          <w:p w14:paraId="363ABB6C">
            <w:r>
              <w:rPr>
                <w:rStyle w:val="10"/>
                <w:rFonts w:hint="eastAsia"/>
              </w:rPr>
              <w:t>注意事项：</w:t>
            </w:r>
            <w:r>
              <w:rPr>
                <w:rFonts w:hint="eastAsia"/>
              </w:rPr>
              <w:br w:type="textWrapping"/>
            </w:r>
            <w:r>
              <w:rPr>
                <w:rStyle w:val="11"/>
                <w:rFonts w:hint="eastAsia"/>
              </w:rPr>
              <w:t>1. 请按指示使用，仅限室内使用，置于儿童接触不到的地方，远离儿童。 2. 使用后注意通风。勿倒置使用。用后洗手。勿向人体及食物喷雾。 3. 本品对鱼、蚕有毒，养蚕室及其附近禁用。 4. 有皮炎及皮肤破损者禁用，过敏者禁用。使用中有任何不良反应请及时就医。 5. 本品属压力包装，切勿毁坏及焚烧，勿近火喷射，空罐勿投入火中。 6. 切勿撞击，切勿空罐再次充装，切勿将罐体戳破。 7. 避免孕妇和哺乳期妇女接触。</w:t>
            </w:r>
          </w:p>
        </w:tc>
      </w:tr>
      <w:tr w14:paraId="05CE28D4">
        <w:tblPrEx>
          <w:tblCellMar>
            <w:top w:w="0" w:type="dxa"/>
            <w:left w:w="0" w:type="dxa"/>
            <w:bottom w:w="0" w:type="dxa"/>
            <w:right w:w="0" w:type="dxa"/>
          </w:tblCellMar>
        </w:tblPrEx>
        <w:trPr>
          <w:wBefore w:w="0" w:type="auto"/>
          <w:tblCellSpacing w:w="0" w:type="dxa"/>
        </w:trPr>
        <w:tc>
          <w:tcPr>
            <w:tcW w:w="0" w:type="auto"/>
            <w:noWrap w:val="0"/>
            <w:vAlign w:val="center"/>
          </w:tcPr>
          <w:p w14:paraId="4EBF6968">
            <w:r>
              <w:rPr>
                <w:rStyle w:val="10"/>
                <w:rFonts w:hint="eastAsia"/>
              </w:rPr>
              <w:t>中毒急救措施：</w:t>
            </w:r>
            <w:r>
              <w:rPr>
                <w:rFonts w:hint="eastAsia"/>
              </w:rPr>
              <w:br w:type="textWrapping"/>
            </w:r>
            <w:r>
              <w:rPr>
                <w:rStyle w:val="11"/>
                <w:rFonts w:hint="eastAsia"/>
              </w:rPr>
              <w:t>使用中或使用后如果感觉不适，应立即停止工作。眼睛溅入：立即用流动清水冲洗不少于15分钟。 3. 吸入：立即离开施药现场，转移到空气清新处。 4. 误食：立即停止服用，用清水充分漱口后，立即携带农药标签到医院就诊。</w:t>
            </w:r>
          </w:p>
        </w:tc>
      </w:tr>
      <w:tr w14:paraId="30981B02">
        <w:tblPrEx>
          <w:tblCellMar>
            <w:top w:w="0" w:type="dxa"/>
            <w:left w:w="0" w:type="dxa"/>
            <w:bottom w:w="0" w:type="dxa"/>
            <w:right w:w="0" w:type="dxa"/>
          </w:tblCellMar>
        </w:tblPrEx>
        <w:trPr>
          <w:wBefore w:w="0" w:type="auto"/>
          <w:tblCellSpacing w:w="0" w:type="dxa"/>
        </w:trPr>
        <w:tc>
          <w:tcPr>
            <w:tcW w:w="0" w:type="auto"/>
            <w:noWrap w:val="0"/>
            <w:vAlign w:val="center"/>
          </w:tcPr>
          <w:p w14:paraId="06BF8ED4">
            <w:r>
              <w:rPr>
                <w:rStyle w:val="10"/>
                <w:rFonts w:hint="eastAsia"/>
              </w:rPr>
              <w:t>储存和运输方法：</w:t>
            </w:r>
            <w:r>
              <w:rPr>
                <w:rFonts w:hint="eastAsia"/>
              </w:rPr>
              <w:br w:type="textWrapping"/>
            </w:r>
            <w:r>
              <w:rPr>
                <w:rStyle w:val="11"/>
                <w:rFonts w:hint="eastAsia"/>
              </w:rPr>
              <w:t>本品应置于50℃以下通风、阴凉、干燥、防雨处，本品属易燃液体，远离火源或热源；置于儿童触及不到之处；勿与食品、种子、饮料、饲料、粮食及易燃易爆品同贮同运。搬运时要轻取轻放，防止猛烈碰撞、日晒、重压。</w:t>
            </w:r>
          </w:p>
        </w:tc>
      </w:tr>
      <w:tr w14:paraId="40892920">
        <w:tblPrEx>
          <w:tblCellMar>
            <w:top w:w="0" w:type="dxa"/>
            <w:left w:w="0" w:type="dxa"/>
            <w:bottom w:w="0" w:type="dxa"/>
            <w:right w:w="0" w:type="dxa"/>
          </w:tblCellMar>
        </w:tblPrEx>
        <w:trPr>
          <w:wBefore w:w="0" w:type="auto"/>
          <w:tblCellSpacing w:w="0" w:type="dxa"/>
        </w:trPr>
        <w:tc>
          <w:tcPr>
            <w:tcW w:w="0" w:type="auto"/>
            <w:noWrap w:val="0"/>
            <w:vAlign w:val="center"/>
          </w:tcPr>
          <w:p w14:paraId="3202DFBF">
            <w:r>
              <w:rPr>
                <w:rStyle w:val="10"/>
                <w:rFonts w:hint="eastAsia"/>
              </w:rPr>
              <w:t>质量保证期：</w:t>
            </w:r>
            <w:r>
              <w:rPr>
                <w:rStyle w:val="11"/>
                <w:rFonts w:hint="eastAsia"/>
              </w:rPr>
              <w:t>2年</w:t>
            </w:r>
          </w:p>
        </w:tc>
      </w:tr>
      <w:tr w14:paraId="3A15A7BD">
        <w:tblPrEx>
          <w:tblCellMar>
            <w:top w:w="0" w:type="dxa"/>
            <w:left w:w="0" w:type="dxa"/>
            <w:bottom w:w="0" w:type="dxa"/>
            <w:right w:w="0" w:type="dxa"/>
          </w:tblCellMar>
        </w:tblPrEx>
        <w:trPr>
          <w:wBefore w:w="0" w:type="auto"/>
          <w:tblCellSpacing w:w="0" w:type="dxa"/>
        </w:trPr>
        <w:tc>
          <w:tcPr>
            <w:tcW w:w="0" w:type="auto"/>
            <w:noWrap w:val="0"/>
            <w:vAlign w:val="center"/>
          </w:tcPr>
          <w:p w14:paraId="4F358222">
            <w:r>
              <w:rPr>
                <w:rStyle w:val="10"/>
                <w:rFonts w:hint="eastAsia"/>
              </w:rPr>
              <w:t>备注：</w:t>
            </w:r>
          </w:p>
        </w:tc>
      </w:tr>
    </w:tbl>
    <w:p w14:paraId="75E1CFB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521F05">
        <w:tblPrEx>
          <w:tblCellMar>
            <w:top w:w="0" w:type="dxa"/>
            <w:left w:w="0" w:type="dxa"/>
            <w:bottom w:w="0" w:type="dxa"/>
            <w:right w:w="0" w:type="dxa"/>
          </w:tblCellMar>
        </w:tblPrEx>
        <w:trPr>
          <w:wBefore w:w="0" w:type="auto"/>
          <w:tblCellSpacing w:w="0" w:type="dxa"/>
        </w:trPr>
        <w:tc>
          <w:tcPr>
            <w:tcW w:w="0" w:type="auto"/>
            <w:noWrap w:val="0"/>
            <w:vAlign w:val="center"/>
          </w:tcPr>
          <w:p w14:paraId="1B7D6282">
            <w:r>
              <w:rPr>
                <w:rStyle w:val="10"/>
                <w:rFonts w:hint="eastAsia"/>
              </w:rPr>
              <w:t>登记证号：</w:t>
            </w:r>
            <w:r>
              <w:rPr>
                <w:rFonts w:hint="eastAsia"/>
              </w:rPr>
              <w:t>PD20212647</w:t>
            </w:r>
          </w:p>
        </w:tc>
      </w:tr>
      <w:tr w14:paraId="49D899CD">
        <w:tblPrEx>
          <w:tblCellMar>
            <w:top w:w="0" w:type="dxa"/>
            <w:left w:w="0" w:type="dxa"/>
            <w:bottom w:w="0" w:type="dxa"/>
            <w:right w:w="0" w:type="dxa"/>
          </w:tblCellMar>
        </w:tblPrEx>
        <w:trPr>
          <w:wBefore w:w="0" w:type="auto"/>
          <w:tblCellSpacing w:w="0" w:type="dxa"/>
        </w:trPr>
        <w:tc>
          <w:tcPr>
            <w:tcW w:w="0" w:type="auto"/>
            <w:noWrap w:val="0"/>
            <w:vAlign w:val="center"/>
          </w:tcPr>
          <w:p w14:paraId="63AA3D34">
            <w:r>
              <w:rPr>
                <w:rStyle w:val="10"/>
                <w:rFonts w:hint="eastAsia"/>
              </w:rPr>
              <w:t>登记证持有人：</w:t>
            </w:r>
            <w:r>
              <w:rPr>
                <w:rFonts w:hint="eastAsia"/>
              </w:rPr>
              <w:t>上海沪联生物药业（夏邑）股份有限公司</w:t>
            </w:r>
          </w:p>
        </w:tc>
      </w:tr>
      <w:tr w14:paraId="2FF393D4">
        <w:tblPrEx>
          <w:tblCellMar>
            <w:top w:w="0" w:type="dxa"/>
            <w:left w:w="0" w:type="dxa"/>
            <w:bottom w:w="0" w:type="dxa"/>
            <w:right w:w="0" w:type="dxa"/>
          </w:tblCellMar>
        </w:tblPrEx>
        <w:trPr>
          <w:wBefore w:w="0" w:type="auto"/>
          <w:tblCellSpacing w:w="0" w:type="dxa"/>
        </w:trPr>
        <w:tc>
          <w:tcPr>
            <w:tcW w:w="0" w:type="auto"/>
            <w:noWrap w:val="0"/>
            <w:vAlign w:val="center"/>
          </w:tcPr>
          <w:p w14:paraId="0649B5DE">
            <w:r>
              <w:rPr>
                <w:rStyle w:val="10"/>
                <w:rFonts w:hint="eastAsia"/>
              </w:rPr>
              <w:t>农药名称：</w:t>
            </w:r>
            <w:r>
              <w:rPr>
                <w:rFonts w:hint="eastAsia"/>
              </w:rPr>
              <w:t>2甲·草甘膦</w:t>
            </w:r>
          </w:p>
        </w:tc>
      </w:tr>
      <w:tr w14:paraId="506A9AC2">
        <w:tblPrEx>
          <w:tblCellMar>
            <w:top w:w="0" w:type="dxa"/>
            <w:left w:w="0" w:type="dxa"/>
            <w:bottom w:w="0" w:type="dxa"/>
            <w:right w:w="0" w:type="dxa"/>
          </w:tblCellMar>
        </w:tblPrEx>
        <w:trPr>
          <w:wBefore w:w="0" w:type="auto"/>
          <w:tblCellSpacing w:w="0" w:type="dxa"/>
        </w:trPr>
        <w:tc>
          <w:tcPr>
            <w:tcW w:w="0" w:type="auto"/>
            <w:noWrap w:val="0"/>
            <w:vAlign w:val="center"/>
          </w:tcPr>
          <w:p w14:paraId="015CD608">
            <w:r>
              <w:rPr>
                <w:rStyle w:val="10"/>
                <w:rFonts w:hint="eastAsia"/>
              </w:rPr>
              <w:t>剂型：</w:t>
            </w:r>
            <w:r>
              <w:rPr>
                <w:rFonts w:hint="eastAsia"/>
              </w:rPr>
              <w:t>可溶液剂</w:t>
            </w:r>
          </w:p>
        </w:tc>
      </w:tr>
      <w:tr w14:paraId="5020D93D">
        <w:tblPrEx>
          <w:tblCellMar>
            <w:top w:w="0" w:type="dxa"/>
            <w:left w:w="0" w:type="dxa"/>
            <w:bottom w:w="0" w:type="dxa"/>
            <w:right w:w="0" w:type="dxa"/>
          </w:tblCellMar>
        </w:tblPrEx>
        <w:trPr>
          <w:wBefore w:w="0" w:type="auto"/>
          <w:tblCellSpacing w:w="0" w:type="dxa"/>
        </w:trPr>
        <w:tc>
          <w:tcPr>
            <w:tcW w:w="0" w:type="auto"/>
            <w:noWrap w:val="0"/>
            <w:vAlign w:val="center"/>
          </w:tcPr>
          <w:p w14:paraId="0E5E6918">
            <w:r>
              <w:rPr>
                <w:rStyle w:val="10"/>
                <w:rFonts w:hint="eastAsia"/>
              </w:rPr>
              <w:t>毒性及其标识：</w:t>
            </w:r>
            <w:r>
              <w:rPr>
                <w:rFonts w:hint="eastAsia"/>
              </w:rPr>
              <w:t xml:space="preserve"> </w:t>
            </w:r>
            <w:r>
              <w:rPr>
                <w:lang/>
              </w:rPr>
              <w:drawing>
                <wp:inline distT="0" distB="0" distL="114300" distR="114300">
                  <wp:extent cx="476250" cy="323850"/>
                  <wp:effectExtent l="0" t="0" r="0" b="0"/>
                  <wp:docPr id="344" name="图片 3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3CE0B0">
        <w:tblPrEx>
          <w:tblCellMar>
            <w:top w:w="0" w:type="dxa"/>
            <w:left w:w="0" w:type="dxa"/>
            <w:bottom w:w="0" w:type="dxa"/>
            <w:right w:w="0" w:type="dxa"/>
          </w:tblCellMar>
        </w:tblPrEx>
        <w:trPr>
          <w:wBefore w:w="0" w:type="auto"/>
          <w:tblCellSpacing w:w="0" w:type="dxa"/>
        </w:trPr>
        <w:tc>
          <w:tcPr>
            <w:tcW w:w="0" w:type="auto"/>
            <w:noWrap w:val="0"/>
            <w:vAlign w:val="center"/>
          </w:tcPr>
          <w:p w14:paraId="738D2550">
            <w:r>
              <w:rPr>
                <w:rStyle w:val="10"/>
                <w:rFonts w:hint="eastAsia"/>
              </w:rPr>
              <w:t>总有效成分含量：</w:t>
            </w:r>
            <w:r>
              <w:rPr>
                <w:rFonts w:hint="eastAsia"/>
              </w:rPr>
              <w:t>36%</w:t>
            </w:r>
          </w:p>
        </w:tc>
      </w:tr>
      <w:tr w14:paraId="7C5E60D2">
        <w:tblPrEx>
          <w:tblCellMar>
            <w:top w:w="0" w:type="dxa"/>
            <w:left w:w="0" w:type="dxa"/>
            <w:bottom w:w="0" w:type="dxa"/>
            <w:right w:w="0" w:type="dxa"/>
          </w:tblCellMar>
        </w:tblPrEx>
        <w:trPr>
          <w:wBefore w:w="0" w:type="auto"/>
          <w:tblCellSpacing w:w="0" w:type="dxa"/>
        </w:trPr>
        <w:tc>
          <w:tcPr>
            <w:tcW w:w="0" w:type="auto"/>
            <w:noWrap w:val="0"/>
            <w:vAlign w:val="center"/>
          </w:tcPr>
          <w:p w14:paraId="4DA6A545">
            <w:r>
              <w:rPr>
                <w:rFonts w:hint="eastAsia"/>
              </w:rPr>
              <w:t xml:space="preserve">有效成分及其含量： </w:t>
            </w:r>
          </w:p>
          <w:p w14:paraId="180EFC5A">
            <w:r>
              <w:rPr>
                <w:rFonts w:hint="eastAsia"/>
              </w:rPr>
              <w:t xml:space="preserve">    草甘膦30.4%    2甲4氯5.6%    </w:t>
            </w:r>
          </w:p>
        </w:tc>
      </w:tr>
      <w:tr w14:paraId="5F59B080">
        <w:tblPrEx>
          <w:tblCellMar>
            <w:top w:w="0" w:type="dxa"/>
            <w:left w:w="0" w:type="dxa"/>
            <w:bottom w:w="0" w:type="dxa"/>
            <w:right w:w="0" w:type="dxa"/>
          </w:tblCellMar>
        </w:tblPrEx>
        <w:trPr>
          <w:wBefore w:w="0" w:type="auto"/>
          <w:tblCellSpacing w:w="0" w:type="dxa"/>
        </w:trPr>
        <w:tc>
          <w:tcPr>
            <w:tcW w:w="0" w:type="auto"/>
            <w:noWrap w:val="0"/>
            <w:vAlign w:val="center"/>
          </w:tcPr>
          <w:p w14:paraId="2ACB04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420D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85ABB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D947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E2465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9FD0BB">
                  <w:r>
                    <w:rPr>
                      <w:rStyle w:val="11"/>
                      <w:rFonts w:hint="eastAsia"/>
                    </w:rPr>
                    <w:t>施用方式</w:t>
                  </w:r>
                </w:p>
              </w:tc>
            </w:tr>
            <w:tr w14:paraId="423609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F02DF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B9907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38238F">
                  <w:r>
                    <w:rPr>
                      <w:rStyle w:val="11"/>
                      <w:rFonts w:hint="eastAsia"/>
                    </w:rPr>
                    <w:t>200-280毫升/亩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E305D9">
                  <w:r>
                    <w:rPr>
                      <w:rStyle w:val="11"/>
                      <w:rFonts w:hint="eastAsia"/>
                    </w:rPr>
                    <w:t>茎叶喷雾</w:t>
                  </w:r>
                </w:p>
              </w:tc>
            </w:tr>
          </w:tbl>
          <w:p w14:paraId="333F6066">
            <w:pPr>
              <w:rPr>
                <w:rFonts w:ascii="Times New Roman" w:hAnsi="Times New Roman" w:cs="Times New Roman"/>
                <w:sz w:val="20"/>
                <w:szCs w:val="20"/>
              </w:rPr>
            </w:pPr>
          </w:p>
        </w:tc>
      </w:tr>
      <w:tr w14:paraId="047DDBEA">
        <w:tblPrEx>
          <w:tblCellMar>
            <w:top w:w="0" w:type="dxa"/>
            <w:left w:w="0" w:type="dxa"/>
            <w:bottom w:w="0" w:type="dxa"/>
            <w:right w:w="0" w:type="dxa"/>
          </w:tblCellMar>
        </w:tblPrEx>
        <w:trPr>
          <w:wBefore w:w="0" w:type="auto"/>
          <w:tblCellSpacing w:w="0" w:type="dxa"/>
        </w:trPr>
        <w:tc>
          <w:tcPr>
            <w:tcW w:w="0" w:type="auto"/>
            <w:noWrap w:val="0"/>
            <w:vAlign w:val="center"/>
          </w:tcPr>
          <w:p w14:paraId="6128503F">
            <w:r>
              <w:rPr>
                <w:rStyle w:val="10"/>
                <w:rFonts w:hint="eastAsia"/>
              </w:rPr>
              <w:t>使用技术要求:</w:t>
            </w:r>
            <w:r>
              <w:rPr>
                <w:rFonts w:hint="eastAsia"/>
              </w:rPr>
              <w:br w:type="textWrapping"/>
            </w:r>
            <w:r>
              <w:rPr>
                <w:rStyle w:val="11"/>
                <w:rFonts w:hint="eastAsia"/>
              </w:rPr>
              <w:t>1.杂草生长旺盛期施药，选择温度较高的晴天，均匀喷雾。2.大风天或预计2小时之内有雨，请勿施药。3.每季使用一次。4.禁止在田间道路、田埂、果树行间、休耕地、林场林地等农林业区域使用。</w:t>
            </w:r>
          </w:p>
        </w:tc>
      </w:tr>
      <w:tr w14:paraId="091617B7">
        <w:tblPrEx>
          <w:tblCellMar>
            <w:top w:w="0" w:type="dxa"/>
            <w:left w:w="0" w:type="dxa"/>
            <w:bottom w:w="0" w:type="dxa"/>
            <w:right w:w="0" w:type="dxa"/>
          </w:tblCellMar>
        </w:tblPrEx>
        <w:trPr>
          <w:wBefore w:w="0" w:type="auto"/>
          <w:tblCellSpacing w:w="0" w:type="dxa"/>
        </w:trPr>
        <w:tc>
          <w:tcPr>
            <w:tcW w:w="0" w:type="auto"/>
            <w:noWrap w:val="0"/>
            <w:vAlign w:val="center"/>
          </w:tcPr>
          <w:p w14:paraId="712060B7">
            <w:r>
              <w:rPr>
                <w:rStyle w:val="10"/>
                <w:rFonts w:hint="eastAsia"/>
              </w:rPr>
              <w:t>产品性能:</w:t>
            </w:r>
            <w:r>
              <w:rPr>
                <w:rFonts w:hint="eastAsia"/>
              </w:rPr>
              <w:br w:type="textWrapping"/>
            </w:r>
            <w:r>
              <w:rPr>
                <w:rStyle w:val="11"/>
                <w:rFonts w:hint="eastAsia"/>
              </w:rPr>
              <w:t>本品是由2甲4氯和草甘膦的复配制剂，具有杀草谱广、除草效果好、持效期长等特点，主要用于非耕地杂草的防治。</w:t>
            </w:r>
          </w:p>
        </w:tc>
      </w:tr>
      <w:tr w14:paraId="49811990">
        <w:tblPrEx>
          <w:tblCellMar>
            <w:top w:w="0" w:type="dxa"/>
            <w:left w:w="0" w:type="dxa"/>
            <w:bottom w:w="0" w:type="dxa"/>
            <w:right w:w="0" w:type="dxa"/>
          </w:tblCellMar>
        </w:tblPrEx>
        <w:trPr>
          <w:wBefore w:w="0" w:type="auto"/>
          <w:tblCellSpacing w:w="0" w:type="dxa"/>
        </w:trPr>
        <w:tc>
          <w:tcPr>
            <w:tcW w:w="0" w:type="auto"/>
            <w:noWrap w:val="0"/>
            <w:vAlign w:val="center"/>
          </w:tcPr>
          <w:p w14:paraId="2360716F">
            <w:r>
              <w:rPr>
                <w:rStyle w:val="10"/>
                <w:rFonts w:hint="eastAsia"/>
              </w:rPr>
              <w:t>注意事项：</w:t>
            </w:r>
            <w:r>
              <w:rPr>
                <w:rFonts w:hint="eastAsia"/>
              </w:rPr>
              <w:br w:type="textWrapping"/>
            </w:r>
            <w:r>
              <w:rPr>
                <w:rStyle w:val="11"/>
                <w:rFonts w:hint="eastAsia"/>
              </w:rPr>
              <w:t>1.本品为灭生性除草剂，施药时严防雾滴漂移到果木和邻近作物田。2.用清水稀释药剂，否则会降低药效。不能用金属容器转盛本品。不可与呈碱性物质混用。3.使用本品时应穿戴防护服、手套等，避免吸入药液，施药期间不可吃东西饮水等，施药后应及时洗手洗脸以及其他皮肤裸露部位。4.水产养殖区、河塘等水体附近禁用，禁止在河塘等水体清洗施药器具以免污染水源；周围开花植物花期禁用，施药期间应密切关注对附近蜂群的影响，桑园及蚕室附近禁用；赤眼蜂等天敌放飞区域禁用。5.用过的器具应妥善处理，不可做他用，也不可随意丢弃。6.清洗器具的废水不能排入河流、池塘等水源，禁止在河塘等水域中清洗施药器具。7.孕妇及哺乳期妇女禁止接触本品。8.避免与具有氧化性物质接触或混合。</w:t>
            </w:r>
          </w:p>
        </w:tc>
      </w:tr>
      <w:tr w14:paraId="4BE6F2A0">
        <w:tblPrEx>
          <w:tblCellMar>
            <w:top w:w="0" w:type="dxa"/>
            <w:left w:w="0" w:type="dxa"/>
            <w:bottom w:w="0" w:type="dxa"/>
            <w:right w:w="0" w:type="dxa"/>
          </w:tblCellMar>
        </w:tblPrEx>
        <w:trPr>
          <w:wBefore w:w="0" w:type="auto"/>
          <w:tblCellSpacing w:w="0" w:type="dxa"/>
        </w:trPr>
        <w:tc>
          <w:tcPr>
            <w:tcW w:w="0" w:type="auto"/>
            <w:noWrap w:val="0"/>
            <w:vAlign w:val="center"/>
          </w:tcPr>
          <w:p w14:paraId="4A3147F7">
            <w:r>
              <w:rPr>
                <w:rStyle w:val="10"/>
                <w:rFonts w:hint="eastAsia"/>
              </w:rPr>
              <w:t>中毒急救措施：</w:t>
            </w:r>
            <w:r>
              <w:rPr>
                <w:rFonts w:hint="eastAsia"/>
              </w:rPr>
              <w:br w:type="textWrapping"/>
            </w:r>
            <w:r>
              <w:rPr>
                <w:rStyle w:val="11"/>
                <w:rFonts w:hint="eastAsia"/>
              </w:rPr>
              <w:t>对皮肤、眼睛有刺激作用，不慎吸入，应将病人移至空气流通处。溅入眼睛中，立即用大量清水冲洗至少15分钟；皮肤接触时，用清水及肥皂水洗干净；若误服，应立即携此标签就医，无特效解毒剂，对症治疗。</w:t>
            </w:r>
          </w:p>
        </w:tc>
      </w:tr>
      <w:tr w14:paraId="30838132">
        <w:tblPrEx>
          <w:tblCellMar>
            <w:top w:w="0" w:type="dxa"/>
            <w:left w:w="0" w:type="dxa"/>
            <w:bottom w:w="0" w:type="dxa"/>
            <w:right w:w="0" w:type="dxa"/>
          </w:tblCellMar>
        </w:tblPrEx>
        <w:trPr>
          <w:wBefore w:w="0" w:type="auto"/>
          <w:tblCellSpacing w:w="0" w:type="dxa"/>
        </w:trPr>
        <w:tc>
          <w:tcPr>
            <w:tcW w:w="0" w:type="auto"/>
            <w:noWrap w:val="0"/>
            <w:vAlign w:val="center"/>
          </w:tcPr>
          <w:p w14:paraId="71C20EEF">
            <w:r>
              <w:rPr>
                <w:rStyle w:val="10"/>
                <w:rFonts w:hint="eastAsia"/>
              </w:rPr>
              <w:t>储存和运输方法：</w:t>
            </w:r>
            <w:r>
              <w:rPr>
                <w:rFonts w:hint="eastAsia"/>
              </w:rPr>
              <w:br w:type="textWrapping"/>
            </w:r>
            <w:r>
              <w:rPr>
                <w:rStyle w:val="11"/>
                <w:rFonts w:hint="eastAsia"/>
              </w:rPr>
              <w:t>1、本品应储存在干燥、通风的库房中。远离火源或热源。置于儿童触及不到之处，并加锁。严防潮湿和日晒，不得与食物、饮料、粮食、种子、饲料等同贮同运，避免与皮肤、眼睛接触，防止由口鼻吸入。</w:t>
            </w:r>
          </w:p>
        </w:tc>
      </w:tr>
      <w:tr w14:paraId="5C728D93">
        <w:tblPrEx>
          <w:tblCellMar>
            <w:top w:w="0" w:type="dxa"/>
            <w:left w:w="0" w:type="dxa"/>
            <w:bottom w:w="0" w:type="dxa"/>
            <w:right w:w="0" w:type="dxa"/>
          </w:tblCellMar>
        </w:tblPrEx>
        <w:trPr>
          <w:wBefore w:w="0" w:type="auto"/>
          <w:tblCellSpacing w:w="0" w:type="dxa"/>
        </w:trPr>
        <w:tc>
          <w:tcPr>
            <w:tcW w:w="0" w:type="auto"/>
            <w:noWrap w:val="0"/>
            <w:vAlign w:val="center"/>
          </w:tcPr>
          <w:p w14:paraId="2F6F38C0">
            <w:r>
              <w:rPr>
                <w:rStyle w:val="10"/>
                <w:rFonts w:hint="eastAsia"/>
              </w:rPr>
              <w:t>质量保证期：</w:t>
            </w:r>
            <w:r>
              <w:rPr>
                <w:rStyle w:val="11"/>
                <w:rFonts w:hint="eastAsia"/>
              </w:rPr>
              <w:t>2年</w:t>
            </w:r>
          </w:p>
        </w:tc>
      </w:tr>
      <w:tr w14:paraId="1347123F">
        <w:tblPrEx>
          <w:tblCellMar>
            <w:top w:w="0" w:type="dxa"/>
            <w:left w:w="0" w:type="dxa"/>
            <w:bottom w:w="0" w:type="dxa"/>
            <w:right w:w="0" w:type="dxa"/>
          </w:tblCellMar>
        </w:tblPrEx>
        <w:trPr>
          <w:wBefore w:w="0" w:type="auto"/>
          <w:tblCellSpacing w:w="0" w:type="dxa"/>
        </w:trPr>
        <w:tc>
          <w:tcPr>
            <w:tcW w:w="0" w:type="auto"/>
            <w:noWrap w:val="0"/>
            <w:vAlign w:val="center"/>
          </w:tcPr>
          <w:p w14:paraId="051FF03C">
            <w:r>
              <w:rPr>
                <w:rStyle w:val="10"/>
                <w:rFonts w:hint="eastAsia"/>
              </w:rPr>
              <w:t>备注：</w:t>
            </w:r>
            <w:r>
              <w:rPr>
                <w:rFonts w:hint="eastAsia"/>
              </w:rPr>
              <w:br w:type="textWrapping"/>
            </w:r>
            <w:r>
              <w:rPr>
                <w:rStyle w:val="11"/>
                <w:rFonts w:hint="eastAsia"/>
              </w:rPr>
              <w:t>2甲4氯异丙胺盐7.2%，草甘膦异丙胺盐41%。</w:t>
            </w:r>
          </w:p>
        </w:tc>
      </w:tr>
    </w:tbl>
    <w:p w14:paraId="5A525E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D813D4">
        <w:tblPrEx>
          <w:tblCellMar>
            <w:top w:w="0" w:type="dxa"/>
            <w:left w:w="0" w:type="dxa"/>
            <w:bottom w:w="0" w:type="dxa"/>
            <w:right w:w="0" w:type="dxa"/>
          </w:tblCellMar>
        </w:tblPrEx>
        <w:trPr>
          <w:wBefore w:w="0" w:type="auto"/>
          <w:tblCellSpacing w:w="0" w:type="dxa"/>
        </w:trPr>
        <w:tc>
          <w:tcPr>
            <w:tcW w:w="0" w:type="auto"/>
            <w:noWrap w:val="0"/>
            <w:vAlign w:val="center"/>
          </w:tcPr>
          <w:p w14:paraId="5782112E">
            <w:r>
              <w:rPr>
                <w:rStyle w:val="10"/>
                <w:rFonts w:hint="eastAsia"/>
              </w:rPr>
              <w:t>登记证号：</w:t>
            </w:r>
            <w:r>
              <w:rPr>
                <w:rFonts w:hint="eastAsia"/>
              </w:rPr>
              <w:t>WP20210372</w:t>
            </w:r>
          </w:p>
        </w:tc>
      </w:tr>
      <w:tr w14:paraId="253A2AC8">
        <w:tblPrEx>
          <w:tblCellMar>
            <w:top w:w="0" w:type="dxa"/>
            <w:left w:w="0" w:type="dxa"/>
            <w:bottom w:w="0" w:type="dxa"/>
            <w:right w:w="0" w:type="dxa"/>
          </w:tblCellMar>
        </w:tblPrEx>
        <w:trPr>
          <w:wBefore w:w="0" w:type="auto"/>
          <w:tblCellSpacing w:w="0" w:type="dxa"/>
        </w:trPr>
        <w:tc>
          <w:tcPr>
            <w:tcW w:w="0" w:type="auto"/>
            <w:noWrap w:val="0"/>
            <w:vAlign w:val="center"/>
          </w:tcPr>
          <w:p w14:paraId="2FDD305B">
            <w:r>
              <w:rPr>
                <w:rStyle w:val="10"/>
                <w:rFonts w:hint="eastAsia"/>
              </w:rPr>
              <w:t>登记证持有人：</w:t>
            </w:r>
            <w:r>
              <w:rPr>
                <w:rFonts w:hint="eastAsia"/>
              </w:rPr>
              <w:t>广西壮族自治区柳州市万友家庭卫生害虫防治所</w:t>
            </w:r>
          </w:p>
        </w:tc>
      </w:tr>
      <w:tr w14:paraId="1C8AC91B">
        <w:tblPrEx>
          <w:tblCellMar>
            <w:top w:w="0" w:type="dxa"/>
            <w:left w:w="0" w:type="dxa"/>
            <w:bottom w:w="0" w:type="dxa"/>
            <w:right w:w="0" w:type="dxa"/>
          </w:tblCellMar>
        </w:tblPrEx>
        <w:trPr>
          <w:wBefore w:w="0" w:type="auto"/>
          <w:tblCellSpacing w:w="0" w:type="dxa"/>
        </w:trPr>
        <w:tc>
          <w:tcPr>
            <w:tcW w:w="0" w:type="auto"/>
            <w:noWrap w:val="0"/>
            <w:vAlign w:val="center"/>
          </w:tcPr>
          <w:p w14:paraId="7E8DED36">
            <w:r>
              <w:rPr>
                <w:rStyle w:val="10"/>
                <w:rFonts w:hint="eastAsia"/>
              </w:rPr>
              <w:t>农药名称：</w:t>
            </w:r>
            <w:r>
              <w:rPr>
                <w:rFonts w:hint="eastAsia"/>
              </w:rPr>
              <w:t>杀蟑饵剂</w:t>
            </w:r>
          </w:p>
        </w:tc>
      </w:tr>
      <w:tr w14:paraId="4DE27490">
        <w:tblPrEx>
          <w:tblCellMar>
            <w:top w:w="0" w:type="dxa"/>
            <w:left w:w="0" w:type="dxa"/>
            <w:bottom w:w="0" w:type="dxa"/>
            <w:right w:w="0" w:type="dxa"/>
          </w:tblCellMar>
        </w:tblPrEx>
        <w:trPr>
          <w:wBefore w:w="0" w:type="auto"/>
          <w:tblCellSpacing w:w="0" w:type="dxa"/>
        </w:trPr>
        <w:tc>
          <w:tcPr>
            <w:tcW w:w="0" w:type="auto"/>
            <w:noWrap w:val="0"/>
            <w:vAlign w:val="center"/>
          </w:tcPr>
          <w:p w14:paraId="5D598C12">
            <w:r>
              <w:rPr>
                <w:rStyle w:val="10"/>
                <w:rFonts w:hint="eastAsia"/>
              </w:rPr>
              <w:t>剂型：</w:t>
            </w:r>
            <w:r>
              <w:rPr>
                <w:rFonts w:hint="eastAsia"/>
              </w:rPr>
              <w:t>饵剂</w:t>
            </w:r>
          </w:p>
        </w:tc>
      </w:tr>
      <w:tr w14:paraId="563D30D9">
        <w:tblPrEx>
          <w:tblCellMar>
            <w:top w:w="0" w:type="dxa"/>
            <w:left w:w="0" w:type="dxa"/>
            <w:bottom w:w="0" w:type="dxa"/>
            <w:right w:w="0" w:type="dxa"/>
          </w:tblCellMar>
        </w:tblPrEx>
        <w:trPr>
          <w:wBefore w:w="0" w:type="auto"/>
          <w:tblCellSpacing w:w="0" w:type="dxa"/>
        </w:trPr>
        <w:tc>
          <w:tcPr>
            <w:tcW w:w="0" w:type="auto"/>
            <w:noWrap w:val="0"/>
            <w:vAlign w:val="center"/>
          </w:tcPr>
          <w:p w14:paraId="501DF6F5">
            <w:r>
              <w:rPr>
                <w:rStyle w:val="10"/>
                <w:rFonts w:hint="eastAsia"/>
              </w:rPr>
              <w:t>毒性及其标识：</w:t>
            </w:r>
            <w:r>
              <w:rPr>
                <w:rFonts w:hint="eastAsia"/>
              </w:rPr>
              <w:t xml:space="preserve"> 微毒 </w:t>
            </w:r>
          </w:p>
        </w:tc>
      </w:tr>
      <w:tr w14:paraId="701E6EBB">
        <w:tblPrEx>
          <w:tblCellMar>
            <w:top w:w="0" w:type="dxa"/>
            <w:left w:w="0" w:type="dxa"/>
            <w:bottom w:w="0" w:type="dxa"/>
            <w:right w:w="0" w:type="dxa"/>
          </w:tblCellMar>
        </w:tblPrEx>
        <w:trPr>
          <w:wBefore w:w="0" w:type="auto"/>
          <w:tblCellSpacing w:w="0" w:type="dxa"/>
        </w:trPr>
        <w:tc>
          <w:tcPr>
            <w:tcW w:w="0" w:type="auto"/>
            <w:noWrap w:val="0"/>
            <w:vAlign w:val="center"/>
          </w:tcPr>
          <w:p w14:paraId="00345B7F">
            <w:r>
              <w:rPr>
                <w:rStyle w:val="10"/>
                <w:rFonts w:hint="eastAsia"/>
              </w:rPr>
              <w:t>总有效成分含量：</w:t>
            </w:r>
            <w:r>
              <w:rPr>
                <w:rFonts w:hint="eastAsia"/>
              </w:rPr>
              <w:t>0.5%</w:t>
            </w:r>
          </w:p>
        </w:tc>
      </w:tr>
      <w:tr w14:paraId="54A4BF45">
        <w:tblPrEx>
          <w:tblCellMar>
            <w:top w:w="0" w:type="dxa"/>
            <w:left w:w="0" w:type="dxa"/>
            <w:bottom w:w="0" w:type="dxa"/>
            <w:right w:w="0" w:type="dxa"/>
          </w:tblCellMar>
        </w:tblPrEx>
        <w:trPr>
          <w:wBefore w:w="0" w:type="auto"/>
          <w:tblCellSpacing w:w="0" w:type="dxa"/>
        </w:trPr>
        <w:tc>
          <w:tcPr>
            <w:tcW w:w="0" w:type="auto"/>
            <w:noWrap w:val="0"/>
            <w:vAlign w:val="center"/>
          </w:tcPr>
          <w:p w14:paraId="1995A5EC">
            <w:r>
              <w:rPr>
                <w:rFonts w:hint="eastAsia"/>
              </w:rPr>
              <w:t xml:space="preserve">有效成分及其含量： </w:t>
            </w:r>
          </w:p>
          <w:p w14:paraId="03764B61">
            <w:r>
              <w:rPr>
                <w:rFonts w:hint="eastAsia"/>
              </w:rPr>
              <w:t xml:space="preserve">    茚虫威0.5%    </w:t>
            </w:r>
          </w:p>
        </w:tc>
      </w:tr>
      <w:tr w14:paraId="528195A9">
        <w:tblPrEx>
          <w:tblCellMar>
            <w:top w:w="0" w:type="dxa"/>
            <w:left w:w="0" w:type="dxa"/>
            <w:bottom w:w="0" w:type="dxa"/>
            <w:right w:w="0" w:type="dxa"/>
          </w:tblCellMar>
        </w:tblPrEx>
        <w:trPr>
          <w:wBefore w:w="0" w:type="auto"/>
          <w:tblCellSpacing w:w="0" w:type="dxa"/>
        </w:trPr>
        <w:tc>
          <w:tcPr>
            <w:tcW w:w="0" w:type="auto"/>
            <w:noWrap w:val="0"/>
            <w:vAlign w:val="center"/>
          </w:tcPr>
          <w:p w14:paraId="7F8BE00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62321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8E4BC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277D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97C0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7220EF">
                  <w:r>
                    <w:rPr>
                      <w:rStyle w:val="11"/>
                      <w:rFonts w:hint="eastAsia"/>
                    </w:rPr>
                    <w:t>施用方式</w:t>
                  </w:r>
                </w:p>
              </w:tc>
            </w:tr>
            <w:tr w14:paraId="29EB2E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FB8F3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629DCF">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8EC5C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13241C">
                  <w:r>
                    <w:rPr>
                      <w:rStyle w:val="11"/>
                      <w:rFonts w:hint="eastAsia"/>
                    </w:rPr>
                    <w:t>投放</w:t>
                  </w:r>
                </w:p>
              </w:tc>
            </w:tr>
          </w:tbl>
          <w:p w14:paraId="60A6CDF5">
            <w:pPr>
              <w:rPr>
                <w:rFonts w:ascii="Times New Roman" w:hAnsi="Times New Roman" w:cs="Times New Roman"/>
                <w:sz w:val="20"/>
                <w:szCs w:val="20"/>
              </w:rPr>
            </w:pPr>
          </w:p>
        </w:tc>
      </w:tr>
      <w:tr w14:paraId="3FA580E2">
        <w:tblPrEx>
          <w:tblCellMar>
            <w:top w:w="0" w:type="dxa"/>
            <w:left w:w="0" w:type="dxa"/>
            <w:bottom w:w="0" w:type="dxa"/>
            <w:right w:w="0" w:type="dxa"/>
          </w:tblCellMar>
        </w:tblPrEx>
        <w:trPr>
          <w:wBefore w:w="0" w:type="auto"/>
          <w:tblCellSpacing w:w="0" w:type="dxa"/>
        </w:trPr>
        <w:tc>
          <w:tcPr>
            <w:tcW w:w="0" w:type="auto"/>
            <w:noWrap w:val="0"/>
            <w:vAlign w:val="center"/>
          </w:tcPr>
          <w:p w14:paraId="5F20507F">
            <w:r>
              <w:rPr>
                <w:rStyle w:val="10"/>
                <w:rFonts w:hint="eastAsia"/>
              </w:rPr>
              <w:t>使用技术要求:</w:t>
            </w:r>
            <w:r>
              <w:rPr>
                <w:rFonts w:hint="eastAsia"/>
              </w:rPr>
              <w:br w:type="textWrapping"/>
            </w:r>
            <w:r>
              <w:rPr>
                <w:rStyle w:val="11"/>
                <w:rFonts w:hint="eastAsia"/>
              </w:rPr>
              <w:t>将本品直接投放于蜚蠊（俗称：蟑螂）经常出没及栖息的区域，如缝隙、边角、孔洞等。避免用于较潮湿的地方，以免影响药效。</w:t>
            </w:r>
          </w:p>
        </w:tc>
      </w:tr>
      <w:tr w14:paraId="3358A6B7">
        <w:tblPrEx>
          <w:tblCellMar>
            <w:top w:w="0" w:type="dxa"/>
            <w:left w:w="0" w:type="dxa"/>
            <w:bottom w:w="0" w:type="dxa"/>
            <w:right w:w="0" w:type="dxa"/>
          </w:tblCellMar>
        </w:tblPrEx>
        <w:trPr>
          <w:wBefore w:w="0" w:type="auto"/>
          <w:tblCellSpacing w:w="0" w:type="dxa"/>
        </w:trPr>
        <w:tc>
          <w:tcPr>
            <w:tcW w:w="0" w:type="auto"/>
            <w:noWrap w:val="0"/>
            <w:vAlign w:val="center"/>
          </w:tcPr>
          <w:p w14:paraId="745CBE2A">
            <w:r>
              <w:rPr>
                <w:rStyle w:val="10"/>
                <w:rFonts w:hint="eastAsia"/>
              </w:rPr>
              <w:t>产品性能:</w:t>
            </w:r>
            <w:r>
              <w:rPr>
                <w:rFonts w:hint="eastAsia"/>
              </w:rPr>
              <w:br w:type="textWrapping"/>
            </w:r>
            <w:r>
              <w:rPr>
                <w:rStyle w:val="11"/>
                <w:rFonts w:hint="eastAsia"/>
              </w:rPr>
              <w:t>本品以茚虫威为有效成分，对蜚蠊（俗称：蟑螂）具有较好的适口性。适用于室内如住所、餐厅、宾馆、办公室等场所，杀蟑效果较好。</w:t>
            </w:r>
          </w:p>
        </w:tc>
      </w:tr>
      <w:tr w14:paraId="42DFA417">
        <w:tblPrEx>
          <w:tblCellMar>
            <w:top w:w="0" w:type="dxa"/>
            <w:left w:w="0" w:type="dxa"/>
            <w:bottom w:w="0" w:type="dxa"/>
            <w:right w:w="0" w:type="dxa"/>
          </w:tblCellMar>
        </w:tblPrEx>
        <w:trPr>
          <w:wBefore w:w="0" w:type="auto"/>
          <w:tblCellSpacing w:w="0" w:type="dxa"/>
        </w:trPr>
        <w:tc>
          <w:tcPr>
            <w:tcW w:w="0" w:type="auto"/>
            <w:noWrap w:val="0"/>
            <w:vAlign w:val="center"/>
          </w:tcPr>
          <w:p w14:paraId="47E243B9">
            <w:r>
              <w:rPr>
                <w:rStyle w:val="10"/>
                <w:rFonts w:hint="eastAsia"/>
              </w:rPr>
              <w:t>注意事项：</w:t>
            </w:r>
            <w:r>
              <w:rPr>
                <w:rFonts w:hint="eastAsia"/>
              </w:rPr>
              <w:br w:type="textWrapping"/>
            </w:r>
            <w:r>
              <w:rPr>
                <w:rStyle w:val="11"/>
                <w:rFonts w:hint="eastAsia"/>
              </w:rPr>
              <w:t>1.使用时，不要让药剂沾染皮肤和眼睛；切勿污染食品及饮用水；置于儿童及宠物接触不到的地方，避免误服。使用后，及时洗手、洗脸，并清洗暴露在外的皮肤。 2.仅限室内使用。蚕室及其附近禁用。 3.用过的容器和废弃物应妥善处理，不可随意丢弃或做他用。 4.敏感体质人士、孕妇及哺乳期妇女请远离本品。 5.过敏者禁用，使用中有任何不良反应，请及时就医。</w:t>
            </w:r>
          </w:p>
        </w:tc>
      </w:tr>
      <w:tr w14:paraId="7DC2E40E">
        <w:tblPrEx>
          <w:tblCellMar>
            <w:top w:w="0" w:type="dxa"/>
            <w:left w:w="0" w:type="dxa"/>
            <w:bottom w:w="0" w:type="dxa"/>
            <w:right w:w="0" w:type="dxa"/>
          </w:tblCellMar>
        </w:tblPrEx>
        <w:trPr>
          <w:wBefore w:w="0" w:type="auto"/>
          <w:tblCellSpacing w:w="0" w:type="dxa"/>
        </w:trPr>
        <w:tc>
          <w:tcPr>
            <w:tcW w:w="0" w:type="auto"/>
            <w:noWrap w:val="0"/>
            <w:vAlign w:val="center"/>
          </w:tcPr>
          <w:p w14:paraId="1A135452">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皮肤接触：立即用肥皂和大量清水清洗。如症状持续就医。 眼睛接触：若溅入眼内，用大量清水清洗并就医。 吸入：将患者移到空气新鲜处休息，如果持续出现中毒症状，立即就医。 误服：不要引吐，漱口并就医。无特殊解毒剂，对症治疗。</w:t>
            </w:r>
          </w:p>
        </w:tc>
      </w:tr>
      <w:tr w14:paraId="40306F27">
        <w:tblPrEx>
          <w:tblCellMar>
            <w:top w:w="0" w:type="dxa"/>
            <w:left w:w="0" w:type="dxa"/>
            <w:bottom w:w="0" w:type="dxa"/>
            <w:right w:w="0" w:type="dxa"/>
          </w:tblCellMar>
        </w:tblPrEx>
        <w:trPr>
          <w:wBefore w:w="0" w:type="auto"/>
          <w:tblCellSpacing w:w="0" w:type="dxa"/>
        </w:trPr>
        <w:tc>
          <w:tcPr>
            <w:tcW w:w="0" w:type="auto"/>
            <w:noWrap w:val="0"/>
            <w:vAlign w:val="center"/>
          </w:tcPr>
          <w:p w14:paraId="345146DE">
            <w:r>
              <w:rPr>
                <w:rStyle w:val="10"/>
                <w:rFonts w:hint="eastAsia"/>
              </w:rPr>
              <w:t>储存和运输方法：</w:t>
            </w:r>
            <w:r>
              <w:rPr>
                <w:rFonts w:hint="eastAsia"/>
              </w:rPr>
              <w:br w:type="textWrapping"/>
            </w:r>
            <w:r>
              <w:rPr>
                <w:rStyle w:val="11"/>
                <w:rFonts w:hint="eastAsia"/>
              </w:rPr>
              <w:t>本品应贮藏在避光、干燥、通风处。运输时，严防潮湿和日晒。置于儿童、无关人员及动物接触不到的地方，并加锁保存。不得与食物、饮料、种子、粮食、饲料等同贮同运。</w:t>
            </w:r>
          </w:p>
        </w:tc>
      </w:tr>
      <w:tr w14:paraId="5787B345">
        <w:tblPrEx>
          <w:tblCellMar>
            <w:top w:w="0" w:type="dxa"/>
            <w:left w:w="0" w:type="dxa"/>
            <w:bottom w:w="0" w:type="dxa"/>
            <w:right w:w="0" w:type="dxa"/>
          </w:tblCellMar>
        </w:tblPrEx>
        <w:trPr>
          <w:wBefore w:w="0" w:type="auto"/>
          <w:tblCellSpacing w:w="0" w:type="dxa"/>
        </w:trPr>
        <w:tc>
          <w:tcPr>
            <w:tcW w:w="0" w:type="auto"/>
            <w:noWrap w:val="0"/>
            <w:vAlign w:val="center"/>
          </w:tcPr>
          <w:p w14:paraId="4645C954">
            <w:r>
              <w:rPr>
                <w:rStyle w:val="10"/>
                <w:rFonts w:hint="eastAsia"/>
              </w:rPr>
              <w:t>质量保证期：</w:t>
            </w:r>
            <w:r>
              <w:rPr>
                <w:rStyle w:val="11"/>
                <w:rFonts w:hint="eastAsia"/>
              </w:rPr>
              <w:t>2年</w:t>
            </w:r>
          </w:p>
        </w:tc>
      </w:tr>
      <w:tr w14:paraId="7A8460E2">
        <w:tblPrEx>
          <w:tblCellMar>
            <w:top w:w="0" w:type="dxa"/>
            <w:left w:w="0" w:type="dxa"/>
            <w:bottom w:w="0" w:type="dxa"/>
            <w:right w:w="0" w:type="dxa"/>
          </w:tblCellMar>
        </w:tblPrEx>
        <w:trPr>
          <w:wBefore w:w="0" w:type="auto"/>
          <w:tblCellSpacing w:w="0" w:type="dxa"/>
        </w:trPr>
        <w:tc>
          <w:tcPr>
            <w:tcW w:w="0" w:type="auto"/>
            <w:noWrap w:val="0"/>
            <w:vAlign w:val="center"/>
          </w:tcPr>
          <w:p w14:paraId="6D907EB2">
            <w:r>
              <w:rPr>
                <w:rStyle w:val="10"/>
                <w:rFonts w:hint="eastAsia"/>
              </w:rPr>
              <w:t>备注：</w:t>
            </w:r>
          </w:p>
        </w:tc>
      </w:tr>
    </w:tbl>
    <w:p w14:paraId="74A6AE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6543D3">
        <w:tblPrEx>
          <w:tblCellMar>
            <w:top w:w="0" w:type="dxa"/>
            <w:left w:w="0" w:type="dxa"/>
            <w:bottom w:w="0" w:type="dxa"/>
            <w:right w:w="0" w:type="dxa"/>
          </w:tblCellMar>
        </w:tblPrEx>
        <w:trPr>
          <w:wBefore w:w="0" w:type="auto"/>
          <w:tblCellSpacing w:w="0" w:type="dxa"/>
        </w:trPr>
        <w:tc>
          <w:tcPr>
            <w:tcW w:w="0" w:type="auto"/>
            <w:noWrap w:val="0"/>
            <w:vAlign w:val="center"/>
          </w:tcPr>
          <w:p w14:paraId="1EAAED74">
            <w:r>
              <w:rPr>
                <w:rStyle w:val="10"/>
                <w:rFonts w:hint="eastAsia"/>
              </w:rPr>
              <w:t>登记证号：</w:t>
            </w:r>
            <w:r>
              <w:rPr>
                <w:rFonts w:hint="eastAsia"/>
              </w:rPr>
              <w:t>WP20210383</w:t>
            </w:r>
          </w:p>
        </w:tc>
      </w:tr>
      <w:tr w14:paraId="6D41AAAF">
        <w:tblPrEx>
          <w:tblCellMar>
            <w:top w:w="0" w:type="dxa"/>
            <w:left w:w="0" w:type="dxa"/>
            <w:bottom w:w="0" w:type="dxa"/>
            <w:right w:w="0" w:type="dxa"/>
          </w:tblCellMar>
        </w:tblPrEx>
        <w:trPr>
          <w:wBefore w:w="0" w:type="auto"/>
          <w:tblCellSpacing w:w="0" w:type="dxa"/>
        </w:trPr>
        <w:tc>
          <w:tcPr>
            <w:tcW w:w="0" w:type="auto"/>
            <w:noWrap w:val="0"/>
            <w:vAlign w:val="center"/>
          </w:tcPr>
          <w:p w14:paraId="4D016353">
            <w:r>
              <w:rPr>
                <w:rStyle w:val="10"/>
                <w:rFonts w:hint="eastAsia"/>
              </w:rPr>
              <w:t>登记证持有人：</w:t>
            </w:r>
            <w:r>
              <w:rPr>
                <w:rFonts w:hint="eastAsia"/>
              </w:rPr>
              <w:t>广州超威日用化学用品有限公司</w:t>
            </w:r>
          </w:p>
        </w:tc>
      </w:tr>
      <w:tr w14:paraId="6A445921">
        <w:tblPrEx>
          <w:tblCellMar>
            <w:top w:w="0" w:type="dxa"/>
            <w:left w:w="0" w:type="dxa"/>
            <w:bottom w:w="0" w:type="dxa"/>
            <w:right w:w="0" w:type="dxa"/>
          </w:tblCellMar>
        </w:tblPrEx>
        <w:trPr>
          <w:wBefore w:w="0" w:type="auto"/>
          <w:tblCellSpacing w:w="0" w:type="dxa"/>
        </w:trPr>
        <w:tc>
          <w:tcPr>
            <w:tcW w:w="0" w:type="auto"/>
            <w:noWrap w:val="0"/>
            <w:vAlign w:val="center"/>
          </w:tcPr>
          <w:p w14:paraId="07A8A7C8">
            <w:r>
              <w:rPr>
                <w:rStyle w:val="10"/>
                <w:rFonts w:hint="eastAsia"/>
              </w:rPr>
              <w:t>农药名称：</w:t>
            </w:r>
            <w:r>
              <w:rPr>
                <w:rFonts w:hint="eastAsia"/>
              </w:rPr>
              <w:t>杀蟑气雾剂</w:t>
            </w:r>
          </w:p>
        </w:tc>
      </w:tr>
      <w:tr w14:paraId="53F15A91">
        <w:tblPrEx>
          <w:tblCellMar>
            <w:top w:w="0" w:type="dxa"/>
            <w:left w:w="0" w:type="dxa"/>
            <w:bottom w:w="0" w:type="dxa"/>
            <w:right w:w="0" w:type="dxa"/>
          </w:tblCellMar>
        </w:tblPrEx>
        <w:trPr>
          <w:wBefore w:w="0" w:type="auto"/>
          <w:tblCellSpacing w:w="0" w:type="dxa"/>
        </w:trPr>
        <w:tc>
          <w:tcPr>
            <w:tcW w:w="0" w:type="auto"/>
            <w:noWrap w:val="0"/>
            <w:vAlign w:val="center"/>
          </w:tcPr>
          <w:p w14:paraId="18B19FDB">
            <w:r>
              <w:rPr>
                <w:rStyle w:val="10"/>
                <w:rFonts w:hint="eastAsia"/>
              </w:rPr>
              <w:t>剂型：</w:t>
            </w:r>
            <w:r>
              <w:rPr>
                <w:rFonts w:hint="eastAsia"/>
              </w:rPr>
              <w:t>气雾剂</w:t>
            </w:r>
          </w:p>
        </w:tc>
      </w:tr>
      <w:tr w14:paraId="127BFB43">
        <w:tblPrEx>
          <w:tblCellMar>
            <w:top w:w="0" w:type="dxa"/>
            <w:left w:w="0" w:type="dxa"/>
            <w:bottom w:w="0" w:type="dxa"/>
            <w:right w:w="0" w:type="dxa"/>
          </w:tblCellMar>
        </w:tblPrEx>
        <w:trPr>
          <w:wBefore w:w="0" w:type="auto"/>
          <w:tblCellSpacing w:w="0" w:type="dxa"/>
        </w:trPr>
        <w:tc>
          <w:tcPr>
            <w:tcW w:w="0" w:type="auto"/>
            <w:noWrap w:val="0"/>
            <w:vAlign w:val="center"/>
          </w:tcPr>
          <w:p w14:paraId="0D0F69CE">
            <w:r>
              <w:rPr>
                <w:rStyle w:val="10"/>
                <w:rFonts w:hint="eastAsia"/>
              </w:rPr>
              <w:t>毒性及其标识：</w:t>
            </w:r>
            <w:r>
              <w:rPr>
                <w:rFonts w:hint="eastAsia"/>
              </w:rPr>
              <w:t xml:space="preserve"> 微毒 </w:t>
            </w:r>
          </w:p>
        </w:tc>
      </w:tr>
      <w:tr w14:paraId="57F82E8D">
        <w:tblPrEx>
          <w:tblCellMar>
            <w:top w:w="0" w:type="dxa"/>
            <w:left w:w="0" w:type="dxa"/>
            <w:bottom w:w="0" w:type="dxa"/>
            <w:right w:w="0" w:type="dxa"/>
          </w:tblCellMar>
        </w:tblPrEx>
        <w:trPr>
          <w:wBefore w:w="0" w:type="auto"/>
          <w:tblCellSpacing w:w="0" w:type="dxa"/>
        </w:trPr>
        <w:tc>
          <w:tcPr>
            <w:tcW w:w="0" w:type="auto"/>
            <w:noWrap w:val="0"/>
            <w:vAlign w:val="center"/>
          </w:tcPr>
          <w:p w14:paraId="5D25983C">
            <w:r>
              <w:rPr>
                <w:rStyle w:val="10"/>
                <w:rFonts w:hint="eastAsia"/>
              </w:rPr>
              <w:t>总有效成分含量：</w:t>
            </w:r>
            <w:r>
              <w:rPr>
                <w:rFonts w:hint="eastAsia"/>
              </w:rPr>
              <w:t>10%</w:t>
            </w:r>
          </w:p>
        </w:tc>
      </w:tr>
      <w:tr w14:paraId="56E347B8">
        <w:tblPrEx>
          <w:tblCellMar>
            <w:top w:w="0" w:type="dxa"/>
            <w:left w:w="0" w:type="dxa"/>
            <w:bottom w:w="0" w:type="dxa"/>
            <w:right w:w="0" w:type="dxa"/>
          </w:tblCellMar>
        </w:tblPrEx>
        <w:trPr>
          <w:wBefore w:w="0" w:type="auto"/>
          <w:tblCellSpacing w:w="0" w:type="dxa"/>
        </w:trPr>
        <w:tc>
          <w:tcPr>
            <w:tcW w:w="0" w:type="auto"/>
            <w:noWrap w:val="0"/>
            <w:vAlign w:val="center"/>
          </w:tcPr>
          <w:p w14:paraId="4EF67ADA">
            <w:r>
              <w:rPr>
                <w:rFonts w:hint="eastAsia"/>
              </w:rPr>
              <w:t xml:space="preserve">有效成分及其含量： </w:t>
            </w:r>
          </w:p>
          <w:p w14:paraId="0C603298">
            <w:r>
              <w:rPr>
                <w:rFonts w:hint="eastAsia"/>
              </w:rPr>
              <w:t xml:space="preserve">    右旋苯醚氰菊酯10%    </w:t>
            </w:r>
          </w:p>
        </w:tc>
      </w:tr>
      <w:tr w14:paraId="35F9CD37">
        <w:tblPrEx>
          <w:tblCellMar>
            <w:top w:w="0" w:type="dxa"/>
            <w:left w:w="0" w:type="dxa"/>
            <w:bottom w:w="0" w:type="dxa"/>
            <w:right w:w="0" w:type="dxa"/>
          </w:tblCellMar>
        </w:tblPrEx>
        <w:trPr>
          <w:wBefore w:w="0" w:type="auto"/>
          <w:tblCellSpacing w:w="0" w:type="dxa"/>
        </w:trPr>
        <w:tc>
          <w:tcPr>
            <w:tcW w:w="0" w:type="auto"/>
            <w:noWrap w:val="0"/>
            <w:vAlign w:val="center"/>
          </w:tcPr>
          <w:p w14:paraId="45CBE9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6977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C0D3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8F30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54C65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84AD38">
                  <w:r>
                    <w:rPr>
                      <w:rStyle w:val="11"/>
                      <w:rFonts w:hint="eastAsia"/>
                    </w:rPr>
                    <w:t>施用方式</w:t>
                  </w:r>
                </w:p>
              </w:tc>
            </w:tr>
            <w:tr w14:paraId="1970A4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FD16E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FFB37B">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0A0F6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3C7EC7">
                  <w:r>
                    <w:rPr>
                      <w:rStyle w:val="11"/>
                      <w:rFonts w:hint="eastAsia"/>
                    </w:rPr>
                    <w:t>喷雾</w:t>
                  </w:r>
                </w:p>
              </w:tc>
            </w:tr>
          </w:tbl>
          <w:p w14:paraId="274D63A5">
            <w:pPr>
              <w:rPr>
                <w:rFonts w:ascii="Times New Roman" w:hAnsi="Times New Roman" w:cs="Times New Roman"/>
                <w:sz w:val="20"/>
                <w:szCs w:val="20"/>
              </w:rPr>
            </w:pPr>
          </w:p>
        </w:tc>
      </w:tr>
      <w:tr w14:paraId="192020E7">
        <w:tblPrEx>
          <w:tblCellMar>
            <w:top w:w="0" w:type="dxa"/>
            <w:left w:w="0" w:type="dxa"/>
            <w:bottom w:w="0" w:type="dxa"/>
            <w:right w:w="0" w:type="dxa"/>
          </w:tblCellMar>
        </w:tblPrEx>
        <w:trPr>
          <w:wBefore w:w="0" w:type="auto"/>
          <w:tblCellSpacing w:w="0" w:type="dxa"/>
        </w:trPr>
        <w:tc>
          <w:tcPr>
            <w:tcW w:w="0" w:type="auto"/>
            <w:noWrap w:val="0"/>
            <w:vAlign w:val="center"/>
          </w:tcPr>
          <w:p w14:paraId="14750927">
            <w:r>
              <w:rPr>
                <w:rStyle w:val="10"/>
                <w:rFonts w:hint="eastAsia"/>
              </w:rPr>
              <w:t>使用技术要求:</w:t>
            </w:r>
            <w:r>
              <w:rPr>
                <w:rFonts w:hint="eastAsia"/>
              </w:rPr>
              <w:br w:type="textWrapping"/>
            </w:r>
            <w:r>
              <w:rPr>
                <w:rStyle w:val="11"/>
                <w:rFonts w:hint="eastAsia"/>
              </w:rPr>
              <w:t>1，手持罐体对准蟑螂喷射或喷射于蟑螂常出没和栖息的地方；当蟑螂经过时，接触到药剂起灭杀蟑螂效果。 2、本品定量喷雾，有效避免了过量施药。</w:t>
            </w:r>
          </w:p>
        </w:tc>
      </w:tr>
      <w:tr w14:paraId="2BF1DE5C">
        <w:tblPrEx>
          <w:tblCellMar>
            <w:top w:w="0" w:type="dxa"/>
            <w:left w:w="0" w:type="dxa"/>
            <w:bottom w:w="0" w:type="dxa"/>
            <w:right w:w="0" w:type="dxa"/>
          </w:tblCellMar>
        </w:tblPrEx>
        <w:trPr>
          <w:wBefore w:w="0" w:type="auto"/>
          <w:tblCellSpacing w:w="0" w:type="dxa"/>
        </w:trPr>
        <w:tc>
          <w:tcPr>
            <w:tcW w:w="0" w:type="auto"/>
            <w:noWrap w:val="0"/>
            <w:vAlign w:val="center"/>
          </w:tcPr>
          <w:p w14:paraId="5228A31C">
            <w:r>
              <w:rPr>
                <w:rStyle w:val="10"/>
                <w:rFonts w:hint="eastAsia"/>
              </w:rPr>
              <w:t>产品性能:</w:t>
            </w:r>
            <w:r>
              <w:rPr>
                <w:rFonts w:hint="eastAsia"/>
              </w:rPr>
              <w:br w:type="textWrapping"/>
            </w:r>
            <w:r>
              <w:rPr>
                <w:rStyle w:val="11"/>
                <w:rFonts w:hint="eastAsia"/>
              </w:rPr>
              <w:t xml:space="preserve">本品以右旋苯醚氰菊酯为有效成分，采用定量阀门每次喷雾药量恒定，适用于卧室、客厅、酒店、办公室、卫生间、浴室等蟑螂出没的地方。 </w:t>
            </w:r>
          </w:p>
        </w:tc>
      </w:tr>
      <w:tr w14:paraId="4CC15AC2">
        <w:tblPrEx>
          <w:tblCellMar>
            <w:top w:w="0" w:type="dxa"/>
            <w:left w:w="0" w:type="dxa"/>
            <w:bottom w:w="0" w:type="dxa"/>
            <w:right w:w="0" w:type="dxa"/>
          </w:tblCellMar>
        </w:tblPrEx>
        <w:trPr>
          <w:wBefore w:w="0" w:type="auto"/>
          <w:tblCellSpacing w:w="0" w:type="dxa"/>
        </w:trPr>
        <w:tc>
          <w:tcPr>
            <w:tcW w:w="0" w:type="auto"/>
            <w:noWrap w:val="0"/>
            <w:vAlign w:val="center"/>
          </w:tcPr>
          <w:p w14:paraId="384A7924">
            <w:r>
              <w:rPr>
                <w:rStyle w:val="10"/>
                <w:rFonts w:hint="eastAsia"/>
              </w:rPr>
              <w:t>注意事项：</w:t>
            </w:r>
            <w:r>
              <w:rPr>
                <w:rFonts w:hint="eastAsia"/>
              </w:rPr>
              <w:br w:type="textWrapping"/>
            </w:r>
            <w:r>
              <w:rPr>
                <w:rStyle w:val="11"/>
                <w:rFonts w:hint="eastAsia"/>
              </w:rPr>
              <w:t>1.本品仅限室内使用。请勿连续喷雾，喷雾间隔请保持5秒以上。2.勿向人体或食物喷雾。3.切勿对眼睛或植物喷雾；使用后应立即用肥皂清洗手。4.本品属于菊酯类杀虫剂，对鱼、蚕高毒，鱼缸附近禁用，蚕室内及其附近场所禁用。5.过敏者禁用，使用中有任何不良反应请及时就医。6.禁止孕妇、婴儿及哺乳期妇女接触。7.本品属压力包装，切勿毁坏及焚烧。禁止近火喷雾，切勿倒置使用，空罐勿投入火中。8.用过的容器应妥善处理，不可做他用，也不可随意丢弃。</w:t>
            </w:r>
          </w:p>
        </w:tc>
      </w:tr>
      <w:tr w14:paraId="04FB4EA1">
        <w:tblPrEx>
          <w:tblCellMar>
            <w:top w:w="0" w:type="dxa"/>
            <w:left w:w="0" w:type="dxa"/>
            <w:bottom w:w="0" w:type="dxa"/>
            <w:right w:w="0" w:type="dxa"/>
          </w:tblCellMar>
        </w:tblPrEx>
        <w:trPr>
          <w:wBefore w:w="0" w:type="auto"/>
          <w:tblCellSpacing w:w="0" w:type="dxa"/>
        </w:trPr>
        <w:tc>
          <w:tcPr>
            <w:tcW w:w="0" w:type="auto"/>
            <w:noWrap w:val="0"/>
            <w:vAlign w:val="center"/>
          </w:tcPr>
          <w:p w14:paraId="3D9FCE86">
            <w:r>
              <w:rPr>
                <w:rStyle w:val="10"/>
                <w:rFonts w:hint="eastAsia"/>
              </w:rPr>
              <w:t>中毒急救措施：</w:t>
            </w:r>
            <w:r>
              <w:rPr>
                <w:rFonts w:hint="eastAsia"/>
              </w:rPr>
              <w:br w:type="textWrapping"/>
            </w:r>
            <w:r>
              <w:rPr>
                <w:rStyle w:val="11"/>
                <w:rFonts w:hint="eastAsia"/>
              </w:rPr>
              <w:t xml:space="preserve">如眼睛或皮肤接触药液，请即用清水和肥皂冲洗；如误饮，请携包装就医。 </w:t>
            </w:r>
          </w:p>
        </w:tc>
      </w:tr>
      <w:tr w14:paraId="101FD1DB">
        <w:tblPrEx>
          <w:tblCellMar>
            <w:top w:w="0" w:type="dxa"/>
            <w:left w:w="0" w:type="dxa"/>
            <w:bottom w:w="0" w:type="dxa"/>
            <w:right w:w="0" w:type="dxa"/>
          </w:tblCellMar>
        </w:tblPrEx>
        <w:trPr>
          <w:wBefore w:w="0" w:type="auto"/>
          <w:tblCellSpacing w:w="0" w:type="dxa"/>
        </w:trPr>
        <w:tc>
          <w:tcPr>
            <w:tcW w:w="0" w:type="auto"/>
            <w:noWrap w:val="0"/>
            <w:vAlign w:val="center"/>
          </w:tcPr>
          <w:p w14:paraId="27BD2D1F">
            <w:r>
              <w:rPr>
                <w:rStyle w:val="10"/>
                <w:rFonts w:hint="eastAsia"/>
              </w:rPr>
              <w:t>储存和运输方法：</w:t>
            </w:r>
            <w:r>
              <w:rPr>
                <w:rFonts w:hint="eastAsia"/>
              </w:rPr>
              <w:br w:type="textWrapping"/>
            </w:r>
            <w:r>
              <w:rPr>
                <w:rStyle w:val="11"/>
                <w:rFonts w:hint="eastAsia"/>
              </w:rPr>
              <w:t xml:space="preserve">本品应贮存在干燥、阴凉、通风处，远离火源或热源，切勿置于温度超过50℃的地方； 勿与食品、饮料、粮食、饲料等商品同贮同运； 置于儿童接触不到的地方并加锁保存。 </w:t>
            </w:r>
          </w:p>
        </w:tc>
      </w:tr>
      <w:tr w14:paraId="08913235">
        <w:tblPrEx>
          <w:tblCellMar>
            <w:top w:w="0" w:type="dxa"/>
            <w:left w:w="0" w:type="dxa"/>
            <w:bottom w:w="0" w:type="dxa"/>
            <w:right w:w="0" w:type="dxa"/>
          </w:tblCellMar>
        </w:tblPrEx>
        <w:trPr>
          <w:wBefore w:w="0" w:type="auto"/>
          <w:tblCellSpacing w:w="0" w:type="dxa"/>
        </w:trPr>
        <w:tc>
          <w:tcPr>
            <w:tcW w:w="0" w:type="auto"/>
            <w:noWrap w:val="0"/>
            <w:vAlign w:val="center"/>
          </w:tcPr>
          <w:p w14:paraId="4CB24048">
            <w:r>
              <w:rPr>
                <w:rStyle w:val="10"/>
                <w:rFonts w:hint="eastAsia"/>
              </w:rPr>
              <w:t>质量保证期：</w:t>
            </w:r>
            <w:r>
              <w:rPr>
                <w:rStyle w:val="11"/>
                <w:rFonts w:hint="eastAsia"/>
              </w:rPr>
              <w:t>2年</w:t>
            </w:r>
          </w:p>
        </w:tc>
      </w:tr>
      <w:tr w14:paraId="5F372781">
        <w:tblPrEx>
          <w:tblCellMar>
            <w:top w:w="0" w:type="dxa"/>
            <w:left w:w="0" w:type="dxa"/>
            <w:bottom w:w="0" w:type="dxa"/>
            <w:right w:w="0" w:type="dxa"/>
          </w:tblCellMar>
        </w:tblPrEx>
        <w:trPr>
          <w:wBefore w:w="0" w:type="auto"/>
          <w:tblCellSpacing w:w="0" w:type="dxa"/>
        </w:trPr>
        <w:tc>
          <w:tcPr>
            <w:tcW w:w="0" w:type="auto"/>
            <w:noWrap w:val="0"/>
            <w:vAlign w:val="center"/>
          </w:tcPr>
          <w:p w14:paraId="0906D920">
            <w:r>
              <w:rPr>
                <w:rStyle w:val="10"/>
                <w:rFonts w:hint="eastAsia"/>
              </w:rPr>
              <w:t>备注：</w:t>
            </w:r>
          </w:p>
        </w:tc>
      </w:tr>
    </w:tbl>
    <w:p w14:paraId="09AAEB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6D3C9D">
        <w:tblPrEx>
          <w:tblCellMar>
            <w:top w:w="0" w:type="dxa"/>
            <w:left w:w="0" w:type="dxa"/>
            <w:bottom w:w="0" w:type="dxa"/>
            <w:right w:w="0" w:type="dxa"/>
          </w:tblCellMar>
        </w:tblPrEx>
        <w:trPr>
          <w:wBefore w:w="0" w:type="auto"/>
          <w:tblCellSpacing w:w="0" w:type="dxa"/>
        </w:trPr>
        <w:tc>
          <w:tcPr>
            <w:tcW w:w="0" w:type="auto"/>
            <w:noWrap w:val="0"/>
            <w:vAlign w:val="center"/>
          </w:tcPr>
          <w:p w14:paraId="6083D1A7">
            <w:r>
              <w:rPr>
                <w:rStyle w:val="10"/>
                <w:rFonts w:hint="eastAsia"/>
              </w:rPr>
              <w:t>登记证号：</w:t>
            </w:r>
            <w:r>
              <w:rPr>
                <w:rFonts w:hint="eastAsia"/>
              </w:rPr>
              <w:t>PD20212739</w:t>
            </w:r>
          </w:p>
        </w:tc>
      </w:tr>
      <w:tr w14:paraId="67F4C1FC">
        <w:tblPrEx>
          <w:tblCellMar>
            <w:top w:w="0" w:type="dxa"/>
            <w:left w:w="0" w:type="dxa"/>
            <w:bottom w:w="0" w:type="dxa"/>
            <w:right w:w="0" w:type="dxa"/>
          </w:tblCellMar>
        </w:tblPrEx>
        <w:trPr>
          <w:wBefore w:w="0" w:type="auto"/>
          <w:tblCellSpacing w:w="0" w:type="dxa"/>
        </w:trPr>
        <w:tc>
          <w:tcPr>
            <w:tcW w:w="0" w:type="auto"/>
            <w:noWrap w:val="0"/>
            <w:vAlign w:val="center"/>
          </w:tcPr>
          <w:p w14:paraId="64F585EA">
            <w:r>
              <w:rPr>
                <w:rStyle w:val="10"/>
                <w:rFonts w:hint="eastAsia"/>
              </w:rPr>
              <w:t>登记证持有人：</w:t>
            </w:r>
            <w:r>
              <w:rPr>
                <w:rFonts w:hint="eastAsia"/>
              </w:rPr>
              <w:t>河南省安阳市安林生物化工有限责任公司</w:t>
            </w:r>
          </w:p>
        </w:tc>
      </w:tr>
      <w:tr w14:paraId="22F9B143">
        <w:tblPrEx>
          <w:tblCellMar>
            <w:top w:w="0" w:type="dxa"/>
            <w:left w:w="0" w:type="dxa"/>
            <w:bottom w:w="0" w:type="dxa"/>
            <w:right w:w="0" w:type="dxa"/>
          </w:tblCellMar>
        </w:tblPrEx>
        <w:trPr>
          <w:wBefore w:w="0" w:type="auto"/>
          <w:tblCellSpacing w:w="0" w:type="dxa"/>
        </w:trPr>
        <w:tc>
          <w:tcPr>
            <w:tcW w:w="0" w:type="auto"/>
            <w:noWrap w:val="0"/>
            <w:vAlign w:val="center"/>
          </w:tcPr>
          <w:p w14:paraId="4F038771">
            <w:r>
              <w:rPr>
                <w:rStyle w:val="10"/>
                <w:rFonts w:hint="eastAsia"/>
              </w:rPr>
              <w:t>农药名称：</w:t>
            </w:r>
            <w:r>
              <w:rPr>
                <w:rFonts w:hint="eastAsia"/>
              </w:rPr>
              <w:t>14-羟芸·烯效唑</w:t>
            </w:r>
          </w:p>
        </w:tc>
      </w:tr>
      <w:tr w14:paraId="46836C74">
        <w:tblPrEx>
          <w:tblCellMar>
            <w:top w:w="0" w:type="dxa"/>
            <w:left w:w="0" w:type="dxa"/>
            <w:bottom w:w="0" w:type="dxa"/>
            <w:right w:w="0" w:type="dxa"/>
          </w:tblCellMar>
        </w:tblPrEx>
        <w:trPr>
          <w:wBefore w:w="0" w:type="auto"/>
          <w:tblCellSpacing w:w="0" w:type="dxa"/>
        </w:trPr>
        <w:tc>
          <w:tcPr>
            <w:tcW w:w="0" w:type="auto"/>
            <w:noWrap w:val="0"/>
            <w:vAlign w:val="center"/>
          </w:tcPr>
          <w:p w14:paraId="6653821F">
            <w:r>
              <w:rPr>
                <w:rStyle w:val="10"/>
                <w:rFonts w:hint="eastAsia"/>
              </w:rPr>
              <w:t>剂型：</w:t>
            </w:r>
            <w:r>
              <w:rPr>
                <w:rFonts w:hint="eastAsia"/>
              </w:rPr>
              <w:t>悬浮剂</w:t>
            </w:r>
          </w:p>
        </w:tc>
      </w:tr>
      <w:tr w14:paraId="452B76E2">
        <w:tblPrEx>
          <w:tblCellMar>
            <w:top w:w="0" w:type="dxa"/>
            <w:left w:w="0" w:type="dxa"/>
            <w:bottom w:w="0" w:type="dxa"/>
            <w:right w:w="0" w:type="dxa"/>
          </w:tblCellMar>
        </w:tblPrEx>
        <w:trPr>
          <w:wBefore w:w="0" w:type="auto"/>
          <w:tblCellSpacing w:w="0" w:type="dxa"/>
        </w:trPr>
        <w:tc>
          <w:tcPr>
            <w:tcW w:w="0" w:type="auto"/>
            <w:noWrap w:val="0"/>
            <w:vAlign w:val="center"/>
          </w:tcPr>
          <w:p w14:paraId="38DB7736">
            <w:r>
              <w:rPr>
                <w:rStyle w:val="10"/>
                <w:rFonts w:hint="eastAsia"/>
              </w:rPr>
              <w:t>毒性及其标识：</w:t>
            </w:r>
            <w:r>
              <w:rPr>
                <w:rFonts w:hint="eastAsia"/>
              </w:rPr>
              <w:t xml:space="preserve"> 微毒 </w:t>
            </w:r>
          </w:p>
        </w:tc>
      </w:tr>
      <w:tr w14:paraId="227CF16D">
        <w:tblPrEx>
          <w:tblCellMar>
            <w:top w:w="0" w:type="dxa"/>
            <w:left w:w="0" w:type="dxa"/>
            <w:bottom w:w="0" w:type="dxa"/>
            <w:right w:w="0" w:type="dxa"/>
          </w:tblCellMar>
        </w:tblPrEx>
        <w:trPr>
          <w:wBefore w:w="0" w:type="auto"/>
          <w:tblCellSpacing w:w="0" w:type="dxa"/>
        </w:trPr>
        <w:tc>
          <w:tcPr>
            <w:tcW w:w="0" w:type="auto"/>
            <w:noWrap w:val="0"/>
            <w:vAlign w:val="center"/>
          </w:tcPr>
          <w:p w14:paraId="4473A48B">
            <w:r>
              <w:rPr>
                <w:rStyle w:val="10"/>
                <w:rFonts w:hint="eastAsia"/>
              </w:rPr>
              <w:t>总有效成分含量：</w:t>
            </w:r>
            <w:r>
              <w:rPr>
                <w:rFonts w:hint="eastAsia"/>
              </w:rPr>
              <w:t>5%</w:t>
            </w:r>
          </w:p>
        </w:tc>
      </w:tr>
      <w:tr w14:paraId="4CC16E40">
        <w:tblPrEx>
          <w:tblCellMar>
            <w:top w:w="0" w:type="dxa"/>
            <w:left w:w="0" w:type="dxa"/>
            <w:bottom w:w="0" w:type="dxa"/>
            <w:right w:w="0" w:type="dxa"/>
          </w:tblCellMar>
        </w:tblPrEx>
        <w:trPr>
          <w:wBefore w:w="0" w:type="auto"/>
          <w:tblCellSpacing w:w="0" w:type="dxa"/>
        </w:trPr>
        <w:tc>
          <w:tcPr>
            <w:tcW w:w="0" w:type="auto"/>
            <w:noWrap w:val="0"/>
            <w:vAlign w:val="center"/>
          </w:tcPr>
          <w:p w14:paraId="1D5646B4">
            <w:r>
              <w:rPr>
                <w:rFonts w:hint="eastAsia"/>
              </w:rPr>
              <w:t xml:space="preserve">有效成分及其含量： </w:t>
            </w:r>
          </w:p>
          <w:p w14:paraId="596408F8">
            <w:r>
              <w:rPr>
                <w:rFonts w:hint="eastAsia"/>
              </w:rPr>
              <w:t xml:space="preserve">    烯效唑4.997%    14-羟基芸苔素甾醇0.003%    </w:t>
            </w:r>
          </w:p>
        </w:tc>
      </w:tr>
      <w:tr w14:paraId="6E631E75">
        <w:tblPrEx>
          <w:tblCellMar>
            <w:top w:w="0" w:type="dxa"/>
            <w:left w:w="0" w:type="dxa"/>
            <w:bottom w:w="0" w:type="dxa"/>
            <w:right w:w="0" w:type="dxa"/>
          </w:tblCellMar>
        </w:tblPrEx>
        <w:trPr>
          <w:wBefore w:w="0" w:type="auto"/>
          <w:tblCellSpacing w:w="0" w:type="dxa"/>
        </w:trPr>
        <w:tc>
          <w:tcPr>
            <w:tcW w:w="0" w:type="auto"/>
            <w:noWrap w:val="0"/>
            <w:vAlign w:val="center"/>
          </w:tcPr>
          <w:p w14:paraId="606000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4ED30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6226E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E8DBC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C97F3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154E26">
                  <w:r>
                    <w:rPr>
                      <w:rStyle w:val="11"/>
                      <w:rFonts w:hint="eastAsia"/>
                    </w:rPr>
                    <w:t>施用方式</w:t>
                  </w:r>
                </w:p>
              </w:tc>
            </w:tr>
            <w:tr w14:paraId="326859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CBF33C">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3662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D7D2C6">
                  <w:r>
                    <w:rPr>
                      <w:rStyle w:val="11"/>
                      <w:rFonts w:hint="eastAsia"/>
                    </w:rPr>
                    <w:t>初花期3000-5000倍液；打顶后800-1000倍液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148CCA">
                  <w:r>
                    <w:rPr>
                      <w:rStyle w:val="11"/>
                      <w:rFonts w:hint="eastAsia"/>
                    </w:rPr>
                    <w:t>喷雾</w:t>
                  </w:r>
                </w:p>
              </w:tc>
            </w:tr>
          </w:tbl>
          <w:p w14:paraId="5A1E3F13">
            <w:pPr>
              <w:rPr>
                <w:rFonts w:ascii="Times New Roman" w:hAnsi="Times New Roman" w:cs="Times New Roman"/>
                <w:sz w:val="20"/>
                <w:szCs w:val="20"/>
              </w:rPr>
            </w:pPr>
          </w:p>
        </w:tc>
      </w:tr>
      <w:tr w14:paraId="52F88A56">
        <w:tblPrEx>
          <w:tblCellMar>
            <w:top w:w="0" w:type="dxa"/>
            <w:left w:w="0" w:type="dxa"/>
            <w:bottom w:w="0" w:type="dxa"/>
            <w:right w:w="0" w:type="dxa"/>
          </w:tblCellMar>
        </w:tblPrEx>
        <w:trPr>
          <w:wBefore w:w="0" w:type="auto"/>
          <w:tblCellSpacing w:w="0" w:type="dxa"/>
        </w:trPr>
        <w:tc>
          <w:tcPr>
            <w:tcW w:w="0" w:type="auto"/>
            <w:noWrap w:val="0"/>
            <w:vAlign w:val="center"/>
          </w:tcPr>
          <w:p w14:paraId="136850E5">
            <w:r>
              <w:rPr>
                <w:rStyle w:val="10"/>
                <w:rFonts w:hint="eastAsia"/>
              </w:rPr>
              <w:t>使用技术要求:</w:t>
            </w:r>
            <w:r>
              <w:rPr>
                <w:rFonts w:hint="eastAsia"/>
              </w:rPr>
              <w:br w:type="textWrapping"/>
            </w:r>
            <w:r>
              <w:rPr>
                <w:rStyle w:val="11"/>
                <w:rFonts w:hint="eastAsia"/>
              </w:rPr>
              <w:t>1、棉花初花期、打顶后各施药一次，严格按推荐剂量施药，施药时应周到、均匀，勿重喷或漏喷。 2、大风天或下雨前后，请勿施药。 3、本品每季在棉花上最多使用2次，安全间隔期为棉花采收期。 4、勿超量使用或增加使用次数，以避免产生药害。</w:t>
            </w:r>
          </w:p>
        </w:tc>
      </w:tr>
      <w:tr w14:paraId="3C115436">
        <w:tblPrEx>
          <w:tblCellMar>
            <w:top w:w="0" w:type="dxa"/>
            <w:left w:w="0" w:type="dxa"/>
            <w:bottom w:w="0" w:type="dxa"/>
            <w:right w:w="0" w:type="dxa"/>
          </w:tblCellMar>
        </w:tblPrEx>
        <w:trPr>
          <w:wBefore w:w="0" w:type="auto"/>
          <w:tblCellSpacing w:w="0" w:type="dxa"/>
        </w:trPr>
        <w:tc>
          <w:tcPr>
            <w:tcW w:w="0" w:type="auto"/>
            <w:noWrap w:val="0"/>
            <w:vAlign w:val="center"/>
          </w:tcPr>
          <w:p w14:paraId="289BA983">
            <w:r>
              <w:rPr>
                <w:rStyle w:val="10"/>
                <w:rFonts w:hint="eastAsia"/>
              </w:rPr>
              <w:t>产品性能:</w:t>
            </w:r>
            <w:r>
              <w:rPr>
                <w:rFonts w:hint="eastAsia"/>
              </w:rPr>
              <w:br w:type="textWrapping"/>
            </w:r>
            <w:r>
              <w:rPr>
                <w:rStyle w:val="11"/>
                <w:rFonts w:hint="eastAsia"/>
              </w:rPr>
              <w:t xml:space="preserve">本品为14-羟基芸苔素甾醇和烯效唑复配的植物生长调节剂。可以促进根系发育，提高根系吸收能力；控制棉花的营养生长，抑制株高，缩短节间，植株紧凑，叶面加厚；改变光合产物分配方向，促进花芽分化和果实的生长，促进多结蕾铃，并减少棉花蕾铃脱落。 </w:t>
            </w:r>
          </w:p>
        </w:tc>
      </w:tr>
      <w:tr w14:paraId="31608728">
        <w:tblPrEx>
          <w:tblCellMar>
            <w:top w:w="0" w:type="dxa"/>
            <w:left w:w="0" w:type="dxa"/>
            <w:bottom w:w="0" w:type="dxa"/>
            <w:right w:w="0" w:type="dxa"/>
          </w:tblCellMar>
        </w:tblPrEx>
        <w:trPr>
          <w:wBefore w:w="0" w:type="auto"/>
          <w:tblCellSpacing w:w="0" w:type="dxa"/>
        </w:trPr>
        <w:tc>
          <w:tcPr>
            <w:tcW w:w="0" w:type="auto"/>
            <w:noWrap w:val="0"/>
            <w:vAlign w:val="center"/>
          </w:tcPr>
          <w:p w14:paraId="098175A8">
            <w:r>
              <w:rPr>
                <w:rStyle w:val="10"/>
                <w:rFonts w:hint="eastAsia"/>
              </w:rPr>
              <w:t>注意事项：</w:t>
            </w:r>
            <w:r>
              <w:rPr>
                <w:rFonts w:hint="eastAsia"/>
              </w:rPr>
              <w:br w:type="textWrapping"/>
            </w:r>
            <w:r>
              <w:rPr>
                <w:rStyle w:val="11"/>
                <w:rFonts w:hint="eastAsia"/>
              </w:rPr>
              <w:t>1.本品不可和碱性物质（如波尔多液、石硫合剂等）等混用。 2.本品对鱼类、溞类及绿藻毒性较高，施药时禁止在河塘等水体附近使用，对鸟类、家蚕有毒，鸟类保护区附近禁用、蚕室及桑园附近禁用。禁止在河塘等水体中清洗施药器具，清洗施药器具的水也不能排入河塘等水体。 3.使用本品应采取相应的安全防护措施，穿防护服，戴防护手套、口罩等，避免皮肤接触及口鼻吸入。使用中不可吸烟、饮水及吃东西，使用后及时清洗手、脸等暴露部位皮肤并更换衣物。 4.应避免药剂污染水源。残液严禁倒入河中，禁止在江河、湖泊中清洗施药器械。 5.用过的容器应妥善处理，不可作他用，也不可随意丢弃。 6.禁止孕妇及哺乳期妇女接触。</w:t>
            </w:r>
          </w:p>
        </w:tc>
      </w:tr>
      <w:tr w14:paraId="0CF50C7D">
        <w:tblPrEx>
          <w:tblCellMar>
            <w:top w:w="0" w:type="dxa"/>
            <w:left w:w="0" w:type="dxa"/>
            <w:bottom w:w="0" w:type="dxa"/>
            <w:right w:w="0" w:type="dxa"/>
          </w:tblCellMar>
        </w:tblPrEx>
        <w:trPr>
          <w:wBefore w:w="0" w:type="auto"/>
          <w:tblCellSpacing w:w="0" w:type="dxa"/>
        </w:trPr>
        <w:tc>
          <w:tcPr>
            <w:tcW w:w="0" w:type="auto"/>
            <w:noWrap w:val="0"/>
            <w:vAlign w:val="center"/>
          </w:tcPr>
          <w:p w14:paraId="56A195D1">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皮肤接触：脱去污染的衣物，用软布去除污染农药，立即用大量清水和肥皂冲洗。眼睛溅入：立即用流动清水冲洗不少于15分钟。吸入：立即离开施药现场，转移至空气清新处。误食：立即停止服用，用清水充分漱口后，立即携带农药标签到医院就诊，本品无特效解毒剂，对症治疗。 </w:t>
            </w:r>
          </w:p>
        </w:tc>
      </w:tr>
      <w:tr w14:paraId="4504306E">
        <w:tblPrEx>
          <w:tblCellMar>
            <w:top w:w="0" w:type="dxa"/>
            <w:left w:w="0" w:type="dxa"/>
            <w:bottom w:w="0" w:type="dxa"/>
            <w:right w:w="0" w:type="dxa"/>
          </w:tblCellMar>
        </w:tblPrEx>
        <w:trPr>
          <w:wBefore w:w="0" w:type="auto"/>
          <w:tblCellSpacing w:w="0" w:type="dxa"/>
        </w:trPr>
        <w:tc>
          <w:tcPr>
            <w:tcW w:w="0" w:type="auto"/>
            <w:noWrap w:val="0"/>
            <w:vAlign w:val="center"/>
          </w:tcPr>
          <w:p w14:paraId="21C82AAB">
            <w:r>
              <w:rPr>
                <w:rStyle w:val="10"/>
                <w:rFonts w:hint="eastAsia"/>
              </w:rPr>
              <w:t>储存和运输方法：</w:t>
            </w:r>
            <w:r>
              <w:rPr>
                <w:rFonts w:hint="eastAsia"/>
              </w:rPr>
              <w:br w:type="textWrapping"/>
            </w:r>
            <w:r>
              <w:rPr>
                <w:rStyle w:val="11"/>
                <w:rFonts w:hint="eastAsia"/>
              </w:rPr>
              <w:t xml:space="preserve">本品应贮存在通风、干燥的库房中。贮运时，严防潮湿和日晒，远离火源或热源。置于儿童、无关人员及动物接触不到的地方，并加锁保存。不得与食物、饮料、种子、饲料等同贮同运。 </w:t>
            </w:r>
          </w:p>
        </w:tc>
      </w:tr>
      <w:tr w14:paraId="1CEC2B8C">
        <w:tblPrEx>
          <w:tblCellMar>
            <w:top w:w="0" w:type="dxa"/>
            <w:left w:w="0" w:type="dxa"/>
            <w:bottom w:w="0" w:type="dxa"/>
            <w:right w:w="0" w:type="dxa"/>
          </w:tblCellMar>
        </w:tblPrEx>
        <w:trPr>
          <w:wBefore w:w="0" w:type="auto"/>
          <w:tblCellSpacing w:w="0" w:type="dxa"/>
        </w:trPr>
        <w:tc>
          <w:tcPr>
            <w:tcW w:w="0" w:type="auto"/>
            <w:noWrap w:val="0"/>
            <w:vAlign w:val="center"/>
          </w:tcPr>
          <w:p w14:paraId="2F3FE3CF">
            <w:r>
              <w:rPr>
                <w:rStyle w:val="10"/>
                <w:rFonts w:hint="eastAsia"/>
              </w:rPr>
              <w:t>质量保证期：</w:t>
            </w:r>
            <w:r>
              <w:rPr>
                <w:rStyle w:val="11"/>
                <w:rFonts w:hint="eastAsia"/>
              </w:rPr>
              <w:t>2年</w:t>
            </w:r>
          </w:p>
        </w:tc>
      </w:tr>
      <w:tr w14:paraId="0B0BC9E5">
        <w:tblPrEx>
          <w:tblCellMar>
            <w:top w:w="0" w:type="dxa"/>
            <w:left w:w="0" w:type="dxa"/>
            <w:bottom w:w="0" w:type="dxa"/>
            <w:right w:w="0" w:type="dxa"/>
          </w:tblCellMar>
        </w:tblPrEx>
        <w:trPr>
          <w:wBefore w:w="0" w:type="auto"/>
          <w:tblCellSpacing w:w="0" w:type="dxa"/>
        </w:trPr>
        <w:tc>
          <w:tcPr>
            <w:tcW w:w="0" w:type="auto"/>
            <w:noWrap w:val="0"/>
            <w:vAlign w:val="center"/>
          </w:tcPr>
          <w:p w14:paraId="62273DCF">
            <w:r>
              <w:rPr>
                <w:rStyle w:val="10"/>
                <w:rFonts w:hint="eastAsia"/>
              </w:rPr>
              <w:t>备注：</w:t>
            </w:r>
          </w:p>
        </w:tc>
      </w:tr>
    </w:tbl>
    <w:p w14:paraId="2C1EC82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523AC4">
        <w:tblPrEx>
          <w:tblCellMar>
            <w:top w:w="0" w:type="dxa"/>
            <w:left w:w="0" w:type="dxa"/>
            <w:bottom w:w="0" w:type="dxa"/>
            <w:right w:w="0" w:type="dxa"/>
          </w:tblCellMar>
        </w:tblPrEx>
        <w:trPr>
          <w:wBefore w:w="0" w:type="auto"/>
          <w:tblCellSpacing w:w="0" w:type="dxa"/>
        </w:trPr>
        <w:tc>
          <w:tcPr>
            <w:tcW w:w="0" w:type="auto"/>
            <w:noWrap w:val="0"/>
            <w:vAlign w:val="center"/>
          </w:tcPr>
          <w:p w14:paraId="12CFD0E3">
            <w:r>
              <w:rPr>
                <w:rStyle w:val="10"/>
                <w:rFonts w:hint="eastAsia"/>
              </w:rPr>
              <w:t>登记证号：</w:t>
            </w:r>
            <w:r>
              <w:rPr>
                <w:rFonts w:hint="eastAsia"/>
              </w:rPr>
              <w:t>PD20212390</w:t>
            </w:r>
          </w:p>
        </w:tc>
      </w:tr>
      <w:tr w14:paraId="359DF7EC">
        <w:tblPrEx>
          <w:tblCellMar>
            <w:top w:w="0" w:type="dxa"/>
            <w:left w:w="0" w:type="dxa"/>
            <w:bottom w:w="0" w:type="dxa"/>
            <w:right w:w="0" w:type="dxa"/>
          </w:tblCellMar>
        </w:tblPrEx>
        <w:trPr>
          <w:wBefore w:w="0" w:type="auto"/>
          <w:tblCellSpacing w:w="0" w:type="dxa"/>
        </w:trPr>
        <w:tc>
          <w:tcPr>
            <w:tcW w:w="0" w:type="auto"/>
            <w:noWrap w:val="0"/>
            <w:vAlign w:val="center"/>
          </w:tcPr>
          <w:p w14:paraId="7929FD52">
            <w:r>
              <w:rPr>
                <w:rStyle w:val="10"/>
                <w:rFonts w:hint="eastAsia"/>
              </w:rPr>
              <w:t>登记证持有人：</w:t>
            </w:r>
            <w:r>
              <w:rPr>
                <w:rFonts w:hint="eastAsia"/>
              </w:rPr>
              <w:t>广东省佛山市大兴生物化工有限公司</w:t>
            </w:r>
          </w:p>
        </w:tc>
      </w:tr>
      <w:tr w14:paraId="6AC632C8">
        <w:tblPrEx>
          <w:tblCellMar>
            <w:top w:w="0" w:type="dxa"/>
            <w:left w:w="0" w:type="dxa"/>
            <w:bottom w:w="0" w:type="dxa"/>
            <w:right w:w="0" w:type="dxa"/>
          </w:tblCellMar>
        </w:tblPrEx>
        <w:trPr>
          <w:wBefore w:w="0" w:type="auto"/>
          <w:tblCellSpacing w:w="0" w:type="dxa"/>
        </w:trPr>
        <w:tc>
          <w:tcPr>
            <w:tcW w:w="0" w:type="auto"/>
            <w:noWrap w:val="0"/>
            <w:vAlign w:val="center"/>
          </w:tcPr>
          <w:p w14:paraId="1B7B7449">
            <w:r>
              <w:rPr>
                <w:rStyle w:val="10"/>
                <w:rFonts w:hint="eastAsia"/>
              </w:rPr>
              <w:t>农药名称：</w:t>
            </w:r>
            <w:r>
              <w:rPr>
                <w:rFonts w:hint="eastAsia"/>
              </w:rPr>
              <w:t>虫螨腈·氟啶虫酰胺</w:t>
            </w:r>
          </w:p>
        </w:tc>
      </w:tr>
      <w:tr w14:paraId="7517F883">
        <w:tblPrEx>
          <w:tblCellMar>
            <w:top w:w="0" w:type="dxa"/>
            <w:left w:w="0" w:type="dxa"/>
            <w:bottom w:w="0" w:type="dxa"/>
            <w:right w:w="0" w:type="dxa"/>
          </w:tblCellMar>
        </w:tblPrEx>
        <w:trPr>
          <w:wBefore w:w="0" w:type="auto"/>
          <w:tblCellSpacing w:w="0" w:type="dxa"/>
        </w:trPr>
        <w:tc>
          <w:tcPr>
            <w:tcW w:w="0" w:type="auto"/>
            <w:noWrap w:val="0"/>
            <w:vAlign w:val="center"/>
          </w:tcPr>
          <w:p w14:paraId="5DD16CDC">
            <w:r>
              <w:rPr>
                <w:rStyle w:val="10"/>
                <w:rFonts w:hint="eastAsia"/>
              </w:rPr>
              <w:t>剂型：</w:t>
            </w:r>
            <w:r>
              <w:rPr>
                <w:rFonts w:hint="eastAsia"/>
              </w:rPr>
              <w:t>悬浮剂</w:t>
            </w:r>
          </w:p>
        </w:tc>
      </w:tr>
      <w:tr w14:paraId="2EC56E60">
        <w:tblPrEx>
          <w:tblCellMar>
            <w:top w:w="0" w:type="dxa"/>
            <w:left w:w="0" w:type="dxa"/>
            <w:bottom w:w="0" w:type="dxa"/>
            <w:right w:w="0" w:type="dxa"/>
          </w:tblCellMar>
        </w:tblPrEx>
        <w:trPr>
          <w:wBefore w:w="0" w:type="auto"/>
          <w:tblCellSpacing w:w="0" w:type="dxa"/>
        </w:trPr>
        <w:tc>
          <w:tcPr>
            <w:tcW w:w="0" w:type="auto"/>
            <w:noWrap w:val="0"/>
            <w:vAlign w:val="center"/>
          </w:tcPr>
          <w:p w14:paraId="5EB33539">
            <w:r>
              <w:rPr>
                <w:rStyle w:val="10"/>
                <w:rFonts w:hint="eastAsia"/>
              </w:rPr>
              <w:t>毒性及其标识：</w:t>
            </w:r>
            <w:r>
              <w:rPr>
                <w:rFonts w:hint="eastAsia"/>
              </w:rPr>
              <w:t xml:space="preserve"> </w:t>
            </w:r>
            <w:r>
              <w:rPr>
                <w:lang/>
              </w:rPr>
              <w:drawing>
                <wp:inline distT="0" distB="0" distL="114300" distR="114300">
                  <wp:extent cx="476250" cy="323850"/>
                  <wp:effectExtent l="0" t="0" r="0" b="0"/>
                  <wp:docPr id="345" name="图片 3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8FCC5EC">
        <w:tblPrEx>
          <w:tblCellMar>
            <w:top w:w="0" w:type="dxa"/>
            <w:left w:w="0" w:type="dxa"/>
            <w:bottom w:w="0" w:type="dxa"/>
            <w:right w:w="0" w:type="dxa"/>
          </w:tblCellMar>
        </w:tblPrEx>
        <w:trPr>
          <w:wBefore w:w="0" w:type="auto"/>
          <w:tblCellSpacing w:w="0" w:type="dxa"/>
        </w:trPr>
        <w:tc>
          <w:tcPr>
            <w:tcW w:w="0" w:type="auto"/>
            <w:noWrap w:val="0"/>
            <w:vAlign w:val="center"/>
          </w:tcPr>
          <w:p w14:paraId="0406EA51">
            <w:r>
              <w:rPr>
                <w:rStyle w:val="10"/>
                <w:rFonts w:hint="eastAsia"/>
              </w:rPr>
              <w:t>总有效成分含量：</w:t>
            </w:r>
            <w:r>
              <w:rPr>
                <w:rFonts w:hint="eastAsia"/>
              </w:rPr>
              <w:t>15%</w:t>
            </w:r>
          </w:p>
        </w:tc>
      </w:tr>
      <w:tr w14:paraId="036AEB87">
        <w:tblPrEx>
          <w:tblCellMar>
            <w:top w:w="0" w:type="dxa"/>
            <w:left w:w="0" w:type="dxa"/>
            <w:bottom w:w="0" w:type="dxa"/>
            <w:right w:w="0" w:type="dxa"/>
          </w:tblCellMar>
        </w:tblPrEx>
        <w:trPr>
          <w:wBefore w:w="0" w:type="auto"/>
          <w:tblCellSpacing w:w="0" w:type="dxa"/>
        </w:trPr>
        <w:tc>
          <w:tcPr>
            <w:tcW w:w="0" w:type="auto"/>
            <w:noWrap w:val="0"/>
            <w:vAlign w:val="center"/>
          </w:tcPr>
          <w:p w14:paraId="44F7624B">
            <w:r>
              <w:rPr>
                <w:rFonts w:hint="eastAsia"/>
              </w:rPr>
              <w:t xml:space="preserve">有效成分及其含量： </w:t>
            </w:r>
          </w:p>
          <w:p w14:paraId="3AE56499">
            <w:r>
              <w:rPr>
                <w:rFonts w:hint="eastAsia"/>
              </w:rPr>
              <w:t xml:space="preserve">    虫螨腈8%    氟啶虫酰胺7%    </w:t>
            </w:r>
          </w:p>
        </w:tc>
      </w:tr>
      <w:tr w14:paraId="0718E577">
        <w:tblPrEx>
          <w:tblCellMar>
            <w:top w:w="0" w:type="dxa"/>
            <w:left w:w="0" w:type="dxa"/>
            <w:bottom w:w="0" w:type="dxa"/>
            <w:right w:w="0" w:type="dxa"/>
          </w:tblCellMar>
        </w:tblPrEx>
        <w:trPr>
          <w:wBefore w:w="0" w:type="auto"/>
          <w:tblCellSpacing w:w="0" w:type="dxa"/>
        </w:trPr>
        <w:tc>
          <w:tcPr>
            <w:tcW w:w="0" w:type="auto"/>
            <w:noWrap w:val="0"/>
            <w:vAlign w:val="center"/>
          </w:tcPr>
          <w:p w14:paraId="0E45F11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1F42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D8E86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D220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D5280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4C59AB">
                  <w:r>
                    <w:rPr>
                      <w:rStyle w:val="11"/>
                      <w:rFonts w:hint="eastAsia"/>
                    </w:rPr>
                    <w:t>施用方式</w:t>
                  </w:r>
                </w:p>
              </w:tc>
            </w:tr>
            <w:tr w14:paraId="0E7640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0CBE34">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635C99">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F850A8">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FB1139">
                  <w:r>
                    <w:rPr>
                      <w:rStyle w:val="11"/>
                      <w:rFonts w:hint="eastAsia"/>
                    </w:rPr>
                    <w:t>喷雾</w:t>
                  </w:r>
                </w:p>
              </w:tc>
            </w:tr>
          </w:tbl>
          <w:p w14:paraId="23EBC302">
            <w:pPr>
              <w:rPr>
                <w:rFonts w:ascii="Times New Roman" w:hAnsi="Times New Roman" w:cs="Times New Roman"/>
                <w:sz w:val="20"/>
                <w:szCs w:val="20"/>
              </w:rPr>
            </w:pPr>
          </w:p>
        </w:tc>
      </w:tr>
      <w:tr w14:paraId="36C8A058">
        <w:tblPrEx>
          <w:tblCellMar>
            <w:top w:w="0" w:type="dxa"/>
            <w:left w:w="0" w:type="dxa"/>
            <w:bottom w:w="0" w:type="dxa"/>
            <w:right w:w="0" w:type="dxa"/>
          </w:tblCellMar>
        </w:tblPrEx>
        <w:trPr>
          <w:wBefore w:w="0" w:type="auto"/>
          <w:tblCellSpacing w:w="0" w:type="dxa"/>
        </w:trPr>
        <w:tc>
          <w:tcPr>
            <w:tcW w:w="0" w:type="auto"/>
            <w:noWrap w:val="0"/>
            <w:vAlign w:val="center"/>
          </w:tcPr>
          <w:p w14:paraId="54A17A36">
            <w:r>
              <w:rPr>
                <w:rStyle w:val="10"/>
                <w:rFonts w:hint="eastAsia"/>
              </w:rPr>
              <w:t>使用技术要求:</w:t>
            </w:r>
            <w:r>
              <w:rPr>
                <w:rFonts w:hint="eastAsia"/>
              </w:rPr>
              <w:br w:type="textWrapping"/>
            </w:r>
            <w:r>
              <w:rPr>
                <w:rStyle w:val="11"/>
                <w:rFonts w:hint="eastAsia"/>
              </w:rPr>
              <w:t>1、于茶小绿叶蝉低龄若虫发生始盛期施药1次。2、本品每季使用1次，安全间隔期7天。</w:t>
            </w:r>
          </w:p>
        </w:tc>
      </w:tr>
      <w:tr w14:paraId="05852D7C">
        <w:tblPrEx>
          <w:tblCellMar>
            <w:top w:w="0" w:type="dxa"/>
            <w:left w:w="0" w:type="dxa"/>
            <w:bottom w:w="0" w:type="dxa"/>
            <w:right w:w="0" w:type="dxa"/>
          </w:tblCellMar>
        </w:tblPrEx>
        <w:trPr>
          <w:wBefore w:w="0" w:type="auto"/>
          <w:tblCellSpacing w:w="0" w:type="dxa"/>
        </w:trPr>
        <w:tc>
          <w:tcPr>
            <w:tcW w:w="0" w:type="auto"/>
            <w:noWrap w:val="0"/>
            <w:vAlign w:val="center"/>
          </w:tcPr>
          <w:p w14:paraId="1EA103C9">
            <w:r>
              <w:rPr>
                <w:rStyle w:val="10"/>
                <w:rFonts w:hint="eastAsia"/>
              </w:rPr>
              <w:t>产品性能:</w:t>
            </w:r>
            <w:r>
              <w:rPr>
                <w:rFonts w:hint="eastAsia"/>
              </w:rPr>
              <w:br w:type="textWrapping"/>
            </w:r>
            <w:r>
              <w:rPr>
                <w:rStyle w:val="11"/>
                <w:rFonts w:hint="eastAsia"/>
              </w:rPr>
              <w:t>该产品为虫螨腈和氟啶虫酰胺混配制剂，两者混配后可以用于防治茶树茶小绿叶蝉。</w:t>
            </w:r>
          </w:p>
        </w:tc>
      </w:tr>
      <w:tr w14:paraId="61F3773A">
        <w:tblPrEx>
          <w:tblCellMar>
            <w:top w:w="0" w:type="dxa"/>
            <w:left w:w="0" w:type="dxa"/>
            <w:bottom w:w="0" w:type="dxa"/>
            <w:right w:w="0" w:type="dxa"/>
          </w:tblCellMar>
        </w:tblPrEx>
        <w:trPr>
          <w:wBefore w:w="0" w:type="auto"/>
          <w:tblCellSpacing w:w="0" w:type="dxa"/>
        </w:trPr>
        <w:tc>
          <w:tcPr>
            <w:tcW w:w="0" w:type="auto"/>
            <w:noWrap w:val="0"/>
            <w:vAlign w:val="center"/>
          </w:tcPr>
          <w:p w14:paraId="7FDEA52C">
            <w:r>
              <w:rPr>
                <w:rStyle w:val="10"/>
                <w:rFonts w:hint="eastAsia"/>
              </w:rPr>
              <w:t>注意事项：</w:t>
            </w:r>
            <w:r>
              <w:rPr>
                <w:rFonts w:hint="eastAsia"/>
              </w:rPr>
              <w:br w:type="textWrapping"/>
            </w:r>
            <w:r>
              <w:rPr>
                <w:rStyle w:val="11"/>
                <w:rFonts w:hint="eastAsia"/>
              </w:rPr>
              <w:t>1）使用本品应采取相应的安全防护措施，使用时穿戴长衣、长裤、帽子、口罩、手套等安全防护措施。避免皮肤接触及口鼻吸入。使用中不可吸烟、饮水及吃东西，使用后及时用大量清水和肥皂清洗手、脸等暴露部位皮肤并更换衣物。 2）对鱼、水蚤、藻类等水生生物有毒，远离水产养殖区、河塘等水体施药，禁止在河塘等水体中清洗施药器具。 3）本品对鸟类有风险，鸟类保护区禁用；对家蚕有风险，禁止使用最外围桑树桑叶饲喂家蚕；对蜜蜂有风险，（周围）开花植物花期禁用，使用时应密切关注对周围蜂群的影响；赤眼蜂等天敌放飞区域禁用。 4）用过的容器应妥善处理，不可做他用，也不可随意丢弃。 5）禁止儿童、孕妇及哺乳期的妇女接触。过敏者禁用，使用中有任何不良反应请及时就医。</w:t>
            </w:r>
          </w:p>
        </w:tc>
      </w:tr>
      <w:tr w14:paraId="5187E6F0">
        <w:tblPrEx>
          <w:tblCellMar>
            <w:top w:w="0" w:type="dxa"/>
            <w:left w:w="0" w:type="dxa"/>
            <w:bottom w:w="0" w:type="dxa"/>
            <w:right w:w="0" w:type="dxa"/>
          </w:tblCellMar>
        </w:tblPrEx>
        <w:trPr>
          <w:wBefore w:w="0" w:type="auto"/>
          <w:tblCellSpacing w:w="0" w:type="dxa"/>
        </w:trPr>
        <w:tc>
          <w:tcPr>
            <w:tcW w:w="0" w:type="auto"/>
            <w:noWrap w:val="0"/>
            <w:vAlign w:val="center"/>
          </w:tcPr>
          <w:p w14:paraId="206AF46D">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皮肤接触：立即脱去污染衣物，用软布去除沾染农药，立即用大量清水和肥皂冲洗。 眼睛接触：立即翻开上下眼睑，用流动的清水冲洗至少15分钟。 吸入：立即离开施药现场，转移到空气清新处，注意保暖和休息，请医生诊治。 误服：立即停止服用，用清水充分漱口后，携带农药标签到医院就诊。 </w:t>
            </w:r>
          </w:p>
        </w:tc>
      </w:tr>
      <w:tr w14:paraId="72D0126F">
        <w:tblPrEx>
          <w:tblCellMar>
            <w:top w:w="0" w:type="dxa"/>
            <w:left w:w="0" w:type="dxa"/>
            <w:bottom w:w="0" w:type="dxa"/>
            <w:right w:w="0" w:type="dxa"/>
          </w:tblCellMar>
        </w:tblPrEx>
        <w:trPr>
          <w:wBefore w:w="0" w:type="auto"/>
          <w:tblCellSpacing w:w="0" w:type="dxa"/>
        </w:trPr>
        <w:tc>
          <w:tcPr>
            <w:tcW w:w="0" w:type="auto"/>
            <w:noWrap w:val="0"/>
            <w:vAlign w:val="center"/>
          </w:tcPr>
          <w:p w14:paraId="780A4E7A">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本品应贮存在干燥、阴凉、通风、防雨处，远离火源或热源。置于儿童接触不到的地方。不能与食品、饮料、粮食、饲料等混合储存。避免与氧化剂接触。</w:t>
            </w:r>
          </w:p>
        </w:tc>
      </w:tr>
      <w:tr w14:paraId="45FEAEDD">
        <w:tblPrEx>
          <w:tblCellMar>
            <w:top w:w="0" w:type="dxa"/>
            <w:left w:w="0" w:type="dxa"/>
            <w:bottom w:w="0" w:type="dxa"/>
            <w:right w:w="0" w:type="dxa"/>
          </w:tblCellMar>
        </w:tblPrEx>
        <w:trPr>
          <w:wBefore w:w="0" w:type="auto"/>
          <w:tblCellSpacing w:w="0" w:type="dxa"/>
        </w:trPr>
        <w:tc>
          <w:tcPr>
            <w:tcW w:w="0" w:type="auto"/>
            <w:noWrap w:val="0"/>
            <w:vAlign w:val="center"/>
          </w:tcPr>
          <w:p w14:paraId="4E9C43FC">
            <w:r>
              <w:rPr>
                <w:rStyle w:val="10"/>
                <w:rFonts w:hint="eastAsia"/>
              </w:rPr>
              <w:t>质量保证期：</w:t>
            </w:r>
            <w:r>
              <w:rPr>
                <w:rStyle w:val="11"/>
                <w:rFonts w:hint="eastAsia"/>
              </w:rPr>
              <w:t>2年</w:t>
            </w:r>
          </w:p>
        </w:tc>
      </w:tr>
      <w:tr w14:paraId="35F4B4E0">
        <w:tblPrEx>
          <w:tblCellMar>
            <w:top w:w="0" w:type="dxa"/>
            <w:left w:w="0" w:type="dxa"/>
            <w:bottom w:w="0" w:type="dxa"/>
            <w:right w:w="0" w:type="dxa"/>
          </w:tblCellMar>
        </w:tblPrEx>
        <w:trPr>
          <w:wBefore w:w="0" w:type="auto"/>
          <w:tblCellSpacing w:w="0" w:type="dxa"/>
        </w:trPr>
        <w:tc>
          <w:tcPr>
            <w:tcW w:w="0" w:type="auto"/>
            <w:noWrap w:val="0"/>
            <w:vAlign w:val="center"/>
          </w:tcPr>
          <w:p w14:paraId="45D1CEA4">
            <w:r>
              <w:rPr>
                <w:rStyle w:val="10"/>
                <w:rFonts w:hint="eastAsia"/>
              </w:rPr>
              <w:t>备注：</w:t>
            </w:r>
          </w:p>
        </w:tc>
      </w:tr>
    </w:tbl>
    <w:p w14:paraId="1D17B2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FCB515">
        <w:tblPrEx>
          <w:tblCellMar>
            <w:top w:w="0" w:type="dxa"/>
            <w:left w:w="0" w:type="dxa"/>
            <w:bottom w:w="0" w:type="dxa"/>
            <w:right w:w="0" w:type="dxa"/>
          </w:tblCellMar>
        </w:tblPrEx>
        <w:trPr>
          <w:wBefore w:w="0" w:type="auto"/>
          <w:tblCellSpacing w:w="0" w:type="dxa"/>
        </w:trPr>
        <w:tc>
          <w:tcPr>
            <w:tcW w:w="0" w:type="auto"/>
            <w:noWrap w:val="0"/>
            <w:vAlign w:val="center"/>
          </w:tcPr>
          <w:p w14:paraId="573CF541">
            <w:r>
              <w:rPr>
                <w:rStyle w:val="10"/>
                <w:rFonts w:hint="eastAsia"/>
              </w:rPr>
              <w:t>登记证号：</w:t>
            </w:r>
            <w:r>
              <w:rPr>
                <w:rFonts w:hint="eastAsia"/>
              </w:rPr>
              <w:t>PD20212749</w:t>
            </w:r>
          </w:p>
        </w:tc>
      </w:tr>
      <w:tr w14:paraId="65912584">
        <w:tblPrEx>
          <w:tblCellMar>
            <w:top w:w="0" w:type="dxa"/>
            <w:left w:w="0" w:type="dxa"/>
            <w:bottom w:w="0" w:type="dxa"/>
            <w:right w:w="0" w:type="dxa"/>
          </w:tblCellMar>
        </w:tblPrEx>
        <w:trPr>
          <w:wBefore w:w="0" w:type="auto"/>
          <w:tblCellSpacing w:w="0" w:type="dxa"/>
        </w:trPr>
        <w:tc>
          <w:tcPr>
            <w:tcW w:w="0" w:type="auto"/>
            <w:noWrap w:val="0"/>
            <w:vAlign w:val="center"/>
          </w:tcPr>
          <w:p w14:paraId="5149D3D3">
            <w:r>
              <w:rPr>
                <w:rStyle w:val="10"/>
                <w:rFonts w:hint="eastAsia"/>
              </w:rPr>
              <w:t>登记证持有人：</w:t>
            </w:r>
            <w:r>
              <w:rPr>
                <w:rFonts w:hint="eastAsia"/>
              </w:rPr>
              <w:t>河南省安阳市锐普农化有限责任公司</w:t>
            </w:r>
          </w:p>
        </w:tc>
      </w:tr>
      <w:tr w14:paraId="25D34DFD">
        <w:tblPrEx>
          <w:tblCellMar>
            <w:top w:w="0" w:type="dxa"/>
            <w:left w:w="0" w:type="dxa"/>
            <w:bottom w:w="0" w:type="dxa"/>
            <w:right w:w="0" w:type="dxa"/>
          </w:tblCellMar>
        </w:tblPrEx>
        <w:trPr>
          <w:wBefore w:w="0" w:type="auto"/>
          <w:tblCellSpacing w:w="0" w:type="dxa"/>
        </w:trPr>
        <w:tc>
          <w:tcPr>
            <w:tcW w:w="0" w:type="auto"/>
            <w:noWrap w:val="0"/>
            <w:vAlign w:val="center"/>
          </w:tcPr>
          <w:p w14:paraId="7A2F5FD8">
            <w:r>
              <w:rPr>
                <w:rStyle w:val="10"/>
                <w:rFonts w:hint="eastAsia"/>
              </w:rPr>
              <w:t>农药名称：</w:t>
            </w:r>
            <w:r>
              <w:rPr>
                <w:rFonts w:hint="eastAsia"/>
              </w:rPr>
              <w:t>14-羟芸·噻苯隆</w:t>
            </w:r>
          </w:p>
        </w:tc>
      </w:tr>
      <w:tr w14:paraId="221E60CB">
        <w:tblPrEx>
          <w:tblCellMar>
            <w:top w:w="0" w:type="dxa"/>
            <w:left w:w="0" w:type="dxa"/>
            <w:bottom w:w="0" w:type="dxa"/>
            <w:right w:w="0" w:type="dxa"/>
          </w:tblCellMar>
        </w:tblPrEx>
        <w:trPr>
          <w:wBefore w:w="0" w:type="auto"/>
          <w:tblCellSpacing w:w="0" w:type="dxa"/>
        </w:trPr>
        <w:tc>
          <w:tcPr>
            <w:tcW w:w="0" w:type="auto"/>
            <w:noWrap w:val="0"/>
            <w:vAlign w:val="center"/>
          </w:tcPr>
          <w:p w14:paraId="0A3C389C">
            <w:r>
              <w:rPr>
                <w:rStyle w:val="10"/>
                <w:rFonts w:hint="eastAsia"/>
              </w:rPr>
              <w:t>剂型：</w:t>
            </w:r>
            <w:r>
              <w:rPr>
                <w:rFonts w:hint="eastAsia"/>
              </w:rPr>
              <w:t>可溶液剂</w:t>
            </w:r>
          </w:p>
        </w:tc>
      </w:tr>
      <w:tr w14:paraId="15D128EE">
        <w:tblPrEx>
          <w:tblCellMar>
            <w:top w:w="0" w:type="dxa"/>
            <w:left w:w="0" w:type="dxa"/>
            <w:bottom w:w="0" w:type="dxa"/>
            <w:right w:w="0" w:type="dxa"/>
          </w:tblCellMar>
        </w:tblPrEx>
        <w:trPr>
          <w:wBefore w:w="0" w:type="auto"/>
          <w:tblCellSpacing w:w="0" w:type="dxa"/>
        </w:trPr>
        <w:tc>
          <w:tcPr>
            <w:tcW w:w="0" w:type="auto"/>
            <w:noWrap w:val="0"/>
            <w:vAlign w:val="center"/>
          </w:tcPr>
          <w:p w14:paraId="73DB6DE9">
            <w:r>
              <w:rPr>
                <w:rStyle w:val="10"/>
                <w:rFonts w:hint="eastAsia"/>
              </w:rPr>
              <w:t>毒性及其标识：</w:t>
            </w:r>
            <w:r>
              <w:rPr>
                <w:rFonts w:hint="eastAsia"/>
              </w:rPr>
              <w:t xml:space="preserve"> </w:t>
            </w:r>
            <w:r>
              <w:rPr>
                <w:lang/>
              </w:rPr>
              <w:drawing>
                <wp:inline distT="0" distB="0" distL="114300" distR="114300">
                  <wp:extent cx="476250" cy="323850"/>
                  <wp:effectExtent l="0" t="0" r="0" b="0"/>
                  <wp:docPr id="346" name="图片 3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20207D">
        <w:tblPrEx>
          <w:tblCellMar>
            <w:top w:w="0" w:type="dxa"/>
            <w:left w:w="0" w:type="dxa"/>
            <w:bottom w:w="0" w:type="dxa"/>
            <w:right w:w="0" w:type="dxa"/>
          </w:tblCellMar>
        </w:tblPrEx>
        <w:trPr>
          <w:wBefore w:w="0" w:type="auto"/>
          <w:tblCellSpacing w:w="0" w:type="dxa"/>
        </w:trPr>
        <w:tc>
          <w:tcPr>
            <w:tcW w:w="0" w:type="auto"/>
            <w:noWrap w:val="0"/>
            <w:vAlign w:val="center"/>
          </w:tcPr>
          <w:p w14:paraId="79AC4F12">
            <w:r>
              <w:rPr>
                <w:rStyle w:val="10"/>
                <w:rFonts w:hint="eastAsia"/>
              </w:rPr>
              <w:t>总有效成分含量：</w:t>
            </w:r>
            <w:r>
              <w:rPr>
                <w:rFonts w:hint="eastAsia"/>
              </w:rPr>
              <w:t>0.16%</w:t>
            </w:r>
          </w:p>
        </w:tc>
      </w:tr>
      <w:tr w14:paraId="44CB1AAE">
        <w:tblPrEx>
          <w:tblCellMar>
            <w:top w:w="0" w:type="dxa"/>
            <w:left w:w="0" w:type="dxa"/>
            <w:bottom w:w="0" w:type="dxa"/>
            <w:right w:w="0" w:type="dxa"/>
          </w:tblCellMar>
        </w:tblPrEx>
        <w:trPr>
          <w:wBefore w:w="0" w:type="auto"/>
          <w:tblCellSpacing w:w="0" w:type="dxa"/>
        </w:trPr>
        <w:tc>
          <w:tcPr>
            <w:tcW w:w="0" w:type="auto"/>
            <w:noWrap w:val="0"/>
            <w:vAlign w:val="center"/>
          </w:tcPr>
          <w:p w14:paraId="0A2240BA">
            <w:r>
              <w:rPr>
                <w:rFonts w:hint="eastAsia"/>
              </w:rPr>
              <w:t xml:space="preserve">有效成分及其含量： </w:t>
            </w:r>
          </w:p>
          <w:p w14:paraId="5AFD2DDB">
            <w:r>
              <w:rPr>
                <w:rFonts w:hint="eastAsia"/>
              </w:rPr>
              <w:t xml:space="preserve">    14-羟基芸苔素甾醇0.01%    噻苯隆0.15%    </w:t>
            </w:r>
          </w:p>
        </w:tc>
      </w:tr>
      <w:tr w14:paraId="6398860B">
        <w:tblPrEx>
          <w:tblCellMar>
            <w:top w:w="0" w:type="dxa"/>
            <w:left w:w="0" w:type="dxa"/>
            <w:bottom w:w="0" w:type="dxa"/>
            <w:right w:w="0" w:type="dxa"/>
          </w:tblCellMar>
        </w:tblPrEx>
        <w:trPr>
          <w:wBefore w:w="0" w:type="auto"/>
          <w:tblCellSpacing w:w="0" w:type="dxa"/>
        </w:trPr>
        <w:tc>
          <w:tcPr>
            <w:tcW w:w="0" w:type="auto"/>
            <w:noWrap w:val="0"/>
            <w:vAlign w:val="center"/>
          </w:tcPr>
          <w:p w14:paraId="334438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49A9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EA18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B541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E6112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B09310">
                  <w:r>
                    <w:rPr>
                      <w:rStyle w:val="11"/>
                      <w:rFonts w:hint="eastAsia"/>
                    </w:rPr>
                    <w:t>施用方式</w:t>
                  </w:r>
                </w:p>
              </w:tc>
            </w:tr>
            <w:tr w14:paraId="1C3AF2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6154C4">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DCEA8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EE4C2">
                  <w:r>
                    <w:rPr>
                      <w:rStyle w:val="11"/>
                      <w:rFonts w:hint="eastAsia"/>
                    </w:rPr>
                    <w:t>20-35毫升/亩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BDA4FF">
                  <w:r>
                    <w:rPr>
                      <w:rStyle w:val="11"/>
                      <w:rFonts w:hint="eastAsia"/>
                    </w:rPr>
                    <w:t>喷雾</w:t>
                  </w:r>
                </w:p>
              </w:tc>
            </w:tr>
          </w:tbl>
          <w:p w14:paraId="12AB5F43">
            <w:pPr>
              <w:rPr>
                <w:rFonts w:ascii="Times New Roman" w:hAnsi="Times New Roman" w:cs="Times New Roman"/>
                <w:sz w:val="20"/>
                <w:szCs w:val="20"/>
              </w:rPr>
            </w:pPr>
          </w:p>
        </w:tc>
      </w:tr>
      <w:tr w14:paraId="7D2246FB">
        <w:tblPrEx>
          <w:tblCellMar>
            <w:top w:w="0" w:type="dxa"/>
            <w:left w:w="0" w:type="dxa"/>
            <w:bottom w:w="0" w:type="dxa"/>
            <w:right w:w="0" w:type="dxa"/>
          </w:tblCellMar>
        </w:tblPrEx>
        <w:trPr>
          <w:wBefore w:w="0" w:type="auto"/>
          <w:tblCellSpacing w:w="0" w:type="dxa"/>
        </w:trPr>
        <w:tc>
          <w:tcPr>
            <w:tcW w:w="0" w:type="auto"/>
            <w:noWrap w:val="0"/>
            <w:vAlign w:val="center"/>
          </w:tcPr>
          <w:p w14:paraId="3625CF79">
            <w:r>
              <w:rPr>
                <w:rStyle w:val="10"/>
                <w:rFonts w:hint="eastAsia"/>
              </w:rPr>
              <w:t>使用技术要求:</w:t>
            </w:r>
            <w:r>
              <w:rPr>
                <w:rFonts w:hint="eastAsia"/>
              </w:rPr>
              <w:br w:type="textWrapping"/>
            </w:r>
            <w:r>
              <w:rPr>
                <w:rStyle w:val="11"/>
                <w:rFonts w:hint="eastAsia"/>
              </w:rPr>
              <w:t>1.本品应于玉米小喇叭口期施药一次，注意喷雾均匀。亩用水量30-45L。2.施药后6小时内降雨可能影响药效发挥，用药前应注意天气变化。3.本品施用时，可根据天气情况和作物长势加强田间肥水管理，有利于药效充分发挥。4.玉米上每季最多施药1次。</w:t>
            </w:r>
          </w:p>
        </w:tc>
      </w:tr>
      <w:tr w14:paraId="1C6E9723">
        <w:tblPrEx>
          <w:tblCellMar>
            <w:top w:w="0" w:type="dxa"/>
            <w:left w:w="0" w:type="dxa"/>
            <w:bottom w:w="0" w:type="dxa"/>
            <w:right w:w="0" w:type="dxa"/>
          </w:tblCellMar>
        </w:tblPrEx>
        <w:trPr>
          <w:wBefore w:w="0" w:type="auto"/>
          <w:tblCellSpacing w:w="0" w:type="dxa"/>
        </w:trPr>
        <w:tc>
          <w:tcPr>
            <w:tcW w:w="0" w:type="auto"/>
            <w:noWrap w:val="0"/>
            <w:vAlign w:val="center"/>
          </w:tcPr>
          <w:p w14:paraId="54BBC0BA">
            <w:r>
              <w:rPr>
                <w:rStyle w:val="10"/>
                <w:rFonts w:hint="eastAsia"/>
              </w:rPr>
              <w:t>产品性能:</w:t>
            </w:r>
            <w:r>
              <w:rPr>
                <w:rFonts w:hint="eastAsia"/>
              </w:rPr>
              <w:br w:type="textWrapping"/>
            </w:r>
            <w:r>
              <w:rPr>
                <w:rStyle w:val="11"/>
                <w:rFonts w:hint="eastAsia"/>
              </w:rPr>
              <w:t xml:space="preserve">本品是由14-羟基芸苔素甾醇和噻苯隆混配而成的一种植物生长调节剂。其具有极强的细胞分裂活性，能延缓植物衰老，增强其抗逆性，促进植物的光合作用；还能提高作物产量，改善产物品质。本品可用于玉米的调节生长。 </w:t>
            </w:r>
          </w:p>
        </w:tc>
      </w:tr>
      <w:tr w14:paraId="425C6FED">
        <w:tblPrEx>
          <w:tblCellMar>
            <w:top w:w="0" w:type="dxa"/>
            <w:left w:w="0" w:type="dxa"/>
            <w:bottom w:w="0" w:type="dxa"/>
            <w:right w:w="0" w:type="dxa"/>
          </w:tblCellMar>
        </w:tblPrEx>
        <w:trPr>
          <w:wBefore w:w="0" w:type="auto"/>
          <w:tblCellSpacing w:w="0" w:type="dxa"/>
        </w:trPr>
        <w:tc>
          <w:tcPr>
            <w:tcW w:w="0" w:type="auto"/>
            <w:noWrap w:val="0"/>
            <w:vAlign w:val="center"/>
          </w:tcPr>
          <w:p w14:paraId="39674BD0">
            <w:r>
              <w:rPr>
                <w:rStyle w:val="10"/>
                <w:rFonts w:hint="eastAsia"/>
              </w:rPr>
              <w:t>注意事项：</w:t>
            </w:r>
            <w:r>
              <w:rPr>
                <w:rFonts w:hint="eastAsia"/>
              </w:rPr>
              <w:br w:type="textWrapping"/>
            </w:r>
            <w:r>
              <w:rPr>
                <w:rStyle w:val="11"/>
                <w:rFonts w:hint="eastAsia"/>
              </w:rPr>
              <w:t>1.用药应均匀，按推荐用法用量使用。用药最适浓度和时期，因品种、气温、栽培管理而异，凡未用过本品的作物品种和地区，应先试后再用，切忌滥用。初次使用宜先从低浓度用起。2.本剂加水稀释后，应于当天使用，久置后施用会降低药效。3.本品应在阴天或晴天使用，严禁高温烈日用药，施后6小时内遇雨应补施。4.喷药时穿戴好防护服、口罩、手套等，施药期间不可吃东西、饮水、吸烟；施药后清洗裸露部位。5.水产养殖区、河塘等水体附近禁用，禁止在河塘等水体中清洗施药器具或将清洗施药器具的废水倒入河流池塘等水源。废弃物应妥善处理，不可作他用，也不可随意丢弃。 6.孕妇及哺乳期妇女避免接触此药。</w:t>
            </w:r>
          </w:p>
        </w:tc>
      </w:tr>
      <w:tr w14:paraId="238EAC14">
        <w:tblPrEx>
          <w:tblCellMar>
            <w:top w:w="0" w:type="dxa"/>
            <w:left w:w="0" w:type="dxa"/>
            <w:bottom w:w="0" w:type="dxa"/>
            <w:right w:w="0" w:type="dxa"/>
          </w:tblCellMar>
        </w:tblPrEx>
        <w:trPr>
          <w:wBefore w:w="0" w:type="auto"/>
          <w:tblCellSpacing w:w="0" w:type="dxa"/>
        </w:trPr>
        <w:tc>
          <w:tcPr>
            <w:tcW w:w="0" w:type="auto"/>
            <w:noWrap w:val="0"/>
            <w:vAlign w:val="center"/>
          </w:tcPr>
          <w:p w14:paraId="638026EE">
            <w:r>
              <w:rPr>
                <w:rStyle w:val="10"/>
                <w:rFonts w:hint="eastAsia"/>
              </w:rPr>
              <w:t>中毒急救措施：</w:t>
            </w:r>
            <w:r>
              <w:rPr>
                <w:rFonts w:hint="eastAsia"/>
              </w:rPr>
              <w:br w:type="textWrapping"/>
            </w:r>
            <w:r>
              <w:rPr>
                <w:rStyle w:val="11"/>
                <w:rFonts w:hint="eastAsia"/>
              </w:rPr>
              <w:t xml:space="preserve">中毒症状：对眼睛有刺激性。 急救措施：1.不慎吸入，应将病人移至空气流通处。2.溅入眼睛中，用大量清水冲洗至少15分钟，仍有不适，就医。 3.皮肤接触，用清水及肥皂洗干净。4.误服，立即携此标签将病人送医院，对症治疗。 </w:t>
            </w:r>
          </w:p>
        </w:tc>
      </w:tr>
      <w:tr w14:paraId="5E86C466">
        <w:tblPrEx>
          <w:tblCellMar>
            <w:top w:w="0" w:type="dxa"/>
            <w:left w:w="0" w:type="dxa"/>
            <w:bottom w:w="0" w:type="dxa"/>
            <w:right w:w="0" w:type="dxa"/>
          </w:tblCellMar>
        </w:tblPrEx>
        <w:trPr>
          <w:wBefore w:w="0" w:type="auto"/>
          <w:tblCellSpacing w:w="0" w:type="dxa"/>
        </w:trPr>
        <w:tc>
          <w:tcPr>
            <w:tcW w:w="0" w:type="auto"/>
            <w:noWrap w:val="0"/>
            <w:vAlign w:val="center"/>
          </w:tcPr>
          <w:p w14:paraId="4C8749CB">
            <w:r>
              <w:rPr>
                <w:rStyle w:val="10"/>
                <w:rFonts w:hint="eastAsia"/>
              </w:rPr>
              <w:t>储存和运输方法：</w:t>
            </w:r>
            <w:r>
              <w:rPr>
                <w:rFonts w:hint="eastAsia"/>
              </w:rPr>
              <w:br w:type="textWrapping"/>
            </w:r>
            <w:r>
              <w:rPr>
                <w:rStyle w:val="11"/>
                <w:rFonts w:hint="eastAsia"/>
              </w:rPr>
              <w:t>1.本品应贮存在干燥、阴凉、通风、防雨处，远离火源或热源。远离儿童存放，并加锁保管。不能与食品、饮料、粮食、种子、饲料等物品同贮同运。 2.运输前应先检查包装容器是否完好、密封，运输过程中要确保容器不泄漏、不倒塌、不坠落、不损坏。运输时运输车辆应配备相应品种和数量的消防器材及泄露应急处理设备。运输途中应防暴晒、雨淋、高温。公路运输时要按规定路线行驶，勿在居民区和人口稠密区停留。</w:t>
            </w:r>
          </w:p>
        </w:tc>
      </w:tr>
      <w:tr w14:paraId="13A9BB55">
        <w:tblPrEx>
          <w:tblCellMar>
            <w:top w:w="0" w:type="dxa"/>
            <w:left w:w="0" w:type="dxa"/>
            <w:bottom w:w="0" w:type="dxa"/>
            <w:right w:w="0" w:type="dxa"/>
          </w:tblCellMar>
        </w:tblPrEx>
        <w:trPr>
          <w:wBefore w:w="0" w:type="auto"/>
          <w:tblCellSpacing w:w="0" w:type="dxa"/>
        </w:trPr>
        <w:tc>
          <w:tcPr>
            <w:tcW w:w="0" w:type="auto"/>
            <w:noWrap w:val="0"/>
            <w:vAlign w:val="center"/>
          </w:tcPr>
          <w:p w14:paraId="5FE9E7DA">
            <w:r>
              <w:rPr>
                <w:rStyle w:val="10"/>
                <w:rFonts w:hint="eastAsia"/>
              </w:rPr>
              <w:t>质量保证期：</w:t>
            </w:r>
            <w:r>
              <w:rPr>
                <w:rStyle w:val="11"/>
                <w:rFonts w:hint="eastAsia"/>
              </w:rPr>
              <w:t>2年</w:t>
            </w:r>
          </w:p>
        </w:tc>
      </w:tr>
      <w:tr w14:paraId="6BFB6B88">
        <w:tblPrEx>
          <w:tblCellMar>
            <w:top w:w="0" w:type="dxa"/>
            <w:left w:w="0" w:type="dxa"/>
            <w:bottom w:w="0" w:type="dxa"/>
            <w:right w:w="0" w:type="dxa"/>
          </w:tblCellMar>
        </w:tblPrEx>
        <w:trPr>
          <w:wBefore w:w="0" w:type="auto"/>
          <w:tblCellSpacing w:w="0" w:type="dxa"/>
        </w:trPr>
        <w:tc>
          <w:tcPr>
            <w:tcW w:w="0" w:type="auto"/>
            <w:noWrap w:val="0"/>
            <w:vAlign w:val="center"/>
          </w:tcPr>
          <w:p w14:paraId="56BD8A91">
            <w:r>
              <w:rPr>
                <w:rStyle w:val="10"/>
                <w:rFonts w:hint="eastAsia"/>
              </w:rPr>
              <w:t>备注：</w:t>
            </w:r>
          </w:p>
        </w:tc>
      </w:tr>
    </w:tbl>
    <w:p w14:paraId="2F0090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B8FC59">
        <w:tblPrEx>
          <w:tblCellMar>
            <w:top w:w="0" w:type="dxa"/>
            <w:left w:w="0" w:type="dxa"/>
            <w:bottom w:w="0" w:type="dxa"/>
            <w:right w:w="0" w:type="dxa"/>
          </w:tblCellMar>
        </w:tblPrEx>
        <w:trPr>
          <w:wBefore w:w="0" w:type="auto"/>
          <w:tblCellSpacing w:w="0" w:type="dxa"/>
        </w:trPr>
        <w:tc>
          <w:tcPr>
            <w:tcW w:w="0" w:type="auto"/>
            <w:noWrap w:val="0"/>
            <w:vAlign w:val="center"/>
          </w:tcPr>
          <w:p w14:paraId="14CC2D56">
            <w:r>
              <w:rPr>
                <w:rStyle w:val="10"/>
                <w:rFonts w:hint="eastAsia"/>
              </w:rPr>
              <w:t>登记证号：</w:t>
            </w:r>
            <w:r>
              <w:rPr>
                <w:rFonts w:hint="eastAsia"/>
              </w:rPr>
              <w:t>PD20212572</w:t>
            </w:r>
          </w:p>
        </w:tc>
      </w:tr>
      <w:tr w14:paraId="4AFE711B">
        <w:tblPrEx>
          <w:tblCellMar>
            <w:top w:w="0" w:type="dxa"/>
            <w:left w:w="0" w:type="dxa"/>
            <w:bottom w:w="0" w:type="dxa"/>
            <w:right w:w="0" w:type="dxa"/>
          </w:tblCellMar>
        </w:tblPrEx>
        <w:trPr>
          <w:wBefore w:w="0" w:type="auto"/>
          <w:tblCellSpacing w:w="0" w:type="dxa"/>
        </w:trPr>
        <w:tc>
          <w:tcPr>
            <w:tcW w:w="0" w:type="auto"/>
            <w:noWrap w:val="0"/>
            <w:vAlign w:val="center"/>
          </w:tcPr>
          <w:p w14:paraId="3DBE3695">
            <w:r>
              <w:rPr>
                <w:rStyle w:val="10"/>
                <w:rFonts w:hint="eastAsia"/>
              </w:rPr>
              <w:t>登记证持有人：</w:t>
            </w:r>
            <w:r>
              <w:rPr>
                <w:rFonts w:hint="eastAsia"/>
              </w:rPr>
              <w:t>河南巴博斯生物科技有限公司</w:t>
            </w:r>
          </w:p>
        </w:tc>
      </w:tr>
      <w:tr w14:paraId="190BB3D9">
        <w:tblPrEx>
          <w:tblCellMar>
            <w:top w:w="0" w:type="dxa"/>
            <w:left w:w="0" w:type="dxa"/>
            <w:bottom w:w="0" w:type="dxa"/>
            <w:right w:w="0" w:type="dxa"/>
          </w:tblCellMar>
        </w:tblPrEx>
        <w:trPr>
          <w:wBefore w:w="0" w:type="auto"/>
          <w:tblCellSpacing w:w="0" w:type="dxa"/>
        </w:trPr>
        <w:tc>
          <w:tcPr>
            <w:tcW w:w="0" w:type="auto"/>
            <w:noWrap w:val="0"/>
            <w:vAlign w:val="center"/>
          </w:tcPr>
          <w:p w14:paraId="3CA1B0A0">
            <w:r>
              <w:rPr>
                <w:rStyle w:val="10"/>
                <w:rFonts w:hint="eastAsia"/>
              </w:rPr>
              <w:t>农药名称：</w:t>
            </w:r>
            <w:r>
              <w:rPr>
                <w:rFonts w:hint="eastAsia"/>
              </w:rPr>
              <w:t>2,4-滴·草铵膦</w:t>
            </w:r>
          </w:p>
        </w:tc>
      </w:tr>
      <w:tr w14:paraId="217FB5DF">
        <w:tblPrEx>
          <w:tblCellMar>
            <w:top w:w="0" w:type="dxa"/>
            <w:left w:w="0" w:type="dxa"/>
            <w:bottom w:w="0" w:type="dxa"/>
            <w:right w:w="0" w:type="dxa"/>
          </w:tblCellMar>
        </w:tblPrEx>
        <w:trPr>
          <w:wBefore w:w="0" w:type="auto"/>
          <w:tblCellSpacing w:w="0" w:type="dxa"/>
        </w:trPr>
        <w:tc>
          <w:tcPr>
            <w:tcW w:w="0" w:type="auto"/>
            <w:noWrap w:val="0"/>
            <w:vAlign w:val="center"/>
          </w:tcPr>
          <w:p w14:paraId="35B4B686">
            <w:r>
              <w:rPr>
                <w:rStyle w:val="10"/>
                <w:rFonts w:hint="eastAsia"/>
              </w:rPr>
              <w:t>剂型：</w:t>
            </w:r>
            <w:r>
              <w:rPr>
                <w:rFonts w:hint="eastAsia"/>
              </w:rPr>
              <w:t>可溶液剂</w:t>
            </w:r>
          </w:p>
        </w:tc>
      </w:tr>
      <w:tr w14:paraId="2CF283CD">
        <w:tblPrEx>
          <w:tblCellMar>
            <w:top w:w="0" w:type="dxa"/>
            <w:left w:w="0" w:type="dxa"/>
            <w:bottom w:w="0" w:type="dxa"/>
            <w:right w:w="0" w:type="dxa"/>
          </w:tblCellMar>
        </w:tblPrEx>
        <w:trPr>
          <w:wBefore w:w="0" w:type="auto"/>
          <w:tblCellSpacing w:w="0" w:type="dxa"/>
        </w:trPr>
        <w:tc>
          <w:tcPr>
            <w:tcW w:w="0" w:type="auto"/>
            <w:noWrap w:val="0"/>
            <w:vAlign w:val="center"/>
          </w:tcPr>
          <w:p w14:paraId="237EF4D7">
            <w:r>
              <w:rPr>
                <w:rStyle w:val="10"/>
                <w:rFonts w:hint="eastAsia"/>
              </w:rPr>
              <w:t>毒性及其标识：</w:t>
            </w:r>
            <w:r>
              <w:rPr>
                <w:rFonts w:hint="eastAsia"/>
              </w:rPr>
              <w:t xml:space="preserve"> </w:t>
            </w:r>
            <w:r>
              <w:rPr>
                <w:lang/>
              </w:rPr>
              <w:drawing>
                <wp:inline distT="0" distB="0" distL="114300" distR="114300">
                  <wp:extent cx="476250" cy="323850"/>
                  <wp:effectExtent l="0" t="0" r="0" b="0"/>
                  <wp:docPr id="347" name="图片 3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5DF933">
        <w:tblPrEx>
          <w:tblCellMar>
            <w:top w:w="0" w:type="dxa"/>
            <w:left w:w="0" w:type="dxa"/>
            <w:bottom w:w="0" w:type="dxa"/>
            <w:right w:w="0" w:type="dxa"/>
          </w:tblCellMar>
        </w:tblPrEx>
        <w:trPr>
          <w:wBefore w:w="0" w:type="auto"/>
          <w:tblCellSpacing w:w="0" w:type="dxa"/>
        </w:trPr>
        <w:tc>
          <w:tcPr>
            <w:tcW w:w="0" w:type="auto"/>
            <w:noWrap w:val="0"/>
            <w:vAlign w:val="center"/>
          </w:tcPr>
          <w:p w14:paraId="2BC0B2C3">
            <w:r>
              <w:rPr>
                <w:rStyle w:val="10"/>
                <w:rFonts w:hint="eastAsia"/>
              </w:rPr>
              <w:t>总有效成分含量：</w:t>
            </w:r>
            <w:r>
              <w:rPr>
                <w:rFonts w:hint="eastAsia"/>
              </w:rPr>
              <w:t>24%</w:t>
            </w:r>
          </w:p>
        </w:tc>
      </w:tr>
      <w:tr w14:paraId="0C1EF051">
        <w:tblPrEx>
          <w:tblCellMar>
            <w:top w:w="0" w:type="dxa"/>
            <w:left w:w="0" w:type="dxa"/>
            <w:bottom w:w="0" w:type="dxa"/>
            <w:right w:w="0" w:type="dxa"/>
          </w:tblCellMar>
        </w:tblPrEx>
        <w:trPr>
          <w:wBefore w:w="0" w:type="auto"/>
          <w:tblCellSpacing w:w="0" w:type="dxa"/>
        </w:trPr>
        <w:tc>
          <w:tcPr>
            <w:tcW w:w="0" w:type="auto"/>
            <w:noWrap w:val="0"/>
            <w:vAlign w:val="center"/>
          </w:tcPr>
          <w:p w14:paraId="3BEA1708">
            <w:r>
              <w:rPr>
                <w:rFonts w:hint="eastAsia"/>
              </w:rPr>
              <w:t xml:space="preserve">有效成分及其含量： </w:t>
            </w:r>
          </w:p>
          <w:p w14:paraId="605A3207">
            <w:r>
              <w:rPr>
                <w:rFonts w:hint="eastAsia"/>
              </w:rPr>
              <w:t xml:space="preserve">    2,4-滴4%    草铵膦20%    </w:t>
            </w:r>
          </w:p>
        </w:tc>
      </w:tr>
      <w:tr w14:paraId="4098BED4">
        <w:tblPrEx>
          <w:tblCellMar>
            <w:top w:w="0" w:type="dxa"/>
            <w:left w:w="0" w:type="dxa"/>
            <w:bottom w:w="0" w:type="dxa"/>
            <w:right w:w="0" w:type="dxa"/>
          </w:tblCellMar>
        </w:tblPrEx>
        <w:trPr>
          <w:wBefore w:w="0" w:type="auto"/>
          <w:tblCellSpacing w:w="0" w:type="dxa"/>
        </w:trPr>
        <w:tc>
          <w:tcPr>
            <w:tcW w:w="0" w:type="auto"/>
            <w:noWrap w:val="0"/>
            <w:vAlign w:val="center"/>
          </w:tcPr>
          <w:p w14:paraId="6C78C7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28C5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E4FF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6EE1A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4E34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FF4110">
                  <w:r>
                    <w:rPr>
                      <w:rStyle w:val="11"/>
                      <w:rFonts w:hint="eastAsia"/>
                    </w:rPr>
                    <w:t>施用方式</w:t>
                  </w:r>
                </w:p>
              </w:tc>
            </w:tr>
            <w:tr w14:paraId="7ED265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BD372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126C6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2EB739">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32AE37">
                  <w:r>
                    <w:rPr>
                      <w:rStyle w:val="11"/>
                      <w:rFonts w:hint="eastAsia"/>
                    </w:rPr>
                    <w:t>茎叶喷雾</w:t>
                  </w:r>
                </w:p>
              </w:tc>
            </w:tr>
          </w:tbl>
          <w:p w14:paraId="6E140DE2">
            <w:pPr>
              <w:rPr>
                <w:rFonts w:ascii="Times New Roman" w:hAnsi="Times New Roman" w:cs="Times New Roman"/>
                <w:sz w:val="20"/>
                <w:szCs w:val="20"/>
              </w:rPr>
            </w:pPr>
          </w:p>
        </w:tc>
      </w:tr>
      <w:tr w14:paraId="795555E5">
        <w:tblPrEx>
          <w:tblCellMar>
            <w:top w:w="0" w:type="dxa"/>
            <w:left w:w="0" w:type="dxa"/>
            <w:bottom w:w="0" w:type="dxa"/>
            <w:right w:w="0" w:type="dxa"/>
          </w:tblCellMar>
        </w:tblPrEx>
        <w:trPr>
          <w:wBefore w:w="0" w:type="auto"/>
          <w:tblCellSpacing w:w="0" w:type="dxa"/>
        </w:trPr>
        <w:tc>
          <w:tcPr>
            <w:tcW w:w="0" w:type="auto"/>
            <w:noWrap w:val="0"/>
            <w:vAlign w:val="center"/>
          </w:tcPr>
          <w:p w14:paraId="58E0DF62">
            <w:r>
              <w:rPr>
                <w:rStyle w:val="10"/>
                <w:rFonts w:hint="eastAsia"/>
              </w:rPr>
              <w:t>使用技术要求:</w:t>
            </w:r>
            <w:r>
              <w:rPr>
                <w:rFonts w:hint="eastAsia"/>
              </w:rPr>
              <w:br w:type="textWrapping"/>
            </w:r>
            <w:r>
              <w:rPr>
                <w:rStyle w:val="11"/>
                <w:rFonts w:hint="eastAsia"/>
              </w:rPr>
              <w:t>1.严格掌握施药时期和使用量。在杂草生长旺盛期施药1次，避开低温干旱天施药。 2.喷雾时要在无风或微风天气进行，切勿喷到或飘移到敏感作物中去，以免发生药害。 3.大风天或预计1小时内降雨，请勿施药。4.禁止在田间道路、田埂、果树行间、休耕地、林场林地等农林业区域使用。</w:t>
            </w:r>
          </w:p>
        </w:tc>
      </w:tr>
      <w:tr w14:paraId="0B5989E0">
        <w:tblPrEx>
          <w:tblCellMar>
            <w:top w:w="0" w:type="dxa"/>
            <w:left w:w="0" w:type="dxa"/>
            <w:bottom w:w="0" w:type="dxa"/>
            <w:right w:w="0" w:type="dxa"/>
          </w:tblCellMar>
        </w:tblPrEx>
        <w:trPr>
          <w:wBefore w:w="0" w:type="auto"/>
          <w:tblCellSpacing w:w="0" w:type="dxa"/>
        </w:trPr>
        <w:tc>
          <w:tcPr>
            <w:tcW w:w="0" w:type="auto"/>
            <w:noWrap w:val="0"/>
            <w:vAlign w:val="center"/>
          </w:tcPr>
          <w:p w14:paraId="26C1CFBF">
            <w:r>
              <w:rPr>
                <w:rStyle w:val="10"/>
                <w:rFonts w:hint="eastAsia"/>
              </w:rPr>
              <w:t>产品性能:</w:t>
            </w:r>
            <w:r>
              <w:rPr>
                <w:rFonts w:hint="eastAsia"/>
              </w:rPr>
              <w:br w:type="textWrapping"/>
            </w:r>
            <w:r>
              <w:rPr>
                <w:rStyle w:val="11"/>
                <w:rFonts w:hint="eastAsia"/>
              </w:rPr>
              <w:t>草铵膦是非选择性触杀型除草剂，谷氨酰胺合成抑制剂，有一定内吸活性。2,4-滴是苯氧乙酸类激素型选择性除草剂，具有较强的内吸传导性。本品能有效防除非耕地杂草。</w:t>
            </w:r>
          </w:p>
        </w:tc>
      </w:tr>
      <w:tr w14:paraId="465A1E8F">
        <w:tblPrEx>
          <w:tblCellMar>
            <w:top w:w="0" w:type="dxa"/>
            <w:left w:w="0" w:type="dxa"/>
            <w:bottom w:w="0" w:type="dxa"/>
            <w:right w:w="0" w:type="dxa"/>
          </w:tblCellMar>
        </w:tblPrEx>
        <w:trPr>
          <w:wBefore w:w="0" w:type="auto"/>
          <w:tblCellSpacing w:w="0" w:type="dxa"/>
        </w:trPr>
        <w:tc>
          <w:tcPr>
            <w:tcW w:w="0" w:type="auto"/>
            <w:noWrap w:val="0"/>
            <w:vAlign w:val="center"/>
          </w:tcPr>
          <w:p w14:paraId="5E841BB8">
            <w:r>
              <w:rPr>
                <w:rStyle w:val="10"/>
                <w:rFonts w:hint="eastAsia"/>
              </w:rPr>
              <w:t>注意事项：</w:t>
            </w:r>
            <w:r>
              <w:rPr>
                <w:rFonts w:hint="eastAsia"/>
              </w:rPr>
              <w:br w:type="textWrapping"/>
            </w:r>
            <w:r>
              <w:rPr>
                <w:rStyle w:val="11"/>
                <w:rFonts w:hint="eastAsia"/>
              </w:rPr>
              <w:t>1.严格按规定用药量和方法使用。2.本品对家蚕和捕食性天敌瓢虫有风险。施药时应在桑园或蚕室附近禁止使用，瓢虫、赤眼蜂等天敌放飞区域禁用；应避免对周围蜂群的影响，蜜源作物花期、鸟类保护区附近慎用；水产养殖区、河塘等水体附近禁用，禁止在河塘等水域清洗施药器具；应避免药液流入河塘等水体中，清洗喷药器械时切忌污染水源。 3.使用本药剂的喷雾器及其它器具必须专用，否则要用碱水多次冲洗，经做试验安全后再对作物使用，以防药害。 4.施用时应严格防护（帽子、口罩、长衣、长裤、手套、鞋等）。本品对眼睛有刺激性，使用时避免药液接触眼睛、粘膜和伤口等。避免吸入药液。施药期间不可吃东西和饮水，施药后应及时洗手和洗脸。 5.用药后包装物及用过的容器应妥善处理，不可做他用，也不可随意丢弃。 6.孕妇及哺乳期妇女禁止接触。7.避免与氧化剂接触。</w:t>
            </w:r>
          </w:p>
        </w:tc>
      </w:tr>
      <w:tr w14:paraId="7F4C726C">
        <w:tblPrEx>
          <w:tblCellMar>
            <w:top w:w="0" w:type="dxa"/>
            <w:left w:w="0" w:type="dxa"/>
            <w:bottom w:w="0" w:type="dxa"/>
            <w:right w:w="0" w:type="dxa"/>
          </w:tblCellMar>
        </w:tblPrEx>
        <w:trPr>
          <w:wBefore w:w="0" w:type="auto"/>
          <w:tblCellSpacing w:w="0" w:type="dxa"/>
        </w:trPr>
        <w:tc>
          <w:tcPr>
            <w:tcW w:w="0" w:type="auto"/>
            <w:noWrap w:val="0"/>
            <w:vAlign w:val="center"/>
          </w:tcPr>
          <w:p w14:paraId="19F1B0B8">
            <w:r>
              <w:rPr>
                <w:rStyle w:val="10"/>
                <w:rFonts w:hint="eastAsia"/>
              </w:rPr>
              <w:t>中毒急救措施：</w:t>
            </w:r>
            <w:r>
              <w:rPr>
                <w:rFonts w:hint="eastAsia"/>
              </w:rPr>
              <w:br w:type="textWrapping"/>
            </w:r>
            <w:r>
              <w:rPr>
                <w:rStyle w:val="11"/>
                <w:rFonts w:hint="eastAsia"/>
              </w:rPr>
              <w:t>对眼睛、皮肤有刺激性，使用时避免接触眼睛、皮肤。不慎溅入眼睛，提起眼睑，用流动清水或生理盐水冲洗，就医。不慎接触皮肤，应用大量清水冲洗至少15分钟。不慎吸入，应将病人移至空气流通处。如发生误服，应及时携标签将病人送医院对症治疗。</w:t>
            </w:r>
          </w:p>
        </w:tc>
      </w:tr>
      <w:tr w14:paraId="2D994803">
        <w:tblPrEx>
          <w:tblCellMar>
            <w:top w:w="0" w:type="dxa"/>
            <w:left w:w="0" w:type="dxa"/>
            <w:bottom w:w="0" w:type="dxa"/>
            <w:right w:w="0" w:type="dxa"/>
          </w:tblCellMar>
        </w:tblPrEx>
        <w:trPr>
          <w:wBefore w:w="0" w:type="auto"/>
          <w:tblCellSpacing w:w="0" w:type="dxa"/>
        </w:trPr>
        <w:tc>
          <w:tcPr>
            <w:tcW w:w="0" w:type="auto"/>
            <w:noWrap w:val="0"/>
            <w:vAlign w:val="center"/>
          </w:tcPr>
          <w:p w14:paraId="21B1878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032C9885">
        <w:tblPrEx>
          <w:tblCellMar>
            <w:top w:w="0" w:type="dxa"/>
            <w:left w:w="0" w:type="dxa"/>
            <w:bottom w:w="0" w:type="dxa"/>
            <w:right w:w="0" w:type="dxa"/>
          </w:tblCellMar>
        </w:tblPrEx>
        <w:trPr>
          <w:wBefore w:w="0" w:type="auto"/>
          <w:tblCellSpacing w:w="0" w:type="dxa"/>
        </w:trPr>
        <w:tc>
          <w:tcPr>
            <w:tcW w:w="0" w:type="auto"/>
            <w:noWrap w:val="0"/>
            <w:vAlign w:val="center"/>
          </w:tcPr>
          <w:p w14:paraId="54BA68BD">
            <w:r>
              <w:rPr>
                <w:rStyle w:val="10"/>
                <w:rFonts w:hint="eastAsia"/>
              </w:rPr>
              <w:t>质量保证期：</w:t>
            </w:r>
            <w:r>
              <w:rPr>
                <w:rStyle w:val="11"/>
                <w:rFonts w:hint="eastAsia"/>
              </w:rPr>
              <w:t>2年</w:t>
            </w:r>
          </w:p>
        </w:tc>
      </w:tr>
      <w:tr w14:paraId="54211BC3">
        <w:tblPrEx>
          <w:tblCellMar>
            <w:top w:w="0" w:type="dxa"/>
            <w:left w:w="0" w:type="dxa"/>
            <w:bottom w:w="0" w:type="dxa"/>
            <w:right w:w="0" w:type="dxa"/>
          </w:tblCellMar>
        </w:tblPrEx>
        <w:trPr>
          <w:wBefore w:w="0" w:type="auto"/>
          <w:tblCellSpacing w:w="0" w:type="dxa"/>
        </w:trPr>
        <w:tc>
          <w:tcPr>
            <w:tcW w:w="0" w:type="auto"/>
            <w:noWrap w:val="0"/>
            <w:vAlign w:val="center"/>
          </w:tcPr>
          <w:p w14:paraId="7B4A822C">
            <w:r>
              <w:rPr>
                <w:rStyle w:val="10"/>
                <w:rFonts w:hint="eastAsia"/>
              </w:rPr>
              <w:t>备注：</w:t>
            </w:r>
          </w:p>
        </w:tc>
      </w:tr>
    </w:tbl>
    <w:p w14:paraId="5FFB05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018A64">
        <w:tblPrEx>
          <w:tblCellMar>
            <w:top w:w="0" w:type="dxa"/>
            <w:left w:w="0" w:type="dxa"/>
            <w:bottom w:w="0" w:type="dxa"/>
            <w:right w:w="0" w:type="dxa"/>
          </w:tblCellMar>
        </w:tblPrEx>
        <w:trPr>
          <w:wBefore w:w="0" w:type="auto"/>
          <w:tblCellSpacing w:w="0" w:type="dxa"/>
        </w:trPr>
        <w:tc>
          <w:tcPr>
            <w:tcW w:w="0" w:type="auto"/>
            <w:noWrap w:val="0"/>
            <w:vAlign w:val="center"/>
          </w:tcPr>
          <w:p w14:paraId="05F6045F">
            <w:r>
              <w:rPr>
                <w:rStyle w:val="10"/>
                <w:rFonts w:hint="eastAsia"/>
              </w:rPr>
              <w:t>登记证号：</w:t>
            </w:r>
            <w:r>
              <w:rPr>
                <w:rFonts w:hint="eastAsia"/>
              </w:rPr>
              <w:t>PD20212438</w:t>
            </w:r>
          </w:p>
        </w:tc>
      </w:tr>
      <w:tr w14:paraId="0F4F57A5">
        <w:tblPrEx>
          <w:tblCellMar>
            <w:top w:w="0" w:type="dxa"/>
            <w:left w:w="0" w:type="dxa"/>
            <w:bottom w:w="0" w:type="dxa"/>
            <w:right w:w="0" w:type="dxa"/>
          </w:tblCellMar>
        </w:tblPrEx>
        <w:trPr>
          <w:wBefore w:w="0" w:type="auto"/>
          <w:tblCellSpacing w:w="0" w:type="dxa"/>
        </w:trPr>
        <w:tc>
          <w:tcPr>
            <w:tcW w:w="0" w:type="auto"/>
            <w:noWrap w:val="0"/>
            <w:vAlign w:val="center"/>
          </w:tcPr>
          <w:p w14:paraId="5F71212D">
            <w:r>
              <w:rPr>
                <w:rStyle w:val="10"/>
                <w:rFonts w:hint="eastAsia"/>
              </w:rPr>
              <w:t>登记证持有人：</w:t>
            </w:r>
            <w:r>
              <w:rPr>
                <w:rFonts w:hint="eastAsia"/>
              </w:rPr>
              <w:t>河南农王实业有限公司</w:t>
            </w:r>
          </w:p>
        </w:tc>
      </w:tr>
      <w:tr w14:paraId="75C559A9">
        <w:tblPrEx>
          <w:tblCellMar>
            <w:top w:w="0" w:type="dxa"/>
            <w:left w:w="0" w:type="dxa"/>
            <w:bottom w:w="0" w:type="dxa"/>
            <w:right w:w="0" w:type="dxa"/>
          </w:tblCellMar>
        </w:tblPrEx>
        <w:trPr>
          <w:wBefore w:w="0" w:type="auto"/>
          <w:tblCellSpacing w:w="0" w:type="dxa"/>
        </w:trPr>
        <w:tc>
          <w:tcPr>
            <w:tcW w:w="0" w:type="auto"/>
            <w:noWrap w:val="0"/>
            <w:vAlign w:val="center"/>
          </w:tcPr>
          <w:p w14:paraId="3296D61B">
            <w:r>
              <w:rPr>
                <w:rStyle w:val="10"/>
                <w:rFonts w:hint="eastAsia"/>
              </w:rPr>
              <w:t>农药名称：</w:t>
            </w:r>
            <w:r>
              <w:rPr>
                <w:rFonts w:hint="eastAsia"/>
              </w:rPr>
              <w:t>氟啶虫酰胺·联苯菊酯</w:t>
            </w:r>
          </w:p>
        </w:tc>
      </w:tr>
      <w:tr w14:paraId="5EB4B782">
        <w:tblPrEx>
          <w:tblCellMar>
            <w:top w:w="0" w:type="dxa"/>
            <w:left w:w="0" w:type="dxa"/>
            <w:bottom w:w="0" w:type="dxa"/>
            <w:right w:w="0" w:type="dxa"/>
          </w:tblCellMar>
        </w:tblPrEx>
        <w:trPr>
          <w:wBefore w:w="0" w:type="auto"/>
          <w:tblCellSpacing w:w="0" w:type="dxa"/>
        </w:trPr>
        <w:tc>
          <w:tcPr>
            <w:tcW w:w="0" w:type="auto"/>
            <w:noWrap w:val="0"/>
            <w:vAlign w:val="center"/>
          </w:tcPr>
          <w:p w14:paraId="2E10A247">
            <w:r>
              <w:rPr>
                <w:rStyle w:val="10"/>
                <w:rFonts w:hint="eastAsia"/>
              </w:rPr>
              <w:t>剂型：</w:t>
            </w:r>
            <w:r>
              <w:rPr>
                <w:rFonts w:hint="eastAsia"/>
              </w:rPr>
              <w:t>悬浮剂</w:t>
            </w:r>
          </w:p>
        </w:tc>
      </w:tr>
      <w:tr w14:paraId="5545FCF7">
        <w:tblPrEx>
          <w:tblCellMar>
            <w:top w:w="0" w:type="dxa"/>
            <w:left w:w="0" w:type="dxa"/>
            <w:bottom w:w="0" w:type="dxa"/>
            <w:right w:w="0" w:type="dxa"/>
          </w:tblCellMar>
        </w:tblPrEx>
        <w:trPr>
          <w:wBefore w:w="0" w:type="auto"/>
          <w:tblCellSpacing w:w="0" w:type="dxa"/>
        </w:trPr>
        <w:tc>
          <w:tcPr>
            <w:tcW w:w="0" w:type="auto"/>
            <w:noWrap w:val="0"/>
            <w:vAlign w:val="center"/>
          </w:tcPr>
          <w:p w14:paraId="79038BCF">
            <w:r>
              <w:rPr>
                <w:rStyle w:val="10"/>
                <w:rFonts w:hint="eastAsia"/>
              </w:rPr>
              <w:t>毒性及其标识：</w:t>
            </w:r>
            <w:r>
              <w:rPr>
                <w:rFonts w:hint="eastAsia"/>
              </w:rPr>
              <w:t xml:space="preserve"> </w:t>
            </w:r>
            <w:r>
              <w:rPr>
                <w:lang/>
              </w:rPr>
              <w:drawing>
                <wp:inline distT="0" distB="0" distL="114300" distR="114300">
                  <wp:extent cx="476250" cy="323850"/>
                  <wp:effectExtent l="0" t="0" r="0" b="0"/>
                  <wp:docPr id="348" name="图片 3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E698DD9">
        <w:tblPrEx>
          <w:tblCellMar>
            <w:top w:w="0" w:type="dxa"/>
            <w:left w:w="0" w:type="dxa"/>
            <w:bottom w:w="0" w:type="dxa"/>
            <w:right w:w="0" w:type="dxa"/>
          </w:tblCellMar>
        </w:tblPrEx>
        <w:trPr>
          <w:wBefore w:w="0" w:type="auto"/>
          <w:tblCellSpacing w:w="0" w:type="dxa"/>
        </w:trPr>
        <w:tc>
          <w:tcPr>
            <w:tcW w:w="0" w:type="auto"/>
            <w:noWrap w:val="0"/>
            <w:vAlign w:val="center"/>
          </w:tcPr>
          <w:p w14:paraId="00D1D91F">
            <w:r>
              <w:rPr>
                <w:rStyle w:val="10"/>
                <w:rFonts w:hint="eastAsia"/>
              </w:rPr>
              <w:t>总有效成分含量：</w:t>
            </w:r>
            <w:r>
              <w:rPr>
                <w:rFonts w:hint="eastAsia"/>
              </w:rPr>
              <w:t>15%</w:t>
            </w:r>
          </w:p>
        </w:tc>
      </w:tr>
      <w:tr w14:paraId="49C7B3AF">
        <w:tblPrEx>
          <w:tblCellMar>
            <w:top w:w="0" w:type="dxa"/>
            <w:left w:w="0" w:type="dxa"/>
            <w:bottom w:w="0" w:type="dxa"/>
            <w:right w:w="0" w:type="dxa"/>
          </w:tblCellMar>
        </w:tblPrEx>
        <w:trPr>
          <w:wBefore w:w="0" w:type="auto"/>
          <w:tblCellSpacing w:w="0" w:type="dxa"/>
        </w:trPr>
        <w:tc>
          <w:tcPr>
            <w:tcW w:w="0" w:type="auto"/>
            <w:noWrap w:val="0"/>
            <w:vAlign w:val="center"/>
          </w:tcPr>
          <w:p w14:paraId="79B64238">
            <w:r>
              <w:rPr>
                <w:rFonts w:hint="eastAsia"/>
              </w:rPr>
              <w:t xml:space="preserve">有效成分及其含量： </w:t>
            </w:r>
          </w:p>
          <w:p w14:paraId="192FDC83">
            <w:r>
              <w:rPr>
                <w:rFonts w:hint="eastAsia"/>
              </w:rPr>
              <w:t xml:space="preserve">    氟啶虫酰胺10%    联苯菊酯5%    </w:t>
            </w:r>
          </w:p>
        </w:tc>
      </w:tr>
      <w:tr w14:paraId="548C6D76">
        <w:tblPrEx>
          <w:tblCellMar>
            <w:top w:w="0" w:type="dxa"/>
            <w:left w:w="0" w:type="dxa"/>
            <w:bottom w:w="0" w:type="dxa"/>
            <w:right w:w="0" w:type="dxa"/>
          </w:tblCellMar>
        </w:tblPrEx>
        <w:trPr>
          <w:wBefore w:w="0" w:type="auto"/>
          <w:tblCellSpacing w:w="0" w:type="dxa"/>
        </w:trPr>
        <w:tc>
          <w:tcPr>
            <w:tcW w:w="0" w:type="auto"/>
            <w:noWrap w:val="0"/>
            <w:vAlign w:val="center"/>
          </w:tcPr>
          <w:p w14:paraId="64286D2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E41D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EEAA8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2570A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95CCA0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FF5915">
                  <w:r>
                    <w:rPr>
                      <w:rStyle w:val="11"/>
                      <w:rFonts w:hint="eastAsia"/>
                    </w:rPr>
                    <w:t>施用方式</w:t>
                  </w:r>
                </w:p>
              </w:tc>
            </w:tr>
            <w:tr w14:paraId="052344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896CF6">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63A2C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05830">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0F3457">
                  <w:r>
                    <w:rPr>
                      <w:rStyle w:val="11"/>
                      <w:rFonts w:hint="eastAsia"/>
                    </w:rPr>
                    <w:t>喷雾</w:t>
                  </w:r>
                </w:p>
              </w:tc>
            </w:tr>
          </w:tbl>
          <w:p w14:paraId="4536B89D">
            <w:pPr>
              <w:rPr>
                <w:rFonts w:ascii="Times New Roman" w:hAnsi="Times New Roman" w:cs="Times New Roman"/>
                <w:sz w:val="20"/>
                <w:szCs w:val="20"/>
              </w:rPr>
            </w:pPr>
          </w:p>
        </w:tc>
      </w:tr>
      <w:tr w14:paraId="500C70BB">
        <w:tblPrEx>
          <w:tblCellMar>
            <w:top w:w="0" w:type="dxa"/>
            <w:left w:w="0" w:type="dxa"/>
            <w:bottom w:w="0" w:type="dxa"/>
            <w:right w:w="0" w:type="dxa"/>
          </w:tblCellMar>
        </w:tblPrEx>
        <w:trPr>
          <w:wBefore w:w="0" w:type="auto"/>
          <w:tblCellSpacing w:w="0" w:type="dxa"/>
        </w:trPr>
        <w:tc>
          <w:tcPr>
            <w:tcW w:w="0" w:type="auto"/>
            <w:noWrap w:val="0"/>
            <w:vAlign w:val="center"/>
          </w:tcPr>
          <w:p w14:paraId="4511056B">
            <w:r>
              <w:rPr>
                <w:rStyle w:val="10"/>
                <w:rFonts w:hint="eastAsia"/>
              </w:rPr>
              <w:t>使用技术要求:</w:t>
            </w:r>
            <w:r>
              <w:rPr>
                <w:rFonts w:hint="eastAsia"/>
              </w:rPr>
              <w:br w:type="textWrapping"/>
            </w:r>
            <w:r>
              <w:rPr>
                <w:rStyle w:val="11"/>
                <w:rFonts w:hint="eastAsia"/>
              </w:rPr>
              <w:t>1．本品在桃树蚜虫始盛期施药1次。注意喷雾均匀。 2．本品在桃树上使用时的安全间隔期为14天，每季作物最多使用1次。 3．大风天或预计2小时内降雨，请勿施药。</w:t>
            </w:r>
          </w:p>
        </w:tc>
      </w:tr>
      <w:tr w14:paraId="10F551A9">
        <w:tblPrEx>
          <w:tblCellMar>
            <w:top w:w="0" w:type="dxa"/>
            <w:left w:w="0" w:type="dxa"/>
            <w:bottom w:w="0" w:type="dxa"/>
            <w:right w:w="0" w:type="dxa"/>
          </w:tblCellMar>
        </w:tblPrEx>
        <w:trPr>
          <w:wBefore w:w="0" w:type="auto"/>
          <w:tblCellSpacing w:w="0" w:type="dxa"/>
        </w:trPr>
        <w:tc>
          <w:tcPr>
            <w:tcW w:w="0" w:type="auto"/>
            <w:noWrap w:val="0"/>
            <w:vAlign w:val="center"/>
          </w:tcPr>
          <w:p w14:paraId="716D580A">
            <w:r>
              <w:rPr>
                <w:rStyle w:val="10"/>
                <w:rFonts w:hint="eastAsia"/>
              </w:rPr>
              <w:t>产品性能:</w:t>
            </w:r>
            <w:r>
              <w:rPr>
                <w:rFonts w:hint="eastAsia"/>
              </w:rPr>
              <w:br w:type="textWrapping"/>
            </w:r>
            <w:r>
              <w:rPr>
                <w:rStyle w:val="11"/>
                <w:rFonts w:hint="eastAsia"/>
              </w:rPr>
              <w:t>本品为氟啶虫酰胺和联苯菊酯复配而成的杀虫剂，除具有触杀和胃毒作用，还具有很好的神经毒剂和快速拒食作用。</w:t>
            </w:r>
          </w:p>
        </w:tc>
      </w:tr>
      <w:tr w14:paraId="6ED888ED">
        <w:tblPrEx>
          <w:tblCellMar>
            <w:top w:w="0" w:type="dxa"/>
            <w:left w:w="0" w:type="dxa"/>
            <w:bottom w:w="0" w:type="dxa"/>
            <w:right w:w="0" w:type="dxa"/>
          </w:tblCellMar>
        </w:tblPrEx>
        <w:trPr>
          <w:wBefore w:w="0" w:type="auto"/>
          <w:tblCellSpacing w:w="0" w:type="dxa"/>
        </w:trPr>
        <w:tc>
          <w:tcPr>
            <w:tcW w:w="0" w:type="auto"/>
            <w:noWrap w:val="0"/>
            <w:vAlign w:val="center"/>
          </w:tcPr>
          <w:p w14:paraId="0384C07F">
            <w:r>
              <w:rPr>
                <w:rStyle w:val="10"/>
                <w:rFonts w:hint="eastAsia"/>
              </w:rPr>
              <w:t>注意事项：</w:t>
            </w:r>
            <w:r>
              <w:rPr>
                <w:rFonts w:hint="eastAsia"/>
              </w:rPr>
              <w:br w:type="textWrapping"/>
            </w:r>
            <w:r>
              <w:rPr>
                <w:rStyle w:val="11"/>
                <w:rFonts w:hint="eastAsia"/>
              </w:rPr>
              <w:t>1. 本品不可与呈碱性的农药等物质混合使用。2.使用时穿戴长衣、长裤、帽子、口罩、手套等安全防护措施。 避免皮肤接触及口鼻吸入药液。施药期间不可吃东西和饮水，施药后应及时洗手和洗脸。3.本品对蜜蜂、鱼等水生生物、家蚕有毒，施药期间避免对周围蜂群的影响，（周围）开花植物花期禁用，使用时应密切关注对附近蜂群的影响； 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w:t>
            </w:r>
          </w:p>
        </w:tc>
      </w:tr>
      <w:tr w14:paraId="57DD07FE">
        <w:tblPrEx>
          <w:tblCellMar>
            <w:top w:w="0" w:type="dxa"/>
            <w:left w:w="0" w:type="dxa"/>
            <w:bottom w:w="0" w:type="dxa"/>
            <w:right w:w="0" w:type="dxa"/>
          </w:tblCellMar>
        </w:tblPrEx>
        <w:trPr>
          <w:wBefore w:w="0" w:type="auto"/>
          <w:tblCellSpacing w:w="0" w:type="dxa"/>
        </w:trPr>
        <w:tc>
          <w:tcPr>
            <w:tcW w:w="0" w:type="auto"/>
            <w:noWrap w:val="0"/>
            <w:vAlign w:val="center"/>
          </w:tcPr>
          <w:p w14:paraId="347286A2">
            <w:r>
              <w:rPr>
                <w:rStyle w:val="10"/>
                <w:rFonts w:hint="eastAsia"/>
              </w:rPr>
              <w:t>中毒急救措施：</w:t>
            </w:r>
            <w:r>
              <w:rPr>
                <w:rFonts w:hint="eastAsia"/>
              </w:rPr>
              <w:br w:type="textWrapping"/>
            </w:r>
            <w:r>
              <w:rPr>
                <w:rStyle w:val="11"/>
                <w:rFonts w:hint="eastAsia"/>
              </w:rPr>
              <w:t xml:space="preserve">急救措施：1.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 </w:t>
            </w:r>
          </w:p>
        </w:tc>
      </w:tr>
      <w:tr w14:paraId="1DF4C3AC">
        <w:tblPrEx>
          <w:tblCellMar>
            <w:top w:w="0" w:type="dxa"/>
            <w:left w:w="0" w:type="dxa"/>
            <w:bottom w:w="0" w:type="dxa"/>
            <w:right w:w="0" w:type="dxa"/>
          </w:tblCellMar>
        </w:tblPrEx>
        <w:trPr>
          <w:wBefore w:w="0" w:type="auto"/>
          <w:tblCellSpacing w:w="0" w:type="dxa"/>
        </w:trPr>
        <w:tc>
          <w:tcPr>
            <w:tcW w:w="0" w:type="auto"/>
            <w:noWrap w:val="0"/>
            <w:vAlign w:val="center"/>
          </w:tcPr>
          <w:p w14:paraId="7B4959EA">
            <w:r>
              <w:rPr>
                <w:rStyle w:val="10"/>
                <w:rFonts w:hint="eastAsia"/>
              </w:rPr>
              <w:t>储存和运输方法：</w:t>
            </w:r>
            <w:r>
              <w:rPr>
                <w:rFonts w:hint="eastAsia"/>
              </w:rPr>
              <w:br w:type="textWrapping"/>
            </w:r>
            <w:r>
              <w:rPr>
                <w:rStyle w:val="11"/>
                <w:rFonts w:hint="eastAsia"/>
              </w:rPr>
              <w:t>本品应贮存在干燥、阴凉、通风、防雨处，远离火源和热源，置于儿童触及不到之处，并加锁；不能与食品、饮料、粮食、饲料等物品同贮同运。装卸运输时注意检查包装是否密封完整，轻拿轻放，不可倒置。</w:t>
            </w:r>
          </w:p>
        </w:tc>
      </w:tr>
      <w:tr w14:paraId="22791DAE">
        <w:tblPrEx>
          <w:tblCellMar>
            <w:top w:w="0" w:type="dxa"/>
            <w:left w:w="0" w:type="dxa"/>
            <w:bottom w:w="0" w:type="dxa"/>
            <w:right w:w="0" w:type="dxa"/>
          </w:tblCellMar>
        </w:tblPrEx>
        <w:trPr>
          <w:wBefore w:w="0" w:type="auto"/>
          <w:tblCellSpacing w:w="0" w:type="dxa"/>
        </w:trPr>
        <w:tc>
          <w:tcPr>
            <w:tcW w:w="0" w:type="auto"/>
            <w:noWrap w:val="0"/>
            <w:vAlign w:val="center"/>
          </w:tcPr>
          <w:p w14:paraId="4A5E1C2D">
            <w:r>
              <w:rPr>
                <w:rStyle w:val="10"/>
                <w:rFonts w:hint="eastAsia"/>
              </w:rPr>
              <w:t>质量保证期：</w:t>
            </w:r>
            <w:r>
              <w:rPr>
                <w:rStyle w:val="11"/>
                <w:rFonts w:hint="eastAsia"/>
              </w:rPr>
              <w:t>2年</w:t>
            </w:r>
          </w:p>
        </w:tc>
      </w:tr>
      <w:tr w14:paraId="1758FC5C">
        <w:tblPrEx>
          <w:tblCellMar>
            <w:top w:w="0" w:type="dxa"/>
            <w:left w:w="0" w:type="dxa"/>
            <w:bottom w:w="0" w:type="dxa"/>
            <w:right w:w="0" w:type="dxa"/>
          </w:tblCellMar>
        </w:tblPrEx>
        <w:trPr>
          <w:wBefore w:w="0" w:type="auto"/>
          <w:tblCellSpacing w:w="0" w:type="dxa"/>
        </w:trPr>
        <w:tc>
          <w:tcPr>
            <w:tcW w:w="0" w:type="auto"/>
            <w:noWrap w:val="0"/>
            <w:vAlign w:val="center"/>
          </w:tcPr>
          <w:p w14:paraId="10C9D30F">
            <w:r>
              <w:rPr>
                <w:rStyle w:val="10"/>
                <w:rFonts w:hint="eastAsia"/>
              </w:rPr>
              <w:t>备注：</w:t>
            </w:r>
          </w:p>
        </w:tc>
      </w:tr>
    </w:tbl>
    <w:p w14:paraId="7C3E2E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8F607A">
        <w:tblPrEx>
          <w:tblCellMar>
            <w:top w:w="0" w:type="dxa"/>
            <w:left w:w="0" w:type="dxa"/>
            <w:bottom w:w="0" w:type="dxa"/>
            <w:right w:w="0" w:type="dxa"/>
          </w:tblCellMar>
        </w:tblPrEx>
        <w:trPr>
          <w:wBefore w:w="0" w:type="auto"/>
          <w:tblCellSpacing w:w="0" w:type="dxa"/>
        </w:trPr>
        <w:tc>
          <w:tcPr>
            <w:tcW w:w="0" w:type="auto"/>
            <w:noWrap w:val="0"/>
            <w:vAlign w:val="center"/>
          </w:tcPr>
          <w:p w14:paraId="67FBA712">
            <w:r>
              <w:rPr>
                <w:rStyle w:val="10"/>
                <w:rFonts w:hint="eastAsia"/>
              </w:rPr>
              <w:t>登记证号：</w:t>
            </w:r>
            <w:r>
              <w:rPr>
                <w:rFonts w:hint="eastAsia"/>
              </w:rPr>
              <w:t>PD20212408</w:t>
            </w:r>
          </w:p>
        </w:tc>
      </w:tr>
      <w:tr w14:paraId="32DEB47E">
        <w:tblPrEx>
          <w:tblCellMar>
            <w:top w:w="0" w:type="dxa"/>
            <w:left w:w="0" w:type="dxa"/>
            <w:bottom w:w="0" w:type="dxa"/>
            <w:right w:w="0" w:type="dxa"/>
          </w:tblCellMar>
        </w:tblPrEx>
        <w:trPr>
          <w:wBefore w:w="0" w:type="auto"/>
          <w:tblCellSpacing w:w="0" w:type="dxa"/>
        </w:trPr>
        <w:tc>
          <w:tcPr>
            <w:tcW w:w="0" w:type="auto"/>
            <w:noWrap w:val="0"/>
            <w:vAlign w:val="center"/>
          </w:tcPr>
          <w:p w14:paraId="5585CBB4">
            <w:r>
              <w:rPr>
                <w:rStyle w:val="10"/>
                <w:rFonts w:hint="eastAsia"/>
              </w:rPr>
              <w:t>登记证持有人：</w:t>
            </w:r>
            <w:r>
              <w:rPr>
                <w:rFonts w:hint="eastAsia"/>
              </w:rPr>
              <w:t>瑞隆农化技术（宿州）有限公司</w:t>
            </w:r>
          </w:p>
        </w:tc>
      </w:tr>
      <w:tr w14:paraId="7BFD80EB">
        <w:tblPrEx>
          <w:tblCellMar>
            <w:top w:w="0" w:type="dxa"/>
            <w:left w:w="0" w:type="dxa"/>
            <w:bottom w:w="0" w:type="dxa"/>
            <w:right w:w="0" w:type="dxa"/>
          </w:tblCellMar>
        </w:tblPrEx>
        <w:trPr>
          <w:wBefore w:w="0" w:type="auto"/>
          <w:tblCellSpacing w:w="0" w:type="dxa"/>
        </w:trPr>
        <w:tc>
          <w:tcPr>
            <w:tcW w:w="0" w:type="auto"/>
            <w:noWrap w:val="0"/>
            <w:vAlign w:val="center"/>
          </w:tcPr>
          <w:p w14:paraId="115EBAB4">
            <w:r>
              <w:rPr>
                <w:rStyle w:val="10"/>
                <w:rFonts w:hint="eastAsia"/>
              </w:rPr>
              <w:t>农药名称：</w:t>
            </w:r>
            <w:r>
              <w:rPr>
                <w:rFonts w:hint="eastAsia"/>
              </w:rPr>
              <w:t>联苯·呋虫胺</w:t>
            </w:r>
          </w:p>
        </w:tc>
      </w:tr>
      <w:tr w14:paraId="5D869005">
        <w:tblPrEx>
          <w:tblCellMar>
            <w:top w:w="0" w:type="dxa"/>
            <w:left w:w="0" w:type="dxa"/>
            <w:bottom w:w="0" w:type="dxa"/>
            <w:right w:w="0" w:type="dxa"/>
          </w:tblCellMar>
        </w:tblPrEx>
        <w:trPr>
          <w:wBefore w:w="0" w:type="auto"/>
          <w:tblCellSpacing w:w="0" w:type="dxa"/>
        </w:trPr>
        <w:tc>
          <w:tcPr>
            <w:tcW w:w="0" w:type="auto"/>
            <w:noWrap w:val="0"/>
            <w:vAlign w:val="center"/>
          </w:tcPr>
          <w:p w14:paraId="6667F46F">
            <w:r>
              <w:rPr>
                <w:rStyle w:val="10"/>
                <w:rFonts w:hint="eastAsia"/>
              </w:rPr>
              <w:t>剂型：</w:t>
            </w:r>
            <w:r>
              <w:rPr>
                <w:rFonts w:hint="eastAsia"/>
              </w:rPr>
              <w:t>颗粒剂</w:t>
            </w:r>
          </w:p>
        </w:tc>
      </w:tr>
      <w:tr w14:paraId="186EAFC1">
        <w:tblPrEx>
          <w:tblCellMar>
            <w:top w:w="0" w:type="dxa"/>
            <w:left w:w="0" w:type="dxa"/>
            <w:bottom w:w="0" w:type="dxa"/>
            <w:right w:w="0" w:type="dxa"/>
          </w:tblCellMar>
        </w:tblPrEx>
        <w:trPr>
          <w:wBefore w:w="0" w:type="auto"/>
          <w:tblCellSpacing w:w="0" w:type="dxa"/>
        </w:trPr>
        <w:tc>
          <w:tcPr>
            <w:tcW w:w="0" w:type="auto"/>
            <w:noWrap w:val="0"/>
            <w:vAlign w:val="center"/>
          </w:tcPr>
          <w:p w14:paraId="6002FCA4">
            <w:r>
              <w:rPr>
                <w:rStyle w:val="10"/>
                <w:rFonts w:hint="eastAsia"/>
              </w:rPr>
              <w:t>毒性及其标识：</w:t>
            </w:r>
            <w:r>
              <w:rPr>
                <w:rFonts w:hint="eastAsia"/>
              </w:rPr>
              <w:t xml:space="preserve"> 微毒 </w:t>
            </w:r>
          </w:p>
        </w:tc>
      </w:tr>
      <w:tr w14:paraId="6128C9F7">
        <w:tblPrEx>
          <w:tblCellMar>
            <w:top w:w="0" w:type="dxa"/>
            <w:left w:w="0" w:type="dxa"/>
            <w:bottom w:w="0" w:type="dxa"/>
            <w:right w:w="0" w:type="dxa"/>
          </w:tblCellMar>
        </w:tblPrEx>
        <w:trPr>
          <w:wBefore w:w="0" w:type="auto"/>
          <w:tblCellSpacing w:w="0" w:type="dxa"/>
        </w:trPr>
        <w:tc>
          <w:tcPr>
            <w:tcW w:w="0" w:type="auto"/>
            <w:noWrap w:val="0"/>
            <w:vAlign w:val="center"/>
          </w:tcPr>
          <w:p w14:paraId="18CC1EEA">
            <w:r>
              <w:rPr>
                <w:rStyle w:val="10"/>
                <w:rFonts w:hint="eastAsia"/>
              </w:rPr>
              <w:t>总有效成分含量：</w:t>
            </w:r>
            <w:r>
              <w:rPr>
                <w:rFonts w:hint="eastAsia"/>
              </w:rPr>
              <w:t>1%</w:t>
            </w:r>
          </w:p>
        </w:tc>
      </w:tr>
      <w:tr w14:paraId="0BE227F1">
        <w:tblPrEx>
          <w:tblCellMar>
            <w:top w:w="0" w:type="dxa"/>
            <w:left w:w="0" w:type="dxa"/>
            <w:bottom w:w="0" w:type="dxa"/>
            <w:right w:w="0" w:type="dxa"/>
          </w:tblCellMar>
        </w:tblPrEx>
        <w:trPr>
          <w:wBefore w:w="0" w:type="auto"/>
          <w:tblCellSpacing w:w="0" w:type="dxa"/>
        </w:trPr>
        <w:tc>
          <w:tcPr>
            <w:tcW w:w="0" w:type="auto"/>
            <w:noWrap w:val="0"/>
            <w:vAlign w:val="center"/>
          </w:tcPr>
          <w:p w14:paraId="76333620">
            <w:r>
              <w:rPr>
                <w:rFonts w:hint="eastAsia"/>
              </w:rPr>
              <w:t xml:space="preserve">有效成分及其含量： </w:t>
            </w:r>
          </w:p>
          <w:p w14:paraId="121A6EE5">
            <w:r>
              <w:rPr>
                <w:rFonts w:hint="eastAsia"/>
              </w:rPr>
              <w:t xml:space="preserve">    联苯菊酯0.5%    呋虫胺0.5%    </w:t>
            </w:r>
          </w:p>
        </w:tc>
      </w:tr>
      <w:tr w14:paraId="78793B62">
        <w:tblPrEx>
          <w:tblCellMar>
            <w:top w:w="0" w:type="dxa"/>
            <w:left w:w="0" w:type="dxa"/>
            <w:bottom w:w="0" w:type="dxa"/>
            <w:right w:w="0" w:type="dxa"/>
          </w:tblCellMar>
        </w:tblPrEx>
        <w:trPr>
          <w:wBefore w:w="0" w:type="auto"/>
          <w:tblCellSpacing w:w="0" w:type="dxa"/>
        </w:trPr>
        <w:tc>
          <w:tcPr>
            <w:tcW w:w="0" w:type="auto"/>
            <w:noWrap w:val="0"/>
            <w:vAlign w:val="center"/>
          </w:tcPr>
          <w:p w14:paraId="76C92D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67A6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6EA8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CBEE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B77D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2F593B">
                  <w:r>
                    <w:rPr>
                      <w:rStyle w:val="11"/>
                      <w:rFonts w:hint="eastAsia"/>
                    </w:rPr>
                    <w:t>施用方式</w:t>
                  </w:r>
                </w:p>
              </w:tc>
            </w:tr>
            <w:tr w14:paraId="5C51FA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24D820">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1A3134">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7014CE">
                  <w:r>
                    <w:rPr>
                      <w:rStyle w:val="11"/>
                      <w:rFonts w:hint="eastAsia"/>
                    </w:rPr>
                    <w:t>1500-2100克/亩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DC00AD">
                  <w:r>
                    <w:rPr>
                      <w:rStyle w:val="11"/>
                      <w:rFonts w:hint="eastAsia"/>
                    </w:rPr>
                    <w:t>撒施</w:t>
                  </w:r>
                </w:p>
              </w:tc>
            </w:tr>
          </w:tbl>
          <w:p w14:paraId="1BEE1822">
            <w:pPr>
              <w:rPr>
                <w:rFonts w:ascii="Times New Roman" w:hAnsi="Times New Roman" w:cs="Times New Roman"/>
                <w:sz w:val="20"/>
                <w:szCs w:val="20"/>
              </w:rPr>
            </w:pPr>
          </w:p>
        </w:tc>
      </w:tr>
      <w:tr w14:paraId="2537456A">
        <w:tblPrEx>
          <w:tblCellMar>
            <w:top w:w="0" w:type="dxa"/>
            <w:left w:w="0" w:type="dxa"/>
            <w:bottom w:w="0" w:type="dxa"/>
            <w:right w:w="0" w:type="dxa"/>
          </w:tblCellMar>
        </w:tblPrEx>
        <w:trPr>
          <w:wBefore w:w="0" w:type="auto"/>
          <w:tblCellSpacing w:w="0" w:type="dxa"/>
        </w:trPr>
        <w:tc>
          <w:tcPr>
            <w:tcW w:w="0" w:type="auto"/>
            <w:noWrap w:val="0"/>
            <w:vAlign w:val="center"/>
          </w:tcPr>
          <w:p w14:paraId="46FBCD0D">
            <w:r>
              <w:rPr>
                <w:rStyle w:val="10"/>
                <w:rFonts w:hint="eastAsia"/>
              </w:rPr>
              <w:t>使用技术要求:</w:t>
            </w:r>
            <w:r>
              <w:rPr>
                <w:rFonts w:hint="eastAsia"/>
              </w:rPr>
              <w:br w:type="textWrapping"/>
            </w:r>
            <w:r>
              <w:rPr>
                <w:rStyle w:val="11"/>
                <w:rFonts w:hint="eastAsia"/>
              </w:rPr>
              <w:t>1. 于韭菜韭蛆发生初期混拌细土撒施施药1次。2.每季最多施药1次，安全间隔期14天。</w:t>
            </w:r>
          </w:p>
        </w:tc>
      </w:tr>
      <w:tr w14:paraId="3B2A37B4">
        <w:tblPrEx>
          <w:tblCellMar>
            <w:top w:w="0" w:type="dxa"/>
            <w:left w:w="0" w:type="dxa"/>
            <w:bottom w:w="0" w:type="dxa"/>
            <w:right w:w="0" w:type="dxa"/>
          </w:tblCellMar>
        </w:tblPrEx>
        <w:trPr>
          <w:wBefore w:w="0" w:type="auto"/>
          <w:tblCellSpacing w:w="0" w:type="dxa"/>
        </w:trPr>
        <w:tc>
          <w:tcPr>
            <w:tcW w:w="0" w:type="auto"/>
            <w:noWrap w:val="0"/>
            <w:vAlign w:val="center"/>
          </w:tcPr>
          <w:p w14:paraId="1D0F90AF">
            <w:r>
              <w:rPr>
                <w:rStyle w:val="10"/>
                <w:rFonts w:hint="eastAsia"/>
              </w:rPr>
              <w:t>产品性能:</w:t>
            </w:r>
            <w:r>
              <w:rPr>
                <w:rFonts w:hint="eastAsia"/>
              </w:rPr>
              <w:br w:type="textWrapping"/>
            </w:r>
            <w:r>
              <w:rPr>
                <w:rStyle w:val="11"/>
                <w:rFonts w:hint="eastAsia"/>
              </w:rPr>
              <w:t>本品为两种不同作用机理的有效成分联苯菊酯和呋虫胺的混配制剂。 二者混用具有内吸、触杀和胃毒的作用，可有效防治韭菜韭蛆。</w:t>
            </w:r>
          </w:p>
        </w:tc>
      </w:tr>
      <w:tr w14:paraId="6C54C3D6">
        <w:tblPrEx>
          <w:tblCellMar>
            <w:top w:w="0" w:type="dxa"/>
            <w:left w:w="0" w:type="dxa"/>
            <w:bottom w:w="0" w:type="dxa"/>
            <w:right w:w="0" w:type="dxa"/>
          </w:tblCellMar>
        </w:tblPrEx>
        <w:trPr>
          <w:wBefore w:w="0" w:type="auto"/>
          <w:tblCellSpacing w:w="0" w:type="dxa"/>
        </w:trPr>
        <w:tc>
          <w:tcPr>
            <w:tcW w:w="0" w:type="auto"/>
            <w:noWrap w:val="0"/>
            <w:vAlign w:val="center"/>
          </w:tcPr>
          <w:p w14:paraId="2617B5A3">
            <w:r>
              <w:rPr>
                <w:rStyle w:val="10"/>
                <w:rFonts w:hint="eastAsia"/>
              </w:rPr>
              <w:t>注意事项：</w:t>
            </w:r>
            <w:r>
              <w:rPr>
                <w:rFonts w:hint="eastAsia"/>
              </w:rPr>
              <w:br w:type="textWrapping"/>
            </w:r>
            <w:r>
              <w:rPr>
                <w:rStyle w:val="11"/>
                <w:rFonts w:hint="eastAsia"/>
              </w:rPr>
              <w:t>1.本品对蜜蜂有毒，在韭菜花期采取保护或临时封闭蜂巢、韭菜开花前进行韭菜收获等风险降低措施，以减少本产品因内吸性可能造成蜜蜂的潜在风险。（周围）开花植物花期禁用，使用时应密切关注对附近蜂群的影响；赤眼蜂等天敌放飞区域禁用。 2.本品对鸟类有毒，应采取撒施后立即覆土、降低制备的颗粒剂大小及在鸟类保护区禁用该制剂等，进而减少鸟类摄取颗粒剂的行为，以降低本产品对鸟类的环境风险。 3.本品易造成地下水污染，在土壤渗透性好或地下水位较浅的地方慎用。远离水产养殖区、河塘等水体施药，禁止在河塘等水体中清洗施药器具。4、本品属于农田内施药，对非靶标节肢动物的环境风险不可接受，因此采取不在害虫综合防治区或附近使用本产品和不在寄生性/捕食性天敌发生高峰期使用本产品等相应的风险降低措施，以降低和规避本产品对寄生性天敌所可能带来的环境风险。5.本品不可以其它烟碱类杀虫剂混合使用。 6. 使用本品时应穿着长衣长裤和鞋袜，佩戴口罩和手套、护目镜和手套，施药时要避免接触皮肤、眼睛和衣服。施药期间不可吃东西和饮水。施药后及时洗手、洗脸。 7.孕 妇、哺乳期妇女及过敏者禁用。 8.用过的容器应妥善处理，不可做他用， 也不可随意丢弃。</w:t>
            </w:r>
          </w:p>
        </w:tc>
      </w:tr>
      <w:tr w14:paraId="2BD6E5CC">
        <w:tblPrEx>
          <w:tblCellMar>
            <w:top w:w="0" w:type="dxa"/>
            <w:left w:w="0" w:type="dxa"/>
            <w:bottom w:w="0" w:type="dxa"/>
            <w:right w:w="0" w:type="dxa"/>
          </w:tblCellMar>
        </w:tblPrEx>
        <w:trPr>
          <w:wBefore w:w="0" w:type="auto"/>
          <w:tblCellSpacing w:w="0" w:type="dxa"/>
        </w:trPr>
        <w:tc>
          <w:tcPr>
            <w:tcW w:w="0" w:type="auto"/>
            <w:noWrap w:val="0"/>
            <w:vAlign w:val="center"/>
          </w:tcPr>
          <w:p w14:paraId="48F4CD92">
            <w:r>
              <w:rPr>
                <w:rStyle w:val="10"/>
                <w:rFonts w:hint="eastAsia"/>
              </w:rPr>
              <w:t>中毒急救措施：</w:t>
            </w:r>
            <w:r>
              <w:rPr>
                <w:rFonts w:hint="eastAsia"/>
              </w:rPr>
              <w:br w:type="textWrapping"/>
            </w:r>
            <w:r>
              <w:rPr>
                <w:rStyle w:val="11"/>
                <w:rFonts w:hint="eastAsia"/>
              </w:rPr>
              <w:t>1.用药时或用药后如果感觉不适，立即停止工作，采取急救措施，并携此标签送医就诊；2.皮肤接触：立即脱掉被污染的衣物，用肥皂和大量清水彻底清洗受污染的皮肤。必要时请医生诊治；3.眼睛溅药：立即将眼睑翻开，用清水冲洗至少15分钟，请医生诊治；4.发生吸入：立即将吸入者转移到空气新鲜处，请医生诊治；5.误服：请勿引吐，立即携带标签送医就诊，无专用解毒剂，对症治疗。</w:t>
            </w:r>
          </w:p>
        </w:tc>
      </w:tr>
      <w:tr w14:paraId="354C681F">
        <w:tblPrEx>
          <w:tblCellMar>
            <w:top w:w="0" w:type="dxa"/>
            <w:left w:w="0" w:type="dxa"/>
            <w:bottom w:w="0" w:type="dxa"/>
            <w:right w:w="0" w:type="dxa"/>
          </w:tblCellMar>
        </w:tblPrEx>
        <w:trPr>
          <w:wBefore w:w="0" w:type="auto"/>
          <w:tblCellSpacing w:w="0" w:type="dxa"/>
        </w:trPr>
        <w:tc>
          <w:tcPr>
            <w:tcW w:w="0" w:type="auto"/>
            <w:noWrap w:val="0"/>
            <w:vAlign w:val="center"/>
          </w:tcPr>
          <w:p w14:paraId="6F15B898">
            <w:r>
              <w:rPr>
                <w:rStyle w:val="10"/>
                <w:rFonts w:hint="eastAsia"/>
              </w:rPr>
              <w:t>储存和运输方法：</w:t>
            </w:r>
            <w:r>
              <w:rPr>
                <w:rFonts w:hint="eastAsia"/>
              </w:rPr>
              <w:br w:type="textWrapping"/>
            </w:r>
            <w:r>
              <w:rPr>
                <w:rStyle w:val="11"/>
                <w:rFonts w:hint="eastAsia"/>
              </w:rPr>
              <w:t>1. 本品应贮存在干燥、阴凉、通风、防雨处，远离火源或热源。2.置于儿童、无关人员及动物触及不到之处，并加锁保存。3.勿与食品、饮料、粮食、饲料等同贮同运。4.运输时防雨防潮，装卸时轻卸轻放。</w:t>
            </w:r>
          </w:p>
        </w:tc>
      </w:tr>
      <w:tr w14:paraId="5745BD89">
        <w:tblPrEx>
          <w:tblCellMar>
            <w:top w:w="0" w:type="dxa"/>
            <w:left w:w="0" w:type="dxa"/>
            <w:bottom w:w="0" w:type="dxa"/>
            <w:right w:w="0" w:type="dxa"/>
          </w:tblCellMar>
        </w:tblPrEx>
        <w:trPr>
          <w:wBefore w:w="0" w:type="auto"/>
          <w:tblCellSpacing w:w="0" w:type="dxa"/>
        </w:trPr>
        <w:tc>
          <w:tcPr>
            <w:tcW w:w="0" w:type="auto"/>
            <w:noWrap w:val="0"/>
            <w:vAlign w:val="center"/>
          </w:tcPr>
          <w:p w14:paraId="1EA0E90A">
            <w:r>
              <w:rPr>
                <w:rStyle w:val="10"/>
                <w:rFonts w:hint="eastAsia"/>
              </w:rPr>
              <w:t>质量保证期：</w:t>
            </w:r>
            <w:r>
              <w:rPr>
                <w:rStyle w:val="11"/>
                <w:rFonts w:hint="eastAsia"/>
              </w:rPr>
              <w:t>2年</w:t>
            </w:r>
          </w:p>
        </w:tc>
      </w:tr>
      <w:tr w14:paraId="3C26EAC4">
        <w:tblPrEx>
          <w:tblCellMar>
            <w:top w:w="0" w:type="dxa"/>
            <w:left w:w="0" w:type="dxa"/>
            <w:bottom w:w="0" w:type="dxa"/>
            <w:right w:w="0" w:type="dxa"/>
          </w:tblCellMar>
        </w:tblPrEx>
        <w:trPr>
          <w:wBefore w:w="0" w:type="auto"/>
          <w:tblCellSpacing w:w="0" w:type="dxa"/>
        </w:trPr>
        <w:tc>
          <w:tcPr>
            <w:tcW w:w="0" w:type="auto"/>
            <w:noWrap w:val="0"/>
            <w:vAlign w:val="center"/>
          </w:tcPr>
          <w:p w14:paraId="7A3B2E56">
            <w:r>
              <w:rPr>
                <w:rStyle w:val="10"/>
                <w:rFonts w:hint="eastAsia"/>
              </w:rPr>
              <w:t>备注：</w:t>
            </w:r>
          </w:p>
        </w:tc>
      </w:tr>
    </w:tbl>
    <w:p w14:paraId="1814E12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88C74C">
        <w:tblPrEx>
          <w:tblCellMar>
            <w:top w:w="0" w:type="dxa"/>
            <w:left w:w="0" w:type="dxa"/>
            <w:bottom w:w="0" w:type="dxa"/>
            <w:right w:w="0" w:type="dxa"/>
          </w:tblCellMar>
        </w:tblPrEx>
        <w:trPr>
          <w:wBefore w:w="0" w:type="auto"/>
          <w:tblCellSpacing w:w="0" w:type="dxa"/>
        </w:trPr>
        <w:tc>
          <w:tcPr>
            <w:tcW w:w="0" w:type="auto"/>
            <w:noWrap w:val="0"/>
            <w:vAlign w:val="center"/>
          </w:tcPr>
          <w:p w14:paraId="75865BE9">
            <w:r>
              <w:rPr>
                <w:rStyle w:val="10"/>
                <w:rFonts w:hint="eastAsia"/>
              </w:rPr>
              <w:t>登记证号：</w:t>
            </w:r>
            <w:r>
              <w:rPr>
                <w:rFonts w:hint="eastAsia"/>
              </w:rPr>
              <w:t>WP20210404</w:t>
            </w:r>
          </w:p>
        </w:tc>
      </w:tr>
      <w:tr w14:paraId="0A0D89DA">
        <w:tblPrEx>
          <w:tblCellMar>
            <w:top w:w="0" w:type="dxa"/>
            <w:left w:w="0" w:type="dxa"/>
            <w:bottom w:w="0" w:type="dxa"/>
            <w:right w:w="0" w:type="dxa"/>
          </w:tblCellMar>
        </w:tblPrEx>
        <w:trPr>
          <w:wBefore w:w="0" w:type="auto"/>
          <w:tblCellSpacing w:w="0" w:type="dxa"/>
        </w:trPr>
        <w:tc>
          <w:tcPr>
            <w:tcW w:w="0" w:type="auto"/>
            <w:noWrap w:val="0"/>
            <w:vAlign w:val="center"/>
          </w:tcPr>
          <w:p w14:paraId="2034A9DF">
            <w:r>
              <w:rPr>
                <w:rStyle w:val="10"/>
                <w:rFonts w:hint="eastAsia"/>
              </w:rPr>
              <w:t>登记证持有人：</w:t>
            </w:r>
            <w:r>
              <w:rPr>
                <w:rFonts w:hint="eastAsia"/>
              </w:rPr>
              <w:t>山东洁保生物科技有限公司</w:t>
            </w:r>
          </w:p>
        </w:tc>
      </w:tr>
      <w:tr w14:paraId="58633D85">
        <w:tblPrEx>
          <w:tblCellMar>
            <w:top w:w="0" w:type="dxa"/>
            <w:left w:w="0" w:type="dxa"/>
            <w:bottom w:w="0" w:type="dxa"/>
            <w:right w:w="0" w:type="dxa"/>
          </w:tblCellMar>
        </w:tblPrEx>
        <w:trPr>
          <w:wBefore w:w="0" w:type="auto"/>
          <w:tblCellSpacing w:w="0" w:type="dxa"/>
        </w:trPr>
        <w:tc>
          <w:tcPr>
            <w:tcW w:w="0" w:type="auto"/>
            <w:noWrap w:val="0"/>
            <w:vAlign w:val="center"/>
          </w:tcPr>
          <w:p w14:paraId="30210F86">
            <w:r>
              <w:rPr>
                <w:rStyle w:val="10"/>
                <w:rFonts w:hint="eastAsia"/>
              </w:rPr>
              <w:t>农药名称：</w:t>
            </w:r>
            <w:r>
              <w:rPr>
                <w:rFonts w:hint="eastAsia"/>
              </w:rPr>
              <w:t>驱蚊乳</w:t>
            </w:r>
          </w:p>
        </w:tc>
      </w:tr>
      <w:tr w14:paraId="74A57323">
        <w:tblPrEx>
          <w:tblCellMar>
            <w:top w:w="0" w:type="dxa"/>
            <w:left w:w="0" w:type="dxa"/>
            <w:bottom w:w="0" w:type="dxa"/>
            <w:right w:w="0" w:type="dxa"/>
          </w:tblCellMar>
        </w:tblPrEx>
        <w:trPr>
          <w:wBefore w:w="0" w:type="auto"/>
          <w:tblCellSpacing w:w="0" w:type="dxa"/>
        </w:trPr>
        <w:tc>
          <w:tcPr>
            <w:tcW w:w="0" w:type="auto"/>
            <w:noWrap w:val="0"/>
            <w:vAlign w:val="center"/>
          </w:tcPr>
          <w:p w14:paraId="3375F590">
            <w:r>
              <w:rPr>
                <w:rStyle w:val="10"/>
                <w:rFonts w:hint="eastAsia"/>
              </w:rPr>
              <w:t>剂型：</w:t>
            </w:r>
            <w:r>
              <w:rPr>
                <w:rFonts w:hint="eastAsia"/>
              </w:rPr>
              <w:t>驱蚊乳</w:t>
            </w:r>
          </w:p>
        </w:tc>
      </w:tr>
      <w:tr w14:paraId="0F6FA248">
        <w:tblPrEx>
          <w:tblCellMar>
            <w:top w:w="0" w:type="dxa"/>
            <w:left w:w="0" w:type="dxa"/>
            <w:bottom w:w="0" w:type="dxa"/>
            <w:right w:w="0" w:type="dxa"/>
          </w:tblCellMar>
        </w:tblPrEx>
        <w:trPr>
          <w:wBefore w:w="0" w:type="auto"/>
          <w:tblCellSpacing w:w="0" w:type="dxa"/>
        </w:trPr>
        <w:tc>
          <w:tcPr>
            <w:tcW w:w="0" w:type="auto"/>
            <w:noWrap w:val="0"/>
            <w:vAlign w:val="center"/>
          </w:tcPr>
          <w:p w14:paraId="456B0A29">
            <w:r>
              <w:rPr>
                <w:rStyle w:val="10"/>
                <w:rFonts w:hint="eastAsia"/>
              </w:rPr>
              <w:t>毒性及其标识：</w:t>
            </w:r>
            <w:r>
              <w:rPr>
                <w:rFonts w:hint="eastAsia"/>
              </w:rPr>
              <w:t xml:space="preserve"> 微毒 </w:t>
            </w:r>
          </w:p>
        </w:tc>
      </w:tr>
      <w:tr w14:paraId="60DBA7A0">
        <w:tblPrEx>
          <w:tblCellMar>
            <w:top w:w="0" w:type="dxa"/>
            <w:left w:w="0" w:type="dxa"/>
            <w:bottom w:w="0" w:type="dxa"/>
            <w:right w:w="0" w:type="dxa"/>
          </w:tblCellMar>
        </w:tblPrEx>
        <w:trPr>
          <w:wBefore w:w="0" w:type="auto"/>
          <w:tblCellSpacing w:w="0" w:type="dxa"/>
        </w:trPr>
        <w:tc>
          <w:tcPr>
            <w:tcW w:w="0" w:type="auto"/>
            <w:noWrap w:val="0"/>
            <w:vAlign w:val="center"/>
          </w:tcPr>
          <w:p w14:paraId="02C08E86">
            <w:r>
              <w:rPr>
                <w:rStyle w:val="10"/>
                <w:rFonts w:hint="eastAsia"/>
              </w:rPr>
              <w:t>总有效成分含量：</w:t>
            </w:r>
            <w:r>
              <w:rPr>
                <w:rFonts w:hint="eastAsia"/>
              </w:rPr>
              <w:t>20%</w:t>
            </w:r>
          </w:p>
        </w:tc>
      </w:tr>
      <w:tr w14:paraId="3440C2B3">
        <w:tblPrEx>
          <w:tblCellMar>
            <w:top w:w="0" w:type="dxa"/>
            <w:left w:w="0" w:type="dxa"/>
            <w:bottom w:w="0" w:type="dxa"/>
            <w:right w:w="0" w:type="dxa"/>
          </w:tblCellMar>
        </w:tblPrEx>
        <w:trPr>
          <w:wBefore w:w="0" w:type="auto"/>
          <w:tblCellSpacing w:w="0" w:type="dxa"/>
        </w:trPr>
        <w:tc>
          <w:tcPr>
            <w:tcW w:w="0" w:type="auto"/>
            <w:noWrap w:val="0"/>
            <w:vAlign w:val="center"/>
          </w:tcPr>
          <w:p w14:paraId="1B0325B9">
            <w:r>
              <w:rPr>
                <w:rFonts w:hint="eastAsia"/>
              </w:rPr>
              <w:t xml:space="preserve">有效成分及其含量： </w:t>
            </w:r>
          </w:p>
          <w:p w14:paraId="10B26E80">
            <w:r>
              <w:rPr>
                <w:rFonts w:hint="eastAsia"/>
              </w:rPr>
              <w:t xml:space="preserve">    羟哌酯20%    </w:t>
            </w:r>
          </w:p>
        </w:tc>
      </w:tr>
      <w:tr w14:paraId="0B257507">
        <w:tblPrEx>
          <w:tblCellMar>
            <w:top w:w="0" w:type="dxa"/>
            <w:left w:w="0" w:type="dxa"/>
            <w:bottom w:w="0" w:type="dxa"/>
            <w:right w:w="0" w:type="dxa"/>
          </w:tblCellMar>
        </w:tblPrEx>
        <w:trPr>
          <w:wBefore w:w="0" w:type="auto"/>
          <w:tblCellSpacing w:w="0" w:type="dxa"/>
        </w:trPr>
        <w:tc>
          <w:tcPr>
            <w:tcW w:w="0" w:type="auto"/>
            <w:noWrap w:val="0"/>
            <w:vAlign w:val="center"/>
          </w:tcPr>
          <w:p w14:paraId="1B7A5D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60C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B9E6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F4E0B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B7B8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84CC01">
                  <w:r>
                    <w:rPr>
                      <w:rStyle w:val="11"/>
                      <w:rFonts w:hint="eastAsia"/>
                    </w:rPr>
                    <w:t>施用方式</w:t>
                  </w:r>
                </w:p>
              </w:tc>
            </w:tr>
            <w:tr w14:paraId="4C7D7D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82259A">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4C7020">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E5B9E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542026">
                  <w:r>
                    <w:rPr>
                      <w:rStyle w:val="11"/>
                      <w:rFonts w:hint="eastAsia"/>
                    </w:rPr>
                    <w:t>涂沫</w:t>
                  </w:r>
                </w:p>
              </w:tc>
            </w:tr>
          </w:tbl>
          <w:p w14:paraId="5E8860B0">
            <w:pPr>
              <w:rPr>
                <w:rFonts w:ascii="Times New Roman" w:hAnsi="Times New Roman" w:cs="Times New Roman"/>
                <w:sz w:val="20"/>
                <w:szCs w:val="20"/>
              </w:rPr>
            </w:pPr>
          </w:p>
        </w:tc>
      </w:tr>
      <w:tr w14:paraId="545F4D6E">
        <w:tblPrEx>
          <w:tblCellMar>
            <w:top w:w="0" w:type="dxa"/>
            <w:left w:w="0" w:type="dxa"/>
            <w:bottom w:w="0" w:type="dxa"/>
            <w:right w:w="0" w:type="dxa"/>
          </w:tblCellMar>
        </w:tblPrEx>
        <w:trPr>
          <w:wBefore w:w="0" w:type="auto"/>
          <w:tblCellSpacing w:w="0" w:type="dxa"/>
        </w:trPr>
        <w:tc>
          <w:tcPr>
            <w:tcW w:w="0" w:type="auto"/>
            <w:noWrap w:val="0"/>
            <w:vAlign w:val="center"/>
          </w:tcPr>
          <w:p w14:paraId="6201369D">
            <w:r>
              <w:rPr>
                <w:rStyle w:val="10"/>
                <w:rFonts w:hint="eastAsia"/>
              </w:rPr>
              <w:t>使用技术要求:</w:t>
            </w:r>
            <w:r>
              <w:rPr>
                <w:rFonts w:hint="eastAsia"/>
              </w:rPr>
              <w:br w:type="textWrapping"/>
            </w:r>
            <w:r>
              <w:rPr>
                <w:rStyle w:val="11"/>
                <w:rFonts w:hint="eastAsia"/>
              </w:rPr>
              <w:t>直接将本品涂抹于皮肤暴露部分即可有效趋避蚊子叮咬。每6小时涂抹1次，防蚊效果更佳。</w:t>
            </w:r>
          </w:p>
        </w:tc>
      </w:tr>
      <w:tr w14:paraId="2F1A8C3F">
        <w:tblPrEx>
          <w:tblCellMar>
            <w:top w:w="0" w:type="dxa"/>
            <w:left w:w="0" w:type="dxa"/>
            <w:bottom w:w="0" w:type="dxa"/>
            <w:right w:w="0" w:type="dxa"/>
          </w:tblCellMar>
        </w:tblPrEx>
        <w:trPr>
          <w:wBefore w:w="0" w:type="auto"/>
          <w:tblCellSpacing w:w="0" w:type="dxa"/>
        </w:trPr>
        <w:tc>
          <w:tcPr>
            <w:tcW w:w="0" w:type="auto"/>
            <w:noWrap w:val="0"/>
            <w:vAlign w:val="center"/>
          </w:tcPr>
          <w:p w14:paraId="69CBE4A2">
            <w:r>
              <w:rPr>
                <w:rStyle w:val="10"/>
                <w:rFonts w:hint="eastAsia"/>
              </w:rPr>
              <w:t>产品性能:</w:t>
            </w:r>
            <w:r>
              <w:rPr>
                <w:rFonts w:hint="eastAsia"/>
              </w:rPr>
              <w:br w:type="textWrapping"/>
            </w:r>
            <w:r>
              <w:rPr>
                <w:rStyle w:val="11"/>
                <w:rFonts w:hint="eastAsia"/>
              </w:rPr>
              <w:t xml:space="preserve">本品采用羟哌酯为有效成分，涂抹在皮肤上对蚊子具有良好的驱避效果,是居家、旅行的必备佳品。 </w:t>
            </w:r>
          </w:p>
        </w:tc>
      </w:tr>
      <w:tr w14:paraId="72E2DF63">
        <w:tblPrEx>
          <w:tblCellMar>
            <w:top w:w="0" w:type="dxa"/>
            <w:left w:w="0" w:type="dxa"/>
            <w:bottom w:w="0" w:type="dxa"/>
            <w:right w:w="0" w:type="dxa"/>
          </w:tblCellMar>
        </w:tblPrEx>
        <w:trPr>
          <w:wBefore w:w="0" w:type="auto"/>
          <w:tblCellSpacing w:w="0" w:type="dxa"/>
        </w:trPr>
        <w:tc>
          <w:tcPr>
            <w:tcW w:w="0" w:type="auto"/>
            <w:noWrap w:val="0"/>
            <w:vAlign w:val="center"/>
          </w:tcPr>
          <w:p w14:paraId="783947EE">
            <w:r>
              <w:rPr>
                <w:rStyle w:val="10"/>
                <w:rFonts w:hint="eastAsia"/>
              </w:rPr>
              <w:t>注意事项：</w:t>
            </w:r>
            <w:r>
              <w:rPr>
                <w:rFonts w:hint="eastAsia"/>
              </w:rPr>
              <w:br w:type="textWrapping"/>
            </w:r>
            <w:r>
              <w:rPr>
                <w:rStyle w:val="11"/>
                <w:rFonts w:hint="eastAsia"/>
              </w:rPr>
              <w:t>1、置于儿童接触不到的地方，避免误服。 2、避免眼睛、唇部皮肤直接接触。 3、施药后应清洗双手。 4、有皮炎、皮肤破损和过敏者禁用。使用中有任何不良反应请及时就医。 5、 禁止孕妇及哺乳期妇女接触。6、避免药液触及河流、水源、鱼塘；废弃包装物应妥善处理，不可随意丢弃或做他用。</w:t>
            </w:r>
          </w:p>
        </w:tc>
      </w:tr>
      <w:tr w14:paraId="16AF58F0">
        <w:tblPrEx>
          <w:tblCellMar>
            <w:top w:w="0" w:type="dxa"/>
            <w:left w:w="0" w:type="dxa"/>
            <w:bottom w:w="0" w:type="dxa"/>
            <w:right w:w="0" w:type="dxa"/>
          </w:tblCellMar>
        </w:tblPrEx>
        <w:trPr>
          <w:wBefore w:w="0" w:type="auto"/>
          <w:tblCellSpacing w:w="0" w:type="dxa"/>
        </w:trPr>
        <w:tc>
          <w:tcPr>
            <w:tcW w:w="0" w:type="auto"/>
            <w:noWrap w:val="0"/>
            <w:vAlign w:val="center"/>
          </w:tcPr>
          <w:p w14:paraId="58C04763">
            <w:r>
              <w:rPr>
                <w:rStyle w:val="10"/>
                <w:rFonts w:hint="eastAsia"/>
              </w:rPr>
              <w:t>中毒急救措施：</w:t>
            </w:r>
            <w:r>
              <w:rPr>
                <w:rFonts w:hint="eastAsia"/>
              </w:rPr>
              <w:br w:type="textWrapping"/>
            </w:r>
            <w:r>
              <w:rPr>
                <w:rStyle w:val="11"/>
                <w:rFonts w:hint="eastAsia"/>
              </w:rPr>
              <w:t xml:space="preserve">眼睛污染者即用生理盐水或清水彻底清洗，如不慎误食，请及时携标签送医，对症治疗；使用中出现任何不良反应请及时携标签就医。 </w:t>
            </w:r>
          </w:p>
        </w:tc>
      </w:tr>
      <w:tr w14:paraId="03E71D6F">
        <w:tblPrEx>
          <w:tblCellMar>
            <w:top w:w="0" w:type="dxa"/>
            <w:left w:w="0" w:type="dxa"/>
            <w:bottom w:w="0" w:type="dxa"/>
            <w:right w:w="0" w:type="dxa"/>
          </w:tblCellMar>
        </w:tblPrEx>
        <w:trPr>
          <w:wBefore w:w="0" w:type="auto"/>
          <w:tblCellSpacing w:w="0" w:type="dxa"/>
        </w:trPr>
        <w:tc>
          <w:tcPr>
            <w:tcW w:w="0" w:type="auto"/>
            <w:noWrap w:val="0"/>
            <w:vAlign w:val="center"/>
          </w:tcPr>
          <w:p w14:paraId="765C5A93">
            <w:r>
              <w:rPr>
                <w:rStyle w:val="10"/>
                <w:rFonts w:hint="eastAsia"/>
              </w:rPr>
              <w:t>储存和运输方法：</w:t>
            </w:r>
            <w:r>
              <w:rPr>
                <w:rFonts w:hint="eastAsia"/>
              </w:rPr>
              <w:br w:type="textWrapping"/>
            </w:r>
            <w:r>
              <w:rPr>
                <w:rStyle w:val="11"/>
                <w:rFonts w:hint="eastAsia"/>
              </w:rPr>
              <w:t>本品应贮存于阴凉、干燥、通风、避光处，并远离火源和热源。 应置于婴幼儿及宠物触及不到之处，并加锁。 运输时，请注意防雨淋、高温，轻拿轻放，不得损坏包装。 请勿与食品、饮料、种子、饲料等其他商品同贮同运。</w:t>
            </w:r>
          </w:p>
        </w:tc>
      </w:tr>
      <w:tr w14:paraId="1E285929">
        <w:tblPrEx>
          <w:tblCellMar>
            <w:top w:w="0" w:type="dxa"/>
            <w:left w:w="0" w:type="dxa"/>
            <w:bottom w:w="0" w:type="dxa"/>
            <w:right w:w="0" w:type="dxa"/>
          </w:tblCellMar>
        </w:tblPrEx>
        <w:trPr>
          <w:wBefore w:w="0" w:type="auto"/>
          <w:tblCellSpacing w:w="0" w:type="dxa"/>
        </w:trPr>
        <w:tc>
          <w:tcPr>
            <w:tcW w:w="0" w:type="auto"/>
            <w:noWrap w:val="0"/>
            <w:vAlign w:val="center"/>
          </w:tcPr>
          <w:p w14:paraId="09DEF6B8">
            <w:r>
              <w:rPr>
                <w:rStyle w:val="10"/>
                <w:rFonts w:hint="eastAsia"/>
              </w:rPr>
              <w:t>质量保证期：</w:t>
            </w:r>
            <w:r>
              <w:rPr>
                <w:rStyle w:val="11"/>
                <w:rFonts w:hint="eastAsia"/>
              </w:rPr>
              <w:t>2年</w:t>
            </w:r>
          </w:p>
        </w:tc>
      </w:tr>
      <w:tr w14:paraId="754B50DC">
        <w:tblPrEx>
          <w:tblCellMar>
            <w:top w:w="0" w:type="dxa"/>
            <w:left w:w="0" w:type="dxa"/>
            <w:bottom w:w="0" w:type="dxa"/>
            <w:right w:w="0" w:type="dxa"/>
          </w:tblCellMar>
        </w:tblPrEx>
        <w:trPr>
          <w:wBefore w:w="0" w:type="auto"/>
          <w:tblCellSpacing w:w="0" w:type="dxa"/>
        </w:trPr>
        <w:tc>
          <w:tcPr>
            <w:tcW w:w="0" w:type="auto"/>
            <w:noWrap w:val="0"/>
            <w:vAlign w:val="center"/>
          </w:tcPr>
          <w:p w14:paraId="22D39235">
            <w:r>
              <w:rPr>
                <w:rStyle w:val="10"/>
                <w:rFonts w:hint="eastAsia"/>
              </w:rPr>
              <w:t>备注：</w:t>
            </w:r>
          </w:p>
        </w:tc>
      </w:tr>
    </w:tbl>
    <w:p w14:paraId="501A284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E1F94D">
        <w:tblPrEx>
          <w:tblCellMar>
            <w:top w:w="0" w:type="dxa"/>
            <w:left w:w="0" w:type="dxa"/>
            <w:bottom w:w="0" w:type="dxa"/>
            <w:right w:w="0" w:type="dxa"/>
          </w:tblCellMar>
        </w:tblPrEx>
        <w:trPr>
          <w:wBefore w:w="0" w:type="auto"/>
          <w:tblCellSpacing w:w="0" w:type="dxa"/>
        </w:trPr>
        <w:tc>
          <w:tcPr>
            <w:tcW w:w="0" w:type="auto"/>
            <w:noWrap w:val="0"/>
            <w:vAlign w:val="center"/>
          </w:tcPr>
          <w:p w14:paraId="6140C44D">
            <w:r>
              <w:rPr>
                <w:rStyle w:val="10"/>
                <w:rFonts w:hint="eastAsia"/>
              </w:rPr>
              <w:t>登记证号：</w:t>
            </w:r>
            <w:r>
              <w:rPr>
                <w:rFonts w:hint="eastAsia"/>
              </w:rPr>
              <w:t>EX20210141</w:t>
            </w:r>
          </w:p>
        </w:tc>
      </w:tr>
      <w:tr w14:paraId="5E23EB0E">
        <w:tblPrEx>
          <w:tblCellMar>
            <w:top w:w="0" w:type="dxa"/>
            <w:left w:w="0" w:type="dxa"/>
            <w:bottom w:w="0" w:type="dxa"/>
            <w:right w:w="0" w:type="dxa"/>
          </w:tblCellMar>
        </w:tblPrEx>
        <w:trPr>
          <w:wBefore w:w="0" w:type="auto"/>
          <w:tblCellSpacing w:w="0" w:type="dxa"/>
        </w:trPr>
        <w:tc>
          <w:tcPr>
            <w:tcW w:w="0" w:type="auto"/>
            <w:noWrap w:val="0"/>
            <w:vAlign w:val="center"/>
          </w:tcPr>
          <w:p w14:paraId="07217DCD">
            <w:r>
              <w:rPr>
                <w:rStyle w:val="10"/>
                <w:rFonts w:hint="eastAsia"/>
              </w:rPr>
              <w:t>登记证持有人：</w:t>
            </w:r>
            <w:r>
              <w:rPr>
                <w:rFonts w:hint="eastAsia"/>
              </w:rPr>
              <w:t>湖北泰盛化工有限公司</w:t>
            </w:r>
          </w:p>
        </w:tc>
      </w:tr>
      <w:tr w14:paraId="2492B028">
        <w:tblPrEx>
          <w:tblCellMar>
            <w:top w:w="0" w:type="dxa"/>
            <w:left w:w="0" w:type="dxa"/>
            <w:bottom w:w="0" w:type="dxa"/>
            <w:right w:w="0" w:type="dxa"/>
          </w:tblCellMar>
        </w:tblPrEx>
        <w:trPr>
          <w:wBefore w:w="0" w:type="auto"/>
          <w:tblCellSpacing w:w="0" w:type="dxa"/>
        </w:trPr>
        <w:tc>
          <w:tcPr>
            <w:tcW w:w="0" w:type="auto"/>
            <w:noWrap w:val="0"/>
            <w:vAlign w:val="center"/>
          </w:tcPr>
          <w:p w14:paraId="4414E790">
            <w:r>
              <w:rPr>
                <w:rStyle w:val="10"/>
                <w:rFonts w:hint="eastAsia"/>
              </w:rPr>
              <w:t>农药名称：</w:t>
            </w:r>
            <w:r>
              <w:rPr>
                <w:rFonts w:hint="eastAsia"/>
              </w:rPr>
              <w:t>草甘膦异丙胺盐</w:t>
            </w:r>
          </w:p>
        </w:tc>
      </w:tr>
      <w:tr w14:paraId="41DB5AEA">
        <w:tblPrEx>
          <w:tblCellMar>
            <w:top w:w="0" w:type="dxa"/>
            <w:left w:w="0" w:type="dxa"/>
            <w:bottom w:w="0" w:type="dxa"/>
            <w:right w:w="0" w:type="dxa"/>
          </w:tblCellMar>
        </w:tblPrEx>
        <w:trPr>
          <w:wBefore w:w="0" w:type="auto"/>
          <w:tblCellSpacing w:w="0" w:type="dxa"/>
        </w:trPr>
        <w:tc>
          <w:tcPr>
            <w:tcW w:w="0" w:type="auto"/>
            <w:noWrap w:val="0"/>
            <w:vAlign w:val="center"/>
          </w:tcPr>
          <w:p w14:paraId="7AF88C60">
            <w:r>
              <w:rPr>
                <w:rStyle w:val="10"/>
                <w:rFonts w:hint="eastAsia"/>
              </w:rPr>
              <w:t>剂型：</w:t>
            </w:r>
            <w:r>
              <w:rPr>
                <w:rFonts w:hint="eastAsia"/>
              </w:rPr>
              <w:t>可溶液剂</w:t>
            </w:r>
          </w:p>
        </w:tc>
      </w:tr>
      <w:tr w14:paraId="25E61401">
        <w:tblPrEx>
          <w:tblCellMar>
            <w:top w:w="0" w:type="dxa"/>
            <w:left w:w="0" w:type="dxa"/>
            <w:bottom w:w="0" w:type="dxa"/>
            <w:right w:w="0" w:type="dxa"/>
          </w:tblCellMar>
        </w:tblPrEx>
        <w:trPr>
          <w:wBefore w:w="0" w:type="auto"/>
          <w:tblCellSpacing w:w="0" w:type="dxa"/>
        </w:trPr>
        <w:tc>
          <w:tcPr>
            <w:tcW w:w="0" w:type="auto"/>
            <w:noWrap w:val="0"/>
            <w:vAlign w:val="center"/>
          </w:tcPr>
          <w:p w14:paraId="06CB6CC3">
            <w:r>
              <w:rPr>
                <w:rStyle w:val="10"/>
                <w:rFonts w:hint="eastAsia"/>
              </w:rPr>
              <w:t>毒性及其标识：</w:t>
            </w:r>
            <w:r>
              <w:rPr>
                <w:rFonts w:hint="eastAsia"/>
              </w:rPr>
              <w:t xml:space="preserve"> </w:t>
            </w:r>
            <w:r>
              <w:rPr>
                <w:lang/>
              </w:rPr>
              <w:drawing>
                <wp:inline distT="0" distB="0" distL="114300" distR="114300">
                  <wp:extent cx="476250" cy="323850"/>
                  <wp:effectExtent l="0" t="0" r="0" b="0"/>
                  <wp:docPr id="349" name="图片 3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0165FE8">
        <w:tblPrEx>
          <w:tblCellMar>
            <w:top w:w="0" w:type="dxa"/>
            <w:left w:w="0" w:type="dxa"/>
            <w:bottom w:w="0" w:type="dxa"/>
            <w:right w:w="0" w:type="dxa"/>
          </w:tblCellMar>
        </w:tblPrEx>
        <w:trPr>
          <w:wBefore w:w="0" w:type="auto"/>
          <w:tblCellSpacing w:w="0" w:type="dxa"/>
        </w:trPr>
        <w:tc>
          <w:tcPr>
            <w:tcW w:w="0" w:type="auto"/>
            <w:noWrap w:val="0"/>
            <w:vAlign w:val="center"/>
          </w:tcPr>
          <w:p w14:paraId="03FEE139">
            <w:r>
              <w:rPr>
                <w:rStyle w:val="10"/>
                <w:rFonts w:hint="eastAsia"/>
              </w:rPr>
              <w:t>总有效成分含量：</w:t>
            </w:r>
            <w:r>
              <w:rPr>
                <w:rFonts w:hint="eastAsia"/>
              </w:rPr>
              <w:t>450克/升</w:t>
            </w:r>
          </w:p>
        </w:tc>
      </w:tr>
      <w:tr w14:paraId="0BB8940D">
        <w:tblPrEx>
          <w:tblCellMar>
            <w:top w:w="0" w:type="dxa"/>
            <w:left w:w="0" w:type="dxa"/>
            <w:bottom w:w="0" w:type="dxa"/>
            <w:right w:w="0" w:type="dxa"/>
          </w:tblCellMar>
        </w:tblPrEx>
        <w:trPr>
          <w:wBefore w:w="0" w:type="auto"/>
          <w:tblCellSpacing w:w="0" w:type="dxa"/>
        </w:trPr>
        <w:tc>
          <w:tcPr>
            <w:tcW w:w="0" w:type="auto"/>
            <w:noWrap w:val="0"/>
            <w:vAlign w:val="center"/>
          </w:tcPr>
          <w:p w14:paraId="64A00CB8">
            <w:r>
              <w:rPr>
                <w:rFonts w:hint="eastAsia"/>
              </w:rPr>
              <w:t xml:space="preserve">有效成分及其含量： </w:t>
            </w:r>
          </w:p>
          <w:p w14:paraId="49036C43">
            <w:r>
              <w:rPr>
                <w:rFonts w:hint="eastAsia"/>
              </w:rPr>
              <w:t xml:space="preserve">    </w:t>
            </w:r>
          </w:p>
        </w:tc>
      </w:tr>
      <w:tr w14:paraId="20AE4688">
        <w:tblPrEx>
          <w:tblCellMar>
            <w:top w:w="0" w:type="dxa"/>
            <w:left w:w="0" w:type="dxa"/>
            <w:bottom w:w="0" w:type="dxa"/>
            <w:right w:w="0" w:type="dxa"/>
          </w:tblCellMar>
        </w:tblPrEx>
        <w:trPr>
          <w:wBefore w:w="0" w:type="auto"/>
          <w:tblCellSpacing w:w="0" w:type="dxa"/>
        </w:trPr>
        <w:tc>
          <w:tcPr>
            <w:tcW w:w="0" w:type="auto"/>
            <w:noWrap w:val="0"/>
            <w:vAlign w:val="center"/>
          </w:tcPr>
          <w:p w14:paraId="0CDEE9E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809D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28202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244A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4E44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68163C">
                  <w:r>
                    <w:rPr>
                      <w:rStyle w:val="11"/>
                      <w:rFonts w:hint="eastAsia"/>
                    </w:rPr>
                    <w:t>施用方式</w:t>
                  </w:r>
                </w:p>
              </w:tc>
            </w:tr>
          </w:tbl>
          <w:p w14:paraId="3C81034B">
            <w:pPr>
              <w:rPr>
                <w:rFonts w:ascii="Times New Roman" w:hAnsi="Times New Roman" w:cs="Times New Roman"/>
                <w:sz w:val="20"/>
                <w:szCs w:val="20"/>
              </w:rPr>
            </w:pPr>
          </w:p>
        </w:tc>
      </w:tr>
      <w:tr w14:paraId="034C71EE">
        <w:tblPrEx>
          <w:tblCellMar>
            <w:top w:w="0" w:type="dxa"/>
            <w:left w:w="0" w:type="dxa"/>
            <w:bottom w:w="0" w:type="dxa"/>
            <w:right w:w="0" w:type="dxa"/>
          </w:tblCellMar>
        </w:tblPrEx>
        <w:trPr>
          <w:wBefore w:w="0" w:type="auto"/>
          <w:tblCellSpacing w:w="0" w:type="dxa"/>
        </w:trPr>
        <w:tc>
          <w:tcPr>
            <w:tcW w:w="0" w:type="auto"/>
            <w:noWrap w:val="0"/>
            <w:vAlign w:val="center"/>
          </w:tcPr>
          <w:p w14:paraId="2BC85C37">
            <w:r>
              <w:rPr>
                <w:rStyle w:val="10"/>
                <w:rFonts w:hint="eastAsia"/>
              </w:rPr>
              <w:t>使用技术要求:</w:t>
            </w:r>
            <w:r>
              <w:rPr>
                <w:rFonts w:hint="eastAsia"/>
              </w:rPr>
              <w:br w:type="textWrapping"/>
            </w:r>
          </w:p>
        </w:tc>
      </w:tr>
      <w:tr w14:paraId="459D45DC">
        <w:tblPrEx>
          <w:tblCellMar>
            <w:top w:w="0" w:type="dxa"/>
            <w:left w:w="0" w:type="dxa"/>
            <w:bottom w:w="0" w:type="dxa"/>
            <w:right w:w="0" w:type="dxa"/>
          </w:tblCellMar>
        </w:tblPrEx>
        <w:trPr>
          <w:wBefore w:w="0" w:type="auto"/>
          <w:tblCellSpacing w:w="0" w:type="dxa"/>
        </w:trPr>
        <w:tc>
          <w:tcPr>
            <w:tcW w:w="0" w:type="auto"/>
            <w:noWrap w:val="0"/>
            <w:vAlign w:val="center"/>
          </w:tcPr>
          <w:p w14:paraId="24417AA7">
            <w:r>
              <w:rPr>
                <w:rStyle w:val="10"/>
                <w:rFonts w:hint="eastAsia"/>
              </w:rPr>
              <w:t>产品性能:</w:t>
            </w:r>
          </w:p>
        </w:tc>
      </w:tr>
      <w:tr w14:paraId="2A06CE08">
        <w:tblPrEx>
          <w:tblCellMar>
            <w:top w:w="0" w:type="dxa"/>
            <w:left w:w="0" w:type="dxa"/>
            <w:bottom w:w="0" w:type="dxa"/>
            <w:right w:w="0" w:type="dxa"/>
          </w:tblCellMar>
        </w:tblPrEx>
        <w:trPr>
          <w:wBefore w:w="0" w:type="auto"/>
          <w:tblCellSpacing w:w="0" w:type="dxa"/>
        </w:trPr>
        <w:tc>
          <w:tcPr>
            <w:tcW w:w="0" w:type="auto"/>
            <w:noWrap w:val="0"/>
            <w:vAlign w:val="center"/>
          </w:tcPr>
          <w:p w14:paraId="3EF84ABF">
            <w:r>
              <w:rPr>
                <w:rStyle w:val="10"/>
                <w:rFonts w:hint="eastAsia"/>
              </w:rPr>
              <w:t>注意事项：</w:t>
            </w:r>
          </w:p>
        </w:tc>
      </w:tr>
      <w:tr w14:paraId="7A37B7D4">
        <w:tblPrEx>
          <w:tblCellMar>
            <w:top w:w="0" w:type="dxa"/>
            <w:left w:w="0" w:type="dxa"/>
            <w:bottom w:w="0" w:type="dxa"/>
            <w:right w:w="0" w:type="dxa"/>
          </w:tblCellMar>
        </w:tblPrEx>
        <w:trPr>
          <w:wBefore w:w="0" w:type="auto"/>
          <w:tblCellSpacing w:w="0" w:type="dxa"/>
        </w:trPr>
        <w:tc>
          <w:tcPr>
            <w:tcW w:w="0" w:type="auto"/>
            <w:noWrap w:val="0"/>
            <w:vAlign w:val="center"/>
          </w:tcPr>
          <w:p w14:paraId="6ECD86C6">
            <w:r>
              <w:rPr>
                <w:rStyle w:val="10"/>
                <w:rFonts w:hint="eastAsia"/>
              </w:rPr>
              <w:t>中毒急救措施：</w:t>
            </w:r>
          </w:p>
        </w:tc>
      </w:tr>
      <w:tr w14:paraId="705A7EB6">
        <w:tblPrEx>
          <w:tblCellMar>
            <w:top w:w="0" w:type="dxa"/>
            <w:left w:w="0" w:type="dxa"/>
            <w:bottom w:w="0" w:type="dxa"/>
            <w:right w:w="0" w:type="dxa"/>
          </w:tblCellMar>
        </w:tblPrEx>
        <w:trPr>
          <w:wBefore w:w="0" w:type="auto"/>
          <w:tblCellSpacing w:w="0" w:type="dxa"/>
        </w:trPr>
        <w:tc>
          <w:tcPr>
            <w:tcW w:w="0" w:type="auto"/>
            <w:noWrap w:val="0"/>
            <w:vAlign w:val="center"/>
          </w:tcPr>
          <w:p w14:paraId="49613118">
            <w:r>
              <w:rPr>
                <w:rStyle w:val="10"/>
                <w:rFonts w:hint="eastAsia"/>
              </w:rPr>
              <w:t>储存和运输方法：</w:t>
            </w:r>
          </w:p>
        </w:tc>
      </w:tr>
      <w:tr w14:paraId="46F76B98">
        <w:tblPrEx>
          <w:tblCellMar>
            <w:top w:w="0" w:type="dxa"/>
            <w:left w:w="0" w:type="dxa"/>
            <w:bottom w:w="0" w:type="dxa"/>
            <w:right w:w="0" w:type="dxa"/>
          </w:tblCellMar>
        </w:tblPrEx>
        <w:trPr>
          <w:wBefore w:w="0" w:type="auto"/>
          <w:tblCellSpacing w:w="0" w:type="dxa"/>
        </w:trPr>
        <w:tc>
          <w:tcPr>
            <w:tcW w:w="0" w:type="auto"/>
            <w:noWrap w:val="0"/>
            <w:vAlign w:val="center"/>
          </w:tcPr>
          <w:p w14:paraId="6DF4F3C1">
            <w:r>
              <w:rPr>
                <w:rStyle w:val="10"/>
                <w:rFonts w:hint="eastAsia"/>
              </w:rPr>
              <w:t>质量保证期：</w:t>
            </w:r>
          </w:p>
        </w:tc>
      </w:tr>
      <w:tr w14:paraId="0F07C0E7">
        <w:tblPrEx>
          <w:tblCellMar>
            <w:top w:w="0" w:type="dxa"/>
            <w:left w:w="0" w:type="dxa"/>
            <w:bottom w:w="0" w:type="dxa"/>
            <w:right w:w="0" w:type="dxa"/>
          </w:tblCellMar>
        </w:tblPrEx>
        <w:trPr>
          <w:wBefore w:w="0" w:type="auto"/>
          <w:tblCellSpacing w:w="0" w:type="dxa"/>
        </w:trPr>
        <w:tc>
          <w:tcPr>
            <w:tcW w:w="0" w:type="auto"/>
            <w:noWrap w:val="0"/>
            <w:vAlign w:val="center"/>
          </w:tcPr>
          <w:p w14:paraId="0CDDCFAF">
            <w:r>
              <w:rPr>
                <w:rStyle w:val="10"/>
                <w:rFonts w:hint="eastAsia"/>
              </w:rPr>
              <w:t>备注：</w:t>
            </w:r>
          </w:p>
        </w:tc>
      </w:tr>
    </w:tbl>
    <w:p w14:paraId="3BFD107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CF500C">
        <w:tblPrEx>
          <w:tblCellMar>
            <w:top w:w="0" w:type="dxa"/>
            <w:left w:w="0" w:type="dxa"/>
            <w:bottom w:w="0" w:type="dxa"/>
            <w:right w:w="0" w:type="dxa"/>
          </w:tblCellMar>
        </w:tblPrEx>
        <w:trPr>
          <w:wBefore w:w="0" w:type="auto"/>
          <w:tblCellSpacing w:w="0" w:type="dxa"/>
        </w:trPr>
        <w:tc>
          <w:tcPr>
            <w:tcW w:w="0" w:type="auto"/>
            <w:noWrap w:val="0"/>
            <w:vAlign w:val="center"/>
          </w:tcPr>
          <w:p w14:paraId="3C194851">
            <w:r>
              <w:rPr>
                <w:rStyle w:val="10"/>
                <w:rFonts w:hint="eastAsia"/>
              </w:rPr>
              <w:t>登记证号：</w:t>
            </w:r>
            <w:r>
              <w:rPr>
                <w:rFonts w:hint="eastAsia"/>
              </w:rPr>
              <w:t>WP20210392</w:t>
            </w:r>
          </w:p>
        </w:tc>
      </w:tr>
      <w:tr w14:paraId="34C3080C">
        <w:tblPrEx>
          <w:tblCellMar>
            <w:top w:w="0" w:type="dxa"/>
            <w:left w:w="0" w:type="dxa"/>
            <w:bottom w:w="0" w:type="dxa"/>
            <w:right w:w="0" w:type="dxa"/>
          </w:tblCellMar>
        </w:tblPrEx>
        <w:trPr>
          <w:wBefore w:w="0" w:type="auto"/>
          <w:tblCellSpacing w:w="0" w:type="dxa"/>
        </w:trPr>
        <w:tc>
          <w:tcPr>
            <w:tcW w:w="0" w:type="auto"/>
            <w:noWrap w:val="0"/>
            <w:vAlign w:val="center"/>
          </w:tcPr>
          <w:p w14:paraId="285C7088">
            <w:r>
              <w:rPr>
                <w:rStyle w:val="10"/>
                <w:rFonts w:hint="eastAsia"/>
              </w:rPr>
              <w:t>登记证持有人：</w:t>
            </w:r>
            <w:r>
              <w:rPr>
                <w:rFonts w:hint="eastAsia"/>
              </w:rPr>
              <w:t>中山凯中有限公司</w:t>
            </w:r>
          </w:p>
        </w:tc>
      </w:tr>
      <w:tr w14:paraId="3B011A16">
        <w:tblPrEx>
          <w:tblCellMar>
            <w:top w:w="0" w:type="dxa"/>
            <w:left w:w="0" w:type="dxa"/>
            <w:bottom w:w="0" w:type="dxa"/>
            <w:right w:w="0" w:type="dxa"/>
          </w:tblCellMar>
        </w:tblPrEx>
        <w:trPr>
          <w:wBefore w:w="0" w:type="auto"/>
          <w:tblCellSpacing w:w="0" w:type="dxa"/>
        </w:trPr>
        <w:tc>
          <w:tcPr>
            <w:tcW w:w="0" w:type="auto"/>
            <w:noWrap w:val="0"/>
            <w:vAlign w:val="center"/>
          </w:tcPr>
          <w:p w14:paraId="65C754E8">
            <w:r>
              <w:rPr>
                <w:rStyle w:val="10"/>
                <w:rFonts w:hint="eastAsia"/>
              </w:rPr>
              <w:t>农药名称：</w:t>
            </w:r>
            <w:r>
              <w:rPr>
                <w:rFonts w:hint="eastAsia"/>
              </w:rPr>
              <w:t>杀蚊气雾剂</w:t>
            </w:r>
          </w:p>
        </w:tc>
      </w:tr>
      <w:tr w14:paraId="46BB9E3B">
        <w:tblPrEx>
          <w:tblCellMar>
            <w:top w:w="0" w:type="dxa"/>
            <w:left w:w="0" w:type="dxa"/>
            <w:bottom w:w="0" w:type="dxa"/>
            <w:right w:w="0" w:type="dxa"/>
          </w:tblCellMar>
        </w:tblPrEx>
        <w:trPr>
          <w:wBefore w:w="0" w:type="auto"/>
          <w:tblCellSpacing w:w="0" w:type="dxa"/>
        </w:trPr>
        <w:tc>
          <w:tcPr>
            <w:tcW w:w="0" w:type="auto"/>
            <w:noWrap w:val="0"/>
            <w:vAlign w:val="center"/>
          </w:tcPr>
          <w:p w14:paraId="75D7E0C4">
            <w:r>
              <w:rPr>
                <w:rStyle w:val="10"/>
                <w:rFonts w:hint="eastAsia"/>
              </w:rPr>
              <w:t>剂型：</w:t>
            </w:r>
            <w:r>
              <w:rPr>
                <w:rFonts w:hint="eastAsia"/>
              </w:rPr>
              <w:t>气雾剂</w:t>
            </w:r>
          </w:p>
        </w:tc>
      </w:tr>
      <w:tr w14:paraId="65570AD7">
        <w:tblPrEx>
          <w:tblCellMar>
            <w:top w:w="0" w:type="dxa"/>
            <w:left w:w="0" w:type="dxa"/>
            <w:bottom w:w="0" w:type="dxa"/>
            <w:right w:w="0" w:type="dxa"/>
          </w:tblCellMar>
        </w:tblPrEx>
        <w:trPr>
          <w:wBefore w:w="0" w:type="auto"/>
          <w:tblCellSpacing w:w="0" w:type="dxa"/>
        </w:trPr>
        <w:tc>
          <w:tcPr>
            <w:tcW w:w="0" w:type="auto"/>
            <w:noWrap w:val="0"/>
            <w:vAlign w:val="center"/>
          </w:tcPr>
          <w:p w14:paraId="064E8767">
            <w:r>
              <w:rPr>
                <w:rStyle w:val="10"/>
                <w:rFonts w:hint="eastAsia"/>
              </w:rPr>
              <w:t>毒性及其标识：</w:t>
            </w:r>
            <w:r>
              <w:rPr>
                <w:rFonts w:hint="eastAsia"/>
              </w:rPr>
              <w:t xml:space="preserve"> 微毒 </w:t>
            </w:r>
          </w:p>
        </w:tc>
      </w:tr>
      <w:tr w14:paraId="00CF1FF6">
        <w:tblPrEx>
          <w:tblCellMar>
            <w:top w:w="0" w:type="dxa"/>
            <w:left w:w="0" w:type="dxa"/>
            <w:bottom w:w="0" w:type="dxa"/>
            <w:right w:w="0" w:type="dxa"/>
          </w:tblCellMar>
        </w:tblPrEx>
        <w:trPr>
          <w:wBefore w:w="0" w:type="auto"/>
          <w:tblCellSpacing w:w="0" w:type="dxa"/>
        </w:trPr>
        <w:tc>
          <w:tcPr>
            <w:tcW w:w="0" w:type="auto"/>
            <w:noWrap w:val="0"/>
            <w:vAlign w:val="center"/>
          </w:tcPr>
          <w:p w14:paraId="1450CBDE">
            <w:r>
              <w:rPr>
                <w:rStyle w:val="10"/>
                <w:rFonts w:hint="eastAsia"/>
              </w:rPr>
              <w:t>总有效成分含量：</w:t>
            </w:r>
            <w:r>
              <w:rPr>
                <w:rFonts w:hint="eastAsia"/>
              </w:rPr>
              <w:t>20%</w:t>
            </w:r>
          </w:p>
        </w:tc>
      </w:tr>
      <w:tr w14:paraId="698AC89D">
        <w:tblPrEx>
          <w:tblCellMar>
            <w:top w:w="0" w:type="dxa"/>
            <w:left w:w="0" w:type="dxa"/>
            <w:bottom w:w="0" w:type="dxa"/>
            <w:right w:w="0" w:type="dxa"/>
          </w:tblCellMar>
        </w:tblPrEx>
        <w:trPr>
          <w:wBefore w:w="0" w:type="auto"/>
          <w:tblCellSpacing w:w="0" w:type="dxa"/>
        </w:trPr>
        <w:tc>
          <w:tcPr>
            <w:tcW w:w="0" w:type="auto"/>
            <w:noWrap w:val="0"/>
            <w:vAlign w:val="center"/>
          </w:tcPr>
          <w:p w14:paraId="37E3EA7D">
            <w:r>
              <w:rPr>
                <w:rFonts w:hint="eastAsia"/>
              </w:rPr>
              <w:t xml:space="preserve">有效成分及其含量： </w:t>
            </w:r>
          </w:p>
          <w:p w14:paraId="6AEE9BAC">
            <w:r>
              <w:rPr>
                <w:rFonts w:hint="eastAsia"/>
              </w:rPr>
              <w:t xml:space="preserve">    四氟苯菊酯20%    </w:t>
            </w:r>
          </w:p>
        </w:tc>
      </w:tr>
      <w:tr w14:paraId="597BA034">
        <w:tblPrEx>
          <w:tblCellMar>
            <w:top w:w="0" w:type="dxa"/>
            <w:left w:w="0" w:type="dxa"/>
            <w:bottom w:w="0" w:type="dxa"/>
            <w:right w:w="0" w:type="dxa"/>
          </w:tblCellMar>
        </w:tblPrEx>
        <w:trPr>
          <w:wBefore w:w="0" w:type="auto"/>
          <w:tblCellSpacing w:w="0" w:type="dxa"/>
        </w:trPr>
        <w:tc>
          <w:tcPr>
            <w:tcW w:w="0" w:type="auto"/>
            <w:noWrap w:val="0"/>
            <w:vAlign w:val="center"/>
          </w:tcPr>
          <w:p w14:paraId="72A419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D046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24EB3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FD09D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DB33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E9D3CC">
                  <w:r>
                    <w:rPr>
                      <w:rStyle w:val="11"/>
                      <w:rFonts w:hint="eastAsia"/>
                    </w:rPr>
                    <w:t>施用方式</w:t>
                  </w:r>
                </w:p>
              </w:tc>
            </w:tr>
            <w:tr w14:paraId="2947C0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57A2E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4D3E3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E7EE7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5B4C49">
                  <w:r>
                    <w:rPr>
                      <w:rStyle w:val="11"/>
                      <w:rFonts w:hint="eastAsia"/>
                    </w:rPr>
                    <w:t>空间喷雾</w:t>
                  </w:r>
                </w:p>
              </w:tc>
            </w:tr>
          </w:tbl>
          <w:p w14:paraId="71ADD4EF">
            <w:pPr>
              <w:rPr>
                <w:rFonts w:ascii="Times New Roman" w:hAnsi="Times New Roman" w:cs="Times New Roman"/>
                <w:sz w:val="20"/>
                <w:szCs w:val="20"/>
              </w:rPr>
            </w:pPr>
          </w:p>
        </w:tc>
      </w:tr>
      <w:tr w14:paraId="0AF2893D">
        <w:tblPrEx>
          <w:tblCellMar>
            <w:top w:w="0" w:type="dxa"/>
            <w:left w:w="0" w:type="dxa"/>
            <w:bottom w:w="0" w:type="dxa"/>
            <w:right w:w="0" w:type="dxa"/>
          </w:tblCellMar>
        </w:tblPrEx>
        <w:trPr>
          <w:wBefore w:w="0" w:type="auto"/>
          <w:tblCellSpacing w:w="0" w:type="dxa"/>
        </w:trPr>
        <w:tc>
          <w:tcPr>
            <w:tcW w:w="0" w:type="auto"/>
            <w:noWrap w:val="0"/>
            <w:vAlign w:val="center"/>
          </w:tcPr>
          <w:p w14:paraId="532AFAE8">
            <w:r>
              <w:rPr>
                <w:rStyle w:val="10"/>
                <w:rFonts w:hint="eastAsia"/>
              </w:rPr>
              <w:t>使用技术要求:</w:t>
            </w:r>
            <w:r>
              <w:rPr>
                <w:rFonts w:hint="eastAsia"/>
              </w:rPr>
              <w:br w:type="textWrapping"/>
            </w:r>
            <w:r>
              <w:rPr>
                <w:rStyle w:val="11"/>
                <w:rFonts w:hint="eastAsia"/>
              </w:rPr>
              <w:t>◆空间喷雾1次，可有效驱杀房间内的蚊，且可持续24小时有效驱蚊（约每12平方米的房间喷雾1次）。◆直接以本品对准飞行中的蚊喷雾，也可有效驱杀。</w:t>
            </w:r>
          </w:p>
        </w:tc>
      </w:tr>
      <w:tr w14:paraId="220CA919">
        <w:tblPrEx>
          <w:tblCellMar>
            <w:top w:w="0" w:type="dxa"/>
            <w:left w:w="0" w:type="dxa"/>
            <w:bottom w:w="0" w:type="dxa"/>
            <w:right w:w="0" w:type="dxa"/>
          </w:tblCellMar>
        </w:tblPrEx>
        <w:trPr>
          <w:wBefore w:w="0" w:type="auto"/>
          <w:tblCellSpacing w:w="0" w:type="dxa"/>
        </w:trPr>
        <w:tc>
          <w:tcPr>
            <w:tcW w:w="0" w:type="auto"/>
            <w:noWrap w:val="0"/>
            <w:vAlign w:val="center"/>
          </w:tcPr>
          <w:p w14:paraId="22D8FB51">
            <w:r>
              <w:rPr>
                <w:rStyle w:val="10"/>
                <w:rFonts w:hint="eastAsia"/>
              </w:rPr>
              <w:t>产品性能:</w:t>
            </w:r>
            <w:r>
              <w:rPr>
                <w:rFonts w:hint="eastAsia"/>
              </w:rPr>
              <w:br w:type="textWrapping"/>
            </w:r>
            <w:r>
              <w:rPr>
                <w:rStyle w:val="11"/>
                <w:rFonts w:hint="eastAsia"/>
              </w:rPr>
              <w:t>本品采用定量喷射阀门，使用方便，只需喷雾一次即可有效驱杀蚊，且可持续24小时有效驱蚊，适用于家居、酒店、办公室、饭店等室内环境。</w:t>
            </w:r>
          </w:p>
        </w:tc>
      </w:tr>
      <w:tr w14:paraId="4AA4C4FD">
        <w:tblPrEx>
          <w:tblCellMar>
            <w:top w:w="0" w:type="dxa"/>
            <w:left w:w="0" w:type="dxa"/>
            <w:bottom w:w="0" w:type="dxa"/>
            <w:right w:w="0" w:type="dxa"/>
          </w:tblCellMar>
        </w:tblPrEx>
        <w:trPr>
          <w:wBefore w:w="0" w:type="auto"/>
          <w:tblCellSpacing w:w="0" w:type="dxa"/>
        </w:trPr>
        <w:tc>
          <w:tcPr>
            <w:tcW w:w="0" w:type="auto"/>
            <w:noWrap w:val="0"/>
            <w:vAlign w:val="center"/>
          </w:tcPr>
          <w:p w14:paraId="3D27C6F4">
            <w:r>
              <w:rPr>
                <w:rStyle w:val="10"/>
                <w:rFonts w:hint="eastAsia"/>
              </w:rPr>
              <w:t>注意事项：</w:t>
            </w:r>
            <w:r>
              <w:rPr>
                <w:rFonts w:hint="eastAsia"/>
              </w:rPr>
              <w:br w:type="textWrapping"/>
            </w:r>
            <w:r>
              <w:rPr>
                <w:rStyle w:val="11"/>
                <w:rFonts w:hint="eastAsia"/>
              </w:rPr>
              <w:t>◆请按指示使用，置于儿童接触不到的地方。◆请勿连续喷雾，喷雾间隔请保持5秒以上。勿倒置使用。用后洗手。勿向人体及食物喷雾。◆本品对鱼类、蜂和蚕毒性高，蚕室及其附近禁用。◆本品属压力包装，切勿毁坏及焚烧，勿近火喷射，空罐勿投入火中。远离火源或热源。◆用过的容器应妥善处理，不可做他用，也不可随意丢弃。◆过敏者禁用。使用中有任何不良反应请及时就医。</w:t>
            </w:r>
          </w:p>
        </w:tc>
      </w:tr>
      <w:tr w14:paraId="71727F06">
        <w:tblPrEx>
          <w:tblCellMar>
            <w:top w:w="0" w:type="dxa"/>
            <w:left w:w="0" w:type="dxa"/>
            <w:bottom w:w="0" w:type="dxa"/>
            <w:right w:w="0" w:type="dxa"/>
          </w:tblCellMar>
        </w:tblPrEx>
        <w:trPr>
          <w:wBefore w:w="0" w:type="auto"/>
          <w:tblCellSpacing w:w="0" w:type="dxa"/>
        </w:trPr>
        <w:tc>
          <w:tcPr>
            <w:tcW w:w="0" w:type="auto"/>
            <w:noWrap w:val="0"/>
            <w:vAlign w:val="center"/>
          </w:tcPr>
          <w:p w14:paraId="493987FB">
            <w:r>
              <w:rPr>
                <w:rStyle w:val="10"/>
                <w:rFonts w:hint="eastAsia"/>
              </w:rPr>
              <w:t>中毒急救措施：</w:t>
            </w:r>
            <w:r>
              <w:rPr>
                <w:rFonts w:hint="eastAsia"/>
              </w:rPr>
              <w:br w:type="textWrapping"/>
            </w:r>
            <w:r>
              <w:rPr>
                <w:rStyle w:val="11"/>
                <w:rFonts w:hint="eastAsia"/>
              </w:rPr>
              <w:t>药液粘上皮肤或眼睛，请即用大量清水清洗至少15分钟，并就医。若使用中感觉不适或不慎误服，请立即携标签送医院根据症状诊治。</w:t>
            </w:r>
          </w:p>
        </w:tc>
      </w:tr>
      <w:tr w14:paraId="53B09D88">
        <w:tblPrEx>
          <w:tblCellMar>
            <w:top w:w="0" w:type="dxa"/>
            <w:left w:w="0" w:type="dxa"/>
            <w:bottom w:w="0" w:type="dxa"/>
            <w:right w:w="0" w:type="dxa"/>
          </w:tblCellMar>
        </w:tblPrEx>
        <w:trPr>
          <w:wBefore w:w="0" w:type="auto"/>
          <w:tblCellSpacing w:w="0" w:type="dxa"/>
        </w:trPr>
        <w:tc>
          <w:tcPr>
            <w:tcW w:w="0" w:type="auto"/>
            <w:noWrap w:val="0"/>
            <w:vAlign w:val="center"/>
          </w:tcPr>
          <w:p w14:paraId="6E2C48C7">
            <w:r>
              <w:rPr>
                <w:rStyle w:val="10"/>
                <w:rFonts w:hint="eastAsia"/>
              </w:rPr>
              <w:t>储存和运输方法：</w:t>
            </w:r>
            <w:r>
              <w:rPr>
                <w:rFonts w:hint="eastAsia"/>
              </w:rPr>
              <w:br w:type="textWrapping"/>
            </w:r>
            <w:r>
              <w:rPr>
                <w:rStyle w:val="11"/>
                <w:rFonts w:hint="eastAsia"/>
              </w:rPr>
              <w:t>产品应贮存在50℃以下通风、阴凉、干燥（低温）的库房中，严防潮湿和曝晒。运输装卸要小心轻放。严禁猛烈撞击，且不可倒置。 远离儿童，勿与食品、种子、饲料及易燃易爆品混放混运。</w:t>
            </w:r>
          </w:p>
        </w:tc>
      </w:tr>
      <w:tr w14:paraId="2124A7B9">
        <w:tblPrEx>
          <w:tblCellMar>
            <w:top w:w="0" w:type="dxa"/>
            <w:left w:w="0" w:type="dxa"/>
            <w:bottom w:w="0" w:type="dxa"/>
            <w:right w:w="0" w:type="dxa"/>
          </w:tblCellMar>
        </w:tblPrEx>
        <w:trPr>
          <w:wBefore w:w="0" w:type="auto"/>
          <w:tblCellSpacing w:w="0" w:type="dxa"/>
        </w:trPr>
        <w:tc>
          <w:tcPr>
            <w:tcW w:w="0" w:type="auto"/>
            <w:noWrap w:val="0"/>
            <w:vAlign w:val="center"/>
          </w:tcPr>
          <w:p w14:paraId="71259135">
            <w:r>
              <w:rPr>
                <w:rStyle w:val="10"/>
                <w:rFonts w:hint="eastAsia"/>
              </w:rPr>
              <w:t>质量保证期：</w:t>
            </w:r>
            <w:r>
              <w:rPr>
                <w:rStyle w:val="11"/>
                <w:rFonts w:hint="eastAsia"/>
              </w:rPr>
              <w:t>3年</w:t>
            </w:r>
          </w:p>
        </w:tc>
      </w:tr>
      <w:tr w14:paraId="6A54CECD">
        <w:tblPrEx>
          <w:tblCellMar>
            <w:top w:w="0" w:type="dxa"/>
            <w:left w:w="0" w:type="dxa"/>
            <w:bottom w:w="0" w:type="dxa"/>
            <w:right w:w="0" w:type="dxa"/>
          </w:tblCellMar>
        </w:tblPrEx>
        <w:trPr>
          <w:wBefore w:w="0" w:type="auto"/>
          <w:tblCellSpacing w:w="0" w:type="dxa"/>
        </w:trPr>
        <w:tc>
          <w:tcPr>
            <w:tcW w:w="0" w:type="auto"/>
            <w:noWrap w:val="0"/>
            <w:vAlign w:val="center"/>
          </w:tcPr>
          <w:p w14:paraId="0D0DDB15">
            <w:r>
              <w:rPr>
                <w:rStyle w:val="10"/>
                <w:rFonts w:hint="eastAsia"/>
              </w:rPr>
              <w:t>备注：</w:t>
            </w:r>
          </w:p>
        </w:tc>
      </w:tr>
    </w:tbl>
    <w:p w14:paraId="7C1BB39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84BB49">
        <w:tblPrEx>
          <w:tblCellMar>
            <w:top w:w="0" w:type="dxa"/>
            <w:left w:w="0" w:type="dxa"/>
            <w:bottom w:w="0" w:type="dxa"/>
            <w:right w:w="0" w:type="dxa"/>
          </w:tblCellMar>
        </w:tblPrEx>
        <w:trPr>
          <w:wBefore w:w="0" w:type="auto"/>
          <w:tblCellSpacing w:w="0" w:type="dxa"/>
        </w:trPr>
        <w:tc>
          <w:tcPr>
            <w:tcW w:w="0" w:type="auto"/>
            <w:noWrap w:val="0"/>
            <w:vAlign w:val="center"/>
          </w:tcPr>
          <w:p w14:paraId="3467006D">
            <w:r>
              <w:rPr>
                <w:rStyle w:val="10"/>
                <w:rFonts w:hint="eastAsia"/>
              </w:rPr>
              <w:t>登记证号：</w:t>
            </w:r>
            <w:r>
              <w:rPr>
                <w:rFonts w:hint="eastAsia"/>
              </w:rPr>
              <w:t>PD20212525</w:t>
            </w:r>
          </w:p>
        </w:tc>
      </w:tr>
      <w:tr w14:paraId="120AC883">
        <w:tblPrEx>
          <w:tblCellMar>
            <w:top w:w="0" w:type="dxa"/>
            <w:left w:w="0" w:type="dxa"/>
            <w:bottom w:w="0" w:type="dxa"/>
            <w:right w:w="0" w:type="dxa"/>
          </w:tblCellMar>
        </w:tblPrEx>
        <w:trPr>
          <w:wBefore w:w="0" w:type="auto"/>
          <w:tblCellSpacing w:w="0" w:type="dxa"/>
        </w:trPr>
        <w:tc>
          <w:tcPr>
            <w:tcW w:w="0" w:type="auto"/>
            <w:noWrap w:val="0"/>
            <w:vAlign w:val="center"/>
          </w:tcPr>
          <w:p w14:paraId="137A4450">
            <w:r>
              <w:rPr>
                <w:rStyle w:val="10"/>
                <w:rFonts w:hint="eastAsia"/>
              </w:rPr>
              <w:t>登记证持有人：</w:t>
            </w:r>
            <w:r>
              <w:rPr>
                <w:rFonts w:hint="eastAsia"/>
              </w:rPr>
              <w:t>山东奥坤作物科学股份有限公司</w:t>
            </w:r>
          </w:p>
        </w:tc>
      </w:tr>
      <w:tr w14:paraId="2BCEB818">
        <w:tblPrEx>
          <w:tblCellMar>
            <w:top w:w="0" w:type="dxa"/>
            <w:left w:w="0" w:type="dxa"/>
            <w:bottom w:w="0" w:type="dxa"/>
            <w:right w:w="0" w:type="dxa"/>
          </w:tblCellMar>
        </w:tblPrEx>
        <w:trPr>
          <w:wBefore w:w="0" w:type="auto"/>
          <w:tblCellSpacing w:w="0" w:type="dxa"/>
        </w:trPr>
        <w:tc>
          <w:tcPr>
            <w:tcW w:w="0" w:type="auto"/>
            <w:noWrap w:val="0"/>
            <w:vAlign w:val="center"/>
          </w:tcPr>
          <w:p w14:paraId="39521DD2">
            <w:r>
              <w:rPr>
                <w:rStyle w:val="10"/>
                <w:rFonts w:hint="eastAsia"/>
              </w:rPr>
              <w:t>农药名称：</w:t>
            </w:r>
            <w:r>
              <w:rPr>
                <w:rFonts w:hint="eastAsia"/>
              </w:rPr>
              <w:t>五氟·氰·嘧肟</w:t>
            </w:r>
          </w:p>
        </w:tc>
      </w:tr>
      <w:tr w14:paraId="56918D21">
        <w:tblPrEx>
          <w:tblCellMar>
            <w:top w:w="0" w:type="dxa"/>
            <w:left w:w="0" w:type="dxa"/>
            <w:bottom w:w="0" w:type="dxa"/>
            <w:right w:w="0" w:type="dxa"/>
          </w:tblCellMar>
        </w:tblPrEx>
        <w:trPr>
          <w:wBefore w:w="0" w:type="auto"/>
          <w:tblCellSpacing w:w="0" w:type="dxa"/>
        </w:trPr>
        <w:tc>
          <w:tcPr>
            <w:tcW w:w="0" w:type="auto"/>
            <w:noWrap w:val="0"/>
            <w:vAlign w:val="center"/>
          </w:tcPr>
          <w:p w14:paraId="062856F0">
            <w:r>
              <w:rPr>
                <w:rStyle w:val="10"/>
                <w:rFonts w:hint="eastAsia"/>
              </w:rPr>
              <w:t>剂型：</w:t>
            </w:r>
            <w:r>
              <w:rPr>
                <w:rFonts w:hint="eastAsia"/>
              </w:rPr>
              <w:t>可分散油悬浮剂</w:t>
            </w:r>
          </w:p>
        </w:tc>
      </w:tr>
      <w:tr w14:paraId="7315E982">
        <w:tblPrEx>
          <w:tblCellMar>
            <w:top w:w="0" w:type="dxa"/>
            <w:left w:w="0" w:type="dxa"/>
            <w:bottom w:w="0" w:type="dxa"/>
            <w:right w:w="0" w:type="dxa"/>
          </w:tblCellMar>
        </w:tblPrEx>
        <w:trPr>
          <w:wBefore w:w="0" w:type="auto"/>
          <w:tblCellSpacing w:w="0" w:type="dxa"/>
        </w:trPr>
        <w:tc>
          <w:tcPr>
            <w:tcW w:w="0" w:type="auto"/>
            <w:noWrap w:val="0"/>
            <w:vAlign w:val="center"/>
          </w:tcPr>
          <w:p w14:paraId="3795C404">
            <w:r>
              <w:rPr>
                <w:rStyle w:val="10"/>
                <w:rFonts w:hint="eastAsia"/>
              </w:rPr>
              <w:t>毒性及其标识：</w:t>
            </w:r>
            <w:r>
              <w:rPr>
                <w:rFonts w:hint="eastAsia"/>
              </w:rPr>
              <w:t xml:space="preserve"> </w:t>
            </w:r>
            <w:r>
              <w:rPr>
                <w:lang/>
              </w:rPr>
              <w:drawing>
                <wp:inline distT="0" distB="0" distL="114300" distR="114300">
                  <wp:extent cx="476250" cy="323850"/>
                  <wp:effectExtent l="0" t="0" r="0" b="0"/>
                  <wp:docPr id="350" name="图片 3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A533FF">
        <w:tblPrEx>
          <w:tblCellMar>
            <w:top w:w="0" w:type="dxa"/>
            <w:left w:w="0" w:type="dxa"/>
            <w:bottom w:w="0" w:type="dxa"/>
            <w:right w:w="0" w:type="dxa"/>
          </w:tblCellMar>
        </w:tblPrEx>
        <w:trPr>
          <w:wBefore w:w="0" w:type="auto"/>
          <w:tblCellSpacing w:w="0" w:type="dxa"/>
        </w:trPr>
        <w:tc>
          <w:tcPr>
            <w:tcW w:w="0" w:type="auto"/>
            <w:noWrap w:val="0"/>
            <w:vAlign w:val="center"/>
          </w:tcPr>
          <w:p w14:paraId="70413EF4">
            <w:r>
              <w:rPr>
                <w:rStyle w:val="10"/>
                <w:rFonts w:hint="eastAsia"/>
              </w:rPr>
              <w:t>总有效成分含量：</w:t>
            </w:r>
            <w:r>
              <w:rPr>
                <w:rFonts w:hint="eastAsia"/>
              </w:rPr>
              <w:t>25%</w:t>
            </w:r>
          </w:p>
        </w:tc>
      </w:tr>
      <w:tr w14:paraId="1EF6CAE4">
        <w:tblPrEx>
          <w:tblCellMar>
            <w:top w:w="0" w:type="dxa"/>
            <w:left w:w="0" w:type="dxa"/>
            <w:bottom w:w="0" w:type="dxa"/>
            <w:right w:w="0" w:type="dxa"/>
          </w:tblCellMar>
        </w:tblPrEx>
        <w:trPr>
          <w:wBefore w:w="0" w:type="auto"/>
          <w:tblCellSpacing w:w="0" w:type="dxa"/>
        </w:trPr>
        <w:tc>
          <w:tcPr>
            <w:tcW w:w="0" w:type="auto"/>
            <w:noWrap w:val="0"/>
            <w:vAlign w:val="center"/>
          </w:tcPr>
          <w:p w14:paraId="5048FAC7">
            <w:r>
              <w:rPr>
                <w:rFonts w:hint="eastAsia"/>
              </w:rPr>
              <w:t xml:space="preserve">有效成分及其含量： </w:t>
            </w:r>
          </w:p>
          <w:p w14:paraId="0E4C0922">
            <w:r>
              <w:rPr>
                <w:rFonts w:hint="eastAsia"/>
              </w:rPr>
              <w:t xml:space="preserve">    五氟磺草胺2%    氰氟草酯20%    嘧啶肟草醚3%    </w:t>
            </w:r>
          </w:p>
        </w:tc>
      </w:tr>
      <w:tr w14:paraId="4F0B0FC6">
        <w:tblPrEx>
          <w:tblCellMar>
            <w:top w:w="0" w:type="dxa"/>
            <w:left w:w="0" w:type="dxa"/>
            <w:bottom w:w="0" w:type="dxa"/>
            <w:right w:w="0" w:type="dxa"/>
          </w:tblCellMar>
        </w:tblPrEx>
        <w:trPr>
          <w:wBefore w:w="0" w:type="auto"/>
          <w:tblCellSpacing w:w="0" w:type="dxa"/>
        </w:trPr>
        <w:tc>
          <w:tcPr>
            <w:tcW w:w="0" w:type="auto"/>
            <w:noWrap w:val="0"/>
            <w:vAlign w:val="center"/>
          </w:tcPr>
          <w:p w14:paraId="440746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7BD2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FC7E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B72F8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53C7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506EB9">
                  <w:r>
                    <w:rPr>
                      <w:rStyle w:val="11"/>
                      <w:rFonts w:hint="eastAsia"/>
                    </w:rPr>
                    <w:t>施用方式</w:t>
                  </w:r>
                </w:p>
              </w:tc>
            </w:tr>
            <w:tr w14:paraId="035085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23CE6C">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7682B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4CA4BA">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CA3747">
                  <w:r>
                    <w:rPr>
                      <w:rStyle w:val="11"/>
                      <w:rFonts w:hint="eastAsia"/>
                    </w:rPr>
                    <w:t>茎叶喷雾</w:t>
                  </w:r>
                </w:p>
              </w:tc>
            </w:tr>
          </w:tbl>
          <w:p w14:paraId="74ADDAA9">
            <w:pPr>
              <w:rPr>
                <w:rFonts w:ascii="Times New Roman" w:hAnsi="Times New Roman" w:cs="Times New Roman"/>
                <w:sz w:val="20"/>
                <w:szCs w:val="20"/>
              </w:rPr>
            </w:pPr>
          </w:p>
        </w:tc>
      </w:tr>
      <w:tr w14:paraId="76761F2A">
        <w:tblPrEx>
          <w:tblCellMar>
            <w:top w:w="0" w:type="dxa"/>
            <w:left w:w="0" w:type="dxa"/>
            <w:bottom w:w="0" w:type="dxa"/>
            <w:right w:w="0" w:type="dxa"/>
          </w:tblCellMar>
        </w:tblPrEx>
        <w:trPr>
          <w:wBefore w:w="0" w:type="auto"/>
          <w:tblCellSpacing w:w="0" w:type="dxa"/>
        </w:trPr>
        <w:tc>
          <w:tcPr>
            <w:tcW w:w="0" w:type="auto"/>
            <w:noWrap w:val="0"/>
            <w:vAlign w:val="center"/>
          </w:tcPr>
          <w:p w14:paraId="0A8E0013">
            <w:r>
              <w:rPr>
                <w:rStyle w:val="10"/>
                <w:rFonts w:hint="eastAsia"/>
              </w:rPr>
              <w:t>使用技术要求:</w:t>
            </w:r>
            <w:r>
              <w:rPr>
                <w:rFonts w:hint="eastAsia"/>
              </w:rPr>
              <w:br w:type="textWrapping"/>
            </w:r>
            <w:r>
              <w:rPr>
                <w:rStyle w:val="11"/>
                <w:rFonts w:hint="eastAsia"/>
              </w:rPr>
              <w:t>1. 于水稻移栽后7-10天杂草出齐，禾本科3～5叶期、阔叶杂草2～4叶期，喷雾法均匀喷施一次，喷液量25-30升/亩。2. 施药前排去田水，使杂草全部露出水面。药后1天复水，保持水层5～7天，后期正常管理。勿超剂量使用，注意水层勿淹没水稻心叶避免药害发生。3. 本品每季节最多使用1次。</w:t>
            </w:r>
          </w:p>
        </w:tc>
      </w:tr>
      <w:tr w14:paraId="60185D4D">
        <w:tblPrEx>
          <w:tblCellMar>
            <w:top w:w="0" w:type="dxa"/>
            <w:left w:w="0" w:type="dxa"/>
            <w:bottom w:w="0" w:type="dxa"/>
            <w:right w:w="0" w:type="dxa"/>
          </w:tblCellMar>
        </w:tblPrEx>
        <w:trPr>
          <w:wBefore w:w="0" w:type="auto"/>
          <w:tblCellSpacing w:w="0" w:type="dxa"/>
        </w:trPr>
        <w:tc>
          <w:tcPr>
            <w:tcW w:w="0" w:type="auto"/>
            <w:noWrap w:val="0"/>
            <w:vAlign w:val="center"/>
          </w:tcPr>
          <w:p w14:paraId="75C54541">
            <w:r>
              <w:rPr>
                <w:rStyle w:val="10"/>
                <w:rFonts w:hint="eastAsia"/>
              </w:rPr>
              <w:t>产品性能:</w:t>
            </w:r>
            <w:r>
              <w:rPr>
                <w:rFonts w:hint="eastAsia"/>
              </w:rPr>
              <w:br w:type="textWrapping"/>
            </w:r>
            <w:r>
              <w:rPr>
                <w:rStyle w:val="11"/>
                <w:rFonts w:hint="eastAsia"/>
              </w:rPr>
              <w:t>本品是由嘧啶肟草醚、五氟磺草胺和氰氟草酯的三元复配除草剂，能有效防治水稻田中的稗草、鸭舌草、千金子、雨久 花、狼巴草、野慈菇、藨草、异型莎草等水田中一年生禾本科、阔叶及莎草科杂草。</w:t>
            </w:r>
          </w:p>
        </w:tc>
      </w:tr>
      <w:tr w14:paraId="22AD9FB9">
        <w:tblPrEx>
          <w:tblCellMar>
            <w:top w:w="0" w:type="dxa"/>
            <w:left w:w="0" w:type="dxa"/>
            <w:bottom w:w="0" w:type="dxa"/>
            <w:right w:w="0" w:type="dxa"/>
          </w:tblCellMar>
        </w:tblPrEx>
        <w:trPr>
          <w:wBefore w:w="0" w:type="auto"/>
          <w:tblCellSpacing w:w="0" w:type="dxa"/>
        </w:trPr>
        <w:tc>
          <w:tcPr>
            <w:tcW w:w="0" w:type="auto"/>
            <w:noWrap w:val="0"/>
            <w:vAlign w:val="center"/>
          </w:tcPr>
          <w:p w14:paraId="3141DE9C">
            <w:r>
              <w:rPr>
                <w:rStyle w:val="10"/>
                <w:rFonts w:hint="eastAsia"/>
              </w:rPr>
              <w:t>注意事项：</w:t>
            </w:r>
            <w:r>
              <w:rPr>
                <w:rFonts w:hint="eastAsia"/>
              </w:rPr>
              <w:br w:type="textWrapping"/>
            </w:r>
            <w:r>
              <w:rPr>
                <w:rStyle w:val="11"/>
                <w:rFonts w:hint="eastAsia"/>
              </w:rPr>
              <w:t>1. 本品使用时不可与酸、碱性物质混合使用，以免降低药效。2. 本品对眼睛有刺激性，使用时避免接触眼睛，穿戴长衣、长裤、帽子、口罩、手套等防护措施，避免皮肤接触及口鼻吸入。使用中不可吸烟、饮水及吃东西。用药结束后，及时清洗手脸并更换衣物。3. 使用后将喷雾器械清洗干净，剩余药液及用过的容器应妥善处理，不得随意丢弃，更不可留作他用。4. 本品对鱼类等水生物毒性较高，水产养殖区、河塘等水体附近禁用，瓢虫、赤眼蜂等天敌放飞区域禁用；周围蜜源作物花期禁用。禁止在河塘等水体清洗施药器具，鱼或虾蟹套养稻田禁用；施药后的田水不得直接排入水体。5. 避免孕妇及哺乳期妇女接触。</w:t>
            </w:r>
          </w:p>
        </w:tc>
      </w:tr>
      <w:tr w14:paraId="455D2B45">
        <w:tblPrEx>
          <w:tblCellMar>
            <w:top w:w="0" w:type="dxa"/>
            <w:left w:w="0" w:type="dxa"/>
            <w:bottom w:w="0" w:type="dxa"/>
            <w:right w:w="0" w:type="dxa"/>
          </w:tblCellMar>
        </w:tblPrEx>
        <w:trPr>
          <w:wBefore w:w="0" w:type="auto"/>
          <w:tblCellSpacing w:w="0" w:type="dxa"/>
        </w:trPr>
        <w:tc>
          <w:tcPr>
            <w:tcW w:w="0" w:type="auto"/>
            <w:noWrap w:val="0"/>
            <w:vAlign w:val="center"/>
          </w:tcPr>
          <w:p w14:paraId="556D6491">
            <w:r>
              <w:rPr>
                <w:rStyle w:val="10"/>
                <w:rFonts w:hint="eastAsia"/>
              </w:rPr>
              <w:t>中毒急救措施：</w:t>
            </w:r>
            <w:r>
              <w:rPr>
                <w:rFonts w:hint="eastAsia"/>
              </w:rPr>
              <w:br w:type="textWrapping"/>
            </w:r>
            <w:r>
              <w:rPr>
                <w:rStyle w:val="11"/>
                <w:rFonts w:hint="eastAsia"/>
              </w:rPr>
              <w:t>1. 眼睛溅入∶立刻用大量清水冲洗15-20分钟，携此标签去医院诊治。2. 误食∶立即饮用一杯或两杯水，用一只手指按住咽喉的后面部位，引吐。任何时候，不要试图让失去知觉的人呕吐或通过口部为其喂食。并请立即带标签就医。3. 皮肤沾附∶脱去被溅到衣服。立即用大量清水冲洗皮肤。衣服彻底清洗后方可再穿。4. 误吸∶转移至空气清新处，如症状持续，向医生咨询。5. 给医护人员的提示：无特效解毒药，请医生根据症状治疗。</w:t>
            </w:r>
          </w:p>
        </w:tc>
      </w:tr>
      <w:tr w14:paraId="32BA3C36">
        <w:tblPrEx>
          <w:tblCellMar>
            <w:top w:w="0" w:type="dxa"/>
            <w:left w:w="0" w:type="dxa"/>
            <w:bottom w:w="0" w:type="dxa"/>
            <w:right w:w="0" w:type="dxa"/>
          </w:tblCellMar>
        </w:tblPrEx>
        <w:trPr>
          <w:wBefore w:w="0" w:type="auto"/>
          <w:tblCellSpacing w:w="0" w:type="dxa"/>
        </w:trPr>
        <w:tc>
          <w:tcPr>
            <w:tcW w:w="0" w:type="auto"/>
            <w:noWrap w:val="0"/>
            <w:vAlign w:val="center"/>
          </w:tcPr>
          <w:p w14:paraId="5D8D4C80">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22254300">
        <w:tblPrEx>
          <w:tblCellMar>
            <w:top w:w="0" w:type="dxa"/>
            <w:left w:w="0" w:type="dxa"/>
            <w:bottom w:w="0" w:type="dxa"/>
            <w:right w:w="0" w:type="dxa"/>
          </w:tblCellMar>
        </w:tblPrEx>
        <w:trPr>
          <w:wBefore w:w="0" w:type="auto"/>
          <w:tblCellSpacing w:w="0" w:type="dxa"/>
        </w:trPr>
        <w:tc>
          <w:tcPr>
            <w:tcW w:w="0" w:type="auto"/>
            <w:noWrap w:val="0"/>
            <w:vAlign w:val="center"/>
          </w:tcPr>
          <w:p w14:paraId="34F03DBF">
            <w:r>
              <w:rPr>
                <w:rStyle w:val="10"/>
                <w:rFonts w:hint="eastAsia"/>
              </w:rPr>
              <w:t>质量保证期：</w:t>
            </w:r>
            <w:r>
              <w:rPr>
                <w:rStyle w:val="11"/>
                <w:rFonts w:hint="eastAsia"/>
              </w:rPr>
              <w:t>2年</w:t>
            </w:r>
          </w:p>
        </w:tc>
      </w:tr>
      <w:tr w14:paraId="0C2C7330">
        <w:tblPrEx>
          <w:tblCellMar>
            <w:top w:w="0" w:type="dxa"/>
            <w:left w:w="0" w:type="dxa"/>
            <w:bottom w:w="0" w:type="dxa"/>
            <w:right w:w="0" w:type="dxa"/>
          </w:tblCellMar>
        </w:tblPrEx>
        <w:trPr>
          <w:wBefore w:w="0" w:type="auto"/>
          <w:tblCellSpacing w:w="0" w:type="dxa"/>
        </w:trPr>
        <w:tc>
          <w:tcPr>
            <w:tcW w:w="0" w:type="auto"/>
            <w:noWrap w:val="0"/>
            <w:vAlign w:val="center"/>
          </w:tcPr>
          <w:p w14:paraId="39D79E8C">
            <w:r>
              <w:rPr>
                <w:rStyle w:val="10"/>
                <w:rFonts w:hint="eastAsia"/>
              </w:rPr>
              <w:t>备注：</w:t>
            </w:r>
          </w:p>
        </w:tc>
      </w:tr>
    </w:tbl>
    <w:p w14:paraId="49877AE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26548E">
        <w:tblPrEx>
          <w:tblCellMar>
            <w:top w:w="0" w:type="dxa"/>
            <w:left w:w="0" w:type="dxa"/>
            <w:bottom w:w="0" w:type="dxa"/>
            <w:right w:w="0" w:type="dxa"/>
          </w:tblCellMar>
        </w:tblPrEx>
        <w:trPr>
          <w:wBefore w:w="0" w:type="auto"/>
          <w:tblCellSpacing w:w="0" w:type="dxa"/>
        </w:trPr>
        <w:tc>
          <w:tcPr>
            <w:tcW w:w="0" w:type="auto"/>
            <w:noWrap w:val="0"/>
            <w:vAlign w:val="center"/>
          </w:tcPr>
          <w:p w14:paraId="2CA25B75">
            <w:r>
              <w:rPr>
                <w:rStyle w:val="10"/>
                <w:rFonts w:hint="eastAsia"/>
              </w:rPr>
              <w:t>登记证号：</w:t>
            </w:r>
            <w:r>
              <w:rPr>
                <w:rFonts w:hint="eastAsia"/>
              </w:rPr>
              <w:t>PD20212415</w:t>
            </w:r>
          </w:p>
        </w:tc>
      </w:tr>
      <w:tr w14:paraId="65412DAF">
        <w:tblPrEx>
          <w:tblCellMar>
            <w:top w:w="0" w:type="dxa"/>
            <w:left w:w="0" w:type="dxa"/>
            <w:bottom w:w="0" w:type="dxa"/>
            <w:right w:w="0" w:type="dxa"/>
          </w:tblCellMar>
        </w:tblPrEx>
        <w:trPr>
          <w:wBefore w:w="0" w:type="auto"/>
          <w:tblCellSpacing w:w="0" w:type="dxa"/>
        </w:trPr>
        <w:tc>
          <w:tcPr>
            <w:tcW w:w="0" w:type="auto"/>
            <w:noWrap w:val="0"/>
            <w:vAlign w:val="center"/>
          </w:tcPr>
          <w:p w14:paraId="39C07E33">
            <w:r>
              <w:rPr>
                <w:rStyle w:val="10"/>
                <w:rFonts w:hint="eastAsia"/>
              </w:rPr>
              <w:t>登记证持有人：</w:t>
            </w:r>
            <w:r>
              <w:rPr>
                <w:rFonts w:hint="eastAsia"/>
              </w:rPr>
              <w:t>河南省周口市中科化工有限公司</w:t>
            </w:r>
          </w:p>
        </w:tc>
      </w:tr>
      <w:tr w14:paraId="3E309D41">
        <w:tblPrEx>
          <w:tblCellMar>
            <w:top w:w="0" w:type="dxa"/>
            <w:left w:w="0" w:type="dxa"/>
            <w:bottom w:w="0" w:type="dxa"/>
            <w:right w:w="0" w:type="dxa"/>
          </w:tblCellMar>
        </w:tblPrEx>
        <w:trPr>
          <w:wBefore w:w="0" w:type="auto"/>
          <w:tblCellSpacing w:w="0" w:type="dxa"/>
        </w:trPr>
        <w:tc>
          <w:tcPr>
            <w:tcW w:w="0" w:type="auto"/>
            <w:noWrap w:val="0"/>
            <w:vAlign w:val="center"/>
          </w:tcPr>
          <w:p w14:paraId="7DAC87B9">
            <w:r>
              <w:rPr>
                <w:rStyle w:val="10"/>
                <w:rFonts w:hint="eastAsia"/>
              </w:rPr>
              <w:t>农药名称：</w:t>
            </w:r>
            <w:r>
              <w:rPr>
                <w:rFonts w:hint="eastAsia"/>
              </w:rPr>
              <w:t>杀单·噻虫胺</w:t>
            </w:r>
          </w:p>
        </w:tc>
      </w:tr>
      <w:tr w14:paraId="27C0D2EA">
        <w:tblPrEx>
          <w:tblCellMar>
            <w:top w:w="0" w:type="dxa"/>
            <w:left w:w="0" w:type="dxa"/>
            <w:bottom w:w="0" w:type="dxa"/>
            <w:right w:w="0" w:type="dxa"/>
          </w:tblCellMar>
        </w:tblPrEx>
        <w:trPr>
          <w:wBefore w:w="0" w:type="auto"/>
          <w:tblCellSpacing w:w="0" w:type="dxa"/>
        </w:trPr>
        <w:tc>
          <w:tcPr>
            <w:tcW w:w="0" w:type="auto"/>
            <w:noWrap w:val="0"/>
            <w:vAlign w:val="center"/>
          </w:tcPr>
          <w:p w14:paraId="30F3AF3B">
            <w:r>
              <w:rPr>
                <w:rStyle w:val="10"/>
                <w:rFonts w:hint="eastAsia"/>
              </w:rPr>
              <w:t>剂型：</w:t>
            </w:r>
            <w:r>
              <w:rPr>
                <w:rFonts w:hint="eastAsia"/>
              </w:rPr>
              <w:t>颗粒剂</w:t>
            </w:r>
          </w:p>
        </w:tc>
      </w:tr>
      <w:tr w14:paraId="260E61D0">
        <w:tblPrEx>
          <w:tblCellMar>
            <w:top w:w="0" w:type="dxa"/>
            <w:left w:w="0" w:type="dxa"/>
            <w:bottom w:w="0" w:type="dxa"/>
            <w:right w:w="0" w:type="dxa"/>
          </w:tblCellMar>
        </w:tblPrEx>
        <w:trPr>
          <w:wBefore w:w="0" w:type="auto"/>
          <w:tblCellSpacing w:w="0" w:type="dxa"/>
        </w:trPr>
        <w:tc>
          <w:tcPr>
            <w:tcW w:w="0" w:type="auto"/>
            <w:noWrap w:val="0"/>
            <w:vAlign w:val="center"/>
          </w:tcPr>
          <w:p w14:paraId="73E3EB9A">
            <w:r>
              <w:rPr>
                <w:rStyle w:val="10"/>
                <w:rFonts w:hint="eastAsia"/>
              </w:rPr>
              <w:t>毒性及其标识：</w:t>
            </w:r>
            <w:r>
              <w:rPr>
                <w:rFonts w:hint="eastAsia"/>
              </w:rPr>
              <w:t xml:space="preserve"> 微毒 </w:t>
            </w:r>
          </w:p>
        </w:tc>
      </w:tr>
      <w:tr w14:paraId="654A5720">
        <w:tblPrEx>
          <w:tblCellMar>
            <w:top w:w="0" w:type="dxa"/>
            <w:left w:w="0" w:type="dxa"/>
            <w:bottom w:w="0" w:type="dxa"/>
            <w:right w:w="0" w:type="dxa"/>
          </w:tblCellMar>
        </w:tblPrEx>
        <w:trPr>
          <w:wBefore w:w="0" w:type="auto"/>
          <w:tblCellSpacing w:w="0" w:type="dxa"/>
        </w:trPr>
        <w:tc>
          <w:tcPr>
            <w:tcW w:w="0" w:type="auto"/>
            <w:noWrap w:val="0"/>
            <w:vAlign w:val="center"/>
          </w:tcPr>
          <w:p w14:paraId="0FDE3B47">
            <w:r>
              <w:rPr>
                <w:rStyle w:val="10"/>
                <w:rFonts w:hint="eastAsia"/>
              </w:rPr>
              <w:t>总有效成分含量：</w:t>
            </w:r>
            <w:r>
              <w:rPr>
                <w:rFonts w:hint="eastAsia"/>
              </w:rPr>
              <w:t>0.5%</w:t>
            </w:r>
          </w:p>
        </w:tc>
      </w:tr>
      <w:tr w14:paraId="4D73AA44">
        <w:tblPrEx>
          <w:tblCellMar>
            <w:top w:w="0" w:type="dxa"/>
            <w:left w:w="0" w:type="dxa"/>
            <w:bottom w:w="0" w:type="dxa"/>
            <w:right w:w="0" w:type="dxa"/>
          </w:tblCellMar>
        </w:tblPrEx>
        <w:trPr>
          <w:wBefore w:w="0" w:type="auto"/>
          <w:tblCellSpacing w:w="0" w:type="dxa"/>
        </w:trPr>
        <w:tc>
          <w:tcPr>
            <w:tcW w:w="0" w:type="auto"/>
            <w:noWrap w:val="0"/>
            <w:vAlign w:val="center"/>
          </w:tcPr>
          <w:p w14:paraId="3D842013">
            <w:r>
              <w:rPr>
                <w:rFonts w:hint="eastAsia"/>
              </w:rPr>
              <w:t xml:space="preserve">有效成分及其含量： </w:t>
            </w:r>
          </w:p>
          <w:p w14:paraId="530DF364">
            <w:r>
              <w:rPr>
                <w:rFonts w:hint="eastAsia"/>
              </w:rPr>
              <w:t xml:space="preserve">    杀虫单0.45%    噻虫胺0.05%    </w:t>
            </w:r>
          </w:p>
        </w:tc>
      </w:tr>
      <w:tr w14:paraId="515F5876">
        <w:tblPrEx>
          <w:tblCellMar>
            <w:top w:w="0" w:type="dxa"/>
            <w:left w:w="0" w:type="dxa"/>
            <w:bottom w:w="0" w:type="dxa"/>
            <w:right w:w="0" w:type="dxa"/>
          </w:tblCellMar>
        </w:tblPrEx>
        <w:trPr>
          <w:wBefore w:w="0" w:type="auto"/>
          <w:tblCellSpacing w:w="0" w:type="dxa"/>
        </w:trPr>
        <w:tc>
          <w:tcPr>
            <w:tcW w:w="0" w:type="auto"/>
            <w:noWrap w:val="0"/>
            <w:vAlign w:val="center"/>
          </w:tcPr>
          <w:p w14:paraId="2596C5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9476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D1BC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5944E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350A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7AFD28">
                  <w:r>
                    <w:rPr>
                      <w:rStyle w:val="11"/>
                      <w:rFonts w:hint="eastAsia"/>
                    </w:rPr>
                    <w:t>施用方式</w:t>
                  </w:r>
                </w:p>
              </w:tc>
            </w:tr>
            <w:tr w14:paraId="19D970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E0CCE0">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BFCEA6">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16F8B5">
                  <w:r>
                    <w:rPr>
                      <w:rStyle w:val="11"/>
                      <w:rFonts w:hint="eastAsia"/>
                    </w:rPr>
                    <w:t>35-50千克/亩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04F403">
                  <w:r>
                    <w:rPr>
                      <w:rStyle w:val="11"/>
                      <w:rFonts w:hint="eastAsia"/>
                    </w:rPr>
                    <w:t>撒施</w:t>
                  </w:r>
                </w:p>
              </w:tc>
            </w:tr>
          </w:tbl>
          <w:p w14:paraId="7847EF15">
            <w:pPr>
              <w:rPr>
                <w:rFonts w:ascii="Times New Roman" w:hAnsi="Times New Roman" w:cs="Times New Roman"/>
                <w:sz w:val="20"/>
                <w:szCs w:val="20"/>
              </w:rPr>
            </w:pPr>
          </w:p>
        </w:tc>
      </w:tr>
      <w:tr w14:paraId="5009D499">
        <w:tblPrEx>
          <w:tblCellMar>
            <w:top w:w="0" w:type="dxa"/>
            <w:left w:w="0" w:type="dxa"/>
            <w:bottom w:w="0" w:type="dxa"/>
            <w:right w:w="0" w:type="dxa"/>
          </w:tblCellMar>
        </w:tblPrEx>
        <w:trPr>
          <w:wBefore w:w="0" w:type="auto"/>
          <w:tblCellSpacing w:w="0" w:type="dxa"/>
        </w:trPr>
        <w:tc>
          <w:tcPr>
            <w:tcW w:w="0" w:type="auto"/>
            <w:noWrap w:val="0"/>
            <w:vAlign w:val="center"/>
          </w:tcPr>
          <w:p w14:paraId="3AE08DEE">
            <w:r>
              <w:rPr>
                <w:rStyle w:val="10"/>
                <w:rFonts w:hint="eastAsia"/>
              </w:rPr>
              <w:t>使用技术要求:</w:t>
            </w:r>
            <w:r>
              <w:rPr>
                <w:rFonts w:hint="eastAsia"/>
              </w:rPr>
              <w:br w:type="textWrapping"/>
            </w:r>
            <w:r>
              <w:rPr>
                <w:rStyle w:val="11"/>
                <w:rFonts w:hint="eastAsia"/>
              </w:rPr>
              <w:t>1.于甘蔗种植或中耕培土时，将药剂均匀撒施并覆土。 2.本品在甘蔗上每季使用1次。 3.施药后须保持一定的土壤湿度，以利于有效成分的释放和均匀分布。</w:t>
            </w:r>
          </w:p>
        </w:tc>
      </w:tr>
      <w:tr w14:paraId="6DC973C7">
        <w:tblPrEx>
          <w:tblCellMar>
            <w:top w:w="0" w:type="dxa"/>
            <w:left w:w="0" w:type="dxa"/>
            <w:bottom w:w="0" w:type="dxa"/>
            <w:right w:w="0" w:type="dxa"/>
          </w:tblCellMar>
        </w:tblPrEx>
        <w:trPr>
          <w:wBefore w:w="0" w:type="auto"/>
          <w:tblCellSpacing w:w="0" w:type="dxa"/>
        </w:trPr>
        <w:tc>
          <w:tcPr>
            <w:tcW w:w="0" w:type="auto"/>
            <w:noWrap w:val="0"/>
            <w:vAlign w:val="center"/>
          </w:tcPr>
          <w:p w14:paraId="2AC51B5E">
            <w:r>
              <w:rPr>
                <w:rStyle w:val="10"/>
                <w:rFonts w:hint="eastAsia"/>
              </w:rPr>
              <w:t>产品性能:</w:t>
            </w:r>
            <w:r>
              <w:rPr>
                <w:rFonts w:hint="eastAsia"/>
              </w:rPr>
              <w:br w:type="textWrapping"/>
            </w:r>
            <w:r>
              <w:rPr>
                <w:rStyle w:val="11"/>
                <w:rFonts w:hint="eastAsia"/>
              </w:rPr>
              <w:t>本品由杀虫单和噻虫胺加工而成，具有内吸、触杀和胃毒的作用，施药后可迅速被作物吸收传导，对甘蔗蔗螟具有较好的防治效果。</w:t>
            </w:r>
          </w:p>
        </w:tc>
      </w:tr>
      <w:tr w14:paraId="4A4669C9">
        <w:tblPrEx>
          <w:tblCellMar>
            <w:top w:w="0" w:type="dxa"/>
            <w:left w:w="0" w:type="dxa"/>
            <w:bottom w:w="0" w:type="dxa"/>
            <w:right w:w="0" w:type="dxa"/>
          </w:tblCellMar>
        </w:tblPrEx>
        <w:trPr>
          <w:wBefore w:w="0" w:type="auto"/>
          <w:tblCellSpacing w:w="0" w:type="dxa"/>
        </w:trPr>
        <w:tc>
          <w:tcPr>
            <w:tcW w:w="0" w:type="auto"/>
            <w:noWrap w:val="0"/>
            <w:vAlign w:val="center"/>
          </w:tcPr>
          <w:p w14:paraId="76240CAE">
            <w:r>
              <w:rPr>
                <w:rStyle w:val="10"/>
                <w:rFonts w:hint="eastAsia"/>
              </w:rPr>
              <w:t>注意事项：</w:t>
            </w:r>
            <w:r>
              <w:rPr>
                <w:rFonts w:hint="eastAsia"/>
              </w:rPr>
              <w:br w:type="textWrapping"/>
            </w:r>
            <w:r>
              <w:rPr>
                <w:rStyle w:val="11"/>
                <w:rFonts w:hint="eastAsia"/>
              </w:rPr>
              <w:t>1、本品对鸟类、蜜蜂、家蚕有毒，开花作物花期、蚕室及桑园附近禁用，施药期间应密切关注对附近蜂群的影响；远离水产养殖区、河塘等水体施药，禁止在河塘等水域内清洗施药器具；鸟类保护区禁用，撒施颗粒剂后立即覆土。2、施药人员在施药过程中应顺风行走，减少施药时间；使用本品应采取相应的安全防护措施，穿戴长衣、长裤、帽子、口罩、手套等防护措施。 避免皮肤接触及口鼻吸入。使用中不可吸烟、饮水及吃东西，使用后及时清洗手、脸等暴露部位皮肤并更换衣物。3、用过的容器应妥善处理，不可做他用，也不可随意丢弃。4、避免孕妇及哺乳期妇女接触本品。</w:t>
            </w:r>
          </w:p>
        </w:tc>
      </w:tr>
      <w:tr w14:paraId="4A180454">
        <w:tblPrEx>
          <w:tblCellMar>
            <w:top w:w="0" w:type="dxa"/>
            <w:left w:w="0" w:type="dxa"/>
            <w:bottom w:w="0" w:type="dxa"/>
            <w:right w:w="0" w:type="dxa"/>
          </w:tblCellMar>
        </w:tblPrEx>
        <w:trPr>
          <w:wBefore w:w="0" w:type="auto"/>
          <w:tblCellSpacing w:w="0" w:type="dxa"/>
        </w:trPr>
        <w:tc>
          <w:tcPr>
            <w:tcW w:w="0" w:type="auto"/>
            <w:noWrap w:val="0"/>
            <w:vAlign w:val="center"/>
          </w:tcPr>
          <w:p w14:paraId="249D74E4">
            <w:r>
              <w:rPr>
                <w:rStyle w:val="10"/>
                <w:rFonts w:hint="eastAsia"/>
              </w:rPr>
              <w:t>中毒急救措施：</w:t>
            </w:r>
            <w:r>
              <w:rPr>
                <w:rFonts w:hint="eastAsia"/>
              </w:rPr>
              <w:br w:type="textWrapping"/>
            </w:r>
            <w:r>
              <w:rPr>
                <w:rStyle w:val="11"/>
                <w:rFonts w:hint="eastAsia"/>
              </w:rPr>
              <w:t>中毒症状：头痛、恶心、呕吐、胸闷等。该产品对眼睛有刺激性，使用时避免接触眼睛。 中毒急救：1.皮肤接触：立即脱掉被污染的衣物，用大量清水冲洗被污染的皮肤，再用肥皂清洗，然后用清水冲净。2.眼睛溅药：立即将眼睑翻开，用清水冲洗至少15分钟，再请医生诊治。3.发生吸入：立即将吸入者转移到空气新鲜处，如果吸入者停止呼吸， 需进行人工呼吸。请医生诊治。4.误服：请用清水充分漱口后，立即携带标签，送医就诊。5.解毒剂：无专用解毒剂，对症治疗。</w:t>
            </w:r>
          </w:p>
        </w:tc>
      </w:tr>
      <w:tr w14:paraId="695F105A">
        <w:tblPrEx>
          <w:tblCellMar>
            <w:top w:w="0" w:type="dxa"/>
            <w:left w:w="0" w:type="dxa"/>
            <w:bottom w:w="0" w:type="dxa"/>
            <w:right w:w="0" w:type="dxa"/>
          </w:tblCellMar>
        </w:tblPrEx>
        <w:trPr>
          <w:wBefore w:w="0" w:type="auto"/>
          <w:tblCellSpacing w:w="0" w:type="dxa"/>
        </w:trPr>
        <w:tc>
          <w:tcPr>
            <w:tcW w:w="0" w:type="auto"/>
            <w:noWrap w:val="0"/>
            <w:vAlign w:val="center"/>
          </w:tcPr>
          <w:p w14:paraId="51C214D9">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本品应贮存在干燥、阴凉、通风、防雨处，远离火源或热源。置于儿童触及不到之处，并加锁。勿与食品、粮食、饮料、饲料等其他商品同贮同运。 </w:t>
            </w:r>
          </w:p>
        </w:tc>
      </w:tr>
      <w:tr w14:paraId="0776B19B">
        <w:tblPrEx>
          <w:tblCellMar>
            <w:top w:w="0" w:type="dxa"/>
            <w:left w:w="0" w:type="dxa"/>
            <w:bottom w:w="0" w:type="dxa"/>
            <w:right w:w="0" w:type="dxa"/>
          </w:tblCellMar>
        </w:tblPrEx>
        <w:trPr>
          <w:wBefore w:w="0" w:type="auto"/>
          <w:tblCellSpacing w:w="0" w:type="dxa"/>
        </w:trPr>
        <w:tc>
          <w:tcPr>
            <w:tcW w:w="0" w:type="auto"/>
            <w:noWrap w:val="0"/>
            <w:vAlign w:val="center"/>
          </w:tcPr>
          <w:p w14:paraId="7BDA5964">
            <w:r>
              <w:rPr>
                <w:rStyle w:val="10"/>
                <w:rFonts w:hint="eastAsia"/>
              </w:rPr>
              <w:t>质量保证期：</w:t>
            </w:r>
            <w:r>
              <w:rPr>
                <w:rStyle w:val="11"/>
                <w:rFonts w:hint="eastAsia"/>
              </w:rPr>
              <w:t>2年</w:t>
            </w:r>
          </w:p>
        </w:tc>
      </w:tr>
      <w:tr w14:paraId="389A2A55">
        <w:tblPrEx>
          <w:tblCellMar>
            <w:top w:w="0" w:type="dxa"/>
            <w:left w:w="0" w:type="dxa"/>
            <w:bottom w:w="0" w:type="dxa"/>
            <w:right w:w="0" w:type="dxa"/>
          </w:tblCellMar>
        </w:tblPrEx>
        <w:trPr>
          <w:wBefore w:w="0" w:type="auto"/>
          <w:tblCellSpacing w:w="0" w:type="dxa"/>
        </w:trPr>
        <w:tc>
          <w:tcPr>
            <w:tcW w:w="0" w:type="auto"/>
            <w:noWrap w:val="0"/>
            <w:vAlign w:val="center"/>
          </w:tcPr>
          <w:p w14:paraId="1E9098FA">
            <w:r>
              <w:rPr>
                <w:rStyle w:val="10"/>
                <w:rFonts w:hint="eastAsia"/>
              </w:rPr>
              <w:t>备注：</w:t>
            </w:r>
          </w:p>
        </w:tc>
      </w:tr>
    </w:tbl>
    <w:p w14:paraId="774D817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F2739E">
        <w:tblPrEx>
          <w:tblCellMar>
            <w:top w:w="0" w:type="dxa"/>
            <w:left w:w="0" w:type="dxa"/>
            <w:bottom w:w="0" w:type="dxa"/>
            <w:right w:w="0" w:type="dxa"/>
          </w:tblCellMar>
        </w:tblPrEx>
        <w:trPr>
          <w:wBefore w:w="0" w:type="auto"/>
          <w:tblCellSpacing w:w="0" w:type="dxa"/>
        </w:trPr>
        <w:tc>
          <w:tcPr>
            <w:tcW w:w="0" w:type="auto"/>
            <w:noWrap w:val="0"/>
            <w:vAlign w:val="center"/>
          </w:tcPr>
          <w:p w14:paraId="713131C3">
            <w:r>
              <w:rPr>
                <w:rStyle w:val="10"/>
                <w:rFonts w:hint="eastAsia"/>
              </w:rPr>
              <w:t>登记证号：</w:t>
            </w:r>
            <w:r>
              <w:rPr>
                <w:rFonts w:hint="eastAsia"/>
              </w:rPr>
              <w:t>PD20212626</w:t>
            </w:r>
          </w:p>
        </w:tc>
      </w:tr>
      <w:tr w14:paraId="10402C29">
        <w:tblPrEx>
          <w:tblCellMar>
            <w:top w:w="0" w:type="dxa"/>
            <w:left w:w="0" w:type="dxa"/>
            <w:bottom w:w="0" w:type="dxa"/>
            <w:right w:w="0" w:type="dxa"/>
          </w:tblCellMar>
        </w:tblPrEx>
        <w:trPr>
          <w:wBefore w:w="0" w:type="auto"/>
          <w:tblCellSpacing w:w="0" w:type="dxa"/>
        </w:trPr>
        <w:tc>
          <w:tcPr>
            <w:tcW w:w="0" w:type="auto"/>
            <w:noWrap w:val="0"/>
            <w:vAlign w:val="center"/>
          </w:tcPr>
          <w:p w14:paraId="2E32B53D">
            <w:r>
              <w:rPr>
                <w:rStyle w:val="10"/>
                <w:rFonts w:hint="eastAsia"/>
              </w:rPr>
              <w:t>登记证持有人：</w:t>
            </w:r>
            <w:r>
              <w:rPr>
                <w:rFonts w:hint="eastAsia"/>
              </w:rPr>
              <w:t>上海悦联化工有限公司</w:t>
            </w:r>
          </w:p>
        </w:tc>
      </w:tr>
      <w:tr w14:paraId="59F29A37">
        <w:tblPrEx>
          <w:tblCellMar>
            <w:top w:w="0" w:type="dxa"/>
            <w:left w:w="0" w:type="dxa"/>
            <w:bottom w:w="0" w:type="dxa"/>
            <w:right w:w="0" w:type="dxa"/>
          </w:tblCellMar>
        </w:tblPrEx>
        <w:trPr>
          <w:wBefore w:w="0" w:type="auto"/>
          <w:tblCellSpacing w:w="0" w:type="dxa"/>
        </w:trPr>
        <w:tc>
          <w:tcPr>
            <w:tcW w:w="0" w:type="auto"/>
            <w:noWrap w:val="0"/>
            <w:vAlign w:val="center"/>
          </w:tcPr>
          <w:p w14:paraId="60CB793F">
            <w:r>
              <w:rPr>
                <w:rStyle w:val="10"/>
                <w:rFonts w:hint="eastAsia"/>
              </w:rPr>
              <w:t>农药名称：</w:t>
            </w:r>
            <w:r>
              <w:rPr>
                <w:rFonts w:hint="eastAsia"/>
              </w:rPr>
              <w:t>氧氟·草铵膦</w:t>
            </w:r>
          </w:p>
        </w:tc>
      </w:tr>
      <w:tr w14:paraId="031E7A35">
        <w:tblPrEx>
          <w:tblCellMar>
            <w:top w:w="0" w:type="dxa"/>
            <w:left w:w="0" w:type="dxa"/>
            <w:bottom w:w="0" w:type="dxa"/>
            <w:right w:w="0" w:type="dxa"/>
          </w:tblCellMar>
        </w:tblPrEx>
        <w:trPr>
          <w:wBefore w:w="0" w:type="auto"/>
          <w:tblCellSpacing w:w="0" w:type="dxa"/>
        </w:trPr>
        <w:tc>
          <w:tcPr>
            <w:tcW w:w="0" w:type="auto"/>
            <w:noWrap w:val="0"/>
            <w:vAlign w:val="center"/>
          </w:tcPr>
          <w:p w14:paraId="76BD22D4">
            <w:r>
              <w:rPr>
                <w:rStyle w:val="10"/>
                <w:rFonts w:hint="eastAsia"/>
              </w:rPr>
              <w:t>剂型：</w:t>
            </w:r>
            <w:r>
              <w:rPr>
                <w:rFonts w:hint="eastAsia"/>
              </w:rPr>
              <w:t>微乳剂</w:t>
            </w:r>
          </w:p>
        </w:tc>
      </w:tr>
      <w:tr w14:paraId="1E050718">
        <w:tblPrEx>
          <w:tblCellMar>
            <w:top w:w="0" w:type="dxa"/>
            <w:left w:w="0" w:type="dxa"/>
            <w:bottom w:w="0" w:type="dxa"/>
            <w:right w:w="0" w:type="dxa"/>
          </w:tblCellMar>
        </w:tblPrEx>
        <w:trPr>
          <w:wBefore w:w="0" w:type="auto"/>
          <w:tblCellSpacing w:w="0" w:type="dxa"/>
        </w:trPr>
        <w:tc>
          <w:tcPr>
            <w:tcW w:w="0" w:type="auto"/>
            <w:noWrap w:val="0"/>
            <w:vAlign w:val="center"/>
          </w:tcPr>
          <w:p w14:paraId="4DF45F53">
            <w:r>
              <w:rPr>
                <w:rStyle w:val="10"/>
                <w:rFonts w:hint="eastAsia"/>
              </w:rPr>
              <w:t>毒性及其标识：</w:t>
            </w:r>
            <w:r>
              <w:rPr>
                <w:rFonts w:hint="eastAsia"/>
              </w:rPr>
              <w:t xml:space="preserve"> </w:t>
            </w:r>
            <w:r>
              <w:rPr>
                <w:lang/>
              </w:rPr>
              <w:drawing>
                <wp:inline distT="0" distB="0" distL="114300" distR="114300">
                  <wp:extent cx="476250" cy="323850"/>
                  <wp:effectExtent l="0" t="0" r="0" b="0"/>
                  <wp:docPr id="351" name="图片 3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FABBB9">
        <w:tblPrEx>
          <w:tblCellMar>
            <w:top w:w="0" w:type="dxa"/>
            <w:left w:w="0" w:type="dxa"/>
            <w:bottom w:w="0" w:type="dxa"/>
            <w:right w:w="0" w:type="dxa"/>
          </w:tblCellMar>
        </w:tblPrEx>
        <w:trPr>
          <w:wBefore w:w="0" w:type="auto"/>
          <w:tblCellSpacing w:w="0" w:type="dxa"/>
        </w:trPr>
        <w:tc>
          <w:tcPr>
            <w:tcW w:w="0" w:type="auto"/>
            <w:noWrap w:val="0"/>
            <w:vAlign w:val="center"/>
          </w:tcPr>
          <w:p w14:paraId="25B69839">
            <w:r>
              <w:rPr>
                <w:rStyle w:val="10"/>
                <w:rFonts w:hint="eastAsia"/>
              </w:rPr>
              <w:t>总有效成分含量：</w:t>
            </w:r>
            <w:r>
              <w:rPr>
                <w:rFonts w:hint="eastAsia"/>
              </w:rPr>
              <w:t>17%</w:t>
            </w:r>
          </w:p>
        </w:tc>
      </w:tr>
      <w:tr w14:paraId="45B5380F">
        <w:tblPrEx>
          <w:tblCellMar>
            <w:top w:w="0" w:type="dxa"/>
            <w:left w:w="0" w:type="dxa"/>
            <w:bottom w:w="0" w:type="dxa"/>
            <w:right w:w="0" w:type="dxa"/>
          </w:tblCellMar>
        </w:tblPrEx>
        <w:trPr>
          <w:wBefore w:w="0" w:type="auto"/>
          <w:tblCellSpacing w:w="0" w:type="dxa"/>
        </w:trPr>
        <w:tc>
          <w:tcPr>
            <w:tcW w:w="0" w:type="auto"/>
            <w:noWrap w:val="0"/>
            <w:vAlign w:val="center"/>
          </w:tcPr>
          <w:p w14:paraId="05050A89">
            <w:r>
              <w:rPr>
                <w:rFonts w:hint="eastAsia"/>
              </w:rPr>
              <w:t xml:space="preserve">有效成分及其含量： </w:t>
            </w:r>
          </w:p>
          <w:p w14:paraId="75BE3942">
            <w:r>
              <w:rPr>
                <w:rFonts w:hint="eastAsia"/>
              </w:rPr>
              <w:t xml:space="preserve">    草铵膦14.2%    乙氧氟草醚2.8%    </w:t>
            </w:r>
          </w:p>
        </w:tc>
      </w:tr>
      <w:tr w14:paraId="3133ED2C">
        <w:tblPrEx>
          <w:tblCellMar>
            <w:top w:w="0" w:type="dxa"/>
            <w:left w:w="0" w:type="dxa"/>
            <w:bottom w:w="0" w:type="dxa"/>
            <w:right w:w="0" w:type="dxa"/>
          </w:tblCellMar>
        </w:tblPrEx>
        <w:trPr>
          <w:wBefore w:w="0" w:type="auto"/>
          <w:tblCellSpacing w:w="0" w:type="dxa"/>
        </w:trPr>
        <w:tc>
          <w:tcPr>
            <w:tcW w:w="0" w:type="auto"/>
            <w:noWrap w:val="0"/>
            <w:vAlign w:val="center"/>
          </w:tcPr>
          <w:p w14:paraId="3A99B93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66B0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2C710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A9C1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ACC58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715C29">
                  <w:r>
                    <w:rPr>
                      <w:rStyle w:val="11"/>
                      <w:rFonts w:hint="eastAsia"/>
                    </w:rPr>
                    <w:t>施用方式</w:t>
                  </w:r>
                </w:p>
              </w:tc>
            </w:tr>
            <w:tr w14:paraId="33666C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48416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07F7A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344F8B">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DE14E3">
                  <w:r>
                    <w:rPr>
                      <w:rStyle w:val="11"/>
                      <w:rFonts w:hint="eastAsia"/>
                    </w:rPr>
                    <w:t>茎叶喷雾</w:t>
                  </w:r>
                </w:p>
              </w:tc>
            </w:tr>
          </w:tbl>
          <w:p w14:paraId="07E67A11">
            <w:pPr>
              <w:rPr>
                <w:rFonts w:ascii="Times New Roman" w:hAnsi="Times New Roman" w:cs="Times New Roman"/>
                <w:sz w:val="20"/>
                <w:szCs w:val="20"/>
              </w:rPr>
            </w:pPr>
          </w:p>
        </w:tc>
      </w:tr>
      <w:tr w14:paraId="531F98EC">
        <w:tblPrEx>
          <w:tblCellMar>
            <w:top w:w="0" w:type="dxa"/>
            <w:left w:w="0" w:type="dxa"/>
            <w:bottom w:w="0" w:type="dxa"/>
            <w:right w:w="0" w:type="dxa"/>
          </w:tblCellMar>
        </w:tblPrEx>
        <w:trPr>
          <w:wBefore w:w="0" w:type="auto"/>
          <w:tblCellSpacing w:w="0" w:type="dxa"/>
        </w:trPr>
        <w:tc>
          <w:tcPr>
            <w:tcW w:w="0" w:type="auto"/>
            <w:noWrap w:val="0"/>
            <w:vAlign w:val="center"/>
          </w:tcPr>
          <w:p w14:paraId="1BA132ED">
            <w:r>
              <w:rPr>
                <w:rStyle w:val="10"/>
                <w:rFonts w:hint="eastAsia"/>
              </w:rPr>
              <w:t>使用技术要求:</w:t>
            </w:r>
            <w:r>
              <w:rPr>
                <w:rFonts w:hint="eastAsia"/>
              </w:rPr>
              <w:br w:type="textWrapping"/>
            </w:r>
            <w:r>
              <w:rPr>
                <w:rStyle w:val="11"/>
                <w:rFonts w:hint="eastAsia"/>
              </w:rPr>
              <w:t>1.在非耕地杂草旺盛生长期茎叶喷雾施药一次。 2.大风天或预计1小时内降雨，请勿施药。3.禁止在田间道路、田埂、果树行间、休耕地、林场林地等农林业区域使用。</w:t>
            </w:r>
          </w:p>
        </w:tc>
      </w:tr>
      <w:tr w14:paraId="56B501AE">
        <w:tblPrEx>
          <w:tblCellMar>
            <w:top w:w="0" w:type="dxa"/>
            <w:left w:w="0" w:type="dxa"/>
            <w:bottom w:w="0" w:type="dxa"/>
            <w:right w:w="0" w:type="dxa"/>
          </w:tblCellMar>
        </w:tblPrEx>
        <w:trPr>
          <w:wBefore w:w="0" w:type="auto"/>
          <w:tblCellSpacing w:w="0" w:type="dxa"/>
        </w:trPr>
        <w:tc>
          <w:tcPr>
            <w:tcW w:w="0" w:type="auto"/>
            <w:noWrap w:val="0"/>
            <w:vAlign w:val="center"/>
          </w:tcPr>
          <w:p w14:paraId="2C0F882E">
            <w:r>
              <w:rPr>
                <w:rStyle w:val="10"/>
                <w:rFonts w:hint="eastAsia"/>
              </w:rPr>
              <w:t>产品性能:</w:t>
            </w:r>
            <w:r>
              <w:rPr>
                <w:rFonts w:hint="eastAsia"/>
              </w:rPr>
              <w:br w:type="textWrapping"/>
            </w:r>
            <w:r>
              <w:rPr>
                <w:rStyle w:val="11"/>
                <w:rFonts w:hint="eastAsia"/>
              </w:rPr>
              <w:t>本产品为非选择性杂草茎叶处理除草剂，其独特的“一封一杀”除草机理，使得该品具有杀草谱广、杀草速度快、持效期较长、耐雨水冲刷等特点，对非耕地杂草有较好防效。</w:t>
            </w:r>
          </w:p>
        </w:tc>
      </w:tr>
      <w:tr w14:paraId="3D6686D5">
        <w:tblPrEx>
          <w:tblCellMar>
            <w:top w:w="0" w:type="dxa"/>
            <w:left w:w="0" w:type="dxa"/>
            <w:bottom w:w="0" w:type="dxa"/>
            <w:right w:w="0" w:type="dxa"/>
          </w:tblCellMar>
        </w:tblPrEx>
        <w:trPr>
          <w:wBefore w:w="0" w:type="auto"/>
          <w:tblCellSpacing w:w="0" w:type="dxa"/>
        </w:trPr>
        <w:tc>
          <w:tcPr>
            <w:tcW w:w="0" w:type="auto"/>
            <w:noWrap w:val="0"/>
            <w:vAlign w:val="center"/>
          </w:tcPr>
          <w:p w14:paraId="6199EC44">
            <w:r>
              <w:rPr>
                <w:rStyle w:val="10"/>
                <w:rFonts w:hint="eastAsia"/>
              </w:rPr>
              <w:t>注意事项：</w:t>
            </w:r>
            <w:r>
              <w:rPr>
                <w:rFonts w:hint="eastAsia"/>
              </w:rPr>
              <w:br w:type="textWrapping"/>
            </w:r>
            <w:r>
              <w:rPr>
                <w:rStyle w:val="11"/>
                <w:rFonts w:hint="eastAsia"/>
              </w:rPr>
              <w:t>1、本品施药后5天内勿割草、放牧、翻地等。 2、使用本品应穿戴长衣、长裤、帽子、口罩、手套等防护措施。 避免皮肤接触及口鼻吸入。使用中不可吸烟、饮水及吃东西，使用后及时清洗手、脸等暴露部位皮肤并更换衣物。 3、远离水产养殖区、河塘等水体施药；禁止在河塘等水体中清洗施药器具；桑园及蚕室附近禁用；赤眼蜂等天敌放飞区域禁用。 4、使用后的包装物应遵照农药包装废弃物回收准则的相关规定处理，不可作他用，也不可随意丢弃。 5、孕妇及哺乳期妇女避免接触。6、避免与氧化剂接触。7、该产品为易燃液体。</w:t>
            </w:r>
          </w:p>
        </w:tc>
      </w:tr>
      <w:tr w14:paraId="50245B49">
        <w:tblPrEx>
          <w:tblCellMar>
            <w:top w:w="0" w:type="dxa"/>
            <w:left w:w="0" w:type="dxa"/>
            <w:bottom w:w="0" w:type="dxa"/>
            <w:right w:w="0" w:type="dxa"/>
          </w:tblCellMar>
        </w:tblPrEx>
        <w:trPr>
          <w:wBefore w:w="0" w:type="auto"/>
          <w:tblCellSpacing w:w="0" w:type="dxa"/>
        </w:trPr>
        <w:tc>
          <w:tcPr>
            <w:tcW w:w="0" w:type="auto"/>
            <w:noWrap w:val="0"/>
            <w:vAlign w:val="center"/>
          </w:tcPr>
          <w:p w14:paraId="1801AB0E">
            <w:r>
              <w:rPr>
                <w:rStyle w:val="10"/>
                <w:rFonts w:hint="eastAsia"/>
              </w:rPr>
              <w:t>中毒急救措施：</w:t>
            </w:r>
            <w:r>
              <w:rPr>
                <w:rFonts w:hint="eastAsia"/>
              </w:rPr>
              <w:br w:type="textWrapping"/>
            </w:r>
            <w:r>
              <w:rPr>
                <w:rStyle w:val="11"/>
                <w:rFonts w:hint="eastAsia"/>
              </w:rPr>
              <w:t>该产品对眼睛、皮肤有刺激性，使用时避免接触眼睛、皮肤 。急救措施：使用中或使用后如果感觉不适，应立即停止工作，采取急救措施，并携带标签送医院就诊。 1、皮肤接触：脱去污染的衣物，用软布去除沾染农药，立即用大量清水和肥皂冲洗； 2、眼睛接触：立即用流动的清水至少冲洗15分钟，仍有不适应立即就医； 3、吸入：立即离开施药现场，转移到空气清新处。 如误服，立即停止服用，用清水充分漱口后，立即携带标签到医院对症治疗。</w:t>
            </w:r>
          </w:p>
        </w:tc>
      </w:tr>
      <w:tr w14:paraId="28ED8E1C">
        <w:tblPrEx>
          <w:tblCellMar>
            <w:top w:w="0" w:type="dxa"/>
            <w:left w:w="0" w:type="dxa"/>
            <w:bottom w:w="0" w:type="dxa"/>
            <w:right w:w="0" w:type="dxa"/>
          </w:tblCellMar>
        </w:tblPrEx>
        <w:trPr>
          <w:wBefore w:w="0" w:type="auto"/>
          <w:tblCellSpacing w:w="0" w:type="dxa"/>
        </w:trPr>
        <w:tc>
          <w:tcPr>
            <w:tcW w:w="0" w:type="auto"/>
            <w:noWrap w:val="0"/>
            <w:vAlign w:val="center"/>
          </w:tcPr>
          <w:p w14:paraId="79AF9EEF">
            <w:r>
              <w:rPr>
                <w:rStyle w:val="10"/>
                <w:rFonts w:hint="eastAsia"/>
              </w:rPr>
              <w:t>储存和运输方法：</w:t>
            </w:r>
            <w:r>
              <w:rPr>
                <w:rFonts w:hint="eastAsia"/>
              </w:rPr>
              <w:br w:type="textWrapping"/>
            </w:r>
            <w:r>
              <w:rPr>
                <w:rStyle w:val="11"/>
                <w:rFonts w:hint="eastAsia"/>
              </w:rPr>
              <w:t>储运时应严防潮湿和日晒，远离热源或火源，保持良好通风。置于儿童、无关人员及动物接触不到的地方，并加锁保存；避免与食物、饮料、种子、粮食、饲料等混合储运。</w:t>
            </w:r>
          </w:p>
        </w:tc>
      </w:tr>
      <w:tr w14:paraId="71B76A0C">
        <w:tblPrEx>
          <w:tblCellMar>
            <w:top w:w="0" w:type="dxa"/>
            <w:left w:w="0" w:type="dxa"/>
            <w:bottom w:w="0" w:type="dxa"/>
            <w:right w:w="0" w:type="dxa"/>
          </w:tblCellMar>
        </w:tblPrEx>
        <w:trPr>
          <w:wBefore w:w="0" w:type="auto"/>
          <w:tblCellSpacing w:w="0" w:type="dxa"/>
        </w:trPr>
        <w:tc>
          <w:tcPr>
            <w:tcW w:w="0" w:type="auto"/>
            <w:noWrap w:val="0"/>
            <w:vAlign w:val="center"/>
          </w:tcPr>
          <w:p w14:paraId="0BD34938">
            <w:r>
              <w:rPr>
                <w:rStyle w:val="10"/>
                <w:rFonts w:hint="eastAsia"/>
              </w:rPr>
              <w:t>质量保证期：</w:t>
            </w:r>
            <w:r>
              <w:rPr>
                <w:rStyle w:val="11"/>
                <w:rFonts w:hint="eastAsia"/>
              </w:rPr>
              <w:t>2年</w:t>
            </w:r>
          </w:p>
        </w:tc>
      </w:tr>
      <w:tr w14:paraId="75DE8264">
        <w:tblPrEx>
          <w:tblCellMar>
            <w:top w:w="0" w:type="dxa"/>
            <w:left w:w="0" w:type="dxa"/>
            <w:bottom w:w="0" w:type="dxa"/>
            <w:right w:w="0" w:type="dxa"/>
          </w:tblCellMar>
        </w:tblPrEx>
        <w:trPr>
          <w:wBefore w:w="0" w:type="auto"/>
          <w:tblCellSpacing w:w="0" w:type="dxa"/>
        </w:trPr>
        <w:tc>
          <w:tcPr>
            <w:tcW w:w="0" w:type="auto"/>
            <w:noWrap w:val="0"/>
            <w:vAlign w:val="center"/>
          </w:tcPr>
          <w:p w14:paraId="12A79553">
            <w:r>
              <w:rPr>
                <w:rStyle w:val="10"/>
                <w:rFonts w:hint="eastAsia"/>
              </w:rPr>
              <w:t>备注：</w:t>
            </w:r>
          </w:p>
        </w:tc>
      </w:tr>
    </w:tbl>
    <w:p w14:paraId="71AD22D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AFFE04">
        <w:tblPrEx>
          <w:tblCellMar>
            <w:top w:w="0" w:type="dxa"/>
            <w:left w:w="0" w:type="dxa"/>
            <w:bottom w:w="0" w:type="dxa"/>
            <w:right w:w="0" w:type="dxa"/>
          </w:tblCellMar>
        </w:tblPrEx>
        <w:trPr>
          <w:wBefore w:w="0" w:type="auto"/>
          <w:tblCellSpacing w:w="0" w:type="dxa"/>
        </w:trPr>
        <w:tc>
          <w:tcPr>
            <w:tcW w:w="0" w:type="auto"/>
            <w:noWrap w:val="0"/>
            <w:vAlign w:val="center"/>
          </w:tcPr>
          <w:p w14:paraId="758ED078">
            <w:r>
              <w:rPr>
                <w:rStyle w:val="10"/>
                <w:rFonts w:hint="eastAsia"/>
              </w:rPr>
              <w:t>登记证号：</w:t>
            </w:r>
            <w:r>
              <w:rPr>
                <w:rFonts w:hint="eastAsia"/>
              </w:rPr>
              <w:t>WP20210410</w:t>
            </w:r>
          </w:p>
        </w:tc>
      </w:tr>
      <w:tr w14:paraId="79312BC2">
        <w:tblPrEx>
          <w:tblCellMar>
            <w:top w:w="0" w:type="dxa"/>
            <w:left w:w="0" w:type="dxa"/>
            <w:bottom w:w="0" w:type="dxa"/>
            <w:right w:w="0" w:type="dxa"/>
          </w:tblCellMar>
        </w:tblPrEx>
        <w:trPr>
          <w:wBefore w:w="0" w:type="auto"/>
          <w:tblCellSpacing w:w="0" w:type="dxa"/>
        </w:trPr>
        <w:tc>
          <w:tcPr>
            <w:tcW w:w="0" w:type="auto"/>
            <w:noWrap w:val="0"/>
            <w:vAlign w:val="center"/>
          </w:tcPr>
          <w:p w14:paraId="08F9DA4C">
            <w:r>
              <w:rPr>
                <w:rStyle w:val="10"/>
                <w:rFonts w:hint="eastAsia"/>
              </w:rPr>
              <w:t>登记证持有人：</w:t>
            </w:r>
            <w:r>
              <w:rPr>
                <w:rFonts w:hint="eastAsia"/>
              </w:rPr>
              <w:t>河南省周口市中科化工有限公司</w:t>
            </w:r>
          </w:p>
        </w:tc>
      </w:tr>
      <w:tr w14:paraId="4BBCC2BE">
        <w:tblPrEx>
          <w:tblCellMar>
            <w:top w:w="0" w:type="dxa"/>
            <w:left w:w="0" w:type="dxa"/>
            <w:bottom w:w="0" w:type="dxa"/>
            <w:right w:w="0" w:type="dxa"/>
          </w:tblCellMar>
        </w:tblPrEx>
        <w:trPr>
          <w:wBefore w:w="0" w:type="auto"/>
          <w:tblCellSpacing w:w="0" w:type="dxa"/>
        </w:trPr>
        <w:tc>
          <w:tcPr>
            <w:tcW w:w="0" w:type="auto"/>
            <w:noWrap w:val="0"/>
            <w:vAlign w:val="center"/>
          </w:tcPr>
          <w:p w14:paraId="0FAE29F0">
            <w:r>
              <w:rPr>
                <w:rStyle w:val="10"/>
                <w:rFonts w:hint="eastAsia"/>
              </w:rPr>
              <w:t>农药名称：</w:t>
            </w:r>
            <w:r>
              <w:rPr>
                <w:rFonts w:hint="eastAsia"/>
              </w:rPr>
              <w:t>杀虫饵剂</w:t>
            </w:r>
          </w:p>
        </w:tc>
      </w:tr>
      <w:tr w14:paraId="5DD5AFA9">
        <w:tblPrEx>
          <w:tblCellMar>
            <w:top w:w="0" w:type="dxa"/>
            <w:left w:w="0" w:type="dxa"/>
            <w:bottom w:w="0" w:type="dxa"/>
            <w:right w:w="0" w:type="dxa"/>
          </w:tblCellMar>
        </w:tblPrEx>
        <w:trPr>
          <w:wBefore w:w="0" w:type="auto"/>
          <w:tblCellSpacing w:w="0" w:type="dxa"/>
        </w:trPr>
        <w:tc>
          <w:tcPr>
            <w:tcW w:w="0" w:type="auto"/>
            <w:noWrap w:val="0"/>
            <w:vAlign w:val="center"/>
          </w:tcPr>
          <w:p w14:paraId="40BBBF92">
            <w:r>
              <w:rPr>
                <w:rStyle w:val="10"/>
                <w:rFonts w:hint="eastAsia"/>
              </w:rPr>
              <w:t>剂型：</w:t>
            </w:r>
            <w:r>
              <w:rPr>
                <w:rFonts w:hint="eastAsia"/>
              </w:rPr>
              <w:t>饵剂</w:t>
            </w:r>
          </w:p>
        </w:tc>
      </w:tr>
      <w:tr w14:paraId="05B3F6F0">
        <w:tblPrEx>
          <w:tblCellMar>
            <w:top w:w="0" w:type="dxa"/>
            <w:left w:w="0" w:type="dxa"/>
            <w:bottom w:w="0" w:type="dxa"/>
            <w:right w:w="0" w:type="dxa"/>
          </w:tblCellMar>
        </w:tblPrEx>
        <w:trPr>
          <w:wBefore w:w="0" w:type="auto"/>
          <w:tblCellSpacing w:w="0" w:type="dxa"/>
        </w:trPr>
        <w:tc>
          <w:tcPr>
            <w:tcW w:w="0" w:type="auto"/>
            <w:noWrap w:val="0"/>
            <w:vAlign w:val="center"/>
          </w:tcPr>
          <w:p w14:paraId="4E7E0E47">
            <w:r>
              <w:rPr>
                <w:rStyle w:val="10"/>
                <w:rFonts w:hint="eastAsia"/>
              </w:rPr>
              <w:t>毒性及其标识：</w:t>
            </w:r>
            <w:r>
              <w:rPr>
                <w:rFonts w:hint="eastAsia"/>
              </w:rPr>
              <w:t xml:space="preserve"> 微毒 </w:t>
            </w:r>
          </w:p>
        </w:tc>
      </w:tr>
      <w:tr w14:paraId="6E8624A8">
        <w:tblPrEx>
          <w:tblCellMar>
            <w:top w:w="0" w:type="dxa"/>
            <w:left w:w="0" w:type="dxa"/>
            <w:bottom w:w="0" w:type="dxa"/>
            <w:right w:w="0" w:type="dxa"/>
          </w:tblCellMar>
        </w:tblPrEx>
        <w:trPr>
          <w:wBefore w:w="0" w:type="auto"/>
          <w:tblCellSpacing w:w="0" w:type="dxa"/>
        </w:trPr>
        <w:tc>
          <w:tcPr>
            <w:tcW w:w="0" w:type="auto"/>
            <w:noWrap w:val="0"/>
            <w:vAlign w:val="center"/>
          </w:tcPr>
          <w:p w14:paraId="40FE6E3D">
            <w:r>
              <w:rPr>
                <w:rStyle w:val="10"/>
                <w:rFonts w:hint="eastAsia"/>
              </w:rPr>
              <w:t>总有效成分含量：</w:t>
            </w:r>
            <w:r>
              <w:rPr>
                <w:rFonts w:hint="eastAsia"/>
              </w:rPr>
              <w:t>0.2%</w:t>
            </w:r>
          </w:p>
        </w:tc>
      </w:tr>
      <w:tr w14:paraId="10A53408">
        <w:tblPrEx>
          <w:tblCellMar>
            <w:top w:w="0" w:type="dxa"/>
            <w:left w:w="0" w:type="dxa"/>
            <w:bottom w:w="0" w:type="dxa"/>
            <w:right w:w="0" w:type="dxa"/>
          </w:tblCellMar>
        </w:tblPrEx>
        <w:trPr>
          <w:wBefore w:w="0" w:type="auto"/>
          <w:tblCellSpacing w:w="0" w:type="dxa"/>
        </w:trPr>
        <w:tc>
          <w:tcPr>
            <w:tcW w:w="0" w:type="auto"/>
            <w:noWrap w:val="0"/>
            <w:vAlign w:val="center"/>
          </w:tcPr>
          <w:p w14:paraId="00F4EC9C">
            <w:r>
              <w:rPr>
                <w:rFonts w:hint="eastAsia"/>
              </w:rPr>
              <w:t xml:space="preserve">有效成分及其含量： </w:t>
            </w:r>
          </w:p>
          <w:p w14:paraId="647E56A8">
            <w:r>
              <w:rPr>
                <w:rFonts w:hint="eastAsia"/>
              </w:rPr>
              <w:t xml:space="preserve">    呋虫胺0.2%    </w:t>
            </w:r>
          </w:p>
        </w:tc>
      </w:tr>
      <w:tr w14:paraId="1D1B680A">
        <w:tblPrEx>
          <w:tblCellMar>
            <w:top w:w="0" w:type="dxa"/>
            <w:left w:w="0" w:type="dxa"/>
            <w:bottom w:w="0" w:type="dxa"/>
            <w:right w:w="0" w:type="dxa"/>
          </w:tblCellMar>
        </w:tblPrEx>
        <w:trPr>
          <w:wBefore w:w="0" w:type="auto"/>
          <w:tblCellSpacing w:w="0" w:type="dxa"/>
        </w:trPr>
        <w:tc>
          <w:tcPr>
            <w:tcW w:w="0" w:type="auto"/>
            <w:noWrap w:val="0"/>
            <w:vAlign w:val="center"/>
          </w:tcPr>
          <w:p w14:paraId="2D4C6A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0365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0CF77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42201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E3765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C08408">
                  <w:r>
                    <w:rPr>
                      <w:rStyle w:val="11"/>
                      <w:rFonts w:hint="eastAsia"/>
                    </w:rPr>
                    <w:t>施用方式</w:t>
                  </w:r>
                </w:p>
              </w:tc>
            </w:tr>
            <w:tr w14:paraId="7C53C0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9336A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CBC921">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8C6DA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7D9512">
                  <w:r>
                    <w:rPr>
                      <w:rStyle w:val="11"/>
                      <w:rFonts w:hint="eastAsia"/>
                    </w:rPr>
                    <w:t>投放</w:t>
                  </w:r>
                </w:p>
              </w:tc>
            </w:tr>
            <w:tr w14:paraId="2BC1A1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57644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AB7519">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46339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B91814">
                  <w:r>
                    <w:rPr>
                      <w:rStyle w:val="11"/>
                      <w:rFonts w:hint="eastAsia"/>
                    </w:rPr>
                    <w:t>投放</w:t>
                  </w:r>
                </w:p>
              </w:tc>
            </w:tr>
          </w:tbl>
          <w:p w14:paraId="6C8558D8">
            <w:pPr>
              <w:rPr>
                <w:rFonts w:ascii="Times New Roman" w:hAnsi="Times New Roman" w:cs="Times New Roman"/>
                <w:sz w:val="20"/>
                <w:szCs w:val="20"/>
              </w:rPr>
            </w:pPr>
          </w:p>
        </w:tc>
      </w:tr>
      <w:tr w14:paraId="212A9C01">
        <w:tblPrEx>
          <w:tblCellMar>
            <w:top w:w="0" w:type="dxa"/>
            <w:left w:w="0" w:type="dxa"/>
            <w:bottom w:w="0" w:type="dxa"/>
            <w:right w:w="0" w:type="dxa"/>
          </w:tblCellMar>
        </w:tblPrEx>
        <w:trPr>
          <w:wBefore w:w="0" w:type="auto"/>
          <w:tblCellSpacing w:w="0" w:type="dxa"/>
        </w:trPr>
        <w:tc>
          <w:tcPr>
            <w:tcW w:w="0" w:type="auto"/>
            <w:noWrap w:val="0"/>
            <w:vAlign w:val="center"/>
          </w:tcPr>
          <w:p w14:paraId="0F81ECC7">
            <w:r>
              <w:rPr>
                <w:rStyle w:val="10"/>
                <w:rFonts w:hint="eastAsia"/>
              </w:rPr>
              <w:t>使用技术要求:</w:t>
            </w:r>
            <w:r>
              <w:rPr>
                <w:rFonts w:hint="eastAsia"/>
              </w:rPr>
              <w:br w:type="textWrapping"/>
            </w:r>
            <w:r>
              <w:rPr>
                <w:rStyle w:val="11"/>
                <w:rFonts w:hint="eastAsia"/>
              </w:rPr>
              <w:t xml:space="preserve">将本品饱和投放在蜚蠊、苍蝇、蚂蚁滋扰的场所，根据蜚蠊、苍蝇、蚂蚁的密度适当增加或减少用药量。 </w:t>
            </w:r>
          </w:p>
        </w:tc>
      </w:tr>
      <w:tr w14:paraId="4E48605F">
        <w:tblPrEx>
          <w:tblCellMar>
            <w:top w:w="0" w:type="dxa"/>
            <w:left w:w="0" w:type="dxa"/>
            <w:bottom w:w="0" w:type="dxa"/>
            <w:right w:w="0" w:type="dxa"/>
          </w:tblCellMar>
        </w:tblPrEx>
        <w:trPr>
          <w:wBefore w:w="0" w:type="auto"/>
          <w:tblCellSpacing w:w="0" w:type="dxa"/>
        </w:trPr>
        <w:tc>
          <w:tcPr>
            <w:tcW w:w="0" w:type="auto"/>
            <w:noWrap w:val="0"/>
            <w:vAlign w:val="center"/>
          </w:tcPr>
          <w:p w14:paraId="4B01AA11">
            <w:r>
              <w:rPr>
                <w:rStyle w:val="10"/>
                <w:rFonts w:hint="eastAsia"/>
              </w:rPr>
              <w:t>产品性能:</w:t>
            </w:r>
            <w:r>
              <w:rPr>
                <w:rFonts w:hint="eastAsia"/>
              </w:rPr>
              <w:br w:type="textWrapping"/>
            </w:r>
            <w:r>
              <w:rPr>
                <w:rStyle w:val="11"/>
                <w:rFonts w:hint="eastAsia"/>
              </w:rPr>
              <w:t xml:space="preserve">呋虫胺是通过脊柱神经传递和触杀胃毒作用的系统性杀虫剂，适用于家庭、宾馆、办公室等室内场所使用。 </w:t>
            </w:r>
          </w:p>
        </w:tc>
      </w:tr>
      <w:tr w14:paraId="01DA0D4E">
        <w:tblPrEx>
          <w:tblCellMar>
            <w:top w:w="0" w:type="dxa"/>
            <w:left w:w="0" w:type="dxa"/>
            <w:bottom w:w="0" w:type="dxa"/>
            <w:right w:w="0" w:type="dxa"/>
          </w:tblCellMar>
        </w:tblPrEx>
        <w:trPr>
          <w:wBefore w:w="0" w:type="auto"/>
          <w:tblCellSpacing w:w="0" w:type="dxa"/>
        </w:trPr>
        <w:tc>
          <w:tcPr>
            <w:tcW w:w="0" w:type="auto"/>
            <w:noWrap w:val="0"/>
            <w:vAlign w:val="center"/>
          </w:tcPr>
          <w:p w14:paraId="1EA0D5C3">
            <w:r>
              <w:rPr>
                <w:rStyle w:val="10"/>
                <w:rFonts w:hint="eastAsia"/>
              </w:rPr>
              <w:t>注意事项：</w:t>
            </w:r>
            <w:r>
              <w:rPr>
                <w:rFonts w:hint="eastAsia"/>
              </w:rPr>
              <w:br w:type="textWrapping"/>
            </w:r>
            <w:r>
              <w:rPr>
                <w:rStyle w:val="11"/>
                <w:rFonts w:hint="eastAsia"/>
              </w:rPr>
              <w:t>1.不要将本品施放于水流通道处，以免影响本品的持效作用。 2. 施药后应清洗双手3.本品仅限用于室内。 4.施用本品时不要让药剂沾染皮肤和眼睛；切勿污染食品及饮用水；应远离儿童、家畜及宠物，以防误食；蚕室及其附近禁用。 5.避免孕妇、哺乳期妇女及过敏者接触本品； 6. 用过的空包装应妥善处理，不可随意丢弃，也不可做他用。</w:t>
            </w:r>
          </w:p>
        </w:tc>
      </w:tr>
      <w:tr w14:paraId="30CCE3F8">
        <w:tblPrEx>
          <w:tblCellMar>
            <w:top w:w="0" w:type="dxa"/>
            <w:left w:w="0" w:type="dxa"/>
            <w:bottom w:w="0" w:type="dxa"/>
            <w:right w:w="0" w:type="dxa"/>
          </w:tblCellMar>
        </w:tblPrEx>
        <w:trPr>
          <w:wBefore w:w="0" w:type="auto"/>
          <w:tblCellSpacing w:w="0" w:type="dxa"/>
        </w:trPr>
        <w:tc>
          <w:tcPr>
            <w:tcW w:w="0" w:type="auto"/>
            <w:noWrap w:val="0"/>
            <w:vAlign w:val="center"/>
          </w:tcPr>
          <w:p w14:paraId="65D38BE8">
            <w:r>
              <w:rPr>
                <w:rStyle w:val="10"/>
                <w:rFonts w:hint="eastAsia"/>
              </w:rPr>
              <w:t>中毒急救措施：</w:t>
            </w:r>
            <w:r>
              <w:rPr>
                <w:rFonts w:hint="eastAsia"/>
              </w:rPr>
              <w:br w:type="textWrapping"/>
            </w:r>
            <w:r>
              <w:rPr>
                <w:rStyle w:val="11"/>
                <w:rFonts w:hint="eastAsia"/>
              </w:rPr>
              <w:t>中毒急救措施：无明显中毒报告。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w:t>
            </w:r>
          </w:p>
        </w:tc>
      </w:tr>
      <w:tr w14:paraId="02FA66AA">
        <w:tblPrEx>
          <w:tblCellMar>
            <w:top w:w="0" w:type="dxa"/>
            <w:left w:w="0" w:type="dxa"/>
            <w:bottom w:w="0" w:type="dxa"/>
            <w:right w:w="0" w:type="dxa"/>
          </w:tblCellMar>
        </w:tblPrEx>
        <w:trPr>
          <w:wBefore w:w="0" w:type="auto"/>
          <w:tblCellSpacing w:w="0" w:type="dxa"/>
        </w:trPr>
        <w:tc>
          <w:tcPr>
            <w:tcW w:w="0" w:type="auto"/>
            <w:noWrap w:val="0"/>
            <w:vAlign w:val="center"/>
          </w:tcPr>
          <w:p w14:paraId="31CF6D02">
            <w:r>
              <w:rPr>
                <w:rStyle w:val="10"/>
                <w:rFonts w:hint="eastAsia"/>
              </w:rPr>
              <w:t>储存和运输方法：</w:t>
            </w:r>
            <w:r>
              <w:rPr>
                <w:rFonts w:hint="eastAsia"/>
              </w:rPr>
              <w:br w:type="textWrapping"/>
            </w:r>
            <w:r>
              <w:rPr>
                <w:rStyle w:val="11"/>
                <w:rFonts w:hint="eastAsia"/>
              </w:rPr>
              <w:t>本品应贮存在干燥、阴凉、通风、防雨处，远离火源或热源。运输时防雨防潮；装卸时轻卸轻放。本品应当置于儿童、无关人员及动物接触不到的地方，并加锁保存。勿与食品、种子、饲料等同贮同运。</w:t>
            </w:r>
          </w:p>
        </w:tc>
      </w:tr>
      <w:tr w14:paraId="60A7BB1D">
        <w:tblPrEx>
          <w:tblCellMar>
            <w:top w:w="0" w:type="dxa"/>
            <w:left w:w="0" w:type="dxa"/>
            <w:bottom w:w="0" w:type="dxa"/>
            <w:right w:w="0" w:type="dxa"/>
          </w:tblCellMar>
        </w:tblPrEx>
        <w:trPr>
          <w:wBefore w:w="0" w:type="auto"/>
          <w:tblCellSpacing w:w="0" w:type="dxa"/>
        </w:trPr>
        <w:tc>
          <w:tcPr>
            <w:tcW w:w="0" w:type="auto"/>
            <w:noWrap w:val="0"/>
            <w:vAlign w:val="center"/>
          </w:tcPr>
          <w:p w14:paraId="60D3E3B4">
            <w:r>
              <w:rPr>
                <w:rStyle w:val="10"/>
                <w:rFonts w:hint="eastAsia"/>
              </w:rPr>
              <w:t>质量保证期：</w:t>
            </w:r>
            <w:r>
              <w:rPr>
                <w:rStyle w:val="11"/>
                <w:rFonts w:hint="eastAsia"/>
              </w:rPr>
              <w:t>2年</w:t>
            </w:r>
          </w:p>
        </w:tc>
      </w:tr>
      <w:tr w14:paraId="13CC9448">
        <w:tblPrEx>
          <w:tblCellMar>
            <w:top w:w="0" w:type="dxa"/>
            <w:left w:w="0" w:type="dxa"/>
            <w:bottom w:w="0" w:type="dxa"/>
            <w:right w:w="0" w:type="dxa"/>
          </w:tblCellMar>
        </w:tblPrEx>
        <w:trPr>
          <w:wBefore w:w="0" w:type="auto"/>
          <w:tblCellSpacing w:w="0" w:type="dxa"/>
        </w:trPr>
        <w:tc>
          <w:tcPr>
            <w:tcW w:w="0" w:type="auto"/>
            <w:noWrap w:val="0"/>
            <w:vAlign w:val="center"/>
          </w:tcPr>
          <w:p w14:paraId="6958555D">
            <w:r>
              <w:rPr>
                <w:rStyle w:val="10"/>
                <w:rFonts w:hint="eastAsia"/>
              </w:rPr>
              <w:t>备注：</w:t>
            </w:r>
          </w:p>
        </w:tc>
      </w:tr>
    </w:tbl>
    <w:p w14:paraId="66E987D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FB6B0D">
        <w:tblPrEx>
          <w:tblCellMar>
            <w:top w:w="0" w:type="dxa"/>
            <w:left w:w="0" w:type="dxa"/>
            <w:bottom w:w="0" w:type="dxa"/>
            <w:right w:w="0" w:type="dxa"/>
          </w:tblCellMar>
        </w:tblPrEx>
        <w:trPr>
          <w:wBefore w:w="0" w:type="auto"/>
          <w:tblCellSpacing w:w="0" w:type="dxa"/>
        </w:trPr>
        <w:tc>
          <w:tcPr>
            <w:tcW w:w="0" w:type="auto"/>
            <w:noWrap w:val="0"/>
            <w:vAlign w:val="center"/>
          </w:tcPr>
          <w:p w14:paraId="251181FB">
            <w:r>
              <w:rPr>
                <w:rStyle w:val="10"/>
                <w:rFonts w:hint="eastAsia"/>
              </w:rPr>
              <w:t>登记证号：</w:t>
            </w:r>
            <w:r>
              <w:rPr>
                <w:rFonts w:hint="eastAsia"/>
              </w:rPr>
              <w:t>PD20212381</w:t>
            </w:r>
          </w:p>
        </w:tc>
      </w:tr>
      <w:tr w14:paraId="785B9BEA">
        <w:tblPrEx>
          <w:tblCellMar>
            <w:top w:w="0" w:type="dxa"/>
            <w:left w:w="0" w:type="dxa"/>
            <w:bottom w:w="0" w:type="dxa"/>
            <w:right w:w="0" w:type="dxa"/>
          </w:tblCellMar>
        </w:tblPrEx>
        <w:trPr>
          <w:wBefore w:w="0" w:type="auto"/>
          <w:tblCellSpacing w:w="0" w:type="dxa"/>
        </w:trPr>
        <w:tc>
          <w:tcPr>
            <w:tcW w:w="0" w:type="auto"/>
            <w:noWrap w:val="0"/>
            <w:vAlign w:val="center"/>
          </w:tcPr>
          <w:p w14:paraId="4452717A">
            <w:r>
              <w:rPr>
                <w:rStyle w:val="10"/>
                <w:rFonts w:hint="eastAsia"/>
              </w:rPr>
              <w:t>登记证持有人：</w:t>
            </w:r>
            <w:r>
              <w:rPr>
                <w:rFonts w:hint="eastAsia"/>
              </w:rPr>
              <w:t>连云港立本作物科技有限公司</w:t>
            </w:r>
          </w:p>
        </w:tc>
      </w:tr>
      <w:tr w14:paraId="093E15A3">
        <w:tblPrEx>
          <w:tblCellMar>
            <w:top w:w="0" w:type="dxa"/>
            <w:left w:w="0" w:type="dxa"/>
            <w:bottom w:w="0" w:type="dxa"/>
            <w:right w:w="0" w:type="dxa"/>
          </w:tblCellMar>
        </w:tblPrEx>
        <w:trPr>
          <w:wBefore w:w="0" w:type="auto"/>
          <w:tblCellSpacing w:w="0" w:type="dxa"/>
        </w:trPr>
        <w:tc>
          <w:tcPr>
            <w:tcW w:w="0" w:type="auto"/>
            <w:noWrap w:val="0"/>
            <w:vAlign w:val="center"/>
          </w:tcPr>
          <w:p w14:paraId="7353A8CF">
            <w:r>
              <w:rPr>
                <w:rStyle w:val="10"/>
                <w:rFonts w:hint="eastAsia"/>
              </w:rPr>
              <w:t>农药名称：</w:t>
            </w:r>
            <w:r>
              <w:rPr>
                <w:rFonts w:hint="eastAsia"/>
              </w:rPr>
              <w:t>氯虫苯·虱螨脲</w:t>
            </w:r>
          </w:p>
        </w:tc>
      </w:tr>
      <w:tr w14:paraId="788FE63B">
        <w:tblPrEx>
          <w:tblCellMar>
            <w:top w:w="0" w:type="dxa"/>
            <w:left w:w="0" w:type="dxa"/>
            <w:bottom w:w="0" w:type="dxa"/>
            <w:right w:w="0" w:type="dxa"/>
          </w:tblCellMar>
        </w:tblPrEx>
        <w:trPr>
          <w:wBefore w:w="0" w:type="auto"/>
          <w:tblCellSpacing w:w="0" w:type="dxa"/>
        </w:trPr>
        <w:tc>
          <w:tcPr>
            <w:tcW w:w="0" w:type="auto"/>
            <w:noWrap w:val="0"/>
            <w:vAlign w:val="center"/>
          </w:tcPr>
          <w:p w14:paraId="771DC083">
            <w:r>
              <w:rPr>
                <w:rStyle w:val="10"/>
                <w:rFonts w:hint="eastAsia"/>
              </w:rPr>
              <w:t>剂型：</w:t>
            </w:r>
            <w:r>
              <w:rPr>
                <w:rFonts w:hint="eastAsia"/>
              </w:rPr>
              <w:t>悬浮剂</w:t>
            </w:r>
          </w:p>
        </w:tc>
      </w:tr>
      <w:tr w14:paraId="1C2ED4EC">
        <w:tblPrEx>
          <w:tblCellMar>
            <w:top w:w="0" w:type="dxa"/>
            <w:left w:w="0" w:type="dxa"/>
            <w:bottom w:w="0" w:type="dxa"/>
            <w:right w:w="0" w:type="dxa"/>
          </w:tblCellMar>
        </w:tblPrEx>
        <w:trPr>
          <w:wBefore w:w="0" w:type="auto"/>
          <w:tblCellSpacing w:w="0" w:type="dxa"/>
        </w:trPr>
        <w:tc>
          <w:tcPr>
            <w:tcW w:w="0" w:type="auto"/>
            <w:noWrap w:val="0"/>
            <w:vAlign w:val="center"/>
          </w:tcPr>
          <w:p w14:paraId="3AF2C8AA">
            <w:r>
              <w:rPr>
                <w:rStyle w:val="10"/>
                <w:rFonts w:hint="eastAsia"/>
              </w:rPr>
              <w:t>毒性及其标识：</w:t>
            </w:r>
            <w:r>
              <w:rPr>
                <w:rFonts w:hint="eastAsia"/>
              </w:rPr>
              <w:t xml:space="preserve"> </w:t>
            </w:r>
            <w:r>
              <w:rPr>
                <w:lang/>
              </w:rPr>
              <w:drawing>
                <wp:inline distT="0" distB="0" distL="114300" distR="114300">
                  <wp:extent cx="476250" cy="323850"/>
                  <wp:effectExtent l="0" t="0" r="0" b="0"/>
                  <wp:docPr id="352" name="图片 3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48EBFD">
        <w:tblPrEx>
          <w:tblCellMar>
            <w:top w:w="0" w:type="dxa"/>
            <w:left w:w="0" w:type="dxa"/>
            <w:bottom w:w="0" w:type="dxa"/>
            <w:right w:w="0" w:type="dxa"/>
          </w:tblCellMar>
        </w:tblPrEx>
        <w:trPr>
          <w:wBefore w:w="0" w:type="auto"/>
          <w:tblCellSpacing w:w="0" w:type="dxa"/>
        </w:trPr>
        <w:tc>
          <w:tcPr>
            <w:tcW w:w="0" w:type="auto"/>
            <w:noWrap w:val="0"/>
            <w:vAlign w:val="center"/>
          </w:tcPr>
          <w:p w14:paraId="3BC02AB9">
            <w:r>
              <w:rPr>
                <w:rStyle w:val="10"/>
                <w:rFonts w:hint="eastAsia"/>
              </w:rPr>
              <w:t>总有效成分含量：</w:t>
            </w:r>
            <w:r>
              <w:rPr>
                <w:rFonts w:hint="eastAsia"/>
              </w:rPr>
              <w:t>10%</w:t>
            </w:r>
          </w:p>
        </w:tc>
      </w:tr>
      <w:tr w14:paraId="3A85DBCE">
        <w:tblPrEx>
          <w:tblCellMar>
            <w:top w:w="0" w:type="dxa"/>
            <w:left w:w="0" w:type="dxa"/>
            <w:bottom w:w="0" w:type="dxa"/>
            <w:right w:w="0" w:type="dxa"/>
          </w:tblCellMar>
        </w:tblPrEx>
        <w:trPr>
          <w:wBefore w:w="0" w:type="auto"/>
          <w:tblCellSpacing w:w="0" w:type="dxa"/>
        </w:trPr>
        <w:tc>
          <w:tcPr>
            <w:tcW w:w="0" w:type="auto"/>
            <w:noWrap w:val="0"/>
            <w:vAlign w:val="center"/>
          </w:tcPr>
          <w:p w14:paraId="31C4DA21">
            <w:r>
              <w:rPr>
                <w:rFonts w:hint="eastAsia"/>
              </w:rPr>
              <w:t xml:space="preserve">有效成分及其含量： </w:t>
            </w:r>
          </w:p>
          <w:p w14:paraId="7852E5A7">
            <w:r>
              <w:rPr>
                <w:rFonts w:hint="eastAsia"/>
              </w:rPr>
              <w:t xml:space="preserve">    氯虫苯甲酰胺5%    虱螨脲5%    </w:t>
            </w:r>
          </w:p>
        </w:tc>
      </w:tr>
      <w:tr w14:paraId="53ACC52F">
        <w:tblPrEx>
          <w:tblCellMar>
            <w:top w:w="0" w:type="dxa"/>
            <w:left w:w="0" w:type="dxa"/>
            <w:bottom w:w="0" w:type="dxa"/>
            <w:right w:w="0" w:type="dxa"/>
          </w:tblCellMar>
        </w:tblPrEx>
        <w:trPr>
          <w:wBefore w:w="0" w:type="auto"/>
          <w:tblCellSpacing w:w="0" w:type="dxa"/>
        </w:trPr>
        <w:tc>
          <w:tcPr>
            <w:tcW w:w="0" w:type="auto"/>
            <w:noWrap w:val="0"/>
            <w:vAlign w:val="center"/>
          </w:tcPr>
          <w:p w14:paraId="1F5D1F7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DEDF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FFBB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4364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96B05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BB6659">
                  <w:r>
                    <w:rPr>
                      <w:rStyle w:val="11"/>
                      <w:rFonts w:hint="eastAsia"/>
                    </w:rPr>
                    <w:t>施用方式</w:t>
                  </w:r>
                </w:p>
              </w:tc>
            </w:tr>
            <w:tr w14:paraId="11FB12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37400E">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3761D">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BB224C">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4462B1">
                  <w:r>
                    <w:rPr>
                      <w:rStyle w:val="11"/>
                      <w:rFonts w:hint="eastAsia"/>
                    </w:rPr>
                    <w:t>喷雾</w:t>
                  </w:r>
                </w:p>
              </w:tc>
            </w:tr>
          </w:tbl>
          <w:p w14:paraId="34FE972E">
            <w:pPr>
              <w:rPr>
                <w:rFonts w:ascii="Times New Roman" w:hAnsi="Times New Roman" w:cs="Times New Roman"/>
                <w:sz w:val="20"/>
                <w:szCs w:val="20"/>
              </w:rPr>
            </w:pPr>
          </w:p>
        </w:tc>
      </w:tr>
      <w:tr w14:paraId="73C8889E">
        <w:tblPrEx>
          <w:tblCellMar>
            <w:top w:w="0" w:type="dxa"/>
            <w:left w:w="0" w:type="dxa"/>
            <w:bottom w:w="0" w:type="dxa"/>
            <w:right w:w="0" w:type="dxa"/>
          </w:tblCellMar>
        </w:tblPrEx>
        <w:trPr>
          <w:wBefore w:w="0" w:type="auto"/>
          <w:tblCellSpacing w:w="0" w:type="dxa"/>
        </w:trPr>
        <w:tc>
          <w:tcPr>
            <w:tcW w:w="0" w:type="auto"/>
            <w:noWrap w:val="0"/>
            <w:vAlign w:val="center"/>
          </w:tcPr>
          <w:p w14:paraId="1487445E">
            <w:r>
              <w:rPr>
                <w:rStyle w:val="10"/>
                <w:rFonts w:hint="eastAsia"/>
              </w:rPr>
              <w:t>使用技术要求:</w:t>
            </w:r>
            <w:r>
              <w:rPr>
                <w:rFonts w:hint="eastAsia"/>
              </w:rPr>
              <w:br w:type="textWrapping"/>
            </w:r>
            <w:r>
              <w:rPr>
                <w:rStyle w:val="11"/>
                <w:rFonts w:hint="eastAsia"/>
              </w:rPr>
              <w:t>1、于甘蓝小菜蛾卵孵高峰期用药，兑水均匀喷雾。 2、大风天或预计1小时内降雨，请勿施药。 3、本品在甘蓝上的安全间隔期为7天，每季最多使用1次。</w:t>
            </w:r>
          </w:p>
        </w:tc>
      </w:tr>
      <w:tr w14:paraId="25993EB8">
        <w:tblPrEx>
          <w:tblCellMar>
            <w:top w:w="0" w:type="dxa"/>
            <w:left w:w="0" w:type="dxa"/>
            <w:bottom w:w="0" w:type="dxa"/>
            <w:right w:w="0" w:type="dxa"/>
          </w:tblCellMar>
        </w:tblPrEx>
        <w:trPr>
          <w:wBefore w:w="0" w:type="auto"/>
          <w:tblCellSpacing w:w="0" w:type="dxa"/>
        </w:trPr>
        <w:tc>
          <w:tcPr>
            <w:tcW w:w="0" w:type="auto"/>
            <w:noWrap w:val="0"/>
            <w:vAlign w:val="center"/>
          </w:tcPr>
          <w:p w14:paraId="4DF9910C">
            <w:r>
              <w:rPr>
                <w:rStyle w:val="10"/>
                <w:rFonts w:hint="eastAsia"/>
              </w:rPr>
              <w:t>产品性能:</w:t>
            </w:r>
            <w:r>
              <w:rPr>
                <w:rFonts w:hint="eastAsia"/>
              </w:rPr>
              <w:br w:type="textWrapping"/>
            </w:r>
            <w:r>
              <w:rPr>
                <w:rStyle w:val="11"/>
                <w:rFonts w:hint="eastAsia"/>
              </w:rPr>
              <w:t>本品由氯虫苯甲酰胺和虱螨脲复配而成。氯虫苯甲酰胺为酰胺类新型内吸杀虫剂，胃毒为主，兼具触杀。害虫摄入后数分钟内即停止取食。虱螨脲为取代脲类杀虫剂，主要通过对几丁质生物合成的抑制，阻止昆虫表皮的形成而起到杀虫作用，对害虫兼具胃毒和触杀作用，具有较好的杀卵作用。二者复配后具有增效作用，对防治甘蓝小菜蛾具有较好的防治效果。</w:t>
            </w:r>
          </w:p>
        </w:tc>
      </w:tr>
      <w:tr w14:paraId="724FFB0D">
        <w:tblPrEx>
          <w:tblCellMar>
            <w:top w:w="0" w:type="dxa"/>
            <w:left w:w="0" w:type="dxa"/>
            <w:bottom w:w="0" w:type="dxa"/>
            <w:right w:w="0" w:type="dxa"/>
          </w:tblCellMar>
        </w:tblPrEx>
        <w:trPr>
          <w:wBefore w:w="0" w:type="auto"/>
          <w:tblCellSpacing w:w="0" w:type="dxa"/>
        </w:trPr>
        <w:tc>
          <w:tcPr>
            <w:tcW w:w="0" w:type="auto"/>
            <w:noWrap w:val="0"/>
            <w:vAlign w:val="center"/>
          </w:tcPr>
          <w:p w14:paraId="14504B40">
            <w:r>
              <w:rPr>
                <w:rStyle w:val="10"/>
                <w:rFonts w:hint="eastAsia"/>
              </w:rPr>
              <w:t>注意事项：</w:t>
            </w:r>
            <w:r>
              <w:rPr>
                <w:rFonts w:hint="eastAsia"/>
              </w:rPr>
              <w:br w:type="textWrapping"/>
            </w:r>
            <w:r>
              <w:rPr>
                <w:rStyle w:val="11"/>
                <w:rFonts w:hint="eastAsia"/>
              </w:rPr>
              <w:t>1、严格按照农药安全使用规则使用本品，做好安全防护。 2、使用本品时应穿戴防护服和手套，避免吸入药液。施药期间不可吃东西和饮水。施药后应及时洗手和洗脸。 3、本品对蜜蜂、鱼类等水生生物、家蚕有毒，施药期间应避免对周围蜂群的影响，蜜源作物花期禁用、蚕室及桑园附近禁用。赤眼蜂等天敌放飞区禁用，鸟类保护区禁用。远离水产养殖区施药，禁止在河塘等水体中清洗施药器具。 4、本品不可与呈强碱性的农药等物质混合使用。 5、建议与其他作用机制不同的杀虫剂轮换使用，以延缓抗性产生。 6、用过的容器应妥善处理，不可做他用，也不可随意丢弃。7、孕妇及哺乳期妇女禁止接触本品。</w:t>
            </w:r>
          </w:p>
        </w:tc>
      </w:tr>
      <w:tr w14:paraId="03B05A2C">
        <w:tblPrEx>
          <w:tblCellMar>
            <w:top w:w="0" w:type="dxa"/>
            <w:left w:w="0" w:type="dxa"/>
            <w:bottom w:w="0" w:type="dxa"/>
            <w:right w:w="0" w:type="dxa"/>
          </w:tblCellMar>
        </w:tblPrEx>
        <w:trPr>
          <w:wBefore w:w="0" w:type="auto"/>
          <w:tblCellSpacing w:w="0" w:type="dxa"/>
        </w:trPr>
        <w:tc>
          <w:tcPr>
            <w:tcW w:w="0" w:type="auto"/>
            <w:noWrap w:val="0"/>
            <w:vAlign w:val="center"/>
          </w:tcPr>
          <w:p w14:paraId="71715415">
            <w:r>
              <w:rPr>
                <w:rStyle w:val="10"/>
                <w:rFonts w:hint="eastAsia"/>
              </w:rPr>
              <w:t>中毒急救措施：</w:t>
            </w:r>
            <w:r>
              <w:rPr>
                <w:rFonts w:hint="eastAsia"/>
              </w:rPr>
              <w:br w:type="textWrapping"/>
            </w:r>
            <w:r>
              <w:rPr>
                <w:rStyle w:val="11"/>
                <w:rFonts w:hint="eastAsia"/>
              </w:rPr>
              <w:t>急救治疗：使用中或使用后如果感觉不适，应立即停止工作，采取急救措施，并携带标签送医院就诊。1、皮肤接触：脱掉被污染的衣物，用软布去除沾染农药，用大量清水和肥皂清洗。2、眼睛溅入：立即将眼睑翻开，用清水冲洗15-20分钟，再请医生诊治。3、吸入：立即离开施药现场，转移到空气清新处。4、误服：立即停止服用，用清水充分漱口后，立即携带农药标签到医院就诊。</w:t>
            </w:r>
          </w:p>
        </w:tc>
      </w:tr>
      <w:tr w14:paraId="70A3F1AF">
        <w:tblPrEx>
          <w:tblCellMar>
            <w:top w:w="0" w:type="dxa"/>
            <w:left w:w="0" w:type="dxa"/>
            <w:bottom w:w="0" w:type="dxa"/>
            <w:right w:w="0" w:type="dxa"/>
          </w:tblCellMar>
        </w:tblPrEx>
        <w:trPr>
          <w:wBefore w:w="0" w:type="auto"/>
          <w:tblCellSpacing w:w="0" w:type="dxa"/>
        </w:trPr>
        <w:tc>
          <w:tcPr>
            <w:tcW w:w="0" w:type="auto"/>
            <w:noWrap w:val="0"/>
            <w:vAlign w:val="center"/>
          </w:tcPr>
          <w:p w14:paraId="614D9AC1">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本品应贮存在阴凉、干燥、通风、防雨处，远离火源或热源。置于儿童、无关人员触及不到之处，并加锁。勿与食品、饮料、粮食、饲料等其他商品同贮同运。</w:t>
            </w:r>
          </w:p>
        </w:tc>
      </w:tr>
      <w:tr w14:paraId="4CD2926B">
        <w:tblPrEx>
          <w:tblCellMar>
            <w:top w:w="0" w:type="dxa"/>
            <w:left w:w="0" w:type="dxa"/>
            <w:bottom w:w="0" w:type="dxa"/>
            <w:right w:w="0" w:type="dxa"/>
          </w:tblCellMar>
        </w:tblPrEx>
        <w:trPr>
          <w:wBefore w:w="0" w:type="auto"/>
          <w:tblCellSpacing w:w="0" w:type="dxa"/>
        </w:trPr>
        <w:tc>
          <w:tcPr>
            <w:tcW w:w="0" w:type="auto"/>
            <w:noWrap w:val="0"/>
            <w:vAlign w:val="center"/>
          </w:tcPr>
          <w:p w14:paraId="3190574C">
            <w:r>
              <w:rPr>
                <w:rStyle w:val="10"/>
                <w:rFonts w:hint="eastAsia"/>
              </w:rPr>
              <w:t>质量保证期：</w:t>
            </w:r>
            <w:r>
              <w:rPr>
                <w:rStyle w:val="11"/>
                <w:rFonts w:hint="eastAsia"/>
              </w:rPr>
              <w:t>2年</w:t>
            </w:r>
          </w:p>
        </w:tc>
      </w:tr>
      <w:tr w14:paraId="577A4FCB">
        <w:tblPrEx>
          <w:tblCellMar>
            <w:top w:w="0" w:type="dxa"/>
            <w:left w:w="0" w:type="dxa"/>
            <w:bottom w:w="0" w:type="dxa"/>
            <w:right w:w="0" w:type="dxa"/>
          </w:tblCellMar>
        </w:tblPrEx>
        <w:trPr>
          <w:wBefore w:w="0" w:type="auto"/>
          <w:tblCellSpacing w:w="0" w:type="dxa"/>
        </w:trPr>
        <w:tc>
          <w:tcPr>
            <w:tcW w:w="0" w:type="auto"/>
            <w:noWrap w:val="0"/>
            <w:vAlign w:val="center"/>
          </w:tcPr>
          <w:p w14:paraId="204EB4F1">
            <w:r>
              <w:rPr>
                <w:rStyle w:val="10"/>
                <w:rFonts w:hint="eastAsia"/>
              </w:rPr>
              <w:t>备注：</w:t>
            </w:r>
          </w:p>
        </w:tc>
      </w:tr>
    </w:tbl>
    <w:p w14:paraId="415A4AD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F6B15B">
        <w:tblPrEx>
          <w:tblCellMar>
            <w:top w:w="0" w:type="dxa"/>
            <w:left w:w="0" w:type="dxa"/>
            <w:bottom w:w="0" w:type="dxa"/>
            <w:right w:w="0" w:type="dxa"/>
          </w:tblCellMar>
        </w:tblPrEx>
        <w:trPr>
          <w:wBefore w:w="0" w:type="auto"/>
          <w:tblCellSpacing w:w="0" w:type="dxa"/>
        </w:trPr>
        <w:tc>
          <w:tcPr>
            <w:tcW w:w="0" w:type="auto"/>
            <w:noWrap w:val="0"/>
            <w:vAlign w:val="center"/>
          </w:tcPr>
          <w:p w14:paraId="0BFFADB4">
            <w:r>
              <w:rPr>
                <w:rStyle w:val="10"/>
                <w:rFonts w:hint="eastAsia"/>
              </w:rPr>
              <w:t>登记证号：</w:t>
            </w:r>
            <w:r>
              <w:rPr>
                <w:rFonts w:hint="eastAsia"/>
              </w:rPr>
              <w:t>PD20212432</w:t>
            </w:r>
          </w:p>
        </w:tc>
      </w:tr>
      <w:tr w14:paraId="4C244625">
        <w:tblPrEx>
          <w:tblCellMar>
            <w:top w:w="0" w:type="dxa"/>
            <w:left w:w="0" w:type="dxa"/>
            <w:bottom w:w="0" w:type="dxa"/>
            <w:right w:w="0" w:type="dxa"/>
          </w:tblCellMar>
        </w:tblPrEx>
        <w:trPr>
          <w:wBefore w:w="0" w:type="auto"/>
          <w:tblCellSpacing w:w="0" w:type="dxa"/>
        </w:trPr>
        <w:tc>
          <w:tcPr>
            <w:tcW w:w="0" w:type="auto"/>
            <w:noWrap w:val="0"/>
            <w:vAlign w:val="center"/>
          </w:tcPr>
          <w:p w14:paraId="2D5872FE">
            <w:r>
              <w:rPr>
                <w:rStyle w:val="10"/>
                <w:rFonts w:hint="eastAsia"/>
              </w:rPr>
              <w:t>登记证持有人：</w:t>
            </w:r>
            <w:r>
              <w:rPr>
                <w:rFonts w:hint="eastAsia"/>
              </w:rPr>
              <w:t>山东滨农科技有限公司</w:t>
            </w:r>
          </w:p>
        </w:tc>
      </w:tr>
      <w:tr w14:paraId="465EF901">
        <w:tblPrEx>
          <w:tblCellMar>
            <w:top w:w="0" w:type="dxa"/>
            <w:left w:w="0" w:type="dxa"/>
            <w:bottom w:w="0" w:type="dxa"/>
            <w:right w:w="0" w:type="dxa"/>
          </w:tblCellMar>
        </w:tblPrEx>
        <w:trPr>
          <w:wBefore w:w="0" w:type="auto"/>
          <w:tblCellSpacing w:w="0" w:type="dxa"/>
        </w:trPr>
        <w:tc>
          <w:tcPr>
            <w:tcW w:w="0" w:type="auto"/>
            <w:noWrap w:val="0"/>
            <w:vAlign w:val="center"/>
          </w:tcPr>
          <w:p w14:paraId="4209315D">
            <w:r>
              <w:rPr>
                <w:rStyle w:val="10"/>
                <w:rFonts w:hint="eastAsia"/>
              </w:rPr>
              <w:t>农药名称：</w:t>
            </w:r>
            <w:r>
              <w:rPr>
                <w:rFonts w:hint="eastAsia"/>
              </w:rPr>
              <w:t>噻虫·氟氯氰</w:t>
            </w:r>
          </w:p>
        </w:tc>
      </w:tr>
      <w:tr w14:paraId="7A3B2F3E">
        <w:tblPrEx>
          <w:tblCellMar>
            <w:top w:w="0" w:type="dxa"/>
            <w:left w:w="0" w:type="dxa"/>
            <w:bottom w:w="0" w:type="dxa"/>
            <w:right w:w="0" w:type="dxa"/>
          </w:tblCellMar>
        </w:tblPrEx>
        <w:trPr>
          <w:wBefore w:w="0" w:type="auto"/>
          <w:tblCellSpacing w:w="0" w:type="dxa"/>
        </w:trPr>
        <w:tc>
          <w:tcPr>
            <w:tcW w:w="0" w:type="auto"/>
            <w:noWrap w:val="0"/>
            <w:vAlign w:val="center"/>
          </w:tcPr>
          <w:p w14:paraId="45535EB6">
            <w:r>
              <w:rPr>
                <w:rStyle w:val="10"/>
                <w:rFonts w:hint="eastAsia"/>
              </w:rPr>
              <w:t>剂型：</w:t>
            </w:r>
            <w:r>
              <w:rPr>
                <w:rFonts w:hint="eastAsia"/>
              </w:rPr>
              <w:t>颗粒剂</w:t>
            </w:r>
          </w:p>
        </w:tc>
      </w:tr>
      <w:tr w14:paraId="19592E61">
        <w:tblPrEx>
          <w:tblCellMar>
            <w:top w:w="0" w:type="dxa"/>
            <w:left w:w="0" w:type="dxa"/>
            <w:bottom w:w="0" w:type="dxa"/>
            <w:right w:w="0" w:type="dxa"/>
          </w:tblCellMar>
        </w:tblPrEx>
        <w:trPr>
          <w:wBefore w:w="0" w:type="auto"/>
          <w:tblCellSpacing w:w="0" w:type="dxa"/>
        </w:trPr>
        <w:tc>
          <w:tcPr>
            <w:tcW w:w="0" w:type="auto"/>
            <w:noWrap w:val="0"/>
            <w:vAlign w:val="center"/>
          </w:tcPr>
          <w:p w14:paraId="0BC1744B">
            <w:r>
              <w:rPr>
                <w:rStyle w:val="10"/>
                <w:rFonts w:hint="eastAsia"/>
              </w:rPr>
              <w:t>毒性及其标识：</w:t>
            </w:r>
            <w:r>
              <w:rPr>
                <w:rFonts w:hint="eastAsia"/>
              </w:rPr>
              <w:t xml:space="preserve"> </w:t>
            </w:r>
            <w:r>
              <w:rPr>
                <w:lang/>
              </w:rPr>
              <w:drawing>
                <wp:inline distT="0" distB="0" distL="114300" distR="114300">
                  <wp:extent cx="476250" cy="323850"/>
                  <wp:effectExtent l="0" t="0" r="0" b="0"/>
                  <wp:docPr id="353" name="图片 3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BABF98">
        <w:tblPrEx>
          <w:tblCellMar>
            <w:top w:w="0" w:type="dxa"/>
            <w:left w:w="0" w:type="dxa"/>
            <w:bottom w:w="0" w:type="dxa"/>
            <w:right w:w="0" w:type="dxa"/>
          </w:tblCellMar>
        </w:tblPrEx>
        <w:trPr>
          <w:wBefore w:w="0" w:type="auto"/>
          <w:tblCellSpacing w:w="0" w:type="dxa"/>
        </w:trPr>
        <w:tc>
          <w:tcPr>
            <w:tcW w:w="0" w:type="auto"/>
            <w:noWrap w:val="0"/>
            <w:vAlign w:val="center"/>
          </w:tcPr>
          <w:p w14:paraId="21B731DB">
            <w:r>
              <w:rPr>
                <w:rStyle w:val="10"/>
                <w:rFonts w:hint="eastAsia"/>
              </w:rPr>
              <w:t>总有效成分含量：</w:t>
            </w:r>
            <w:r>
              <w:rPr>
                <w:rFonts w:hint="eastAsia"/>
              </w:rPr>
              <w:t>2%</w:t>
            </w:r>
          </w:p>
        </w:tc>
      </w:tr>
      <w:tr w14:paraId="05E05FA9">
        <w:tblPrEx>
          <w:tblCellMar>
            <w:top w:w="0" w:type="dxa"/>
            <w:left w:w="0" w:type="dxa"/>
            <w:bottom w:w="0" w:type="dxa"/>
            <w:right w:w="0" w:type="dxa"/>
          </w:tblCellMar>
        </w:tblPrEx>
        <w:trPr>
          <w:wBefore w:w="0" w:type="auto"/>
          <w:tblCellSpacing w:w="0" w:type="dxa"/>
        </w:trPr>
        <w:tc>
          <w:tcPr>
            <w:tcW w:w="0" w:type="auto"/>
            <w:noWrap w:val="0"/>
            <w:vAlign w:val="center"/>
          </w:tcPr>
          <w:p w14:paraId="7C2D2AF4">
            <w:r>
              <w:rPr>
                <w:rFonts w:hint="eastAsia"/>
              </w:rPr>
              <w:t xml:space="preserve">有效成分及其含量： </w:t>
            </w:r>
          </w:p>
          <w:p w14:paraId="127D75D2">
            <w:r>
              <w:rPr>
                <w:rFonts w:hint="eastAsia"/>
              </w:rPr>
              <w:t xml:space="preserve">    氟氯氰菊酯0.5%    噻虫胺1.5%    </w:t>
            </w:r>
          </w:p>
        </w:tc>
      </w:tr>
      <w:tr w14:paraId="4DF11E05">
        <w:tblPrEx>
          <w:tblCellMar>
            <w:top w:w="0" w:type="dxa"/>
            <w:left w:w="0" w:type="dxa"/>
            <w:bottom w:w="0" w:type="dxa"/>
            <w:right w:w="0" w:type="dxa"/>
          </w:tblCellMar>
        </w:tblPrEx>
        <w:trPr>
          <w:wBefore w:w="0" w:type="auto"/>
          <w:tblCellSpacing w:w="0" w:type="dxa"/>
        </w:trPr>
        <w:tc>
          <w:tcPr>
            <w:tcW w:w="0" w:type="auto"/>
            <w:noWrap w:val="0"/>
            <w:vAlign w:val="center"/>
          </w:tcPr>
          <w:p w14:paraId="33DCF7E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0383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6952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49D9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F64C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70CEE7">
                  <w:r>
                    <w:rPr>
                      <w:rStyle w:val="11"/>
                      <w:rFonts w:hint="eastAsia"/>
                    </w:rPr>
                    <w:t>施用方式</w:t>
                  </w:r>
                </w:p>
              </w:tc>
            </w:tr>
            <w:tr w14:paraId="7EADA9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1593F6">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3535BF">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F3D4FC">
                  <w:r>
                    <w:rPr>
                      <w:rStyle w:val="11"/>
                      <w:rFonts w:hint="eastAsia"/>
                    </w:rPr>
                    <w:t>1133-1167克/亩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F52D4F">
                  <w:r>
                    <w:rPr>
                      <w:rStyle w:val="11"/>
                      <w:rFonts w:hint="eastAsia"/>
                    </w:rPr>
                    <w:t>沟施</w:t>
                  </w:r>
                </w:p>
              </w:tc>
            </w:tr>
          </w:tbl>
          <w:p w14:paraId="3EA1035D">
            <w:pPr>
              <w:rPr>
                <w:rFonts w:ascii="Times New Roman" w:hAnsi="Times New Roman" w:cs="Times New Roman"/>
                <w:sz w:val="20"/>
                <w:szCs w:val="20"/>
              </w:rPr>
            </w:pPr>
          </w:p>
        </w:tc>
      </w:tr>
      <w:tr w14:paraId="290E4FF4">
        <w:tblPrEx>
          <w:tblCellMar>
            <w:top w:w="0" w:type="dxa"/>
            <w:left w:w="0" w:type="dxa"/>
            <w:bottom w:w="0" w:type="dxa"/>
            <w:right w:w="0" w:type="dxa"/>
          </w:tblCellMar>
        </w:tblPrEx>
        <w:trPr>
          <w:wBefore w:w="0" w:type="auto"/>
          <w:tblCellSpacing w:w="0" w:type="dxa"/>
        </w:trPr>
        <w:tc>
          <w:tcPr>
            <w:tcW w:w="0" w:type="auto"/>
            <w:noWrap w:val="0"/>
            <w:vAlign w:val="center"/>
          </w:tcPr>
          <w:p w14:paraId="2739A9A0">
            <w:r>
              <w:rPr>
                <w:rStyle w:val="10"/>
                <w:rFonts w:hint="eastAsia"/>
              </w:rPr>
              <w:t>使用技术要求:</w:t>
            </w:r>
            <w:r>
              <w:rPr>
                <w:rFonts w:hint="eastAsia"/>
              </w:rPr>
              <w:br w:type="textWrapping"/>
            </w:r>
            <w:r>
              <w:rPr>
                <w:rStyle w:val="11"/>
                <w:rFonts w:hint="eastAsia"/>
              </w:rPr>
              <w:t>1.将药剂均匀撒施于种植沟内，施药后覆土并保持一定的土壤湿润，以有利于有效成分的释放和均匀分布。2.大风天或预计1小时内有大雨，请勿施药。3.在马铃薯上每季使用1次。</w:t>
            </w:r>
          </w:p>
        </w:tc>
      </w:tr>
      <w:tr w14:paraId="27A9539B">
        <w:tblPrEx>
          <w:tblCellMar>
            <w:top w:w="0" w:type="dxa"/>
            <w:left w:w="0" w:type="dxa"/>
            <w:bottom w:w="0" w:type="dxa"/>
            <w:right w:w="0" w:type="dxa"/>
          </w:tblCellMar>
        </w:tblPrEx>
        <w:trPr>
          <w:wBefore w:w="0" w:type="auto"/>
          <w:tblCellSpacing w:w="0" w:type="dxa"/>
        </w:trPr>
        <w:tc>
          <w:tcPr>
            <w:tcW w:w="0" w:type="auto"/>
            <w:noWrap w:val="0"/>
            <w:vAlign w:val="center"/>
          </w:tcPr>
          <w:p w14:paraId="155F40B1">
            <w:r>
              <w:rPr>
                <w:rStyle w:val="10"/>
                <w:rFonts w:hint="eastAsia"/>
              </w:rPr>
              <w:t>产品性能:</w:t>
            </w:r>
            <w:r>
              <w:rPr>
                <w:rFonts w:hint="eastAsia"/>
              </w:rPr>
              <w:br w:type="textWrapping"/>
            </w:r>
            <w:r>
              <w:rPr>
                <w:rStyle w:val="11"/>
                <w:rFonts w:hint="eastAsia"/>
              </w:rPr>
              <w:t>本品是由两种不同作用机理的有效成分噻虫胺和氟氯氰菊酯复配而成的杀虫颗粒剂，二者混用具有内吸、触杀和胃毒作用，可有效防治马铃薯蛴螬。</w:t>
            </w:r>
          </w:p>
        </w:tc>
      </w:tr>
      <w:tr w14:paraId="059B6955">
        <w:tblPrEx>
          <w:tblCellMar>
            <w:top w:w="0" w:type="dxa"/>
            <w:left w:w="0" w:type="dxa"/>
            <w:bottom w:w="0" w:type="dxa"/>
            <w:right w:w="0" w:type="dxa"/>
          </w:tblCellMar>
        </w:tblPrEx>
        <w:trPr>
          <w:wBefore w:w="0" w:type="auto"/>
          <w:tblCellSpacing w:w="0" w:type="dxa"/>
        </w:trPr>
        <w:tc>
          <w:tcPr>
            <w:tcW w:w="0" w:type="auto"/>
            <w:noWrap w:val="0"/>
            <w:vAlign w:val="center"/>
          </w:tcPr>
          <w:p w14:paraId="2C820F77">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 2.禁止在河塘等水体中清洗施药器具。（周围）开花植物花期禁用，使用时应密切关注对附近蜂群的影响；鸟类保护区附近禁用，施药后立即覆土。3.本品不可与碱性物质混用。4.建议与其他作用机制不同的杀虫剂轮换使用，以延缓抗性产生。5.用过的容器应妥善处理，不可以做他用，也不可随意丢弃。 6. 孕妇及哺乳期妇女禁止接触本品。</w:t>
            </w:r>
          </w:p>
        </w:tc>
      </w:tr>
      <w:tr w14:paraId="302F052F">
        <w:tblPrEx>
          <w:tblCellMar>
            <w:top w:w="0" w:type="dxa"/>
            <w:left w:w="0" w:type="dxa"/>
            <w:bottom w:w="0" w:type="dxa"/>
            <w:right w:w="0" w:type="dxa"/>
          </w:tblCellMar>
        </w:tblPrEx>
        <w:trPr>
          <w:wBefore w:w="0" w:type="auto"/>
          <w:tblCellSpacing w:w="0" w:type="dxa"/>
        </w:trPr>
        <w:tc>
          <w:tcPr>
            <w:tcW w:w="0" w:type="auto"/>
            <w:noWrap w:val="0"/>
            <w:vAlign w:val="center"/>
          </w:tcPr>
          <w:p w14:paraId="104949A8">
            <w:r>
              <w:rPr>
                <w:rStyle w:val="10"/>
                <w:rFonts w:hint="eastAsia"/>
              </w:rPr>
              <w:t>中毒急救措施：</w:t>
            </w:r>
            <w:r>
              <w:rPr>
                <w:rFonts w:hint="eastAsia"/>
              </w:rPr>
              <w:br w:type="textWrapping"/>
            </w:r>
            <w:r>
              <w:rPr>
                <w:rStyle w:val="11"/>
                <w:rFonts w:hint="eastAsia"/>
              </w:rPr>
              <w:t>本品对眼睛有刺激性。如接触皮肤用肥皂和清水彻底清洗受污的皮肤。如溅及眼睛，用清水冲洗眼睛至少10分钟，送医就诊。如误服，反复使用医用炭和大量水，并即携带标签，送医就诊。</w:t>
            </w:r>
          </w:p>
        </w:tc>
      </w:tr>
      <w:tr w14:paraId="76B5E8D2">
        <w:tblPrEx>
          <w:tblCellMar>
            <w:top w:w="0" w:type="dxa"/>
            <w:left w:w="0" w:type="dxa"/>
            <w:bottom w:w="0" w:type="dxa"/>
            <w:right w:w="0" w:type="dxa"/>
          </w:tblCellMar>
        </w:tblPrEx>
        <w:trPr>
          <w:wBefore w:w="0" w:type="auto"/>
          <w:tblCellSpacing w:w="0" w:type="dxa"/>
        </w:trPr>
        <w:tc>
          <w:tcPr>
            <w:tcW w:w="0" w:type="auto"/>
            <w:noWrap w:val="0"/>
            <w:vAlign w:val="center"/>
          </w:tcPr>
          <w:p w14:paraId="1C811E1E">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本品应贮存在干燥、阴凉、通风、防雨处，远离火源或热源。置于儿童触及不到之处，并加锁。勿与食品、粮食、饮料、饲料等同贮同运。搬运及运输过程中，轻拿轻放，不得倒置。</w:t>
            </w:r>
          </w:p>
        </w:tc>
      </w:tr>
      <w:tr w14:paraId="31B22C4F">
        <w:tblPrEx>
          <w:tblCellMar>
            <w:top w:w="0" w:type="dxa"/>
            <w:left w:w="0" w:type="dxa"/>
            <w:bottom w:w="0" w:type="dxa"/>
            <w:right w:w="0" w:type="dxa"/>
          </w:tblCellMar>
        </w:tblPrEx>
        <w:trPr>
          <w:wBefore w:w="0" w:type="auto"/>
          <w:tblCellSpacing w:w="0" w:type="dxa"/>
        </w:trPr>
        <w:tc>
          <w:tcPr>
            <w:tcW w:w="0" w:type="auto"/>
            <w:noWrap w:val="0"/>
            <w:vAlign w:val="center"/>
          </w:tcPr>
          <w:p w14:paraId="78D7F2DD">
            <w:r>
              <w:rPr>
                <w:rStyle w:val="10"/>
                <w:rFonts w:hint="eastAsia"/>
              </w:rPr>
              <w:t>质量保证期：</w:t>
            </w:r>
            <w:r>
              <w:rPr>
                <w:rStyle w:val="11"/>
                <w:rFonts w:hint="eastAsia"/>
              </w:rPr>
              <w:t>2年</w:t>
            </w:r>
          </w:p>
        </w:tc>
      </w:tr>
      <w:tr w14:paraId="6D16C2AC">
        <w:tblPrEx>
          <w:tblCellMar>
            <w:top w:w="0" w:type="dxa"/>
            <w:left w:w="0" w:type="dxa"/>
            <w:bottom w:w="0" w:type="dxa"/>
            <w:right w:w="0" w:type="dxa"/>
          </w:tblCellMar>
        </w:tblPrEx>
        <w:trPr>
          <w:wBefore w:w="0" w:type="auto"/>
          <w:tblCellSpacing w:w="0" w:type="dxa"/>
        </w:trPr>
        <w:tc>
          <w:tcPr>
            <w:tcW w:w="0" w:type="auto"/>
            <w:noWrap w:val="0"/>
            <w:vAlign w:val="center"/>
          </w:tcPr>
          <w:p w14:paraId="16138BBA">
            <w:r>
              <w:rPr>
                <w:rStyle w:val="10"/>
                <w:rFonts w:hint="eastAsia"/>
              </w:rPr>
              <w:t>备注：</w:t>
            </w:r>
          </w:p>
        </w:tc>
      </w:tr>
    </w:tbl>
    <w:p w14:paraId="25FBFA6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F82C09">
        <w:tblPrEx>
          <w:tblCellMar>
            <w:top w:w="0" w:type="dxa"/>
            <w:left w:w="0" w:type="dxa"/>
            <w:bottom w:w="0" w:type="dxa"/>
            <w:right w:w="0" w:type="dxa"/>
          </w:tblCellMar>
        </w:tblPrEx>
        <w:trPr>
          <w:wBefore w:w="0" w:type="auto"/>
          <w:tblCellSpacing w:w="0" w:type="dxa"/>
        </w:trPr>
        <w:tc>
          <w:tcPr>
            <w:tcW w:w="0" w:type="auto"/>
            <w:noWrap w:val="0"/>
            <w:vAlign w:val="center"/>
          </w:tcPr>
          <w:p w14:paraId="72B8ABFA">
            <w:r>
              <w:rPr>
                <w:rStyle w:val="10"/>
                <w:rFonts w:hint="eastAsia"/>
              </w:rPr>
              <w:t>登记证号：</w:t>
            </w:r>
            <w:r>
              <w:rPr>
                <w:rFonts w:hint="eastAsia"/>
              </w:rPr>
              <w:t>PD20212615</w:t>
            </w:r>
          </w:p>
        </w:tc>
      </w:tr>
      <w:tr w14:paraId="63A8A758">
        <w:tblPrEx>
          <w:tblCellMar>
            <w:top w:w="0" w:type="dxa"/>
            <w:left w:w="0" w:type="dxa"/>
            <w:bottom w:w="0" w:type="dxa"/>
            <w:right w:w="0" w:type="dxa"/>
          </w:tblCellMar>
        </w:tblPrEx>
        <w:trPr>
          <w:wBefore w:w="0" w:type="auto"/>
          <w:tblCellSpacing w:w="0" w:type="dxa"/>
        </w:trPr>
        <w:tc>
          <w:tcPr>
            <w:tcW w:w="0" w:type="auto"/>
            <w:noWrap w:val="0"/>
            <w:vAlign w:val="center"/>
          </w:tcPr>
          <w:p w14:paraId="51FF730E">
            <w:r>
              <w:rPr>
                <w:rStyle w:val="10"/>
                <w:rFonts w:hint="eastAsia"/>
              </w:rPr>
              <w:t>登记证持有人：</w:t>
            </w:r>
            <w:r>
              <w:rPr>
                <w:rFonts w:hint="eastAsia"/>
              </w:rPr>
              <w:t>广西田园生化股份有限公司</w:t>
            </w:r>
          </w:p>
        </w:tc>
      </w:tr>
      <w:tr w14:paraId="00F1593E">
        <w:tblPrEx>
          <w:tblCellMar>
            <w:top w:w="0" w:type="dxa"/>
            <w:left w:w="0" w:type="dxa"/>
            <w:bottom w:w="0" w:type="dxa"/>
            <w:right w:w="0" w:type="dxa"/>
          </w:tblCellMar>
        </w:tblPrEx>
        <w:trPr>
          <w:wBefore w:w="0" w:type="auto"/>
          <w:tblCellSpacing w:w="0" w:type="dxa"/>
        </w:trPr>
        <w:tc>
          <w:tcPr>
            <w:tcW w:w="0" w:type="auto"/>
            <w:noWrap w:val="0"/>
            <w:vAlign w:val="center"/>
          </w:tcPr>
          <w:p w14:paraId="579C051E">
            <w:r>
              <w:rPr>
                <w:rStyle w:val="10"/>
                <w:rFonts w:hint="eastAsia"/>
              </w:rPr>
              <w:t>农药名称：</w:t>
            </w:r>
            <w:r>
              <w:rPr>
                <w:rFonts w:hint="eastAsia"/>
              </w:rPr>
              <w:t>甲·灭·敌草隆</w:t>
            </w:r>
          </w:p>
        </w:tc>
      </w:tr>
      <w:tr w14:paraId="21D62047">
        <w:tblPrEx>
          <w:tblCellMar>
            <w:top w:w="0" w:type="dxa"/>
            <w:left w:w="0" w:type="dxa"/>
            <w:bottom w:w="0" w:type="dxa"/>
            <w:right w:w="0" w:type="dxa"/>
          </w:tblCellMar>
        </w:tblPrEx>
        <w:trPr>
          <w:wBefore w:w="0" w:type="auto"/>
          <w:tblCellSpacing w:w="0" w:type="dxa"/>
        </w:trPr>
        <w:tc>
          <w:tcPr>
            <w:tcW w:w="0" w:type="auto"/>
            <w:noWrap w:val="0"/>
            <w:vAlign w:val="center"/>
          </w:tcPr>
          <w:p w14:paraId="7671D834">
            <w:r>
              <w:rPr>
                <w:rStyle w:val="10"/>
                <w:rFonts w:hint="eastAsia"/>
              </w:rPr>
              <w:t>剂型：</w:t>
            </w:r>
            <w:r>
              <w:rPr>
                <w:rFonts w:hint="eastAsia"/>
              </w:rPr>
              <w:t>悬浮剂</w:t>
            </w:r>
          </w:p>
        </w:tc>
      </w:tr>
      <w:tr w14:paraId="6AA19ABF">
        <w:tblPrEx>
          <w:tblCellMar>
            <w:top w:w="0" w:type="dxa"/>
            <w:left w:w="0" w:type="dxa"/>
            <w:bottom w:w="0" w:type="dxa"/>
            <w:right w:w="0" w:type="dxa"/>
          </w:tblCellMar>
        </w:tblPrEx>
        <w:trPr>
          <w:wBefore w:w="0" w:type="auto"/>
          <w:tblCellSpacing w:w="0" w:type="dxa"/>
        </w:trPr>
        <w:tc>
          <w:tcPr>
            <w:tcW w:w="0" w:type="auto"/>
            <w:noWrap w:val="0"/>
            <w:vAlign w:val="center"/>
          </w:tcPr>
          <w:p w14:paraId="1F9BDB3E">
            <w:r>
              <w:rPr>
                <w:rStyle w:val="10"/>
                <w:rFonts w:hint="eastAsia"/>
              </w:rPr>
              <w:t>毒性及其标识：</w:t>
            </w:r>
            <w:r>
              <w:rPr>
                <w:rFonts w:hint="eastAsia"/>
              </w:rPr>
              <w:t xml:space="preserve"> </w:t>
            </w:r>
            <w:r>
              <w:rPr>
                <w:lang/>
              </w:rPr>
              <w:drawing>
                <wp:inline distT="0" distB="0" distL="114300" distR="114300">
                  <wp:extent cx="476250" cy="323850"/>
                  <wp:effectExtent l="0" t="0" r="0" b="0"/>
                  <wp:docPr id="354" name="图片 3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C6A51D">
        <w:tblPrEx>
          <w:tblCellMar>
            <w:top w:w="0" w:type="dxa"/>
            <w:left w:w="0" w:type="dxa"/>
            <w:bottom w:w="0" w:type="dxa"/>
            <w:right w:w="0" w:type="dxa"/>
          </w:tblCellMar>
        </w:tblPrEx>
        <w:trPr>
          <w:wBefore w:w="0" w:type="auto"/>
          <w:tblCellSpacing w:w="0" w:type="dxa"/>
        </w:trPr>
        <w:tc>
          <w:tcPr>
            <w:tcW w:w="0" w:type="auto"/>
            <w:noWrap w:val="0"/>
            <w:vAlign w:val="center"/>
          </w:tcPr>
          <w:p w14:paraId="04D15A19">
            <w:r>
              <w:rPr>
                <w:rStyle w:val="10"/>
                <w:rFonts w:hint="eastAsia"/>
              </w:rPr>
              <w:t>总有效成分含量：</w:t>
            </w:r>
            <w:r>
              <w:rPr>
                <w:rFonts w:hint="eastAsia"/>
              </w:rPr>
              <w:t>34.5%</w:t>
            </w:r>
          </w:p>
        </w:tc>
      </w:tr>
      <w:tr w14:paraId="2D862C12">
        <w:tblPrEx>
          <w:tblCellMar>
            <w:top w:w="0" w:type="dxa"/>
            <w:left w:w="0" w:type="dxa"/>
            <w:bottom w:w="0" w:type="dxa"/>
            <w:right w:w="0" w:type="dxa"/>
          </w:tblCellMar>
        </w:tblPrEx>
        <w:trPr>
          <w:wBefore w:w="0" w:type="auto"/>
          <w:tblCellSpacing w:w="0" w:type="dxa"/>
        </w:trPr>
        <w:tc>
          <w:tcPr>
            <w:tcW w:w="0" w:type="auto"/>
            <w:noWrap w:val="0"/>
            <w:vAlign w:val="center"/>
          </w:tcPr>
          <w:p w14:paraId="50BA5528">
            <w:r>
              <w:rPr>
                <w:rFonts w:hint="eastAsia"/>
              </w:rPr>
              <w:t xml:space="preserve">有效成分及其含量： </w:t>
            </w:r>
          </w:p>
          <w:p w14:paraId="3AFC0D6F">
            <w:r>
              <w:rPr>
                <w:rFonts w:hint="eastAsia"/>
              </w:rPr>
              <w:t xml:space="preserve">    莠灭净20%    敌草隆10%    2甲4氯4.5%    </w:t>
            </w:r>
          </w:p>
        </w:tc>
      </w:tr>
      <w:tr w14:paraId="0FD7CC33">
        <w:tblPrEx>
          <w:tblCellMar>
            <w:top w:w="0" w:type="dxa"/>
            <w:left w:w="0" w:type="dxa"/>
            <w:bottom w:w="0" w:type="dxa"/>
            <w:right w:w="0" w:type="dxa"/>
          </w:tblCellMar>
        </w:tblPrEx>
        <w:trPr>
          <w:wBefore w:w="0" w:type="auto"/>
          <w:tblCellSpacing w:w="0" w:type="dxa"/>
        </w:trPr>
        <w:tc>
          <w:tcPr>
            <w:tcW w:w="0" w:type="auto"/>
            <w:noWrap w:val="0"/>
            <w:vAlign w:val="center"/>
          </w:tcPr>
          <w:p w14:paraId="36C7D5D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AF5F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5F15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0EE9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6C19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1E052D">
                  <w:r>
                    <w:rPr>
                      <w:rStyle w:val="11"/>
                      <w:rFonts w:hint="eastAsia"/>
                    </w:rPr>
                    <w:t>施用方式</w:t>
                  </w:r>
                </w:p>
              </w:tc>
            </w:tr>
            <w:tr w14:paraId="1700A4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69DB0BD">
                  <w:r>
                    <w:rPr>
                      <w:rStyle w:val="11"/>
                      <w:rFonts w:hint="eastAsia"/>
                    </w:rPr>
                    <w:t>甘蔗田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C90D2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055678">
                  <w:r>
                    <w:rPr>
                      <w:rStyle w:val="11"/>
                      <w:rFonts w:hint="eastAsia"/>
                    </w:rPr>
                    <w:t>240-320毫升/亩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3C7A9E">
                  <w:r>
                    <w:rPr>
                      <w:rStyle w:val="11"/>
                      <w:rFonts w:hint="eastAsia"/>
                    </w:rPr>
                    <w:t>定向茎叶喷雾</w:t>
                  </w:r>
                </w:p>
              </w:tc>
            </w:tr>
          </w:tbl>
          <w:p w14:paraId="7857B853">
            <w:pPr>
              <w:rPr>
                <w:rFonts w:ascii="Times New Roman" w:hAnsi="Times New Roman" w:cs="Times New Roman"/>
                <w:sz w:val="20"/>
                <w:szCs w:val="20"/>
              </w:rPr>
            </w:pPr>
          </w:p>
        </w:tc>
      </w:tr>
      <w:tr w14:paraId="0215A54D">
        <w:tblPrEx>
          <w:tblCellMar>
            <w:top w:w="0" w:type="dxa"/>
            <w:left w:w="0" w:type="dxa"/>
            <w:bottom w:w="0" w:type="dxa"/>
            <w:right w:w="0" w:type="dxa"/>
          </w:tblCellMar>
        </w:tblPrEx>
        <w:trPr>
          <w:wBefore w:w="0" w:type="auto"/>
          <w:tblCellSpacing w:w="0" w:type="dxa"/>
        </w:trPr>
        <w:tc>
          <w:tcPr>
            <w:tcW w:w="0" w:type="auto"/>
            <w:noWrap w:val="0"/>
            <w:vAlign w:val="center"/>
          </w:tcPr>
          <w:p w14:paraId="22AB0E2A">
            <w:r>
              <w:rPr>
                <w:rStyle w:val="10"/>
                <w:rFonts w:hint="eastAsia"/>
              </w:rPr>
              <w:t>使用技术要求:</w:t>
            </w:r>
            <w:r>
              <w:rPr>
                <w:rFonts w:hint="eastAsia"/>
              </w:rPr>
              <w:br w:type="textWrapping"/>
            </w:r>
            <w:r>
              <w:rPr>
                <w:rStyle w:val="11"/>
                <w:rFonts w:hint="eastAsia"/>
              </w:rPr>
              <w:t>1、使用本品应掌握在甘蔗3-4叶时，杂草20cm以下喷雾施药。 2、本品在甘蔗上每季作物最多使用1次。 3、大风天或预计1小时内有降雨，请勿用药。</w:t>
            </w:r>
          </w:p>
        </w:tc>
      </w:tr>
      <w:tr w14:paraId="086B6726">
        <w:tblPrEx>
          <w:tblCellMar>
            <w:top w:w="0" w:type="dxa"/>
            <w:left w:w="0" w:type="dxa"/>
            <w:bottom w:w="0" w:type="dxa"/>
            <w:right w:w="0" w:type="dxa"/>
          </w:tblCellMar>
        </w:tblPrEx>
        <w:trPr>
          <w:wBefore w:w="0" w:type="auto"/>
          <w:tblCellSpacing w:w="0" w:type="dxa"/>
        </w:trPr>
        <w:tc>
          <w:tcPr>
            <w:tcW w:w="0" w:type="auto"/>
            <w:noWrap w:val="0"/>
            <w:vAlign w:val="center"/>
          </w:tcPr>
          <w:p w14:paraId="130D1F8A">
            <w:r>
              <w:rPr>
                <w:rStyle w:val="10"/>
                <w:rFonts w:hint="eastAsia"/>
              </w:rPr>
              <w:t>产品性能:</w:t>
            </w:r>
            <w:r>
              <w:rPr>
                <w:rFonts w:hint="eastAsia"/>
              </w:rPr>
              <w:br w:type="textWrapping"/>
            </w:r>
            <w:r>
              <w:rPr>
                <w:rStyle w:val="11"/>
                <w:rFonts w:hint="eastAsia"/>
              </w:rPr>
              <w:t>本品是2甲4氯、莠灭净和敌草隆配制而成的杀菌剂，具有杀草谱广、持效期长等作用，对防治甘蔗田一年生杂草有较好的防治效果。</w:t>
            </w:r>
          </w:p>
        </w:tc>
      </w:tr>
      <w:tr w14:paraId="08231932">
        <w:tblPrEx>
          <w:tblCellMar>
            <w:top w:w="0" w:type="dxa"/>
            <w:left w:w="0" w:type="dxa"/>
            <w:bottom w:w="0" w:type="dxa"/>
            <w:right w:w="0" w:type="dxa"/>
          </w:tblCellMar>
        </w:tblPrEx>
        <w:trPr>
          <w:wBefore w:w="0" w:type="auto"/>
          <w:tblCellSpacing w:w="0" w:type="dxa"/>
        </w:trPr>
        <w:tc>
          <w:tcPr>
            <w:tcW w:w="0" w:type="auto"/>
            <w:noWrap w:val="0"/>
            <w:vAlign w:val="center"/>
          </w:tcPr>
          <w:p w14:paraId="282A5A88">
            <w:r>
              <w:rPr>
                <w:rStyle w:val="10"/>
                <w:rFonts w:hint="eastAsia"/>
              </w:rPr>
              <w:t>注意事项：</w:t>
            </w:r>
            <w:r>
              <w:rPr>
                <w:rFonts w:hint="eastAsia"/>
              </w:rPr>
              <w:br w:type="textWrapping"/>
            </w:r>
            <w:r>
              <w:rPr>
                <w:rStyle w:val="11"/>
                <w:rFonts w:hint="eastAsia"/>
              </w:rPr>
              <w:t>1、使用时应穿戴防护用品，避免药液溅入眼睛和接触皮肤。施药期间不可吃东西和饮水。施药后应及时洗手或洗脸。2、本品对鱼类溞类和藻类毒性较高，使用应远离水产养殖区施药，避免药液流入河流、湖泊和鱼塘中，残液严禁倒入河中，禁止在江河、湖泊中清洗施药器械。3、鸟类保护区附近禁用。4、蚕室及桑园附近禁用。5、本品不能与碱性农药等物质混用。6、建议与不同作用机制的杀虫剂轮换使用。 7、用过的容器应妥善处理，不要做他用，也不可随意丢弃。8、孕妇及哺乳期妇女禁止接触本品。</w:t>
            </w:r>
          </w:p>
        </w:tc>
      </w:tr>
      <w:tr w14:paraId="4F81D15C">
        <w:tblPrEx>
          <w:tblCellMar>
            <w:top w:w="0" w:type="dxa"/>
            <w:left w:w="0" w:type="dxa"/>
            <w:bottom w:w="0" w:type="dxa"/>
            <w:right w:w="0" w:type="dxa"/>
          </w:tblCellMar>
        </w:tblPrEx>
        <w:trPr>
          <w:wBefore w:w="0" w:type="auto"/>
          <w:tblCellSpacing w:w="0" w:type="dxa"/>
        </w:trPr>
        <w:tc>
          <w:tcPr>
            <w:tcW w:w="0" w:type="auto"/>
            <w:noWrap w:val="0"/>
            <w:vAlign w:val="center"/>
          </w:tcPr>
          <w:p w14:paraId="24F3ABE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使用中或使用后如果感觉不适，应立即停止工作，采取急救措施，并携带标签送医就诊。 1、如接触皮肤，用肥皂和大量清水彻底清洗受污的皮肤；如不慎吸入，应将病人移至空气流通处。 2、如溅及眼睛，用大量清水冲洗眼睛至少15分钟；严重者送医就诊； 3、如误服，立即携带标签，送医就诊，对症治疗。</w:t>
            </w:r>
          </w:p>
        </w:tc>
      </w:tr>
      <w:tr w14:paraId="7AF63C07">
        <w:tblPrEx>
          <w:tblCellMar>
            <w:top w:w="0" w:type="dxa"/>
            <w:left w:w="0" w:type="dxa"/>
            <w:bottom w:w="0" w:type="dxa"/>
            <w:right w:w="0" w:type="dxa"/>
          </w:tblCellMar>
        </w:tblPrEx>
        <w:trPr>
          <w:wBefore w:w="0" w:type="auto"/>
          <w:tblCellSpacing w:w="0" w:type="dxa"/>
        </w:trPr>
        <w:tc>
          <w:tcPr>
            <w:tcW w:w="0" w:type="auto"/>
            <w:noWrap w:val="0"/>
            <w:vAlign w:val="center"/>
          </w:tcPr>
          <w:p w14:paraId="5759899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本品应贮存在干燥、阴凉、通风、防雨处，远离火源或热源。置于儿童触及不到之处，并加锁。勿与食品、饮料、粮食、种子、饲料等同贮同运。</w:t>
            </w:r>
          </w:p>
        </w:tc>
      </w:tr>
      <w:tr w14:paraId="25582239">
        <w:tblPrEx>
          <w:tblCellMar>
            <w:top w:w="0" w:type="dxa"/>
            <w:left w:w="0" w:type="dxa"/>
            <w:bottom w:w="0" w:type="dxa"/>
            <w:right w:w="0" w:type="dxa"/>
          </w:tblCellMar>
        </w:tblPrEx>
        <w:trPr>
          <w:wBefore w:w="0" w:type="auto"/>
          <w:tblCellSpacing w:w="0" w:type="dxa"/>
        </w:trPr>
        <w:tc>
          <w:tcPr>
            <w:tcW w:w="0" w:type="auto"/>
            <w:noWrap w:val="0"/>
            <w:vAlign w:val="center"/>
          </w:tcPr>
          <w:p w14:paraId="4C0BB4C3">
            <w:r>
              <w:rPr>
                <w:rStyle w:val="10"/>
                <w:rFonts w:hint="eastAsia"/>
              </w:rPr>
              <w:t>质量保证期：</w:t>
            </w:r>
            <w:r>
              <w:rPr>
                <w:rStyle w:val="11"/>
                <w:rFonts w:hint="eastAsia"/>
              </w:rPr>
              <w:t>2年</w:t>
            </w:r>
          </w:p>
        </w:tc>
      </w:tr>
      <w:tr w14:paraId="31B0DD03">
        <w:tblPrEx>
          <w:tblCellMar>
            <w:top w:w="0" w:type="dxa"/>
            <w:left w:w="0" w:type="dxa"/>
            <w:bottom w:w="0" w:type="dxa"/>
            <w:right w:w="0" w:type="dxa"/>
          </w:tblCellMar>
        </w:tblPrEx>
        <w:trPr>
          <w:wBefore w:w="0" w:type="auto"/>
          <w:tblCellSpacing w:w="0" w:type="dxa"/>
        </w:trPr>
        <w:tc>
          <w:tcPr>
            <w:tcW w:w="0" w:type="auto"/>
            <w:noWrap w:val="0"/>
            <w:vAlign w:val="center"/>
          </w:tcPr>
          <w:p w14:paraId="6E157AE4">
            <w:r>
              <w:rPr>
                <w:rStyle w:val="10"/>
                <w:rFonts w:hint="eastAsia"/>
              </w:rPr>
              <w:t>备注：</w:t>
            </w:r>
            <w:r>
              <w:rPr>
                <w:rFonts w:hint="eastAsia"/>
              </w:rPr>
              <w:br w:type="textWrapping"/>
            </w:r>
            <w:r>
              <w:rPr>
                <w:rStyle w:val="11"/>
                <w:rFonts w:hint="eastAsia"/>
              </w:rPr>
              <w:t>2甲4氯钠质量分数5%</w:t>
            </w:r>
          </w:p>
        </w:tc>
      </w:tr>
    </w:tbl>
    <w:p w14:paraId="5ADF0B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758FAA">
        <w:tblPrEx>
          <w:tblCellMar>
            <w:top w:w="0" w:type="dxa"/>
            <w:left w:w="0" w:type="dxa"/>
            <w:bottom w:w="0" w:type="dxa"/>
            <w:right w:w="0" w:type="dxa"/>
          </w:tblCellMar>
        </w:tblPrEx>
        <w:trPr>
          <w:wBefore w:w="0" w:type="auto"/>
          <w:tblCellSpacing w:w="0" w:type="dxa"/>
        </w:trPr>
        <w:tc>
          <w:tcPr>
            <w:tcW w:w="0" w:type="auto"/>
            <w:noWrap w:val="0"/>
            <w:vAlign w:val="center"/>
          </w:tcPr>
          <w:p w14:paraId="461B67F4">
            <w:r>
              <w:rPr>
                <w:rStyle w:val="10"/>
                <w:rFonts w:hint="eastAsia"/>
              </w:rPr>
              <w:t>登记证号：</w:t>
            </w:r>
            <w:r>
              <w:rPr>
                <w:rFonts w:hint="eastAsia"/>
              </w:rPr>
              <w:t>PD20184139</w:t>
            </w:r>
          </w:p>
        </w:tc>
      </w:tr>
      <w:tr w14:paraId="64BBE0E1">
        <w:tblPrEx>
          <w:tblCellMar>
            <w:top w:w="0" w:type="dxa"/>
            <w:left w:w="0" w:type="dxa"/>
            <w:bottom w:w="0" w:type="dxa"/>
            <w:right w:w="0" w:type="dxa"/>
          </w:tblCellMar>
        </w:tblPrEx>
        <w:trPr>
          <w:wBefore w:w="0" w:type="auto"/>
          <w:tblCellSpacing w:w="0" w:type="dxa"/>
        </w:trPr>
        <w:tc>
          <w:tcPr>
            <w:tcW w:w="0" w:type="auto"/>
            <w:noWrap w:val="0"/>
            <w:vAlign w:val="center"/>
          </w:tcPr>
          <w:p w14:paraId="06C91151">
            <w:r>
              <w:rPr>
                <w:rStyle w:val="10"/>
                <w:rFonts w:hint="eastAsia"/>
              </w:rPr>
              <w:t>登记证持有人：</w:t>
            </w:r>
            <w:r>
              <w:rPr>
                <w:rFonts w:hint="eastAsia"/>
              </w:rPr>
              <w:t>河北博嘉农业有限公司</w:t>
            </w:r>
          </w:p>
        </w:tc>
      </w:tr>
      <w:tr w14:paraId="44926D3F">
        <w:tblPrEx>
          <w:tblCellMar>
            <w:top w:w="0" w:type="dxa"/>
            <w:left w:w="0" w:type="dxa"/>
            <w:bottom w:w="0" w:type="dxa"/>
            <w:right w:w="0" w:type="dxa"/>
          </w:tblCellMar>
        </w:tblPrEx>
        <w:trPr>
          <w:wBefore w:w="0" w:type="auto"/>
          <w:tblCellSpacing w:w="0" w:type="dxa"/>
        </w:trPr>
        <w:tc>
          <w:tcPr>
            <w:tcW w:w="0" w:type="auto"/>
            <w:noWrap w:val="0"/>
            <w:vAlign w:val="center"/>
          </w:tcPr>
          <w:p w14:paraId="0F50706E">
            <w:r>
              <w:rPr>
                <w:rStyle w:val="10"/>
                <w:rFonts w:hint="eastAsia"/>
              </w:rPr>
              <w:t>农药名称：</w:t>
            </w:r>
            <w:r>
              <w:rPr>
                <w:rFonts w:hint="eastAsia"/>
              </w:rPr>
              <w:t>氯虫苯甲酰胺</w:t>
            </w:r>
          </w:p>
        </w:tc>
      </w:tr>
      <w:tr w14:paraId="2FFC6E1C">
        <w:tblPrEx>
          <w:tblCellMar>
            <w:top w:w="0" w:type="dxa"/>
            <w:left w:w="0" w:type="dxa"/>
            <w:bottom w:w="0" w:type="dxa"/>
            <w:right w:w="0" w:type="dxa"/>
          </w:tblCellMar>
        </w:tblPrEx>
        <w:trPr>
          <w:wBefore w:w="0" w:type="auto"/>
          <w:tblCellSpacing w:w="0" w:type="dxa"/>
        </w:trPr>
        <w:tc>
          <w:tcPr>
            <w:tcW w:w="0" w:type="auto"/>
            <w:noWrap w:val="0"/>
            <w:vAlign w:val="center"/>
          </w:tcPr>
          <w:p w14:paraId="2E8FD334">
            <w:r>
              <w:rPr>
                <w:rStyle w:val="10"/>
                <w:rFonts w:hint="eastAsia"/>
              </w:rPr>
              <w:t>剂型：</w:t>
            </w:r>
            <w:r>
              <w:rPr>
                <w:rFonts w:hint="eastAsia"/>
              </w:rPr>
              <w:t>颗粒剂</w:t>
            </w:r>
          </w:p>
        </w:tc>
      </w:tr>
      <w:tr w14:paraId="7F1515E1">
        <w:tblPrEx>
          <w:tblCellMar>
            <w:top w:w="0" w:type="dxa"/>
            <w:left w:w="0" w:type="dxa"/>
            <w:bottom w:w="0" w:type="dxa"/>
            <w:right w:w="0" w:type="dxa"/>
          </w:tblCellMar>
        </w:tblPrEx>
        <w:trPr>
          <w:wBefore w:w="0" w:type="auto"/>
          <w:tblCellSpacing w:w="0" w:type="dxa"/>
        </w:trPr>
        <w:tc>
          <w:tcPr>
            <w:tcW w:w="0" w:type="auto"/>
            <w:noWrap w:val="0"/>
            <w:vAlign w:val="center"/>
          </w:tcPr>
          <w:p w14:paraId="3250E9C0">
            <w:r>
              <w:rPr>
                <w:rStyle w:val="10"/>
                <w:rFonts w:hint="eastAsia"/>
              </w:rPr>
              <w:t>毒性及其标识：</w:t>
            </w:r>
            <w:r>
              <w:rPr>
                <w:rFonts w:hint="eastAsia"/>
              </w:rPr>
              <w:t xml:space="preserve"> 微毒 </w:t>
            </w:r>
          </w:p>
        </w:tc>
      </w:tr>
      <w:tr w14:paraId="66953E37">
        <w:tblPrEx>
          <w:tblCellMar>
            <w:top w:w="0" w:type="dxa"/>
            <w:left w:w="0" w:type="dxa"/>
            <w:bottom w:w="0" w:type="dxa"/>
            <w:right w:w="0" w:type="dxa"/>
          </w:tblCellMar>
        </w:tblPrEx>
        <w:trPr>
          <w:wBefore w:w="0" w:type="auto"/>
          <w:tblCellSpacing w:w="0" w:type="dxa"/>
        </w:trPr>
        <w:tc>
          <w:tcPr>
            <w:tcW w:w="0" w:type="auto"/>
            <w:noWrap w:val="0"/>
            <w:vAlign w:val="center"/>
          </w:tcPr>
          <w:p w14:paraId="7A602A41">
            <w:r>
              <w:rPr>
                <w:rStyle w:val="10"/>
                <w:rFonts w:hint="eastAsia"/>
              </w:rPr>
              <w:t>总有效成分含量：</w:t>
            </w:r>
            <w:r>
              <w:rPr>
                <w:rFonts w:hint="eastAsia"/>
              </w:rPr>
              <w:t>1%</w:t>
            </w:r>
          </w:p>
        </w:tc>
      </w:tr>
      <w:tr w14:paraId="5133EE6E">
        <w:tblPrEx>
          <w:tblCellMar>
            <w:top w:w="0" w:type="dxa"/>
            <w:left w:w="0" w:type="dxa"/>
            <w:bottom w:w="0" w:type="dxa"/>
            <w:right w:w="0" w:type="dxa"/>
          </w:tblCellMar>
        </w:tblPrEx>
        <w:trPr>
          <w:wBefore w:w="0" w:type="auto"/>
          <w:tblCellSpacing w:w="0" w:type="dxa"/>
        </w:trPr>
        <w:tc>
          <w:tcPr>
            <w:tcW w:w="0" w:type="auto"/>
            <w:noWrap w:val="0"/>
            <w:vAlign w:val="center"/>
          </w:tcPr>
          <w:p w14:paraId="2299D40C">
            <w:r>
              <w:rPr>
                <w:rFonts w:hint="eastAsia"/>
              </w:rPr>
              <w:t xml:space="preserve">有效成分及其含量： </w:t>
            </w:r>
          </w:p>
          <w:p w14:paraId="69C946F0">
            <w:r>
              <w:rPr>
                <w:rFonts w:hint="eastAsia"/>
              </w:rPr>
              <w:t xml:space="preserve">    氯虫苯甲酰胺1%    </w:t>
            </w:r>
          </w:p>
        </w:tc>
      </w:tr>
      <w:tr w14:paraId="1938DE85">
        <w:tblPrEx>
          <w:tblCellMar>
            <w:top w:w="0" w:type="dxa"/>
            <w:left w:w="0" w:type="dxa"/>
            <w:bottom w:w="0" w:type="dxa"/>
            <w:right w:w="0" w:type="dxa"/>
          </w:tblCellMar>
        </w:tblPrEx>
        <w:trPr>
          <w:wBefore w:w="0" w:type="auto"/>
          <w:tblCellSpacing w:w="0" w:type="dxa"/>
        </w:trPr>
        <w:tc>
          <w:tcPr>
            <w:tcW w:w="0" w:type="auto"/>
            <w:noWrap w:val="0"/>
            <w:vAlign w:val="center"/>
          </w:tcPr>
          <w:p w14:paraId="3804DC1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5287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894BA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0C77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40B6E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B2963A">
                  <w:r>
                    <w:rPr>
                      <w:rStyle w:val="11"/>
                      <w:rFonts w:hint="eastAsia"/>
                    </w:rPr>
                    <w:t>施用方式</w:t>
                  </w:r>
                </w:p>
              </w:tc>
            </w:tr>
            <w:tr w14:paraId="72F292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DFED8D">
                  <w:r>
                    <w:rPr>
                      <w:rStyle w:val="11"/>
                      <w:rFonts w:hint="eastAsia"/>
                    </w:rPr>
                    <w:t>观赏月季</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446C02">
                  <w:r>
                    <w:rPr>
                      <w:rStyle w:val="11"/>
                      <w:rFonts w:hint="eastAsia"/>
                    </w:rPr>
                    <w:t>斜纹夜蛾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F0AC0E">
                  <w:r>
                    <w:rPr>
                      <w:rStyle w:val="11"/>
                      <w:rFonts w:hint="eastAsia"/>
                    </w:rPr>
                    <w:t>500-1000克/立方米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108080">
                  <w:r>
                    <w:rPr>
                      <w:rStyle w:val="11"/>
                      <w:rFonts w:hint="eastAsia"/>
                    </w:rPr>
                    <w:t>基质拌药</w:t>
                  </w:r>
                </w:p>
              </w:tc>
            </w:tr>
          </w:tbl>
          <w:p w14:paraId="317AAE88">
            <w:pPr>
              <w:rPr>
                <w:rFonts w:ascii="Times New Roman" w:hAnsi="Times New Roman" w:cs="Times New Roman"/>
                <w:sz w:val="20"/>
                <w:szCs w:val="20"/>
              </w:rPr>
            </w:pPr>
          </w:p>
        </w:tc>
      </w:tr>
      <w:tr w14:paraId="1567318E">
        <w:tblPrEx>
          <w:tblCellMar>
            <w:top w:w="0" w:type="dxa"/>
            <w:left w:w="0" w:type="dxa"/>
            <w:bottom w:w="0" w:type="dxa"/>
            <w:right w:w="0" w:type="dxa"/>
          </w:tblCellMar>
        </w:tblPrEx>
        <w:trPr>
          <w:wBefore w:w="0" w:type="auto"/>
          <w:tblCellSpacing w:w="0" w:type="dxa"/>
        </w:trPr>
        <w:tc>
          <w:tcPr>
            <w:tcW w:w="0" w:type="auto"/>
            <w:noWrap w:val="0"/>
            <w:vAlign w:val="center"/>
          </w:tcPr>
          <w:p w14:paraId="197F1A9E">
            <w:r>
              <w:rPr>
                <w:rStyle w:val="10"/>
                <w:rFonts w:hint="eastAsia"/>
              </w:rPr>
              <w:t>使用技术要求:</w:t>
            </w:r>
            <w:r>
              <w:rPr>
                <w:rFonts w:hint="eastAsia"/>
              </w:rPr>
              <w:br w:type="textWrapping"/>
            </w:r>
            <w:r>
              <w:rPr>
                <w:rStyle w:val="11"/>
                <w:rFonts w:hint="eastAsia"/>
              </w:rPr>
              <w:t>1. 颗粒剂在水稻上按规定药量在插秧当日或前一天均匀的撒在育秧盘上。抖落沾在叶面上的药剂后，喷洒少量的水，使药剂粘附在育秧盘基质土上，随后进行插秧(请务必均匀喷洒，以免因喷洒不均匀导致叶片发黄、叶尖枯萎等药害的发生。)。2. 本品在水稻上每季使用次数为1次，收获期安全。3. 于观赏月季移栽时，根据基质体积计算用药量，进行基质拌药处理1次。</w:t>
            </w:r>
          </w:p>
        </w:tc>
      </w:tr>
      <w:tr w14:paraId="62F8BF61">
        <w:tblPrEx>
          <w:tblCellMar>
            <w:top w:w="0" w:type="dxa"/>
            <w:left w:w="0" w:type="dxa"/>
            <w:bottom w:w="0" w:type="dxa"/>
            <w:right w:w="0" w:type="dxa"/>
          </w:tblCellMar>
        </w:tblPrEx>
        <w:trPr>
          <w:wBefore w:w="0" w:type="auto"/>
          <w:tblCellSpacing w:w="0" w:type="dxa"/>
        </w:trPr>
        <w:tc>
          <w:tcPr>
            <w:tcW w:w="0" w:type="auto"/>
            <w:noWrap w:val="0"/>
            <w:vAlign w:val="center"/>
          </w:tcPr>
          <w:p w14:paraId="33A16C1B">
            <w:r>
              <w:rPr>
                <w:rStyle w:val="10"/>
                <w:rFonts w:hint="eastAsia"/>
              </w:rPr>
              <w:t>产品性能:</w:t>
            </w:r>
            <w:r>
              <w:rPr>
                <w:rFonts w:hint="eastAsia"/>
              </w:rPr>
              <w:br w:type="textWrapping"/>
            </w:r>
            <w:r>
              <w:rPr>
                <w:rStyle w:val="11"/>
                <w:rFonts w:hint="eastAsia"/>
              </w:rPr>
              <w:t>氯虫苯甲酰胺高效广谱，可导致某些鳞翅目昆虫交配过程紊乱，能降低多种夜蛾科害虫的产卵率，且具有持效性好和耐雨水冲刷的生物学特性。</w:t>
            </w:r>
          </w:p>
        </w:tc>
      </w:tr>
      <w:tr w14:paraId="3C746353">
        <w:tblPrEx>
          <w:tblCellMar>
            <w:top w:w="0" w:type="dxa"/>
            <w:left w:w="0" w:type="dxa"/>
            <w:bottom w:w="0" w:type="dxa"/>
            <w:right w:w="0" w:type="dxa"/>
          </w:tblCellMar>
        </w:tblPrEx>
        <w:trPr>
          <w:wBefore w:w="0" w:type="auto"/>
          <w:tblCellSpacing w:w="0" w:type="dxa"/>
        </w:trPr>
        <w:tc>
          <w:tcPr>
            <w:tcW w:w="0" w:type="auto"/>
            <w:noWrap w:val="0"/>
            <w:vAlign w:val="center"/>
          </w:tcPr>
          <w:p w14:paraId="2B82C034">
            <w:r>
              <w:rPr>
                <w:rStyle w:val="10"/>
                <w:rFonts w:hint="eastAsia"/>
              </w:rPr>
              <w:t>注意事项：</w:t>
            </w:r>
            <w:r>
              <w:rPr>
                <w:rFonts w:hint="eastAsia"/>
              </w:rPr>
              <w:br w:type="textWrapping"/>
            </w:r>
            <w:r>
              <w:rPr>
                <w:rStyle w:val="11"/>
                <w:rFonts w:hint="eastAsia"/>
              </w:rPr>
              <w:t>1. 对软弱徒长苗、立枯苗、生长不良的秧苗等容易发生药害，因此要注意。2. 过量使用本药剂会产生叶子枯萎等药害，因此请严格遵守规定的使用量、使用时期及使用方法。3. 大田不平整的话，可能会发生药害，因此应仔细地耙田，注意移植后不要让田面露出。4. 施药后应及时清洗药械。不可将废液、清洗液倒入河塘等水源。5. 本品不可与碱性农药等物质混用。6. 本品对蜜蜂、鱼类等水生生物、家蚕有毒，开花植物花期、蚕室及桑园附近禁用，鸟类保护区附近禁用，播种后应立即覆土；远离水产养殖区、河塘等水体附近施药，禁止在河塘等水体中清洗施药器具。7. 使用本品时应采取相应的安全防护措施，穿防护服、戴防护手套、口罩等，避免皮肤接触及口鼻吸入。使用中不可吸烟、饮水及吃东西，使用后应及时清洗手、脸等暴露部位皮肤并更换衣物。8. 建议与作用机制杀虫剂轮换使用，以延缓抗性产生。9. 用过的容器应妥善处理，不能作为他用，也不可随意丢弃。10. 避免孕妇及哺乳期妇女接触。11. 鱼或虾套养稻田禁用，施药后的田水不得直接排入水体。</w:t>
            </w:r>
          </w:p>
        </w:tc>
      </w:tr>
      <w:tr w14:paraId="320CA87A">
        <w:tblPrEx>
          <w:tblCellMar>
            <w:top w:w="0" w:type="dxa"/>
            <w:left w:w="0" w:type="dxa"/>
            <w:bottom w:w="0" w:type="dxa"/>
            <w:right w:w="0" w:type="dxa"/>
          </w:tblCellMar>
        </w:tblPrEx>
        <w:trPr>
          <w:wBefore w:w="0" w:type="auto"/>
          <w:tblCellSpacing w:w="0" w:type="dxa"/>
        </w:trPr>
        <w:tc>
          <w:tcPr>
            <w:tcW w:w="0" w:type="auto"/>
            <w:noWrap w:val="0"/>
            <w:vAlign w:val="center"/>
          </w:tcPr>
          <w:p w14:paraId="6CFDB278">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脱去污染的衣物，用软布去除沾染农药，立即用大量清水和肥皂冲洗。2、眼睛溅入：立即用流动的清水冲洗至少15分钟。3、吸入：立即离开施药现场，转移至空气清新处。4、误食：立即停止服用，用清水充分漱口后，立即携带农药标签到医院就诊。</w:t>
            </w:r>
          </w:p>
        </w:tc>
      </w:tr>
      <w:tr w14:paraId="5FB4016C">
        <w:tblPrEx>
          <w:tblCellMar>
            <w:top w:w="0" w:type="dxa"/>
            <w:left w:w="0" w:type="dxa"/>
            <w:bottom w:w="0" w:type="dxa"/>
            <w:right w:w="0" w:type="dxa"/>
          </w:tblCellMar>
        </w:tblPrEx>
        <w:trPr>
          <w:wBefore w:w="0" w:type="auto"/>
          <w:tblCellSpacing w:w="0" w:type="dxa"/>
        </w:trPr>
        <w:tc>
          <w:tcPr>
            <w:tcW w:w="0" w:type="auto"/>
            <w:noWrap w:val="0"/>
            <w:vAlign w:val="center"/>
          </w:tcPr>
          <w:p w14:paraId="1BB42827">
            <w:r>
              <w:rPr>
                <w:rStyle w:val="10"/>
                <w:rFonts w:hint="eastAsia"/>
              </w:rPr>
              <w:t>储存和运输方法：</w:t>
            </w:r>
            <w:r>
              <w:rPr>
                <w:rFonts w:hint="eastAsia"/>
              </w:rPr>
              <w:br w:type="textWrapping"/>
            </w:r>
            <w:r>
              <w:rPr>
                <w:rStyle w:val="11"/>
                <w:rFonts w:hint="eastAsia"/>
              </w:rPr>
              <w:t>1、本品应贮存在干燥、阴凉、通风、防雨处，远离火源或热源。2、本品应置于儿童、无关人员及动物接触不到的地方，并加锁保存。2、勿与食物、饮料、粮食、种子、饲料等同运同贮。</w:t>
            </w:r>
          </w:p>
        </w:tc>
      </w:tr>
      <w:tr w14:paraId="6E22CC08">
        <w:tblPrEx>
          <w:tblCellMar>
            <w:top w:w="0" w:type="dxa"/>
            <w:left w:w="0" w:type="dxa"/>
            <w:bottom w:w="0" w:type="dxa"/>
            <w:right w:w="0" w:type="dxa"/>
          </w:tblCellMar>
        </w:tblPrEx>
        <w:trPr>
          <w:wBefore w:w="0" w:type="auto"/>
          <w:tblCellSpacing w:w="0" w:type="dxa"/>
        </w:trPr>
        <w:tc>
          <w:tcPr>
            <w:tcW w:w="0" w:type="auto"/>
            <w:noWrap w:val="0"/>
            <w:vAlign w:val="center"/>
          </w:tcPr>
          <w:p w14:paraId="1A08771E">
            <w:r>
              <w:rPr>
                <w:rStyle w:val="10"/>
                <w:rFonts w:hint="eastAsia"/>
              </w:rPr>
              <w:t>质量保证期：</w:t>
            </w:r>
            <w:r>
              <w:rPr>
                <w:rStyle w:val="11"/>
                <w:rFonts w:hint="eastAsia"/>
              </w:rPr>
              <w:t>2年</w:t>
            </w:r>
          </w:p>
        </w:tc>
      </w:tr>
      <w:tr w14:paraId="1C927FC3">
        <w:tblPrEx>
          <w:tblCellMar>
            <w:top w:w="0" w:type="dxa"/>
            <w:left w:w="0" w:type="dxa"/>
            <w:bottom w:w="0" w:type="dxa"/>
            <w:right w:w="0" w:type="dxa"/>
          </w:tblCellMar>
        </w:tblPrEx>
        <w:trPr>
          <w:wBefore w:w="0" w:type="auto"/>
          <w:tblCellSpacing w:w="0" w:type="dxa"/>
        </w:trPr>
        <w:tc>
          <w:tcPr>
            <w:tcW w:w="0" w:type="auto"/>
            <w:noWrap w:val="0"/>
            <w:vAlign w:val="center"/>
          </w:tcPr>
          <w:p w14:paraId="0EB9CBB8">
            <w:r>
              <w:rPr>
                <w:rStyle w:val="10"/>
                <w:rFonts w:hint="eastAsia"/>
              </w:rPr>
              <w:t>备注：</w:t>
            </w:r>
          </w:p>
        </w:tc>
      </w:tr>
    </w:tbl>
    <w:p w14:paraId="2EA776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6CC99C">
        <w:tblPrEx>
          <w:tblCellMar>
            <w:top w:w="0" w:type="dxa"/>
            <w:left w:w="0" w:type="dxa"/>
            <w:bottom w:w="0" w:type="dxa"/>
            <w:right w:w="0" w:type="dxa"/>
          </w:tblCellMar>
        </w:tblPrEx>
        <w:trPr>
          <w:wBefore w:w="0" w:type="auto"/>
          <w:tblCellSpacing w:w="0" w:type="dxa"/>
        </w:trPr>
        <w:tc>
          <w:tcPr>
            <w:tcW w:w="0" w:type="auto"/>
            <w:noWrap w:val="0"/>
            <w:vAlign w:val="center"/>
          </w:tcPr>
          <w:p w14:paraId="2F822F48">
            <w:r>
              <w:rPr>
                <w:rStyle w:val="10"/>
                <w:rFonts w:hint="eastAsia"/>
              </w:rPr>
              <w:t>登记证号：</w:t>
            </w:r>
            <w:r>
              <w:rPr>
                <w:rFonts w:hint="eastAsia"/>
              </w:rPr>
              <w:t>EX20210133</w:t>
            </w:r>
          </w:p>
        </w:tc>
      </w:tr>
      <w:tr w14:paraId="7CE42B16">
        <w:tblPrEx>
          <w:tblCellMar>
            <w:top w:w="0" w:type="dxa"/>
            <w:left w:w="0" w:type="dxa"/>
            <w:bottom w:w="0" w:type="dxa"/>
            <w:right w:w="0" w:type="dxa"/>
          </w:tblCellMar>
        </w:tblPrEx>
        <w:trPr>
          <w:wBefore w:w="0" w:type="auto"/>
          <w:tblCellSpacing w:w="0" w:type="dxa"/>
        </w:trPr>
        <w:tc>
          <w:tcPr>
            <w:tcW w:w="0" w:type="auto"/>
            <w:noWrap w:val="0"/>
            <w:vAlign w:val="center"/>
          </w:tcPr>
          <w:p w14:paraId="4E76378D">
            <w:r>
              <w:rPr>
                <w:rStyle w:val="10"/>
                <w:rFonts w:hint="eastAsia"/>
              </w:rPr>
              <w:t>登记证持有人：</w:t>
            </w:r>
            <w:r>
              <w:rPr>
                <w:rFonts w:hint="eastAsia"/>
              </w:rPr>
              <w:t>迈克斯（如东）化工有限公司</w:t>
            </w:r>
          </w:p>
        </w:tc>
      </w:tr>
      <w:tr w14:paraId="1E14B293">
        <w:tblPrEx>
          <w:tblCellMar>
            <w:top w:w="0" w:type="dxa"/>
            <w:left w:w="0" w:type="dxa"/>
            <w:bottom w:w="0" w:type="dxa"/>
            <w:right w:w="0" w:type="dxa"/>
          </w:tblCellMar>
        </w:tblPrEx>
        <w:trPr>
          <w:wBefore w:w="0" w:type="auto"/>
          <w:tblCellSpacing w:w="0" w:type="dxa"/>
        </w:trPr>
        <w:tc>
          <w:tcPr>
            <w:tcW w:w="0" w:type="auto"/>
            <w:noWrap w:val="0"/>
            <w:vAlign w:val="center"/>
          </w:tcPr>
          <w:p w14:paraId="22F72599">
            <w:r>
              <w:rPr>
                <w:rStyle w:val="10"/>
                <w:rFonts w:hint="eastAsia"/>
              </w:rPr>
              <w:t>农药名称：</w:t>
            </w:r>
            <w:r>
              <w:rPr>
                <w:rFonts w:hint="eastAsia"/>
              </w:rPr>
              <w:t>特草定</w:t>
            </w:r>
          </w:p>
        </w:tc>
      </w:tr>
      <w:tr w14:paraId="0D9EED0E">
        <w:tblPrEx>
          <w:tblCellMar>
            <w:top w:w="0" w:type="dxa"/>
            <w:left w:w="0" w:type="dxa"/>
            <w:bottom w:w="0" w:type="dxa"/>
            <w:right w:w="0" w:type="dxa"/>
          </w:tblCellMar>
        </w:tblPrEx>
        <w:trPr>
          <w:wBefore w:w="0" w:type="auto"/>
          <w:tblCellSpacing w:w="0" w:type="dxa"/>
        </w:trPr>
        <w:tc>
          <w:tcPr>
            <w:tcW w:w="0" w:type="auto"/>
            <w:noWrap w:val="0"/>
            <w:vAlign w:val="center"/>
          </w:tcPr>
          <w:p w14:paraId="0BEEFB73">
            <w:r>
              <w:rPr>
                <w:rStyle w:val="10"/>
                <w:rFonts w:hint="eastAsia"/>
              </w:rPr>
              <w:t>剂型：</w:t>
            </w:r>
            <w:r>
              <w:rPr>
                <w:rFonts w:hint="eastAsia"/>
              </w:rPr>
              <w:t>可湿性粉剂</w:t>
            </w:r>
          </w:p>
        </w:tc>
      </w:tr>
      <w:tr w14:paraId="0281CCDA">
        <w:tblPrEx>
          <w:tblCellMar>
            <w:top w:w="0" w:type="dxa"/>
            <w:left w:w="0" w:type="dxa"/>
            <w:bottom w:w="0" w:type="dxa"/>
            <w:right w:w="0" w:type="dxa"/>
          </w:tblCellMar>
        </w:tblPrEx>
        <w:trPr>
          <w:wBefore w:w="0" w:type="auto"/>
          <w:tblCellSpacing w:w="0" w:type="dxa"/>
        </w:trPr>
        <w:tc>
          <w:tcPr>
            <w:tcW w:w="0" w:type="auto"/>
            <w:noWrap w:val="0"/>
            <w:vAlign w:val="center"/>
          </w:tcPr>
          <w:p w14:paraId="0B54DC2C">
            <w:r>
              <w:rPr>
                <w:rStyle w:val="10"/>
                <w:rFonts w:hint="eastAsia"/>
              </w:rPr>
              <w:t>毒性及其标识：</w:t>
            </w:r>
            <w:r>
              <w:rPr>
                <w:rFonts w:hint="eastAsia"/>
              </w:rPr>
              <w:t xml:space="preserve"> </w:t>
            </w:r>
            <w:r>
              <w:rPr>
                <w:lang/>
              </w:rPr>
              <w:drawing>
                <wp:inline distT="0" distB="0" distL="114300" distR="114300">
                  <wp:extent cx="476250" cy="323850"/>
                  <wp:effectExtent l="0" t="0" r="0" b="0"/>
                  <wp:docPr id="355" name="图片 3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0E3255">
        <w:tblPrEx>
          <w:tblCellMar>
            <w:top w:w="0" w:type="dxa"/>
            <w:left w:w="0" w:type="dxa"/>
            <w:bottom w:w="0" w:type="dxa"/>
            <w:right w:w="0" w:type="dxa"/>
          </w:tblCellMar>
        </w:tblPrEx>
        <w:trPr>
          <w:wBefore w:w="0" w:type="auto"/>
          <w:tblCellSpacing w:w="0" w:type="dxa"/>
        </w:trPr>
        <w:tc>
          <w:tcPr>
            <w:tcW w:w="0" w:type="auto"/>
            <w:noWrap w:val="0"/>
            <w:vAlign w:val="center"/>
          </w:tcPr>
          <w:p w14:paraId="7476B7F2">
            <w:r>
              <w:rPr>
                <w:rStyle w:val="10"/>
                <w:rFonts w:hint="eastAsia"/>
              </w:rPr>
              <w:t>总有效成分含量：</w:t>
            </w:r>
            <w:r>
              <w:rPr>
                <w:rFonts w:hint="eastAsia"/>
              </w:rPr>
              <w:t>80%</w:t>
            </w:r>
          </w:p>
        </w:tc>
      </w:tr>
      <w:tr w14:paraId="0416914B">
        <w:tblPrEx>
          <w:tblCellMar>
            <w:top w:w="0" w:type="dxa"/>
            <w:left w:w="0" w:type="dxa"/>
            <w:bottom w:w="0" w:type="dxa"/>
            <w:right w:w="0" w:type="dxa"/>
          </w:tblCellMar>
        </w:tblPrEx>
        <w:trPr>
          <w:wBefore w:w="0" w:type="auto"/>
          <w:tblCellSpacing w:w="0" w:type="dxa"/>
        </w:trPr>
        <w:tc>
          <w:tcPr>
            <w:tcW w:w="0" w:type="auto"/>
            <w:noWrap w:val="0"/>
            <w:vAlign w:val="center"/>
          </w:tcPr>
          <w:p w14:paraId="1221B3B2">
            <w:r>
              <w:rPr>
                <w:rFonts w:hint="eastAsia"/>
              </w:rPr>
              <w:t xml:space="preserve">有效成分及其含量： </w:t>
            </w:r>
          </w:p>
          <w:p w14:paraId="75438C93">
            <w:r>
              <w:rPr>
                <w:rFonts w:hint="eastAsia"/>
              </w:rPr>
              <w:t xml:space="preserve">    </w:t>
            </w:r>
          </w:p>
        </w:tc>
      </w:tr>
      <w:tr w14:paraId="68CB4913">
        <w:tblPrEx>
          <w:tblCellMar>
            <w:top w:w="0" w:type="dxa"/>
            <w:left w:w="0" w:type="dxa"/>
            <w:bottom w:w="0" w:type="dxa"/>
            <w:right w:w="0" w:type="dxa"/>
          </w:tblCellMar>
        </w:tblPrEx>
        <w:trPr>
          <w:wBefore w:w="0" w:type="auto"/>
          <w:tblCellSpacing w:w="0" w:type="dxa"/>
        </w:trPr>
        <w:tc>
          <w:tcPr>
            <w:tcW w:w="0" w:type="auto"/>
            <w:noWrap w:val="0"/>
            <w:vAlign w:val="center"/>
          </w:tcPr>
          <w:p w14:paraId="434A5E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C49F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5802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F65AC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BDE08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7237A0">
                  <w:r>
                    <w:rPr>
                      <w:rStyle w:val="11"/>
                      <w:rFonts w:hint="eastAsia"/>
                    </w:rPr>
                    <w:t>施用方式</w:t>
                  </w:r>
                </w:p>
              </w:tc>
            </w:tr>
          </w:tbl>
          <w:p w14:paraId="0B476628">
            <w:pPr>
              <w:rPr>
                <w:rFonts w:ascii="Times New Roman" w:hAnsi="Times New Roman" w:cs="Times New Roman"/>
                <w:sz w:val="20"/>
                <w:szCs w:val="20"/>
              </w:rPr>
            </w:pPr>
          </w:p>
        </w:tc>
      </w:tr>
      <w:tr w14:paraId="71925589">
        <w:tblPrEx>
          <w:tblCellMar>
            <w:top w:w="0" w:type="dxa"/>
            <w:left w:w="0" w:type="dxa"/>
            <w:bottom w:w="0" w:type="dxa"/>
            <w:right w:w="0" w:type="dxa"/>
          </w:tblCellMar>
        </w:tblPrEx>
        <w:trPr>
          <w:wBefore w:w="0" w:type="auto"/>
          <w:tblCellSpacing w:w="0" w:type="dxa"/>
        </w:trPr>
        <w:tc>
          <w:tcPr>
            <w:tcW w:w="0" w:type="auto"/>
            <w:noWrap w:val="0"/>
            <w:vAlign w:val="center"/>
          </w:tcPr>
          <w:p w14:paraId="0CDF3CD0">
            <w:r>
              <w:rPr>
                <w:rStyle w:val="10"/>
                <w:rFonts w:hint="eastAsia"/>
              </w:rPr>
              <w:t>使用技术要求:</w:t>
            </w:r>
            <w:r>
              <w:rPr>
                <w:rFonts w:hint="eastAsia"/>
              </w:rPr>
              <w:br w:type="textWrapping"/>
            </w:r>
          </w:p>
        </w:tc>
      </w:tr>
      <w:tr w14:paraId="635D53E2">
        <w:tblPrEx>
          <w:tblCellMar>
            <w:top w:w="0" w:type="dxa"/>
            <w:left w:w="0" w:type="dxa"/>
            <w:bottom w:w="0" w:type="dxa"/>
            <w:right w:w="0" w:type="dxa"/>
          </w:tblCellMar>
        </w:tblPrEx>
        <w:trPr>
          <w:wBefore w:w="0" w:type="auto"/>
          <w:tblCellSpacing w:w="0" w:type="dxa"/>
        </w:trPr>
        <w:tc>
          <w:tcPr>
            <w:tcW w:w="0" w:type="auto"/>
            <w:noWrap w:val="0"/>
            <w:vAlign w:val="center"/>
          </w:tcPr>
          <w:p w14:paraId="0CD9AD54">
            <w:r>
              <w:rPr>
                <w:rStyle w:val="10"/>
                <w:rFonts w:hint="eastAsia"/>
              </w:rPr>
              <w:t>产品性能:</w:t>
            </w:r>
          </w:p>
        </w:tc>
      </w:tr>
      <w:tr w14:paraId="21EB71E2">
        <w:tblPrEx>
          <w:tblCellMar>
            <w:top w:w="0" w:type="dxa"/>
            <w:left w:w="0" w:type="dxa"/>
            <w:bottom w:w="0" w:type="dxa"/>
            <w:right w:w="0" w:type="dxa"/>
          </w:tblCellMar>
        </w:tblPrEx>
        <w:trPr>
          <w:wBefore w:w="0" w:type="auto"/>
          <w:tblCellSpacing w:w="0" w:type="dxa"/>
        </w:trPr>
        <w:tc>
          <w:tcPr>
            <w:tcW w:w="0" w:type="auto"/>
            <w:noWrap w:val="0"/>
            <w:vAlign w:val="center"/>
          </w:tcPr>
          <w:p w14:paraId="2043FD32">
            <w:r>
              <w:rPr>
                <w:rStyle w:val="10"/>
                <w:rFonts w:hint="eastAsia"/>
              </w:rPr>
              <w:t>注意事项：</w:t>
            </w:r>
          </w:p>
        </w:tc>
      </w:tr>
      <w:tr w14:paraId="54991D2A">
        <w:tblPrEx>
          <w:tblCellMar>
            <w:top w:w="0" w:type="dxa"/>
            <w:left w:w="0" w:type="dxa"/>
            <w:bottom w:w="0" w:type="dxa"/>
            <w:right w:w="0" w:type="dxa"/>
          </w:tblCellMar>
        </w:tblPrEx>
        <w:trPr>
          <w:wBefore w:w="0" w:type="auto"/>
          <w:tblCellSpacing w:w="0" w:type="dxa"/>
        </w:trPr>
        <w:tc>
          <w:tcPr>
            <w:tcW w:w="0" w:type="auto"/>
            <w:noWrap w:val="0"/>
            <w:vAlign w:val="center"/>
          </w:tcPr>
          <w:p w14:paraId="39037D89">
            <w:r>
              <w:rPr>
                <w:rStyle w:val="10"/>
                <w:rFonts w:hint="eastAsia"/>
              </w:rPr>
              <w:t>中毒急救措施：</w:t>
            </w:r>
          </w:p>
        </w:tc>
      </w:tr>
      <w:tr w14:paraId="6BE95509">
        <w:tblPrEx>
          <w:tblCellMar>
            <w:top w:w="0" w:type="dxa"/>
            <w:left w:w="0" w:type="dxa"/>
            <w:bottom w:w="0" w:type="dxa"/>
            <w:right w:w="0" w:type="dxa"/>
          </w:tblCellMar>
        </w:tblPrEx>
        <w:trPr>
          <w:wBefore w:w="0" w:type="auto"/>
          <w:tblCellSpacing w:w="0" w:type="dxa"/>
        </w:trPr>
        <w:tc>
          <w:tcPr>
            <w:tcW w:w="0" w:type="auto"/>
            <w:noWrap w:val="0"/>
            <w:vAlign w:val="center"/>
          </w:tcPr>
          <w:p w14:paraId="325D519B">
            <w:r>
              <w:rPr>
                <w:rStyle w:val="10"/>
                <w:rFonts w:hint="eastAsia"/>
              </w:rPr>
              <w:t>储存和运输方法：</w:t>
            </w:r>
          </w:p>
        </w:tc>
      </w:tr>
      <w:tr w14:paraId="026E7FC9">
        <w:tblPrEx>
          <w:tblCellMar>
            <w:top w:w="0" w:type="dxa"/>
            <w:left w:w="0" w:type="dxa"/>
            <w:bottom w:w="0" w:type="dxa"/>
            <w:right w:w="0" w:type="dxa"/>
          </w:tblCellMar>
        </w:tblPrEx>
        <w:trPr>
          <w:wBefore w:w="0" w:type="auto"/>
          <w:tblCellSpacing w:w="0" w:type="dxa"/>
        </w:trPr>
        <w:tc>
          <w:tcPr>
            <w:tcW w:w="0" w:type="auto"/>
            <w:noWrap w:val="0"/>
            <w:vAlign w:val="center"/>
          </w:tcPr>
          <w:p w14:paraId="661FFB7F">
            <w:r>
              <w:rPr>
                <w:rStyle w:val="10"/>
                <w:rFonts w:hint="eastAsia"/>
              </w:rPr>
              <w:t>质量保证期：</w:t>
            </w:r>
          </w:p>
        </w:tc>
      </w:tr>
      <w:tr w14:paraId="185B0CD3">
        <w:tblPrEx>
          <w:tblCellMar>
            <w:top w:w="0" w:type="dxa"/>
            <w:left w:w="0" w:type="dxa"/>
            <w:bottom w:w="0" w:type="dxa"/>
            <w:right w:w="0" w:type="dxa"/>
          </w:tblCellMar>
        </w:tblPrEx>
        <w:trPr>
          <w:wBefore w:w="0" w:type="auto"/>
          <w:tblCellSpacing w:w="0" w:type="dxa"/>
        </w:trPr>
        <w:tc>
          <w:tcPr>
            <w:tcW w:w="0" w:type="auto"/>
            <w:noWrap w:val="0"/>
            <w:vAlign w:val="center"/>
          </w:tcPr>
          <w:p w14:paraId="79F89170">
            <w:r>
              <w:rPr>
                <w:rStyle w:val="10"/>
                <w:rFonts w:hint="eastAsia"/>
              </w:rPr>
              <w:t>备注：</w:t>
            </w:r>
          </w:p>
        </w:tc>
      </w:tr>
    </w:tbl>
    <w:p w14:paraId="2601DF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911888">
        <w:tblPrEx>
          <w:tblCellMar>
            <w:top w:w="0" w:type="dxa"/>
            <w:left w:w="0" w:type="dxa"/>
            <w:bottom w:w="0" w:type="dxa"/>
            <w:right w:w="0" w:type="dxa"/>
          </w:tblCellMar>
        </w:tblPrEx>
        <w:trPr>
          <w:wBefore w:w="0" w:type="auto"/>
          <w:tblCellSpacing w:w="0" w:type="dxa"/>
        </w:trPr>
        <w:tc>
          <w:tcPr>
            <w:tcW w:w="0" w:type="auto"/>
            <w:noWrap w:val="0"/>
            <w:vAlign w:val="center"/>
          </w:tcPr>
          <w:p w14:paraId="4EF875FA">
            <w:r>
              <w:rPr>
                <w:rStyle w:val="10"/>
                <w:rFonts w:hint="eastAsia"/>
              </w:rPr>
              <w:t>登记证号：</w:t>
            </w:r>
            <w:r>
              <w:rPr>
                <w:rFonts w:hint="eastAsia"/>
              </w:rPr>
              <w:t>EX20210134</w:t>
            </w:r>
          </w:p>
        </w:tc>
      </w:tr>
      <w:tr w14:paraId="7ABEF38C">
        <w:tblPrEx>
          <w:tblCellMar>
            <w:top w:w="0" w:type="dxa"/>
            <w:left w:w="0" w:type="dxa"/>
            <w:bottom w:w="0" w:type="dxa"/>
            <w:right w:w="0" w:type="dxa"/>
          </w:tblCellMar>
        </w:tblPrEx>
        <w:trPr>
          <w:wBefore w:w="0" w:type="auto"/>
          <w:tblCellSpacing w:w="0" w:type="dxa"/>
        </w:trPr>
        <w:tc>
          <w:tcPr>
            <w:tcW w:w="0" w:type="auto"/>
            <w:noWrap w:val="0"/>
            <w:vAlign w:val="center"/>
          </w:tcPr>
          <w:p w14:paraId="486F8CAB">
            <w:r>
              <w:rPr>
                <w:rStyle w:val="10"/>
                <w:rFonts w:hint="eastAsia"/>
              </w:rPr>
              <w:t>登记证持有人：</w:t>
            </w:r>
            <w:r>
              <w:rPr>
                <w:rFonts w:hint="eastAsia"/>
              </w:rPr>
              <w:t>迈克斯（如东）化工有限公司</w:t>
            </w:r>
          </w:p>
        </w:tc>
      </w:tr>
      <w:tr w14:paraId="42484D9A">
        <w:tblPrEx>
          <w:tblCellMar>
            <w:top w:w="0" w:type="dxa"/>
            <w:left w:w="0" w:type="dxa"/>
            <w:bottom w:w="0" w:type="dxa"/>
            <w:right w:w="0" w:type="dxa"/>
          </w:tblCellMar>
        </w:tblPrEx>
        <w:trPr>
          <w:wBefore w:w="0" w:type="auto"/>
          <w:tblCellSpacing w:w="0" w:type="dxa"/>
        </w:trPr>
        <w:tc>
          <w:tcPr>
            <w:tcW w:w="0" w:type="auto"/>
            <w:noWrap w:val="0"/>
            <w:vAlign w:val="center"/>
          </w:tcPr>
          <w:p w14:paraId="66E5F7C3">
            <w:r>
              <w:rPr>
                <w:rStyle w:val="10"/>
                <w:rFonts w:hint="eastAsia"/>
              </w:rPr>
              <w:t>农药名称：</w:t>
            </w:r>
            <w:r>
              <w:rPr>
                <w:rFonts w:hint="eastAsia"/>
              </w:rPr>
              <w:t>特草定</w:t>
            </w:r>
          </w:p>
        </w:tc>
      </w:tr>
      <w:tr w14:paraId="76D74A33">
        <w:tblPrEx>
          <w:tblCellMar>
            <w:top w:w="0" w:type="dxa"/>
            <w:left w:w="0" w:type="dxa"/>
            <w:bottom w:w="0" w:type="dxa"/>
            <w:right w:w="0" w:type="dxa"/>
          </w:tblCellMar>
        </w:tblPrEx>
        <w:trPr>
          <w:wBefore w:w="0" w:type="auto"/>
          <w:tblCellSpacing w:w="0" w:type="dxa"/>
        </w:trPr>
        <w:tc>
          <w:tcPr>
            <w:tcW w:w="0" w:type="auto"/>
            <w:noWrap w:val="0"/>
            <w:vAlign w:val="center"/>
          </w:tcPr>
          <w:p w14:paraId="36C5E946">
            <w:r>
              <w:rPr>
                <w:rStyle w:val="10"/>
                <w:rFonts w:hint="eastAsia"/>
              </w:rPr>
              <w:t>剂型：</w:t>
            </w:r>
            <w:r>
              <w:rPr>
                <w:rFonts w:hint="eastAsia"/>
              </w:rPr>
              <w:t>水分散粒剂</w:t>
            </w:r>
          </w:p>
        </w:tc>
      </w:tr>
      <w:tr w14:paraId="1EB55EBC">
        <w:tblPrEx>
          <w:tblCellMar>
            <w:top w:w="0" w:type="dxa"/>
            <w:left w:w="0" w:type="dxa"/>
            <w:bottom w:w="0" w:type="dxa"/>
            <w:right w:w="0" w:type="dxa"/>
          </w:tblCellMar>
        </w:tblPrEx>
        <w:trPr>
          <w:wBefore w:w="0" w:type="auto"/>
          <w:tblCellSpacing w:w="0" w:type="dxa"/>
        </w:trPr>
        <w:tc>
          <w:tcPr>
            <w:tcW w:w="0" w:type="auto"/>
            <w:noWrap w:val="0"/>
            <w:vAlign w:val="center"/>
          </w:tcPr>
          <w:p w14:paraId="60BEA33B">
            <w:r>
              <w:rPr>
                <w:rStyle w:val="10"/>
                <w:rFonts w:hint="eastAsia"/>
              </w:rPr>
              <w:t>毒性及其标识：</w:t>
            </w:r>
            <w:r>
              <w:rPr>
                <w:rFonts w:hint="eastAsia"/>
              </w:rPr>
              <w:t xml:space="preserve"> </w:t>
            </w:r>
            <w:r>
              <w:rPr>
                <w:lang/>
              </w:rPr>
              <w:drawing>
                <wp:inline distT="0" distB="0" distL="114300" distR="114300">
                  <wp:extent cx="476250" cy="323850"/>
                  <wp:effectExtent l="0" t="0" r="0" b="0"/>
                  <wp:docPr id="356" name="图片 3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BF8516">
        <w:tblPrEx>
          <w:tblCellMar>
            <w:top w:w="0" w:type="dxa"/>
            <w:left w:w="0" w:type="dxa"/>
            <w:bottom w:w="0" w:type="dxa"/>
            <w:right w:w="0" w:type="dxa"/>
          </w:tblCellMar>
        </w:tblPrEx>
        <w:trPr>
          <w:wBefore w:w="0" w:type="auto"/>
          <w:tblCellSpacing w:w="0" w:type="dxa"/>
        </w:trPr>
        <w:tc>
          <w:tcPr>
            <w:tcW w:w="0" w:type="auto"/>
            <w:noWrap w:val="0"/>
            <w:vAlign w:val="center"/>
          </w:tcPr>
          <w:p w14:paraId="5FF5418A">
            <w:r>
              <w:rPr>
                <w:rStyle w:val="10"/>
                <w:rFonts w:hint="eastAsia"/>
              </w:rPr>
              <w:t>总有效成分含量：</w:t>
            </w:r>
            <w:r>
              <w:rPr>
                <w:rFonts w:hint="eastAsia"/>
              </w:rPr>
              <w:t>80%</w:t>
            </w:r>
          </w:p>
        </w:tc>
      </w:tr>
      <w:tr w14:paraId="4E05290E">
        <w:tblPrEx>
          <w:tblCellMar>
            <w:top w:w="0" w:type="dxa"/>
            <w:left w:w="0" w:type="dxa"/>
            <w:bottom w:w="0" w:type="dxa"/>
            <w:right w:w="0" w:type="dxa"/>
          </w:tblCellMar>
        </w:tblPrEx>
        <w:trPr>
          <w:wBefore w:w="0" w:type="auto"/>
          <w:tblCellSpacing w:w="0" w:type="dxa"/>
        </w:trPr>
        <w:tc>
          <w:tcPr>
            <w:tcW w:w="0" w:type="auto"/>
            <w:noWrap w:val="0"/>
            <w:vAlign w:val="center"/>
          </w:tcPr>
          <w:p w14:paraId="266348CD">
            <w:r>
              <w:rPr>
                <w:rFonts w:hint="eastAsia"/>
              </w:rPr>
              <w:t xml:space="preserve">有效成分及其含量： </w:t>
            </w:r>
          </w:p>
          <w:p w14:paraId="32344A86">
            <w:r>
              <w:rPr>
                <w:rFonts w:hint="eastAsia"/>
              </w:rPr>
              <w:t xml:space="preserve">    </w:t>
            </w:r>
          </w:p>
        </w:tc>
      </w:tr>
      <w:tr w14:paraId="757A60B3">
        <w:tblPrEx>
          <w:tblCellMar>
            <w:top w:w="0" w:type="dxa"/>
            <w:left w:w="0" w:type="dxa"/>
            <w:bottom w:w="0" w:type="dxa"/>
            <w:right w:w="0" w:type="dxa"/>
          </w:tblCellMar>
        </w:tblPrEx>
        <w:trPr>
          <w:wBefore w:w="0" w:type="auto"/>
          <w:tblCellSpacing w:w="0" w:type="dxa"/>
        </w:trPr>
        <w:tc>
          <w:tcPr>
            <w:tcW w:w="0" w:type="auto"/>
            <w:noWrap w:val="0"/>
            <w:vAlign w:val="center"/>
          </w:tcPr>
          <w:p w14:paraId="2A3FA9A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F038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CD73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5F8B5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C3FA9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EBAEAF">
                  <w:r>
                    <w:rPr>
                      <w:rStyle w:val="11"/>
                      <w:rFonts w:hint="eastAsia"/>
                    </w:rPr>
                    <w:t>施用方式</w:t>
                  </w:r>
                </w:p>
              </w:tc>
            </w:tr>
          </w:tbl>
          <w:p w14:paraId="7F35D3B0">
            <w:pPr>
              <w:rPr>
                <w:rFonts w:ascii="Times New Roman" w:hAnsi="Times New Roman" w:cs="Times New Roman"/>
                <w:sz w:val="20"/>
                <w:szCs w:val="20"/>
              </w:rPr>
            </w:pPr>
          </w:p>
        </w:tc>
      </w:tr>
      <w:tr w14:paraId="3BBE624B">
        <w:tblPrEx>
          <w:tblCellMar>
            <w:top w:w="0" w:type="dxa"/>
            <w:left w:w="0" w:type="dxa"/>
            <w:bottom w:w="0" w:type="dxa"/>
            <w:right w:w="0" w:type="dxa"/>
          </w:tblCellMar>
        </w:tblPrEx>
        <w:trPr>
          <w:wBefore w:w="0" w:type="auto"/>
          <w:tblCellSpacing w:w="0" w:type="dxa"/>
        </w:trPr>
        <w:tc>
          <w:tcPr>
            <w:tcW w:w="0" w:type="auto"/>
            <w:noWrap w:val="0"/>
            <w:vAlign w:val="center"/>
          </w:tcPr>
          <w:p w14:paraId="766C182D">
            <w:r>
              <w:rPr>
                <w:rStyle w:val="10"/>
                <w:rFonts w:hint="eastAsia"/>
              </w:rPr>
              <w:t>使用技术要求:</w:t>
            </w:r>
            <w:r>
              <w:rPr>
                <w:rFonts w:hint="eastAsia"/>
              </w:rPr>
              <w:br w:type="textWrapping"/>
            </w:r>
          </w:p>
        </w:tc>
      </w:tr>
      <w:tr w14:paraId="369A4E4E">
        <w:tblPrEx>
          <w:tblCellMar>
            <w:top w:w="0" w:type="dxa"/>
            <w:left w:w="0" w:type="dxa"/>
            <w:bottom w:w="0" w:type="dxa"/>
            <w:right w:w="0" w:type="dxa"/>
          </w:tblCellMar>
        </w:tblPrEx>
        <w:trPr>
          <w:wBefore w:w="0" w:type="auto"/>
          <w:tblCellSpacing w:w="0" w:type="dxa"/>
        </w:trPr>
        <w:tc>
          <w:tcPr>
            <w:tcW w:w="0" w:type="auto"/>
            <w:noWrap w:val="0"/>
            <w:vAlign w:val="center"/>
          </w:tcPr>
          <w:p w14:paraId="3CF9D4A8">
            <w:r>
              <w:rPr>
                <w:rStyle w:val="10"/>
                <w:rFonts w:hint="eastAsia"/>
              </w:rPr>
              <w:t>产品性能:</w:t>
            </w:r>
          </w:p>
        </w:tc>
      </w:tr>
      <w:tr w14:paraId="51CC81EF">
        <w:tblPrEx>
          <w:tblCellMar>
            <w:top w:w="0" w:type="dxa"/>
            <w:left w:w="0" w:type="dxa"/>
            <w:bottom w:w="0" w:type="dxa"/>
            <w:right w:w="0" w:type="dxa"/>
          </w:tblCellMar>
        </w:tblPrEx>
        <w:trPr>
          <w:wBefore w:w="0" w:type="auto"/>
          <w:tblCellSpacing w:w="0" w:type="dxa"/>
        </w:trPr>
        <w:tc>
          <w:tcPr>
            <w:tcW w:w="0" w:type="auto"/>
            <w:noWrap w:val="0"/>
            <w:vAlign w:val="center"/>
          </w:tcPr>
          <w:p w14:paraId="2E37D4C4">
            <w:r>
              <w:rPr>
                <w:rStyle w:val="10"/>
                <w:rFonts w:hint="eastAsia"/>
              </w:rPr>
              <w:t>注意事项：</w:t>
            </w:r>
          </w:p>
        </w:tc>
      </w:tr>
      <w:tr w14:paraId="11565FF7">
        <w:tblPrEx>
          <w:tblCellMar>
            <w:top w:w="0" w:type="dxa"/>
            <w:left w:w="0" w:type="dxa"/>
            <w:bottom w:w="0" w:type="dxa"/>
            <w:right w:w="0" w:type="dxa"/>
          </w:tblCellMar>
        </w:tblPrEx>
        <w:trPr>
          <w:wBefore w:w="0" w:type="auto"/>
          <w:tblCellSpacing w:w="0" w:type="dxa"/>
        </w:trPr>
        <w:tc>
          <w:tcPr>
            <w:tcW w:w="0" w:type="auto"/>
            <w:noWrap w:val="0"/>
            <w:vAlign w:val="center"/>
          </w:tcPr>
          <w:p w14:paraId="2F966164">
            <w:r>
              <w:rPr>
                <w:rStyle w:val="10"/>
                <w:rFonts w:hint="eastAsia"/>
              </w:rPr>
              <w:t>中毒急救措施：</w:t>
            </w:r>
          </w:p>
        </w:tc>
      </w:tr>
      <w:tr w14:paraId="47AA00F4">
        <w:tblPrEx>
          <w:tblCellMar>
            <w:top w:w="0" w:type="dxa"/>
            <w:left w:w="0" w:type="dxa"/>
            <w:bottom w:w="0" w:type="dxa"/>
            <w:right w:w="0" w:type="dxa"/>
          </w:tblCellMar>
        </w:tblPrEx>
        <w:trPr>
          <w:wBefore w:w="0" w:type="auto"/>
          <w:tblCellSpacing w:w="0" w:type="dxa"/>
        </w:trPr>
        <w:tc>
          <w:tcPr>
            <w:tcW w:w="0" w:type="auto"/>
            <w:noWrap w:val="0"/>
            <w:vAlign w:val="center"/>
          </w:tcPr>
          <w:p w14:paraId="6DAB7EB3">
            <w:r>
              <w:rPr>
                <w:rStyle w:val="10"/>
                <w:rFonts w:hint="eastAsia"/>
              </w:rPr>
              <w:t>储存和运输方法：</w:t>
            </w:r>
          </w:p>
        </w:tc>
      </w:tr>
      <w:tr w14:paraId="42B91CD3">
        <w:tblPrEx>
          <w:tblCellMar>
            <w:top w:w="0" w:type="dxa"/>
            <w:left w:w="0" w:type="dxa"/>
            <w:bottom w:w="0" w:type="dxa"/>
            <w:right w:w="0" w:type="dxa"/>
          </w:tblCellMar>
        </w:tblPrEx>
        <w:trPr>
          <w:wBefore w:w="0" w:type="auto"/>
          <w:tblCellSpacing w:w="0" w:type="dxa"/>
        </w:trPr>
        <w:tc>
          <w:tcPr>
            <w:tcW w:w="0" w:type="auto"/>
            <w:noWrap w:val="0"/>
            <w:vAlign w:val="center"/>
          </w:tcPr>
          <w:p w14:paraId="5BBFF9AE">
            <w:r>
              <w:rPr>
                <w:rStyle w:val="10"/>
                <w:rFonts w:hint="eastAsia"/>
              </w:rPr>
              <w:t>质量保证期：</w:t>
            </w:r>
          </w:p>
        </w:tc>
      </w:tr>
      <w:tr w14:paraId="0341789B">
        <w:tblPrEx>
          <w:tblCellMar>
            <w:top w:w="0" w:type="dxa"/>
            <w:left w:w="0" w:type="dxa"/>
            <w:bottom w:w="0" w:type="dxa"/>
            <w:right w:w="0" w:type="dxa"/>
          </w:tblCellMar>
        </w:tblPrEx>
        <w:trPr>
          <w:wBefore w:w="0" w:type="auto"/>
          <w:tblCellSpacing w:w="0" w:type="dxa"/>
        </w:trPr>
        <w:tc>
          <w:tcPr>
            <w:tcW w:w="0" w:type="auto"/>
            <w:noWrap w:val="0"/>
            <w:vAlign w:val="center"/>
          </w:tcPr>
          <w:p w14:paraId="79A9732C">
            <w:r>
              <w:rPr>
                <w:rStyle w:val="10"/>
                <w:rFonts w:hint="eastAsia"/>
              </w:rPr>
              <w:t>备注：</w:t>
            </w:r>
          </w:p>
        </w:tc>
      </w:tr>
    </w:tbl>
    <w:p w14:paraId="63B44A9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2D95F8">
        <w:tblPrEx>
          <w:tblCellMar>
            <w:top w:w="0" w:type="dxa"/>
            <w:left w:w="0" w:type="dxa"/>
            <w:bottom w:w="0" w:type="dxa"/>
            <w:right w:w="0" w:type="dxa"/>
          </w:tblCellMar>
        </w:tblPrEx>
        <w:trPr>
          <w:wBefore w:w="0" w:type="auto"/>
          <w:tblCellSpacing w:w="0" w:type="dxa"/>
        </w:trPr>
        <w:tc>
          <w:tcPr>
            <w:tcW w:w="0" w:type="auto"/>
            <w:noWrap w:val="0"/>
            <w:vAlign w:val="center"/>
          </w:tcPr>
          <w:p w14:paraId="6B3BFAD0">
            <w:r>
              <w:rPr>
                <w:rStyle w:val="10"/>
                <w:rFonts w:hint="eastAsia"/>
              </w:rPr>
              <w:t>登记证号：</w:t>
            </w:r>
            <w:r>
              <w:rPr>
                <w:rFonts w:hint="eastAsia"/>
              </w:rPr>
              <w:t>EX20210112</w:t>
            </w:r>
          </w:p>
        </w:tc>
      </w:tr>
      <w:tr w14:paraId="22EEBA19">
        <w:tblPrEx>
          <w:tblCellMar>
            <w:top w:w="0" w:type="dxa"/>
            <w:left w:w="0" w:type="dxa"/>
            <w:bottom w:w="0" w:type="dxa"/>
            <w:right w:w="0" w:type="dxa"/>
          </w:tblCellMar>
        </w:tblPrEx>
        <w:trPr>
          <w:wBefore w:w="0" w:type="auto"/>
          <w:tblCellSpacing w:w="0" w:type="dxa"/>
        </w:trPr>
        <w:tc>
          <w:tcPr>
            <w:tcW w:w="0" w:type="auto"/>
            <w:noWrap w:val="0"/>
            <w:vAlign w:val="center"/>
          </w:tcPr>
          <w:p w14:paraId="11EC1297">
            <w:r>
              <w:rPr>
                <w:rStyle w:val="10"/>
                <w:rFonts w:hint="eastAsia"/>
              </w:rPr>
              <w:t>登记证持有人：</w:t>
            </w:r>
            <w:r>
              <w:rPr>
                <w:rFonts w:hint="eastAsia"/>
              </w:rPr>
              <w:t>迈克斯（如东）化工有限公司</w:t>
            </w:r>
          </w:p>
        </w:tc>
      </w:tr>
      <w:tr w14:paraId="63356DA6">
        <w:tblPrEx>
          <w:tblCellMar>
            <w:top w:w="0" w:type="dxa"/>
            <w:left w:w="0" w:type="dxa"/>
            <w:bottom w:w="0" w:type="dxa"/>
            <w:right w:w="0" w:type="dxa"/>
          </w:tblCellMar>
        </w:tblPrEx>
        <w:trPr>
          <w:wBefore w:w="0" w:type="auto"/>
          <w:tblCellSpacing w:w="0" w:type="dxa"/>
        </w:trPr>
        <w:tc>
          <w:tcPr>
            <w:tcW w:w="0" w:type="auto"/>
            <w:noWrap w:val="0"/>
            <w:vAlign w:val="center"/>
          </w:tcPr>
          <w:p w14:paraId="2437E14D">
            <w:r>
              <w:rPr>
                <w:rStyle w:val="10"/>
                <w:rFonts w:hint="eastAsia"/>
              </w:rPr>
              <w:t>农药名称：</w:t>
            </w:r>
            <w:r>
              <w:rPr>
                <w:rFonts w:hint="eastAsia"/>
              </w:rPr>
              <w:t>特草定</w:t>
            </w:r>
          </w:p>
        </w:tc>
      </w:tr>
      <w:tr w14:paraId="0D0BD981">
        <w:tblPrEx>
          <w:tblCellMar>
            <w:top w:w="0" w:type="dxa"/>
            <w:left w:w="0" w:type="dxa"/>
            <w:bottom w:w="0" w:type="dxa"/>
            <w:right w:w="0" w:type="dxa"/>
          </w:tblCellMar>
        </w:tblPrEx>
        <w:trPr>
          <w:wBefore w:w="0" w:type="auto"/>
          <w:tblCellSpacing w:w="0" w:type="dxa"/>
        </w:trPr>
        <w:tc>
          <w:tcPr>
            <w:tcW w:w="0" w:type="auto"/>
            <w:noWrap w:val="0"/>
            <w:vAlign w:val="center"/>
          </w:tcPr>
          <w:p w14:paraId="47A82A41">
            <w:r>
              <w:rPr>
                <w:rStyle w:val="10"/>
                <w:rFonts w:hint="eastAsia"/>
              </w:rPr>
              <w:t>剂型：</w:t>
            </w:r>
            <w:r>
              <w:rPr>
                <w:rFonts w:hint="eastAsia"/>
              </w:rPr>
              <w:t>原药</w:t>
            </w:r>
          </w:p>
        </w:tc>
      </w:tr>
      <w:tr w14:paraId="558CB0FA">
        <w:tblPrEx>
          <w:tblCellMar>
            <w:top w:w="0" w:type="dxa"/>
            <w:left w:w="0" w:type="dxa"/>
            <w:bottom w:w="0" w:type="dxa"/>
            <w:right w:w="0" w:type="dxa"/>
          </w:tblCellMar>
        </w:tblPrEx>
        <w:trPr>
          <w:wBefore w:w="0" w:type="auto"/>
          <w:tblCellSpacing w:w="0" w:type="dxa"/>
        </w:trPr>
        <w:tc>
          <w:tcPr>
            <w:tcW w:w="0" w:type="auto"/>
            <w:noWrap w:val="0"/>
            <w:vAlign w:val="center"/>
          </w:tcPr>
          <w:p w14:paraId="66AB9D1D">
            <w:r>
              <w:rPr>
                <w:rStyle w:val="10"/>
                <w:rFonts w:hint="eastAsia"/>
              </w:rPr>
              <w:t>毒性及其标识：</w:t>
            </w:r>
            <w:r>
              <w:rPr>
                <w:rFonts w:hint="eastAsia"/>
              </w:rPr>
              <w:t xml:space="preserve"> </w:t>
            </w:r>
            <w:r>
              <w:rPr>
                <w:lang/>
              </w:rPr>
              <w:drawing>
                <wp:inline distT="0" distB="0" distL="114300" distR="114300">
                  <wp:extent cx="476250" cy="323850"/>
                  <wp:effectExtent l="0" t="0" r="0" b="0"/>
                  <wp:docPr id="357" name="图片 3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95164D">
        <w:tblPrEx>
          <w:tblCellMar>
            <w:top w:w="0" w:type="dxa"/>
            <w:left w:w="0" w:type="dxa"/>
            <w:bottom w:w="0" w:type="dxa"/>
            <w:right w:w="0" w:type="dxa"/>
          </w:tblCellMar>
        </w:tblPrEx>
        <w:trPr>
          <w:wBefore w:w="0" w:type="auto"/>
          <w:tblCellSpacing w:w="0" w:type="dxa"/>
        </w:trPr>
        <w:tc>
          <w:tcPr>
            <w:tcW w:w="0" w:type="auto"/>
            <w:noWrap w:val="0"/>
            <w:vAlign w:val="center"/>
          </w:tcPr>
          <w:p w14:paraId="02170A92">
            <w:r>
              <w:rPr>
                <w:rStyle w:val="10"/>
                <w:rFonts w:hint="eastAsia"/>
              </w:rPr>
              <w:t>总有效成分含量：</w:t>
            </w:r>
            <w:r>
              <w:rPr>
                <w:rFonts w:hint="eastAsia"/>
              </w:rPr>
              <w:t>95%</w:t>
            </w:r>
          </w:p>
        </w:tc>
      </w:tr>
      <w:tr w14:paraId="42C04FB8">
        <w:tblPrEx>
          <w:tblCellMar>
            <w:top w:w="0" w:type="dxa"/>
            <w:left w:w="0" w:type="dxa"/>
            <w:bottom w:w="0" w:type="dxa"/>
            <w:right w:w="0" w:type="dxa"/>
          </w:tblCellMar>
        </w:tblPrEx>
        <w:trPr>
          <w:wBefore w:w="0" w:type="auto"/>
          <w:tblCellSpacing w:w="0" w:type="dxa"/>
        </w:trPr>
        <w:tc>
          <w:tcPr>
            <w:tcW w:w="0" w:type="auto"/>
            <w:noWrap w:val="0"/>
            <w:vAlign w:val="center"/>
          </w:tcPr>
          <w:p w14:paraId="2AB71742">
            <w:r>
              <w:rPr>
                <w:rFonts w:hint="eastAsia"/>
              </w:rPr>
              <w:t xml:space="preserve">有效成分及其含量： </w:t>
            </w:r>
          </w:p>
          <w:p w14:paraId="2A719A5D">
            <w:r>
              <w:rPr>
                <w:rFonts w:hint="eastAsia"/>
              </w:rPr>
              <w:t xml:space="preserve">    </w:t>
            </w:r>
          </w:p>
        </w:tc>
      </w:tr>
      <w:tr w14:paraId="39143648">
        <w:tblPrEx>
          <w:tblCellMar>
            <w:top w:w="0" w:type="dxa"/>
            <w:left w:w="0" w:type="dxa"/>
            <w:bottom w:w="0" w:type="dxa"/>
            <w:right w:w="0" w:type="dxa"/>
          </w:tblCellMar>
        </w:tblPrEx>
        <w:trPr>
          <w:wBefore w:w="0" w:type="auto"/>
          <w:tblCellSpacing w:w="0" w:type="dxa"/>
        </w:trPr>
        <w:tc>
          <w:tcPr>
            <w:tcW w:w="0" w:type="auto"/>
            <w:noWrap w:val="0"/>
            <w:vAlign w:val="center"/>
          </w:tcPr>
          <w:p w14:paraId="49F6990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094D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0338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95EB8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A9F5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7A77FF">
                  <w:r>
                    <w:rPr>
                      <w:rStyle w:val="11"/>
                      <w:rFonts w:hint="eastAsia"/>
                    </w:rPr>
                    <w:t>施用方式</w:t>
                  </w:r>
                </w:p>
              </w:tc>
            </w:tr>
          </w:tbl>
          <w:p w14:paraId="2BDA6513">
            <w:pPr>
              <w:rPr>
                <w:rFonts w:ascii="Times New Roman" w:hAnsi="Times New Roman" w:cs="Times New Roman"/>
                <w:sz w:val="20"/>
                <w:szCs w:val="20"/>
              </w:rPr>
            </w:pPr>
          </w:p>
        </w:tc>
      </w:tr>
      <w:tr w14:paraId="68440E42">
        <w:tblPrEx>
          <w:tblCellMar>
            <w:top w:w="0" w:type="dxa"/>
            <w:left w:w="0" w:type="dxa"/>
            <w:bottom w:w="0" w:type="dxa"/>
            <w:right w:w="0" w:type="dxa"/>
          </w:tblCellMar>
        </w:tblPrEx>
        <w:trPr>
          <w:wBefore w:w="0" w:type="auto"/>
          <w:tblCellSpacing w:w="0" w:type="dxa"/>
        </w:trPr>
        <w:tc>
          <w:tcPr>
            <w:tcW w:w="0" w:type="auto"/>
            <w:noWrap w:val="0"/>
            <w:vAlign w:val="center"/>
          </w:tcPr>
          <w:p w14:paraId="001FB211">
            <w:r>
              <w:rPr>
                <w:rStyle w:val="10"/>
                <w:rFonts w:hint="eastAsia"/>
              </w:rPr>
              <w:t>使用技术要求:</w:t>
            </w:r>
          </w:p>
        </w:tc>
      </w:tr>
      <w:tr w14:paraId="770213CC">
        <w:tblPrEx>
          <w:tblCellMar>
            <w:top w:w="0" w:type="dxa"/>
            <w:left w:w="0" w:type="dxa"/>
            <w:bottom w:w="0" w:type="dxa"/>
            <w:right w:w="0" w:type="dxa"/>
          </w:tblCellMar>
        </w:tblPrEx>
        <w:trPr>
          <w:wBefore w:w="0" w:type="auto"/>
          <w:tblCellSpacing w:w="0" w:type="dxa"/>
        </w:trPr>
        <w:tc>
          <w:tcPr>
            <w:tcW w:w="0" w:type="auto"/>
            <w:noWrap w:val="0"/>
            <w:vAlign w:val="center"/>
          </w:tcPr>
          <w:p w14:paraId="267E5104">
            <w:r>
              <w:rPr>
                <w:rStyle w:val="10"/>
                <w:rFonts w:hint="eastAsia"/>
              </w:rPr>
              <w:t>产品性能:</w:t>
            </w:r>
          </w:p>
        </w:tc>
      </w:tr>
      <w:tr w14:paraId="75E18DC2">
        <w:tblPrEx>
          <w:tblCellMar>
            <w:top w:w="0" w:type="dxa"/>
            <w:left w:w="0" w:type="dxa"/>
            <w:bottom w:w="0" w:type="dxa"/>
            <w:right w:w="0" w:type="dxa"/>
          </w:tblCellMar>
        </w:tblPrEx>
        <w:trPr>
          <w:wBefore w:w="0" w:type="auto"/>
          <w:tblCellSpacing w:w="0" w:type="dxa"/>
        </w:trPr>
        <w:tc>
          <w:tcPr>
            <w:tcW w:w="0" w:type="auto"/>
            <w:noWrap w:val="0"/>
            <w:vAlign w:val="center"/>
          </w:tcPr>
          <w:p w14:paraId="7ADD16C6">
            <w:r>
              <w:rPr>
                <w:rStyle w:val="10"/>
                <w:rFonts w:hint="eastAsia"/>
              </w:rPr>
              <w:t>注意事项：</w:t>
            </w:r>
          </w:p>
        </w:tc>
      </w:tr>
      <w:tr w14:paraId="444B4AAD">
        <w:tblPrEx>
          <w:tblCellMar>
            <w:top w:w="0" w:type="dxa"/>
            <w:left w:w="0" w:type="dxa"/>
            <w:bottom w:w="0" w:type="dxa"/>
            <w:right w:w="0" w:type="dxa"/>
          </w:tblCellMar>
        </w:tblPrEx>
        <w:trPr>
          <w:wBefore w:w="0" w:type="auto"/>
          <w:tblCellSpacing w:w="0" w:type="dxa"/>
        </w:trPr>
        <w:tc>
          <w:tcPr>
            <w:tcW w:w="0" w:type="auto"/>
            <w:noWrap w:val="0"/>
            <w:vAlign w:val="center"/>
          </w:tcPr>
          <w:p w14:paraId="7611EA8E">
            <w:r>
              <w:rPr>
                <w:rStyle w:val="10"/>
                <w:rFonts w:hint="eastAsia"/>
              </w:rPr>
              <w:t>中毒急救措施：</w:t>
            </w:r>
          </w:p>
        </w:tc>
      </w:tr>
      <w:tr w14:paraId="4F9494E9">
        <w:tblPrEx>
          <w:tblCellMar>
            <w:top w:w="0" w:type="dxa"/>
            <w:left w:w="0" w:type="dxa"/>
            <w:bottom w:w="0" w:type="dxa"/>
            <w:right w:w="0" w:type="dxa"/>
          </w:tblCellMar>
        </w:tblPrEx>
        <w:trPr>
          <w:wBefore w:w="0" w:type="auto"/>
          <w:tblCellSpacing w:w="0" w:type="dxa"/>
        </w:trPr>
        <w:tc>
          <w:tcPr>
            <w:tcW w:w="0" w:type="auto"/>
            <w:noWrap w:val="0"/>
            <w:vAlign w:val="center"/>
          </w:tcPr>
          <w:p w14:paraId="59AEC3B8">
            <w:r>
              <w:rPr>
                <w:rStyle w:val="10"/>
                <w:rFonts w:hint="eastAsia"/>
              </w:rPr>
              <w:t>储存和运输方法：</w:t>
            </w:r>
          </w:p>
        </w:tc>
      </w:tr>
      <w:tr w14:paraId="608CC822">
        <w:tblPrEx>
          <w:tblCellMar>
            <w:top w:w="0" w:type="dxa"/>
            <w:left w:w="0" w:type="dxa"/>
            <w:bottom w:w="0" w:type="dxa"/>
            <w:right w:w="0" w:type="dxa"/>
          </w:tblCellMar>
        </w:tblPrEx>
        <w:trPr>
          <w:wBefore w:w="0" w:type="auto"/>
          <w:tblCellSpacing w:w="0" w:type="dxa"/>
        </w:trPr>
        <w:tc>
          <w:tcPr>
            <w:tcW w:w="0" w:type="auto"/>
            <w:noWrap w:val="0"/>
            <w:vAlign w:val="center"/>
          </w:tcPr>
          <w:p w14:paraId="7D35BC44">
            <w:r>
              <w:rPr>
                <w:rStyle w:val="10"/>
                <w:rFonts w:hint="eastAsia"/>
              </w:rPr>
              <w:t>质量保证期：</w:t>
            </w:r>
          </w:p>
        </w:tc>
      </w:tr>
      <w:tr w14:paraId="1BB60572">
        <w:tblPrEx>
          <w:tblCellMar>
            <w:top w:w="0" w:type="dxa"/>
            <w:left w:w="0" w:type="dxa"/>
            <w:bottom w:w="0" w:type="dxa"/>
            <w:right w:w="0" w:type="dxa"/>
          </w:tblCellMar>
        </w:tblPrEx>
        <w:trPr>
          <w:wBefore w:w="0" w:type="auto"/>
          <w:tblCellSpacing w:w="0" w:type="dxa"/>
        </w:trPr>
        <w:tc>
          <w:tcPr>
            <w:tcW w:w="0" w:type="auto"/>
            <w:noWrap w:val="0"/>
            <w:vAlign w:val="center"/>
          </w:tcPr>
          <w:p w14:paraId="02551B80">
            <w:r>
              <w:rPr>
                <w:rStyle w:val="10"/>
                <w:rFonts w:hint="eastAsia"/>
              </w:rPr>
              <w:t>备注：</w:t>
            </w:r>
          </w:p>
        </w:tc>
      </w:tr>
    </w:tbl>
    <w:p w14:paraId="386E85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967C09">
        <w:tblPrEx>
          <w:tblCellMar>
            <w:top w:w="0" w:type="dxa"/>
            <w:left w:w="0" w:type="dxa"/>
            <w:bottom w:w="0" w:type="dxa"/>
            <w:right w:w="0" w:type="dxa"/>
          </w:tblCellMar>
        </w:tblPrEx>
        <w:trPr>
          <w:wBefore w:w="0" w:type="auto"/>
          <w:tblCellSpacing w:w="0" w:type="dxa"/>
        </w:trPr>
        <w:tc>
          <w:tcPr>
            <w:tcW w:w="0" w:type="auto"/>
            <w:noWrap w:val="0"/>
            <w:vAlign w:val="center"/>
          </w:tcPr>
          <w:p w14:paraId="43CA4F29">
            <w:r>
              <w:rPr>
                <w:rStyle w:val="10"/>
                <w:rFonts w:hint="eastAsia"/>
              </w:rPr>
              <w:t>登记证号：</w:t>
            </w:r>
            <w:r>
              <w:rPr>
                <w:rFonts w:hint="eastAsia"/>
              </w:rPr>
              <w:t>PD20212426</w:t>
            </w:r>
          </w:p>
        </w:tc>
      </w:tr>
      <w:tr w14:paraId="10ACD888">
        <w:tblPrEx>
          <w:tblCellMar>
            <w:top w:w="0" w:type="dxa"/>
            <w:left w:w="0" w:type="dxa"/>
            <w:bottom w:w="0" w:type="dxa"/>
            <w:right w:w="0" w:type="dxa"/>
          </w:tblCellMar>
        </w:tblPrEx>
        <w:trPr>
          <w:wBefore w:w="0" w:type="auto"/>
          <w:tblCellSpacing w:w="0" w:type="dxa"/>
        </w:trPr>
        <w:tc>
          <w:tcPr>
            <w:tcW w:w="0" w:type="auto"/>
            <w:noWrap w:val="0"/>
            <w:vAlign w:val="center"/>
          </w:tcPr>
          <w:p w14:paraId="133EBE10">
            <w:r>
              <w:rPr>
                <w:rStyle w:val="10"/>
                <w:rFonts w:hint="eastAsia"/>
              </w:rPr>
              <w:t>登记证持有人：</w:t>
            </w:r>
            <w:r>
              <w:rPr>
                <w:rFonts w:hint="eastAsia"/>
              </w:rPr>
              <w:t>广西田园生化股份有限公司</w:t>
            </w:r>
          </w:p>
        </w:tc>
      </w:tr>
      <w:tr w14:paraId="2913899C">
        <w:tblPrEx>
          <w:tblCellMar>
            <w:top w:w="0" w:type="dxa"/>
            <w:left w:w="0" w:type="dxa"/>
            <w:bottom w:w="0" w:type="dxa"/>
            <w:right w:w="0" w:type="dxa"/>
          </w:tblCellMar>
        </w:tblPrEx>
        <w:trPr>
          <w:wBefore w:w="0" w:type="auto"/>
          <w:tblCellSpacing w:w="0" w:type="dxa"/>
        </w:trPr>
        <w:tc>
          <w:tcPr>
            <w:tcW w:w="0" w:type="auto"/>
            <w:noWrap w:val="0"/>
            <w:vAlign w:val="center"/>
          </w:tcPr>
          <w:p w14:paraId="16FEF2EE">
            <w:r>
              <w:rPr>
                <w:rStyle w:val="10"/>
                <w:rFonts w:hint="eastAsia"/>
              </w:rPr>
              <w:t>农药名称：</w:t>
            </w:r>
            <w:r>
              <w:rPr>
                <w:rFonts w:hint="eastAsia"/>
              </w:rPr>
              <w:t>氯虫·噻虫胺</w:t>
            </w:r>
          </w:p>
        </w:tc>
      </w:tr>
      <w:tr w14:paraId="424BDB90">
        <w:tblPrEx>
          <w:tblCellMar>
            <w:top w:w="0" w:type="dxa"/>
            <w:left w:w="0" w:type="dxa"/>
            <w:bottom w:w="0" w:type="dxa"/>
            <w:right w:w="0" w:type="dxa"/>
          </w:tblCellMar>
        </w:tblPrEx>
        <w:trPr>
          <w:wBefore w:w="0" w:type="auto"/>
          <w:tblCellSpacing w:w="0" w:type="dxa"/>
        </w:trPr>
        <w:tc>
          <w:tcPr>
            <w:tcW w:w="0" w:type="auto"/>
            <w:noWrap w:val="0"/>
            <w:vAlign w:val="center"/>
          </w:tcPr>
          <w:p w14:paraId="2D025CE8">
            <w:r>
              <w:rPr>
                <w:rStyle w:val="10"/>
                <w:rFonts w:hint="eastAsia"/>
              </w:rPr>
              <w:t>剂型：</w:t>
            </w:r>
            <w:r>
              <w:rPr>
                <w:rFonts w:hint="eastAsia"/>
              </w:rPr>
              <w:t>颗粒剂</w:t>
            </w:r>
          </w:p>
        </w:tc>
      </w:tr>
      <w:tr w14:paraId="37F8C8D9">
        <w:tblPrEx>
          <w:tblCellMar>
            <w:top w:w="0" w:type="dxa"/>
            <w:left w:w="0" w:type="dxa"/>
            <w:bottom w:w="0" w:type="dxa"/>
            <w:right w:w="0" w:type="dxa"/>
          </w:tblCellMar>
        </w:tblPrEx>
        <w:trPr>
          <w:wBefore w:w="0" w:type="auto"/>
          <w:tblCellSpacing w:w="0" w:type="dxa"/>
        </w:trPr>
        <w:tc>
          <w:tcPr>
            <w:tcW w:w="0" w:type="auto"/>
            <w:noWrap w:val="0"/>
            <w:vAlign w:val="center"/>
          </w:tcPr>
          <w:p w14:paraId="7DB04DF8">
            <w:r>
              <w:rPr>
                <w:rStyle w:val="10"/>
                <w:rFonts w:hint="eastAsia"/>
              </w:rPr>
              <w:t>毒性及其标识：</w:t>
            </w:r>
            <w:r>
              <w:rPr>
                <w:rFonts w:hint="eastAsia"/>
              </w:rPr>
              <w:t xml:space="preserve"> </w:t>
            </w:r>
            <w:r>
              <w:rPr>
                <w:lang/>
              </w:rPr>
              <w:drawing>
                <wp:inline distT="0" distB="0" distL="114300" distR="114300">
                  <wp:extent cx="476250" cy="323850"/>
                  <wp:effectExtent l="0" t="0" r="0" b="0"/>
                  <wp:docPr id="358" name="图片 3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FD9289">
        <w:tblPrEx>
          <w:tblCellMar>
            <w:top w:w="0" w:type="dxa"/>
            <w:left w:w="0" w:type="dxa"/>
            <w:bottom w:w="0" w:type="dxa"/>
            <w:right w:w="0" w:type="dxa"/>
          </w:tblCellMar>
        </w:tblPrEx>
        <w:trPr>
          <w:wBefore w:w="0" w:type="auto"/>
          <w:tblCellSpacing w:w="0" w:type="dxa"/>
        </w:trPr>
        <w:tc>
          <w:tcPr>
            <w:tcW w:w="0" w:type="auto"/>
            <w:noWrap w:val="0"/>
            <w:vAlign w:val="center"/>
          </w:tcPr>
          <w:p w14:paraId="34F453A4">
            <w:r>
              <w:rPr>
                <w:rStyle w:val="10"/>
                <w:rFonts w:hint="eastAsia"/>
              </w:rPr>
              <w:t>总有效成分含量：</w:t>
            </w:r>
            <w:r>
              <w:rPr>
                <w:rFonts w:hint="eastAsia"/>
              </w:rPr>
              <w:t>0.1%</w:t>
            </w:r>
          </w:p>
        </w:tc>
      </w:tr>
      <w:tr w14:paraId="355B146B">
        <w:tblPrEx>
          <w:tblCellMar>
            <w:top w:w="0" w:type="dxa"/>
            <w:left w:w="0" w:type="dxa"/>
            <w:bottom w:w="0" w:type="dxa"/>
            <w:right w:w="0" w:type="dxa"/>
          </w:tblCellMar>
        </w:tblPrEx>
        <w:trPr>
          <w:wBefore w:w="0" w:type="auto"/>
          <w:tblCellSpacing w:w="0" w:type="dxa"/>
        </w:trPr>
        <w:tc>
          <w:tcPr>
            <w:tcW w:w="0" w:type="auto"/>
            <w:noWrap w:val="0"/>
            <w:vAlign w:val="center"/>
          </w:tcPr>
          <w:p w14:paraId="0B0AE0AC">
            <w:r>
              <w:rPr>
                <w:rFonts w:hint="eastAsia"/>
              </w:rPr>
              <w:t xml:space="preserve">有效成分及其含量： </w:t>
            </w:r>
          </w:p>
          <w:p w14:paraId="1B8A73D0">
            <w:r>
              <w:rPr>
                <w:rFonts w:hint="eastAsia"/>
              </w:rPr>
              <w:t xml:space="preserve">    氯虫苯甲酰胺0.015%    噻虫胺0.085%    </w:t>
            </w:r>
          </w:p>
        </w:tc>
      </w:tr>
      <w:tr w14:paraId="45265CA2">
        <w:tblPrEx>
          <w:tblCellMar>
            <w:top w:w="0" w:type="dxa"/>
            <w:left w:w="0" w:type="dxa"/>
            <w:bottom w:w="0" w:type="dxa"/>
            <w:right w:w="0" w:type="dxa"/>
          </w:tblCellMar>
        </w:tblPrEx>
        <w:trPr>
          <w:wBefore w:w="0" w:type="auto"/>
          <w:tblCellSpacing w:w="0" w:type="dxa"/>
        </w:trPr>
        <w:tc>
          <w:tcPr>
            <w:tcW w:w="0" w:type="auto"/>
            <w:noWrap w:val="0"/>
            <w:vAlign w:val="center"/>
          </w:tcPr>
          <w:p w14:paraId="37B11D8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77271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49C11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A887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3EA9B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984AA3">
                  <w:r>
                    <w:rPr>
                      <w:rStyle w:val="11"/>
                      <w:rFonts w:hint="eastAsia"/>
                    </w:rPr>
                    <w:t>施用方式</w:t>
                  </w:r>
                </w:p>
              </w:tc>
            </w:tr>
            <w:tr w14:paraId="74C160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FD98AF">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6CBBF9">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9532B5">
                  <w:r>
                    <w:rPr>
                      <w:rStyle w:val="11"/>
                      <w:rFonts w:hint="eastAsia"/>
                    </w:rPr>
                    <w:t>25-30千克/亩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DF6408">
                  <w:r>
                    <w:rPr>
                      <w:rStyle w:val="11"/>
                      <w:rFonts w:hint="eastAsia"/>
                    </w:rPr>
                    <w:t>撒施</w:t>
                  </w:r>
                </w:p>
              </w:tc>
            </w:tr>
          </w:tbl>
          <w:p w14:paraId="257B01E4">
            <w:pPr>
              <w:rPr>
                <w:rFonts w:ascii="Times New Roman" w:hAnsi="Times New Roman" w:cs="Times New Roman"/>
                <w:sz w:val="20"/>
                <w:szCs w:val="20"/>
              </w:rPr>
            </w:pPr>
          </w:p>
        </w:tc>
      </w:tr>
      <w:tr w14:paraId="7A44CD35">
        <w:tblPrEx>
          <w:tblCellMar>
            <w:top w:w="0" w:type="dxa"/>
            <w:left w:w="0" w:type="dxa"/>
            <w:bottom w:w="0" w:type="dxa"/>
            <w:right w:w="0" w:type="dxa"/>
          </w:tblCellMar>
        </w:tblPrEx>
        <w:trPr>
          <w:wBefore w:w="0" w:type="auto"/>
          <w:tblCellSpacing w:w="0" w:type="dxa"/>
        </w:trPr>
        <w:tc>
          <w:tcPr>
            <w:tcW w:w="0" w:type="auto"/>
            <w:noWrap w:val="0"/>
            <w:vAlign w:val="center"/>
          </w:tcPr>
          <w:p w14:paraId="01FCE092">
            <w:r>
              <w:rPr>
                <w:rStyle w:val="10"/>
                <w:rFonts w:hint="eastAsia"/>
              </w:rPr>
              <w:t>使用技术要求:</w:t>
            </w:r>
            <w:r>
              <w:rPr>
                <w:rFonts w:hint="eastAsia"/>
              </w:rPr>
              <w:br w:type="textWrapping"/>
            </w:r>
            <w:r>
              <w:rPr>
                <w:rStyle w:val="11"/>
                <w:rFonts w:hint="eastAsia"/>
              </w:rPr>
              <w:t>于甘蔗播种或培土时施药1次，将药剂撒施于种植沟内蔗种附近，然后覆土；培土时，在甘蔗植株附近掏小沟撒施于甘蔗附近，施药后覆土。每季最多施药1次。阵雨过后或必要时适当浇水有利于作物吸收提高或加速防效。</w:t>
            </w:r>
          </w:p>
        </w:tc>
      </w:tr>
      <w:tr w14:paraId="4BC6C36D">
        <w:tblPrEx>
          <w:tblCellMar>
            <w:top w:w="0" w:type="dxa"/>
            <w:left w:w="0" w:type="dxa"/>
            <w:bottom w:w="0" w:type="dxa"/>
            <w:right w:w="0" w:type="dxa"/>
          </w:tblCellMar>
        </w:tblPrEx>
        <w:trPr>
          <w:wBefore w:w="0" w:type="auto"/>
          <w:tblCellSpacing w:w="0" w:type="dxa"/>
        </w:trPr>
        <w:tc>
          <w:tcPr>
            <w:tcW w:w="0" w:type="auto"/>
            <w:noWrap w:val="0"/>
            <w:vAlign w:val="center"/>
          </w:tcPr>
          <w:p w14:paraId="2D19F4F0">
            <w:r>
              <w:rPr>
                <w:rStyle w:val="10"/>
                <w:rFonts w:hint="eastAsia"/>
              </w:rPr>
              <w:t>产品性能:</w:t>
            </w:r>
            <w:r>
              <w:rPr>
                <w:rFonts w:hint="eastAsia"/>
              </w:rPr>
              <w:br w:type="textWrapping"/>
            </w:r>
            <w:r>
              <w:rPr>
                <w:rStyle w:val="11"/>
                <w:rFonts w:hint="eastAsia"/>
              </w:rPr>
              <w:t>本品是氯虫苯甲酰胺和噻虫胺配制而成的杀虫剂，具有胃毒、触杀和内吸作用，对甘蔗螟虫有较好的防治效果。</w:t>
            </w:r>
          </w:p>
        </w:tc>
      </w:tr>
      <w:tr w14:paraId="5B6D913F">
        <w:tblPrEx>
          <w:tblCellMar>
            <w:top w:w="0" w:type="dxa"/>
            <w:left w:w="0" w:type="dxa"/>
            <w:bottom w:w="0" w:type="dxa"/>
            <w:right w:w="0" w:type="dxa"/>
          </w:tblCellMar>
        </w:tblPrEx>
        <w:trPr>
          <w:wBefore w:w="0" w:type="auto"/>
          <w:tblCellSpacing w:w="0" w:type="dxa"/>
        </w:trPr>
        <w:tc>
          <w:tcPr>
            <w:tcW w:w="0" w:type="auto"/>
            <w:noWrap w:val="0"/>
            <w:vAlign w:val="center"/>
          </w:tcPr>
          <w:p w14:paraId="76A8D4EB">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2.（周围）开花植物花期禁用，使用时应密切关注对附近蜂群的影响；鸟类活动区禁止使用本产品；远离水产养殖区、河塘等水体施药；禁止在河塘等水体中清洗施药器具。3. 本品不能与碱性农药等物质混用。4. 建议与其他作用机制不同的杀虫剂轮换使用，以延缓抗性产生。5. 本品是烟碱类杀虫剂，吞食吸入均有毒。使用时应穿戴防护和防毒面具，穿干净的防护服。施药后应及时用肥皂和清水洗干净。6. 用过的容器应妥善处理，不要做他用，也不可随意丢弃。7. 孕妇及哺乳期妇女禁止接触本品。</w:t>
            </w:r>
          </w:p>
        </w:tc>
      </w:tr>
      <w:tr w14:paraId="082E0328">
        <w:tblPrEx>
          <w:tblCellMar>
            <w:top w:w="0" w:type="dxa"/>
            <w:left w:w="0" w:type="dxa"/>
            <w:bottom w:w="0" w:type="dxa"/>
            <w:right w:w="0" w:type="dxa"/>
          </w:tblCellMar>
        </w:tblPrEx>
        <w:trPr>
          <w:wBefore w:w="0" w:type="auto"/>
          <w:tblCellSpacing w:w="0" w:type="dxa"/>
        </w:trPr>
        <w:tc>
          <w:tcPr>
            <w:tcW w:w="0" w:type="auto"/>
            <w:noWrap w:val="0"/>
            <w:vAlign w:val="center"/>
          </w:tcPr>
          <w:p w14:paraId="5D3B2EA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使用中或使用后如果感觉不适，应立即停止工作，采取急救措施，并携带标签送医就诊。 1. 如接触皮肤，用肥皂和大量清水彻底清洗受污的皮肤；如不慎吸入，应将病人移至空气流通处。 2. 如溅及眼睛，用大量清水冲洗眼睛至少15分钟；严重者送医就诊； 3、如误服，立即携带标签，送医就诊，对症治疗。</w:t>
            </w:r>
          </w:p>
        </w:tc>
      </w:tr>
      <w:tr w14:paraId="7E95A5BF">
        <w:tblPrEx>
          <w:tblCellMar>
            <w:top w:w="0" w:type="dxa"/>
            <w:left w:w="0" w:type="dxa"/>
            <w:bottom w:w="0" w:type="dxa"/>
            <w:right w:w="0" w:type="dxa"/>
          </w:tblCellMar>
        </w:tblPrEx>
        <w:trPr>
          <w:wBefore w:w="0" w:type="auto"/>
          <w:tblCellSpacing w:w="0" w:type="dxa"/>
        </w:trPr>
        <w:tc>
          <w:tcPr>
            <w:tcW w:w="0" w:type="auto"/>
            <w:noWrap w:val="0"/>
            <w:vAlign w:val="center"/>
          </w:tcPr>
          <w:p w14:paraId="22C3A2F3">
            <w:r>
              <w:rPr>
                <w:rStyle w:val="10"/>
                <w:rFonts w:hint="eastAsia"/>
              </w:rPr>
              <w:t>储存和运输方法：</w:t>
            </w:r>
            <w:r>
              <w:rPr>
                <w:rFonts w:hint="eastAsia"/>
              </w:rPr>
              <w:br w:type="textWrapping"/>
            </w:r>
            <w:r>
              <w:rPr>
                <w:rStyle w:val="11"/>
                <w:rFonts w:hint="eastAsia"/>
              </w:rPr>
              <w:t>本品应贮存在通风、干燥的库房内，堆码方式应符合安全、搬运方便的原则。产品贮运时，严防潮湿和日晒，保持通风良好，置于干燥阴凉处，不得与食物、种子、饲料等混放；避免与皮肤、眼睛接触，防止由口鼻吸入。置于儿童、无关人员触及不到之处，并加锁。勿与食品、饮料、饲料、粮食等同贮同运。</w:t>
            </w:r>
          </w:p>
        </w:tc>
      </w:tr>
      <w:tr w14:paraId="699BF06F">
        <w:tblPrEx>
          <w:tblCellMar>
            <w:top w:w="0" w:type="dxa"/>
            <w:left w:w="0" w:type="dxa"/>
            <w:bottom w:w="0" w:type="dxa"/>
            <w:right w:w="0" w:type="dxa"/>
          </w:tblCellMar>
        </w:tblPrEx>
        <w:trPr>
          <w:wBefore w:w="0" w:type="auto"/>
          <w:tblCellSpacing w:w="0" w:type="dxa"/>
        </w:trPr>
        <w:tc>
          <w:tcPr>
            <w:tcW w:w="0" w:type="auto"/>
            <w:noWrap w:val="0"/>
            <w:vAlign w:val="center"/>
          </w:tcPr>
          <w:p w14:paraId="3085A181">
            <w:r>
              <w:rPr>
                <w:rStyle w:val="10"/>
                <w:rFonts w:hint="eastAsia"/>
              </w:rPr>
              <w:t>质量保证期：</w:t>
            </w:r>
            <w:r>
              <w:rPr>
                <w:rStyle w:val="11"/>
                <w:rFonts w:hint="eastAsia"/>
              </w:rPr>
              <w:t>2年</w:t>
            </w:r>
          </w:p>
        </w:tc>
      </w:tr>
      <w:tr w14:paraId="1D25BC30">
        <w:tblPrEx>
          <w:tblCellMar>
            <w:top w:w="0" w:type="dxa"/>
            <w:left w:w="0" w:type="dxa"/>
            <w:bottom w:w="0" w:type="dxa"/>
            <w:right w:w="0" w:type="dxa"/>
          </w:tblCellMar>
        </w:tblPrEx>
        <w:trPr>
          <w:wBefore w:w="0" w:type="auto"/>
          <w:tblCellSpacing w:w="0" w:type="dxa"/>
        </w:trPr>
        <w:tc>
          <w:tcPr>
            <w:tcW w:w="0" w:type="auto"/>
            <w:noWrap w:val="0"/>
            <w:vAlign w:val="center"/>
          </w:tcPr>
          <w:p w14:paraId="73871DAB">
            <w:r>
              <w:rPr>
                <w:rStyle w:val="10"/>
                <w:rFonts w:hint="eastAsia"/>
              </w:rPr>
              <w:t>备注：</w:t>
            </w:r>
          </w:p>
        </w:tc>
      </w:tr>
    </w:tbl>
    <w:p w14:paraId="461551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DE99F2">
        <w:tblPrEx>
          <w:tblCellMar>
            <w:top w:w="0" w:type="dxa"/>
            <w:left w:w="0" w:type="dxa"/>
            <w:bottom w:w="0" w:type="dxa"/>
            <w:right w:w="0" w:type="dxa"/>
          </w:tblCellMar>
        </w:tblPrEx>
        <w:trPr>
          <w:wBefore w:w="0" w:type="auto"/>
          <w:tblCellSpacing w:w="0" w:type="dxa"/>
        </w:trPr>
        <w:tc>
          <w:tcPr>
            <w:tcW w:w="0" w:type="auto"/>
            <w:noWrap w:val="0"/>
            <w:vAlign w:val="center"/>
          </w:tcPr>
          <w:p w14:paraId="7834B5E9">
            <w:r>
              <w:rPr>
                <w:rStyle w:val="10"/>
                <w:rFonts w:hint="eastAsia"/>
              </w:rPr>
              <w:t>登记证号：</w:t>
            </w:r>
            <w:r>
              <w:rPr>
                <w:rFonts w:hint="eastAsia"/>
              </w:rPr>
              <w:t>PD20212617</w:t>
            </w:r>
          </w:p>
        </w:tc>
      </w:tr>
      <w:tr w14:paraId="490E1CBB">
        <w:tblPrEx>
          <w:tblCellMar>
            <w:top w:w="0" w:type="dxa"/>
            <w:left w:w="0" w:type="dxa"/>
            <w:bottom w:w="0" w:type="dxa"/>
            <w:right w:w="0" w:type="dxa"/>
          </w:tblCellMar>
        </w:tblPrEx>
        <w:trPr>
          <w:wBefore w:w="0" w:type="auto"/>
          <w:tblCellSpacing w:w="0" w:type="dxa"/>
        </w:trPr>
        <w:tc>
          <w:tcPr>
            <w:tcW w:w="0" w:type="auto"/>
            <w:noWrap w:val="0"/>
            <w:vAlign w:val="center"/>
          </w:tcPr>
          <w:p w14:paraId="35035DFB">
            <w:r>
              <w:rPr>
                <w:rStyle w:val="10"/>
                <w:rFonts w:hint="eastAsia"/>
              </w:rPr>
              <w:t>登记证持有人：</w:t>
            </w:r>
            <w:r>
              <w:rPr>
                <w:rFonts w:hint="eastAsia"/>
              </w:rPr>
              <w:t>河南省沈丘县农药厂</w:t>
            </w:r>
          </w:p>
        </w:tc>
      </w:tr>
      <w:tr w14:paraId="55B801B2">
        <w:tblPrEx>
          <w:tblCellMar>
            <w:top w:w="0" w:type="dxa"/>
            <w:left w:w="0" w:type="dxa"/>
            <w:bottom w:w="0" w:type="dxa"/>
            <w:right w:w="0" w:type="dxa"/>
          </w:tblCellMar>
        </w:tblPrEx>
        <w:trPr>
          <w:wBefore w:w="0" w:type="auto"/>
          <w:tblCellSpacing w:w="0" w:type="dxa"/>
        </w:trPr>
        <w:tc>
          <w:tcPr>
            <w:tcW w:w="0" w:type="auto"/>
            <w:noWrap w:val="0"/>
            <w:vAlign w:val="center"/>
          </w:tcPr>
          <w:p w14:paraId="3CF8A9D5">
            <w:r>
              <w:rPr>
                <w:rStyle w:val="10"/>
                <w:rFonts w:hint="eastAsia"/>
              </w:rPr>
              <w:t>农药名称：</w:t>
            </w:r>
            <w:r>
              <w:rPr>
                <w:rFonts w:hint="eastAsia"/>
              </w:rPr>
              <w:t>草铵膦·精喹禾·乙羧氟</w:t>
            </w:r>
          </w:p>
        </w:tc>
      </w:tr>
      <w:tr w14:paraId="256F1478">
        <w:tblPrEx>
          <w:tblCellMar>
            <w:top w:w="0" w:type="dxa"/>
            <w:left w:w="0" w:type="dxa"/>
            <w:bottom w:w="0" w:type="dxa"/>
            <w:right w:w="0" w:type="dxa"/>
          </w:tblCellMar>
        </w:tblPrEx>
        <w:trPr>
          <w:wBefore w:w="0" w:type="auto"/>
          <w:tblCellSpacing w:w="0" w:type="dxa"/>
        </w:trPr>
        <w:tc>
          <w:tcPr>
            <w:tcW w:w="0" w:type="auto"/>
            <w:noWrap w:val="0"/>
            <w:vAlign w:val="center"/>
          </w:tcPr>
          <w:p w14:paraId="2D65D068">
            <w:r>
              <w:rPr>
                <w:rStyle w:val="10"/>
                <w:rFonts w:hint="eastAsia"/>
              </w:rPr>
              <w:t>剂型：</w:t>
            </w:r>
            <w:r>
              <w:rPr>
                <w:rFonts w:hint="eastAsia"/>
              </w:rPr>
              <w:t>微乳剂</w:t>
            </w:r>
          </w:p>
        </w:tc>
      </w:tr>
      <w:tr w14:paraId="3D7BD187">
        <w:tblPrEx>
          <w:tblCellMar>
            <w:top w:w="0" w:type="dxa"/>
            <w:left w:w="0" w:type="dxa"/>
            <w:bottom w:w="0" w:type="dxa"/>
            <w:right w:w="0" w:type="dxa"/>
          </w:tblCellMar>
        </w:tblPrEx>
        <w:trPr>
          <w:wBefore w:w="0" w:type="auto"/>
          <w:tblCellSpacing w:w="0" w:type="dxa"/>
        </w:trPr>
        <w:tc>
          <w:tcPr>
            <w:tcW w:w="0" w:type="auto"/>
            <w:noWrap w:val="0"/>
            <w:vAlign w:val="center"/>
          </w:tcPr>
          <w:p w14:paraId="22020921">
            <w:r>
              <w:rPr>
                <w:rStyle w:val="10"/>
                <w:rFonts w:hint="eastAsia"/>
              </w:rPr>
              <w:t>毒性及其标识：</w:t>
            </w:r>
            <w:r>
              <w:rPr>
                <w:rFonts w:hint="eastAsia"/>
              </w:rPr>
              <w:t xml:space="preserve"> </w:t>
            </w:r>
            <w:r>
              <w:rPr>
                <w:lang/>
              </w:rPr>
              <w:drawing>
                <wp:inline distT="0" distB="0" distL="114300" distR="114300">
                  <wp:extent cx="476250" cy="323850"/>
                  <wp:effectExtent l="0" t="0" r="0" b="0"/>
                  <wp:docPr id="359" name="图片 3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DA4BD5">
        <w:tblPrEx>
          <w:tblCellMar>
            <w:top w:w="0" w:type="dxa"/>
            <w:left w:w="0" w:type="dxa"/>
            <w:bottom w:w="0" w:type="dxa"/>
            <w:right w:w="0" w:type="dxa"/>
          </w:tblCellMar>
        </w:tblPrEx>
        <w:trPr>
          <w:wBefore w:w="0" w:type="auto"/>
          <w:tblCellSpacing w:w="0" w:type="dxa"/>
        </w:trPr>
        <w:tc>
          <w:tcPr>
            <w:tcW w:w="0" w:type="auto"/>
            <w:noWrap w:val="0"/>
            <w:vAlign w:val="center"/>
          </w:tcPr>
          <w:p w14:paraId="6B09FC5B">
            <w:r>
              <w:rPr>
                <w:rStyle w:val="10"/>
                <w:rFonts w:hint="eastAsia"/>
              </w:rPr>
              <w:t>总有效成分含量：</w:t>
            </w:r>
            <w:r>
              <w:rPr>
                <w:rFonts w:hint="eastAsia"/>
              </w:rPr>
              <w:t>23%</w:t>
            </w:r>
          </w:p>
        </w:tc>
      </w:tr>
      <w:tr w14:paraId="20C43AFD">
        <w:tblPrEx>
          <w:tblCellMar>
            <w:top w:w="0" w:type="dxa"/>
            <w:left w:w="0" w:type="dxa"/>
            <w:bottom w:w="0" w:type="dxa"/>
            <w:right w:w="0" w:type="dxa"/>
          </w:tblCellMar>
        </w:tblPrEx>
        <w:trPr>
          <w:wBefore w:w="0" w:type="auto"/>
          <w:tblCellSpacing w:w="0" w:type="dxa"/>
        </w:trPr>
        <w:tc>
          <w:tcPr>
            <w:tcW w:w="0" w:type="auto"/>
            <w:noWrap w:val="0"/>
            <w:vAlign w:val="center"/>
          </w:tcPr>
          <w:p w14:paraId="3529AD99">
            <w:r>
              <w:rPr>
                <w:rFonts w:hint="eastAsia"/>
              </w:rPr>
              <w:t xml:space="preserve">有效成分及其含量： </w:t>
            </w:r>
          </w:p>
          <w:p w14:paraId="5C41F507">
            <w:r>
              <w:rPr>
                <w:rFonts w:hint="eastAsia"/>
              </w:rPr>
              <w:t xml:space="preserve">    草铵膦20%    精喹禾灵2.1%    乙羧氟草醚0.9%    </w:t>
            </w:r>
          </w:p>
        </w:tc>
      </w:tr>
      <w:tr w14:paraId="5DEEFCFC">
        <w:tblPrEx>
          <w:tblCellMar>
            <w:top w:w="0" w:type="dxa"/>
            <w:left w:w="0" w:type="dxa"/>
            <w:bottom w:w="0" w:type="dxa"/>
            <w:right w:w="0" w:type="dxa"/>
          </w:tblCellMar>
        </w:tblPrEx>
        <w:trPr>
          <w:wBefore w:w="0" w:type="auto"/>
          <w:tblCellSpacing w:w="0" w:type="dxa"/>
        </w:trPr>
        <w:tc>
          <w:tcPr>
            <w:tcW w:w="0" w:type="auto"/>
            <w:noWrap w:val="0"/>
            <w:vAlign w:val="center"/>
          </w:tcPr>
          <w:p w14:paraId="06765B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53E5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1EB2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43D5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DA9D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07CEAA">
                  <w:r>
                    <w:rPr>
                      <w:rStyle w:val="11"/>
                      <w:rFonts w:hint="eastAsia"/>
                    </w:rPr>
                    <w:t>施用方式</w:t>
                  </w:r>
                </w:p>
              </w:tc>
            </w:tr>
            <w:tr w14:paraId="65AE3B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6E748A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9D8C9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10CDEE">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B67F2">
                  <w:r>
                    <w:rPr>
                      <w:rStyle w:val="11"/>
                      <w:rFonts w:hint="eastAsia"/>
                    </w:rPr>
                    <w:t>茎叶喷雾</w:t>
                  </w:r>
                </w:p>
              </w:tc>
            </w:tr>
          </w:tbl>
          <w:p w14:paraId="266F7555">
            <w:pPr>
              <w:rPr>
                <w:rFonts w:ascii="Times New Roman" w:hAnsi="Times New Roman" w:cs="Times New Roman"/>
                <w:sz w:val="20"/>
                <w:szCs w:val="20"/>
              </w:rPr>
            </w:pPr>
          </w:p>
        </w:tc>
      </w:tr>
      <w:tr w14:paraId="6FAEE991">
        <w:tblPrEx>
          <w:tblCellMar>
            <w:top w:w="0" w:type="dxa"/>
            <w:left w:w="0" w:type="dxa"/>
            <w:bottom w:w="0" w:type="dxa"/>
            <w:right w:w="0" w:type="dxa"/>
          </w:tblCellMar>
        </w:tblPrEx>
        <w:trPr>
          <w:wBefore w:w="0" w:type="auto"/>
          <w:tblCellSpacing w:w="0" w:type="dxa"/>
        </w:trPr>
        <w:tc>
          <w:tcPr>
            <w:tcW w:w="0" w:type="auto"/>
            <w:noWrap w:val="0"/>
            <w:vAlign w:val="center"/>
          </w:tcPr>
          <w:p w14:paraId="6444AA5C">
            <w:r>
              <w:rPr>
                <w:rStyle w:val="10"/>
                <w:rFonts w:hint="eastAsia"/>
              </w:rPr>
              <w:t>使用技术要求:</w:t>
            </w:r>
            <w:r>
              <w:rPr>
                <w:rFonts w:hint="eastAsia"/>
              </w:rPr>
              <w:br w:type="textWrapping"/>
            </w:r>
            <w:r>
              <w:rPr>
                <w:rStyle w:val="11"/>
                <w:rFonts w:hint="eastAsia"/>
              </w:rPr>
              <w:t>1. 在非耕地杂草旺盛生长期，以推荐剂量兑水均匀茎叶喷雾施药1次，使用时应注意均匀喷雾。2.大风天或预计1小时内有雨，请勿施药。3.每季作物最多使用次数为1次。4. 禁止在田间道路、田埂、果树行间、休耕地、林场林地等农林业区域使用。</w:t>
            </w:r>
          </w:p>
        </w:tc>
      </w:tr>
      <w:tr w14:paraId="1647BDEE">
        <w:tblPrEx>
          <w:tblCellMar>
            <w:top w:w="0" w:type="dxa"/>
            <w:left w:w="0" w:type="dxa"/>
            <w:bottom w:w="0" w:type="dxa"/>
            <w:right w:w="0" w:type="dxa"/>
          </w:tblCellMar>
        </w:tblPrEx>
        <w:trPr>
          <w:wBefore w:w="0" w:type="auto"/>
          <w:tblCellSpacing w:w="0" w:type="dxa"/>
        </w:trPr>
        <w:tc>
          <w:tcPr>
            <w:tcW w:w="0" w:type="auto"/>
            <w:noWrap w:val="0"/>
            <w:vAlign w:val="center"/>
          </w:tcPr>
          <w:p w14:paraId="5DCB199E">
            <w:r>
              <w:rPr>
                <w:rStyle w:val="10"/>
                <w:rFonts w:hint="eastAsia"/>
              </w:rPr>
              <w:t>产品性能:</w:t>
            </w:r>
            <w:r>
              <w:rPr>
                <w:rFonts w:hint="eastAsia"/>
              </w:rPr>
              <w:br w:type="textWrapping"/>
            </w:r>
            <w:r>
              <w:rPr>
                <w:rStyle w:val="11"/>
                <w:rFonts w:hint="eastAsia"/>
              </w:rPr>
              <w:t>本品为乙羧氟草醚、精喹禾灵和草铵膦复配制剂，乙羧氟草醚为激素类型选择性除草剂，可防除马唐、苋等阔叶杂草及萌芽期禾本科杂草。精喹禾灵为苯氧脂肪酸类除草剂，在禾本科杂草与双子叶作物间有高度选择性。草铵膦属于有机磷类非传导性灭生除草剂。该产品对非耕地杂草有较好的防效。</w:t>
            </w:r>
          </w:p>
        </w:tc>
      </w:tr>
      <w:tr w14:paraId="4C5DDDC2">
        <w:tblPrEx>
          <w:tblCellMar>
            <w:top w:w="0" w:type="dxa"/>
            <w:left w:w="0" w:type="dxa"/>
            <w:bottom w:w="0" w:type="dxa"/>
            <w:right w:w="0" w:type="dxa"/>
          </w:tblCellMar>
        </w:tblPrEx>
        <w:trPr>
          <w:wBefore w:w="0" w:type="auto"/>
          <w:tblCellSpacing w:w="0" w:type="dxa"/>
        </w:trPr>
        <w:tc>
          <w:tcPr>
            <w:tcW w:w="0" w:type="auto"/>
            <w:noWrap w:val="0"/>
            <w:vAlign w:val="center"/>
          </w:tcPr>
          <w:p w14:paraId="633B5690">
            <w:r>
              <w:rPr>
                <w:rStyle w:val="10"/>
                <w:rFonts w:hint="eastAsia"/>
              </w:rPr>
              <w:t>注意事项：</w:t>
            </w:r>
            <w:r>
              <w:rPr>
                <w:rFonts w:hint="eastAsia"/>
              </w:rPr>
              <w:br w:type="textWrapping"/>
            </w:r>
            <w:r>
              <w:rPr>
                <w:rStyle w:val="11"/>
                <w:rFonts w:hint="eastAsia"/>
              </w:rPr>
              <w:t>1. 喷雾时需定向均匀全面喷在杂草上，勿使药液漂移或接触到作物上，以免产生药害。 2. 避免药液接触皮肤和污染衣物，避免吸入雾滴。切勿在施药现场抽烟或饮食。 3. 本品对眼睛有刺激性，使用时避免接触眼睛，穿戴长衣、长裤、帽子、口罩、手套等防护措施，使用后应及时清洗皮肤及所穿衣物。 4. 本品对鸟类、蜜蜂、鱼类等水生生物、家蚕有毒，施药期间应避免对周围蜂群的影响，禁止在开花植物花期、蚕室和桑园附近使用，鸟类保护区附近禁用。 5. 远离水产养殖区、河塘等水域施药。禁止在河塘等水域清洗施药器具。 6. 赤眼蜂、瓢虫等天敌放飞区域禁用。 7. 避免孕妇和哺乳期的妇女接触本品。 8. 用过的容器应妥善处理，不可随意丢弃或作他用。 9. 避免与氧化剂接触。</w:t>
            </w:r>
          </w:p>
        </w:tc>
      </w:tr>
      <w:tr w14:paraId="0A4D07F5">
        <w:tblPrEx>
          <w:tblCellMar>
            <w:top w:w="0" w:type="dxa"/>
            <w:left w:w="0" w:type="dxa"/>
            <w:bottom w:w="0" w:type="dxa"/>
            <w:right w:w="0" w:type="dxa"/>
          </w:tblCellMar>
        </w:tblPrEx>
        <w:trPr>
          <w:wBefore w:w="0" w:type="auto"/>
          <w:tblCellSpacing w:w="0" w:type="dxa"/>
        </w:trPr>
        <w:tc>
          <w:tcPr>
            <w:tcW w:w="0" w:type="auto"/>
            <w:noWrap w:val="0"/>
            <w:vAlign w:val="center"/>
          </w:tcPr>
          <w:p w14:paraId="2BDD2567">
            <w:r>
              <w:rPr>
                <w:rStyle w:val="10"/>
                <w:rFonts w:hint="eastAsia"/>
              </w:rPr>
              <w:t>中毒急救措施：</w:t>
            </w:r>
            <w:r>
              <w:rPr>
                <w:rFonts w:hint="eastAsia"/>
              </w:rPr>
              <w:br w:type="textWrapping"/>
            </w:r>
            <w:r>
              <w:rPr>
                <w:rStyle w:val="11"/>
                <w:rFonts w:hint="eastAsia"/>
              </w:rPr>
              <w:t>中毒症状：头晕、头痛、恶心、呕吐等。急救措施：1、若溅到皮肤上，应立即用大量清水冲洗，如皮肤疼痛感持续，请医生诊治。 2、不慎溅入眼中，要立即用清水冲洗15分钟以上，并请医生诊治。 3、不慎吸入，应将病人移至空气流通处。4、若误服，立即携此标签将病人送医院救治，可对症治疗，无特殊解毒药。</w:t>
            </w:r>
          </w:p>
        </w:tc>
      </w:tr>
      <w:tr w14:paraId="17773F3F">
        <w:tblPrEx>
          <w:tblCellMar>
            <w:top w:w="0" w:type="dxa"/>
            <w:left w:w="0" w:type="dxa"/>
            <w:bottom w:w="0" w:type="dxa"/>
            <w:right w:w="0" w:type="dxa"/>
          </w:tblCellMar>
        </w:tblPrEx>
        <w:trPr>
          <w:wBefore w:w="0" w:type="auto"/>
          <w:tblCellSpacing w:w="0" w:type="dxa"/>
        </w:trPr>
        <w:tc>
          <w:tcPr>
            <w:tcW w:w="0" w:type="auto"/>
            <w:noWrap w:val="0"/>
            <w:vAlign w:val="center"/>
          </w:tcPr>
          <w:p w14:paraId="2A6F0343">
            <w:r>
              <w:rPr>
                <w:rStyle w:val="10"/>
                <w:rFonts w:hint="eastAsia"/>
              </w:rPr>
              <w:t>储存和运输方法：</w:t>
            </w:r>
            <w:r>
              <w:rPr>
                <w:rFonts w:hint="eastAsia"/>
              </w:rPr>
              <w:br w:type="textWrapping"/>
            </w:r>
            <w:r>
              <w:rPr>
                <w:rStyle w:val="11"/>
                <w:rFonts w:hint="eastAsia"/>
              </w:rPr>
              <w:t>本品应贮存在干燥、阴凉、通风、防雨处。本品属易燃液体，远离火源或热源。置于儿童、无关人员触及不到之处，并加锁。勿与食品、饮料、粮食、饲料等物其他商品同贮同运。</w:t>
            </w:r>
          </w:p>
        </w:tc>
      </w:tr>
      <w:tr w14:paraId="165FECC7">
        <w:tblPrEx>
          <w:tblCellMar>
            <w:top w:w="0" w:type="dxa"/>
            <w:left w:w="0" w:type="dxa"/>
            <w:bottom w:w="0" w:type="dxa"/>
            <w:right w:w="0" w:type="dxa"/>
          </w:tblCellMar>
        </w:tblPrEx>
        <w:trPr>
          <w:wBefore w:w="0" w:type="auto"/>
          <w:tblCellSpacing w:w="0" w:type="dxa"/>
        </w:trPr>
        <w:tc>
          <w:tcPr>
            <w:tcW w:w="0" w:type="auto"/>
            <w:noWrap w:val="0"/>
            <w:vAlign w:val="center"/>
          </w:tcPr>
          <w:p w14:paraId="7B08F1D8">
            <w:r>
              <w:rPr>
                <w:rStyle w:val="10"/>
                <w:rFonts w:hint="eastAsia"/>
              </w:rPr>
              <w:t>质量保证期：</w:t>
            </w:r>
            <w:r>
              <w:rPr>
                <w:rStyle w:val="11"/>
                <w:rFonts w:hint="eastAsia"/>
              </w:rPr>
              <w:t>2年</w:t>
            </w:r>
          </w:p>
        </w:tc>
      </w:tr>
      <w:tr w14:paraId="5C102679">
        <w:tblPrEx>
          <w:tblCellMar>
            <w:top w:w="0" w:type="dxa"/>
            <w:left w:w="0" w:type="dxa"/>
            <w:bottom w:w="0" w:type="dxa"/>
            <w:right w:w="0" w:type="dxa"/>
          </w:tblCellMar>
        </w:tblPrEx>
        <w:trPr>
          <w:wBefore w:w="0" w:type="auto"/>
          <w:tblCellSpacing w:w="0" w:type="dxa"/>
        </w:trPr>
        <w:tc>
          <w:tcPr>
            <w:tcW w:w="0" w:type="auto"/>
            <w:noWrap w:val="0"/>
            <w:vAlign w:val="center"/>
          </w:tcPr>
          <w:p w14:paraId="780EED92">
            <w:r>
              <w:rPr>
                <w:rStyle w:val="10"/>
                <w:rFonts w:hint="eastAsia"/>
              </w:rPr>
              <w:t>备注：</w:t>
            </w:r>
          </w:p>
        </w:tc>
      </w:tr>
    </w:tbl>
    <w:p w14:paraId="7CFA67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22205E">
        <w:tblPrEx>
          <w:tblCellMar>
            <w:top w:w="0" w:type="dxa"/>
            <w:left w:w="0" w:type="dxa"/>
            <w:bottom w:w="0" w:type="dxa"/>
            <w:right w:w="0" w:type="dxa"/>
          </w:tblCellMar>
        </w:tblPrEx>
        <w:trPr>
          <w:wBefore w:w="0" w:type="auto"/>
          <w:tblCellSpacing w:w="0" w:type="dxa"/>
        </w:trPr>
        <w:tc>
          <w:tcPr>
            <w:tcW w:w="0" w:type="auto"/>
            <w:noWrap w:val="0"/>
            <w:vAlign w:val="center"/>
          </w:tcPr>
          <w:p w14:paraId="352C8584">
            <w:r>
              <w:rPr>
                <w:rStyle w:val="10"/>
                <w:rFonts w:hint="eastAsia"/>
              </w:rPr>
              <w:t>登记证号：</w:t>
            </w:r>
            <w:r>
              <w:rPr>
                <w:rFonts w:hint="eastAsia"/>
              </w:rPr>
              <w:t>PD20212730</w:t>
            </w:r>
          </w:p>
        </w:tc>
      </w:tr>
      <w:tr w14:paraId="6DE68E51">
        <w:tblPrEx>
          <w:tblCellMar>
            <w:top w:w="0" w:type="dxa"/>
            <w:left w:w="0" w:type="dxa"/>
            <w:bottom w:w="0" w:type="dxa"/>
            <w:right w:w="0" w:type="dxa"/>
          </w:tblCellMar>
        </w:tblPrEx>
        <w:trPr>
          <w:wBefore w:w="0" w:type="auto"/>
          <w:tblCellSpacing w:w="0" w:type="dxa"/>
        </w:trPr>
        <w:tc>
          <w:tcPr>
            <w:tcW w:w="0" w:type="auto"/>
            <w:noWrap w:val="0"/>
            <w:vAlign w:val="center"/>
          </w:tcPr>
          <w:p w14:paraId="741CA743">
            <w:r>
              <w:rPr>
                <w:rStyle w:val="10"/>
                <w:rFonts w:hint="eastAsia"/>
              </w:rPr>
              <w:t>登记证持有人：</w:t>
            </w:r>
            <w:r>
              <w:rPr>
                <w:rFonts w:hint="eastAsia"/>
              </w:rPr>
              <w:t>江苏苏滨生物农化有限公司</w:t>
            </w:r>
          </w:p>
        </w:tc>
      </w:tr>
      <w:tr w14:paraId="45C81F22">
        <w:tblPrEx>
          <w:tblCellMar>
            <w:top w:w="0" w:type="dxa"/>
            <w:left w:w="0" w:type="dxa"/>
            <w:bottom w:w="0" w:type="dxa"/>
            <w:right w:w="0" w:type="dxa"/>
          </w:tblCellMar>
        </w:tblPrEx>
        <w:trPr>
          <w:wBefore w:w="0" w:type="auto"/>
          <w:tblCellSpacing w:w="0" w:type="dxa"/>
        </w:trPr>
        <w:tc>
          <w:tcPr>
            <w:tcW w:w="0" w:type="auto"/>
            <w:noWrap w:val="0"/>
            <w:vAlign w:val="center"/>
          </w:tcPr>
          <w:p w14:paraId="2D2F1ADD">
            <w:r>
              <w:rPr>
                <w:rStyle w:val="10"/>
                <w:rFonts w:hint="eastAsia"/>
              </w:rPr>
              <w:t>农药名称：</w:t>
            </w:r>
            <w:r>
              <w:rPr>
                <w:rFonts w:hint="eastAsia"/>
              </w:rPr>
              <w:t>氟环·嘧菌酯</w:t>
            </w:r>
          </w:p>
        </w:tc>
      </w:tr>
      <w:tr w14:paraId="695A810B">
        <w:tblPrEx>
          <w:tblCellMar>
            <w:top w:w="0" w:type="dxa"/>
            <w:left w:w="0" w:type="dxa"/>
            <w:bottom w:w="0" w:type="dxa"/>
            <w:right w:w="0" w:type="dxa"/>
          </w:tblCellMar>
        </w:tblPrEx>
        <w:trPr>
          <w:wBefore w:w="0" w:type="auto"/>
          <w:tblCellSpacing w:w="0" w:type="dxa"/>
        </w:trPr>
        <w:tc>
          <w:tcPr>
            <w:tcW w:w="0" w:type="auto"/>
            <w:noWrap w:val="0"/>
            <w:vAlign w:val="center"/>
          </w:tcPr>
          <w:p w14:paraId="4490F033">
            <w:r>
              <w:rPr>
                <w:rStyle w:val="10"/>
                <w:rFonts w:hint="eastAsia"/>
              </w:rPr>
              <w:t>剂型：</w:t>
            </w:r>
            <w:r>
              <w:rPr>
                <w:rFonts w:hint="eastAsia"/>
              </w:rPr>
              <w:t>悬浮剂</w:t>
            </w:r>
          </w:p>
        </w:tc>
      </w:tr>
      <w:tr w14:paraId="71CF7945">
        <w:tblPrEx>
          <w:tblCellMar>
            <w:top w:w="0" w:type="dxa"/>
            <w:left w:w="0" w:type="dxa"/>
            <w:bottom w:w="0" w:type="dxa"/>
            <w:right w:w="0" w:type="dxa"/>
          </w:tblCellMar>
        </w:tblPrEx>
        <w:trPr>
          <w:wBefore w:w="0" w:type="auto"/>
          <w:tblCellSpacing w:w="0" w:type="dxa"/>
        </w:trPr>
        <w:tc>
          <w:tcPr>
            <w:tcW w:w="0" w:type="auto"/>
            <w:noWrap w:val="0"/>
            <w:vAlign w:val="center"/>
          </w:tcPr>
          <w:p w14:paraId="4044894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0" name="图片 3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8B686F">
        <w:tblPrEx>
          <w:tblCellMar>
            <w:top w:w="0" w:type="dxa"/>
            <w:left w:w="0" w:type="dxa"/>
            <w:bottom w:w="0" w:type="dxa"/>
            <w:right w:w="0" w:type="dxa"/>
          </w:tblCellMar>
        </w:tblPrEx>
        <w:trPr>
          <w:wBefore w:w="0" w:type="auto"/>
          <w:tblCellSpacing w:w="0" w:type="dxa"/>
        </w:trPr>
        <w:tc>
          <w:tcPr>
            <w:tcW w:w="0" w:type="auto"/>
            <w:noWrap w:val="0"/>
            <w:vAlign w:val="center"/>
          </w:tcPr>
          <w:p w14:paraId="37D5E59A">
            <w:r>
              <w:rPr>
                <w:rStyle w:val="10"/>
                <w:rFonts w:hint="eastAsia"/>
              </w:rPr>
              <w:t>总有效成分含量：</w:t>
            </w:r>
            <w:r>
              <w:rPr>
                <w:rFonts w:hint="eastAsia"/>
              </w:rPr>
              <w:t>32%</w:t>
            </w:r>
          </w:p>
        </w:tc>
      </w:tr>
      <w:tr w14:paraId="744FDAC9">
        <w:tblPrEx>
          <w:tblCellMar>
            <w:top w:w="0" w:type="dxa"/>
            <w:left w:w="0" w:type="dxa"/>
            <w:bottom w:w="0" w:type="dxa"/>
            <w:right w:w="0" w:type="dxa"/>
          </w:tblCellMar>
        </w:tblPrEx>
        <w:trPr>
          <w:wBefore w:w="0" w:type="auto"/>
          <w:tblCellSpacing w:w="0" w:type="dxa"/>
        </w:trPr>
        <w:tc>
          <w:tcPr>
            <w:tcW w:w="0" w:type="auto"/>
            <w:noWrap w:val="0"/>
            <w:vAlign w:val="center"/>
          </w:tcPr>
          <w:p w14:paraId="395E3225">
            <w:r>
              <w:rPr>
                <w:rFonts w:hint="eastAsia"/>
              </w:rPr>
              <w:t xml:space="preserve">有效成分及其含量： </w:t>
            </w:r>
          </w:p>
          <w:p w14:paraId="2E8BD123">
            <w:r>
              <w:rPr>
                <w:rFonts w:hint="eastAsia"/>
              </w:rPr>
              <w:t xml:space="preserve">    氟环唑12%    嘧菌酯20%    </w:t>
            </w:r>
          </w:p>
        </w:tc>
      </w:tr>
      <w:tr w14:paraId="70848746">
        <w:tblPrEx>
          <w:tblCellMar>
            <w:top w:w="0" w:type="dxa"/>
            <w:left w:w="0" w:type="dxa"/>
            <w:bottom w:w="0" w:type="dxa"/>
            <w:right w:w="0" w:type="dxa"/>
          </w:tblCellMar>
        </w:tblPrEx>
        <w:trPr>
          <w:wBefore w:w="0" w:type="auto"/>
          <w:tblCellSpacing w:w="0" w:type="dxa"/>
        </w:trPr>
        <w:tc>
          <w:tcPr>
            <w:tcW w:w="0" w:type="auto"/>
            <w:noWrap w:val="0"/>
            <w:vAlign w:val="center"/>
          </w:tcPr>
          <w:p w14:paraId="609847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ECD1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7CB2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80A5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61AD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AFC3E9">
                  <w:r>
                    <w:rPr>
                      <w:rStyle w:val="11"/>
                      <w:rFonts w:hint="eastAsia"/>
                    </w:rPr>
                    <w:t>施用方式</w:t>
                  </w:r>
                </w:p>
              </w:tc>
            </w:tr>
            <w:tr w14:paraId="5FB70C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F094EF">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BD5222">
                  <w:r>
                    <w:rPr>
                      <w:rStyle w:val="11"/>
                      <w:rFonts w:hint="eastAsia"/>
                    </w:rPr>
                    <w:t>叶斑病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C37ECE">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C607B3">
                  <w:r>
                    <w:rPr>
                      <w:rStyle w:val="11"/>
                      <w:rFonts w:hint="eastAsia"/>
                    </w:rPr>
                    <w:t>喷雾</w:t>
                  </w:r>
                </w:p>
              </w:tc>
            </w:tr>
            <w:tr w14:paraId="32013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BC0C8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45B672">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962A21">
                  <w:r>
                    <w:rPr>
                      <w:rStyle w:val="11"/>
                      <w:rFonts w:hint="eastAsia"/>
                    </w:rPr>
                    <w:t>35-45毫升/亩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F81C5E">
                  <w:r>
                    <w:rPr>
                      <w:rStyle w:val="11"/>
                      <w:rFonts w:hint="eastAsia"/>
                    </w:rPr>
                    <w:t>茎叶喷雾</w:t>
                  </w:r>
                </w:p>
              </w:tc>
            </w:tr>
          </w:tbl>
          <w:p w14:paraId="49752843">
            <w:pPr>
              <w:rPr>
                <w:rFonts w:ascii="Times New Roman" w:hAnsi="Times New Roman" w:cs="Times New Roman"/>
                <w:sz w:val="20"/>
                <w:szCs w:val="20"/>
              </w:rPr>
            </w:pPr>
          </w:p>
        </w:tc>
      </w:tr>
      <w:tr w14:paraId="7F314383">
        <w:tblPrEx>
          <w:tblCellMar>
            <w:top w:w="0" w:type="dxa"/>
            <w:left w:w="0" w:type="dxa"/>
            <w:bottom w:w="0" w:type="dxa"/>
            <w:right w:w="0" w:type="dxa"/>
          </w:tblCellMar>
        </w:tblPrEx>
        <w:trPr>
          <w:wBefore w:w="0" w:type="auto"/>
          <w:tblCellSpacing w:w="0" w:type="dxa"/>
        </w:trPr>
        <w:tc>
          <w:tcPr>
            <w:tcW w:w="0" w:type="auto"/>
            <w:noWrap w:val="0"/>
            <w:vAlign w:val="center"/>
          </w:tcPr>
          <w:p w14:paraId="38090088">
            <w:r>
              <w:rPr>
                <w:rStyle w:val="10"/>
                <w:rFonts w:hint="eastAsia"/>
              </w:rPr>
              <w:t>使用技术要求:</w:t>
            </w:r>
            <w:r>
              <w:rPr>
                <w:rFonts w:hint="eastAsia"/>
              </w:rPr>
              <w:br w:type="textWrapping"/>
            </w:r>
            <w:r>
              <w:rPr>
                <w:rStyle w:val="11"/>
                <w:rFonts w:hint="eastAsia"/>
              </w:rPr>
              <w:t>1．本品应于香蕉叶斑病发病初期，采取叶面喷雾法施药，以均匀喷湿叶片正反面而不滴药液为度。2．本品应于水稻纹枯病发病前或初期进行防治，注意喷雾均匀、周到。3．大风天或预计1小时内降雨，请勿施药。4．本品在香蕉上使用的安全间隔期为42天，每季最多使用3次，间隔7天；本品在水稻上使用的安全间隔期为30天，每季最多使用2次，间隔7-10天。</w:t>
            </w:r>
          </w:p>
        </w:tc>
      </w:tr>
      <w:tr w14:paraId="7D0D22D9">
        <w:tblPrEx>
          <w:tblCellMar>
            <w:top w:w="0" w:type="dxa"/>
            <w:left w:w="0" w:type="dxa"/>
            <w:bottom w:w="0" w:type="dxa"/>
            <w:right w:w="0" w:type="dxa"/>
          </w:tblCellMar>
        </w:tblPrEx>
        <w:trPr>
          <w:wBefore w:w="0" w:type="auto"/>
          <w:tblCellSpacing w:w="0" w:type="dxa"/>
        </w:trPr>
        <w:tc>
          <w:tcPr>
            <w:tcW w:w="0" w:type="auto"/>
            <w:noWrap w:val="0"/>
            <w:vAlign w:val="center"/>
          </w:tcPr>
          <w:p w14:paraId="2101B676">
            <w:r>
              <w:rPr>
                <w:rStyle w:val="10"/>
                <w:rFonts w:hint="eastAsia"/>
              </w:rPr>
              <w:t>产品性能:</w:t>
            </w:r>
            <w:r>
              <w:rPr>
                <w:rFonts w:hint="eastAsia"/>
              </w:rPr>
              <w:br w:type="textWrapping"/>
            </w:r>
            <w:r>
              <w:rPr>
                <w:rStyle w:val="11"/>
                <w:rFonts w:hint="eastAsia"/>
              </w:rPr>
              <w:t>本品是由氟环唑和嘧菌酯复配而成的杀菌剂。按推荐剂量使用时，对香蕉叶斑病、水稻纹枯病有较好防治效果，且对供试香蕉、水稻安全。</w:t>
            </w:r>
          </w:p>
        </w:tc>
      </w:tr>
      <w:tr w14:paraId="18AD7D27">
        <w:tblPrEx>
          <w:tblCellMar>
            <w:top w:w="0" w:type="dxa"/>
            <w:left w:w="0" w:type="dxa"/>
            <w:bottom w:w="0" w:type="dxa"/>
            <w:right w:w="0" w:type="dxa"/>
          </w:tblCellMar>
        </w:tblPrEx>
        <w:trPr>
          <w:wBefore w:w="0" w:type="auto"/>
          <w:tblCellSpacing w:w="0" w:type="dxa"/>
        </w:trPr>
        <w:tc>
          <w:tcPr>
            <w:tcW w:w="0" w:type="auto"/>
            <w:noWrap w:val="0"/>
            <w:vAlign w:val="center"/>
          </w:tcPr>
          <w:p w14:paraId="2AFFCA26">
            <w:r>
              <w:rPr>
                <w:rStyle w:val="10"/>
                <w:rFonts w:hint="eastAsia"/>
              </w:rPr>
              <w:t>注意事项：</w:t>
            </w:r>
            <w:r>
              <w:rPr>
                <w:rFonts w:hint="eastAsia"/>
              </w:rPr>
              <w:br w:type="textWrapping"/>
            </w:r>
            <w:r>
              <w:rPr>
                <w:rStyle w:val="11"/>
                <w:rFonts w:hint="eastAsia"/>
              </w:rPr>
              <w:t>.严格按照规定用药量和方法使用。2.本品不能与呈碱性农药、乳油类农药和有机硅类助剂混用，建议与其他作用机制不同的杀菌剂轮换使用，以延缓病菌抗性产生。3.本品对溞类、鱼类和藻类毒性高，水产养殖区、河塘等水体附近禁用，禁止在河塘等水体中清洗施药器具，鱼或虾蟹套养稻田禁用，施药后的田水不得直接排入水体。4.用药后包装物及用过的容器应妥善处理，不可做他用，也不可随意丢弃。5.使用本品时应穿防护服和戴手套，避免吸入药液。施药期间不可吃东西和饮水，施药后应及时洗手和洗脸。6.孕妇及哺乳期妇女禁止接触。7.避免与氧化剂接触。</w:t>
            </w:r>
          </w:p>
        </w:tc>
      </w:tr>
      <w:tr w14:paraId="17BFA710">
        <w:tblPrEx>
          <w:tblCellMar>
            <w:top w:w="0" w:type="dxa"/>
            <w:left w:w="0" w:type="dxa"/>
            <w:bottom w:w="0" w:type="dxa"/>
            <w:right w:w="0" w:type="dxa"/>
          </w:tblCellMar>
        </w:tblPrEx>
        <w:trPr>
          <w:wBefore w:w="0" w:type="auto"/>
          <w:tblCellSpacing w:w="0" w:type="dxa"/>
        </w:trPr>
        <w:tc>
          <w:tcPr>
            <w:tcW w:w="0" w:type="auto"/>
            <w:noWrap w:val="0"/>
            <w:vAlign w:val="center"/>
          </w:tcPr>
          <w:p w14:paraId="1970AD6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7498CD12">
        <w:tblPrEx>
          <w:tblCellMar>
            <w:top w:w="0" w:type="dxa"/>
            <w:left w:w="0" w:type="dxa"/>
            <w:bottom w:w="0" w:type="dxa"/>
            <w:right w:w="0" w:type="dxa"/>
          </w:tblCellMar>
        </w:tblPrEx>
        <w:trPr>
          <w:wBefore w:w="0" w:type="auto"/>
          <w:tblCellSpacing w:w="0" w:type="dxa"/>
        </w:trPr>
        <w:tc>
          <w:tcPr>
            <w:tcW w:w="0" w:type="auto"/>
            <w:noWrap w:val="0"/>
            <w:vAlign w:val="center"/>
          </w:tcPr>
          <w:p w14:paraId="7D909BA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本品应贮存在干燥、阴凉、通风、防雨处，远离火源或热源。置于儿童、无关人员及动物接触不到的地方，并加锁保存。勿与食品、饮料、饲料等其他商品同贮同运。</w:t>
            </w:r>
          </w:p>
        </w:tc>
      </w:tr>
      <w:tr w14:paraId="62467C97">
        <w:tblPrEx>
          <w:tblCellMar>
            <w:top w:w="0" w:type="dxa"/>
            <w:left w:w="0" w:type="dxa"/>
            <w:bottom w:w="0" w:type="dxa"/>
            <w:right w:w="0" w:type="dxa"/>
          </w:tblCellMar>
        </w:tblPrEx>
        <w:trPr>
          <w:wBefore w:w="0" w:type="auto"/>
          <w:tblCellSpacing w:w="0" w:type="dxa"/>
        </w:trPr>
        <w:tc>
          <w:tcPr>
            <w:tcW w:w="0" w:type="auto"/>
            <w:noWrap w:val="0"/>
            <w:vAlign w:val="center"/>
          </w:tcPr>
          <w:p w14:paraId="63D86F39">
            <w:r>
              <w:rPr>
                <w:rStyle w:val="10"/>
                <w:rFonts w:hint="eastAsia"/>
              </w:rPr>
              <w:t>质量保证期：</w:t>
            </w:r>
            <w:r>
              <w:rPr>
                <w:rStyle w:val="11"/>
                <w:rFonts w:hint="eastAsia"/>
              </w:rPr>
              <w:t>2年</w:t>
            </w:r>
          </w:p>
        </w:tc>
      </w:tr>
      <w:tr w14:paraId="629DDFD8">
        <w:tblPrEx>
          <w:tblCellMar>
            <w:top w:w="0" w:type="dxa"/>
            <w:left w:w="0" w:type="dxa"/>
            <w:bottom w:w="0" w:type="dxa"/>
            <w:right w:w="0" w:type="dxa"/>
          </w:tblCellMar>
        </w:tblPrEx>
        <w:trPr>
          <w:wBefore w:w="0" w:type="auto"/>
          <w:tblCellSpacing w:w="0" w:type="dxa"/>
        </w:trPr>
        <w:tc>
          <w:tcPr>
            <w:tcW w:w="0" w:type="auto"/>
            <w:noWrap w:val="0"/>
            <w:vAlign w:val="center"/>
          </w:tcPr>
          <w:p w14:paraId="631054C4">
            <w:r>
              <w:rPr>
                <w:rStyle w:val="10"/>
                <w:rFonts w:hint="eastAsia"/>
              </w:rPr>
              <w:t>备注：</w:t>
            </w:r>
          </w:p>
        </w:tc>
      </w:tr>
    </w:tbl>
    <w:p w14:paraId="714CE8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F758E6">
        <w:tblPrEx>
          <w:tblCellMar>
            <w:top w:w="0" w:type="dxa"/>
            <w:left w:w="0" w:type="dxa"/>
            <w:bottom w:w="0" w:type="dxa"/>
            <w:right w:w="0" w:type="dxa"/>
          </w:tblCellMar>
        </w:tblPrEx>
        <w:trPr>
          <w:wBefore w:w="0" w:type="auto"/>
          <w:tblCellSpacing w:w="0" w:type="dxa"/>
        </w:trPr>
        <w:tc>
          <w:tcPr>
            <w:tcW w:w="0" w:type="auto"/>
            <w:noWrap w:val="0"/>
            <w:vAlign w:val="center"/>
          </w:tcPr>
          <w:p w14:paraId="5092997A">
            <w:r>
              <w:rPr>
                <w:rStyle w:val="10"/>
                <w:rFonts w:hint="eastAsia"/>
              </w:rPr>
              <w:t>登记证号：</w:t>
            </w:r>
            <w:r>
              <w:rPr>
                <w:rFonts w:hint="eastAsia"/>
              </w:rPr>
              <w:t>PD20212722</w:t>
            </w:r>
          </w:p>
        </w:tc>
      </w:tr>
      <w:tr w14:paraId="52DFACC2">
        <w:tblPrEx>
          <w:tblCellMar>
            <w:top w:w="0" w:type="dxa"/>
            <w:left w:w="0" w:type="dxa"/>
            <w:bottom w:w="0" w:type="dxa"/>
            <w:right w:w="0" w:type="dxa"/>
          </w:tblCellMar>
        </w:tblPrEx>
        <w:trPr>
          <w:wBefore w:w="0" w:type="auto"/>
          <w:tblCellSpacing w:w="0" w:type="dxa"/>
        </w:trPr>
        <w:tc>
          <w:tcPr>
            <w:tcW w:w="0" w:type="auto"/>
            <w:noWrap w:val="0"/>
            <w:vAlign w:val="center"/>
          </w:tcPr>
          <w:p w14:paraId="730E9109">
            <w:r>
              <w:rPr>
                <w:rStyle w:val="10"/>
                <w:rFonts w:hint="eastAsia"/>
              </w:rPr>
              <w:t>登记证持有人：</w:t>
            </w:r>
            <w:r>
              <w:rPr>
                <w:rFonts w:hint="eastAsia"/>
              </w:rPr>
              <w:t>陕西省蒲城美尔果农化有限责任公司</w:t>
            </w:r>
          </w:p>
        </w:tc>
      </w:tr>
      <w:tr w14:paraId="5D92A1E4">
        <w:tblPrEx>
          <w:tblCellMar>
            <w:top w:w="0" w:type="dxa"/>
            <w:left w:w="0" w:type="dxa"/>
            <w:bottom w:w="0" w:type="dxa"/>
            <w:right w:w="0" w:type="dxa"/>
          </w:tblCellMar>
        </w:tblPrEx>
        <w:trPr>
          <w:wBefore w:w="0" w:type="auto"/>
          <w:tblCellSpacing w:w="0" w:type="dxa"/>
        </w:trPr>
        <w:tc>
          <w:tcPr>
            <w:tcW w:w="0" w:type="auto"/>
            <w:noWrap w:val="0"/>
            <w:vAlign w:val="center"/>
          </w:tcPr>
          <w:p w14:paraId="7AEDA454">
            <w:r>
              <w:rPr>
                <w:rStyle w:val="10"/>
                <w:rFonts w:hint="eastAsia"/>
              </w:rPr>
              <w:t>农药名称：</w:t>
            </w:r>
            <w:r>
              <w:rPr>
                <w:rFonts w:hint="eastAsia"/>
              </w:rPr>
              <w:t>霜霉·精甲霜</w:t>
            </w:r>
          </w:p>
        </w:tc>
      </w:tr>
      <w:tr w14:paraId="709A4A99">
        <w:tblPrEx>
          <w:tblCellMar>
            <w:top w:w="0" w:type="dxa"/>
            <w:left w:w="0" w:type="dxa"/>
            <w:bottom w:w="0" w:type="dxa"/>
            <w:right w:w="0" w:type="dxa"/>
          </w:tblCellMar>
        </w:tblPrEx>
        <w:trPr>
          <w:wBefore w:w="0" w:type="auto"/>
          <w:tblCellSpacing w:w="0" w:type="dxa"/>
        </w:trPr>
        <w:tc>
          <w:tcPr>
            <w:tcW w:w="0" w:type="auto"/>
            <w:noWrap w:val="0"/>
            <w:vAlign w:val="center"/>
          </w:tcPr>
          <w:p w14:paraId="3B29351E">
            <w:r>
              <w:rPr>
                <w:rStyle w:val="10"/>
                <w:rFonts w:hint="eastAsia"/>
              </w:rPr>
              <w:t>剂型：</w:t>
            </w:r>
            <w:r>
              <w:rPr>
                <w:rFonts w:hint="eastAsia"/>
              </w:rPr>
              <w:t>可溶液剂</w:t>
            </w:r>
          </w:p>
        </w:tc>
      </w:tr>
      <w:tr w14:paraId="226AE1CD">
        <w:tblPrEx>
          <w:tblCellMar>
            <w:top w:w="0" w:type="dxa"/>
            <w:left w:w="0" w:type="dxa"/>
            <w:bottom w:w="0" w:type="dxa"/>
            <w:right w:w="0" w:type="dxa"/>
          </w:tblCellMar>
        </w:tblPrEx>
        <w:trPr>
          <w:wBefore w:w="0" w:type="auto"/>
          <w:tblCellSpacing w:w="0" w:type="dxa"/>
        </w:trPr>
        <w:tc>
          <w:tcPr>
            <w:tcW w:w="0" w:type="auto"/>
            <w:noWrap w:val="0"/>
            <w:vAlign w:val="center"/>
          </w:tcPr>
          <w:p w14:paraId="480291BF">
            <w:r>
              <w:rPr>
                <w:rStyle w:val="10"/>
                <w:rFonts w:hint="eastAsia"/>
              </w:rPr>
              <w:t>毒性及其标识：</w:t>
            </w:r>
            <w:r>
              <w:rPr>
                <w:rFonts w:hint="eastAsia"/>
              </w:rPr>
              <w:t xml:space="preserve"> </w:t>
            </w:r>
            <w:r>
              <w:rPr>
                <w:lang/>
              </w:rPr>
              <w:drawing>
                <wp:inline distT="0" distB="0" distL="114300" distR="114300">
                  <wp:extent cx="476250" cy="323850"/>
                  <wp:effectExtent l="0" t="0" r="0" b="0"/>
                  <wp:docPr id="361" name="图片 3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E7396D1">
        <w:tblPrEx>
          <w:tblCellMar>
            <w:top w:w="0" w:type="dxa"/>
            <w:left w:w="0" w:type="dxa"/>
            <w:bottom w:w="0" w:type="dxa"/>
            <w:right w:w="0" w:type="dxa"/>
          </w:tblCellMar>
        </w:tblPrEx>
        <w:trPr>
          <w:wBefore w:w="0" w:type="auto"/>
          <w:tblCellSpacing w:w="0" w:type="dxa"/>
        </w:trPr>
        <w:tc>
          <w:tcPr>
            <w:tcW w:w="0" w:type="auto"/>
            <w:noWrap w:val="0"/>
            <w:vAlign w:val="center"/>
          </w:tcPr>
          <w:p w14:paraId="673AC196">
            <w:r>
              <w:rPr>
                <w:rStyle w:val="10"/>
                <w:rFonts w:hint="eastAsia"/>
              </w:rPr>
              <w:t>总有效成分含量：</w:t>
            </w:r>
            <w:r>
              <w:rPr>
                <w:rFonts w:hint="eastAsia"/>
              </w:rPr>
              <w:t>51.9%</w:t>
            </w:r>
          </w:p>
        </w:tc>
      </w:tr>
      <w:tr w14:paraId="5F6BF3BC">
        <w:tblPrEx>
          <w:tblCellMar>
            <w:top w:w="0" w:type="dxa"/>
            <w:left w:w="0" w:type="dxa"/>
            <w:bottom w:w="0" w:type="dxa"/>
            <w:right w:w="0" w:type="dxa"/>
          </w:tblCellMar>
        </w:tblPrEx>
        <w:trPr>
          <w:wBefore w:w="0" w:type="auto"/>
          <w:tblCellSpacing w:w="0" w:type="dxa"/>
        </w:trPr>
        <w:tc>
          <w:tcPr>
            <w:tcW w:w="0" w:type="auto"/>
            <w:noWrap w:val="0"/>
            <w:vAlign w:val="center"/>
          </w:tcPr>
          <w:p w14:paraId="2FDF6215">
            <w:r>
              <w:rPr>
                <w:rFonts w:hint="eastAsia"/>
              </w:rPr>
              <w:t xml:space="preserve">有效成分及其含量： </w:t>
            </w:r>
          </w:p>
          <w:p w14:paraId="6197D947">
            <w:r>
              <w:rPr>
                <w:rFonts w:hint="eastAsia"/>
              </w:rPr>
              <w:t xml:space="preserve">    精甲霜灵10%    霜霉威41.9%    </w:t>
            </w:r>
          </w:p>
        </w:tc>
      </w:tr>
      <w:tr w14:paraId="7E564422">
        <w:tblPrEx>
          <w:tblCellMar>
            <w:top w:w="0" w:type="dxa"/>
            <w:left w:w="0" w:type="dxa"/>
            <w:bottom w:w="0" w:type="dxa"/>
            <w:right w:w="0" w:type="dxa"/>
          </w:tblCellMar>
        </w:tblPrEx>
        <w:trPr>
          <w:wBefore w:w="0" w:type="auto"/>
          <w:tblCellSpacing w:w="0" w:type="dxa"/>
        </w:trPr>
        <w:tc>
          <w:tcPr>
            <w:tcW w:w="0" w:type="auto"/>
            <w:noWrap w:val="0"/>
            <w:vAlign w:val="center"/>
          </w:tcPr>
          <w:p w14:paraId="363F1F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B3F3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EF70D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6D12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2399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4EAD51">
                  <w:r>
                    <w:rPr>
                      <w:rStyle w:val="11"/>
                      <w:rFonts w:hint="eastAsia"/>
                    </w:rPr>
                    <w:t>施用方式</w:t>
                  </w:r>
                </w:p>
              </w:tc>
            </w:tr>
            <w:tr w14:paraId="637E8A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7DCEF9">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C82653">
                  <w:r>
                    <w:rPr>
                      <w:rStyle w:val="11"/>
                      <w:rFonts w:hint="eastAsia"/>
                    </w:rPr>
                    <w:t>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CBBBE">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D2E12">
                  <w:r>
                    <w:rPr>
                      <w:rStyle w:val="11"/>
                      <w:rFonts w:hint="eastAsia"/>
                    </w:rPr>
                    <w:t>喷雾</w:t>
                  </w:r>
                </w:p>
              </w:tc>
            </w:tr>
          </w:tbl>
          <w:p w14:paraId="00E710E4">
            <w:pPr>
              <w:rPr>
                <w:rFonts w:ascii="Times New Roman" w:hAnsi="Times New Roman" w:cs="Times New Roman"/>
                <w:sz w:val="20"/>
                <w:szCs w:val="20"/>
              </w:rPr>
            </w:pPr>
          </w:p>
        </w:tc>
      </w:tr>
      <w:tr w14:paraId="03E5A1C9">
        <w:tblPrEx>
          <w:tblCellMar>
            <w:top w:w="0" w:type="dxa"/>
            <w:left w:w="0" w:type="dxa"/>
            <w:bottom w:w="0" w:type="dxa"/>
            <w:right w:w="0" w:type="dxa"/>
          </w:tblCellMar>
        </w:tblPrEx>
        <w:trPr>
          <w:wBefore w:w="0" w:type="auto"/>
          <w:tblCellSpacing w:w="0" w:type="dxa"/>
        </w:trPr>
        <w:tc>
          <w:tcPr>
            <w:tcW w:w="0" w:type="auto"/>
            <w:noWrap w:val="0"/>
            <w:vAlign w:val="center"/>
          </w:tcPr>
          <w:p w14:paraId="18225033">
            <w:r>
              <w:rPr>
                <w:rStyle w:val="10"/>
                <w:rFonts w:hint="eastAsia"/>
              </w:rPr>
              <w:t>使用技术要求:</w:t>
            </w:r>
            <w:r>
              <w:rPr>
                <w:rFonts w:hint="eastAsia"/>
              </w:rPr>
              <w:br w:type="textWrapping"/>
            </w:r>
            <w:r>
              <w:rPr>
                <w:rStyle w:val="11"/>
                <w:rFonts w:hint="eastAsia"/>
              </w:rPr>
              <w:t>1. 本品应于辣椒疫病发病前或病害发生初期使用，视病害发生情况，喷雾2~3次，间隔7天，喷雾时应注意均匀、周到。2. 大风天或预计1小时内降雨，请勿施药。 3. 安全间隔期：本品在辣椒上的安全间隔期7天，每季最多使用3次。</w:t>
            </w:r>
          </w:p>
        </w:tc>
      </w:tr>
      <w:tr w14:paraId="6D86BF84">
        <w:tblPrEx>
          <w:tblCellMar>
            <w:top w:w="0" w:type="dxa"/>
            <w:left w:w="0" w:type="dxa"/>
            <w:bottom w:w="0" w:type="dxa"/>
            <w:right w:w="0" w:type="dxa"/>
          </w:tblCellMar>
        </w:tblPrEx>
        <w:trPr>
          <w:wBefore w:w="0" w:type="auto"/>
          <w:tblCellSpacing w:w="0" w:type="dxa"/>
        </w:trPr>
        <w:tc>
          <w:tcPr>
            <w:tcW w:w="0" w:type="auto"/>
            <w:noWrap w:val="0"/>
            <w:vAlign w:val="center"/>
          </w:tcPr>
          <w:p w14:paraId="0155CF67">
            <w:r>
              <w:rPr>
                <w:rStyle w:val="10"/>
                <w:rFonts w:hint="eastAsia"/>
              </w:rPr>
              <w:t>产品性能:</w:t>
            </w:r>
            <w:r>
              <w:rPr>
                <w:rFonts w:hint="eastAsia"/>
              </w:rPr>
              <w:br w:type="textWrapping"/>
            </w:r>
            <w:r>
              <w:rPr>
                <w:rStyle w:val="11"/>
                <w:rFonts w:hint="eastAsia"/>
              </w:rPr>
              <w:t>本品由精甲霜灵和霜霉威盐酸盐复配而成，可抑制病菌细胞膜成分的磷脂和脂肪酸的生化合成，抑制菌丝生长、孢子囊的形成和孢子的萌发，相互增效并扩大杀菌谱，具有系统性的预防和治疗双结合功效，内吸性好、活性极强。按登记剂量使用时，对辣椒疫病有较好的防治效果，且对辣椒安全。</w:t>
            </w:r>
          </w:p>
        </w:tc>
      </w:tr>
      <w:tr w14:paraId="5CB4118D">
        <w:tblPrEx>
          <w:tblCellMar>
            <w:top w:w="0" w:type="dxa"/>
            <w:left w:w="0" w:type="dxa"/>
            <w:bottom w:w="0" w:type="dxa"/>
            <w:right w:w="0" w:type="dxa"/>
          </w:tblCellMar>
        </w:tblPrEx>
        <w:trPr>
          <w:wBefore w:w="0" w:type="auto"/>
          <w:tblCellSpacing w:w="0" w:type="dxa"/>
        </w:trPr>
        <w:tc>
          <w:tcPr>
            <w:tcW w:w="0" w:type="auto"/>
            <w:noWrap w:val="0"/>
            <w:vAlign w:val="center"/>
          </w:tcPr>
          <w:p w14:paraId="36F7B04E">
            <w:r>
              <w:rPr>
                <w:rStyle w:val="10"/>
                <w:rFonts w:hint="eastAsia"/>
              </w:rPr>
              <w:t>注意事项：</w:t>
            </w:r>
            <w:r>
              <w:rPr>
                <w:rFonts w:hint="eastAsia"/>
              </w:rPr>
              <w:br w:type="textWrapping"/>
            </w:r>
            <w:r>
              <w:rPr>
                <w:rStyle w:val="11"/>
                <w:rFonts w:hint="eastAsia"/>
              </w:rPr>
              <w:t>1. 严格按照规定用药量和方法使用规范用药，避免与氧化物接触。2. 本品对眼睛、皮肤有刺激性，使用时避免接触眼睛、粘膜和皮肤，避免吸入雾滴。在配药和施药时穿穿（戴）长衣、长裤、帽子、口罩、手套、鞋子等，施药期间不可吃东西和饮水。3. 施药后，及时用大量清水和肥皂清洗手、脸等暴露部位皮肤，并更换和清洗工作服。4. 使用中或使用后如果感觉不适，应立即停止工作，采取急救措施。5. 远离水产养殖区、河塘等水体施药，禁止在河塘等水体中清洗施药器具。6. 使用过的空包装、容器，用清水冲洗三次后妥善处理，切勿重复使用或改作其它用途，也不可随意丢弃。7. 在蚕室及桑园附近禁用。8. 采用最外围桑树作为隔离带，以降低对家蚕的风险。9. 孕妇及哺乳期妇女禁止接触。</w:t>
            </w:r>
          </w:p>
        </w:tc>
      </w:tr>
      <w:tr w14:paraId="37927CB1">
        <w:tblPrEx>
          <w:tblCellMar>
            <w:top w:w="0" w:type="dxa"/>
            <w:left w:w="0" w:type="dxa"/>
            <w:bottom w:w="0" w:type="dxa"/>
            <w:right w:w="0" w:type="dxa"/>
          </w:tblCellMar>
        </w:tblPrEx>
        <w:trPr>
          <w:wBefore w:w="0" w:type="auto"/>
          <w:tblCellSpacing w:w="0" w:type="dxa"/>
        </w:trPr>
        <w:tc>
          <w:tcPr>
            <w:tcW w:w="0" w:type="auto"/>
            <w:noWrap w:val="0"/>
            <w:vAlign w:val="center"/>
          </w:tcPr>
          <w:p w14:paraId="046EB895">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1BF5B8F5">
        <w:tblPrEx>
          <w:tblCellMar>
            <w:top w:w="0" w:type="dxa"/>
            <w:left w:w="0" w:type="dxa"/>
            <w:bottom w:w="0" w:type="dxa"/>
            <w:right w:w="0" w:type="dxa"/>
          </w:tblCellMar>
        </w:tblPrEx>
        <w:trPr>
          <w:wBefore w:w="0" w:type="auto"/>
          <w:tblCellSpacing w:w="0" w:type="dxa"/>
        </w:trPr>
        <w:tc>
          <w:tcPr>
            <w:tcW w:w="0" w:type="auto"/>
            <w:noWrap w:val="0"/>
            <w:vAlign w:val="center"/>
          </w:tcPr>
          <w:p w14:paraId="0B5A5A0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本品应贮存在干燥、阴凉、通风、防雨处，远离火源或热源。置于儿童、无关人员及动物触及不到之处，并加锁保存。勿与食品、饮料、饲料和粮食等其他商品同贮同运。</w:t>
            </w:r>
          </w:p>
        </w:tc>
      </w:tr>
      <w:tr w14:paraId="622FF4C1">
        <w:tblPrEx>
          <w:tblCellMar>
            <w:top w:w="0" w:type="dxa"/>
            <w:left w:w="0" w:type="dxa"/>
            <w:bottom w:w="0" w:type="dxa"/>
            <w:right w:w="0" w:type="dxa"/>
          </w:tblCellMar>
        </w:tblPrEx>
        <w:trPr>
          <w:wBefore w:w="0" w:type="auto"/>
          <w:tblCellSpacing w:w="0" w:type="dxa"/>
        </w:trPr>
        <w:tc>
          <w:tcPr>
            <w:tcW w:w="0" w:type="auto"/>
            <w:noWrap w:val="0"/>
            <w:vAlign w:val="center"/>
          </w:tcPr>
          <w:p w14:paraId="42A5BCAC">
            <w:r>
              <w:rPr>
                <w:rStyle w:val="10"/>
                <w:rFonts w:hint="eastAsia"/>
              </w:rPr>
              <w:t>质量保证期：</w:t>
            </w:r>
            <w:r>
              <w:rPr>
                <w:rStyle w:val="11"/>
                <w:rFonts w:hint="eastAsia"/>
              </w:rPr>
              <w:t>2年</w:t>
            </w:r>
          </w:p>
        </w:tc>
      </w:tr>
      <w:tr w14:paraId="351689C0">
        <w:tblPrEx>
          <w:tblCellMar>
            <w:top w:w="0" w:type="dxa"/>
            <w:left w:w="0" w:type="dxa"/>
            <w:bottom w:w="0" w:type="dxa"/>
            <w:right w:w="0" w:type="dxa"/>
          </w:tblCellMar>
        </w:tblPrEx>
        <w:trPr>
          <w:wBefore w:w="0" w:type="auto"/>
          <w:tblCellSpacing w:w="0" w:type="dxa"/>
        </w:trPr>
        <w:tc>
          <w:tcPr>
            <w:tcW w:w="0" w:type="auto"/>
            <w:noWrap w:val="0"/>
            <w:vAlign w:val="center"/>
          </w:tcPr>
          <w:p w14:paraId="416D6131">
            <w:r>
              <w:rPr>
                <w:rStyle w:val="10"/>
                <w:rFonts w:hint="eastAsia"/>
              </w:rPr>
              <w:t>备注：</w:t>
            </w:r>
            <w:r>
              <w:rPr>
                <w:rFonts w:hint="eastAsia"/>
              </w:rPr>
              <w:br w:type="textWrapping"/>
            </w:r>
            <w:r>
              <w:rPr>
                <w:rStyle w:val="11"/>
                <w:rFonts w:hint="eastAsia"/>
              </w:rPr>
              <w:t>霜霉威盐酸盐50%。</w:t>
            </w:r>
          </w:p>
        </w:tc>
      </w:tr>
    </w:tbl>
    <w:p w14:paraId="42CC2B6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A46F45">
        <w:tblPrEx>
          <w:tblCellMar>
            <w:top w:w="0" w:type="dxa"/>
            <w:left w:w="0" w:type="dxa"/>
            <w:bottom w:w="0" w:type="dxa"/>
            <w:right w:w="0" w:type="dxa"/>
          </w:tblCellMar>
        </w:tblPrEx>
        <w:trPr>
          <w:wBefore w:w="0" w:type="auto"/>
          <w:tblCellSpacing w:w="0" w:type="dxa"/>
        </w:trPr>
        <w:tc>
          <w:tcPr>
            <w:tcW w:w="0" w:type="auto"/>
            <w:noWrap w:val="0"/>
            <w:vAlign w:val="center"/>
          </w:tcPr>
          <w:p w14:paraId="04F3442A">
            <w:r>
              <w:rPr>
                <w:rStyle w:val="10"/>
                <w:rFonts w:hint="eastAsia"/>
              </w:rPr>
              <w:t>登记证号：</w:t>
            </w:r>
            <w:r>
              <w:rPr>
                <w:rFonts w:hint="eastAsia"/>
              </w:rPr>
              <w:t>PD20212455</w:t>
            </w:r>
          </w:p>
        </w:tc>
      </w:tr>
      <w:tr w14:paraId="2F9C7F04">
        <w:tblPrEx>
          <w:tblCellMar>
            <w:top w:w="0" w:type="dxa"/>
            <w:left w:w="0" w:type="dxa"/>
            <w:bottom w:w="0" w:type="dxa"/>
            <w:right w:w="0" w:type="dxa"/>
          </w:tblCellMar>
        </w:tblPrEx>
        <w:trPr>
          <w:wBefore w:w="0" w:type="auto"/>
          <w:tblCellSpacing w:w="0" w:type="dxa"/>
        </w:trPr>
        <w:tc>
          <w:tcPr>
            <w:tcW w:w="0" w:type="auto"/>
            <w:noWrap w:val="0"/>
            <w:vAlign w:val="center"/>
          </w:tcPr>
          <w:p w14:paraId="56CA0ED8">
            <w:r>
              <w:rPr>
                <w:rStyle w:val="10"/>
                <w:rFonts w:hint="eastAsia"/>
              </w:rPr>
              <w:t>登记证持有人：</w:t>
            </w:r>
            <w:r>
              <w:rPr>
                <w:rFonts w:hint="eastAsia"/>
              </w:rPr>
              <w:t>山东洁保生物科技有限公司</w:t>
            </w:r>
          </w:p>
        </w:tc>
      </w:tr>
      <w:tr w14:paraId="3D5EF2C8">
        <w:tblPrEx>
          <w:tblCellMar>
            <w:top w:w="0" w:type="dxa"/>
            <w:left w:w="0" w:type="dxa"/>
            <w:bottom w:w="0" w:type="dxa"/>
            <w:right w:w="0" w:type="dxa"/>
          </w:tblCellMar>
        </w:tblPrEx>
        <w:trPr>
          <w:wBefore w:w="0" w:type="auto"/>
          <w:tblCellSpacing w:w="0" w:type="dxa"/>
        </w:trPr>
        <w:tc>
          <w:tcPr>
            <w:tcW w:w="0" w:type="auto"/>
            <w:noWrap w:val="0"/>
            <w:vAlign w:val="center"/>
          </w:tcPr>
          <w:p w14:paraId="2A236674">
            <w:r>
              <w:rPr>
                <w:rStyle w:val="10"/>
                <w:rFonts w:hint="eastAsia"/>
              </w:rPr>
              <w:t>农药名称：</w:t>
            </w:r>
            <w:r>
              <w:rPr>
                <w:rFonts w:hint="eastAsia"/>
              </w:rPr>
              <w:t>杀虫微乳剂</w:t>
            </w:r>
          </w:p>
        </w:tc>
      </w:tr>
      <w:tr w14:paraId="403B8D0C">
        <w:tblPrEx>
          <w:tblCellMar>
            <w:top w:w="0" w:type="dxa"/>
            <w:left w:w="0" w:type="dxa"/>
            <w:bottom w:w="0" w:type="dxa"/>
            <w:right w:w="0" w:type="dxa"/>
          </w:tblCellMar>
        </w:tblPrEx>
        <w:trPr>
          <w:wBefore w:w="0" w:type="auto"/>
          <w:tblCellSpacing w:w="0" w:type="dxa"/>
        </w:trPr>
        <w:tc>
          <w:tcPr>
            <w:tcW w:w="0" w:type="auto"/>
            <w:noWrap w:val="0"/>
            <w:vAlign w:val="center"/>
          </w:tcPr>
          <w:p w14:paraId="1A202E22">
            <w:r>
              <w:rPr>
                <w:rStyle w:val="10"/>
                <w:rFonts w:hint="eastAsia"/>
              </w:rPr>
              <w:t>剂型：</w:t>
            </w:r>
            <w:r>
              <w:rPr>
                <w:rFonts w:hint="eastAsia"/>
              </w:rPr>
              <w:t>微乳剂</w:t>
            </w:r>
          </w:p>
        </w:tc>
      </w:tr>
      <w:tr w14:paraId="270CB915">
        <w:tblPrEx>
          <w:tblCellMar>
            <w:top w:w="0" w:type="dxa"/>
            <w:left w:w="0" w:type="dxa"/>
            <w:bottom w:w="0" w:type="dxa"/>
            <w:right w:w="0" w:type="dxa"/>
          </w:tblCellMar>
        </w:tblPrEx>
        <w:trPr>
          <w:wBefore w:w="0" w:type="auto"/>
          <w:tblCellSpacing w:w="0" w:type="dxa"/>
        </w:trPr>
        <w:tc>
          <w:tcPr>
            <w:tcW w:w="0" w:type="auto"/>
            <w:noWrap w:val="0"/>
            <w:vAlign w:val="center"/>
          </w:tcPr>
          <w:p w14:paraId="05600F66">
            <w:r>
              <w:rPr>
                <w:rStyle w:val="10"/>
                <w:rFonts w:hint="eastAsia"/>
              </w:rPr>
              <w:t>毒性及其标识：</w:t>
            </w:r>
            <w:r>
              <w:rPr>
                <w:rFonts w:hint="eastAsia"/>
              </w:rPr>
              <w:t xml:space="preserve"> 微毒 </w:t>
            </w:r>
          </w:p>
        </w:tc>
      </w:tr>
      <w:tr w14:paraId="72FD4734">
        <w:tblPrEx>
          <w:tblCellMar>
            <w:top w:w="0" w:type="dxa"/>
            <w:left w:w="0" w:type="dxa"/>
            <w:bottom w:w="0" w:type="dxa"/>
            <w:right w:w="0" w:type="dxa"/>
          </w:tblCellMar>
        </w:tblPrEx>
        <w:trPr>
          <w:wBefore w:w="0" w:type="auto"/>
          <w:tblCellSpacing w:w="0" w:type="dxa"/>
        </w:trPr>
        <w:tc>
          <w:tcPr>
            <w:tcW w:w="0" w:type="auto"/>
            <w:noWrap w:val="0"/>
            <w:vAlign w:val="center"/>
          </w:tcPr>
          <w:p w14:paraId="37373522">
            <w:r>
              <w:rPr>
                <w:rStyle w:val="10"/>
                <w:rFonts w:hint="eastAsia"/>
              </w:rPr>
              <w:t>总有效成分含量：</w:t>
            </w:r>
            <w:r>
              <w:rPr>
                <w:rFonts w:hint="eastAsia"/>
              </w:rPr>
              <w:t>0.3%</w:t>
            </w:r>
          </w:p>
        </w:tc>
      </w:tr>
      <w:tr w14:paraId="25EB45CD">
        <w:tblPrEx>
          <w:tblCellMar>
            <w:top w:w="0" w:type="dxa"/>
            <w:left w:w="0" w:type="dxa"/>
            <w:bottom w:w="0" w:type="dxa"/>
            <w:right w:w="0" w:type="dxa"/>
          </w:tblCellMar>
        </w:tblPrEx>
        <w:trPr>
          <w:wBefore w:w="0" w:type="auto"/>
          <w:tblCellSpacing w:w="0" w:type="dxa"/>
        </w:trPr>
        <w:tc>
          <w:tcPr>
            <w:tcW w:w="0" w:type="auto"/>
            <w:noWrap w:val="0"/>
            <w:vAlign w:val="center"/>
          </w:tcPr>
          <w:p w14:paraId="339BB6A7">
            <w:r>
              <w:rPr>
                <w:rFonts w:hint="eastAsia"/>
              </w:rPr>
              <w:t xml:space="preserve">有效成分及其含量： </w:t>
            </w:r>
          </w:p>
          <w:p w14:paraId="6DDF7A7A">
            <w:r>
              <w:rPr>
                <w:rFonts w:hint="eastAsia"/>
              </w:rPr>
              <w:t xml:space="preserve">    炔咪菊酯0.1%    右旋苯醚氰菊酯0.2%    </w:t>
            </w:r>
          </w:p>
        </w:tc>
      </w:tr>
      <w:tr w14:paraId="56C0AB1D">
        <w:tblPrEx>
          <w:tblCellMar>
            <w:top w:w="0" w:type="dxa"/>
            <w:left w:w="0" w:type="dxa"/>
            <w:bottom w:w="0" w:type="dxa"/>
            <w:right w:w="0" w:type="dxa"/>
          </w:tblCellMar>
        </w:tblPrEx>
        <w:trPr>
          <w:wBefore w:w="0" w:type="auto"/>
          <w:tblCellSpacing w:w="0" w:type="dxa"/>
        </w:trPr>
        <w:tc>
          <w:tcPr>
            <w:tcW w:w="0" w:type="auto"/>
            <w:noWrap w:val="0"/>
            <w:vAlign w:val="center"/>
          </w:tcPr>
          <w:p w14:paraId="518EB5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0F342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E97C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9151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187A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AC25B3">
                  <w:r>
                    <w:rPr>
                      <w:rStyle w:val="11"/>
                      <w:rFonts w:hint="eastAsia"/>
                    </w:rPr>
                    <w:t>施用方式</w:t>
                  </w:r>
                </w:p>
              </w:tc>
            </w:tr>
            <w:tr w14:paraId="3CA3E3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48E1B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DB21C3">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0C4BF5">
                  <w:r>
                    <w:rPr>
                      <w:rStyle w:val="11"/>
                      <w:rFonts w:hint="eastAsia"/>
                    </w:rPr>
                    <w:t>15毫升/平方米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1CB9F8">
                  <w:r>
                    <w:rPr>
                      <w:rStyle w:val="11"/>
                      <w:rFonts w:hint="eastAsia"/>
                    </w:rPr>
                    <w:t>喷雾</w:t>
                  </w:r>
                </w:p>
              </w:tc>
            </w:tr>
            <w:tr w14:paraId="592992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AF5B4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C6C7B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0CB1FC">
                  <w:r>
                    <w:rPr>
                      <w:rStyle w:val="11"/>
                      <w:rFonts w:hint="eastAsia"/>
                    </w:rPr>
                    <w:t>1.5毫升/立方米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A54935">
                  <w:r>
                    <w:rPr>
                      <w:rStyle w:val="11"/>
                      <w:rFonts w:hint="eastAsia"/>
                    </w:rPr>
                    <w:t>喷雾</w:t>
                  </w:r>
                </w:p>
              </w:tc>
            </w:tr>
            <w:tr w14:paraId="248278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24D74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A8AE84">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B9F1FA">
                  <w:r>
                    <w:rPr>
                      <w:rStyle w:val="11"/>
                      <w:rFonts w:hint="eastAsia"/>
                    </w:rPr>
                    <w:t>1.5毫升/立方米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6D2C6">
                  <w:r>
                    <w:rPr>
                      <w:rStyle w:val="11"/>
                      <w:rFonts w:hint="eastAsia"/>
                    </w:rPr>
                    <w:t>喷雾</w:t>
                  </w:r>
                </w:p>
              </w:tc>
            </w:tr>
          </w:tbl>
          <w:p w14:paraId="3A739C21">
            <w:pPr>
              <w:rPr>
                <w:rFonts w:ascii="Times New Roman" w:hAnsi="Times New Roman" w:cs="Times New Roman"/>
                <w:sz w:val="20"/>
                <w:szCs w:val="20"/>
              </w:rPr>
            </w:pPr>
          </w:p>
        </w:tc>
      </w:tr>
      <w:tr w14:paraId="24C066DD">
        <w:tblPrEx>
          <w:tblCellMar>
            <w:top w:w="0" w:type="dxa"/>
            <w:left w:w="0" w:type="dxa"/>
            <w:bottom w:w="0" w:type="dxa"/>
            <w:right w:w="0" w:type="dxa"/>
          </w:tblCellMar>
        </w:tblPrEx>
        <w:trPr>
          <w:wBefore w:w="0" w:type="auto"/>
          <w:tblCellSpacing w:w="0" w:type="dxa"/>
        </w:trPr>
        <w:tc>
          <w:tcPr>
            <w:tcW w:w="0" w:type="auto"/>
            <w:noWrap w:val="0"/>
            <w:vAlign w:val="center"/>
          </w:tcPr>
          <w:p w14:paraId="6B363ABC">
            <w:r>
              <w:rPr>
                <w:rStyle w:val="10"/>
                <w:rFonts w:hint="eastAsia"/>
              </w:rPr>
              <w:t>使用技术要求:</w:t>
            </w:r>
            <w:r>
              <w:rPr>
                <w:rFonts w:hint="eastAsia"/>
              </w:rPr>
              <w:br w:type="textWrapping"/>
            </w:r>
            <w:r>
              <w:rPr>
                <w:rStyle w:val="11"/>
                <w:rFonts w:hint="eastAsia"/>
              </w:rPr>
              <w:t>本品无需稀释，可关闭门窗对准蚊、蝇、蜚蠊、蚂蚁直接喷雾，或向其出没或栖息处适量喷雾。使用后30分钟后打开门窗，经充分通风后方可再进入房间。</w:t>
            </w:r>
          </w:p>
        </w:tc>
      </w:tr>
      <w:tr w14:paraId="02816485">
        <w:tblPrEx>
          <w:tblCellMar>
            <w:top w:w="0" w:type="dxa"/>
            <w:left w:w="0" w:type="dxa"/>
            <w:bottom w:w="0" w:type="dxa"/>
            <w:right w:w="0" w:type="dxa"/>
          </w:tblCellMar>
        </w:tblPrEx>
        <w:trPr>
          <w:wBefore w:w="0" w:type="auto"/>
          <w:tblCellSpacing w:w="0" w:type="dxa"/>
        </w:trPr>
        <w:tc>
          <w:tcPr>
            <w:tcW w:w="0" w:type="auto"/>
            <w:noWrap w:val="0"/>
            <w:vAlign w:val="center"/>
          </w:tcPr>
          <w:p w14:paraId="0C6731BC">
            <w:r>
              <w:rPr>
                <w:rStyle w:val="10"/>
                <w:rFonts w:hint="eastAsia"/>
              </w:rPr>
              <w:t>产品性能:</w:t>
            </w:r>
            <w:r>
              <w:rPr>
                <w:rFonts w:hint="eastAsia"/>
              </w:rPr>
              <w:br w:type="textWrapping"/>
            </w:r>
            <w:r>
              <w:rPr>
                <w:rStyle w:val="11"/>
                <w:rFonts w:hint="eastAsia"/>
              </w:rPr>
              <w:t>本品采用拟除虫菊酯为有效成分，用于防治室内的蚊、蝇、蜚蠊、蚂蚁，适用于家庭、宾馆、办公室、车船等场所。</w:t>
            </w:r>
          </w:p>
        </w:tc>
      </w:tr>
      <w:tr w14:paraId="68A40F89">
        <w:tblPrEx>
          <w:tblCellMar>
            <w:top w:w="0" w:type="dxa"/>
            <w:left w:w="0" w:type="dxa"/>
            <w:bottom w:w="0" w:type="dxa"/>
            <w:right w:w="0" w:type="dxa"/>
          </w:tblCellMar>
        </w:tblPrEx>
        <w:trPr>
          <w:wBefore w:w="0" w:type="auto"/>
          <w:tblCellSpacing w:w="0" w:type="dxa"/>
        </w:trPr>
        <w:tc>
          <w:tcPr>
            <w:tcW w:w="0" w:type="auto"/>
            <w:noWrap w:val="0"/>
            <w:vAlign w:val="center"/>
          </w:tcPr>
          <w:p w14:paraId="7DD5AD95">
            <w:r>
              <w:rPr>
                <w:rStyle w:val="10"/>
                <w:rFonts w:hint="eastAsia"/>
              </w:rPr>
              <w:t>注意事项：</w:t>
            </w:r>
            <w:r>
              <w:rPr>
                <w:rFonts w:hint="eastAsia"/>
              </w:rPr>
              <w:br w:type="textWrapping"/>
            </w:r>
            <w:r>
              <w:rPr>
                <w:rStyle w:val="11"/>
                <w:rFonts w:hint="eastAsia"/>
              </w:rPr>
              <w:t>1）切勿对人体、食物、餐具喷射。 2）本品对鱼、蚕有毒，蚕室内及其附近场所禁用。 3）用后洗手。过敏者禁用。 4）用过的包装物应妥善处理，不可做它用或随意丢弃。 5）避免孕妇、婴儿及哺乳期妇女接触。 6）使用中有任何不良反应，携标签及时就医。</w:t>
            </w:r>
          </w:p>
        </w:tc>
      </w:tr>
      <w:tr w14:paraId="7DA3E455">
        <w:tblPrEx>
          <w:tblCellMar>
            <w:top w:w="0" w:type="dxa"/>
            <w:left w:w="0" w:type="dxa"/>
            <w:bottom w:w="0" w:type="dxa"/>
            <w:right w:w="0" w:type="dxa"/>
          </w:tblCellMar>
        </w:tblPrEx>
        <w:trPr>
          <w:wBefore w:w="0" w:type="auto"/>
          <w:tblCellSpacing w:w="0" w:type="dxa"/>
        </w:trPr>
        <w:tc>
          <w:tcPr>
            <w:tcW w:w="0" w:type="auto"/>
            <w:noWrap w:val="0"/>
            <w:vAlign w:val="center"/>
          </w:tcPr>
          <w:p w14:paraId="205A4B51">
            <w:r>
              <w:rPr>
                <w:rStyle w:val="10"/>
                <w:rFonts w:hint="eastAsia"/>
              </w:rPr>
              <w:t>中毒急救措施：</w:t>
            </w:r>
            <w:r>
              <w:rPr>
                <w:rFonts w:hint="eastAsia"/>
              </w:rPr>
              <w:br w:type="textWrapping"/>
            </w:r>
            <w:r>
              <w:rPr>
                <w:rStyle w:val="11"/>
                <w:rFonts w:hint="eastAsia"/>
              </w:rPr>
              <w:t>若药液沾染皮肤和眼睛，请立即用大量清水冲洗至少15分钟并就医。本品无特效解毒药，若不慎吸入，请立即转移至空气清新处，并携标签及时就医对症治疗。若误服，不要引吐、漱口并立即就医。</w:t>
            </w:r>
          </w:p>
        </w:tc>
      </w:tr>
      <w:tr w14:paraId="64C8D67A">
        <w:tblPrEx>
          <w:tblCellMar>
            <w:top w:w="0" w:type="dxa"/>
            <w:left w:w="0" w:type="dxa"/>
            <w:bottom w:w="0" w:type="dxa"/>
            <w:right w:w="0" w:type="dxa"/>
          </w:tblCellMar>
        </w:tblPrEx>
        <w:trPr>
          <w:wBefore w:w="0" w:type="auto"/>
          <w:tblCellSpacing w:w="0" w:type="dxa"/>
        </w:trPr>
        <w:tc>
          <w:tcPr>
            <w:tcW w:w="0" w:type="auto"/>
            <w:noWrap w:val="0"/>
            <w:vAlign w:val="center"/>
          </w:tcPr>
          <w:p w14:paraId="5F2F8888">
            <w:r>
              <w:rPr>
                <w:rStyle w:val="10"/>
                <w:rFonts w:hint="eastAsia"/>
              </w:rPr>
              <w:t>储存和运输方法：</w:t>
            </w:r>
            <w:r>
              <w:rPr>
                <w:rFonts w:hint="eastAsia"/>
              </w:rPr>
              <w:br w:type="textWrapping"/>
            </w:r>
            <w:r>
              <w:rPr>
                <w:rStyle w:val="11"/>
                <w:rFonts w:hint="eastAsia"/>
              </w:rPr>
              <w:t>本品应贮存于阴凉、干燥、通风、避光处，远离火源或热源存放。 远离儿童，并加锁。 运输时，请防雨淋、高温，注意轻拿轻放，不得损坏包装。不能与食品、饮料、粮食、饲料等混合储运；贮运时注意不得与中等氧化剂（高锰酸钾）接触。</w:t>
            </w:r>
          </w:p>
        </w:tc>
      </w:tr>
      <w:tr w14:paraId="76A51C54">
        <w:tblPrEx>
          <w:tblCellMar>
            <w:top w:w="0" w:type="dxa"/>
            <w:left w:w="0" w:type="dxa"/>
            <w:bottom w:w="0" w:type="dxa"/>
            <w:right w:w="0" w:type="dxa"/>
          </w:tblCellMar>
        </w:tblPrEx>
        <w:trPr>
          <w:wBefore w:w="0" w:type="auto"/>
          <w:tblCellSpacing w:w="0" w:type="dxa"/>
        </w:trPr>
        <w:tc>
          <w:tcPr>
            <w:tcW w:w="0" w:type="auto"/>
            <w:noWrap w:val="0"/>
            <w:vAlign w:val="center"/>
          </w:tcPr>
          <w:p w14:paraId="01D076C5">
            <w:r>
              <w:rPr>
                <w:rStyle w:val="10"/>
                <w:rFonts w:hint="eastAsia"/>
              </w:rPr>
              <w:t>质量保证期：</w:t>
            </w:r>
            <w:r>
              <w:rPr>
                <w:rStyle w:val="11"/>
                <w:rFonts w:hint="eastAsia"/>
              </w:rPr>
              <w:t>2年</w:t>
            </w:r>
          </w:p>
        </w:tc>
      </w:tr>
      <w:tr w14:paraId="1DF87758">
        <w:tblPrEx>
          <w:tblCellMar>
            <w:top w:w="0" w:type="dxa"/>
            <w:left w:w="0" w:type="dxa"/>
            <w:bottom w:w="0" w:type="dxa"/>
            <w:right w:w="0" w:type="dxa"/>
          </w:tblCellMar>
        </w:tblPrEx>
        <w:trPr>
          <w:wBefore w:w="0" w:type="auto"/>
          <w:tblCellSpacing w:w="0" w:type="dxa"/>
        </w:trPr>
        <w:tc>
          <w:tcPr>
            <w:tcW w:w="0" w:type="auto"/>
            <w:noWrap w:val="0"/>
            <w:vAlign w:val="center"/>
          </w:tcPr>
          <w:p w14:paraId="7897CAD6">
            <w:r>
              <w:rPr>
                <w:rStyle w:val="10"/>
                <w:rFonts w:hint="eastAsia"/>
              </w:rPr>
              <w:t>备注：</w:t>
            </w:r>
          </w:p>
        </w:tc>
      </w:tr>
    </w:tbl>
    <w:p w14:paraId="1140355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9E7EC1">
        <w:tblPrEx>
          <w:tblCellMar>
            <w:top w:w="0" w:type="dxa"/>
            <w:left w:w="0" w:type="dxa"/>
            <w:bottom w:w="0" w:type="dxa"/>
            <w:right w:w="0" w:type="dxa"/>
          </w:tblCellMar>
        </w:tblPrEx>
        <w:trPr>
          <w:wBefore w:w="0" w:type="auto"/>
          <w:tblCellSpacing w:w="0" w:type="dxa"/>
        </w:trPr>
        <w:tc>
          <w:tcPr>
            <w:tcW w:w="0" w:type="auto"/>
            <w:noWrap w:val="0"/>
            <w:vAlign w:val="center"/>
          </w:tcPr>
          <w:p w14:paraId="3B8F99CA">
            <w:r>
              <w:rPr>
                <w:rStyle w:val="10"/>
                <w:rFonts w:hint="eastAsia"/>
              </w:rPr>
              <w:t>登记证号：</w:t>
            </w:r>
            <w:r>
              <w:rPr>
                <w:rFonts w:hint="eastAsia"/>
              </w:rPr>
              <w:t>PD20212704</w:t>
            </w:r>
          </w:p>
        </w:tc>
      </w:tr>
      <w:tr w14:paraId="7E85C2E8">
        <w:tblPrEx>
          <w:tblCellMar>
            <w:top w:w="0" w:type="dxa"/>
            <w:left w:w="0" w:type="dxa"/>
            <w:bottom w:w="0" w:type="dxa"/>
            <w:right w:w="0" w:type="dxa"/>
          </w:tblCellMar>
        </w:tblPrEx>
        <w:trPr>
          <w:wBefore w:w="0" w:type="auto"/>
          <w:tblCellSpacing w:w="0" w:type="dxa"/>
        </w:trPr>
        <w:tc>
          <w:tcPr>
            <w:tcW w:w="0" w:type="auto"/>
            <w:noWrap w:val="0"/>
            <w:vAlign w:val="center"/>
          </w:tcPr>
          <w:p w14:paraId="536C5CDD">
            <w:r>
              <w:rPr>
                <w:rStyle w:val="10"/>
                <w:rFonts w:hint="eastAsia"/>
              </w:rPr>
              <w:t>登记证持有人：</w:t>
            </w:r>
            <w:r>
              <w:rPr>
                <w:rFonts w:hint="eastAsia"/>
              </w:rPr>
              <w:t>江苏东南植保有限公司</w:t>
            </w:r>
          </w:p>
        </w:tc>
      </w:tr>
      <w:tr w14:paraId="541DB7DC">
        <w:tblPrEx>
          <w:tblCellMar>
            <w:top w:w="0" w:type="dxa"/>
            <w:left w:w="0" w:type="dxa"/>
            <w:bottom w:w="0" w:type="dxa"/>
            <w:right w:w="0" w:type="dxa"/>
          </w:tblCellMar>
        </w:tblPrEx>
        <w:trPr>
          <w:wBefore w:w="0" w:type="auto"/>
          <w:tblCellSpacing w:w="0" w:type="dxa"/>
        </w:trPr>
        <w:tc>
          <w:tcPr>
            <w:tcW w:w="0" w:type="auto"/>
            <w:noWrap w:val="0"/>
            <w:vAlign w:val="center"/>
          </w:tcPr>
          <w:p w14:paraId="2626EDA9">
            <w:r>
              <w:rPr>
                <w:rStyle w:val="10"/>
                <w:rFonts w:hint="eastAsia"/>
              </w:rPr>
              <w:t>农药名称：</w:t>
            </w:r>
            <w:r>
              <w:rPr>
                <w:rFonts w:hint="eastAsia"/>
              </w:rPr>
              <w:t>咯菌·戊唑醇</w:t>
            </w:r>
          </w:p>
        </w:tc>
      </w:tr>
      <w:tr w14:paraId="6160624E">
        <w:tblPrEx>
          <w:tblCellMar>
            <w:top w:w="0" w:type="dxa"/>
            <w:left w:w="0" w:type="dxa"/>
            <w:bottom w:w="0" w:type="dxa"/>
            <w:right w:w="0" w:type="dxa"/>
          </w:tblCellMar>
        </w:tblPrEx>
        <w:trPr>
          <w:wBefore w:w="0" w:type="auto"/>
          <w:tblCellSpacing w:w="0" w:type="dxa"/>
        </w:trPr>
        <w:tc>
          <w:tcPr>
            <w:tcW w:w="0" w:type="auto"/>
            <w:noWrap w:val="0"/>
            <w:vAlign w:val="center"/>
          </w:tcPr>
          <w:p w14:paraId="474BA47F">
            <w:r>
              <w:rPr>
                <w:rStyle w:val="10"/>
                <w:rFonts w:hint="eastAsia"/>
              </w:rPr>
              <w:t>剂型：</w:t>
            </w:r>
            <w:r>
              <w:rPr>
                <w:rFonts w:hint="eastAsia"/>
              </w:rPr>
              <w:t>可湿性粉剂</w:t>
            </w:r>
          </w:p>
        </w:tc>
      </w:tr>
      <w:tr w14:paraId="14BDC7A7">
        <w:tblPrEx>
          <w:tblCellMar>
            <w:top w:w="0" w:type="dxa"/>
            <w:left w:w="0" w:type="dxa"/>
            <w:bottom w:w="0" w:type="dxa"/>
            <w:right w:w="0" w:type="dxa"/>
          </w:tblCellMar>
        </w:tblPrEx>
        <w:trPr>
          <w:wBefore w:w="0" w:type="auto"/>
          <w:tblCellSpacing w:w="0" w:type="dxa"/>
        </w:trPr>
        <w:tc>
          <w:tcPr>
            <w:tcW w:w="0" w:type="auto"/>
            <w:noWrap w:val="0"/>
            <w:vAlign w:val="center"/>
          </w:tcPr>
          <w:p w14:paraId="18701950">
            <w:r>
              <w:rPr>
                <w:rStyle w:val="10"/>
                <w:rFonts w:hint="eastAsia"/>
              </w:rPr>
              <w:t>毒性及其标识：</w:t>
            </w:r>
            <w:r>
              <w:rPr>
                <w:rFonts w:hint="eastAsia"/>
              </w:rPr>
              <w:t xml:space="preserve"> </w:t>
            </w:r>
            <w:r>
              <w:rPr>
                <w:lang/>
              </w:rPr>
              <w:drawing>
                <wp:inline distT="0" distB="0" distL="114300" distR="114300">
                  <wp:extent cx="476250" cy="323850"/>
                  <wp:effectExtent l="0" t="0" r="0" b="0"/>
                  <wp:docPr id="362" name="图片 3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5EB44E">
        <w:tblPrEx>
          <w:tblCellMar>
            <w:top w:w="0" w:type="dxa"/>
            <w:left w:w="0" w:type="dxa"/>
            <w:bottom w:w="0" w:type="dxa"/>
            <w:right w:w="0" w:type="dxa"/>
          </w:tblCellMar>
        </w:tblPrEx>
        <w:trPr>
          <w:wBefore w:w="0" w:type="auto"/>
          <w:tblCellSpacing w:w="0" w:type="dxa"/>
        </w:trPr>
        <w:tc>
          <w:tcPr>
            <w:tcW w:w="0" w:type="auto"/>
            <w:noWrap w:val="0"/>
            <w:vAlign w:val="center"/>
          </w:tcPr>
          <w:p w14:paraId="6185300B">
            <w:r>
              <w:rPr>
                <w:rStyle w:val="10"/>
                <w:rFonts w:hint="eastAsia"/>
              </w:rPr>
              <w:t>总有效成分含量：</w:t>
            </w:r>
            <w:r>
              <w:rPr>
                <w:rFonts w:hint="eastAsia"/>
              </w:rPr>
              <w:t>36%</w:t>
            </w:r>
          </w:p>
        </w:tc>
      </w:tr>
      <w:tr w14:paraId="74078B72">
        <w:tblPrEx>
          <w:tblCellMar>
            <w:top w:w="0" w:type="dxa"/>
            <w:left w:w="0" w:type="dxa"/>
            <w:bottom w:w="0" w:type="dxa"/>
            <w:right w:w="0" w:type="dxa"/>
          </w:tblCellMar>
        </w:tblPrEx>
        <w:trPr>
          <w:wBefore w:w="0" w:type="auto"/>
          <w:tblCellSpacing w:w="0" w:type="dxa"/>
        </w:trPr>
        <w:tc>
          <w:tcPr>
            <w:tcW w:w="0" w:type="auto"/>
            <w:noWrap w:val="0"/>
            <w:vAlign w:val="center"/>
          </w:tcPr>
          <w:p w14:paraId="3A45007B">
            <w:r>
              <w:rPr>
                <w:rFonts w:hint="eastAsia"/>
              </w:rPr>
              <w:t xml:space="preserve">有效成分及其含量： </w:t>
            </w:r>
          </w:p>
          <w:p w14:paraId="59AEA4F8">
            <w:r>
              <w:rPr>
                <w:rFonts w:hint="eastAsia"/>
              </w:rPr>
              <w:t xml:space="preserve">    咯菌腈30%    戊唑醇6%    </w:t>
            </w:r>
          </w:p>
        </w:tc>
      </w:tr>
      <w:tr w14:paraId="5BFA08F5">
        <w:tblPrEx>
          <w:tblCellMar>
            <w:top w:w="0" w:type="dxa"/>
            <w:left w:w="0" w:type="dxa"/>
            <w:bottom w:w="0" w:type="dxa"/>
            <w:right w:w="0" w:type="dxa"/>
          </w:tblCellMar>
        </w:tblPrEx>
        <w:trPr>
          <w:wBefore w:w="0" w:type="auto"/>
          <w:tblCellSpacing w:w="0" w:type="dxa"/>
        </w:trPr>
        <w:tc>
          <w:tcPr>
            <w:tcW w:w="0" w:type="auto"/>
            <w:noWrap w:val="0"/>
            <w:vAlign w:val="center"/>
          </w:tcPr>
          <w:p w14:paraId="2B7203D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C0EA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8C1F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C839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F99A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CA8637">
                  <w:r>
                    <w:rPr>
                      <w:rStyle w:val="11"/>
                      <w:rFonts w:hint="eastAsia"/>
                    </w:rPr>
                    <w:t>施用方式</w:t>
                  </w:r>
                </w:p>
              </w:tc>
            </w:tr>
            <w:tr w14:paraId="6FCD86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B22EB3">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4452A2">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988A59">
                  <w:r>
                    <w:rPr>
                      <w:rStyle w:val="11"/>
                      <w:rFonts w:hint="eastAsia"/>
                    </w:rPr>
                    <w:t>22-30克/亩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748F7">
                  <w:r>
                    <w:rPr>
                      <w:rStyle w:val="11"/>
                      <w:rFonts w:hint="eastAsia"/>
                    </w:rPr>
                    <w:t>喷雾</w:t>
                  </w:r>
                </w:p>
              </w:tc>
            </w:tr>
          </w:tbl>
          <w:p w14:paraId="7801DF9C">
            <w:pPr>
              <w:rPr>
                <w:rFonts w:ascii="Times New Roman" w:hAnsi="Times New Roman" w:cs="Times New Roman"/>
                <w:sz w:val="20"/>
                <w:szCs w:val="20"/>
              </w:rPr>
            </w:pPr>
          </w:p>
        </w:tc>
      </w:tr>
      <w:tr w14:paraId="16CE17FF">
        <w:tblPrEx>
          <w:tblCellMar>
            <w:top w:w="0" w:type="dxa"/>
            <w:left w:w="0" w:type="dxa"/>
            <w:bottom w:w="0" w:type="dxa"/>
            <w:right w:w="0" w:type="dxa"/>
          </w:tblCellMar>
        </w:tblPrEx>
        <w:trPr>
          <w:wBefore w:w="0" w:type="auto"/>
          <w:tblCellSpacing w:w="0" w:type="dxa"/>
        </w:trPr>
        <w:tc>
          <w:tcPr>
            <w:tcW w:w="0" w:type="auto"/>
            <w:noWrap w:val="0"/>
            <w:vAlign w:val="center"/>
          </w:tcPr>
          <w:p w14:paraId="325042A0">
            <w:r>
              <w:rPr>
                <w:rStyle w:val="10"/>
                <w:rFonts w:hint="eastAsia"/>
              </w:rPr>
              <w:t>使用技术要求:</w:t>
            </w:r>
            <w:r>
              <w:rPr>
                <w:rFonts w:hint="eastAsia"/>
              </w:rPr>
              <w:br w:type="textWrapping"/>
            </w:r>
            <w:r>
              <w:rPr>
                <w:rStyle w:val="11"/>
                <w:rFonts w:hint="eastAsia"/>
              </w:rPr>
              <w:t>1.施药方法为喷雾，在小麦扬花初期施药，可施药1~2次，间隔5~7天。 小麦茎、叶片均匀着药，药液不滴落。2. 最多施药2次，施药间隔期7天，安全间隔期14天。3.大风天或预计1小时内下雨请勿使用。</w:t>
            </w:r>
          </w:p>
        </w:tc>
      </w:tr>
      <w:tr w14:paraId="1A6AA3E2">
        <w:tblPrEx>
          <w:tblCellMar>
            <w:top w:w="0" w:type="dxa"/>
            <w:left w:w="0" w:type="dxa"/>
            <w:bottom w:w="0" w:type="dxa"/>
            <w:right w:w="0" w:type="dxa"/>
          </w:tblCellMar>
        </w:tblPrEx>
        <w:trPr>
          <w:wBefore w:w="0" w:type="auto"/>
          <w:tblCellSpacing w:w="0" w:type="dxa"/>
        </w:trPr>
        <w:tc>
          <w:tcPr>
            <w:tcW w:w="0" w:type="auto"/>
            <w:noWrap w:val="0"/>
            <w:vAlign w:val="center"/>
          </w:tcPr>
          <w:p w14:paraId="2E7957D5">
            <w:r>
              <w:rPr>
                <w:rStyle w:val="10"/>
                <w:rFonts w:hint="eastAsia"/>
              </w:rPr>
              <w:t>产品性能:</w:t>
            </w:r>
            <w:r>
              <w:rPr>
                <w:rFonts w:hint="eastAsia"/>
              </w:rPr>
              <w:br w:type="textWrapping"/>
            </w:r>
            <w:r>
              <w:rPr>
                <w:rStyle w:val="11"/>
                <w:rFonts w:hint="eastAsia"/>
              </w:rPr>
              <w:t>本品是由咯菌腈和戊唑醇混配的杀菌剂，通过抑制葡萄糖磷酰化有关的转移、抑制真菌的麦角甾醇的生物合成等综合作用，抑制真菌菌丝体的生长，最终导致病菌死亡。本品对小麦赤霉病有较好的防治效果。</w:t>
            </w:r>
          </w:p>
        </w:tc>
      </w:tr>
      <w:tr w14:paraId="7B5CFC8E">
        <w:tblPrEx>
          <w:tblCellMar>
            <w:top w:w="0" w:type="dxa"/>
            <w:left w:w="0" w:type="dxa"/>
            <w:bottom w:w="0" w:type="dxa"/>
            <w:right w:w="0" w:type="dxa"/>
          </w:tblCellMar>
        </w:tblPrEx>
        <w:trPr>
          <w:wBefore w:w="0" w:type="auto"/>
          <w:tblCellSpacing w:w="0" w:type="dxa"/>
        </w:trPr>
        <w:tc>
          <w:tcPr>
            <w:tcW w:w="0" w:type="auto"/>
            <w:noWrap w:val="0"/>
            <w:vAlign w:val="center"/>
          </w:tcPr>
          <w:p w14:paraId="2AD297A3">
            <w:r>
              <w:rPr>
                <w:rStyle w:val="10"/>
                <w:rFonts w:hint="eastAsia"/>
              </w:rPr>
              <w:t>注意事项：</w:t>
            </w:r>
            <w:r>
              <w:rPr>
                <w:rFonts w:hint="eastAsia"/>
              </w:rPr>
              <w:br w:type="textWrapping"/>
            </w:r>
            <w:r>
              <w:rPr>
                <w:rStyle w:val="11"/>
                <w:rFonts w:hint="eastAsia"/>
              </w:rPr>
              <w:t>1.请按照农药安全使用准则用药。2.施用时注意安全防护，穿（戴）长衣、长裤、帽子、口罩、手套、鞋子等。施药时禁止抽烟、饮水、进食；施药完毕，彻底清洗防护用具，洗澡，更换和清洗工作服。 3.本品对鱼等水生物有毒，远离水产养殖区施药，禁止在河塘等水体中清洗施药器具以及把药液残渣及清洗施药器具的水倒入河塘等水体。4.本品对家蚕有毒，蚕室附近禁止使用，桑园附近使用时以最外围一行桑树作物隔离带，从次外围一行桑树上开始采摘桑叶饲喂家蚕。5.避免孕妇及哺乳期妇女接触本品。 6.用过的容器要妥善处理，不可做他用，也不可随意丢弃。</w:t>
            </w:r>
          </w:p>
        </w:tc>
      </w:tr>
      <w:tr w14:paraId="00AACEC7">
        <w:tblPrEx>
          <w:tblCellMar>
            <w:top w:w="0" w:type="dxa"/>
            <w:left w:w="0" w:type="dxa"/>
            <w:bottom w:w="0" w:type="dxa"/>
            <w:right w:w="0" w:type="dxa"/>
          </w:tblCellMar>
        </w:tblPrEx>
        <w:trPr>
          <w:wBefore w:w="0" w:type="auto"/>
          <w:tblCellSpacing w:w="0" w:type="dxa"/>
        </w:trPr>
        <w:tc>
          <w:tcPr>
            <w:tcW w:w="0" w:type="auto"/>
            <w:noWrap w:val="0"/>
            <w:vAlign w:val="center"/>
          </w:tcPr>
          <w:p w14:paraId="3275843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1.用药时如果感觉不适，立即停止工作，采取急救措施，并携此标签送医就诊。2.皮肤接触：立即脱掉被污染的衣物，用大量清水冲洗被污染的皮肤，如皮肤刺激感持续，请医生诊治。 3.眼睛溅药：立即将眼睑翻开，用清水冲洗至少15分钟，再请医生诊治。4.发生吸入：立即将吸入者转移到空气新鲜处，如果吸入者停止呼吸，需进行人工呼吸。注意保暖和休息，请医生诊治。5.误服：立即携带标签，送医就诊。紧急医疗措施：使用医用活性炭洗胃，洗胃时注意防止胃容物进入呼吸道。注意：对昏迷病人，切勿经口喂入任何东西或引吐。解毒剂：无专用解毒剂，对症治疗。</w:t>
            </w:r>
          </w:p>
        </w:tc>
      </w:tr>
      <w:tr w14:paraId="0E9B2040">
        <w:tblPrEx>
          <w:tblCellMar>
            <w:top w:w="0" w:type="dxa"/>
            <w:left w:w="0" w:type="dxa"/>
            <w:bottom w:w="0" w:type="dxa"/>
            <w:right w:w="0" w:type="dxa"/>
          </w:tblCellMar>
        </w:tblPrEx>
        <w:trPr>
          <w:wBefore w:w="0" w:type="auto"/>
          <w:tblCellSpacing w:w="0" w:type="dxa"/>
        </w:trPr>
        <w:tc>
          <w:tcPr>
            <w:tcW w:w="0" w:type="auto"/>
            <w:noWrap w:val="0"/>
            <w:vAlign w:val="center"/>
          </w:tcPr>
          <w:p w14:paraId="2346FA21">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本品贮存应注意阴凉、干燥、通风，远离火源，不能与食品、饮料、粮食、饲料等物品同贮同运。远离儿童及家畜并加锁，以免误服。避免与皮肤、眼睛接触。装卸运输时注意检查包装是否密封完整，轻拿轻放。</w:t>
            </w:r>
          </w:p>
        </w:tc>
      </w:tr>
      <w:tr w14:paraId="78F19D66">
        <w:tblPrEx>
          <w:tblCellMar>
            <w:top w:w="0" w:type="dxa"/>
            <w:left w:w="0" w:type="dxa"/>
            <w:bottom w:w="0" w:type="dxa"/>
            <w:right w:w="0" w:type="dxa"/>
          </w:tblCellMar>
        </w:tblPrEx>
        <w:trPr>
          <w:wBefore w:w="0" w:type="auto"/>
          <w:tblCellSpacing w:w="0" w:type="dxa"/>
        </w:trPr>
        <w:tc>
          <w:tcPr>
            <w:tcW w:w="0" w:type="auto"/>
            <w:noWrap w:val="0"/>
            <w:vAlign w:val="center"/>
          </w:tcPr>
          <w:p w14:paraId="31487A00">
            <w:r>
              <w:rPr>
                <w:rStyle w:val="10"/>
                <w:rFonts w:hint="eastAsia"/>
              </w:rPr>
              <w:t>质量保证期：</w:t>
            </w:r>
            <w:r>
              <w:rPr>
                <w:rStyle w:val="11"/>
                <w:rFonts w:hint="eastAsia"/>
              </w:rPr>
              <w:t>2年</w:t>
            </w:r>
          </w:p>
        </w:tc>
      </w:tr>
      <w:tr w14:paraId="7A12DFF1">
        <w:tblPrEx>
          <w:tblCellMar>
            <w:top w:w="0" w:type="dxa"/>
            <w:left w:w="0" w:type="dxa"/>
            <w:bottom w:w="0" w:type="dxa"/>
            <w:right w:w="0" w:type="dxa"/>
          </w:tblCellMar>
        </w:tblPrEx>
        <w:trPr>
          <w:wBefore w:w="0" w:type="auto"/>
          <w:tblCellSpacing w:w="0" w:type="dxa"/>
        </w:trPr>
        <w:tc>
          <w:tcPr>
            <w:tcW w:w="0" w:type="auto"/>
            <w:noWrap w:val="0"/>
            <w:vAlign w:val="center"/>
          </w:tcPr>
          <w:p w14:paraId="32C9A466">
            <w:r>
              <w:rPr>
                <w:rStyle w:val="10"/>
                <w:rFonts w:hint="eastAsia"/>
              </w:rPr>
              <w:t>备注：</w:t>
            </w:r>
          </w:p>
        </w:tc>
      </w:tr>
    </w:tbl>
    <w:p w14:paraId="78ACA84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3D3343">
        <w:tblPrEx>
          <w:tblCellMar>
            <w:top w:w="0" w:type="dxa"/>
            <w:left w:w="0" w:type="dxa"/>
            <w:bottom w:w="0" w:type="dxa"/>
            <w:right w:w="0" w:type="dxa"/>
          </w:tblCellMar>
        </w:tblPrEx>
        <w:trPr>
          <w:wBefore w:w="0" w:type="auto"/>
          <w:tblCellSpacing w:w="0" w:type="dxa"/>
        </w:trPr>
        <w:tc>
          <w:tcPr>
            <w:tcW w:w="0" w:type="auto"/>
            <w:noWrap w:val="0"/>
            <w:vAlign w:val="center"/>
          </w:tcPr>
          <w:p w14:paraId="232C5FF1">
            <w:r>
              <w:rPr>
                <w:rStyle w:val="10"/>
                <w:rFonts w:hint="eastAsia"/>
              </w:rPr>
              <w:t>登记证号：</w:t>
            </w:r>
            <w:r>
              <w:rPr>
                <w:rFonts w:hint="eastAsia"/>
              </w:rPr>
              <w:t>PD20212514</w:t>
            </w:r>
          </w:p>
        </w:tc>
      </w:tr>
      <w:tr w14:paraId="065BCF55">
        <w:tblPrEx>
          <w:tblCellMar>
            <w:top w:w="0" w:type="dxa"/>
            <w:left w:w="0" w:type="dxa"/>
            <w:bottom w:w="0" w:type="dxa"/>
            <w:right w:w="0" w:type="dxa"/>
          </w:tblCellMar>
        </w:tblPrEx>
        <w:trPr>
          <w:wBefore w:w="0" w:type="auto"/>
          <w:tblCellSpacing w:w="0" w:type="dxa"/>
        </w:trPr>
        <w:tc>
          <w:tcPr>
            <w:tcW w:w="0" w:type="auto"/>
            <w:noWrap w:val="0"/>
            <w:vAlign w:val="center"/>
          </w:tcPr>
          <w:p w14:paraId="4C5AE84E">
            <w:r>
              <w:rPr>
                <w:rStyle w:val="10"/>
                <w:rFonts w:hint="eastAsia"/>
              </w:rPr>
              <w:t>登记证持有人：</w:t>
            </w:r>
            <w:r>
              <w:rPr>
                <w:rFonts w:hint="eastAsia"/>
              </w:rPr>
              <w:t>安徽黑包公有害生物防控有限公司</w:t>
            </w:r>
          </w:p>
        </w:tc>
      </w:tr>
      <w:tr w14:paraId="61704663">
        <w:tblPrEx>
          <w:tblCellMar>
            <w:top w:w="0" w:type="dxa"/>
            <w:left w:w="0" w:type="dxa"/>
            <w:bottom w:w="0" w:type="dxa"/>
            <w:right w:w="0" w:type="dxa"/>
          </w:tblCellMar>
        </w:tblPrEx>
        <w:trPr>
          <w:wBefore w:w="0" w:type="auto"/>
          <w:tblCellSpacing w:w="0" w:type="dxa"/>
        </w:trPr>
        <w:tc>
          <w:tcPr>
            <w:tcW w:w="0" w:type="auto"/>
            <w:noWrap w:val="0"/>
            <w:vAlign w:val="center"/>
          </w:tcPr>
          <w:p w14:paraId="693360C5">
            <w:r>
              <w:rPr>
                <w:rStyle w:val="10"/>
                <w:rFonts w:hint="eastAsia"/>
              </w:rPr>
              <w:t>农药名称：</w:t>
            </w:r>
            <w:r>
              <w:rPr>
                <w:rFonts w:hint="eastAsia"/>
              </w:rPr>
              <w:t>啶嘧磺隆</w:t>
            </w:r>
          </w:p>
        </w:tc>
      </w:tr>
      <w:tr w14:paraId="7C5594E5">
        <w:tblPrEx>
          <w:tblCellMar>
            <w:top w:w="0" w:type="dxa"/>
            <w:left w:w="0" w:type="dxa"/>
            <w:bottom w:w="0" w:type="dxa"/>
            <w:right w:w="0" w:type="dxa"/>
          </w:tblCellMar>
        </w:tblPrEx>
        <w:trPr>
          <w:wBefore w:w="0" w:type="auto"/>
          <w:tblCellSpacing w:w="0" w:type="dxa"/>
        </w:trPr>
        <w:tc>
          <w:tcPr>
            <w:tcW w:w="0" w:type="auto"/>
            <w:noWrap w:val="0"/>
            <w:vAlign w:val="center"/>
          </w:tcPr>
          <w:p w14:paraId="0B370E77">
            <w:r>
              <w:rPr>
                <w:rStyle w:val="10"/>
                <w:rFonts w:hint="eastAsia"/>
              </w:rPr>
              <w:t>剂型：</w:t>
            </w:r>
            <w:r>
              <w:rPr>
                <w:rFonts w:hint="eastAsia"/>
              </w:rPr>
              <w:t>水分散粒剂</w:t>
            </w:r>
          </w:p>
        </w:tc>
      </w:tr>
      <w:tr w14:paraId="579C0A2C">
        <w:tblPrEx>
          <w:tblCellMar>
            <w:top w:w="0" w:type="dxa"/>
            <w:left w:w="0" w:type="dxa"/>
            <w:bottom w:w="0" w:type="dxa"/>
            <w:right w:w="0" w:type="dxa"/>
          </w:tblCellMar>
        </w:tblPrEx>
        <w:trPr>
          <w:wBefore w:w="0" w:type="auto"/>
          <w:tblCellSpacing w:w="0" w:type="dxa"/>
        </w:trPr>
        <w:tc>
          <w:tcPr>
            <w:tcW w:w="0" w:type="auto"/>
            <w:noWrap w:val="0"/>
            <w:vAlign w:val="center"/>
          </w:tcPr>
          <w:p w14:paraId="2B28AE2B">
            <w:r>
              <w:rPr>
                <w:rStyle w:val="10"/>
                <w:rFonts w:hint="eastAsia"/>
              </w:rPr>
              <w:t>毒性及其标识：</w:t>
            </w:r>
            <w:r>
              <w:rPr>
                <w:rFonts w:hint="eastAsia"/>
              </w:rPr>
              <w:t xml:space="preserve"> 微毒 </w:t>
            </w:r>
          </w:p>
        </w:tc>
      </w:tr>
      <w:tr w14:paraId="130C543B">
        <w:tblPrEx>
          <w:tblCellMar>
            <w:top w:w="0" w:type="dxa"/>
            <w:left w:w="0" w:type="dxa"/>
            <w:bottom w:w="0" w:type="dxa"/>
            <w:right w:w="0" w:type="dxa"/>
          </w:tblCellMar>
        </w:tblPrEx>
        <w:trPr>
          <w:wBefore w:w="0" w:type="auto"/>
          <w:tblCellSpacing w:w="0" w:type="dxa"/>
        </w:trPr>
        <w:tc>
          <w:tcPr>
            <w:tcW w:w="0" w:type="auto"/>
            <w:noWrap w:val="0"/>
            <w:vAlign w:val="center"/>
          </w:tcPr>
          <w:p w14:paraId="2FD0A36F">
            <w:r>
              <w:rPr>
                <w:rStyle w:val="10"/>
                <w:rFonts w:hint="eastAsia"/>
              </w:rPr>
              <w:t>总有效成分含量：</w:t>
            </w:r>
            <w:r>
              <w:rPr>
                <w:rFonts w:hint="eastAsia"/>
              </w:rPr>
              <w:t>25%</w:t>
            </w:r>
          </w:p>
        </w:tc>
      </w:tr>
      <w:tr w14:paraId="0256C88F">
        <w:tblPrEx>
          <w:tblCellMar>
            <w:top w:w="0" w:type="dxa"/>
            <w:left w:w="0" w:type="dxa"/>
            <w:bottom w:w="0" w:type="dxa"/>
            <w:right w:w="0" w:type="dxa"/>
          </w:tblCellMar>
        </w:tblPrEx>
        <w:trPr>
          <w:wBefore w:w="0" w:type="auto"/>
          <w:tblCellSpacing w:w="0" w:type="dxa"/>
        </w:trPr>
        <w:tc>
          <w:tcPr>
            <w:tcW w:w="0" w:type="auto"/>
            <w:noWrap w:val="0"/>
            <w:vAlign w:val="center"/>
          </w:tcPr>
          <w:p w14:paraId="5207960A">
            <w:r>
              <w:rPr>
                <w:rFonts w:hint="eastAsia"/>
              </w:rPr>
              <w:t xml:space="preserve">有效成分及其含量： </w:t>
            </w:r>
          </w:p>
          <w:p w14:paraId="6DEBED26">
            <w:r>
              <w:rPr>
                <w:rFonts w:hint="eastAsia"/>
              </w:rPr>
              <w:t xml:space="preserve">    啶嘧磺隆25%    </w:t>
            </w:r>
          </w:p>
        </w:tc>
      </w:tr>
      <w:tr w14:paraId="4389A143">
        <w:tblPrEx>
          <w:tblCellMar>
            <w:top w:w="0" w:type="dxa"/>
            <w:left w:w="0" w:type="dxa"/>
            <w:bottom w:w="0" w:type="dxa"/>
            <w:right w:w="0" w:type="dxa"/>
          </w:tblCellMar>
        </w:tblPrEx>
        <w:trPr>
          <w:wBefore w:w="0" w:type="auto"/>
          <w:tblCellSpacing w:w="0" w:type="dxa"/>
        </w:trPr>
        <w:tc>
          <w:tcPr>
            <w:tcW w:w="0" w:type="auto"/>
            <w:noWrap w:val="0"/>
            <w:vAlign w:val="center"/>
          </w:tcPr>
          <w:p w14:paraId="03500D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74AD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3DF5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0959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61EF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FD9CEF">
                  <w:r>
                    <w:rPr>
                      <w:rStyle w:val="11"/>
                      <w:rFonts w:hint="eastAsia"/>
                    </w:rPr>
                    <w:t>施用方式</w:t>
                  </w:r>
                </w:p>
              </w:tc>
            </w:tr>
            <w:tr w14:paraId="2F4D19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EF16D7">
                  <w:r>
                    <w:rPr>
                      <w:rStyle w:val="11"/>
                      <w:rFonts w:hint="eastAsia"/>
                    </w:rPr>
                    <w:t>草坪(狗牙根)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D8AB3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438263">
                  <w:r>
                    <w:rPr>
                      <w:rStyle w:val="11"/>
                      <w:rFonts w:hint="eastAsia"/>
                    </w:rPr>
                    <w:t>10-20克/亩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9A0758">
                  <w:r>
                    <w:rPr>
                      <w:rStyle w:val="11"/>
                      <w:rFonts w:hint="eastAsia"/>
                    </w:rPr>
                    <w:t>茎叶喷雾</w:t>
                  </w:r>
                </w:p>
              </w:tc>
            </w:tr>
          </w:tbl>
          <w:p w14:paraId="27E5E6F0">
            <w:pPr>
              <w:rPr>
                <w:rFonts w:ascii="Times New Roman" w:hAnsi="Times New Roman" w:cs="Times New Roman"/>
                <w:sz w:val="20"/>
                <w:szCs w:val="20"/>
              </w:rPr>
            </w:pPr>
          </w:p>
        </w:tc>
      </w:tr>
      <w:tr w14:paraId="3FFBADCE">
        <w:tblPrEx>
          <w:tblCellMar>
            <w:top w:w="0" w:type="dxa"/>
            <w:left w:w="0" w:type="dxa"/>
            <w:bottom w:w="0" w:type="dxa"/>
            <w:right w:w="0" w:type="dxa"/>
          </w:tblCellMar>
        </w:tblPrEx>
        <w:trPr>
          <w:wBefore w:w="0" w:type="auto"/>
          <w:tblCellSpacing w:w="0" w:type="dxa"/>
        </w:trPr>
        <w:tc>
          <w:tcPr>
            <w:tcW w:w="0" w:type="auto"/>
            <w:noWrap w:val="0"/>
            <w:vAlign w:val="center"/>
          </w:tcPr>
          <w:p w14:paraId="285D97F1">
            <w:r>
              <w:rPr>
                <w:rStyle w:val="10"/>
                <w:rFonts w:hint="eastAsia"/>
              </w:rPr>
              <w:t>使用技术要求:</w:t>
            </w:r>
            <w:r>
              <w:rPr>
                <w:rFonts w:hint="eastAsia"/>
              </w:rPr>
              <w:br w:type="textWrapping"/>
            </w:r>
            <w:r>
              <w:rPr>
                <w:rStyle w:val="11"/>
                <w:rFonts w:hint="eastAsia"/>
              </w:rPr>
              <w:t>1. 在狗牙根草坪成坪后，杂草2-4叶期茎叶喷雾施药一次，对杂草茎叶均匀喷雾，使杂草能充分接触药效，勿重喷和漏喷。每季用药1次。2. 冷季型草坪（早熟禾、高羊茅、黑麦草、剪股颖等）及海滨雀稗草坪敏感，禁止使用本剂。</w:t>
            </w:r>
          </w:p>
        </w:tc>
      </w:tr>
      <w:tr w14:paraId="74E3155A">
        <w:tblPrEx>
          <w:tblCellMar>
            <w:top w:w="0" w:type="dxa"/>
            <w:left w:w="0" w:type="dxa"/>
            <w:bottom w:w="0" w:type="dxa"/>
            <w:right w:w="0" w:type="dxa"/>
          </w:tblCellMar>
        </w:tblPrEx>
        <w:trPr>
          <w:wBefore w:w="0" w:type="auto"/>
          <w:tblCellSpacing w:w="0" w:type="dxa"/>
        </w:trPr>
        <w:tc>
          <w:tcPr>
            <w:tcW w:w="0" w:type="auto"/>
            <w:noWrap w:val="0"/>
            <w:vAlign w:val="center"/>
          </w:tcPr>
          <w:p w14:paraId="263E135C">
            <w:r>
              <w:rPr>
                <w:rStyle w:val="10"/>
                <w:rFonts w:hint="eastAsia"/>
              </w:rPr>
              <w:t>产品性能:</w:t>
            </w:r>
            <w:r>
              <w:rPr>
                <w:rFonts w:hint="eastAsia"/>
              </w:rPr>
              <w:br w:type="textWrapping"/>
            </w:r>
            <w:r>
              <w:rPr>
                <w:rStyle w:val="11"/>
                <w:rFonts w:hint="eastAsia"/>
              </w:rPr>
              <w:t>本品为内吸传导型除草剂，兼具封闭作用。施后能被杂草茎叶和根部吸收后快速传导至整个植株，通过抑制植物体内侧链氨基酸的生物合成，而造成生长停滞、茎叶褪绿、逐渐枯死。本剂施药后5-7天杂草逐渐失绿，然后枯死，部分杂草在15-30天后完全枯死。可防除暖季型草坪（狗牙根）中的一年生禾本科、莎草科及部分阔叶杂草。</w:t>
            </w:r>
          </w:p>
        </w:tc>
      </w:tr>
      <w:tr w14:paraId="61C8506C">
        <w:tblPrEx>
          <w:tblCellMar>
            <w:top w:w="0" w:type="dxa"/>
            <w:left w:w="0" w:type="dxa"/>
            <w:bottom w:w="0" w:type="dxa"/>
            <w:right w:w="0" w:type="dxa"/>
          </w:tblCellMar>
        </w:tblPrEx>
        <w:trPr>
          <w:wBefore w:w="0" w:type="auto"/>
          <w:tblCellSpacing w:w="0" w:type="dxa"/>
        </w:trPr>
        <w:tc>
          <w:tcPr>
            <w:tcW w:w="0" w:type="auto"/>
            <w:noWrap w:val="0"/>
            <w:vAlign w:val="center"/>
          </w:tcPr>
          <w:p w14:paraId="32DD7271">
            <w:r>
              <w:rPr>
                <w:rStyle w:val="10"/>
                <w:rFonts w:hint="eastAsia"/>
              </w:rPr>
              <w:t>注意事项：</w:t>
            </w:r>
            <w:r>
              <w:rPr>
                <w:rFonts w:hint="eastAsia"/>
              </w:rPr>
              <w:br w:type="textWrapping"/>
            </w:r>
            <w:r>
              <w:rPr>
                <w:rStyle w:val="11"/>
                <w:rFonts w:hint="eastAsia"/>
              </w:rPr>
              <w:t>1. 本剂除草活性高，请严格掌握用量，兑水时采用二次稀释法，保证药剂充分混匀，喷施力求均匀周到。2. 大风天或预计6小时内降雨，请勿施药。3. 配药和使用本剂时应穿戴防护服、口罩和手套等防护用具，避免吸入药液。喷洒期间不可吃东西、喝水和吸烟。喷施后应及时先手和洗脸。4. 用药后彻底清洗施药器械，以避免对其它作物产生药害。5. 水产养殖区、河塘等水体附近禁用，禁止在河塘等水域清洗施药器具。6. 用过的容器应妥善处理，不可做他用，也不可随意丢弃。7. 孕妇及哺乳期妇女避免接触此药。</w:t>
            </w:r>
          </w:p>
        </w:tc>
      </w:tr>
      <w:tr w14:paraId="074B58CC">
        <w:tblPrEx>
          <w:tblCellMar>
            <w:top w:w="0" w:type="dxa"/>
            <w:left w:w="0" w:type="dxa"/>
            <w:bottom w:w="0" w:type="dxa"/>
            <w:right w:w="0" w:type="dxa"/>
          </w:tblCellMar>
        </w:tblPrEx>
        <w:trPr>
          <w:wBefore w:w="0" w:type="auto"/>
          <w:tblCellSpacing w:w="0" w:type="dxa"/>
        </w:trPr>
        <w:tc>
          <w:tcPr>
            <w:tcW w:w="0" w:type="auto"/>
            <w:noWrap w:val="0"/>
            <w:vAlign w:val="center"/>
          </w:tcPr>
          <w:p w14:paraId="7AED9662">
            <w:r>
              <w:rPr>
                <w:rStyle w:val="10"/>
                <w:rFonts w:hint="eastAsia"/>
              </w:rPr>
              <w:t>中毒急救措施：</w:t>
            </w:r>
            <w:r>
              <w:rPr>
                <w:rFonts w:hint="eastAsia"/>
              </w:rPr>
              <w:br w:type="textWrapping"/>
            </w:r>
            <w:r>
              <w:rPr>
                <w:rStyle w:val="11"/>
                <w:rFonts w:hint="eastAsia"/>
              </w:rPr>
              <w:t>中毒症状：本品对眼睛有刺激作用。 急救措施：1. 眼睛接触：立即用大量清水冲洗至少15分钟。2. 皮肤接触：立即脱去受污染的衣服，并用大量的清水和肥皂水彻底冲洗干净。3. 吸入：不慎吸入，立即将患者移至空气流通处。4. 误服：不慎误服，立即携此标签将病人送医院就诊，无特殊解毒剂，对症治疗。</w:t>
            </w:r>
          </w:p>
        </w:tc>
      </w:tr>
      <w:tr w14:paraId="6B50BF40">
        <w:tblPrEx>
          <w:tblCellMar>
            <w:top w:w="0" w:type="dxa"/>
            <w:left w:w="0" w:type="dxa"/>
            <w:bottom w:w="0" w:type="dxa"/>
            <w:right w:w="0" w:type="dxa"/>
          </w:tblCellMar>
        </w:tblPrEx>
        <w:trPr>
          <w:wBefore w:w="0" w:type="auto"/>
          <w:tblCellSpacing w:w="0" w:type="dxa"/>
        </w:trPr>
        <w:tc>
          <w:tcPr>
            <w:tcW w:w="0" w:type="auto"/>
            <w:noWrap w:val="0"/>
            <w:vAlign w:val="center"/>
          </w:tcPr>
          <w:p w14:paraId="5F64572C">
            <w:r>
              <w:rPr>
                <w:rStyle w:val="10"/>
                <w:rFonts w:hint="eastAsia"/>
              </w:rPr>
              <w:t>储存和运输方法：</w:t>
            </w:r>
            <w:r>
              <w:rPr>
                <w:rFonts w:hint="eastAsia"/>
              </w:rPr>
              <w:br w:type="textWrapping"/>
            </w:r>
            <w:r>
              <w:rPr>
                <w:rStyle w:val="11"/>
                <w:rFonts w:hint="eastAsia"/>
              </w:rPr>
              <w:t>1. 本品应贮存在干燥、阴凉、通风、防雨处,。远离火源或热源及儿童存放，并加锁。不能与食品、饮料、粮食、饲料等物品同贮同运。2. 运输前应先检查包装容器是否完好、密封,运输过程中要确保容器不泄漏、不倒塌、不坠落、不损坏。运输时运输车辆应配备相应品种和数量的消防器材及泄露应急处理设备。运输途中应防暴晒、雨淋、高温。公路运输时要按规定路线行驶,勿在居民区和人口稠密区停留。</w:t>
            </w:r>
          </w:p>
        </w:tc>
      </w:tr>
      <w:tr w14:paraId="4EA4408E">
        <w:tblPrEx>
          <w:tblCellMar>
            <w:top w:w="0" w:type="dxa"/>
            <w:left w:w="0" w:type="dxa"/>
            <w:bottom w:w="0" w:type="dxa"/>
            <w:right w:w="0" w:type="dxa"/>
          </w:tblCellMar>
        </w:tblPrEx>
        <w:trPr>
          <w:wBefore w:w="0" w:type="auto"/>
          <w:tblCellSpacing w:w="0" w:type="dxa"/>
        </w:trPr>
        <w:tc>
          <w:tcPr>
            <w:tcW w:w="0" w:type="auto"/>
            <w:noWrap w:val="0"/>
            <w:vAlign w:val="center"/>
          </w:tcPr>
          <w:p w14:paraId="557B1198">
            <w:r>
              <w:rPr>
                <w:rStyle w:val="10"/>
                <w:rFonts w:hint="eastAsia"/>
              </w:rPr>
              <w:t>质量保证期：</w:t>
            </w:r>
            <w:r>
              <w:rPr>
                <w:rStyle w:val="11"/>
                <w:rFonts w:hint="eastAsia"/>
              </w:rPr>
              <w:t>2年</w:t>
            </w:r>
          </w:p>
        </w:tc>
      </w:tr>
      <w:tr w14:paraId="4C41A3A6">
        <w:tblPrEx>
          <w:tblCellMar>
            <w:top w:w="0" w:type="dxa"/>
            <w:left w:w="0" w:type="dxa"/>
            <w:bottom w:w="0" w:type="dxa"/>
            <w:right w:w="0" w:type="dxa"/>
          </w:tblCellMar>
        </w:tblPrEx>
        <w:trPr>
          <w:wBefore w:w="0" w:type="auto"/>
          <w:tblCellSpacing w:w="0" w:type="dxa"/>
        </w:trPr>
        <w:tc>
          <w:tcPr>
            <w:tcW w:w="0" w:type="auto"/>
            <w:noWrap w:val="0"/>
            <w:vAlign w:val="center"/>
          </w:tcPr>
          <w:p w14:paraId="2F8B4C72">
            <w:r>
              <w:rPr>
                <w:rStyle w:val="10"/>
                <w:rFonts w:hint="eastAsia"/>
              </w:rPr>
              <w:t>备注：</w:t>
            </w:r>
          </w:p>
        </w:tc>
      </w:tr>
    </w:tbl>
    <w:p w14:paraId="466EF2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4B2551">
        <w:tblPrEx>
          <w:tblCellMar>
            <w:top w:w="0" w:type="dxa"/>
            <w:left w:w="0" w:type="dxa"/>
            <w:bottom w:w="0" w:type="dxa"/>
            <w:right w:w="0" w:type="dxa"/>
          </w:tblCellMar>
        </w:tblPrEx>
        <w:trPr>
          <w:wBefore w:w="0" w:type="auto"/>
          <w:tblCellSpacing w:w="0" w:type="dxa"/>
        </w:trPr>
        <w:tc>
          <w:tcPr>
            <w:tcW w:w="0" w:type="auto"/>
            <w:noWrap w:val="0"/>
            <w:vAlign w:val="center"/>
          </w:tcPr>
          <w:p w14:paraId="0326608F">
            <w:r>
              <w:rPr>
                <w:rStyle w:val="10"/>
                <w:rFonts w:hint="eastAsia"/>
              </w:rPr>
              <w:t>登记证号：</w:t>
            </w:r>
            <w:r>
              <w:rPr>
                <w:rFonts w:hint="eastAsia"/>
              </w:rPr>
              <w:t>PD20095851</w:t>
            </w:r>
          </w:p>
        </w:tc>
      </w:tr>
      <w:tr w14:paraId="07AD98A1">
        <w:tblPrEx>
          <w:tblCellMar>
            <w:top w:w="0" w:type="dxa"/>
            <w:left w:w="0" w:type="dxa"/>
            <w:bottom w:w="0" w:type="dxa"/>
            <w:right w:w="0" w:type="dxa"/>
          </w:tblCellMar>
        </w:tblPrEx>
        <w:trPr>
          <w:wBefore w:w="0" w:type="auto"/>
          <w:tblCellSpacing w:w="0" w:type="dxa"/>
        </w:trPr>
        <w:tc>
          <w:tcPr>
            <w:tcW w:w="0" w:type="auto"/>
            <w:noWrap w:val="0"/>
            <w:vAlign w:val="center"/>
          </w:tcPr>
          <w:p w14:paraId="2D997EB0">
            <w:r>
              <w:rPr>
                <w:rStyle w:val="10"/>
                <w:rFonts w:hint="eastAsia"/>
              </w:rPr>
              <w:t>登记证持有人：</w:t>
            </w:r>
            <w:r>
              <w:rPr>
                <w:rFonts w:hint="eastAsia"/>
              </w:rPr>
              <w:t>天津科润北方种衣剂有限公司</w:t>
            </w:r>
          </w:p>
        </w:tc>
      </w:tr>
      <w:tr w14:paraId="533B2A33">
        <w:tblPrEx>
          <w:tblCellMar>
            <w:top w:w="0" w:type="dxa"/>
            <w:left w:w="0" w:type="dxa"/>
            <w:bottom w:w="0" w:type="dxa"/>
            <w:right w:w="0" w:type="dxa"/>
          </w:tblCellMar>
        </w:tblPrEx>
        <w:trPr>
          <w:wBefore w:w="0" w:type="auto"/>
          <w:tblCellSpacing w:w="0" w:type="dxa"/>
        </w:trPr>
        <w:tc>
          <w:tcPr>
            <w:tcW w:w="0" w:type="auto"/>
            <w:noWrap w:val="0"/>
            <w:vAlign w:val="center"/>
          </w:tcPr>
          <w:p w14:paraId="38E6695B">
            <w:r>
              <w:rPr>
                <w:rStyle w:val="10"/>
                <w:rFonts w:hint="eastAsia"/>
              </w:rPr>
              <w:t>农药名称：</w:t>
            </w:r>
            <w:r>
              <w:rPr>
                <w:rFonts w:hint="eastAsia"/>
              </w:rPr>
              <w:t>甲·克</w:t>
            </w:r>
          </w:p>
        </w:tc>
      </w:tr>
      <w:tr w14:paraId="44DAF608">
        <w:tblPrEx>
          <w:tblCellMar>
            <w:top w:w="0" w:type="dxa"/>
            <w:left w:w="0" w:type="dxa"/>
            <w:bottom w:w="0" w:type="dxa"/>
            <w:right w:w="0" w:type="dxa"/>
          </w:tblCellMar>
        </w:tblPrEx>
        <w:trPr>
          <w:wBefore w:w="0" w:type="auto"/>
          <w:tblCellSpacing w:w="0" w:type="dxa"/>
        </w:trPr>
        <w:tc>
          <w:tcPr>
            <w:tcW w:w="0" w:type="auto"/>
            <w:noWrap w:val="0"/>
            <w:vAlign w:val="center"/>
          </w:tcPr>
          <w:p w14:paraId="2BDA015F">
            <w:r>
              <w:rPr>
                <w:rStyle w:val="10"/>
                <w:rFonts w:hint="eastAsia"/>
              </w:rPr>
              <w:t>剂型：</w:t>
            </w:r>
            <w:r>
              <w:rPr>
                <w:rFonts w:hint="eastAsia"/>
              </w:rPr>
              <w:t>悬浮种衣剂</w:t>
            </w:r>
          </w:p>
        </w:tc>
      </w:tr>
      <w:tr w14:paraId="42481BAB">
        <w:tblPrEx>
          <w:tblCellMar>
            <w:top w:w="0" w:type="dxa"/>
            <w:left w:w="0" w:type="dxa"/>
            <w:bottom w:w="0" w:type="dxa"/>
            <w:right w:w="0" w:type="dxa"/>
          </w:tblCellMar>
        </w:tblPrEx>
        <w:trPr>
          <w:wBefore w:w="0" w:type="auto"/>
          <w:tblCellSpacing w:w="0" w:type="dxa"/>
        </w:trPr>
        <w:tc>
          <w:tcPr>
            <w:tcW w:w="0" w:type="auto"/>
            <w:noWrap w:val="0"/>
            <w:vAlign w:val="center"/>
          </w:tcPr>
          <w:p w14:paraId="49F6955F">
            <w:r>
              <w:rPr>
                <w:rStyle w:val="10"/>
                <w:rFonts w:hint="eastAsia"/>
              </w:rPr>
              <w:t>毒性及其标识：</w:t>
            </w:r>
            <w:r>
              <w:rPr>
                <w:rFonts w:hint="eastAsia"/>
              </w:rPr>
              <w:t xml:space="preserve"> </w:t>
            </w:r>
            <w:r>
              <w:rPr>
                <w:lang/>
              </w:rPr>
              <w:drawing>
                <wp:inline distT="0" distB="0" distL="114300" distR="114300">
                  <wp:extent cx="476250" cy="447675"/>
                  <wp:effectExtent l="0" t="0" r="0" b="9525"/>
                  <wp:docPr id="363" name="图片 363" descr="说明: http://172.16.1.30:8080/static/images/queryimg/dx/d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说明: http://172.16.1.30:8080/static/images/queryimg/dx/dx1.JPG"/>
                          <pic:cNvPicPr>
                            <a:picLocks noChangeAspect="1"/>
                          </pic:cNvPicPr>
                        </pic:nvPicPr>
                        <pic:blipFill>
                          <a:blip r:embed="rId7"/>
                          <a:stretch>
                            <a:fillRect/>
                          </a:stretch>
                        </pic:blipFill>
                        <pic:spPr>
                          <a:xfrm>
                            <a:off x="0" y="0"/>
                            <a:ext cx="476250" cy="447675"/>
                          </a:xfrm>
                          <a:prstGeom prst="rect">
                            <a:avLst/>
                          </a:prstGeom>
                          <a:noFill/>
                          <a:ln>
                            <a:noFill/>
                          </a:ln>
                        </pic:spPr>
                      </pic:pic>
                    </a:graphicData>
                  </a:graphic>
                </wp:inline>
              </w:drawing>
            </w:r>
            <w:r>
              <w:rPr>
                <w:rFonts w:hint="eastAsia"/>
              </w:rPr>
              <w:t xml:space="preserve">高毒 </w:t>
            </w:r>
          </w:p>
        </w:tc>
      </w:tr>
      <w:tr w14:paraId="35749C30">
        <w:tblPrEx>
          <w:tblCellMar>
            <w:top w:w="0" w:type="dxa"/>
            <w:left w:w="0" w:type="dxa"/>
            <w:bottom w:w="0" w:type="dxa"/>
            <w:right w:w="0" w:type="dxa"/>
          </w:tblCellMar>
        </w:tblPrEx>
        <w:trPr>
          <w:wBefore w:w="0" w:type="auto"/>
          <w:tblCellSpacing w:w="0" w:type="dxa"/>
        </w:trPr>
        <w:tc>
          <w:tcPr>
            <w:tcW w:w="0" w:type="auto"/>
            <w:noWrap w:val="0"/>
            <w:vAlign w:val="center"/>
          </w:tcPr>
          <w:p w14:paraId="4B5F699F">
            <w:r>
              <w:rPr>
                <w:rStyle w:val="10"/>
                <w:rFonts w:hint="eastAsia"/>
              </w:rPr>
              <w:t>总有效成分含量：</w:t>
            </w:r>
            <w:r>
              <w:rPr>
                <w:rFonts w:hint="eastAsia"/>
              </w:rPr>
              <w:t>20%</w:t>
            </w:r>
          </w:p>
        </w:tc>
      </w:tr>
      <w:tr w14:paraId="72C281AE">
        <w:tblPrEx>
          <w:tblCellMar>
            <w:top w:w="0" w:type="dxa"/>
            <w:left w:w="0" w:type="dxa"/>
            <w:bottom w:w="0" w:type="dxa"/>
            <w:right w:w="0" w:type="dxa"/>
          </w:tblCellMar>
        </w:tblPrEx>
        <w:trPr>
          <w:wBefore w:w="0" w:type="auto"/>
          <w:tblCellSpacing w:w="0" w:type="dxa"/>
        </w:trPr>
        <w:tc>
          <w:tcPr>
            <w:tcW w:w="0" w:type="auto"/>
            <w:noWrap w:val="0"/>
            <w:vAlign w:val="center"/>
          </w:tcPr>
          <w:p w14:paraId="737BF348">
            <w:r>
              <w:rPr>
                <w:rFonts w:hint="eastAsia"/>
              </w:rPr>
              <w:t xml:space="preserve">有效成分及其含量： </w:t>
            </w:r>
          </w:p>
          <w:p w14:paraId="527EDEC3">
            <w:r>
              <w:rPr>
                <w:rFonts w:hint="eastAsia"/>
              </w:rPr>
              <w:t xml:space="preserve">    甲拌磷8%    克百威12%    </w:t>
            </w:r>
          </w:p>
        </w:tc>
      </w:tr>
      <w:tr w14:paraId="4DF5008C">
        <w:tblPrEx>
          <w:tblCellMar>
            <w:top w:w="0" w:type="dxa"/>
            <w:left w:w="0" w:type="dxa"/>
            <w:bottom w:w="0" w:type="dxa"/>
            <w:right w:w="0" w:type="dxa"/>
          </w:tblCellMar>
        </w:tblPrEx>
        <w:trPr>
          <w:wBefore w:w="0" w:type="auto"/>
          <w:tblCellSpacing w:w="0" w:type="dxa"/>
        </w:trPr>
        <w:tc>
          <w:tcPr>
            <w:tcW w:w="0" w:type="auto"/>
            <w:noWrap w:val="0"/>
            <w:vAlign w:val="center"/>
          </w:tcPr>
          <w:p w14:paraId="469EC72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4527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04F95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CA3AC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24CE3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4A5FE1">
                  <w:r>
                    <w:rPr>
                      <w:rStyle w:val="11"/>
                      <w:rFonts w:hint="eastAsia"/>
                    </w:rPr>
                    <w:t>施用方式</w:t>
                  </w:r>
                </w:p>
              </w:tc>
            </w:tr>
            <w:tr w14:paraId="3F75FD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7316E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69C7CC">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A201E">
                  <w:r>
                    <w:rPr>
                      <w:rStyle w:val="11"/>
                      <w:rFonts w:hint="eastAsia"/>
                    </w:rPr>
                    <w:t>1215-1415克/100千克种子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ED8D4D">
                  <w:r>
                    <w:rPr>
                      <w:rStyle w:val="11"/>
                      <w:rFonts w:hint="eastAsia"/>
                    </w:rPr>
                    <w:t>种子包衣</w:t>
                  </w:r>
                </w:p>
              </w:tc>
            </w:tr>
          </w:tbl>
          <w:p w14:paraId="0B196E76">
            <w:pPr>
              <w:rPr>
                <w:rFonts w:ascii="Times New Roman" w:hAnsi="Times New Roman" w:cs="Times New Roman"/>
                <w:sz w:val="20"/>
                <w:szCs w:val="20"/>
              </w:rPr>
            </w:pPr>
          </w:p>
        </w:tc>
      </w:tr>
      <w:tr w14:paraId="7EE6EB41">
        <w:tblPrEx>
          <w:tblCellMar>
            <w:top w:w="0" w:type="dxa"/>
            <w:left w:w="0" w:type="dxa"/>
            <w:bottom w:w="0" w:type="dxa"/>
            <w:right w:w="0" w:type="dxa"/>
          </w:tblCellMar>
        </w:tblPrEx>
        <w:trPr>
          <w:wBefore w:w="0" w:type="auto"/>
          <w:tblCellSpacing w:w="0" w:type="dxa"/>
        </w:trPr>
        <w:tc>
          <w:tcPr>
            <w:tcW w:w="0" w:type="auto"/>
            <w:noWrap w:val="0"/>
            <w:vAlign w:val="center"/>
          </w:tcPr>
          <w:p w14:paraId="0012E6CA">
            <w:r>
              <w:rPr>
                <w:rStyle w:val="10"/>
                <w:rFonts w:hint="eastAsia"/>
              </w:rPr>
              <w:t>使用技术要求:</w:t>
            </w:r>
            <w:r>
              <w:rPr>
                <w:rFonts w:hint="eastAsia"/>
              </w:rPr>
              <w:br w:type="textWrapping"/>
            </w:r>
            <w:r>
              <w:rPr>
                <w:rStyle w:val="11"/>
                <w:rFonts w:hint="eastAsia"/>
              </w:rPr>
              <w:t>将本品充分摇匀后，对精选后的花生良种进行包衣， 既可机械包衣，亦可人工包衣。每季作物最多使用1次。</w:t>
            </w:r>
          </w:p>
        </w:tc>
      </w:tr>
      <w:tr w14:paraId="0C080CB6">
        <w:tblPrEx>
          <w:tblCellMar>
            <w:top w:w="0" w:type="dxa"/>
            <w:left w:w="0" w:type="dxa"/>
            <w:bottom w:w="0" w:type="dxa"/>
            <w:right w:w="0" w:type="dxa"/>
          </w:tblCellMar>
        </w:tblPrEx>
        <w:trPr>
          <w:wBefore w:w="0" w:type="auto"/>
          <w:tblCellSpacing w:w="0" w:type="dxa"/>
        </w:trPr>
        <w:tc>
          <w:tcPr>
            <w:tcW w:w="0" w:type="auto"/>
            <w:noWrap w:val="0"/>
            <w:vAlign w:val="center"/>
          </w:tcPr>
          <w:p w14:paraId="56E18C6C">
            <w:r>
              <w:rPr>
                <w:rStyle w:val="10"/>
                <w:rFonts w:hint="eastAsia"/>
              </w:rPr>
              <w:t>产品性能:</w:t>
            </w:r>
            <w:r>
              <w:rPr>
                <w:rFonts w:hint="eastAsia"/>
              </w:rPr>
              <w:br w:type="textWrapping"/>
            </w:r>
            <w:r>
              <w:rPr>
                <w:rStyle w:val="11"/>
                <w:rFonts w:hint="eastAsia"/>
              </w:rPr>
              <w:t>本品由甲拌磷、克百威混配而成，适用于防治花生蚜虫。</w:t>
            </w:r>
          </w:p>
        </w:tc>
      </w:tr>
      <w:tr w14:paraId="239A4DF1">
        <w:tblPrEx>
          <w:tblCellMar>
            <w:top w:w="0" w:type="dxa"/>
            <w:left w:w="0" w:type="dxa"/>
            <w:bottom w:w="0" w:type="dxa"/>
            <w:right w:w="0" w:type="dxa"/>
          </w:tblCellMar>
        </w:tblPrEx>
        <w:trPr>
          <w:wBefore w:w="0" w:type="auto"/>
          <w:tblCellSpacing w:w="0" w:type="dxa"/>
        </w:trPr>
        <w:tc>
          <w:tcPr>
            <w:tcW w:w="0" w:type="auto"/>
            <w:noWrap w:val="0"/>
            <w:vAlign w:val="center"/>
          </w:tcPr>
          <w:p w14:paraId="4071A868">
            <w:r>
              <w:rPr>
                <w:rStyle w:val="10"/>
                <w:rFonts w:hint="eastAsia"/>
              </w:rPr>
              <w:t>注意事项：</w:t>
            </w:r>
            <w:r>
              <w:rPr>
                <w:rFonts w:hint="eastAsia"/>
              </w:rPr>
              <w:br w:type="textWrapping"/>
            </w:r>
            <w:r>
              <w:rPr>
                <w:rStyle w:val="11"/>
                <w:rFonts w:hint="eastAsia"/>
              </w:rPr>
              <w:t>1.不得用于防治卫生害虫，不得用于蔬菜、瓜果、茶叶、菌类、中草药材的生产，不得用于水生植物的病虫害防治。2.本品为固定剂型，不能加其他农药和肥料，不能与铜制剂等碱性物质混用。 以免引起药效或毒性变化。 3.包衣后的种子不得食用和不得作为饲料。4.包衣后的种子不得摊晾在阳光下曝晒，以免发生光解影响药效。 5.本品严禁田间喷雾使用。 6.本品有毒，使用时应穿戴防毒用具，不得抽烟进食，使用后用肥皂水洗脸、手和裸露的皮肤。播种时不能用手直接接触有毒种子。 7.施药期间要远离水产养殖区施药，禁止在河塘等水体中清洗施药器具。鸟类保护期禁用，施药时应避免鸟类接触。8.用过的容器应妥善处理，不可做它，用也不可随意丢弃。9.禁止孕妇及哺乳期妇女接触本品。</w:t>
            </w:r>
          </w:p>
        </w:tc>
      </w:tr>
      <w:tr w14:paraId="2F64ADB2">
        <w:tblPrEx>
          <w:tblCellMar>
            <w:top w:w="0" w:type="dxa"/>
            <w:left w:w="0" w:type="dxa"/>
            <w:bottom w:w="0" w:type="dxa"/>
            <w:right w:w="0" w:type="dxa"/>
          </w:tblCellMar>
        </w:tblPrEx>
        <w:trPr>
          <w:wBefore w:w="0" w:type="auto"/>
          <w:tblCellSpacing w:w="0" w:type="dxa"/>
        </w:trPr>
        <w:tc>
          <w:tcPr>
            <w:tcW w:w="0" w:type="auto"/>
            <w:noWrap w:val="0"/>
            <w:vAlign w:val="center"/>
          </w:tcPr>
          <w:p w14:paraId="29EA1D22">
            <w:r>
              <w:rPr>
                <w:rStyle w:val="10"/>
                <w:rFonts w:hint="eastAsia"/>
              </w:rPr>
              <w:t>中毒急救措施：</w:t>
            </w:r>
            <w:r>
              <w:rPr>
                <w:rFonts w:hint="eastAsia"/>
              </w:rPr>
              <w:br w:type="textWrapping"/>
            </w:r>
            <w:r>
              <w:rPr>
                <w:rStyle w:val="11"/>
                <w:rFonts w:hint="eastAsia"/>
              </w:rPr>
              <w:t>中毒症状：头昏、头痛、乏力、面色苍白、呕吐、多汗、流涎 、瞳孔缩小、视力模糊，严重者出现血压下降、意识不清、皮肤出现接触性皮炎；如风疹、局部红肿、痛痒、眼膜充血、流泪、胸闷、呼吸困难等。急救治疗：如不慎沾染皮肤或溅入眼睛，用大量清水至少冲洗15分钟，用阿托品0.5-2mg口服或肌肉注射，重者加用肾上素，禁用解磷定、氯磷定、双复磷、吗啡茶硷、吩噻嗪、利血平。</w:t>
            </w:r>
          </w:p>
        </w:tc>
      </w:tr>
      <w:tr w14:paraId="3E2652B9">
        <w:tblPrEx>
          <w:tblCellMar>
            <w:top w:w="0" w:type="dxa"/>
            <w:left w:w="0" w:type="dxa"/>
            <w:bottom w:w="0" w:type="dxa"/>
            <w:right w:w="0" w:type="dxa"/>
          </w:tblCellMar>
        </w:tblPrEx>
        <w:trPr>
          <w:wBefore w:w="0" w:type="auto"/>
          <w:tblCellSpacing w:w="0" w:type="dxa"/>
        </w:trPr>
        <w:tc>
          <w:tcPr>
            <w:tcW w:w="0" w:type="auto"/>
            <w:noWrap w:val="0"/>
            <w:vAlign w:val="center"/>
          </w:tcPr>
          <w:p w14:paraId="742A5290">
            <w:r>
              <w:rPr>
                <w:rStyle w:val="10"/>
                <w:rFonts w:hint="eastAsia"/>
              </w:rPr>
              <w:t>储存和运输方法：</w:t>
            </w:r>
            <w:r>
              <w:rPr>
                <w:rFonts w:hint="eastAsia"/>
              </w:rPr>
              <w:br w:type="textWrapping"/>
            </w:r>
            <w:r>
              <w:rPr>
                <w:rStyle w:val="11"/>
                <w:rFonts w:hint="eastAsia"/>
              </w:rPr>
              <w:t>本品为有毒农药，应贮存在干燥、阴凉、通风、防雨处，远离火源、热源。置于儿童触及不到之处，并加锁；勿与食品、饮料、饲料、粮食等同贮同运。</w:t>
            </w:r>
          </w:p>
        </w:tc>
      </w:tr>
      <w:tr w14:paraId="2B993033">
        <w:tblPrEx>
          <w:tblCellMar>
            <w:top w:w="0" w:type="dxa"/>
            <w:left w:w="0" w:type="dxa"/>
            <w:bottom w:w="0" w:type="dxa"/>
            <w:right w:w="0" w:type="dxa"/>
          </w:tblCellMar>
        </w:tblPrEx>
        <w:trPr>
          <w:wBefore w:w="0" w:type="auto"/>
          <w:tblCellSpacing w:w="0" w:type="dxa"/>
        </w:trPr>
        <w:tc>
          <w:tcPr>
            <w:tcW w:w="0" w:type="auto"/>
            <w:noWrap w:val="0"/>
            <w:vAlign w:val="center"/>
          </w:tcPr>
          <w:p w14:paraId="547F630C">
            <w:r>
              <w:rPr>
                <w:rStyle w:val="10"/>
                <w:rFonts w:hint="eastAsia"/>
              </w:rPr>
              <w:t>质量保证期：</w:t>
            </w:r>
            <w:r>
              <w:rPr>
                <w:rStyle w:val="11"/>
                <w:rFonts w:hint="eastAsia"/>
              </w:rPr>
              <w:t>2年</w:t>
            </w:r>
          </w:p>
        </w:tc>
      </w:tr>
      <w:tr w14:paraId="132C80B8">
        <w:tblPrEx>
          <w:tblCellMar>
            <w:top w:w="0" w:type="dxa"/>
            <w:left w:w="0" w:type="dxa"/>
            <w:bottom w:w="0" w:type="dxa"/>
            <w:right w:w="0" w:type="dxa"/>
          </w:tblCellMar>
        </w:tblPrEx>
        <w:trPr>
          <w:wBefore w:w="0" w:type="auto"/>
          <w:tblCellSpacing w:w="0" w:type="dxa"/>
        </w:trPr>
        <w:tc>
          <w:tcPr>
            <w:tcW w:w="0" w:type="auto"/>
            <w:noWrap w:val="0"/>
            <w:vAlign w:val="center"/>
          </w:tcPr>
          <w:p w14:paraId="096A72A1">
            <w:r>
              <w:rPr>
                <w:rStyle w:val="10"/>
                <w:rFonts w:hint="eastAsia"/>
              </w:rPr>
              <w:t>备注：</w:t>
            </w:r>
          </w:p>
        </w:tc>
      </w:tr>
    </w:tbl>
    <w:p w14:paraId="0EBF728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A1A5D0">
        <w:tblPrEx>
          <w:tblCellMar>
            <w:top w:w="0" w:type="dxa"/>
            <w:left w:w="0" w:type="dxa"/>
            <w:bottom w:w="0" w:type="dxa"/>
            <w:right w:w="0" w:type="dxa"/>
          </w:tblCellMar>
        </w:tblPrEx>
        <w:trPr>
          <w:wBefore w:w="0" w:type="auto"/>
          <w:tblCellSpacing w:w="0" w:type="dxa"/>
        </w:trPr>
        <w:tc>
          <w:tcPr>
            <w:tcW w:w="0" w:type="auto"/>
            <w:noWrap w:val="0"/>
            <w:vAlign w:val="center"/>
          </w:tcPr>
          <w:p w14:paraId="331D0948">
            <w:r>
              <w:rPr>
                <w:rStyle w:val="10"/>
                <w:rFonts w:hint="eastAsia"/>
              </w:rPr>
              <w:t>登记证号：</w:t>
            </w:r>
            <w:r>
              <w:rPr>
                <w:rFonts w:hint="eastAsia"/>
              </w:rPr>
              <w:t>PD20111012</w:t>
            </w:r>
          </w:p>
        </w:tc>
      </w:tr>
      <w:tr w14:paraId="216DDA8C">
        <w:tblPrEx>
          <w:tblCellMar>
            <w:top w:w="0" w:type="dxa"/>
            <w:left w:w="0" w:type="dxa"/>
            <w:bottom w:w="0" w:type="dxa"/>
            <w:right w:w="0" w:type="dxa"/>
          </w:tblCellMar>
        </w:tblPrEx>
        <w:trPr>
          <w:wBefore w:w="0" w:type="auto"/>
          <w:tblCellSpacing w:w="0" w:type="dxa"/>
        </w:trPr>
        <w:tc>
          <w:tcPr>
            <w:tcW w:w="0" w:type="auto"/>
            <w:noWrap w:val="0"/>
            <w:vAlign w:val="center"/>
          </w:tcPr>
          <w:p w14:paraId="799C42D5">
            <w:r>
              <w:rPr>
                <w:rStyle w:val="10"/>
                <w:rFonts w:hint="eastAsia"/>
              </w:rPr>
              <w:t>登记证持有人：</w:t>
            </w:r>
            <w:r>
              <w:rPr>
                <w:rFonts w:hint="eastAsia"/>
              </w:rPr>
              <w:t>湖北泰盛化工有限公司</w:t>
            </w:r>
          </w:p>
        </w:tc>
      </w:tr>
      <w:tr w14:paraId="77346DC2">
        <w:tblPrEx>
          <w:tblCellMar>
            <w:top w:w="0" w:type="dxa"/>
            <w:left w:w="0" w:type="dxa"/>
            <w:bottom w:w="0" w:type="dxa"/>
            <w:right w:w="0" w:type="dxa"/>
          </w:tblCellMar>
        </w:tblPrEx>
        <w:trPr>
          <w:wBefore w:w="0" w:type="auto"/>
          <w:tblCellSpacing w:w="0" w:type="dxa"/>
        </w:trPr>
        <w:tc>
          <w:tcPr>
            <w:tcW w:w="0" w:type="auto"/>
            <w:noWrap w:val="0"/>
            <w:vAlign w:val="center"/>
          </w:tcPr>
          <w:p w14:paraId="4C3C634C">
            <w:r>
              <w:rPr>
                <w:rStyle w:val="10"/>
                <w:rFonts w:hint="eastAsia"/>
              </w:rPr>
              <w:t>农药名称：</w:t>
            </w:r>
            <w:r>
              <w:rPr>
                <w:rFonts w:hint="eastAsia"/>
              </w:rPr>
              <w:t>草甘膦铵盐</w:t>
            </w:r>
          </w:p>
        </w:tc>
      </w:tr>
      <w:tr w14:paraId="7E919F04">
        <w:tblPrEx>
          <w:tblCellMar>
            <w:top w:w="0" w:type="dxa"/>
            <w:left w:w="0" w:type="dxa"/>
            <w:bottom w:w="0" w:type="dxa"/>
            <w:right w:w="0" w:type="dxa"/>
          </w:tblCellMar>
        </w:tblPrEx>
        <w:trPr>
          <w:wBefore w:w="0" w:type="auto"/>
          <w:tblCellSpacing w:w="0" w:type="dxa"/>
        </w:trPr>
        <w:tc>
          <w:tcPr>
            <w:tcW w:w="0" w:type="auto"/>
            <w:noWrap w:val="0"/>
            <w:vAlign w:val="center"/>
          </w:tcPr>
          <w:p w14:paraId="2F166A3F">
            <w:r>
              <w:rPr>
                <w:rStyle w:val="10"/>
                <w:rFonts w:hint="eastAsia"/>
              </w:rPr>
              <w:t>剂型：</w:t>
            </w:r>
            <w:r>
              <w:rPr>
                <w:rFonts w:hint="eastAsia"/>
              </w:rPr>
              <w:t>水剂</w:t>
            </w:r>
          </w:p>
        </w:tc>
      </w:tr>
      <w:tr w14:paraId="41B90673">
        <w:tblPrEx>
          <w:tblCellMar>
            <w:top w:w="0" w:type="dxa"/>
            <w:left w:w="0" w:type="dxa"/>
            <w:bottom w:w="0" w:type="dxa"/>
            <w:right w:w="0" w:type="dxa"/>
          </w:tblCellMar>
        </w:tblPrEx>
        <w:trPr>
          <w:wBefore w:w="0" w:type="auto"/>
          <w:tblCellSpacing w:w="0" w:type="dxa"/>
        </w:trPr>
        <w:tc>
          <w:tcPr>
            <w:tcW w:w="0" w:type="auto"/>
            <w:noWrap w:val="0"/>
            <w:vAlign w:val="center"/>
          </w:tcPr>
          <w:p w14:paraId="7646D7FB">
            <w:r>
              <w:rPr>
                <w:rStyle w:val="10"/>
                <w:rFonts w:hint="eastAsia"/>
              </w:rPr>
              <w:t>毒性及其标识：</w:t>
            </w:r>
            <w:r>
              <w:rPr>
                <w:rFonts w:hint="eastAsia"/>
              </w:rPr>
              <w:t xml:space="preserve"> </w:t>
            </w:r>
            <w:r>
              <w:rPr>
                <w:lang/>
              </w:rPr>
              <w:drawing>
                <wp:inline distT="0" distB="0" distL="114300" distR="114300">
                  <wp:extent cx="476250" cy="323850"/>
                  <wp:effectExtent l="0" t="0" r="0" b="0"/>
                  <wp:docPr id="364" name="图片 3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4D14C7">
        <w:tblPrEx>
          <w:tblCellMar>
            <w:top w:w="0" w:type="dxa"/>
            <w:left w:w="0" w:type="dxa"/>
            <w:bottom w:w="0" w:type="dxa"/>
            <w:right w:w="0" w:type="dxa"/>
          </w:tblCellMar>
        </w:tblPrEx>
        <w:trPr>
          <w:wBefore w:w="0" w:type="auto"/>
          <w:tblCellSpacing w:w="0" w:type="dxa"/>
        </w:trPr>
        <w:tc>
          <w:tcPr>
            <w:tcW w:w="0" w:type="auto"/>
            <w:noWrap w:val="0"/>
            <w:vAlign w:val="center"/>
          </w:tcPr>
          <w:p w14:paraId="7B0EB96D">
            <w:r>
              <w:rPr>
                <w:rStyle w:val="10"/>
                <w:rFonts w:hint="eastAsia"/>
              </w:rPr>
              <w:t>总有效成分含量：</w:t>
            </w:r>
            <w:r>
              <w:rPr>
                <w:rFonts w:hint="eastAsia"/>
              </w:rPr>
              <w:t>30%</w:t>
            </w:r>
          </w:p>
        </w:tc>
      </w:tr>
      <w:tr w14:paraId="1B7CCB68">
        <w:tblPrEx>
          <w:tblCellMar>
            <w:top w:w="0" w:type="dxa"/>
            <w:left w:w="0" w:type="dxa"/>
            <w:bottom w:w="0" w:type="dxa"/>
            <w:right w:w="0" w:type="dxa"/>
          </w:tblCellMar>
        </w:tblPrEx>
        <w:trPr>
          <w:wBefore w:w="0" w:type="auto"/>
          <w:tblCellSpacing w:w="0" w:type="dxa"/>
        </w:trPr>
        <w:tc>
          <w:tcPr>
            <w:tcW w:w="0" w:type="auto"/>
            <w:noWrap w:val="0"/>
            <w:vAlign w:val="center"/>
          </w:tcPr>
          <w:p w14:paraId="2CA70A8C">
            <w:r>
              <w:rPr>
                <w:rFonts w:hint="eastAsia"/>
              </w:rPr>
              <w:t xml:space="preserve">有效成分及其含量： </w:t>
            </w:r>
          </w:p>
          <w:p w14:paraId="6BF3528C">
            <w:r>
              <w:rPr>
                <w:rFonts w:hint="eastAsia"/>
              </w:rPr>
              <w:t xml:space="preserve">    草甘膦30%    </w:t>
            </w:r>
          </w:p>
        </w:tc>
      </w:tr>
      <w:tr w14:paraId="18EE8806">
        <w:tblPrEx>
          <w:tblCellMar>
            <w:top w:w="0" w:type="dxa"/>
            <w:left w:w="0" w:type="dxa"/>
            <w:bottom w:w="0" w:type="dxa"/>
            <w:right w:w="0" w:type="dxa"/>
          </w:tblCellMar>
        </w:tblPrEx>
        <w:trPr>
          <w:wBefore w:w="0" w:type="auto"/>
          <w:tblCellSpacing w:w="0" w:type="dxa"/>
        </w:trPr>
        <w:tc>
          <w:tcPr>
            <w:tcW w:w="0" w:type="auto"/>
            <w:noWrap w:val="0"/>
            <w:vAlign w:val="center"/>
          </w:tcPr>
          <w:p w14:paraId="3B684B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3009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56B97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E6F63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B074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293684">
                  <w:r>
                    <w:rPr>
                      <w:rStyle w:val="11"/>
                      <w:rFonts w:hint="eastAsia"/>
                    </w:rPr>
                    <w:t>施用方式</w:t>
                  </w:r>
                </w:p>
              </w:tc>
            </w:tr>
            <w:tr w14:paraId="682D75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AF5E16">
                  <w:r>
                    <w:rPr>
                      <w:rStyle w:val="11"/>
                      <w:rFonts w:hint="eastAsia"/>
                    </w:rPr>
                    <w:t>柑橘园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91E2F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CC83CF">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28E7B4">
                  <w:r>
                    <w:rPr>
                      <w:rStyle w:val="11"/>
                      <w:rFonts w:hint="eastAsia"/>
                    </w:rPr>
                    <w:t>定向茎叶喷雾</w:t>
                  </w:r>
                </w:p>
              </w:tc>
            </w:tr>
            <w:tr w14:paraId="4DB4CF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2AC98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92DF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B5FC6D">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D0A0C0">
                  <w:r>
                    <w:rPr>
                      <w:rStyle w:val="11"/>
                      <w:rFonts w:hint="eastAsia"/>
                    </w:rPr>
                    <w:t>茎叶喷雾</w:t>
                  </w:r>
                </w:p>
              </w:tc>
            </w:tr>
          </w:tbl>
          <w:p w14:paraId="4A688DC1">
            <w:pPr>
              <w:rPr>
                <w:rFonts w:ascii="Times New Roman" w:hAnsi="Times New Roman" w:cs="Times New Roman"/>
                <w:sz w:val="20"/>
                <w:szCs w:val="20"/>
              </w:rPr>
            </w:pPr>
          </w:p>
        </w:tc>
      </w:tr>
      <w:tr w14:paraId="77956425">
        <w:tblPrEx>
          <w:tblCellMar>
            <w:top w:w="0" w:type="dxa"/>
            <w:left w:w="0" w:type="dxa"/>
            <w:bottom w:w="0" w:type="dxa"/>
            <w:right w:w="0" w:type="dxa"/>
          </w:tblCellMar>
        </w:tblPrEx>
        <w:trPr>
          <w:wBefore w:w="0" w:type="auto"/>
          <w:tblCellSpacing w:w="0" w:type="dxa"/>
        </w:trPr>
        <w:tc>
          <w:tcPr>
            <w:tcW w:w="0" w:type="auto"/>
            <w:noWrap w:val="0"/>
            <w:vAlign w:val="center"/>
          </w:tcPr>
          <w:p w14:paraId="47C2258F">
            <w:r>
              <w:rPr>
                <w:rStyle w:val="10"/>
                <w:rFonts w:hint="eastAsia"/>
              </w:rPr>
              <w:t>使用技术要求:</w:t>
            </w:r>
            <w:r>
              <w:rPr>
                <w:rFonts w:hint="eastAsia"/>
              </w:rPr>
              <w:br w:type="textWrapping"/>
            </w:r>
            <w:r>
              <w:rPr>
                <w:rStyle w:val="11"/>
                <w:rFonts w:hint="eastAsia"/>
              </w:rPr>
              <w:t>1. 施药时期宜掌握在杂草生产旺盛期施药，效果更佳。 2. 温暖晴天用药效果优于低温天气，预计4小时内有降雨，请勿使用。</w:t>
            </w:r>
          </w:p>
        </w:tc>
      </w:tr>
      <w:tr w14:paraId="2D24CDDA">
        <w:tblPrEx>
          <w:tblCellMar>
            <w:top w:w="0" w:type="dxa"/>
            <w:left w:w="0" w:type="dxa"/>
            <w:bottom w:w="0" w:type="dxa"/>
            <w:right w:w="0" w:type="dxa"/>
          </w:tblCellMar>
        </w:tblPrEx>
        <w:trPr>
          <w:wBefore w:w="0" w:type="auto"/>
          <w:tblCellSpacing w:w="0" w:type="dxa"/>
        </w:trPr>
        <w:tc>
          <w:tcPr>
            <w:tcW w:w="0" w:type="auto"/>
            <w:noWrap w:val="0"/>
            <w:vAlign w:val="center"/>
          </w:tcPr>
          <w:p w14:paraId="62A7917F">
            <w:r>
              <w:rPr>
                <w:rStyle w:val="10"/>
                <w:rFonts w:hint="eastAsia"/>
              </w:rPr>
              <w:t>产品性能:</w:t>
            </w:r>
            <w:r>
              <w:rPr>
                <w:rFonts w:hint="eastAsia"/>
              </w:rPr>
              <w:br w:type="textWrapping"/>
            </w:r>
            <w:r>
              <w:rPr>
                <w:rStyle w:val="11"/>
                <w:rFonts w:hint="eastAsia"/>
              </w:rPr>
              <w:t>本品系内吸传导型广谱灭生性除草剂。其作用原理主要通过抑制植物体内醇丙酮基莽草素磷酸合成酶，从而抑制莽草素向苯丙氨酸、酪氨酸及色氨酸的转化，使蛋白质的合成受到干扰导致植物死亡。不仅能通过叶传导到地下部分，而且在同一植株的不同分蘖间也能进行传导，对一年生及多年生深根杂草的地下组织具有较强的破坏力。用于防除柑橘园杂草。</w:t>
            </w:r>
          </w:p>
        </w:tc>
      </w:tr>
      <w:tr w14:paraId="427999A1">
        <w:tblPrEx>
          <w:tblCellMar>
            <w:top w:w="0" w:type="dxa"/>
            <w:left w:w="0" w:type="dxa"/>
            <w:bottom w:w="0" w:type="dxa"/>
            <w:right w:w="0" w:type="dxa"/>
          </w:tblCellMar>
        </w:tblPrEx>
        <w:trPr>
          <w:wBefore w:w="0" w:type="auto"/>
          <w:tblCellSpacing w:w="0" w:type="dxa"/>
        </w:trPr>
        <w:tc>
          <w:tcPr>
            <w:tcW w:w="0" w:type="auto"/>
            <w:noWrap w:val="0"/>
            <w:vAlign w:val="center"/>
          </w:tcPr>
          <w:p w14:paraId="34C573AE">
            <w:r>
              <w:rPr>
                <w:rStyle w:val="10"/>
                <w:rFonts w:hint="eastAsia"/>
              </w:rPr>
              <w:t>注意事项：</w:t>
            </w:r>
            <w:r>
              <w:rPr>
                <w:rFonts w:hint="eastAsia"/>
              </w:rPr>
              <w:br w:type="textWrapping"/>
            </w:r>
            <w:r>
              <w:rPr>
                <w:rStyle w:val="11"/>
                <w:rFonts w:hint="eastAsia"/>
              </w:rPr>
              <w:t>1. 低温贮存时会有结晶析出，用时应充分摇动容器，使结晶溶解，以保证药效。2. 本品每季最多使用2次，安全间隔期为35天。应用清水配制，否则降低药效。3. 、施用本品后5天内不要割草、放牧或翻地。4. 本品为灭生性除草剂，施药时勿将药液喷到作物绿色部位；并应防止药雾飘移到附近的作物上，以免造成药害。5. 使用本品时应穿戴防护用品等；施药时勿吸烟、饮水、吃东西；施药后应及时洗脸、洗手和裸露部位的皮肤等。6. 清洗器具的废水不能排入河流、池塘等水源，废弃物及用过的容器要妥善处理，不能随意丢弃。7. 避免孕妇及哺乳期的妇女接触。8. 远离水产养殖区施药，禁止在河塘等水体清洗施药器具。</w:t>
            </w:r>
          </w:p>
        </w:tc>
      </w:tr>
      <w:tr w14:paraId="32CAD43C">
        <w:tblPrEx>
          <w:tblCellMar>
            <w:top w:w="0" w:type="dxa"/>
            <w:left w:w="0" w:type="dxa"/>
            <w:bottom w:w="0" w:type="dxa"/>
            <w:right w:w="0" w:type="dxa"/>
          </w:tblCellMar>
        </w:tblPrEx>
        <w:trPr>
          <w:wBefore w:w="0" w:type="auto"/>
          <w:tblCellSpacing w:w="0" w:type="dxa"/>
        </w:trPr>
        <w:tc>
          <w:tcPr>
            <w:tcW w:w="0" w:type="auto"/>
            <w:noWrap w:val="0"/>
            <w:vAlign w:val="center"/>
          </w:tcPr>
          <w:p w14:paraId="77919200">
            <w:r>
              <w:rPr>
                <w:rStyle w:val="10"/>
                <w:rFonts w:hint="eastAsia"/>
              </w:rPr>
              <w:t>中毒急救措施：</w:t>
            </w:r>
            <w:r>
              <w:rPr>
                <w:rFonts w:hint="eastAsia"/>
              </w:rPr>
              <w:br w:type="textWrapping"/>
            </w:r>
            <w:r>
              <w:rPr>
                <w:rStyle w:val="11"/>
                <w:rFonts w:hint="eastAsia"/>
              </w:rPr>
              <w:t>中毒症状：本品对皮肤和眼睛有刺激作用。 不慎吸入，应将病人移到空气流通处。不慎接触皮肤或溅入眼睛，用大量清水冲洗至少15分钟。误服则应立即携此标签将病人送医院诊治，对症治疗。</w:t>
            </w:r>
          </w:p>
        </w:tc>
      </w:tr>
      <w:tr w14:paraId="755D168D">
        <w:tblPrEx>
          <w:tblCellMar>
            <w:top w:w="0" w:type="dxa"/>
            <w:left w:w="0" w:type="dxa"/>
            <w:bottom w:w="0" w:type="dxa"/>
            <w:right w:w="0" w:type="dxa"/>
          </w:tblCellMar>
        </w:tblPrEx>
        <w:trPr>
          <w:wBefore w:w="0" w:type="auto"/>
          <w:tblCellSpacing w:w="0" w:type="dxa"/>
        </w:trPr>
        <w:tc>
          <w:tcPr>
            <w:tcW w:w="0" w:type="auto"/>
            <w:noWrap w:val="0"/>
            <w:vAlign w:val="center"/>
          </w:tcPr>
          <w:p w14:paraId="753D54AE">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本品应贮存在干燥、阴凉、通风、防雨处，远离火源或热源。置于儿童触及不到之处，并加锁。勿与食品、饮料、饲料等其他商品同贮同运。本品对金属有腐蚀性，贮存与使用时，尽量使用塑料容器。</w:t>
            </w:r>
          </w:p>
        </w:tc>
      </w:tr>
      <w:tr w14:paraId="16A89D44">
        <w:tblPrEx>
          <w:tblCellMar>
            <w:top w:w="0" w:type="dxa"/>
            <w:left w:w="0" w:type="dxa"/>
            <w:bottom w:w="0" w:type="dxa"/>
            <w:right w:w="0" w:type="dxa"/>
          </w:tblCellMar>
        </w:tblPrEx>
        <w:trPr>
          <w:wBefore w:w="0" w:type="auto"/>
          <w:tblCellSpacing w:w="0" w:type="dxa"/>
        </w:trPr>
        <w:tc>
          <w:tcPr>
            <w:tcW w:w="0" w:type="auto"/>
            <w:noWrap w:val="0"/>
            <w:vAlign w:val="center"/>
          </w:tcPr>
          <w:p w14:paraId="4A33B5EC">
            <w:r>
              <w:rPr>
                <w:rStyle w:val="10"/>
                <w:rFonts w:hint="eastAsia"/>
              </w:rPr>
              <w:t>质量保证期：</w:t>
            </w:r>
            <w:r>
              <w:rPr>
                <w:rStyle w:val="11"/>
                <w:rFonts w:hint="eastAsia"/>
              </w:rPr>
              <w:t>2年</w:t>
            </w:r>
          </w:p>
        </w:tc>
      </w:tr>
      <w:tr w14:paraId="36E42C09">
        <w:tblPrEx>
          <w:tblCellMar>
            <w:top w:w="0" w:type="dxa"/>
            <w:left w:w="0" w:type="dxa"/>
            <w:bottom w:w="0" w:type="dxa"/>
            <w:right w:w="0" w:type="dxa"/>
          </w:tblCellMar>
        </w:tblPrEx>
        <w:trPr>
          <w:wBefore w:w="0" w:type="auto"/>
          <w:tblCellSpacing w:w="0" w:type="dxa"/>
        </w:trPr>
        <w:tc>
          <w:tcPr>
            <w:tcW w:w="0" w:type="auto"/>
            <w:noWrap w:val="0"/>
            <w:vAlign w:val="center"/>
          </w:tcPr>
          <w:p w14:paraId="1F252DBD">
            <w:r>
              <w:rPr>
                <w:rStyle w:val="10"/>
                <w:rFonts w:hint="eastAsia"/>
              </w:rPr>
              <w:t>备注：</w:t>
            </w:r>
            <w:r>
              <w:rPr>
                <w:rFonts w:hint="eastAsia"/>
              </w:rPr>
              <w:br w:type="textWrapping"/>
            </w:r>
            <w:r>
              <w:rPr>
                <w:rStyle w:val="11"/>
                <w:rFonts w:hint="eastAsia"/>
              </w:rPr>
              <w:t>草甘膦铵盐33%；草甘膦铵盐质量浓度360克/升。</w:t>
            </w:r>
          </w:p>
        </w:tc>
      </w:tr>
    </w:tbl>
    <w:p w14:paraId="47059A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0F22F6">
        <w:tblPrEx>
          <w:tblCellMar>
            <w:top w:w="0" w:type="dxa"/>
            <w:left w:w="0" w:type="dxa"/>
            <w:bottom w:w="0" w:type="dxa"/>
            <w:right w:w="0" w:type="dxa"/>
          </w:tblCellMar>
        </w:tblPrEx>
        <w:trPr>
          <w:wBefore w:w="0" w:type="auto"/>
          <w:tblCellSpacing w:w="0" w:type="dxa"/>
        </w:trPr>
        <w:tc>
          <w:tcPr>
            <w:tcW w:w="0" w:type="auto"/>
            <w:noWrap w:val="0"/>
            <w:vAlign w:val="center"/>
          </w:tcPr>
          <w:p w14:paraId="7B951EF9">
            <w:r>
              <w:rPr>
                <w:rStyle w:val="10"/>
                <w:rFonts w:hint="eastAsia"/>
              </w:rPr>
              <w:t>登记证号：</w:t>
            </w:r>
            <w:r>
              <w:rPr>
                <w:rFonts w:hint="eastAsia"/>
              </w:rPr>
              <w:t>PD20090611</w:t>
            </w:r>
          </w:p>
        </w:tc>
      </w:tr>
      <w:tr w14:paraId="4367AECE">
        <w:tblPrEx>
          <w:tblCellMar>
            <w:top w:w="0" w:type="dxa"/>
            <w:left w:w="0" w:type="dxa"/>
            <w:bottom w:w="0" w:type="dxa"/>
            <w:right w:w="0" w:type="dxa"/>
          </w:tblCellMar>
        </w:tblPrEx>
        <w:trPr>
          <w:wBefore w:w="0" w:type="auto"/>
          <w:tblCellSpacing w:w="0" w:type="dxa"/>
        </w:trPr>
        <w:tc>
          <w:tcPr>
            <w:tcW w:w="0" w:type="auto"/>
            <w:noWrap w:val="0"/>
            <w:vAlign w:val="center"/>
          </w:tcPr>
          <w:p w14:paraId="6C581D96">
            <w:r>
              <w:rPr>
                <w:rStyle w:val="10"/>
                <w:rFonts w:hint="eastAsia"/>
              </w:rPr>
              <w:t>登记证持有人：</w:t>
            </w:r>
            <w:r>
              <w:rPr>
                <w:rFonts w:hint="eastAsia"/>
              </w:rPr>
              <w:t>四川利尔作物科学有限公司</w:t>
            </w:r>
          </w:p>
        </w:tc>
      </w:tr>
      <w:tr w14:paraId="0A58A55A">
        <w:tblPrEx>
          <w:tblCellMar>
            <w:top w:w="0" w:type="dxa"/>
            <w:left w:w="0" w:type="dxa"/>
            <w:bottom w:w="0" w:type="dxa"/>
            <w:right w:w="0" w:type="dxa"/>
          </w:tblCellMar>
        </w:tblPrEx>
        <w:trPr>
          <w:wBefore w:w="0" w:type="auto"/>
          <w:tblCellSpacing w:w="0" w:type="dxa"/>
        </w:trPr>
        <w:tc>
          <w:tcPr>
            <w:tcW w:w="0" w:type="auto"/>
            <w:noWrap w:val="0"/>
            <w:vAlign w:val="center"/>
          </w:tcPr>
          <w:p w14:paraId="459EE714">
            <w:r>
              <w:rPr>
                <w:rStyle w:val="10"/>
                <w:rFonts w:hint="eastAsia"/>
              </w:rPr>
              <w:t>农药名称：</w:t>
            </w:r>
            <w:r>
              <w:rPr>
                <w:rFonts w:hint="eastAsia"/>
              </w:rPr>
              <w:t>氰戊·马拉松</w:t>
            </w:r>
          </w:p>
        </w:tc>
      </w:tr>
      <w:tr w14:paraId="4F2DB003">
        <w:tblPrEx>
          <w:tblCellMar>
            <w:top w:w="0" w:type="dxa"/>
            <w:left w:w="0" w:type="dxa"/>
            <w:bottom w:w="0" w:type="dxa"/>
            <w:right w:w="0" w:type="dxa"/>
          </w:tblCellMar>
        </w:tblPrEx>
        <w:trPr>
          <w:wBefore w:w="0" w:type="auto"/>
          <w:tblCellSpacing w:w="0" w:type="dxa"/>
        </w:trPr>
        <w:tc>
          <w:tcPr>
            <w:tcW w:w="0" w:type="auto"/>
            <w:noWrap w:val="0"/>
            <w:vAlign w:val="center"/>
          </w:tcPr>
          <w:p w14:paraId="29591ADB">
            <w:r>
              <w:rPr>
                <w:rStyle w:val="10"/>
                <w:rFonts w:hint="eastAsia"/>
              </w:rPr>
              <w:t>剂型：</w:t>
            </w:r>
            <w:r>
              <w:rPr>
                <w:rFonts w:hint="eastAsia"/>
              </w:rPr>
              <w:t>乳油</w:t>
            </w:r>
          </w:p>
        </w:tc>
      </w:tr>
      <w:tr w14:paraId="320CCEF0">
        <w:tblPrEx>
          <w:tblCellMar>
            <w:top w:w="0" w:type="dxa"/>
            <w:left w:w="0" w:type="dxa"/>
            <w:bottom w:w="0" w:type="dxa"/>
            <w:right w:w="0" w:type="dxa"/>
          </w:tblCellMar>
        </w:tblPrEx>
        <w:trPr>
          <w:wBefore w:w="0" w:type="auto"/>
          <w:tblCellSpacing w:w="0" w:type="dxa"/>
        </w:trPr>
        <w:tc>
          <w:tcPr>
            <w:tcW w:w="0" w:type="auto"/>
            <w:noWrap w:val="0"/>
            <w:vAlign w:val="center"/>
          </w:tcPr>
          <w:p w14:paraId="403F5C84">
            <w:r>
              <w:rPr>
                <w:rStyle w:val="10"/>
                <w:rFonts w:hint="eastAsia"/>
              </w:rPr>
              <w:t>毒性及其标识：</w:t>
            </w:r>
            <w:r>
              <w:rPr>
                <w:rFonts w:hint="eastAsia"/>
              </w:rPr>
              <w:t xml:space="preserve"> </w:t>
            </w:r>
            <w:r>
              <w:rPr>
                <w:lang/>
              </w:rPr>
              <w:drawing>
                <wp:inline distT="0" distB="0" distL="114300" distR="114300">
                  <wp:extent cx="476250" cy="323850"/>
                  <wp:effectExtent l="0" t="0" r="0" b="0"/>
                  <wp:docPr id="365" name="图片 365"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0A8757E1">
        <w:tblPrEx>
          <w:tblCellMar>
            <w:top w:w="0" w:type="dxa"/>
            <w:left w:w="0" w:type="dxa"/>
            <w:bottom w:w="0" w:type="dxa"/>
            <w:right w:w="0" w:type="dxa"/>
          </w:tblCellMar>
        </w:tblPrEx>
        <w:trPr>
          <w:wBefore w:w="0" w:type="auto"/>
          <w:tblCellSpacing w:w="0" w:type="dxa"/>
        </w:trPr>
        <w:tc>
          <w:tcPr>
            <w:tcW w:w="0" w:type="auto"/>
            <w:noWrap w:val="0"/>
            <w:vAlign w:val="center"/>
          </w:tcPr>
          <w:p w14:paraId="59908498">
            <w:r>
              <w:rPr>
                <w:rStyle w:val="10"/>
                <w:rFonts w:hint="eastAsia"/>
              </w:rPr>
              <w:t>总有效成分含量：</w:t>
            </w:r>
            <w:r>
              <w:rPr>
                <w:rFonts w:hint="eastAsia"/>
              </w:rPr>
              <w:t>20%</w:t>
            </w:r>
          </w:p>
        </w:tc>
      </w:tr>
      <w:tr w14:paraId="73EEEAA5">
        <w:tblPrEx>
          <w:tblCellMar>
            <w:top w:w="0" w:type="dxa"/>
            <w:left w:w="0" w:type="dxa"/>
            <w:bottom w:w="0" w:type="dxa"/>
            <w:right w:w="0" w:type="dxa"/>
          </w:tblCellMar>
        </w:tblPrEx>
        <w:trPr>
          <w:wBefore w:w="0" w:type="auto"/>
          <w:tblCellSpacing w:w="0" w:type="dxa"/>
        </w:trPr>
        <w:tc>
          <w:tcPr>
            <w:tcW w:w="0" w:type="auto"/>
            <w:noWrap w:val="0"/>
            <w:vAlign w:val="center"/>
          </w:tcPr>
          <w:p w14:paraId="4ABF8EF4">
            <w:r>
              <w:rPr>
                <w:rFonts w:hint="eastAsia"/>
              </w:rPr>
              <w:t xml:space="preserve">有效成分及其含量： </w:t>
            </w:r>
          </w:p>
          <w:p w14:paraId="23738385">
            <w:r>
              <w:rPr>
                <w:rFonts w:hint="eastAsia"/>
              </w:rPr>
              <w:t xml:space="preserve">    氰戊菊酯5%    马拉硫磷15%    </w:t>
            </w:r>
          </w:p>
        </w:tc>
      </w:tr>
      <w:tr w14:paraId="47F29700">
        <w:tblPrEx>
          <w:tblCellMar>
            <w:top w:w="0" w:type="dxa"/>
            <w:left w:w="0" w:type="dxa"/>
            <w:bottom w:w="0" w:type="dxa"/>
            <w:right w:w="0" w:type="dxa"/>
          </w:tblCellMar>
        </w:tblPrEx>
        <w:trPr>
          <w:wBefore w:w="0" w:type="auto"/>
          <w:tblCellSpacing w:w="0" w:type="dxa"/>
        </w:trPr>
        <w:tc>
          <w:tcPr>
            <w:tcW w:w="0" w:type="auto"/>
            <w:noWrap w:val="0"/>
            <w:vAlign w:val="center"/>
          </w:tcPr>
          <w:p w14:paraId="0D47947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1C05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3768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8B91A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7A772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CEDB5A">
                  <w:r>
                    <w:rPr>
                      <w:rStyle w:val="11"/>
                      <w:rFonts w:hint="eastAsia"/>
                    </w:rPr>
                    <w:t>施用方式</w:t>
                  </w:r>
                </w:p>
              </w:tc>
            </w:tr>
            <w:tr w14:paraId="3CCBE8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F315AD">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ED9302">
                  <w:r>
                    <w:rPr>
                      <w:rStyle w:val="11"/>
                      <w:rFonts w:hint="eastAsia"/>
                    </w:rPr>
                    <w:t>棉铃虫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9F68C5">
                  <w:r>
                    <w:rPr>
                      <w:rStyle w:val="11"/>
                      <w:rFonts w:hint="eastAsia"/>
                    </w:rPr>
                    <w:t>30-50克/亩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96CAE9">
                  <w:r>
                    <w:rPr>
                      <w:rStyle w:val="11"/>
                      <w:rFonts w:hint="eastAsia"/>
                    </w:rPr>
                    <w:t>喷雾</w:t>
                  </w:r>
                </w:p>
              </w:tc>
            </w:tr>
            <w:tr w14:paraId="2ED3F5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8BCC80">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76C54C">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34ECBB">
                  <w:r>
                    <w:rPr>
                      <w:rStyle w:val="11"/>
                      <w:rFonts w:hint="eastAsia"/>
                    </w:rPr>
                    <w:t>20-30克/亩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EC85EA">
                  <w:r>
                    <w:rPr>
                      <w:rStyle w:val="11"/>
                      <w:rFonts w:hint="eastAsia"/>
                    </w:rPr>
                    <w:t>喷雾</w:t>
                  </w:r>
                </w:p>
              </w:tc>
            </w:tr>
          </w:tbl>
          <w:p w14:paraId="0887CDD9">
            <w:pPr>
              <w:rPr>
                <w:rFonts w:ascii="Times New Roman" w:hAnsi="Times New Roman" w:cs="Times New Roman"/>
                <w:sz w:val="20"/>
                <w:szCs w:val="20"/>
              </w:rPr>
            </w:pPr>
          </w:p>
        </w:tc>
      </w:tr>
      <w:tr w14:paraId="3111043B">
        <w:tblPrEx>
          <w:tblCellMar>
            <w:top w:w="0" w:type="dxa"/>
            <w:left w:w="0" w:type="dxa"/>
            <w:bottom w:w="0" w:type="dxa"/>
            <w:right w:w="0" w:type="dxa"/>
          </w:tblCellMar>
        </w:tblPrEx>
        <w:trPr>
          <w:wBefore w:w="0" w:type="auto"/>
          <w:tblCellSpacing w:w="0" w:type="dxa"/>
        </w:trPr>
        <w:tc>
          <w:tcPr>
            <w:tcW w:w="0" w:type="auto"/>
            <w:noWrap w:val="0"/>
            <w:vAlign w:val="center"/>
          </w:tcPr>
          <w:p w14:paraId="583079B4">
            <w:r>
              <w:rPr>
                <w:rStyle w:val="10"/>
                <w:rFonts w:hint="eastAsia"/>
              </w:rPr>
              <w:t>使用技术要求:</w:t>
            </w:r>
            <w:r>
              <w:rPr>
                <w:rFonts w:hint="eastAsia"/>
              </w:rPr>
              <w:br w:type="textWrapping"/>
            </w:r>
            <w:r>
              <w:rPr>
                <w:rStyle w:val="11"/>
                <w:rFonts w:hint="eastAsia"/>
              </w:rPr>
              <w:t>/</w:t>
            </w:r>
          </w:p>
        </w:tc>
      </w:tr>
      <w:tr w14:paraId="0E72E5EB">
        <w:tblPrEx>
          <w:tblCellMar>
            <w:top w:w="0" w:type="dxa"/>
            <w:left w:w="0" w:type="dxa"/>
            <w:bottom w:w="0" w:type="dxa"/>
            <w:right w:w="0" w:type="dxa"/>
          </w:tblCellMar>
        </w:tblPrEx>
        <w:trPr>
          <w:wBefore w:w="0" w:type="auto"/>
          <w:tblCellSpacing w:w="0" w:type="dxa"/>
        </w:trPr>
        <w:tc>
          <w:tcPr>
            <w:tcW w:w="0" w:type="auto"/>
            <w:noWrap w:val="0"/>
            <w:vAlign w:val="center"/>
          </w:tcPr>
          <w:p w14:paraId="53BD1907">
            <w:r>
              <w:rPr>
                <w:rStyle w:val="10"/>
                <w:rFonts w:hint="eastAsia"/>
              </w:rPr>
              <w:t>产品性能:</w:t>
            </w:r>
            <w:r>
              <w:rPr>
                <w:rFonts w:hint="eastAsia"/>
              </w:rPr>
              <w:br w:type="textWrapping"/>
            </w:r>
            <w:r>
              <w:rPr>
                <w:rStyle w:val="11"/>
                <w:rFonts w:hint="eastAsia"/>
              </w:rPr>
              <w:t>/</w:t>
            </w:r>
          </w:p>
        </w:tc>
      </w:tr>
      <w:tr w14:paraId="747D2B16">
        <w:tblPrEx>
          <w:tblCellMar>
            <w:top w:w="0" w:type="dxa"/>
            <w:left w:w="0" w:type="dxa"/>
            <w:bottom w:w="0" w:type="dxa"/>
            <w:right w:w="0" w:type="dxa"/>
          </w:tblCellMar>
        </w:tblPrEx>
        <w:trPr>
          <w:wBefore w:w="0" w:type="auto"/>
          <w:tblCellSpacing w:w="0" w:type="dxa"/>
        </w:trPr>
        <w:tc>
          <w:tcPr>
            <w:tcW w:w="0" w:type="auto"/>
            <w:noWrap w:val="0"/>
            <w:vAlign w:val="center"/>
          </w:tcPr>
          <w:p w14:paraId="52040B62">
            <w:r>
              <w:rPr>
                <w:rStyle w:val="10"/>
                <w:rFonts w:hint="eastAsia"/>
              </w:rPr>
              <w:t>注意事项：</w:t>
            </w:r>
            <w:r>
              <w:rPr>
                <w:rFonts w:hint="eastAsia"/>
              </w:rPr>
              <w:br w:type="textWrapping"/>
            </w:r>
            <w:r>
              <w:rPr>
                <w:rStyle w:val="11"/>
                <w:rFonts w:hint="eastAsia"/>
              </w:rPr>
              <w:t>/</w:t>
            </w:r>
          </w:p>
        </w:tc>
      </w:tr>
      <w:tr w14:paraId="65E9C6BC">
        <w:tblPrEx>
          <w:tblCellMar>
            <w:top w:w="0" w:type="dxa"/>
            <w:left w:w="0" w:type="dxa"/>
            <w:bottom w:w="0" w:type="dxa"/>
            <w:right w:w="0" w:type="dxa"/>
          </w:tblCellMar>
        </w:tblPrEx>
        <w:trPr>
          <w:wBefore w:w="0" w:type="auto"/>
          <w:tblCellSpacing w:w="0" w:type="dxa"/>
        </w:trPr>
        <w:tc>
          <w:tcPr>
            <w:tcW w:w="0" w:type="auto"/>
            <w:noWrap w:val="0"/>
            <w:vAlign w:val="center"/>
          </w:tcPr>
          <w:p w14:paraId="17A75EB8">
            <w:r>
              <w:rPr>
                <w:rStyle w:val="10"/>
                <w:rFonts w:hint="eastAsia"/>
              </w:rPr>
              <w:t>中毒急救措施：</w:t>
            </w:r>
            <w:r>
              <w:rPr>
                <w:rFonts w:hint="eastAsia"/>
              </w:rPr>
              <w:br w:type="textWrapping"/>
            </w:r>
            <w:r>
              <w:rPr>
                <w:rStyle w:val="11"/>
                <w:rFonts w:hint="eastAsia"/>
              </w:rPr>
              <w:t>/</w:t>
            </w:r>
          </w:p>
        </w:tc>
      </w:tr>
      <w:tr w14:paraId="66538C02">
        <w:tblPrEx>
          <w:tblCellMar>
            <w:top w:w="0" w:type="dxa"/>
            <w:left w:w="0" w:type="dxa"/>
            <w:bottom w:w="0" w:type="dxa"/>
            <w:right w:w="0" w:type="dxa"/>
          </w:tblCellMar>
        </w:tblPrEx>
        <w:trPr>
          <w:wBefore w:w="0" w:type="auto"/>
          <w:tblCellSpacing w:w="0" w:type="dxa"/>
        </w:trPr>
        <w:tc>
          <w:tcPr>
            <w:tcW w:w="0" w:type="auto"/>
            <w:noWrap w:val="0"/>
            <w:vAlign w:val="center"/>
          </w:tcPr>
          <w:p w14:paraId="5AD73CB5">
            <w:r>
              <w:rPr>
                <w:rStyle w:val="10"/>
                <w:rFonts w:hint="eastAsia"/>
              </w:rPr>
              <w:t>储存和运输方法：</w:t>
            </w:r>
            <w:r>
              <w:rPr>
                <w:rFonts w:hint="eastAsia"/>
              </w:rPr>
              <w:br w:type="textWrapping"/>
            </w:r>
            <w:r>
              <w:rPr>
                <w:rStyle w:val="11"/>
                <w:rFonts w:hint="eastAsia"/>
              </w:rPr>
              <w:t>/</w:t>
            </w:r>
          </w:p>
        </w:tc>
      </w:tr>
      <w:tr w14:paraId="08A5979A">
        <w:tblPrEx>
          <w:tblCellMar>
            <w:top w:w="0" w:type="dxa"/>
            <w:left w:w="0" w:type="dxa"/>
            <w:bottom w:w="0" w:type="dxa"/>
            <w:right w:w="0" w:type="dxa"/>
          </w:tblCellMar>
        </w:tblPrEx>
        <w:trPr>
          <w:wBefore w:w="0" w:type="auto"/>
          <w:tblCellSpacing w:w="0" w:type="dxa"/>
        </w:trPr>
        <w:tc>
          <w:tcPr>
            <w:tcW w:w="0" w:type="auto"/>
            <w:noWrap w:val="0"/>
            <w:vAlign w:val="center"/>
          </w:tcPr>
          <w:p w14:paraId="21CEBBF0">
            <w:r>
              <w:rPr>
                <w:rStyle w:val="10"/>
                <w:rFonts w:hint="eastAsia"/>
              </w:rPr>
              <w:t>质量保证期：</w:t>
            </w:r>
            <w:r>
              <w:rPr>
                <w:rStyle w:val="11"/>
                <w:rFonts w:hint="eastAsia"/>
              </w:rPr>
              <w:t>/</w:t>
            </w:r>
          </w:p>
        </w:tc>
      </w:tr>
      <w:tr w14:paraId="21126BDC">
        <w:tblPrEx>
          <w:tblCellMar>
            <w:top w:w="0" w:type="dxa"/>
            <w:left w:w="0" w:type="dxa"/>
            <w:bottom w:w="0" w:type="dxa"/>
            <w:right w:w="0" w:type="dxa"/>
          </w:tblCellMar>
        </w:tblPrEx>
        <w:trPr>
          <w:wBefore w:w="0" w:type="auto"/>
          <w:tblCellSpacing w:w="0" w:type="dxa"/>
        </w:trPr>
        <w:tc>
          <w:tcPr>
            <w:tcW w:w="0" w:type="auto"/>
            <w:noWrap w:val="0"/>
            <w:vAlign w:val="center"/>
          </w:tcPr>
          <w:p w14:paraId="7001191B">
            <w:r>
              <w:rPr>
                <w:rStyle w:val="10"/>
                <w:rFonts w:hint="eastAsia"/>
              </w:rPr>
              <w:t>备注：</w:t>
            </w:r>
          </w:p>
        </w:tc>
      </w:tr>
    </w:tbl>
    <w:p w14:paraId="1B673E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3FF9C3">
        <w:tblPrEx>
          <w:tblCellMar>
            <w:top w:w="0" w:type="dxa"/>
            <w:left w:w="0" w:type="dxa"/>
            <w:bottom w:w="0" w:type="dxa"/>
            <w:right w:w="0" w:type="dxa"/>
          </w:tblCellMar>
        </w:tblPrEx>
        <w:trPr>
          <w:wBefore w:w="0" w:type="auto"/>
          <w:tblCellSpacing w:w="0" w:type="dxa"/>
        </w:trPr>
        <w:tc>
          <w:tcPr>
            <w:tcW w:w="0" w:type="auto"/>
            <w:noWrap w:val="0"/>
            <w:vAlign w:val="center"/>
          </w:tcPr>
          <w:p w14:paraId="72DDC41F">
            <w:r>
              <w:rPr>
                <w:rStyle w:val="10"/>
                <w:rFonts w:hint="eastAsia"/>
              </w:rPr>
              <w:t>登记证号：</w:t>
            </w:r>
            <w:r>
              <w:rPr>
                <w:rFonts w:hint="eastAsia"/>
              </w:rPr>
              <w:t>PD20212633</w:t>
            </w:r>
          </w:p>
        </w:tc>
      </w:tr>
      <w:tr w14:paraId="54CE459E">
        <w:tblPrEx>
          <w:tblCellMar>
            <w:top w:w="0" w:type="dxa"/>
            <w:left w:w="0" w:type="dxa"/>
            <w:bottom w:w="0" w:type="dxa"/>
            <w:right w:w="0" w:type="dxa"/>
          </w:tblCellMar>
        </w:tblPrEx>
        <w:trPr>
          <w:wBefore w:w="0" w:type="auto"/>
          <w:tblCellSpacing w:w="0" w:type="dxa"/>
        </w:trPr>
        <w:tc>
          <w:tcPr>
            <w:tcW w:w="0" w:type="auto"/>
            <w:noWrap w:val="0"/>
            <w:vAlign w:val="center"/>
          </w:tcPr>
          <w:p w14:paraId="154A6710">
            <w:r>
              <w:rPr>
                <w:rStyle w:val="10"/>
                <w:rFonts w:hint="eastAsia"/>
              </w:rPr>
              <w:t>登记证持有人：</w:t>
            </w:r>
            <w:r>
              <w:rPr>
                <w:rFonts w:hint="eastAsia"/>
              </w:rPr>
              <w:t>上海沪联生物药业（夏邑）股份有限公司</w:t>
            </w:r>
          </w:p>
        </w:tc>
      </w:tr>
      <w:tr w14:paraId="71689DA5">
        <w:tblPrEx>
          <w:tblCellMar>
            <w:top w:w="0" w:type="dxa"/>
            <w:left w:w="0" w:type="dxa"/>
            <w:bottom w:w="0" w:type="dxa"/>
            <w:right w:w="0" w:type="dxa"/>
          </w:tblCellMar>
        </w:tblPrEx>
        <w:trPr>
          <w:wBefore w:w="0" w:type="auto"/>
          <w:tblCellSpacing w:w="0" w:type="dxa"/>
        </w:trPr>
        <w:tc>
          <w:tcPr>
            <w:tcW w:w="0" w:type="auto"/>
            <w:noWrap w:val="0"/>
            <w:vAlign w:val="center"/>
          </w:tcPr>
          <w:p w14:paraId="2E1A3224">
            <w:r>
              <w:rPr>
                <w:rStyle w:val="10"/>
                <w:rFonts w:hint="eastAsia"/>
              </w:rPr>
              <w:t>农药名称：</w:t>
            </w:r>
            <w:r>
              <w:rPr>
                <w:rFonts w:hint="eastAsia"/>
              </w:rPr>
              <w:t>草甘·甲·乙羧</w:t>
            </w:r>
          </w:p>
        </w:tc>
      </w:tr>
      <w:tr w14:paraId="508FFE63">
        <w:tblPrEx>
          <w:tblCellMar>
            <w:top w:w="0" w:type="dxa"/>
            <w:left w:w="0" w:type="dxa"/>
            <w:bottom w:w="0" w:type="dxa"/>
            <w:right w:w="0" w:type="dxa"/>
          </w:tblCellMar>
        </w:tblPrEx>
        <w:trPr>
          <w:wBefore w:w="0" w:type="auto"/>
          <w:tblCellSpacing w:w="0" w:type="dxa"/>
        </w:trPr>
        <w:tc>
          <w:tcPr>
            <w:tcW w:w="0" w:type="auto"/>
            <w:noWrap w:val="0"/>
            <w:vAlign w:val="center"/>
          </w:tcPr>
          <w:p w14:paraId="2511455A">
            <w:r>
              <w:rPr>
                <w:rStyle w:val="10"/>
                <w:rFonts w:hint="eastAsia"/>
              </w:rPr>
              <w:t>剂型：</w:t>
            </w:r>
            <w:r>
              <w:rPr>
                <w:rFonts w:hint="eastAsia"/>
              </w:rPr>
              <w:t>可溶粒剂</w:t>
            </w:r>
          </w:p>
        </w:tc>
      </w:tr>
      <w:tr w14:paraId="5DABE4BA">
        <w:tblPrEx>
          <w:tblCellMar>
            <w:top w:w="0" w:type="dxa"/>
            <w:left w:w="0" w:type="dxa"/>
            <w:bottom w:w="0" w:type="dxa"/>
            <w:right w:w="0" w:type="dxa"/>
          </w:tblCellMar>
        </w:tblPrEx>
        <w:trPr>
          <w:wBefore w:w="0" w:type="auto"/>
          <w:tblCellSpacing w:w="0" w:type="dxa"/>
        </w:trPr>
        <w:tc>
          <w:tcPr>
            <w:tcW w:w="0" w:type="auto"/>
            <w:noWrap w:val="0"/>
            <w:vAlign w:val="center"/>
          </w:tcPr>
          <w:p w14:paraId="4E68E9DB">
            <w:r>
              <w:rPr>
                <w:rStyle w:val="10"/>
                <w:rFonts w:hint="eastAsia"/>
              </w:rPr>
              <w:t>毒性及其标识：</w:t>
            </w:r>
            <w:r>
              <w:rPr>
                <w:rFonts w:hint="eastAsia"/>
              </w:rPr>
              <w:t xml:space="preserve"> 微毒 </w:t>
            </w:r>
          </w:p>
        </w:tc>
      </w:tr>
      <w:tr w14:paraId="7FF7F42B">
        <w:tblPrEx>
          <w:tblCellMar>
            <w:top w:w="0" w:type="dxa"/>
            <w:left w:w="0" w:type="dxa"/>
            <w:bottom w:w="0" w:type="dxa"/>
            <w:right w:w="0" w:type="dxa"/>
          </w:tblCellMar>
        </w:tblPrEx>
        <w:trPr>
          <w:wBefore w:w="0" w:type="auto"/>
          <w:tblCellSpacing w:w="0" w:type="dxa"/>
        </w:trPr>
        <w:tc>
          <w:tcPr>
            <w:tcW w:w="0" w:type="auto"/>
            <w:noWrap w:val="0"/>
            <w:vAlign w:val="center"/>
          </w:tcPr>
          <w:p w14:paraId="22DE3670">
            <w:r>
              <w:rPr>
                <w:rStyle w:val="10"/>
                <w:rFonts w:hint="eastAsia"/>
              </w:rPr>
              <w:t>总有效成分含量：</w:t>
            </w:r>
            <w:r>
              <w:rPr>
                <w:rFonts w:hint="eastAsia"/>
              </w:rPr>
              <w:t>81%</w:t>
            </w:r>
          </w:p>
        </w:tc>
      </w:tr>
      <w:tr w14:paraId="45BEF1C3">
        <w:tblPrEx>
          <w:tblCellMar>
            <w:top w:w="0" w:type="dxa"/>
            <w:left w:w="0" w:type="dxa"/>
            <w:bottom w:w="0" w:type="dxa"/>
            <w:right w:w="0" w:type="dxa"/>
          </w:tblCellMar>
        </w:tblPrEx>
        <w:trPr>
          <w:wBefore w:w="0" w:type="auto"/>
          <w:tblCellSpacing w:w="0" w:type="dxa"/>
        </w:trPr>
        <w:tc>
          <w:tcPr>
            <w:tcW w:w="0" w:type="auto"/>
            <w:noWrap w:val="0"/>
            <w:vAlign w:val="center"/>
          </w:tcPr>
          <w:p w14:paraId="4E0CF74C">
            <w:r>
              <w:rPr>
                <w:rFonts w:hint="eastAsia"/>
              </w:rPr>
              <w:t xml:space="preserve">有效成分及其含量： </w:t>
            </w:r>
          </w:p>
          <w:p w14:paraId="038AE879">
            <w:r>
              <w:rPr>
                <w:rFonts w:hint="eastAsia"/>
              </w:rPr>
              <w:t xml:space="preserve">    2甲4氯5%    草甘膦73%    乙羧氟草醚3%    </w:t>
            </w:r>
          </w:p>
        </w:tc>
      </w:tr>
      <w:tr w14:paraId="382BF24A">
        <w:tblPrEx>
          <w:tblCellMar>
            <w:top w:w="0" w:type="dxa"/>
            <w:left w:w="0" w:type="dxa"/>
            <w:bottom w:w="0" w:type="dxa"/>
            <w:right w:w="0" w:type="dxa"/>
          </w:tblCellMar>
        </w:tblPrEx>
        <w:trPr>
          <w:wBefore w:w="0" w:type="auto"/>
          <w:tblCellSpacing w:w="0" w:type="dxa"/>
        </w:trPr>
        <w:tc>
          <w:tcPr>
            <w:tcW w:w="0" w:type="auto"/>
            <w:noWrap w:val="0"/>
            <w:vAlign w:val="center"/>
          </w:tcPr>
          <w:p w14:paraId="0F45AC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420F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D76A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5051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02BBF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C229259">
                  <w:r>
                    <w:rPr>
                      <w:rStyle w:val="11"/>
                      <w:rFonts w:hint="eastAsia"/>
                    </w:rPr>
                    <w:t>施用方式</w:t>
                  </w:r>
                </w:p>
              </w:tc>
            </w:tr>
            <w:tr w14:paraId="7425E9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B54DD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1D902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3CB71C">
                  <w:r>
                    <w:rPr>
                      <w:rStyle w:val="11"/>
                      <w:rFonts w:hint="eastAsia"/>
                    </w:rPr>
                    <w:t>100-140克/亩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0E4449">
                  <w:r>
                    <w:rPr>
                      <w:rStyle w:val="11"/>
                      <w:rFonts w:hint="eastAsia"/>
                    </w:rPr>
                    <w:t>茎叶喷雾</w:t>
                  </w:r>
                </w:p>
              </w:tc>
            </w:tr>
          </w:tbl>
          <w:p w14:paraId="096B6A3D">
            <w:pPr>
              <w:rPr>
                <w:rFonts w:ascii="Times New Roman" w:hAnsi="Times New Roman" w:cs="Times New Roman"/>
                <w:sz w:val="20"/>
                <w:szCs w:val="20"/>
              </w:rPr>
            </w:pPr>
          </w:p>
        </w:tc>
      </w:tr>
      <w:tr w14:paraId="4CFA8F62">
        <w:tblPrEx>
          <w:tblCellMar>
            <w:top w:w="0" w:type="dxa"/>
            <w:left w:w="0" w:type="dxa"/>
            <w:bottom w:w="0" w:type="dxa"/>
            <w:right w:w="0" w:type="dxa"/>
          </w:tblCellMar>
        </w:tblPrEx>
        <w:trPr>
          <w:wBefore w:w="0" w:type="auto"/>
          <w:tblCellSpacing w:w="0" w:type="dxa"/>
        </w:trPr>
        <w:tc>
          <w:tcPr>
            <w:tcW w:w="0" w:type="auto"/>
            <w:noWrap w:val="0"/>
            <w:vAlign w:val="center"/>
          </w:tcPr>
          <w:p w14:paraId="30264935">
            <w:r>
              <w:rPr>
                <w:rStyle w:val="10"/>
                <w:rFonts w:hint="eastAsia"/>
              </w:rPr>
              <w:t>使用技术要求:</w:t>
            </w:r>
            <w:r>
              <w:rPr>
                <w:rFonts w:hint="eastAsia"/>
              </w:rPr>
              <w:br w:type="textWrapping"/>
            </w:r>
            <w:r>
              <w:rPr>
                <w:rStyle w:val="11"/>
                <w:rFonts w:hint="eastAsia"/>
              </w:rPr>
              <w:t>1、本品为非耕地除草剂，不能用于农田杂草。每季作物最多使用1次。2、应于杂草旺盛期进行茎叶喷雾，避免药液漂移。3、大风天或预计两小时内降雨，请勿施药。</w:t>
            </w:r>
          </w:p>
        </w:tc>
      </w:tr>
      <w:tr w14:paraId="25C217F1">
        <w:tblPrEx>
          <w:tblCellMar>
            <w:top w:w="0" w:type="dxa"/>
            <w:left w:w="0" w:type="dxa"/>
            <w:bottom w:w="0" w:type="dxa"/>
            <w:right w:w="0" w:type="dxa"/>
          </w:tblCellMar>
        </w:tblPrEx>
        <w:trPr>
          <w:wBefore w:w="0" w:type="auto"/>
          <w:tblCellSpacing w:w="0" w:type="dxa"/>
        </w:trPr>
        <w:tc>
          <w:tcPr>
            <w:tcW w:w="0" w:type="auto"/>
            <w:noWrap w:val="0"/>
            <w:vAlign w:val="center"/>
          </w:tcPr>
          <w:p w14:paraId="1FB79BC4">
            <w:r>
              <w:rPr>
                <w:rStyle w:val="10"/>
                <w:rFonts w:hint="eastAsia"/>
              </w:rPr>
              <w:t>产品性能:</w:t>
            </w:r>
            <w:r>
              <w:rPr>
                <w:rFonts w:hint="eastAsia"/>
              </w:rPr>
              <w:br w:type="textWrapping"/>
            </w:r>
            <w:r>
              <w:rPr>
                <w:rStyle w:val="11"/>
                <w:rFonts w:hint="eastAsia"/>
              </w:rPr>
              <w:t>本品是由内吸传导型灭生性除草剂草甘膦、激素类除草剂2甲4氯、二苯醚类除草剂乙羧氟草醚复配而成的。能有效防除非耕地杂草。</w:t>
            </w:r>
          </w:p>
        </w:tc>
      </w:tr>
      <w:tr w14:paraId="2E3963EE">
        <w:tblPrEx>
          <w:tblCellMar>
            <w:top w:w="0" w:type="dxa"/>
            <w:left w:w="0" w:type="dxa"/>
            <w:bottom w:w="0" w:type="dxa"/>
            <w:right w:w="0" w:type="dxa"/>
          </w:tblCellMar>
        </w:tblPrEx>
        <w:trPr>
          <w:wBefore w:w="0" w:type="auto"/>
          <w:tblCellSpacing w:w="0" w:type="dxa"/>
        </w:trPr>
        <w:tc>
          <w:tcPr>
            <w:tcW w:w="0" w:type="auto"/>
            <w:noWrap w:val="0"/>
            <w:vAlign w:val="center"/>
          </w:tcPr>
          <w:p w14:paraId="7AE6548C">
            <w:r>
              <w:rPr>
                <w:rStyle w:val="10"/>
                <w:rFonts w:hint="eastAsia"/>
              </w:rPr>
              <w:t>注意事项：</w:t>
            </w:r>
            <w:r>
              <w:rPr>
                <w:rFonts w:hint="eastAsia"/>
              </w:rPr>
              <w:br w:type="textWrapping"/>
            </w:r>
            <w:r>
              <w:rPr>
                <w:rStyle w:val="11"/>
                <w:rFonts w:hint="eastAsia"/>
              </w:rPr>
              <w:t>1、本品不可与碱性物质混用（波尔多液、石硫合剂等。）2、使用时严格按照《农药安全操作规程》作业，做好安全防护，穿戴长衣、长裤、帽子、口罩、手套等防护措施，防止药液由口鼻吸入，不得吸烟、饮食、进水等，施药后及时清洗手、脸以及身体被污染的部位。3、水产养殖区、河塘等水体附近禁用，禁止在河塘等水体清洗施药器具以免污染水源；周围开花植物花期禁用，施药期间应密切关注对附近蜂群的影响，桑园及蚕室附近禁用；赤眼蜂等天敌放飞区域禁用。4、避免孕妇或哺乳期妇女接触本品。5、用过的包装物应妥善处理，不可做他用，也不可随意丢弃。6、孕妇及哺乳期妇女避免接触本品。</w:t>
            </w:r>
          </w:p>
        </w:tc>
      </w:tr>
      <w:tr w14:paraId="2205835F">
        <w:tblPrEx>
          <w:tblCellMar>
            <w:top w:w="0" w:type="dxa"/>
            <w:left w:w="0" w:type="dxa"/>
            <w:bottom w:w="0" w:type="dxa"/>
            <w:right w:w="0" w:type="dxa"/>
          </w:tblCellMar>
        </w:tblPrEx>
        <w:trPr>
          <w:wBefore w:w="0" w:type="auto"/>
          <w:tblCellSpacing w:w="0" w:type="dxa"/>
        </w:trPr>
        <w:tc>
          <w:tcPr>
            <w:tcW w:w="0" w:type="auto"/>
            <w:noWrap w:val="0"/>
            <w:vAlign w:val="center"/>
          </w:tcPr>
          <w:p w14:paraId="301D7341">
            <w:r>
              <w:rPr>
                <w:rStyle w:val="10"/>
                <w:rFonts w:hint="eastAsia"/>
              </w:rPr>
              <w:t>中毒急救措施：</w:t>
            </w:r>
            <w:r>
              <w:rPr>
                <w:rFonts w:hint="eastAsia"/>
              </w:rPr>
              <w:br w:type="textWrapping"/>
            </w:r>
            <w:r>
              <w:rPr>
                <w:rStyle w:val="11"/>
                <w:rFonts w:hint="eastAsia"/>
              </w:rPr>
              <w:t>该产品对眼睛有刺激性，使用时避免药液接触眼睛。急救措施：1.眼睛溅入：立即用流动清水冲洗不少于15分钟。2.如药液溅到皮肤：脱去污染的衣服，用软布去除沾染农药，立即用大量清水和肥皂冲洗。3.不慎吸入：应将病人移至空气流通处。4.若不慎误服，本品无特效解毒剂，携带标签，立即送往医院对症治疗。</w:t>
            </w:r>
          </w:p>
        </w:tc>
      </w:tr>
      <w:tr w14:paraId="146223CB">
        <w:tblPrEx>
          <w:tblCellMar>
            <w:top w:w="0" w:type="dxa"/>
            <w:left w:w="0" w:type="dxa"/>
            <w:bottom w:w="0" w:type="dxa"/>
            <w:right w:w="0" w:type="dxa"/>
          </w:tblCellMar>
        </w:tblPrEx>
        <w:trPr>
          <w:wBefore w:w="0" w:type="auto"/>
          <w:tblCellSpacing w:w="0" w:type="dxa"/>
        </w:trPr>
        <w:tc>
          <w:tcPr>
            <w:tcW w:w="0" w:type="auto"/>
            <w:noWrap w:val="0"/>
            <w:vAlign w:val="center"/>
          </w:tcPr>
          <w:p w14:paraId="7377B46E">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10E3481F">
        <w:tblPrEx>
          <w:tblCellMar>
            <w:top w:w="0" w:type="dxa"/>
            <w:left w:w="0" w:type="dxa"/>
            <w:bottom w:w="0" w:type="dxa"/>
            <w:right w:w="0" w:type="dxa"/>
          </w:tblCellMar>
        </w:tblPrEx>
        <w:trPr>
          <w:wBefore w:w="0" w:type="auto"/>
          <w:tblCellSpacing w:w="0" w:type="dxa"/>
        </w:trPr>
        <w:tc>
          <w:tcPr>
            <w:tcW w:w="0" w:type="auto"/>
            <w:noWrap w:val="0"/>
            <w:vAlign w:val="center"/>
          </w:tcPr>
          <w:p w14:paraId="074F9368">
            <w:r>
              <w:rPr>
                <w:rStyle w:val="10"/>
                <w:rFonts w:hint="eastAsia"/>
              </w:rPr>
              <w:t>质量保证期：</w:t>
            </w:r>
            <w:r>
              <w:rPr>
                <w:rStyle w:val="11"/>
                <w:rFonts w:hint="eastAsia"/>
              </w:rPr>
              <w:t>2年</w:t>
            </w:r>
          </w:p>
        </w:tc>
      </w:tr>
      <w:tr w14:paraId="2BEFD151">
        <w:tblPrEx>
          <w:tblCellMar>
            <w:top w:w="0" w:type="dxa"/>
            <w:left w:w="0" w:type="dxa"/>
            <w:bottom w:w="0" w:type="dxa"/>
            <w:right w:w="0" w:type="dxa"/>
          </w:tblCellMar>
        </w:tblPrEx>
        <w:trPr>
          <w:wBefore w:w="0" w:type="auto"/>
          <w:tblCellSpacing w:w="0" w:type="dxa"/>
        </w:trPr>
        <w:tc>
          <w:tcPr>
            <w:tcW w:w="0" w:type="auto"/>
            <w:noWrap w:val="0"/>
            <w:vAlign w:val="center"/>
          </w:tcPr>
          <w:p w14:paraId="0CE8ABF4">
            <w:r>
              <w:rPr>
                <w:rStyle w:val="10"/>
                <w:rFonts w:hint="eastAsia"/>
              </w:rPr>
              <w:t>备注：</w:t>
            </w:r>
          </w:p>
        </w:tc>
      </w:tr>
    </w:tbl>
    <w:p w14:paraId="11BEDB2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8B155A">
        <w:tblPrEx>
          <w:tblCellMar>
            <w:top w:w="0" w:type="dxa"/>
            <w:left w:w="0" w:type="dxa"/>
            <w:bottom w:w="0" w:type="dxa"/>
            <w:right w:w="0" w:type="dxa"/>
          </w:tblCellMar>
        </w:tblPrEx>
        <w:trPr>
          <w:wBefore w:w="0" w:type="auto"/>
          <w:tblCellSpacing w:w="0" w:type="dxa"/>
        </w:trPr>
        <w:tc>
          <w:tcPr>
            <w:tcW w:w="0" w:type="auto"/>
            <w:noWrap w:val="0"/>
            <w:vAlign w:val="center"/>
          </w:tcPr>
          <w:p w14:paraId="4956F462">
            <w:r>
              <w:rPr>
                <w:rStyle w:val="10"/>
                <w:rFonts w:hint="eastAsia"/>
              </w:rPr>
              <w:t>登记证号：</w:t>
            </w:r>
            <w:r>
              <w:rPr>
                <w:rFonts w:hint="eastAsia"/>
              </w:rPr>
              <w:t>PD20212546</w:t>
            </w:r>
          </w:p>
        </w:tc>
      </w:tr>
      <w:tr w14:paraId="61B23414">
        <w:tblPrEx>
          <w:tblCellMar>
            <w:top w:w="0" w:type="dxa"/>
            <w:left w:w="0" w:type="dxa"/>
            <w:bottom w:w="0" w:type="dxa"/>
            <w:right w:w="0" w:type="dxa"/>
          </w:tblCellMar>
        </w:tblPrEx>
        <w:trPr>
          <w:wBefore w:w="0" w:type="auto"/>
          <w:tblCellSpacing w:w="0" w:type="dxa"/>
        </w:trPr>
        <w:tc>
          <w:tcPr>
            <w:tcW w:w="0" w:type="auto"/>
            <w:noWrap w:val="0"/>
            <w:vAlign w:val="center"/>
          </w:tcPr>
          <w:p w14:paraId="52BF6547">
            <w:r>
              <w:rPr>
                <w:rStyle w:val="10"/>
                <w:rFonts w:hint="eastAsia"/>
              </w:rPr>
              <w:t>登记证持有人：</w:t>
            </w:r>
            <w:r>
              <w:rPr>
                <w:rFonts w:hint="eastAsia"/>
              </w:rPr>
              <w:t>山东奥坤作物科学股份有限公司</w:t>
            </w:r>
          </w:p>
        </w:tc>
      </w:tr>
      <w:tr w14:paraId="297E3C3D">
        <w:tblPrEx>
          <w:tblCellMar>
            <w:top w:w="0" w:type="dxa"/>
            <w:left w:w="0" w:type="dxa"/>
            <w:bottom w:w="0" w:type="dxa"/>
            <w:right w:w="0" w:type="dxa"/>
          </w:tblCellMar>
        </w:tblPrEx>
        <w:trPr>
          <w:wBefore w:w="0" w:type="auto"/>
          <w:tblCellSpacing w:w="0" w:type="dxa"/>
        </w:trPr>
        <w:tc>
          <w:tcPr>
            <w:tcW w:w="0" w:type="auto"/>
            <w:noWrap w:val="0"/>
            <w:vAlign w:val="center"/>
          </w:tcPr>
          <w:p w14:paraId="0BC3AD0B">
            <w:r>
              <w:rPr>
                <w:rStyle w:val="10"/>
                <w:rFonts w:hint="eastAsia"/>
              </w:rPr>
              <w:t>农药名称：</w:t>
            </w:r>
            <w:r>
              <w:rPr>
                <w:rFonts w:hint="eastAsia"/>
              </w:rPr>
              <w:t>甲戊·扑草净</w:t>
            </w:r>
          </w:p>
        </w:tc>
      </w:tr>
      <w:tr w14:paraId="48F9D8B0">
        <w:tblPrEx>
          <w:tblCellMar>
            <w:top w:w="0" w:type="dxa"/>
            <w:left w:w="0" w:type="dxa"/>
            <w:bottom w:w="0" w:type="dxa"/>
            <w:right w:w="0" w:type="dxa"/>
          </w:tblCellMar>
        </w:tblPrEx>
        <w:trPr>
          <w:wBefore w:w="0" w:type="auto"/>
          <w:tblCellSpacing w:w="0" w:type="dxa"/>
        </w:trPr>
        <w:tc>
          <w:tcPr>
            <w:tcW w:w="0" w:type="auto"/>
            <w:noWrap w:val="0"/>
            <w:vAlign w:val="center"/>
          </w:tcPr>
          <w:p w14:paraId="7AA9E7E6">
            <w:r>
              <w:rPr>
                <w:rStyle w:val="10"/>
                <w:rFonts w:hint="eastAsia"/>
              </w:rPr>
              <w:t>剂型：</w:t>
            </w:r>
            <w:r>
              <w:rPr>
                <w:rFonts w:hint="eastAsia"/>
              </w:rPr>
              <w:t>乳油</w:t>
            </w:r>
          </w:p>
        </w:tc>
      </w:tr>
      <w:tr w14:paraId="772D1F75">
        <w:tblPrEx>
          <w:tblCellMar>
            <w:top w:w="0" w:type="dxa"/>
            <w:left w:w="0" w:type="dxa"/>
            <w:bottom w:w="0" w:type="dxa"/>
            <w:right w:w="0" w:type="dxa"/>
          </w:tblCellMar>
        </w:tblPrEx>
        <w:trPr>
          <w:wBefore w:w="0" w:type="auto"/>
          <w:tblCellSpacing w:w="0" w:type="dxa"/>
        </w:trPr>
        <w:tc>
          <w:tcPr>
            <w:tcW w:w="0" w:type="auto"/>
            <w:noWrap w:val="0"/>
            <w:vAlign w:val="center"/>
          </w:tcPr>
          <w:p w14:paraId="63FCC58A">
            <w:r>
              <w:rPr>
                <w:rStyle w:val="10"/>
                <w:rFonts w:hint="eastAsia"/>
              </w:rPr>
              <w:t>毒性及其标识：</w:t>
            </w:r>
            <w:r>
              <w:rPr>
                <w:rFonts w:hint="eastAsia"/>
              </w:rPr>
              <w:t xml:space="preserve"> </w:t>
            </w:r>
            <w:r>
              <w:rPr>
                <w:lang/>
              </w:rPr>
              <w:drawing>
                <wp:inline distT="0" distB="0" distL="114300" distR="114300">
                  <wp:extent cx="476250" cy="323850"/>
                  <wp:effectExtent l="0" t="0" r="0" b="0"/>
                  <wp:docPr id="366" name="图片 3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C6AB82">
        <w:tblPrEx>
          <w:tblCellMar>
            <w:top w:w="0" w:type="dxa"/>
            <w:left w:w="0" w:type="dxa"/>
            <w:bottom w:w="0" w:type="dxa"/>
            <w:right w:w="0" w:type="dxa"/>
          </w:tblCellMar>
        </w:tblPrEx>
        <w:trPr>
          <w:wBefore w:w="0" w:type="auto"/>
          <w:tblCellSpacing w:w="0" w:type="dxa"/>
        </w:trPr>
        <w:tc>
          <w:tcPr>
            <w:tcW w:w="0" w:type="auto"/>
            <w:noWrap w:val="0"/>
            <w:vAlign w:val="center"/>
          </w:tcPr>
          <w:p w14:paraId="29805D8D">
            <w:r>
              <w:rPr>
                <w:rStyle w:val="10"/>
                <w:rFonts w:hint="eastAsia"/>
              </w:rPr>
              <w:t>总有效成分含量：</w:t>
            </w:r>
            <w:r>
              <w:rPr>
                <w:rFonts w:hint="eastAsia"/>
              </w:rPr>
              <w:t>35%</w:t>
            </w:r>
          </w:p>
        </w:tc>
      </w:tr>
      <w:tr w14:paraId="2BA68FCA">
        <w:tblPrEx>
          <w:tblCellMar>
            <w:top w:w="0" w:type="dxa"/>
            <w:left w:w="0" w:type="dxa"/>
            <w:bottom w:w="0" w:type="dxa"/>
            <w:right w:w="0" w:type="dxa"/>
          </w:tblCellMar>
        </w:tblPrEx>
        <w:trPr>
          <w:wBefore w:w="0" w:type="auto"/>
          <w:tblCellSpacing w:w="0" w:type="dxa"/>
        </w:trPr>
        <w:tc>
          <w:tcPr>
            <w:tcW w:w="0" w:type="auto"/>
            <w:noWrap w:val="0"/>
            <w:vAlign w:val="center"/>
          </w:tcPr>
          <w:p w14:paraId="06C9B98A">
            <w:r>
              <w:rPr>
                <w:rFonts w:hint="eastAsia"/>
              </w:rPr>
              <w:t xml:space="preserve">有效成分及其含量： </w:t>
            </w:r>
          </w:p>
          <w:p w14:paraId="03242EBB">
            <w:r>
              <w:rPr>
                <w:rFonts w:hint="eastAsia"/>
              </w:rPr>
              <w:t xml:space="preserve">    二甲戊灵20%    扑草净15%    </w:t>
            </w:r>
          </w:p>
        </w:tc>
      </w:tr>
      <w:tr w14:paraId="2F5A387C">
        <w:tblPrEx>
          <w:tblCellMar>
            <w:top w:w="0" w:type="dxa"/>
            <w:left w:w="0" w:type="dxa"/>
            <w:bottom w:w="0" w:type="dxa"/>
            <w:right w:w="0" w:type="dxa"/>
          </w:tblCellMar>
        </w:tblPrEx>
        <w:trPr>
          <w:wBefore w:w="0" w:type="auto"/>
          <w:tblCellSpacing w:w="0" w:type="dxa"/>
        </w:trPr>
        <w:tc>
          <w:tcPr>
            <w:tcW w:w="0" w:type="auto"/>
            <w:noWrap w:val="0"/>
            <w:vAlign w:val="center"/>
          </w:tcPr>
          <w:p w14:paraId="634AE3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23BA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74433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D183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C20C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AB53FD">
                  <w:r>
                    <w:rPr>
                      <w:rStyle w:val="11"/>
                      <w:rFonts w:hint="eastAsia"/>
                    </w:rPr>
                    <w:t>施用方式</w:t>
                  </w:r>
                </w:p>
              </w:tc>
            </w:tr>
            <w:tr w14:paraId="244A91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62F17E">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E80B5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3F1AC9">
                  <w:r>
                    <w:rPr>
                      <w:rStyle w:val="11"/>
                      <w:rFonts w:hint="eastAsia"/>
                    </w:rPr>
                    <w:t>200-250毫升/亩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FB6493">
                  <w:r>
                    <w:rPr>
                      <w:rStyle w:val="11"/>
                      <w:rFonts w:hint="eastAsia"/>
                    </w:rPr>
                    <w:t>土壤喷雾</w:t>
                  </w:r>
                </w:p>
              </w:tc>
            </w:tr>
          </w:tbl>
          <w:p w14:paraId="2349352B">
            <w:pPr>
              <w:rPr>
                <w:rFonts w:ascii="Times New Roman" w:hAnsi="Times New Roman" w:cs="Times New Roman"/>
                <w:sz w:val="20"/>
                <w:szCs w:val="20"/>
              </w:rPr>
            </w:pPr>
          </w:p>
        </w:tc>
      </w:tr>
      <w:tr w14:paraId="33750E5E">
        <w:tblPrEx>
          <w:tblCellMar>
            <w:top w:w="0" w:type="dxa"/>
            <w:left w:w="0" w:type="dxa"/>
            <w:bottom w:w="0" w:type="dxa"/>
            <w:right w:w="0" w:type="dxa"/>
          </w:tblCellMar>
        </w:tblPrEx>
        <w:trPr>
          <w:wBefore w:w="0" w:type="auto"/>
          <w:tblCellSpacing w:w="0" w:type="dxa"/>
        </w:trPr>
        <w:tc>
          <w:tcPr>
            <w:tcW w:w="0" w:type="auto"/>
            <w:noWrap w:val="0"/>
            <w:vAlign w:val="center"/>
          </w:tcPr>
          <w:p w14:paraId="7902E9E7">
            <w:r>
              <w:rPr>
                <w:rStyle w:val="10"/>
                <w:rFonts w:hint="eastAsia"/>
              </w:rPr>
              <w:t>使用技术要求:</w:t>
            </w:r>
            <w:r>
              <w:rPr>
                <w:rFonts w:hint="eastAsia"/>
              </w:rPr>
              <w:br w:type="textWrapping"/>
            </w:r>
            <w:r>
              <w:rPr>
                <w:rStyle w:val="11"/>
                <w:rFonts w:hint="eastAsia"/>
              </w:rPr>
              <w:t>1、施药时期： 棉花播后苗前土壤喷雾，亩用水量30～50升。2、大风天或预计1小时降雨请勿施药。3、每季作物最多使用1次。</w:t>
            </w:r>
          </w:p>
        </w:tc>
      </w:tr>
      <w:tr w14:paraId="51E5F6F0">
        <w:tblPrEx>
          <w:tblCellMar>
            <w:top w:w="0" w:type="dxa"/>
            <w:left w:w="0" w:type="dxa"/>
            <w:bottom w:w="0" w:type="dxa"/>
            <w:right w:w="0" w:type="dxa"/>
          </w:tblCellMar>
        </w:tblPrEx>
        <w:trPr>
          <w:wBefore w:w="0" w:type="auto"/>
          <w:tblCellSpacing w:w="0" w:type="dxa"/>
        </w:trPr>
        <w:tc>
          <w:tcPr>
            <w:tcW w:w="0" w:type="auto"/>
            <w:noWrap w:val="0"/>
            <w:vAlign w:val="center"/>
          </w:tcPr>
          <w:p w14:paraId="511C8CDA">
            <w:r>
              <w:rPr>
                <w:rStyle w:val="10"/>
                <w:rFonts w:hint="eastAsia"/>
              </w:rPr>
              <w:t>产品性能:</w:t>
            </w:r>
            <w:r>
              <w:rPr>
                <w:rFonts w:hint="eastAsia"/>
              </w:rPr>
              <w:br w:type="textWrapping"/>
            </w:r>
            <w:r>
              <w:rPr>
                <w:rStyle w:val="11"/>
                <w:rFonts w:hint="eastAsia"/>
              </w:rPr>
              <w:t>本品是由二硝基甲苯胺类除草剂二甲戊灵和三氮类除草剂扑草净复配而成的选择性芽前除草剂。可有效防除棉花田一年生杂草。</w:t>
            </w:r>
          </w:p>
        </w:tc>
      </w:tr>
      <w:tr w14:paraId="541D16E3">
        <w:tblPrEx>
          <w:tblCellMar>
            <w:top w:w="0" w:type="dxa"/>
            <w:left w:w="0" w:type="dxa"/>
            <w:bottom w:w="0" w:type="dxa"/>
            <w:right w:w="0" w:type="dxa"/>
          </w:tblCellMar>
        </w:tblPrEx>
        <w:trPr>
          <w:wBefore w:w="0" w:type="auto"/>
          <w:tblCellSpacing w:w="0" w:type="dxa"/>
        </w:trPr>
        <w:tc>
          <w:tcPr>
            <w:tcW w:w="0" w:type="auto"/>
            <w:noWrap w:val="0"/>
            <w:vAlign w:val="center"/>
          </w:tcPr>
          <w:p w14:paraId="79A23673">
            <w:r>
              <w:rPr>
                <w:rStyle w:val="10"/>
                <w:rFonts w:hint="eastAsia"/>
              </w:rPr>
              <w:t>注意事项：</w:t>
            </w:r>
            <w:r>
              <w:rPr>
                <w:rFonts w:hint="eastAsia"/>
              </w:rPr>
              <w:br w:type="textWrapping"/>
            </w:r>
            <w:r>
              <w:rPr>
                <w:rStyle w:val="11"/>
                <w:rFonts w:hint="eastAsia"/>
              </w:rPr>
              <w:t>1、当杂草危害较重时，有机质含量高时使用高剂量。2、土地要整平，避免有大土块及植物残渣。3、喷雾应均匀，避免重喷、漏喷或超过推荐剂量用药，建议使用扇形喷头喷雾。4、本剂对鱼等水生生物高毒性，应避免污染鱼塘和水源等，特别是禁止在河塘等水体清洗施药器械。5、远离水产养殖区、河塘等水域施药。6、赤眼蜂等天敌昆虫放飞区禁用。7、鸟类保护区附近禁用。8、蚕室及桑园附近禁用。9、应避免药液接触眼睛、粘膜和伤口，施药人员施药时必须戴防护口罩、眼镜，穿长衣长裤。在操作时禁止吸烟、喝水、吃东西。10、孕妇和哺乳期妇女避免接触此药。9、用过的容器应妥善处理，不可做他用，也不可随意丢弃。</w:t>
            </w:r>
          </w:p>
        </w:tc>
      </w:tr>
      <w:tr w14:paraId="556A5BFA">
        <w:tblPrEx>
          <w:tblCellMar>
            <w:top w:w="0" w:type="dxa"/>
            <w:left w:w="0" w:type="dxa"/>
            <w:bottom w:w="0" w:type="dxa"/>
            <w:right w:w="0" w:type="dxa"/>
          </w:tblCellMar>
        </w:tblPrEx>
        <w:trPr>
          <w:wBefore w:w="0" w:type="auto"/>
          <w:tblCellSpacing w:w="0" w:type="dxa"/>
        </w:trPr>
        <w:tc>
          <w:tcPr>
            <w:tcW w:w="0" w:type="auto"/>
            <w:noWrap w:val="0"/>
            <w:vAlign w:val="center"/>
          </w:tcPr>
          <w:p w14:paraId="3F2F91E9">
            <w:r>
              <w:rPr>
                <w:rStyle w:val="10"/>
                <w:rFonts w:hint="eastAsia"/>
              </w:rPr>
              <w:t>中毒急救措施：</w:t>
            </w:r>
            <w:r>
              <w:rPr>
                <w:rFonts w:hint="eastAsia"/>
              </w:rPr>
              <w:br w:type="textWrapping"/>
            </w:r>
            <w:r>
              <w:rPr>
                <w:rStyle w:val="11"/>
                <w:rFonts w:hint="eastAsia"/>
              </w:rPr>
              <w:t>中毒症状：对眼睛有刺激作用。 急救措施：如不慎溅入眼睛，立即用大量清水冲洗15分钟以上，并速携此标签就医。如药液溅到皮肤，应马上脱掉污染物，立即用肥皂和足量清水冲洗。如误服，应立即用清水漱口，并携本标签把患者送医院诊治。</w:t>
            </w:r>
          </w:p>
        </w:tc>
      </w:tr>
      <w:tr w14:paraId="26D5ED5F">
        <w:tblPrEx>
          <w:tblCellMar>
            <w:top w:w="0" w:type="dxa"/>
            <w:left w:w="0" w:type="dxa"/>
            <w:bottom w:w="0" w:type="dxa"/>
            <w:right w:w="0" w:type="dxa"/>
          </w:tblCellMar>
        </w:tblPrEx>
        <w:trPr>
          <w:wBefore w:w="0" w:type="auto"/>
          <w:tblCellSpacing w:w="0" w:type="dxa"/>
        </w:trPr>
        <w:tc>
          <w:tcPr>
            <w:tcW w:w="0" w:type="auto"/>
            <w:noWrap w:val="0"/>
            <w:vAlign w:val="center"/>
          </w:tcPr>
          <w:p w14:paraId="6FB17BBA">
            <w:r>
              <w:rPr>
                <w:rStyle w:val="10"/>
                <w:rFonts w:hint="eastAsia"/>
              </w:rPr>
              <w:t>储存和运输方法：</w:t>
            </w:r>
            <w:r>
              <w:rPr>
                <w:rFonts w:hint="eastAsia"/>
              </w:rPr>
              <w:br w:type="textWrapping"/>
            </w:r>
            <w:r>
              <w:rPr>
                <w:rStyle w:val="11"/>
                <w:rFonts w:hint="eastAsia"/>
              </w:rPr>
              <w:t>本剂应存放在阴凉、干燥、通风、防雨处。远离火源或热源。置于儿童及无关人员触及不到之处，并加锁。勿与食品、饮料、粮食、饲料同贮同运。运输时轻拿轻放，严禁倒置。</w:t>
            </w:r>
          </w:p>
        </w:tc>
      </w:tr>
      <w:tr w14:paraId="1FE7E73A">
        <w:tblPrEx>
          <w:tblCellMar>
            <w:top w:w="0" w:type="dxa"/>
            <w:left w:w="0" w:type="dxa"/>
            <w:bottom w:w="0" w:type="dxa"/>
            <w:right w:w="0" w:type="dxa"/>
          </w:tblCellMar>
        </w:tblPrEx>
        <w:trPr>
          <w:wBefore w:w="0" w:type="auto"/>
          <w:tblCellSpacing w:w="0" w:type="dxa"/>
        </w:trPr>
        <w:tc>
          <w:tcPr>
            <w:tcW w:w="0" w:type="auto"/>
            <w:noWrap w:val="0"/>
            <w:vAlign w:val="center"/>
          </w:tcPr>
          <w:p w14:paraId="36139FFC">
            <w:r>
              <w:rPr>
                <w:rStyle w:val="10"/>
                <w:rFonts w:hint="eastAsia"/>
              </w:rPr>
              <w:t>质量保证期：</w:t>
            </w:r>
            <w:r>
              <w:rPr>
                <w:rStyle w:val="11"/>
                <w:rFonts w:hint="eastAsia"/>
              </w:rPr>
              <w:t>2年</w:t>
            </w:r>
          </w:p>
        </w:tc>
      </w:tr>
      <w:tr w14:paraId="0DCFEEE2">
        <w:tblPrEx>
          <w:tblCellMar>
            <w:top w:w="0" w:type="dxa"/>
            <w:left w:w="0" w:type="dxa"/>
            <w:bottom w:w="0" w:type="dxa"/>
            <w:right w:w="0" w:type="dxa"/>
          </w:tblCellMar>
        </w:tblPrEx>
        <w:trPr>
          <w:wBefore w:w="0" w:type="auto"/>
          <w:tblCellSpacing w:w="0" w:type="dxa"/>
        </w:trPr>
        <w:tc>
          <w:tcPr>
            <w:tcW w:w="0" w:type="auto"/>
            <w:noWrap w:val="0"/>
            <w:vAlign w:val="center"/>
          </w:tcPr>
          <w:p w14:paraId="30E2F3ED">
            <w:r>
              <w:rPr>
                <w:rStyle w:val="10"/>
                <w:rFonts w:hint="eastAsia"/>
              </w:rPr>
              <w:t>备注：</w:t>
            </w:r>
          </w:p>
        </w:tc>
      </w:tr>
    </w:tbl>
    <w:p w14:paraId="418B04B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BFDA2F">
        <w:tblPrEx>
          <w:tblCellMar>
            <w:top w:w="0" w:type="dxa"/>
            <w:left w:w="0" w:type="dxa"/>
            <w:bottom w:w="0" w:type="dxa"/>
            <w:right w:w="0" w:type="dxa"/>
          </w:tblCellMar>
        </w:tblPrEx>
        <w:trPr>
          <w:wBefore w:w="0" w:type="auto"/>
          <w:tblCellSpacing w:w="0" w:type="dxa"/>
        </w:trPr>
        <w:tc>
          <w:tcPr>
            <w:tcW w:w="0" w:type="auto"/>
            <w:noWrap w:val="0"/>
            <w:vAlign w:val="center"/>
          </w:tcPr>
          <w:p w14:paraId="057B7A44">
            <w:r>
              <w:rPr>
                <w:rStyle w:val="10"/>
                <w:rFonts w:hint="eastAsia"/>
              </w:rPr>
              <w:t>登记证号：</w:t>
            </w:r>
            <w:r>
              <w:rPr>
                <w:rFonts w:hint="eastAsia"/>
              </w:rPr>
              <w:t>PD20212618</w:t>
            </w:r>
          </w:p>
        </w:tc>
      </w:tr>
      <w:tr w14:paraId="0435AD7A">
        <w:tblPrEx>
          <w:tblCellMar>
            <w:top w:w="0" w:type="dxa"/>
            <w:left w:w="0" w:type="dxa"/>
            <w:bottom w:w="0" w:type="dxa"/>
            <w:right w:w="0" w:type="dxa"/>
          </w:tblCellMar>
        </w:tblPrEx>
        <w:trPr>
          <w:wBefore w:w="0" w:type="auto"/>
          <w:tblCellSpacing w:w="0" w:type="dxa"/>
        </w:trPr>
        <w:tc>
          <w:tcPr>
            <w:tcW w:w="0" w:type="auto"/>
            <w:noWrap w:val="0"/>
            <w:vAlign w:val="center"/>
          </w:tcPr>
          <w:p w14:paraId="769CAE22">
            <w:r>
              <w:rPr>
                <w:rStyle w:val="10"/>
                <w:rFonts w:hint="eastAsia"/>
              </w:rPr>
              <w:t>登记证持有人：</w:t>
            </w:r>
            <w:r>
              <w:rPr>
                <w:rFonts w:hint="eastAsia"/>
              </w:rPr>
              <w:t>安徽隆冠生物科技有限公司</w:t>
            </w:r>
          </w:p>
        </w:tc>
      </w:tr>
      <w:tr w14:paraId="312809E0">
        <w:tblPrEx>
          <w:tblCellMar>
            <w:top w:w="0" w:type="dxa"/>
            <w:left w:w="0" w:type="dxa"/>
            <w:bottom w:w="0" w:type="dxa"/>
            <w:right w:w="0" w:type="dxa"/>
          </w:tblCellMar>
        </w:tblPrEx>
        <w:trPr>
          <w:wBefore w:w="0" w:type="auto"/>
          <w:tblCellSpacing w:w="0" w:type="dxa"/>
        </w:trPr>
        <w:tc>
          <w:tcPr>
            <w:tcW w:w="0" w:type="auto"/>
            <w:noWrap w:val="0"/>
            <w:vAlign w:val="center"/>
          </w:tcPr>
          <w:p w14:paraId="7BE0ABCC">
            <w:r>
              <w:rPr>
                <w:rStyle w:val="10"/>
                <w:rFonts w:hint="eastAsia"/>
              </w:rPr>
              <w:t>农药名称：</w:t>
            </w:r>
            <w:r>
              <w:rPr>
                <w:rFonts w:hint="eastAsia"/>
              </w:rPr>
              <w:t>2甲·二磺·双氟</w:t>
            </w:r>
          </w:p>
        </w:tc>
      </w:tr>
      <w:tr w14:paraId="642F80CB">
        <w:tblPrEx>
          <w:tblCellMar>
            <w:top w:w="0" w:type="dxa"/>
            <w:left w:w="0" w:type="dxa"/>
            <w:bottom w:w="0" w:type="dxa"/>
            <w:right w:w="0" w:type="dxa"/>
          </w:tblCellMar>
        </w:tblPrEx>
        <w:trPr>
          <w:wBefore w:w="0" w:type="auto"/>
          <w:tblCellSpacing w:w="0" w:type="dxa"/>
        </w:trPr>
        <w:tc>
          <w:tcPr>
            <w:tcW w:w="0" w:type="auto"/>
            <w:noWrap w:val="0"/>
            <w:vAlign w:val="center"/>
          </w:tcPr>
          <w:p w14:paraId="4CAC0C13">
            <w:r>
              <w:rPr>
                <w:rStyle w:val="10"/>
                <w:rFonts w:hint="eastAsia"/>
              </w:rPr>
              <w:t>剂型：</w:t>
            </w:r>
            <w:r>
              <w:rPr>
                <w:rFonts w:hint="eastAsia"/>
              </w:rPr>
              <w:t>可分散油悬浮剂</w:t>
            </w:r>
          </w:p>
        </w:tc>
      </w:tr>
      <w:tr w14:paraId="40C8C1EF">
        <w:tblPrEx>
          <w:tblCellMar>
            <w:top w:w="0" w:type="dxa"/>
            <w:left w:w="0" w:type="dxa"/>
            <w:bottom w:w="0" w:type="dxa"/>
            <w:right w:w="0" w:type="dxa"/>
          </w:tblCellMar>
        </w:tblPrEx>
        <w:trPr>
          <w:wBefore w:w="0" w:type="auto"/>
          <w:tblCellSpacing w:w="0" w:type="dxa"/>
        </w:trPr>
        <w:tc>
          <w:tcPr>
            <w:tcW w:w="0" w:type="auto"/>
            <w:noWrap w:val="0"/>
            <w:vAlign w:val="center"/>
          </w:tcPr>
          <w:p w14:paraId="50C40A45">
            <w:r>
              <w:rPr>
                <w:rStyle w:val="10"/>
                <w:rFonts w:hint="eastAsia"/>
              </w:rPr>
              <w:t>毒性及其标识：</w:t>
            </w:r>
            <w:r>
              <w:rPr>
                <w:rFonts w:hint="eastAsia"/>
              </w:rPr>
              <w:t xml:space="preserve"> </w:t>
            </w:r>
            <w:r>
              <w:rPr>
                <w:lang/>
              </w:rPr>
              <w:drawing>
                <wp:inline distT="0" distB="0" distL="114300" distR="114300">
                  <wp:extent cx="476250" cy="323850"/>
                  <wp:effectExtent l="0" t="0" r="0" b="0"/>
                  <wp:docPr id="367" name="图片 3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0360E3">
        <w:tblPrEx>
          <w:tblCellMar>
            <w:top w:w="0" w:type="dxa"/>
            <w:left w:w="0" w:type="dxa"/>
            <w:bottom w:w="0" w:type="dxa"/>
            <w:right w:w="0" w:type="dxa"/>
          </w:tblCellMar>
        </w:tblPrEx>
        <w:trPr>
          <w:wBefore w:w="0" w:type="auto"/>
          <w:tblCellSpacing w:w="0" w:type="dxa"/>
        </w:trPr>
        <w:tc>
          <w:tcPr>
            <w:tcW w:w="0" w:type="auto"/>
            <w:noWrap w:val="0"/>
            <w:vAlign w:val="center"/>
          </w:tcPr>
          <w:p w14:paraId="6716C795">
            <w:r>
              <w:rPr>
                <w:rStyle w:val="10"/>
                <w:rFonts w:hint="eastAsia"/>
              </w:rPr>
              <w:t>总有效成分含量：</w:t>
            </w:r>
            <w:r>
              <w:rPr>
                <w:rFonts w:hint="eastAsia"/>
              </w:rPr>
              <w:t>48%</w:t>
            </w:r>
          </w:p>
        </w:tc>
      </w:tr>
      <w:tr w14:paraId="16832BC2">
        <w:tblPrEx>
          <w:tblCellMar>
            <w:top w:w="0" w:type="dxa"/>
            <w:left w:w="0" w:type="dxa"/>
            <w:bottom w:w="0" w:type="dxa"/>
            <w:right w:w="0" w:type="dxa"/>
          </w:tblCellMar>
        </w:tblPrEx>
        <w:trPr>
          <w:wBefore w:w="0" w:type="auto"/>
          <w:tblCellSpacing w:w="0" w:type="dxa"/>
        </w:trPr>
        <w:tc>
          <w:tcPr>
            <w:tcW w:w="0" w:type="auto"/>
            <w:noWrap w:val="0"/>
            <w:vAlign w:val="center"/>
          </w:tcPr>
          <w:p w14:paraId="3E2406F5">
            <w:r>
              <w:rPr>
                <w:rFonts w:hint="eastAsia"/>
              </w:rPr>
              <w:t xml:space="preserve">有效成分及其含量： </w:t>
            </w:r>
          </w:p>
          <w:p w14:paraId="59E83F8D">
            <w:r>
              <w:rPr>
                <w:rFonts w:hint="eastAsia"/>
              </w:rPr>
              <w:t xml:space="preserve">    2甲4氯异辛酯45.5%    甲基二磺隆1.5%    双氟磺草胺1%    </w:t>
            </w:r>
          </w:p>
        </w:tc>
      </w:tr>
      <w:tr w14:paraId="4BE3B1C5">
        <w:tblPrEx>
          <w:tblCellMar>
            <w:top w:w="0" w:type="dxa"/>
            <w:left w:w="0" w:type="dxa"/>
            <w:bottom w:w="0" w:type="dxa"/>
            <w:right w:w="0" w:type="dxa"/>
          </w:tblCellMar>
        </w:tblPrEx>
        <w:trPr>
          <w:wBefore w:w="0" w:type="auto"/>
          <w:tblCellSpacing w:w="0" w:type="dxa"/>
        </w:trPr>
        <w:tc>
          <w:tcPr>
            <w:tcW w:w="0" w:type="auto"/>
            <w:noWrap w:val="0"/>
            <w:vAlign w:val="center"/>
          </w:tcPr>
          <w:p w14:paraId="3845F0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23AF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90D15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C72C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1527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503034">
                  <w:r>
                    <w:rPr>
                      <w:rStyle w:val="11"/>
                      <w:rFonts w:hint="eastAsia"/>
                    </w:rPr>
                    <w:t>施用方式</w:t>
                  </w:r>
                </w:p>
              </w:tc>
            </w:tr>
            <w:tr w14:paraId="55BEC8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D28AF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32AC6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399B8B">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3F911F">
                  <w:r>
                    <w:rPr>
                      <w:rStyle w:val="11"/>
                      <w:rFonts w:hint="eastAsia"/>
                    </w:rPr>
                    <w:t>茎叶喷雾</w:t>
                  </w:r>
                </w:p>
              </w:tc>
            </w:tr>
          </w:tbl>
          <w:p w14:paraId="6E13CD98">
            <w:pPr>
              <w:rPr>
                <w:rFonts w:ascii="Times New Roman" w:hAnsi="Times New Roman" w:cs="Times New Roman"/>
                <w:sz w:val="20"/>
                <w:szCs w:val="20"/>
              </w:rPr>
            </w:pPr>
          </w:p>
        </w:tc>
      </w:tr>
      <w:tr w14:paraId="6D80DF37">
        <w:tblPrEx>
          <w:tblCellMar>
            <w:top w:w="0" w:type="dxa"/>
            <w:left w:w="0" w:type="dxa"/>
            <w:bottom w:w="0" w:type="dxa"/>
            <w:right w:w="0" w:type="dxa"/>
          </w:tblCellMar>
        </w:tblPrEx>
        <w:trPr>
          <w:wBefore w:w="0" w:type="auto"/>
          <w:tblCellSpacing w:w="0" w:type="dxa"/>
        </w:trPr>
        <w:tc>
          <w:tcPr>
            <w:tcW w:w="0" w:type="auto"/>
            <w:noWrap w:val="0"/>
            <w:vAlign w:val="center"/>
          </w:tcPr>
          <w:p w14:paraId="3B65CF2A">
            <w:r>
              <w:rPr>
                <w:rStyle w:val="10"/>
                <w:rFonts w:hint="eastAsia"/>
              </w:rPr>
              <w:t>使用技术要求:</w:t>
            </w:r>
            <w:r>
              <w:rPr>
                <w:rFonts w:hint="eastAsia"/>
              </w:rPr>
              <w:br w:type="textWrapping"/>
            </w:r>
            <w:r>
              <w:rPr>
                <w:rStyle w:val="11"/>
                <w:rFonts w:hint="eastAsia"/>
              </w:rPr>
              <w:t>1.本品宜在小麦3叶期后，杂草2-5叶期，茎叶喷雾处理。2.茎叶喷雾，均匀喷雾。3.大风天或1小时内有降雨，请勿施药。4.每季最多使用1次。</w:t>
            </w:r>
          </w:p>
        </w:tc>
      </w:tr>
      <w:tr w14:paraId="5FCB6956">
        <w:tblPrEx>
          <w:tblCellMar>
            <w:top w:w="0" w:type="dxa"/>
            <w:left w:w="0" w:type="dxa"/>
            <w:bottom w:w="0" w:type="dxa"/>
            <w:right w:w="0" w:type="dxa"/>
          </w:tblCellMar>
        </w:tblPrEx>
        <w:trPr>
          <w:wBefore w:w="0" w:type="auto"/>
          <w:tblCellSpacing w:w="0" w:type="dxa"/>
        </w:trPr>
        <w:tc>
          <w:tcPr>
            <w:tcW w:w="0" w:type="auto"/>
            <w:noWrap w:val="0"/>
            <w:vAlign w:val="center"/>
          </w:tcPr>
          <w:p w14:paraId="726D858E">
            <w:r>
              <w:rPr>
                <w:rStyle w:val="10"/>
                <w:rFonts w:hint="eastAsia"/>
              </w:rPr>
              <w:t>产品性能:</w:t>
            </w:r>
            <w:r>
              <w:rPr>
                <w:rFonts w:hint="eastAsia"/>
              </w:rPr>
              <w:br w:type="textWrapping"/>
            </w:r>
            <w:r>
              <w:rPr>
                <w:rStyle w:val="11"/>
                <w:rFonts w:hint="eastAsia"/>
              </w:rPr>
              <w:t>本品是2甲4氯异辛酯、甲基二磺隆、双氟磺草胺的混配制剂。本品具有内吸传导性，通过杂草的茎叶吸收，传导至杂草生长点。2甲4氯异辛酯主要用于苗后茎叶处理，穿过角质层和细胞膜，能迅速传导至杂草各个部位，最后全株死亡。甲基二磺隆本剂为小麦田苗后防除禾本科杂草和部分阔叶杂草的内吸选择性茎叶除草剂；双氟磺草胺是支链氨基酸的合成抑制剂，为选择内吸性苗后除草剂，可被植物根部和嫩芽吸收，通过木质部和韧皮部快速传导。三者混配可有效防除小麦田一年生禾本科及阔叶杂草。</w:t>
            </w:r>
          </w:p>
        </w:tc>
      </w:tr>
      <w:tr w14:paraId="788ADD94">
        <w:tblPrEx>
          <w:tblCellMar>
            <w:top w:w="0" w:type="dxa"/>
            <w:left w:w="0" w:type="dxa"/>
            <w:bottom w:w="0" w:type="dxa"/>
            <w:right w:w="0" w:type="dxa"/>
          </w:tblCellMar>
        </w:tblPrEx>
        <w:trPr>
          <w:wBefore w:w="0" w:type="auto"/>
          <w:tblCellSpacing w:w="0" w:type="dxa"/>
        </w:trPr>
        <w:tc>
          <w:tcPr>
            <w:tcW w:w="0" w:type="auto"/>
            <w:noWrap w:val="0"/>
            <w:vAlign w:val="center"/>
          </w:tcPr>
          <w:p w14:paraId="439F846A">
            <w:r>
              <w:rPr>
                <w:rStyle w:val="10"/>
                <w:rFonts w:hint="eastAsia"/>
              </w:rPr>
              <w:t>注意事项：</w:t>
            </w:r>
            <w:r>
              <w:rPr>
                <w:rFonts w:hint="eastAsia"/>
              </w:rPr>
              <w:br w:type="textWrapping"/>
            </w:r>
            <w:r>
              <w:rPr>
                <w:rStyle w:val="11"/>
                <w:rFonts w:hint="eastAsia"/>
              </w:rPr>
              <w:t>1.不可使用最外围桑树上的桑叶饲喂家蚕。2.鸟类保护区附近禁用。3.未用完的制剂应放在原包装内密封保存，切勿将本品置于饮、食容器内。4.施药后的田水不得直接排入水体。5.配药和施药时，应穿防护服和戴手套，避免吸入药液。6.建议与作用机制不同的除草剂轮换使用，使用前请先进行小面积试验以确认安全性和有效性。7.施药期间不可吃东西、饮水、吸烟等；施药后应及时洗手、洗脸并洗涤施药时穿着的衣物。禁止在河塘等水体中清洗施药器具，废弃物应妥善处理，不可做他用，也不可随意丢弃。8.请严格按照标签说明使用。9.禁止孕妇及哺乳期的妇女接触本品。</w:t>
            </w:r>
          </w:p>
        </w:tc>
      </w:tr>
      <w:tr w14:paraId="25BA95F4">
        <w:tblPrEx>
          <w:tblCellMar>
            <w:top w:w="0" w:type="dxa"/>
            <w:left w:w="0" w:type="dxa"/>
            <w:bottom w:w="0" w:type="dxa"/>
            <w:right w:w="0" w:type="dxa"/>
          </w:tblCellMar>
        </w:tblPrEx>
        <w:trPr>
          <w:wBefore w:w="0" w:type="auto"/>
          <w:tblCellSpacing w:w="0" w:type="dxa"/>
        </w:trPr>
        <w:tc>
          <w:tcPr>
            <w:tcW w:w="0" w:type="auto"/>
            <w:noWrap w:val="0"/>
            <w:vAlign w:val="center"/>
          </w:tcPr>
          <w:p w14:paraId="7B6A6FC6">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0C4E9745">
        <w:tblPrEx>
          <w:tblCellMar>
            <w:top w:w="0" w:type="dxa"/>
            <w:left w:w="0" w:type="dxa"/>
            <w:bottom w:w="0" w:type="dxa"/>
            <w:right w:w="0" w:type="dxa"/>
          </w:tblCellMar>
        </w:tblPrEx>
        <w:trPr>
          <w:wBefore w:w="0" w:type="auto"/>
          <w:tblCellSpacing w:w="0" w:type="dxa"/>
        </w:trPr>
        <w:tc>
          <w:tcPr>
            <w:tcW w:w="0" w:type="auto"/>
            <w:noWrap w:val="0"/>
            <w:vAlign w:val="center"/>
          </w:tcPr>
          <w:p w14:paraId="0F28A61C">
            <w:r>
              <w:rPr>
                <w:rStyle w:val="10"/>
                <w:rFonts w:hint="eastAsia"/>
              </w:rPr>
              <w:t>储存和运输方法：</w:t>
            </w:r>
            <w:r>
              <w:rPr>
                <w:rFonts w:hint="eastAsia"/>
              </w:rPr>
              <w:br w:type="textWrapping"/>
            </w:r>
            <w:r>
              <w:rPr>
                <w:rStyle w:val="11"/>
                <w:rFonts w:hint="eastAsia"/>
              </w:rPr>
              <w:t>1．本品应密封贮存在干燥、阴凉、通风、防雨处，远离火源或热源。2．存放于儿童触及不到之处，并加锁。3．勿与食品、饮料、粮食、饲料等其他商品同贮同运。贮存或运输时堆层不得超过规定，注意轻拿轻放，以免损坏包装，导致产品泄漏。</w:t>
            </w:r>
          </w:p>
        </w:tc>
      </w:tr>
      <w:tr w14:paraId="23832D20">
        <w:tblPrEx>
          <w:tblCellMar>
            <w:top w:w="0" w:type="dxa"/>
            <w:left w:w="0" w:type="dxa"/>
            <w:bottom w:w="0" w:type="dxa"/>
            <w:right w:w="0" w:type="dxa"/>
          </w:tblCellMar>
        </w:tblPrEx>
        <w:trPr>
          <w:wBefore w:w="0" w:type="auto"/>
          <w:tblCellSpacing w:w="0" w:type="dxa"/>
        </w:trPr>
        <w:tc>
          <w:tcPr>
            <w:tcW w:w="0" w:type="auto"/>
            <w:noWrap w:val="0"/>
            <w:vAlign w:val="center"/>
          </w:tcPr>
          <w:p w14:paraId="7C29E1DB">
            <w:r>
              <w:rPr>
                <w:rStyle w:val="10"/>
                <w:rFonts w:hint="eastAsia"/>
              </w:rPr>
              <w:t>质量保证期：</w:t>
            </w:r>
            <w:r>
              <w:rPr>
                <w:rStyle w:val="11"/>
                <w:rFonts w:hint="eastAsia"/>
              </w:rPr>
              <w:t>2年</w:t>
            </w:r>
          </w:p>
        </w:tc>
      </w:tr>
      <w:tr w14:paraId="515972F3">
        <w:tblPrEx>
          <w:tblCellMar>
            <w:top w:w="0" w:type="dxa"/>
            <w:left w:w="0" w:type="dxa"/>
            <w:bottom w:w="0" w:type="dxa"/>
            <w:right w:w="0" w:type="dxa"/>
          </w:tblCellMar>
        </w:tblPrEx>
        <w:trPr>
          <w:wBefore w:w="0" w:type="auto"/>
          <w:tblCellSpacing w:w="0" w:type="dxa"/>
        </w:trPr>
        <w:tc>
          <w:tcPr>
            <w:tcW w:w="0" w:type="auto"/>
            <w:noWrap w:val="0"/>
            <w:vAlign w:val="center"/>
          </w:tcPr>
          <w:p w14:paraId="5C2B0D6A">
            <w:r>
              <w:rPr>
                <w:rStyle w:val="10"/>
                <w:rFonts w:hint="eastAsia"/>
              </w:rPr>
              <w:t>备注：</w:t>
            </w:r>
          </w:p>
        </w:tc>
      </w:tr>
    </w:tbl>
    <w:p w14:paraId="46C98D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BB0180">
        <w:tblPrEx>
          <w:tblCellMar>
            <w:top w:w="0" w:type="dxa"/>
            <w:left w:w="0" w:type="dxa"/>
            <w:bottom w:w="0" w:type="dxa"/>
            <w:right w:w="0" w:type="dxa"/>
          </w:tblCellMar>
        </w:tblPrEx>
        <w:trPr>
          <w:wBefore w:w="0" w:type="auto"/>
          <w:tblCellSpacing w:w="0" w:type="dxa"/>
        </w:trPr>
        <w:tc>
          <w:tcPr>
            <w:tcW w:w="0" w:type="auto"/>
            <w:noWrap w:val="0"/>
            <w:vAlign w:val="center"/>
          </w:tcPr>
          <w:p w14:paraId="32B3F7E6">
            <w:r>
              <w:rPr>
                <w:rStyle w:val="10"/>
                <w:rFonts w:hint="eastAsia"/>
              </w:rPr>
              <w:t>登记证号：</w:t>
            </w:r>
            <w:r>
              <w:rPr>
                <w:rFonts w:hint="eastAsia"/>
              </w:rPr>
              <w:t>PD20212504</w:t>
            </w:r>
          </w:p>
        </w:tc>
      </w:tr>
      <w:tr w14:paraId="7988127B">
        <w:tblPrEx>
          <w:tblCellMar>
            <w:top w:w="0" w:type="dxa"/>
            <w:left w:w="0" w:type="dxa"/>
            <w:bottom w:w="0" w:type="dxa"/>
            <w:right w:w="0" w:type="dxa"/>
          </w:tblCellMar>
        </w:tblPrEx>
        <w:trPr>
          <w:wBefore w:w="0" w:type="auto"/>
          <w:tblCellSpacing w:w="0" w:type="dxa"/>
        </w:trPr>
        <w:tc>
          <w:tcPr>
            <w:tcW w:w="0" w:type="auto"/>
            <w:noWrap w:val="0"/>
            <w:vAlign w:val="center"/>
          </w:tcPr>
          <w:p w14:paraId="7048FB29">
            <w:r>
              <w:rPr>
                <w:rStyle w:val="10"/>
                <w:rFonts w:hint="eastAsia"/>
              </w:rPr>
              <w:t>登记证持有人：</w:t>
            </w:r>
            <w:r>
              <w:rPr>
                <w:rFonts w:hint="eastAsia"/>
              </w:rPr>
              <w:t>山东玥鸣生物科技有限公司</w:t>
            </w:r>
          </w:p>
        </w:tc>
      </w:tr>
      <w:tr w14:paraId="087C7675">
        <w:tblPrEx>
          <w:tblCellMar>
            <w:top w:w="0" w:type="dxa"/>
            <w:left w:w="0" w:type="dxa"/>
            <w:bottom w:w="0" w:type="dxa"/>
            <w:right w:w="0" w:type="dxa"/>
          </w:tblCellMar>
        </w:tblPrEx>
        <w:trPr>
          <w:wBefore w:w="0" w:type="auto"/>
          <w:tblCellSpacing w:w="0" w:type="dxa"/>
        </w:trPr>
        <w:tc>
          <w:tcPr>
            <w:tcW w:w="0" w:type="auto"/>
            <w:noWrap w:val="0"/>
            <w:vAlign w:val="center"/>
          </w:tcPr>
          <w:p w14:paraId="0E48446F">
            <w:r>
              <w:rPr>
                <w:rStyle w:val="10"/>
                <w:rFonts w:hint="eastAsia"/>
              </w:rPr>
              <w:t>农药名称：</w:t>
            </w:r>
            <w:r>
              <w:rPr>
                <w:rFonts w:hint="eastAsia"/>
              </w:rPr>
              <w:t>噁草· 丁草胺</w:t>
            </w:r>
          </w:p>
        </w:tc>
      </w:tr>
      <w:tr w14:paraId="7E8C7F77">
        <w:tblPrEx>
          <w:tblCellMar>
            <w:top w:w="0" w:type="dxa"/>
            <w:left w:w="0" w:type="dxa"/>
            <w:bottom w:w="0" w:type="dxa"/>
            <w:right w:w="0" w:type="dxa"/>
          </w:tblCellMar>
        </w:tblPrEx>
        <w:trPr>
          <w:wBefore w:w="0" w:type="auto"/>
          <w:tblCellSpacing w:w="0" w:type="dxa"/>
        </w:trPr>
        <w:tc>
          <w:tcPr>
            <w:tcW w:w="0" w:type="auto"/>
            <w:noWrap w:val="0"/>
            <w:vAlign w:val="center"/>
          </w:tcPr>
          <w:p w14:paraId="29416A81">
            <w:r>
              <w:rPr>
                <w:rStyle w:val="10"/>
                <w:rFonts w:hint="eastAsia"/>
              </w:rPr>
              <w:t>剂型：</w:t>
            </w:r>
            <w:r>
              <w:rPr>
                <w:rFonts w:hint="eastAsia"/>
              </w:rPr>
              <w:t>乳油</w:t>
            </w:r>
          </w:p>
        </w:tc>
      </w:tr>
      <w:tr w14:paraId="42C35234">
        <w:tblPrEx>
          <w:tblCellMar>
            <w:top w:w="0" w:type="dxa"/>
            <w:left w:w="0" w:type="dxa"/>
            <w:bottom w:w="0" w:type="dxa"/>
            <w:right w:w="0" w:type="dxa"/>
          </w:tblCellMar>
        </w:tblPrEx>
        <w:trPr>
          <w:wBefore w:w="0" w:type="auto"/>
          <w:tblCellSpacing w:w="0" w:type="dxa"/>
        </w:trPr>
        <w:tc>
          <w:tcPr>
            <w:tcW w:w="0" w:type="auto"/>
            <w:noWrap w:val="0"/>
            <w:vAlign w:val="center"/>
          </w:tcPr>
          <w:p w14:paraId="19520BCB">
            <w:r>
              <w:rPr>
                <w:rStyle w:val="10"/>
                <w:rFonts w:hint="eastAsia"/>
              </w:rPr>
              <w:t>毒性及其标识：</w:t>
            </w:r>
            <w:r>
              <w:rPr>
                <w:rFonts w:hint="eastAsia"/>
              </w:rPr>
              <w:t xml:space="preserve"> </w:t>
            </w:r>
            <w:r>
              <w:rPr>
                <w:lang/>
              </w:rPr>
              <w:drawing>
                <wp:inline distT="0" distB="0" distL="114300" distR="114300">
                  <wp:extent cx="476250" cy="323850"/>
                  <wp:effectExtent l="0" t="0" r="0" b="0"/>
                  <wp:docPr id="368" name="图片 3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E6A3E4C">
        <w:tblPrEx>
          <w:tblCellMar>
            <w:top w:w="0" w:type="dxa"/>
            <w:left w:w="0" w:type="dxa"/>
            <w:bottom w:w="0" w:type="dxa"/>
            <w:right w:w="0" w:type="dxa"/>
          </w:tblCellMar>
        </w:tblPrEx>
        <w:trPr>
          <w:wBefore w:w="0" w:type="auto"/>
          <w:tblCellSpacing w:w="0" w:type="dxa"/>
        </w:trPr>
        <w:tc>
          <w:tcPr>
            <w:tcW w:w="0" w:type="auto"/>
            <w:noWrap w:val="0"/>
            <w:vAlign w:val="center"/>
          </w:tcPr>
          <w:p w14:paraId="1FB8B322">
            <w:r>
              <w:rPr>
                <w:rStyle w:val="10"/>
                <w:rFonts w:hint="eastAsia"/>
              </w:rPr>
              <w:t>总有效成分含量：</w:t>
            </w:r>
            <w:r>
              <w:rPr>
                <w:rFonts w:hint="eastAsia"/>
              </w:rPr>
              <w:t>66%</w:t>
            </w:r>
          </w:p>
        </w:tc>
      </w:tr>
      <w:tr w14:paraId="43DE5C04">
        <w:tblPrEx>
          <w:tblCellMar>
            <w:top w:w="0" w:type="dxa"/>
            <w:left w:w="0" w:type="dxa"/>
            <w:bottom w:w="0" w:type="dxa"/>
            <w:right w:w="0" w:type="dxa"/>
          </w:tblCellMar>
        </w:tblPrEx>
        <w:trPr>
          <w:wBefore w:w="0" w:type="auto"/>
          <w:tblCellSpacing w:w="0" w:type="dxa"/>
        </w:trPr>
        <w:tc>
          <w:tcPr>
            <w:tcW w:w="0" w:type="auto"/>
            <w:noWrap w:val="0"/>
            <w:vAlign w:val="center"/>
          </w:tcPr>
          <w:p w14:paraId="1E02A82E">
            <w:r>
              <w:rPr>
                <w:rFonts w:hint="eastAsia"/>
              </w:rPr>
              <w:t xml:space="preserve">有效成分及其含量： </w:t>
            </w:r>
          </w:p>
          <w:p w14:paraId="559AFE95">
            <w:r>
              <w:rPr>
                <w:rFonts w:hint="eastAsia"/>
              </w:rPr>
              <w:t xml:space="preserve">    丁草胺55%    噁草酮11%    </w:t>
            </w:r>
          </w:p>
        </w:tc>
      </w:tr>
      <w:tr w14:paraId="6C01EB62">
        <w:tblPrEx>
          <w:tblCellMar>
            <w:top w:w="0" w:type="dxa"/>
            <w:left w:w="0" w:type="dxa"/>
            <w:bottom w:w="0" w:type="dxa"/>
            <w:right w:w="0" w:type="dxa"/>
          </w:tblCellMar>
        </w:tblPrEx>
        <w:trPr>
          <w:wBefore w:w="0" w:type="auto"/>
          <w:tblCellSpacing w:w="0" w:type="dxa"/>
        </w:trPr>
        <w:tc>
          <w:tcPr>
            <w:tcW w:w="0" w:type="auto"/>
            <w:noWrap w:val="0"/>
            <w:vAlign w:val="center"/>
          </w:tcPr>
          <w:p w14:paraId="77DFE9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F7E2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45F8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3F3A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B2DC6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3D82FA">
                  <w:r>
                    <w:rPr>
                      <w:rStyle w:val="11"/>
                      <w:rFonts w:hint="eastAsia"/>
                    </w:rPr>
                    <w:t>施用方式</w:t>
                  </w:r>
                </w:p>
              </w:tc>
            </w:tr>
            <w:tr w14:paraId="5019C1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506B22">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A3ABB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DB2291">
                  <w:r>
                    <w:rPr>
                      <w:rStyle w:val="11"/>
                      <w:rFonts w:hint="eastAsia"/>
                    </w:rPr>
                    <w:t>118-141毫升/亩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1FFA35">
                  <w:r>
                    <w:rPr>
                      <w:rStyle w:val="11"/>
                      <w:rFonts w:hint="eastAsia"/>
                    </w:rPr>
                    <w:t>药土法</w:t>
                  </w:r>
                </w:p>
              </w:tc>
            </w:tr>
          </w:tbl>
          <w:p w14:paraId="44A804D7">
            <w:pPr>
              <w:rPr>
                <w:rFonts w:ascii="Times New Roman" w:hAnsi="Times New Roman" w:cs="Times New Roman"/>
                <w:sz w:val="20"/>
                <w:szCs w:val="20"/>
              </w:rPr>
            </w:pPr>
          </w:p>
        </w:tc>
      </w:tr>
      <w:tr w14:paraId="58FB9FFE">
        <w:tblPrEx>
          <w:tblCellMar>
            <w:top w:w="0" w:type="dxa"/>
            <w:left w:w="0" w:type="dxa"/>
            <w:bottom w:w="0" w:type="dxa"/>
            <w:right w:w="0" w:type="dxa"/>
          </w:tblCellMar>
        </w:tblPrEx>
        <w:trPr>
          <w:wBefore w:w="0" w:type="auto"/>
          <w:tblCellSpacing w:w="0" w:type="dxa"/>
        </w:trPr>
        <w:tc>
          <w:tcPr>
            <w:tcW w:w="0" w:type="auto"/>
            <w:noWrap w:val="0"/>
            <w:vAlign w:val="center"/>
          </w:tcPr>
          <w:p w14:paraId="2898B393">
            <w:r>
              <w:rPr>
                <w:rStyle w:val="10"/>
                <w:rFonts w:hint="eastAsia"/>
              </w:rPr>
              <w:t>使用技术要求:</w:t>
            </w:r>
            <w:r>
              <w:rPr>
                <w:rFonts w:hint="eastAsia"/>
              </w:rPr>
              <w:br w:type="textWrapping"/>
            </w:r>
            <w:r>
              <w:rPr>
                <w:rStyle w:val="11"/>
                <w:rFonts w:hint="eastAsia"/>
              </w:rPr>
              <w:t>1、 于水稻移栽前2-4天，药土法均匀撒施施药，药后保持3-5厘米水层5-7天后恢复正常管理。2、水稻移栽后严禁喷雾处理。3、每季作物最多使用一次。</w:t>
            </w:r>
          </w:p>
        </w:tc>
      </w:tr>
      <w:tr w14:paraId="7960AF5D">
        <w:tblPrEx>
          <w:tblCellMar>
            <w:top w:w="0" w:type="dxa"/>
            <w:left w:w="0" w:type="dxa"/>
            <w:bottom w:w="0" w:type="dxa"/>
            <w:right w:w="0" w:type="dxa"/>
          </w:tblCellMar>
        </w:tblPrEx>
        <w:trPr>
          <w:wBefore w:w="0" w:type="auto"/>
          <w:tblCellSpacing w:w="0" w:type="dxa"/>
        </w:trPr>
        <w:tc>
          <w:tcPr>
            <w:tcW w:w="0" w:type="auto"/>
            <w:noWrap w:val="0"/>
            <w:vAlign w:val="center"/>
          </w:tcPr>
          <w:p w14:paraId="506294D7">
            <w:r>
              <w:rPr>
                <w:rStyle w:val="10"/>
                <w:rFonts w:hint="eastAsia"/>
              </w:rPr>
              <w:t>产品性能:</w:t>
            </w:r>
            <w:r>
              <w:rPr>
                <w:rFonts w:hint="eastAsia"/>
              </w:rPr>
              <w:br w:type="textWrapping"/>
            </w:r>
            <w:r>
              <w:rPr>
                <w:rStyle w:val="11"/>
                <w:rFonts w:hint="eastAsia"/>
              </w:rPr>
              <w:t>本品为噁草酮和丁草胺复配而成的芽前除草剂，用于水稻移栽田，药剂通过杂草幼芽、根、茎的吸收进入杂草体内积累在旺盛部位，抑制生长，致使杂草组织腐烂死亡，有效防除水稻移栽田一年生杂草。</w:t>
            </w:r>
          </w:p>
        </w:tc>
      </w:tr>
      <w:tr w14:paraId="2ED352BA">
        <w:tblPrEx>
          <w:tblCellMar>
            <w:top w:w="0" w:type="dxa"/>
            <w:left w:w="0" w:type="dxa"/>
            <w:bottom w:w="0" w:type="dxa"/>
            <w:right w:w="0" w:type="dxa"/>
          </w:tblCellMar>
        </w:tblPrEx>
        <w:trPr>
          <w:wBefore w:w="0" w:type="auto"/>
          <w:tblCellSpacing w:w="0" w:type="dxa"/>
        </w:trPr>
        <w:tc>
          <w:tcPr>
            <w:tcW w:w="0" w:type="auto"/>
            <w:noWrap w:val="0"/>
            <w:vAlign w:val="center"/>
          </w:tcPr>
          <w:p w14:paraId="6AA4A56E">
            <w:r>
              <w:rPr>
                <w:rStyle w:val="10"/>
                <w:rFonts w:hint="eastAsia"/>
              </w:rPr>
              <w:t>注意事项：</w:t>
            </w:r>
            <w:r>
              <w:rPr>
                <w:rFonts w:hint="eastAsia"/>
              </w:rPr>
              <w:br w:type="textWrapping"/>
            </w:r>
            <w:r>
              <w:rPr>
                <w:rStyle w:val="11"/>
                <w:rFonts w:hint="eastAsia"/>
              </w:rPr>
              <w:t>1、严格按照标签说明施药。2、移栽时勿将稻苗淹没在施用本剂的稻田水中，以免产生药害。3、本剂对水生藻类和鱼高毒。远离水产养殖区、河塘等水体施药，鱼或虾蟹套养稻田禁用，施药后的田水不得直接排入水体，禁止在河塘等水域清洗施药器具，鸟类保护区和蚕室及桑园附近禁用。4、施用时应穿戴长衣、长裤、帽子、口罩、手套等防护措施，施药时不得饮食、吸烟、饮水等；施药后应用肥皂和清水彻底清洗暴露在外的皮肤。5、孕妇及哺乳期的妇女避免接触此药。6、用过的容器要妥善处理，不可做他用，也不可随意丢弃。</w:t>
            </w:r>
          </w:p>
        </w:tc>
      </w:tr>
      <w:tr w14:paraId="72FBAE5D">
        <w:tblPrEx>
          <w:tblCellMar>
            <w:top w:w="0" w:type="dxa"/>
            <w:left w:w="0" w:type="dxa"/>
            <w:bottom w:w="0" w:type="dxa"/>
            <w:right w:w="0" w:type="dxa"/>
          </w:tblCellMar>
        </w:tblPrEx>
        <w:trPr>
          <w:wBefore w:w="0" w:type="auto"/>
          <w:tblCellSpacing w:w="0" w:type="dxa"/>
        </w:trPr>
        <w:tc>
          <w:tcPr>
            <w:tcW w:w="0" w:type="auto"/>
            <w:noWrap w:val="0"/>
            <w:vAlign w:val="center"/>
          </w:tcPr>
          <w:p w14:paraId="6CC330CA">
            <w:r>
              <w:rPr>
                <w:rStyle w:val="10"/>
                <w:rFonts w:hint="eastAsia"/>
              </w:rPr>
              <w:t>中毒急救措施：</w:t>
            </w:r>
            <w:r>
              <w:rPr>
                <w:rFonts w:hint="eastAsia"/>
              </w:rPr>
              <w:br w:type="textWrapping"/>
            </w:r>
            <w:r>
              <w:rPr>
                <w:rStyle w:val="11"/>
                <w:rFonts w:hint="eastAsia"/>
              </w:rPr>
              <w:t>该产品对眼睛有刺激性，使用时避免接触眼睛。1、如药液溅到皮肤，请立即用肥皂和清水冲洗；2、如药液溅到眼内，应翻开眼睑，用足量清水冲洗15分钟并请医生诊治。3、切忌吞服，如误服，则应立即催吐，并携此标签立即就医。</w:t>
            </w:r>
          </w:p>
        </w:tc>
      </w:tr>
      <w:tr w14:paraId="5D9F1098">
        <w:tblPrEx>
          <w:tblCellMar>
            <w:top w:w="0" w:type="dxa"/>
            <w:left w:w="0" w:type="dxa"/>
            <w:bottom w:w="0" w:type="dxa"/>
            <w:right w:w="0" w:type="dxa"/>
          </w:tblCellMar>
        </w:tblPrEx>
        <w:trPr>
          <w:wBefore w:w="0" w:type="auto"/>
          <w:tblCellSpacing w:w="0" w:type="dxa"/>
        </w:trPr>
        <w:tc>
          <w:tcPr>
            <w:tcW w:w="0" w:type="auto"/>
            <w:noWrap w:val="0"/>
            <w:vAlign w:val="center"/>
          </w:tcPr>
          <w:p w14:paraId="1469AE04">
            <w:r>
              <w:rPr>
                <w:rStyle w:val="10"/>
                <w:rFonts w:hint="eastAsia"/>
              </w:rPr>
              <w:t>储存和运输方法：</w:t>
            </w:r>
            <w:r>
              <w:rPr>
                <w:rFonts w:hint="eastAsia"/>
              </w:rPr>
              <w:br w:type="textWrapping"/>
            </w:r>
            <w:r>
              <w:rPr>
                <w:rStyle w:val="11"/>
                <w:rFonts w:hint="eastAsia"/>
              </w:rPr>
              <w:t>密封后贮存于干燥、阴凉、防雨处，远离热源及火源。置于儿童及无关人员触及不到之处，并加锁。不能与食品、饮料、粮食、饲料等同贮同运。</w:t>
            </w:r>
          </w:p>
        </w:tc>
      </w:tr>
      <w:tr w14:paraId="06DB2AB4">
        <w:tblPrEx>
          <w:tblCellMar>
            <w:top w:w="0" w:type="dxa"/>
            <w:left w:w="0" w:type="dxa"/>
            <w:bottom w:w="0" w:type="dxa"/>
            <w:right w:w="0" w:type="dxa"/>
          </w:tblCellMar>
        </w:tblPrEx>
        <w:trPr>
          <w:wBefore w:w="0" w:type="auto"/>
          <w:tblCellSpacing w:w="0" w:type="dxa"/>
        </w:trPr>
        <w:tc>
          <w:tcPr>
            <w:tcW w:w="0" w:type="auto"/>
            <w:noWrap w:val="0"/>
            <w:vAlign w:val="center"/>
          </w:tcPr>
          <w:p w14:paraId="557408B2">
            <w:r>
              <w:rPr>
                <w:rStyle w:val="10"/>
                <w:rFonts w:hint="eastAsia"/>
              </w:rPr>
              <w:t>质量保证期：</w:t>
            </w:r>
            <w:r>
              <w:rPr>
                <w:rStyle w:val="11"/>
                <w:rFonts w:hint="eastAsia"/>
              </w:rPr>
              <w:t>2年</w:t>
            </w:r>
          </w:p>
        </w:tc>
      </w:tr>
      <w:tr w14:paraId="1E65682A">
        <w:tblPrEx>
          <w:tblCellMar>
            <w:top w:w="0" w:type="dxa"/>
            <w:left w:w="0" w:type="dxa"/>
            <w:bottom w:w="0" w:type="dxa"/>
            <w:right w:w="0" w:type="dxa"/>
          </w:tblCellMar>
        </w:tblPrEx>
        <w:trPr>
          <w:wBefore w:w="0" w:type="auto"/>
          <w:tblCellSpacing w:w="0" w:type="dxa"/>
        </w:trPr>
        <w:tc>
          <w:tcPr>
            <w:tcW w:w="0" w:type="auto"/>
            <w:noWrap w:val="0"/>
            <w:vAlign w:val="center"/>
          </w:tcPr>
          <w:p w14:paraId="1C83300F">
            <w:r>
              <w:rPr>
                <w:rStyle w:val="10"/>
                <w:rFonts w:hint="eastAsia"/>
              </w:rPr>
              <w:t>备注：</w:t>
            </w:r>
          </w:p>
        </w:tc>
      </w:tr>
    </w:tbl>
    <w:p w14:paraId="7D8024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BF584EA">
        <w:tblPrEx>
          <w:tblCellMar>
            <w:top w:w="0" w:type="dxa"/>
            <w:left w:w="0" w:type="dxa"/>
            <w:bottom w:w="0" w:type="dxa"/>
            <w:right w:w="0" w:type="dxa"/>
          </w:tblCellMar>
        </w:tblPrEx>
        <w:trPr>
          <w:wBefore w:w="0" w:type="auto"/>
          <w:tblCellSpacing w:w="0" w:type="dxa"/>
        </w:trPr>
        <w:tc>
          <w:tcPr>
            <w:tcW w:w="0" w:type="auto"/>
            <w:noWrap w:val="0"/>
            <w:vAlign w:val="center"/>
          </w:tcPr>
          <w:p w14:paraId="3C59609F">
            <w:r>
              <w:rPr>
                <w:rStyle w:val="10"/>
                <w:rFonts w:hint="eastAsia"/>
              </w:rPr>
              <w:t>登记证号：</w:t>
            </w:r>
            <w:r>
              <w:rPr>
                <w:rFonts w:hint="eastAsia"/>
              </w:rPr>
              <w:t>PD20212712</w:t>
            </w:r>
          </w:p>
        </w:tc>
      </w:tr>
      <w:tr w14:paraId="4757FA24">
        <w:tblPrEx>
          <w:tblCellMar>
            <w:top w:w="0" w:type="dxa"/>
            <w:left w:w="0" w:type="dxa"/>
            <w:bottom w:w="0" w:type="dxa"/>
            <w:right w:w="0" w:type="dxa"/>
          </w:tblCellMar>
        </w:tblPrEx>
        <w:trPr>
          <w:wBefore w:w="0" w:type="auto"/>
          <w:tblCellSpacing w:w="0" w:type="dxa"/>
        </w:trPr>
        <w:tc>
          <w:tcPr>
            <w:tcW w:w="0" w:type="auto"/>
            <w:noWrap w:val="0"/>
            <w:vAlign w:val="center"/>
          </w:tcPr>
          <w:p w14:paraId="76E07475">
            <w:r>
              <w:rPr>
                <w:rStyle w:val="10"/>
                <w:rFonts w:hint="eastAsia"/>
              </w:rPr>
              <w:t>登记证持有人：</w:t>
            </w:r>
            <w:r>
              <w:rPr>
                <w:rFonts w:hint="eastAsia"/>
              </w:rPr>
              <w:t>河南常见生物科技有限公司</w:t>
            </w:r>
          </w:p>
        </w:tc>
      </w:tr>
      <w:tr w14:paraId="7549DA06">
        <w:tblPrEx>
          <w:tblCellMar>
            <w:top w:w="0" w:type="dxa"/>
            <w:left w:w="0" w:type="dxa"/>
            <w:bottom w:w="0" w:type="dxa"/>
            <w:right w:w="0" w:type="dxa"/>
          </w:tblCellMar>
        </w:tblPrEx>
        <w:trPr>
          <w:wBefore w:w="0" w:type="auto"/>
          <w:tblCellSpacing w:w="0" w:type="dxa"/>
        </w:trPr>
        <w:tc>
          <w:tcPr>
            <w:tcW w:w="0" w:type="auto"/>
            <w:noWrap w:val="0"/>
            <w:vAlign w:val="center"/>
          </w:tcPr>
          <w:p w14:paraId="4A538299">
            <w:r>
              <w:rPr>
                <w:rStyle w:val="10"/>
                <w:rFonts w:hint="eastAsia"/>
              </w:rPr>
              <w:t>农药名称：</w:t>
            </w:r>
            <w:r>
              <w:rPr>
                <w:rFonts w:hint="eastAsia"/>
              </w:rPr>
              <w:t>唑醚·戊唑醇</w:t>
            </w:r>
          </w:p>
        </w:tc>
      </w:tr>
      <w:tr w14:paraId="79BFE89E">
        <w:tblPrEx>
          <w:tblCellMar>
            <w:top w:w="0" w:type="dxa"/>
            <w:left w:w="0" w:type="dxa"/>
            <w:bottom w:w="0" w:type="dxa"/>
            <w:right w:w="0" w:type="dxa"/>
          </w:tblCellMar>
        </w:tblPrEx>
        <w:trPr>
          <w:wBefore w:w="0" w:type="auto"/>
          <w:tblCellSpacing w:w="0" w:type="dxa"/>
        </w:trPr>
        <w:tc>
          <w:tcPr>
            <w:tcW w:w="0" w:type="auto"/>
            <w:noWrap w:val="0"/>
            <w:vAlign w:val="center"/>
          </w:tcPr>
          <w:p w14:paraId="2DC8D6DF">
            <w:r>
              <w:rPr>
                <w:rStyle w:val="10"/>
                <w:rFonts w:hint="eastAsia"/>
              </w:rPr>
              <w:t>剂型：</w:t>
            </w:r>
            <w:r>
              <w:rPr>
                <w:rFonts w:hint="eastAsia"/>
              </w:rPr>
              <w:t>悬浮剂</w:t>
            </w:r>
          </w:p>
        </w:tc>
      </w:tr>
      <w:tr w14:paraId="1CD46D0C">
        <w:tblPrEx>
          <w:tblCellMar>
            <w:top w:w="0" w:type="dxa"/>
            <w:left w:w="0" w:type="dxa"/>
            <w:bottom w:w="0" w:type="dxa"/>
            <w:right w:w="0" w:type="dxa"/>
          </w:tblCellMar>
        </w:tblPrEx>
        <w:trPr>
          <w:wBefore w:w="0" w:type="auto"/>
          <w:tblCellSpacing w:w="0" w:type="dxa"/>
        </w:trPr>
        <w:tc>
          <w:tcPr>
            <w:tcW w:w="0" w:type="auto"/>
            <w:noWrap w:val="0"/>
            <w:vAlign w:val="center"/>
          </w:tcPr>
          <w:p w14:paraId="5C6BC193">
            <w:r>
              <w:rPr>
                <w:rStyle w:val="10"/>
                <w:rFonts w:hint="eastAsia"/>
              </w:rPr>
              <w:t>毒性及其标识：</w:t>
            </w:r>
            <w:r>
              <w:rPr>
                <w:rFonts w:hint="eastAsia"/>
              </w:rPr>
              <w:t xml:space="preserve"> </w:t>
            </w:r>
            <w:r>
              <w:rPr>
                <w:lang/>
              </w:rPr>
              <w:drawing>
                <wp:inline distT="0" distB="0" distL="114300" distR="114300">
                  <wp:extent cx="476250" cy="323850"/>
                  <wp:effectExtent l="0" t="0" r="0" b="0"/>
                  <wp:docPr id="369" name="图片 3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8FDD6A">
        <w:tblPrEx>
          <w:tblCellMar>
            <w:top w:w="0" w:type="dxa"/>
            <w:left w:w="0" w:type="dxa"/>
            <w:bottom w:w="0" w:type="dxa"/>
            <w:right w:w="0" w:type="dxa"/>
          </w:tblCellMar>
        </w:tblPrEx>
        <w:trPr>
          <w:wBefore w:w="0" w:type="auto"/>
          <w:tblCellSpacing w:w="0" w:type="dxa"/>
        </w:trPr>
        <w:tc>
          <w:tcPr>
            <w:tcW w:w="0" w:type="auto"/>
            <w:noWrap w:val="0"/>
            <w:vAlign w:val="center"/>
          </w:tcPr>
          <w:p w14:paraId="5CFC813D">
            <w:r>
              <w:rPr>
                <w:rStyle w:val="10"/>
                <w:rFonts w:hint="eastAsia"/>
              </w:rPr>
              <w:t>总有效成分含量：</w:t>
            </w:r>
            <w:r>
              <w:rPr>
                <w:rFonts w:hint="eastAsia"/>
              </w:rPr>
              <w:t>30%</w:t>
            </w:r>
          </w:p>
        </w:tc>
      </w:tr>
      <w:tr w14:paraId="71803A9B">
        <w:tblPrEx>
          <w:tblCellMar>
            <w:top w:w="0" w:type="dxa"/>
            <w:left w:w="0" w:type="dxa"/>
            <w:bottom w:w="0" w:type="dxa"/>
            <w:right w:w="0" w:type="dxa"/>
          </w:tblCellMar>
        </w:tblPrEx>
        <w:trPr>
          <w:wBefore w:w="0" w:type="auto"/>
          <w:tblCellSpacing w:w="0" w:type="dxa"/>
        </w:trPr>
        <w:tc>
          <w:tcPr>
            <w:tcW w:w="0" w:type="auto"/>
            <w:noWrap w:val="0"/>
            <w:vAlign w:val="center"/>
          </w:tcPr>
          <w:p w14:paraId="6B90C346">
            <w:r>
              <w:rPr>
                <w:rFonts w:hint="eastAsia"/>
              </w:rPr>
              <w:t xml:space="preserve">有效成分及其含量： </w:t>
            </w:r>
          </w:p>
          <w:p w14:paraId="3BB077A1">
            <w:r>
              <w:rPr>
                <w:rFonts w:hint="eastAsia"/>
              </w:rPr>
              <w:t xml:space="preserve">    吡唑醚菌酯10%    戊唑醇20%    </w:t>
            </w:r>
          </w:p>
        </w:tc>
      </w:tr>
      <w:tr w14:paraId="3D178E10">
        <w:tblPrEx>
          <w:tblCellMar>
            <w:top w:w="0" w:type="dxa"/>
            <w:left w:w="0" w:type="dxa"/>
            <w:bottom w:w="0" w:type="dxa"/>
            <w:right w:w="0" w:type="dxa"/>
          </w:tblCellMar>
        </w:tblPrEx>
        <w:trPr>
          <w:wBefore w:w="0" w:type="auto"/>
          <w:tblCellSpacing w:w="0" w:type="dxa"/>
        </w:trPr>
        <w:tc>
          <w:tcPr>
            <w:tcW w:w="0" w:type="auto"/>
            <w:noWrap w:val="0"/>
            <w:vAlign w:val="center"/>
          </w:tcPr>
          <w:p w14:paraId="3F3266C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95C4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674E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8BD95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02C9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D0BE2A">
                  <w:r>
                    <w:rPr>
                      <w:rStyle w:val="11"/>
                      <w:rFonts w:hint="eastAsia"/>
                    </w:rPr>
                    <w:t>施用方式</w:t>
                  </w:r>
                </w:p>
              </w:tc>
            </w:tr>
            <w:tr w14:paraId="6D7888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7BAC8F">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99AADF">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BB3333">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2DFA10">
                  <w:r>
                    <w:rPr>
                      <w:rStyle w:val="11"/>
                      <w:rFonts w:hint="eastAsia"/>
                    </w:rPr>
                    <w:t>喷雾</w:t>
                  </w:r>
                </w:p>
              </w:tc>
            </w:tr>
          </w:tbl>
          <w:p w14:paraId="1058B379">
            <w:pPr>
              <w:rPr>
                <w:rFonts w:ascii="Times New Roman" w:hAnsi="Times New Roman" w:cs="Times New Roman"/>
                <w:sz w:val="20"/>
                <w:szCs w:val="20"/>
              </w:rPr>
            </w:pPr>
          </w:p>
        </w:tc>
      </w:tr>
      <w:tr w14:paraId="6BF85EDD">
        <w:tblPrEx>
          <w:tblCellMar>
            <w:top w:w="0" w:type="dxa"/>
            <w:left w:w="0" w:type="dxa"/>
            <w:bottom w:w="0" w:type="dxa"/>
            <w:right w:w="0" w:type="dxa"/>
          </w:tblCellMar>
        </w:tblPrEx>
        <w:trPr>
          <w:wBefore w:w="0" w:type="auto"/>
          <w:tblCellSpacing w:w="0" w:type="dxa"/>
        </w:trPr>
        <w:tc>
          <w:tcPr>
            <w:tcW w:w="0" w:type="auto"/>
            <w:noWrap w:val="0"/>
            <w:vAlign w:val="center"/>
          </w:tcPr>
          <w:p w14:paraId="55556BCA">
            <w:r>
              <w:rPr>
                <w:rStyle w:val="10"/>
                <w:rFonts w:hint="eastAsia"/>
              </w:rPr>
              <w:t>使用技术要求:</w:t>
            </w:r>
            <w:r>
              <w:rPr>
                <w:rFonts w:hint="eastAsia"/>
              </w:rPr>
              <w:br w:type="textWrapping"/>
            </w:r>
            <w:r>
              <w:rPr>
                <w:rStyle w:val="11"/>
                <w:rFonts w:hint="eastAsia"/>
              </w:rPr>
              <w:t>1. 本品应在玉米大斑病发病前或发病初期施药，施药2次，间隔7-10天，使用时应注意均匀喷雾。 2. 大风天或预计1小时内有雨，请勿施药。 3. 本品在玉米上使用的安全间隔期为21天，每季作物最多使用次数为2次。</w:t>
            </w:r>
          </w:p>
        </w:tc>
      </w:tr>
      <w:tr w14:paraId="1073C156">
        <w:tblPrEx>
          <w:tblCellMar>
            <w:top w:w="0" w:type="dxa"/>
            <w:left w:w="0" w:type="dxa"/>
            <w:bottom w:w="0" w:type="dxa"/>
            <w:right w:w="0" w:type="dxa"/>
          </w:tblCellMar>
        </w:tblPrEx>
        <w:trPr>
          <w:wBefore w:w="0" w:type="auto"/>
          <w:tblCellSpacing w:w="0" w:type="dxa"/>
        </w:trPr>
        <w:tc>
          <w:tcPr>
            <w:tcW w:w="0" w:type="auto"/>
            <w:noWrap w:val="0"/>
            <w:vAlign w:val="center"/>
          </w:tcPr>
          <w:p w14:paraId="2BD54C17">
            <w:r>
              <w:rPr>
                <w:rStyle w:val="10"/>
                <w:rFonts w:hint="eastAsia"/>
              </w:rPr>
              <w:t>产品性能:</w:t>
            </w:r>
            <w:r>
              <w:rPr>
                <w:rFonts w:hint="eastAsia"/>
              </w:rPr>
              <w:br w:type="textWrapping"/>
            </w:r>
            <w:r>
              <w:rPr>
                <w:rStyle w:val="11"/>
                <w:rFonts w:hint="eastAsia"/>
              </w:rPr>
              <w:t>吡唑醚菌酯为甲氧丙烯酸酯类杀菌剂，通过阻碍细胞色素之间的电子传递来抑制线粒体呼吸作用，具有保护、治疗、叶片渗透传导作用；戊唑醇为三唑类杀菌剂，其作用机制为抑制真菌麦角甾醇的生物合成，具有保护、治疗、铲除作用，杀菌谱广、持效期长。对玉米大斑病具有很好的治疗和保护效果。</w:t>
            </w:r>
          </w:p>
        </w:tc>
      </w:tr>
      <w:tr w14:paraId="367CFA22">
        <w:tblPrEx>
          <w:tblCellMar>
            <w:top w:w="0" w:type="dxa"/>
            <w:left w:w="0" w:type="dxa"/>
            <w:bottom w:w="0" w:type="dxa"/>
            <w:right w:w="0" w:type="dxa"/>
          </w:tblCellMar>
        </w:tblPrEx>
        <w:trPr>
          <w:wBefore w:w="0" w:type="auto"/>
          <w:tblCellSpacing w:w="0" w:type="dxa"/>
        </w:trPr>
        <w:tc>
          <w:tcPr>
            <w:tcW w:w="0" w:type="auto"/>
            <w:noWrap w:val="0"/>
            <w:vAlign w:val="center"/>
          </w:tcPr>
          <w:p w14:paraId="768E320B">
            <w:r>
              <w:rPr>
                <w:rStyle w:val="10"/>
                <w:rFonts w:hint="eastAsia"/>
              </w:rPr>
              <w:t>注意事项：</w:t>
            </w:r>
            <w:r>
              <w:rPr>
                <w:rFonts w:hint="eastAsia"/>
              </w:rPr>
              <w:br w:type="textWrapping"/>
            </w:r>
            <w:r>
              <w:rPr>
                <w:rStyle w:val="11"/>
                <w:rFonts w:hint="eastAsia"/>
              </w:rPr>
              <w:t>1. 本品不可与呈碱性的农药等物质混合使用。2. 使用本品时应穿戴防护服和手套、口罩等，避免皮肤接触及口鼻吸入药液。施药期间不可吃东西和饮水，施药后应及时洗手和洗脸。3. 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 用过的容器应妥善处理，不可做他用，也不可随意丢弃。5. 孕妇及哺乳期妇女应避免接触本品。6. 建议与其他作用机制不同的杀菌剂轮换使用，以延缓抗性的产生。</w:t>
            </w:r>
          </w:p>
        </w:tc>
      </w:tr>
      <w:tr w14:paraId="0F89E445">
        <w:tblPrEx>
          <w:tblCellMar>
            <w:top w:w="0" w:type="dxa"/>
            <w:left w:w="0" w:type="dxa"/>
            <w:bottom w:w="0" w:type="dxa"/>
            <w:right w:w="0" w:type="dxa"/>
          </w:tblCellMar>
        </w:tblPrEx>
        <w:trPr>
          <w:wBefore w:w="0" w:type="auto"/>
          <w:tblCellSpacing w:w="0" w:type="dxa"/>
        </w:trPr>
        <w:tc>
          <w:tcPr>
            <w:tcW w:w="0" w:type="auto"/>
            <w:noWrap w:val="0"/>
            <w:vAlign w:val="center"/>
          </w:tcPr>
          <w:p w14:paraId="3EFFF550">
            <w:r>
              <w:rPr>
                <w:rStyle w:val="10"/>
                <w:rFonts w:hint="eastAsia"/>
              </w:rPr>
              <w:t>中毒急救措施：</w:t>
            </w:r>
            <w:r>
              <w:rPr>
                <w:rFonts w:hint="eastAsia"/>
              </w:rPr>
              <w:br w:type="textWrapping"/>
            </w:r>
            <w:r>
              <w:rPr>
                <w:rStyle w:val="11"/>
                <w:rFonts w:hint="eastAsia"/>
              </w:rPr>
              <w:t>中毒症状：恶心、呕吐、头痛。按标签推荐方法使用，一旦发生中毒，请对症治疗。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5A33664B">
        <w:tblPrEx>
          <w:tblCellMar>
            <w:top w:w="0" w:type="dxa"/>
            <w:left w:w="0" w:type="dxa"/>
            <w:bottom w:w="0" w:type="dxa"/>
            <w:right w:w="0" w:type="dxa"/>
          </w:tblCellMar>
        </w:tblPrEx>
        <w:trPr>
          <w:wBefore w:w="0" w:type="auto"/>
          <w:tblCellSpacing w:w="0" w:type="dxa"/>
        </w:trPr>
        <w:tc>
          <w:tcPr>
            <w:tcW w:w="0" w:type="auto"/>
            <w:noWrap w:val="0"/>
            <w:vAlign w:val="center"/>
          </w:tcPr>
          <w:p w14:paraId="4CA32623">
            <w:r>
              <w:rPr>
                <w:rStyle w:val="10"/>
                <w:rFonts w:hint="eastAsia"/>
              </w:rPr>
              <w:t>储存和运输方法：</w:t>
            </w:r>
            <w:r>
              <w:rPr>
                <w:rFonts w:hint="eastAsia"/>
              </w:rPr>
              <w:br w:type="textWrapping"/>
            </w:r>
            <w:r>
              <w:rPr>
                <w:rStyle w:val="11"/>
                <w:rFonts w:hint="eastAsia"/>
              </w:rPr>
              <w:t>1. 本品应贮存于通风、阴凉、干燥处。远离火源或热源。置于儿童、无关人员触及不到之处，并加锁。2. 运输时，严防雨淋、日晒，不能与食品、饮料、粮食、饲料等物品同贮同运，避免与皮肤接触，防止由口鼻吸入。</w:t>
            </w:r>
          </w:p>
        </w:tc>
      </w:tr>
      <w:tr w14:paraId="0FC4ECEB">
        <w:tblPrEx>
          <w:tblCellMar>
            <w:top w:w="0" w:type="dxa"/>
            <w:left w:w="0" w:type="dxa"/>
            <w:bottom w:w="0" w:type="dxa"/>
            <w:right w:w="0" w:type="dxa"/>
          </w:tblCellMar>
        </w:tblPrEx>
        <w:trPr>
          <w:wBefore w:w="0" w:type="auto"/>
          <w:tblCellSpacing w:w="0" w:type="dxa"/>
        </w:trPr>
        <w:tc>
          <w:tcPr>
            <w:tcW w:w="0" w:type="auto"/>
            <w:noWrap w:val="0"/>
            <w:vAlign w:val="center"/>
          </w:tcPr>
          <w:p w14:paraId="10604DCF">
            <w:r>
              <w:rPr>
                <w:rStyle w:val="10"/>
                <w:rFonts w:hint="eastAsia"/>
              </w:rPr>
              <w:t>质量保证期：</w:t>
            </w:r>
            <w:r>
              <w:rPr>
                <w:rStyle w:val="11"/>
                <w:rFonts w:hint="eastAsia"/>
              </w:rPr>
              <w:t>2年</w:t>
            </w:r>
          </w:p>
        </w:tc>
      </w:tr>
      <w:tr w14:paraId="18BA8780">
        <w:tblPrEx>
          <w:tblCellMar>
            <w:top w:w="0" w:type="dxa"/>
            <w:left w:w="0" w:type="dxa"/>
            <w:bottom w:w="0" w:type="dxa"/>
            <w:right w:w="0" w:type="dxa"/>
          </w:tblCellMar>
        </w:tblPrEx>
        <w:trPr>
          <w:wBefore w:w="0" w:type="auto"/>
          <w:tblCellSpacing w:w="0" w:type="dxa"/>
        </w:trPr>
        <w:tc>
          <w:tcPr>
            <w:tcW w:w="0" w:type="auto"/>
            <w:noWrap w:val="0"/>
            <w:vAlign w:val="center"/>
          </w:tcPr>
          <w:p w14:paraId="31EA9288">
            <w:r>
              <w:rPr>
                <w:rStyle w:val="10"/>
                <w:rFonts w:hint="eastAsia"/>
              </w:rPr>
              <w:t>备注：</w:t>
            </w:r>
          </w:p>
        </w:tc>
      </w:tr>
    </w:tbl>
    <w:p w14:paraId="1138B61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F3F814">
        <w:tblPrEx>
          <w:tblCellMar>
            <w:top w:w="0" w:type="dxa"/>
            <w:left w:w="0" w:type="dxa"/>
            <w:bottom w:w="0" w:type="dxa"/>
            <w:right w:w="0" w:type="dxa"/>
          </w:tblCellMar>
        </w:tblPrEx>
        <w:trPr>
          <w:wBefore w:w="0" w:type="auto"/>
          <w:tblCellSpacing w:w="0" w:type="dxa"/>
        </w:trPr>
        <w:tc>
          <w:tcPr>
            <w:tcW w:w="0" w:type="auto"/>
            <w:noWrap w:val="0"/>
            <w:vAlign w:val="center"/>
          </w:tcPr>
          <w:p w14:paraId="261841FE">
            <w:r>
              <w:rPr>
                <w:rStyle w:val="10"/>
                <w:rFonts w:hint="eastAsia"/>
              </w:rPr>
              <w:t>登记证号：</w:t>
            </w:r>
            <w:r>
              <w:rPr>
                <w:rFonts w:hint="eastAsia"/>
              </w:rPr>
              <w:t>EX20210136</w:t>
            </w:r>
          </w:p>
        </w:tc>
      </w:tr>
      <w:tr w14:paraId="5ABB76FC">
        <w:tblPrEx>
          <w:tblCellMar>
            <w:top w:w="0" w:type="dxa"/>
            <w:left w:w="0" w:type="dxa"/>
            <w:bottom w:w="0" w:type="dxa"/>
            <w:right w:w="0" w:type="dxa"/>
          </w:tblCellMar>
        </w:tblPrEx>
        <w:trPr>
          <w:wBefore w:w="0" w:type="auto"/>
          <w:tblCellSpacing w:w="0" w:type="dxa"/>
        </w:trPr>
        <w:tc>
          <w:tcPr>
            <w:tcW w:w="0" w:type="auto"/>
            <w:noWrap w:val="0"/>
            <w:vAlign w:val="center"/>
          </w:tcPr>
          <w:p w14:paraId="2D455062">
            <w:r>
              <w:rPr>
                <w:rStyle w:val="10"/>
                <w:rFonts w:hint="eastAsia"/>
              </w:rPr>
              <w:t>登记证持有人：</w:t>
            </w:r>
            <w:r>
              <w:rPr>
                <w:rFonts w:hint="eastAsia"/>
              </w:rPr>
              <w:t>泸州东方农化有限公司</w:t>
            </w:r>
          </w:p>
        </w:tc>
      </w:tr>
      <w:tr w14:paraId="2D819479">
        <w:tblPrEx>
          <w:tblCellMar>
            <w:top w:w="0" w:type="dxa"/>
            <w:left w:w="0" w:type="dxa"/>
            <w:bottom w:w="0" w:type="dxa"/>
            <w:right w:w="0" w:type="dxa"/>
          </w:tblCellMar>
        </w:tblPrEx>
        <w:trPr>
          <w:wBefore w:w="0" w:type="auto"/>
          <w:tblCellSpacing w:w="0" w:type="dxa"/>
        </w:trPr>
        <w:tc>
          <w:tcPr>
            <w:tcW w:w="0" w:type="auto"/>
            <w:noWrap w:val="0"/>
            <w:vAlign w:val="center"/>
          </w:tcPr>
          <w:p w14:paraId="0903A1F2">
            <w:r>
              <w:rPr>
                <w:rStyle w:val="10"/>
                <w:rFonts w:hint="eastAsia"/>
              </w:rPr>
              <w:t>农药名称：</w:t>
            </w:r>
            <w:r>
              <w:rPr>
                <w:rFonts w:hint="eastAsia"/>
              </w:rPr>
              <w:t>唑草酮</w:t>
            </w:r>
          </w:p>
        </w:tc>
      </w:tr>
      <w:tr w14:paraId="14AEE098">
        <w:tblPrEx>
          <w:tblCellMar>
            <w:top w:w="0" w:type="dxa"/>
            <w:left w:w="0" w:type="dxa"/>
            <w:bottom w:w="0" w:type="dxa"/>
            <w:right w:w="0" w:type="dxa"/>
          </w:tblCellMar>
        </w:tblPrEx>
        <w:trPr>
          <w:wBefore w:w="0" w:type="auto"/>
          <w:tblCellSpacing w:w="0" w:type="dxa"/>
        </w:trPr>
        <w:tc>
          <w:tcPr>
            <w:tcW w:w="0" w:type="auto"/>
            <w:noWrap w:val="0"/>
            <w:vAlign w:val="center"/>
          </w:tcPr>
          <w:p w14:paraId="3118E764">
            <w:r>
              <w:rPr>
                <w:rStyle w:val="10"/>
                <w:rFonts w:hint="eastAsia"/>
              </w:rPr>
              <w:t>剂型：</w:t>
            </w:r>
            <w:r>
              <w:rPr>
                <w:rFonts w:hint="eastAsia"/>
              </w:rPr>
              <w:t>乳油</w:t>
            </w:r>
          </w:p>
        </w:tc>
      </w:tr>
      <w:tr w14:paraId="76780970">
        <w:tblPrEx>
          <w:tblCellMar>
            <w:top w:w="0" w:type="dxa"/>
            <w:left w:w="0" w:type="dxa"/>
            <w:bottom w:w="0" w:type="dxa"/>
            <w:right w:w="0" w:type="dxa"/>
          </w:tblCellMar>
        </w:tblPrEx>
        <w:trPr>
          <w:wBefore w:w="0" w:type="auto"/>
          <w:tblCellSpacing w:w="0" w:type="dxa"/>
        </w:trPr>
        <w:tc>
          <w:tcPr>
            <w:tcW w:w="0" w:type="auto"/>
            <w:noWrap w:val="0"/>
            <w:vAlign w:val="center"/>
          </w:tcPr>
          <w:p w14:paraId="2C41C0A1">
            <w:r>
              <w:rPr>
                <w:rStyle w:val="10"/>
                <w:rFonts w:hint="eastAsia"/>
              </w:rPr>
              <w:t>毒性及其标识：</w:t>
            </w:r>
            <w:r>
              <w:rPr>
                <w:rFonts w:hint="eastAsia"/>
              </w:rPr>
              <w:t xml:space="preserve"> </w:t>
            </w:r>
            <w:r>
              <w:rPr>
                <w:lang/>
              </w:rPr>
              <w:drawing>
                <wp:inline distT="0" distB="0" distL="114300" distR="114300">
                  <wp:extent cx="476250" cy="323850"/>
                  <wp:effectExtent l="0" t="0" r="0" b="0"/>
                  <wp:docPr id="370" name="图片 3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4A5578">
        <w:tblPrEx>
          <w:tblCellMar>
            <w:top w:w="0" w:type="dxa"/>
            <w:left w:w="0" w:type="dxa"/>
            <w:bottom w:w="0" w:type="dxa"/>
            <w:right w:w="0" w:type="dxa"/>
          </w:tblCellMar>
        </w:tblPrEx>
        <w:trPr>
          <w:wBefore w:w="0" w:type="auto"/>
          <w:tblCellSpacing w:w="0" w:type="dxa"/>
        </w:trPr>
        <w:tc>
          <w:tcPr>
            <w:tcW w:w="0" w:type="auto"/>
            <w:noWrap w:val="0"/>
            <w:vAlign w:val="center"/>
          </w:tcPr>
          <w:p w14:paraId="0A289F40">
            <w:r>
              <w:rPr>
                <w:rStyle w:val="10"/>
                <w:rFonts w:hint="eastAsia"/>
              </w:rPr>
              <w:t>总有效成分含量：</w:t>
            </w:r>
            <w:r>
              <w:rPr>
                <w:rFonts w:hint="eastAsia"/>
              </w:rPr>
              <w:t>240克/升</w:t>
            </w:r>
          </w:p>
        </w:tc>
      </w:tr>
      <w:tr w14:paraId="74CD8DE8">
        <w:tblPrEx>
          <w:tblCellMar>
            <w:top w:w="0" w:type="dxa"/>
            <w:left w:w="0" w:type="dxa"/>
            <w:bottom w:w="0" w:type="dxa"/>
            <w:right w:w="0" w:type="dxa"/>
          </w:tblCellMar>
        </w:tblPrEx>
        <w:trPr>
          <w:wBefore w:w="0" w:type="auto"/>
          <w:tblCellSpacing w:w="0" w:type="dxa"/>
        </w:trPr>
        <w:tc>
          <w:tcPr>
            <w:tcW w:w="0" w:type="auto"/>
            <w:noWrap w:val="0"/>
            <w:vAlign w:val="center"/>
          </w:tcPr>
          <w:p w14:paraId="620A2987">
            <w:r>
              <w:rPr>
                <w:rFonts w:hint="eastAsia"/>
              </w:rPr>
              <w:t xml:space="preserve">有效成分及其含量： </w:t>
            </w:r>
          </w:p>
          <w:p w14:paraId="40DCFB9E">
            <w:r>
              <w:rPr>
                <w:rFonts w:hint="eastAsia"/>
              </w:rPr>
              <w:t xml:space="preserve">    </w:t>
            </w:r>
          </w:p>
        </w:tc>
      </w:tr>
      <w:tr w14:paraId="0224A303">
        <w:tblPrEx>
          <w:tblCellMar>
            <w:top w:w="0" w:type="dxa"/>
            <w:left w:w="0" w:type="dxa"/>
            <w:bottom w:w="0" w:type="dxa"/>
            <w:right w:w="0" w:type="dxa"/>
          </w:tblCellMar>
        </w:tblPrEx>
        <w:trPr>
          <w:wBefore w:w="0" w:type="auto"/>
          <w:tblCellSpacing w:w="0" w:type="dxa"/>
        </w:trPr>
        <w:tc>
          <w:tcPr>
            <w:tcW w:w="0" w:type="auto"/>
            <w:noWrap w:val="0"/>
            <w:vAlign w:val="center"/>
          </w:tcPr>
          <w:p w14:paraId="3163F3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729F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C0BE8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4E626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CE86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D6852F">
                  <w:r>
                    <w:rPr>
                      <w:rStyle w:val="11"/>
                      <w:rFonts w:hint="eastAsia"/>
                    </w:rPr>
                    <w:t>施用方式</w:t>
                  </w:r>
                </w:p>
              </w:tc>
            </w:tr>
          </w:tbl>
          <w:p w14:paraId="70692D03">
            <w:pPr>
              <w:rPr>
                <w:rFonts w:ascii="Times New Roman" w:hAnsi="Times New Roman" w:cs="Times New Roman"/>
                <w:sz w:val="20"/>
                <w:szCs w:val="20"/>
              </w:rPr>
            </w:pPr>
          </w:p>
        </w:tc>
      </w:tr>
      <w:tr w14:paraId="21C6F629">
        <w:tblPrEx>
          <w:tblCellMar>
            <w:top w:w="0" w:type="dxa"/>
            <w:left w:w="0" w:type="dxa"/>
            <w:bottom w:w="0" w:type="dxa"/>
            <w:right w:w="0" w:type="dxa"/>
          </w:tblCellMar>
        </w:tblPrEx>
        <w:trPr>
          <w:wBefore w:w="0" w:type="auto"/>
          <w:tblCellSpacing w:w="0" w:type="dxa"/>
        </w:trPr>
        <w:tc>
          <w:tcPr>
            <w:tcW w:w="0" w:type="auto"/>
            <w:noWrap w:val="0"/>
            <w:vAlign w:val="center"/>
          </w:tcPr>
          <w:p w14:paraId="28455115">
            <w:r>
              <w:rPr>
                <w:rStyle w:val="10"/>
                <w:rFonts w:hint="eastAsia"/>
              </w:rPr>
              <w:t>使用技术要求:</w:t>
            </w:r>
            <w:r>
              <w:rPr>
                <w:rFonts w:hint="eastAsia"/>
              </w:rPr>
              <w:br w:type="textWrapping"/>
            </w:r>
          </w:p>
        </w:tc>
      </w:tr>
      <w:tr w14:paraId="410A7CF2">
        <w:tblPrEx>
          <w:tblCellMar>
            <w:top w:w="0" w:type="dxa"/>
            <w:left w:w="0" w:type="dxa"/>
            <w:bottom w:w="0" w:type="dxa"/>
            <w:right w:w="0" w:type="dxa"/>
          </w:tblCellMar>
        </w:tblPrEx>
        <w:trPr>
          <w:wBefore w:w="0" w:type="auto"/>
          <w:tblCellSpacing w:w="0" w:type="dxa"/>
        </w:trPr>
        <w:tc>
          <w:tcPr>
            <w:tcW w:w="0" w:type="auto"/>
            <w:noWrap w:val="0"/>
            <w:vAlign w:val="center"/>
          </w:tcPr>
          <w:p w14:paraId="69480CF4">
            <w:r>
              <w:rPr>
                <w:rStyle w:val="10"/>
                <w:rFonts w:hint="eastAsia"/>
              </w:rPr>
              <w:t>产品性能:</w:t>
            </w:r>
          </w:p>
        </w:tc>
      </w:tr>
      <w:tr w14:paraId="011E0431">
        <w:tblPrEx>
          <w:tblCellMar>
            <w:top w:w="0" w:type="dxa"/>
            <w:left w:w="0" w:type="dxa"/>
            <w:bottom w:w="0" w:type="dxa"/>
            <w:right w:w="0" w:type="dxa"/>
          </w:tblCellMar>
        </w:tblPrEx>
        <w:trPr>
          <w:wBefore w:w="0" w:type="auto"/>
          <w:tblCellSpacing w:w="0" w:type="dxa"/>
        </w:trPr>
        <w:tc>
          <w:tcPr>
            <w:tcW w:w="0" w:type="auto"/>
            <w:noWrap w:val="0"/>
            <w:vAlign w:val="center"/>
          </w:tcPr>
          <w:p w14:paraId="5AD698B6">
            <w:r>
              <w:rPr>
                <w:rStyle w:val="10"/>
                <w:rFonts w:hint="eastAsia"/>
              </w:rPr>
              <w:t>注意事项：</w:t>
            </w:r>
          </w:p>
        </w:tc>
      </w:tr>
      <w:tr w14:paraId="0A0CE05E">
        <w:tblPrEx>
          <w:tblCellMar>
            <w:top w:w="0" w:type="dxa"/>
            <w:left w:w="0" w:type="dxa"/>
            <w:bottom w:w="0" w:type="dxa"/>
            <w:right w:w="0" w:type="dxa"/>
          </w:tblCellMar>
        </w:tblPrEx>
        <w:trPr>
          <w:wBefore w:w="0" w:type="auto"/>
          <w:tblCellSpacing w:w="0" w:type="dxa"/>
        </w:trPr>
        <w:tc>
          <w:tcPr>
            <w:tcW w:w="0" w:type="auto"/>
            <w:noWrap w:val="0"/>
            <w:vAlign w:val="center"/>
          </w:tcPr>
          <w:p w14:paraId="4BF03B49">
            <w:r>
              <w:rPr>
                <w:rStyle w:val="10"/>
                <w:rFonts w:hint="eastAsia"/>
              </w:rPr>
              <w:t>中毒急救措施：</w:t>
            </w:r>
          </w:p>
        </w:tc>
      </w:tr>
      <w:tr w14:paraId="14E65279">
        <w:tblPrEx>
          <w:tblCellMar>
            <w:top w:w="0" w:type="dxa"/>
            <w:left w:w="0" w:type="dxa"/>
            <w:bottom w:w="0" w:type="dxa"/>
            <w:right w:w="0" w:type="dxa"/>
          </w:tblCellMar>
        </w:tblPrEx>
        <w:trPr>
          <w:wBefore w:w="0" w:type="auto"/>
          <w:tblCellSpacing w:w="0" w:type="dxa"/>
        </w:trPr>
        <w:tc>
          <w:tcPr>
            <w:tcW w:w="0" w:type="auto"/>
            <w:noWrap w:val="0"/>
            <w:vAlign w:val="center"/>
          </w:tcPr>
          <w:p w14:paraId="0B61C759">
            <w:r>
              <w:rPr>
                <w:rStyle w:val="10"/>
                <w:rFonts w:hint="eastAsia"/>
              </w:rPr>
              <w:t>储存和运输方法：</w:t>
            </w:r>
          </w:p>
        </w:tc>
      </w:tr>
      <w:tr w14:paraId="5A83B14C">
        <w:tblPrEx>
          <w:tblCellMar>
            <w:top w:w="0" w:type="dxa"/>
            <w:left w:w="0" w:type="dxa"/>
            <w:bottom w:w="0" w:type="dxa"/>
            <w:right w:w="0" w:type="dxa"/>
          </w:tblCellMar>
        </w:tblPrEx>
        <w:trPr>
          <w:wBefore w:w="0" w:type="auto"/>
          <w:tblCellSpacing w:w="0" w:type="dxa"/>
        </w:trPr>
        <w:tc>
          <w:tcPr>
            <w:tcW w:w="0" w:type="auto"/>
            <w:noWrap w:val="0"/>
            <w:vAlign w:val="center"/>
          </w:tcPr>
          <w:p w14:paraId="2E1AA181">
            <w:r>
              <w:rPr>
                <w:rStyle w:val="10"/>
                <w:rFonts w:hint="eastAsia"/>
              </w:rPr>
              <w:t>质量保证期：</w:t>
            </w:r>
          </w:p>
        </w:tc>
      </w:tr>
      <w:tr w14:paraId="401B36C9">
        <w:tblPrEx>
          <w:tblCellMar>
            <w:top w:w="0" w:type="dxa"/>
            <w:left w:w="0" w:type="dxa"/>
            <w:bottom w:w="0" w:type="dxa"/>
            <w:right w:w="0" w:type="dxa"/>
          </w:tblCellMar>
        </w:tblPrEx>
        <w:trPr>
          <w:wBefore w:w="0" w:type="auto"/>
          <w:tblCellSpacing w:w="0" w:type="dxa"/>
        </w:trPr>
        <w:tc>
          <w:tcPr>
            <w:tcW w:w="0" w:type="auto"/>
            <w:noWrap w:val="0"/>
            <w:vAlign w:val="center"/>
          </w:tcPr>
          <w:p w14:paraId="39C717B0">
            <w:r>
              <w:rPr>
                <w:rStyle w:val="10"/>
                <w:rFonts w:hint="eastAsia"/>
              </w:rPr>
              <w:t>备注：</w:t>
            </w:r>
          </w:p>
        </w:tc>
      </w:tr>
    </w:tbl>
    <w:p w14:paraId="0B98A2C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A71DB4">
        <w:tblPrEx>
          <w:tblCellMar>
            <w:top w:w="0" w:type="dxa"/>
            <w:left w:w="0" w:type="dxa"/>
            <w:bottom w:w="0" w:type="dxa"/>
            <w:right w:w="0" w:type="dxa"/>
          </w:tblCellMar>
        </w:tblPrEx>
        <w:trPr>
          <w:wBefore w:w="0" w:type="auto"/>
          <w:tblCellSpacing w:w="0" w:type="dxa"/>
        </w:trPr>
        <w:tc>
          <w:tcPr>
            <w:tcW w:w="0" w:type="auto"/>
            <w:noWrap w:val="0"/>
            <w:vAlign w:val="center"/>
          </w:tcPr>
          <w:p w14:paraId="16DB6258">
            <w:r>
              <w:rPr>
                <w:rStyle w:val="10"/>
                <w:rFonts w:hint="eastAsia"/>
              </w:rPr>
              <w:t>登记证号：</w:t>
            </w:r>
            <w:r>
              <w:rPr>
                <w:rFonts w:hint="eastAsia"/>
              </w:rPr>
              <w:t>PD20212548</w:t>
            </w:r>
          </w:p>
        </w:tc>
      </w:tr>
      <w:tr w14:paraId="2BF36911">
        <w:tblPrEx>
          <w:tblCellMar>
            <w:top w:w="0" w:type="dxa"/>
            <w:left w:w="0" w:type="dxa"/>
            <w:bottom w:w="0" w:type="dxa"/>
            <w:right w:w="0" w:type="dxa"/>
          </w:tblCellMar>
        </w:tblPrEx>
        <w:trPr>
          <w:wBefore w:w="0" w:type="auto"/>
          <w:tblCellSpacing w:w="0" w:type="dxa"/>
        </w:trPr>
        <w:tc>
          <w:tcPr>
            <w:tcW w:w="0" w:type="auto"/>
            <w:noWrap w:val="0"/>
            <w:vAlign w:val="center"/>
          </w:tcPr>
          <w:p w14:paraId="228F099D">
            <w:r>
              <w:rPr>
                <w:rStyle w:val="10"/>
                <w:rFonts w:hint="eastAsia"/>
              </w:rPr>
              <w:t>登记证持有人：</w:t>
            </w:r>
            <w:r>
              <w:rPr>
                <w:rFonts w:hint="eastAsia"/>
              </w:rPr>
              <w:t>山东奥坤作物科学股份有限公司</w:t>
            </w:r>
          </w:p>
        </w:tc>
      </w:tr>
      <w:tr w14:paraId="55082981">
        <w:tblPrEx>
          <w:tblCellMar>
            <w:top w:w="0" w:type="dxa"/>
            <w:left w:w="0" w:type="dxa"/>
            <w:bottom w:w="0" w:type="dxa"/>
            <w:right w:w="0" w:type="dxa"/>
          </w:tblCellMar>
        </w:tblPrEx>
        <w:trPr>
          <w:wBefore w:w="0" w:type="auto"/>
          <w:tblCellSpacing w:w="0" w:type="dxa"/>
        </w:trPr>
        <w:tc>
          <w:tcPr>
            <w:tcW w:w="0" w:type="auto"/>
            <w:noWrap w:val="0"/>
            <w:vAlign w:val="center"/>
          </w:tcPr>
          <w:p w14:paraId="22E6260C">
            <w:r>
              <w:rPr>
                <w:rStyle w:val="10"/>
                <w:rFonts w:hint="eastAsia"/>
              </w:rPr>
              <w:t>农药名称：</w:t>
            </w:r>
            <w:r>
              <w:rPr>
                <w:rFonts w:hint="eastAsia"/>
              </w:rPr>
              <w:t>精喹·嗪草酮</w:t>
            </w:r>
          </w:p>
        </w:tc>
      </w:tr>
      <w:tr w14:paraId="441ACD50">
        <w:tblPrEx>
          <w:tblCellMar>
            <w:top w:w="0" w:type="dxa"/>
            <w:left w:w="0" w:type="dxa"/>
            <w:bottom w:w="0" w:type="dxa"/>
            <w:right w:w="0" w:type="dxa"/>
          </w:tblCellMar>
        </w:tblPrEx>
        <w:trPr>
          <w:wBefore w:w="0" w:type="auto"/>
          <w:tblCellSpacing w:w="0" w:type="dxa"/>
        </w:trPr>
        <w:tc>
          <w:tcPr>
            <w:tcW w:w="0" w:type="auto"/>
            <w:noWrap w:val="0"/>
            <w:vAlign w:val="center"/>
          </w:tcPr>
          <w:p w14:paraId="4DE47E8C">
            <w:r>
              <w:rPr>
                <w:rStyle w:val="10"/>
                <w:rFonts w:hint="eastAsia"/>
              </w:rPr>
              <w:t>剂型：</w:t>
            </w:r>
            <w:r>
              <w:rPr>
                <w:rFonts w:hint="eastAsia"/>
              </w:rPr>
              <w:t>乳油</w:t>
            </w:r>
          </w:p>
        </w:tc>
      </w:tr>
      <w:tr w14:paraId="2FEBA2D3">
        <w:tblPrEx>
          <w:tblCellMar>
            <w:top w:w="0" w:type="dxa"/>
            <w:left w:w="0" w:type="dxa"/>
            <w:bottom w:w="0" w:type="dxa"/>
            <w:right w:w="0" w:type="dxa"/>
          </w:tblCellMar>
        </w:tblPrEx>
        <w:trPr>
          <w:wBefore w:w="0" w:type="auto"/>
          <w:tblCellSpacing w:w="0" w:type="dxa"/>
        </w:trPr>
        <w:tc>
          <w:tcPr>
            <w:tcW w:w="0" w:type="auto"/>
            <w:noWrap w:val="0"/>
            <w:vAlign w:val="center"/>
          </w:tcPr>
          <w:p w14:paraId="00F97F3B">
            <w:r>
              <w:rPr>
                <w:rStyle w:val="10"/>
                <w:rFonts w:hint="eastAsia"/>
              </w:rPr>
              <w:t>毒性及其标识：</w:t>
            </w:r>
            <w:r>
              <w:rPr>
                <w:rFonts w:hint="eastAsia"/>
              </w:rPr>
              <w:t xml:space="preserve"> </w:t>
            </w:r>
            <w:r>
              <w:rPr>
                <w:lang/>
              </w:rPr>
              <w:drawing>
                <wp:inline distT="0" distB="0" distL="114300" distR="114300">
                  <wp:extent cx="476250" cy="323850"/>
                  <wp:effectExtent l="0" t="0" r="0" b="0"/>
                  <wp:docPr id="371" name="图片 3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8F4CFC">
        <w:tblPrEx>
          <w:tblCellMar>
            <w:top w:w="0" w:type="dxa"/>
            <w:left w:w="0" w:type="dxa"/>
            <w:bottom w:w="0" w:type="dxa"/>
            <w:right w:w="0" w:type="dxa"/>
          </w:tblCellMar>
        </w:tblPrEx>
        <w:trPr>
          <w:wBefore w:w="0" w:type="auto"/>
          <w:tblCellSpacing w:w="0" w:type="dxa"/>
        </w:trPr>
        <w:tc>
          <w:tcPr>
            <w:tcW w:w="0" w:type="auto"/>
            <w:noWrap w:val="0"/>
            <w:vAlign w:val="center"/>
          </w:tcPr>
          <w:p w14:paraId="2163488D">
            <w:r>
              <w:rPr>
                <w:rStyle w:val="10"/>
                <w:rFonts w:hint="eastAsia"/>
              </w:rPr>
              <w:t>总有效成分含量：</w:t>
            </w:r>
            <w:r>
              <w:rPr>
                <w:rFonts w:hint="eastAsia"/>
              </w:rPr>
              <w:t>31%</w:t>
            </w:r>
          </w:p>
        </w:tc>
      </w:tr>
      <w:tr w14:paraId="658EB0E5">
        <w:tblPrEx>
          <w:tblCellMar>
            <w:top w:w="0" w:type="dxa"/>
            <w:left w:w="0" w:type="dxa"/>
            <w:bottom w:w="0" w:type="dxa"/>
            <w:right w:w="0" w:type="dxa"/>
          </w:tblCellMar>
        </w:tblPrEx>
        <w:trPr>
          <w:wBefore w:w="0" w:type="auto"/>
          <w:tblCellSpacing w:w="0" w:type="dxa"/>
        </w:trPr>
        <w:tc>
          <w:tcPr>
            <w:tcW w:w="0" w:type="auto"/>
            <w:noWrap w:val="0"/>
            <w:vAlign w:val="center"/>
          </w:tcPr>
          <w:p w14:paraId="30787736">
            <w:r>
              <w:rPr>
                <w:rFonts w:hint="eastAsia"/>
              </w:rPr>
              <w:t xml:space="preserve">有效成分及其含量： </w:t>
            </w:r>
          </w:p>
          <w:p w14:paraId="5B83C4B1">
            <w:r>
              <w:rPr>
                <w:rFonts w:hint="eastAsia"/>
              </w:rPr>
              <w:t xml:space="preserve">    精喹禾灵5%    嗪草酮26%    </w:t>
            </w:r>
          </w:p>
        </w:tc>
      </w:tr>
      <w:tr w14:paraId="2534B4C3">
        <w:tblPrEx>
          <w:tblCellMar>
            <w:top w:w="0" w:type="dxa"/>
            <w:left w:w="0" w:type="dxa"/>
            <w:bottom w:w="0" w:type="dxa"/>
            <w:right w:w="0" w:type="dxa"/>
          </w:tblCellMar>
        </w:tblPrEx>
        <w:trPr>
          <w:wBefore w:w="0" w:type="auto"/>
          <w:tblCellSpacing w:w="0" w:type="dxa"/>
        </w:trPr>
        <w:tc>
          <w:tcPr>
            <w:tcW w:w="0" w:type="auto"/>
            <w:noWrap w:val="0"/>
            <w:vAlign w:val="center"/>
          </w:tcPr>
          <w:p w14:paraId="766AF57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AB49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F81D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5F133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E826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33A93D">
                  <w:r>
                    <w:rPr>
                      <w:rStyle w:val="11"/>
                      <w:rFonts w:hint="eastAsia"/>
                    </w:rPr>
                    <w:t>施用方式</w:t>
                  </w:r>
                </w:p>
              </w:tc>
            </w:tr>
            <w:tr w14:paraId="0A8C8A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3CF771">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E2300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1033A5">
                  <w:r>
                    <w:rPr>
                      <w:rStyle w:val="11"/>
                      <w:rFonts w:hint="eastAsia"/>
                    </w:rPr>
                    <w:t>45-65毫升/亩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16BAA6">
                  <w:r>
                    <w:rPr>
                      <w:rStyle w:val="11"/>
                      <w:rFonts w:hint="eastAsia"/>
                    </w:rPr>
                    <w:t>茎叶喷雾</w:t>
                  </w:r>
                </w:p>
              </w:tc>
            </w:tr>
          </w:tbl>
          <w:p w14:paraId="4A9A9B55">
            <w:pPr>
              <w:rPr>
                <w:rFonts w:ascii="Times New Roman" w:hAnsi="Times New Roman" w:cs="Times New Roman"/>
                <w:sz w:val="20"/>
                <w:szCs w:val="20"/>
              </w:rPr>
            </w:pPr>
          </w:p>
        </w:tc>
      </w:tr>
      <w:tr w14:paraId="637078E4">
        <w:tblPrEx>
          <w:tblCellMar>
            <w:top w:w="0" w:type="dxa"/>
            <w:left w:w="0" w:type="dxa"/>
            <w:bottom w:w="0" w:type="dxa"/>
            <w:right w:w="0" w:type="dxa"/>
          </w:tblCellMar>
        </w:tblPrEx>
        <w:trPr>
          <w:wBefore w:w="0" w:type="auto"/>
          <w:tblCellSpacing w:w="0" w:type="dxa"/>
        </w:trPr>
        <w:tc>
          <w:tcPr>
            <w:tcW w:w="0" w:type="auto"/>
            <w:noWrap w:val="0"/>
            <w:vAlign w:val="center"/>
          </w:tcPr>
          <w:p w14:paraId="5F7F23AF">
            <w:r>
              <w:rPr>
                <w:rStyle w:val="10"/>
                <w:rFonts w:hint="eastAsia"/>
              </w:rPr>
              <w:t>使用技术要求:</w:t>
            </w:r>
            <w:r>
              <w:rPr>
                <w:rFonts w:hint="eastAsia"/>
              </w:rPr>
              <w:br w:type="textWrapping"/>
            </w:r>
            <w:r>
              <w:rPr>
                <w:rStyle w:val="11"/>
                <w:rFonts w:hint="eastAsia"/>
              </w:rPr>
              <w:t>1、马铃薯苗后，3-5叶苗高10厘米前，杂草2-4叶期，均匀茎叶喷雾。每季作物最多使用1次2、喷药时防止药液飘移临近小麦、玉米等禾本科作物田。3、严禁马铃薯苗高10厘米后施药。4、大风天或预计1小时内有降雨，禁用。5、合理安排后茬作物，保证安全间隔。</w:t>
            </w:r>
          </w:p>
        </w:tc>
      </w:tr>
      <w:tr w14:paraId="2B7FE01A">
        <w:tblPrEx>
          <w:tblCellMar>
            <w:top w:w="0" w:type="dxa"/>
            <w:left w:w="0" w:type="dxa"/>
            <w:bottom w:w="0" w:type="dxa"/>
            <w:right w:w="0" w:type="dxa"/>
          </w:tblCellMar>
        </w:tblPrEx>
        <w:trPr>
          <w:wBefore w:w="0" w:type="auto"/>
          <w:tblCellSpacing w:w="0" w:type="dxa"/>
        </w:trPr>
        <w:tc>
          <w:tcPr>
            <w:tcW w:w="0" w:type="auto"/>
            <w:noWrap w:val="0"/>
            <w:vAlign w:val="center"/>
          </w:tcPr>
          <w:p w14:paraId="24406EF4">
            <w:r>
              <w:rPr>
                <w:rStyle w:val="10"/>
                <w:rFonts w:hint="eastAsia"/>
              </w:rPr>
              <w:t>产品性能:</w:t>
            </w:r>
            <w:r>
              <w:rPr>
                <w:rFonts w:hint="eastAsia"/>
              </w:rPr>
              <w:br w:type="textWrapping"/>
            </w:r>
            <w:r>
              <w:rPr>
                <w:rStyle w:val="11"/>
                <w:rFonts w:hint="eastAsia"/>
              </w:rPr>
              <w:t>本品为有机杂环类与苯氧羧酸类混配除草剂。一次性施药可同时防治阔叶与禾本科杂草。是马铃薯苗后除草首选药剂。</w:t>
            </w:r>
          </w:p>
        </w:tc>
      </w:tr>
      <w:tr w14:paraId="7C27144A">
        <w:tblPrEx>
          <w:tblCellMar>
            <w:top w:w="0" w:type="dxa"/>
            <w:left w:w="0" w:type="dxa"/>
            <w:bottom w:w="0" w:type="dxa"/>
            <w:right w:w="0" w:type="dxa"/>
          </w:tblCellMar>
        </w:tblPrEx>
        <w:trPr>
          <w:wBefore w:w="0" w:type="auto"/>
          <w:tblCellSpacing w:w="0" w:type="dxa"/>
        </w:trPr>
        <w:tc>
          <w:tcPr>
            <w:tcW w:w="0" w:type="auto"/>
            <w:noWrap w:val="0"/>
            <w:vAlign w:val="center"/>
          </w:tcPr>
          <w:p w14:paraId="7473811E">
            <w:r>
              <w:rPr>
                <w:rStyle w:val="10"/>
                <w:rFonts w:hint="eastAsia"/>
              </w:rPr>
              <w:t>注意事项：</w:t>
            </w:r>
            <w:r>
              <w:rPr>
                <w:rFonts w:hint="eastAsia"/>
              </w:rPr>
              <w:br w:type="textWrapping"/>
            </w:r>
            <w:r>
              <w:rPr>
                <w:rStyle w:val="11"/>
                <w:rFonts w:hint="eastAsia"/>
              </w:rPr>
              <w:t>1、有机质含量低砂质土，不宜使用本品。2、本品不可与其他呈碱性的农药等物质混合使用。3、孕妇和哺乳期的妇女禁止接触药物。4、使用本品时应佩戴口罩，穿防护衣帽、防护鞋，避免直接接触眼睛与皮肤，此间不能饮水、抽烟等；施药后用肥皂水洗脸、洗手等，并很好地清洗施药器械。5、对鱼类等水生生物有毒，水产养殖区、河塘等水体附近禁用，禁止在河塘等水体中清洗施药器具，避免药液进入地表水体；赤眼蜂等天敌放飞区域禁用。用过的容器应妥善处理，不可做他用，也不可随意丢弃。6、水稻、小麦、玉米、甘蔗等禾本科作物对本品敏感。施药时避免药液飘到其他作物上。</w:t>
            </w:r>
          </w:p>
        </w:tc>
      </w:tr>
      <w:tr w14:paraId="599ED7B4">
        <w:tblPrEx>
          <w:tblCellMar>
            <w:top w:w="0" w:type="dxa"/>
            <w:left w:w="0" w:type="dxa"/>
            <w:bottom w:w="0" w:type="dxa"/>
            <w:right w:w="0" w:type="dxa"/>
          </w:tblCellMar>
        </w:tblPrEx>
        <w:trPr>
          <w:wBefore w:w="0" w:type="auto"/>
          <w:tblCellSpacing w:w="0" w:type="dxa"/>
        </w:trPr>
        <w:tc>
          <w:tcPr>
            <w:tcW w:w="0" w:type="auto"/>
            <w:noWrap w:val="0"/>
            <w:vAlign w:val="center"/>
          </w:tcPr>
          <w:p w14:paraId="1FCE9C66">
            <w:r>
              <w:rPr>
                <w:rStyle w:val="10"/>
                <w:rFonts w:hint="eastAsia"/>
              </w:rPr>
              <w:t>中毒急救措施：</w:t>
            </w:r>
            <w:r>
              <w:rPr>
                <w:rFonts w:hint="eastAsia"/>
              </w:rPr>
              <w:br w:type="textWrapping"/>
            </w:r>
            <w:r>
              <w:rPr>
                <w:rStyle w:val="11"/>
                <w:rFonts w:hint="eastAsia"/>
              </w:rPr>
              <w:t>对眼睛有刺激性，进入眼睛，立即用大量水清洗眼睛15分钟，仍有不适时，就医。接触皮肤，用水和肥皂彻底清洗。如吸入肺中，应立即到通风处。如误食，请勿引吐，立即携带标签，送医就诊。紧急医疗措施：使用医用活性炭洗胃，注意防止胃容物进入呼吸道。对症治疗，无特效解毒剂。</w:t>
            </w:r>
          </w:p>
        </w:tc>
      </w:tr>
      <w:tr w14:paraId="0816D5FC">
        <w:tblPrEx>
          <w:tblCellMar>
            <w:top w:w="0" w:type="dxa"/>
            <w:left w:w="0" w:type="dxa"/>
            <w:bottom w:w="0" w:type="dxa"/>
            <w:right w:w="0" w:type="dxa"/>
          </w:tblCellMar>
        </w:tblPrEx>
        <w:trPr>
          <w:wBefore w:w="0" w:type="auto"/>
          <w:tblCellSpacing w:w="0" w:type="dxa"/>
        </w:trPr>
        <w:tc>
          <w:tcPr>
            <w:tcW w:w="0" w:type="auto"/>
            <w:noWrap w:val="0"/>
            <w:vAlign w:val="center"/>
          </w:tcPr>
          <w:p w14:paraId="15183704">
            <w:r>
              <w:rPr>
                <w:rStyle w:val="10"/>
                <w:rFonts w:hint="eastAsia"/>
              </w:rPr>
              <w:t>储存和运输方法：</w:t>
            </w:r>
            <w:r>
              <w:rPr>
                <w:rFonts w:hint="eastAsia"/>
              </w:rPr>
              <w:br w:type="textWrapping"/>
            </w:r>
            <w:r>
              <w:rPr>
                <w:rStyle w:val="11"/>
                <w:rFonts w:hint="eastAsia"/>
              </w:rPr>
              <w:t>本品易燃，应贮存在干燥、阴凉、通风、防雨处，远离火源或热源。置于儿童触及不到之处，并加锁。勿与食品、饮料、粮食、饲料等其他商品同贮同运。</w:t>
            </w:r>
          </w:p>
        </w:tc>
      </w:tr>
      <w:tr w14:paraId="0B5D10F7">
        <w:tblPrEx>
          <w:tblCellMar>
            <w:top w:w="0" w:type="dxa"/>
            <w:left w:w="0" w:type="dxa"/>
            <w:bottom w:w="0" w:type="dxa"/>
            <w:right w:w="0" w:type="dxa"/>
          </w:tblCellMar>
        </w:tblPrEx>
        <w:trPr>
          <w:wBefore w:w="0" w:type="auto"/>
          <w:tblCellSpacing w:w="0" w:type="dxa"/>
        </w:trPr>
        <w:tc>
          <w:tcPr>
            <w:tcW w:w="0" w:type="auto"/>
            <w:noWrap w:val="0"/>
            <w:vAlign w:val="center"/>
          </w:tcPr>
          <w:p w14:paraId="74974D4F">
            <w:r>
              <w:rPr>
                <w:rStyle w:val="10"/>
                <w:rFonts w:hint="eastAsia"/>
              </w:rPr>
              <w:t>质量保证期：</w:t>
            </w:r>
            <w:r>
              <w:rPr>
                <w:rStyle w:val="11"/>
                <w:rFonts w:hint="eastAsia"/>
              </w:rPr>
              <w:t>2年</w:t>
            </w:r>
          </w:p>
        </w:tc>
      </w:tr>
      <w:tr w14:paraId="630712FA">
        <w:tblPrEx>
          <w:tblCellMar>
            <w:top w:w="0" w:type="dxa"/>
            <w:left w:w="0" w:type="dxa"/>
            <w:bottom w:w="0" w:type="dxa"/>
            <w:right w:w="0" w:type="dxa"/>
          </w:tblCellMar>
        </w:tblPrEx>
        <w:trPr>
          <w:wBefore w:w="0" w:type="auto"/>
          <w:tblCellSpacing w:w="0" w:type="dxa"/>
        </w:trPr>
        <w:tc>
          <w:tcPr>
            <w:tcW w:w="0" w:type="auto"/>
            <w:noWrap w:val="0"/>
            <w:vAlign w:val="center"/>
          </w:tcPr>
          <w:p w14:paraId="337B3320">
            <w:r>
              <w:rPr>
                <w:rStyle w:val="10"/>
                <w:rFonts w:hint="eastAsia"/>
              </w:rPr>
              <w:t>备注：</w:t>
            </w:r>
          </w:p>
        </w:tc>
      </w:tr>
    </w:tbl>
    <w:p w14:paraId="5D9478A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FE5E1E">
        <w:tblPrEx>
          <w:tblCellMar>
            <w:top w:w="0" w:type="dxa"/>
            <w:left w:w="0" w:type="dxa"/>
            <w:bottom w:w="0" w:type="dxa"/>
            <w:right w:w="0" w:type="dxa"/>
          </w:tblCellMar>
        </w:tblPrEx>
        <w:trPr>
          <w:wBefore w:w="0" w:type="auto"/>
          <w:tblCellSpacing w:w="0" w:type="dxa"/>
        </w:trPr>
        <w:tc>
          <w:tcPr>
            <w:tcW w:w="0" w:type="auto"/>
            <w:noWrap w:val="0"/>
            <w:vAlign w:val="center"/>
          </w:tcPr>
          <w:p w14:paraId="7C6FE0E9">
            <w:r>
              <w:rPr>
                <w:rStyle w:val="10"/>
                <w:rFonts w:hint="eastAsia"/>
              </w:rPr>
              <w:t>登记证号：</w:t>
            </w:r>
            <w:r>
              <w:rPr>
                <w:rFonts w:hint="eastAsia"/>
              </w:rPr>
              <w:t>PD20212357</w:t>
            </w:r>
          </w:p>
        </w:tc>
      </w:tr>
      <w:tr w14:paraId="41850E6A">
        <w:tblPrEx>
          <w:tblCellMar>
            <w:top w:w="0" w:type="dxa"/>
            <w:left w:w="0" w:type="dxa"/>
            <w:bottom w:w="0" w:type="dxa"/>
            <w:right w:w="0" w:type="dxa"/>
          </w:tblCellMar>
        </w:tblPrEx>
        <w:trPr>
          <w:wBefore w:w="0" w:type="auto"/>
          <w:tblCellSpacing w:w="0" w:type="dxa"/>
        </w:trPr>
        <w:tc>
          <w:tcPr>
            <w:tcW w:w="0" w:type="auto"/>
            <w:noWrap w:val="0"/>
            <w:vAlign w:val="center"/>
          </w:tcPr>
          <w:p w14:paraId="3BCF6ADF">
            <w:r>
              <w:rPr>
                <w:rStyle w:val="10"/>
                <w:rFonts w:hint="eastAsia"/>
              </w:rPr>
              <w:t>登记证持有人：</w:t>
            </w:r>
            <w:r>
              <w:rPr>
                <w:rFonts w:hint="eastAsia"/>
              </w:rPr>
              <w:t>安徽美兰农业发展股份有限公司</w:t>
            </w:r>
          </w:p>
        </w:tc>
      </w:tr>
      <w:tr w14:paraId="7D2A1ADB">
        <w:tblPrEx>
          <w:tblCellMar>
            <w:top w:w="0" w:type="dxa"/>
            <w:left w:w="0" w:type="dxa"/>
            <w:bottom w:w="0" w:type="dxa"/>
            <w:right w:w="0" w:type="dxa"/>
          </w:tblCellMar>
        </w:tblPrEx>
        <w:trPr>
          <w:wBefore w:w="0" w:type="auto"/>
          <w:tblCellSpacing w:w="0" w:type="dxa"/>
        </w:trPr>
        <w:tc>
          <w:tcPr>
            <w:tcW w:w="0" w:type="auto"/>
            <w:noWrap w:val="0"/>
            <w:vAlign w:val="center"/>
          </w:tcPr>
          <w:p w14:paraId="5EE56B04">
            <w:r>
              <w:rPr>
                <w:rStyle w:val="10"/>
                <w:rFonts w:hint="eastAsia"/>
              </w:rPr>
              <w:t>农药名称：</w:t>
            </w:r>
            <w:r>
              <w:rPr>
                <w:rFonts w:hint="eastAsia"/>
              </w:rPr>
              <w:t>氯虫苯·杀虫单</w:t>
            </w:r>
          </w:p>
        </w:tc>
      </w:tr>
      <w:tr w14:paraId="099E803A">
        <w:tblPrEx>
          <w:tblCellMar>
            <w:top w:w="0" w:type="dxa"/>
            <w:left w:w="0" w:type="dxa"/>
            <w:bottom w:w="0" w:type="dxa"/>
            <w:right w:w="0" w:type="dxa"/>
          </w:tblCellMar>
        </w:tblPrEx>
        <w:trPr>
          <w:wBefore w:w="0" w:type="auto"/>
          <w:tblCellSpacing w:w="0" w:type="dxa"/>
        </w:trPr>
        <w:tc>
          <w:tcPr>
            <w:tcW w:w="0" w:type="auto"/>
            <w:noWrap w:val="0"/>
            <w:vAlign w:val="center"/>
          </w:tcPr>
          <w:p w14:paraId="6157F59F">
            <w:r>
              <w:rPr>
                <w:rStyle w:val="10"/>
                <w:rFonts w:hint="eastAsia"/>
              </w:rPr>
              <w:t>剂型：</w:t>
            </w:r>
            <w:r>
              <w:rPr>
                <w:rFonts w:hint="eastAsia"/>
              </w:rPr>
              <w:t>水分散粒剂</w:t>
            </w:r>
          </w:p>
        </w:tc>
      </w:tr>
      <w:tr w14:paraId="20AE3223">
        <w:tblPrEx>
          <w:tblCellMar>
            <w:top w:w="0" w:type="dxa"/>
            <w:left w:w="0" w:type="dxa"/>
            <w:bottom w:w="0" w:type="dxa"/>
            <w:right w:w="0" w:type="dxa"/>
          </w:tblCellMar>
        </w:tblPrEx>
        <w:trPr>
          <w:wBefore w:w="0" w:type="auto"/>
          <w:tblCellSpacing w:w="0" w:type="dxa"/>
        </w:trPr>
        <w:tc>
          <w:tcPr>
            <w:tcW w:w="0" w:type="auto"/>
            <w:noWrap w:val="0"/>
            <w:vAlign w:val="center"/>
          </w:tcPr>
          <w:p w14:paraId="0B5F2FBA">
            <w:r>
              <w:rPr>
                <w:rStyle w:val="10"/>
                <w:rFonts w:hint="eastAsia"/>
              </w:rPr>
              <w:t>毒性及其标识：</w:t>
            </w:r>
            <w:r>
              <w:rPr>
                <w:rFonts w:hint="eastAsia"/>
              </w:rPr>
              <w:t xml:space="preserve"> </w:t>
            </w:r>
            <w:r>
              <w:rPr>
                <w:lang/>
              </w:rPr>
              <w:drawing>
                <wp:inline distT="0" distB="0" distL="114300" distR="114300">
                  <wp:extent cx="476250" cy="323850"/>
                  <wp:effectExtent l="0" t="0" r="0" b="0"/>
                  <wp:docPr id="372" name="图片 37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61FAF038">
        <w:tblPrEx>
          <w:tblCellMar>
            <w:top w:w="0" w:type="dxa"/>
            <w:left w:w="0" w:type="dxa"/>
            <w:bottom w:w="0" w:type="dxa"/>
            <w:right w:w="0" w:type="dxa"/>
          </w:tblCellMar>
        </w:tblPrEx>
        <w:trPr>
          <w:wBefore w:w="0" w:type="auto"/>
          <w:tblCellSpacing w:w="0" w:type="dxa"/>
        </w:trPr>
        <w:tc>
          <w:tcPr>
            <w:tcW w:w="0" w:type="auto"/>
            <w:noWrap w:val="0"/>
            <w:vAlign w:val="center"/>
          </w:tcPr>
          <w:p w14:paraId="0E931EC0">
            <w:r>
              <w:rPr>
                <w:rStyle w:val="10"/>
                <w:rFonts w:hint="eastAsia"/>
              </w:rPr>
              <w:t>总有效成分含量：</w:t>
            </w:r>
            <w:r>
              <w:rPr>
                <w:rFonts w:hint="eastAsia"/>
              </w:rPr>
              <w:t>85%</w:t>
            </w:r>
          </w:p>
        </w:tc>
      </w:tr>
      <w:tr w14:paraId="140136F4">
        <w:tblPrEx>
          <w:tblCellMar>
            <w:top w:w="0" w:type="dxa"/>
            <w:left w:w="0" w:type="dxa"/>
            <w:bottom w:w="0" w:type="dxa"/>
            <w:right w:w="0" w:type="dxa"/>
          </w:tblCellMar>
        </w:tblPrEx>
        <w:trPr>
          <w:wBefore w:w="0" w:type="auto"/>
          <w:tblCellSpacing w:w="0" w:type="dxa"/>
        </w:trPr>
        <w:tc>
          <w:tcPr>
            <w:tcW w:w="0" w:type="auto"/>
            <w:noWrap w:val="0"/>
            <w:vAlign w:val="center"/>
          </w:tcPr>
          <w:p w14:paraId="45089BA4">
            <w:r>
              <w:rPr>
                <w:rFonts w:hint="eastAsia"/>
              </w:rPr>
              <w:t xml:space="preserve">有效成分及其含量： </w:t>
            </w:r>
          </w:p>
          <w:p w14:paraId="2F6FD30E">
            <w:r>
              <w:rPr>
                <w:rFonts w:hint="eastAsia"/>
              </w:rPr>
              <w:t xml:space="preserve">    氯虫苯甲酰胺5%    杀虫单80%    </w:t>
            </w:r>
          </w:p>
        </w:tc>
      </w:tr>
      <w:tr w14:paraId="3AD5F374">
        <w:tblPrEx>
          <w:tblCellMar>
            <w:top w:w="0" w:type="dxa"/>
            <w:left w:w="0" w:type="dxa"/>
            <w:bottom w:w="0" w:type="dxa"/>
            <w:right w:w="0" w:type="dxa"/>
          </w:tblCellMar>
        </w:tblPrEx>
        <w:trPr>
          <w:wBefore w:w="0" w:type="auto"/>
          <w:tblCellSpacing w:w="0" w:type="dxa"/>
        </w:trPr>
        <w:tc>
          <w:tcPr>
            <w:tcW w:w="0" w:type="auto"/>
            <w:noWrap w:val="0"/>
            <w:vAlign w:val="center"/>
          </w:tcPr>
          <w:p w14:paraId="3F512B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8E3A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98FF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C191A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D06F1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F36857">
                  <w:r>
                    <w:rPr>
                      <w:rStyle w:val="11"/>
                      <w:rFonts w:hint="eastAsia"/>
                    </w:rPr>
                    <w:t>施用方式</w:t>
                  </w:r>
                </w:p>
              </w:tc>
            </w:tr>
            <w:tr w14:paraId="0A2287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08FE0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D35683">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E4A4CD">
                  <w:r>
                    <w:rPr>
                      <w:rStyle w:val="11"/>
                      <w:rFonts w:hint="eastAsia"/>
                    </w:rPr>
                    <w:t>30-40克/亩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AD6CCA">
                  <w:r>
                    <w:rPr>
                      <w:rStyle w:val="11"/>
                      <w:rFonts w:hint="eastAsia"/>
                    </w:rPr>
                    <w:t>喷雾</w:t>
                  </w:r>
                </w:p>
              </w:tc>
            </w:tr>
          </w:tbl>
          <w:p w14:paraId="0CE4FED0">
            <w:pPr>
              <w:rPr>
                <w:rFonts w:ascii="Times New Roman" w:hAnsi="Times New Roman" w:cs="Times New Roman"/>
                <w:sz w:val="20"/>
                <w:szCs w:val="20"/>
              </w:rPr>
            </w:pPr>
          </w:p>
        </w:tc>
      </w:tr>
      <w:tr w14:paraId="0729AE0B">
        <w:tblPrEx>
          <w:tblCellMar>
            <w:top w:w="0" w:type="dxa"/>
            <w:left w:w="0" w:type="dxa"/>
            <w:bottom w:w="0" w:type="dxa"/>
            <w:right w:w="0" w:type="dxa"/>
          </w:tblCellMar>
        </w:tblPrEx>
        <w:trPr>
          <w:wBefore w:w="0" w:type="auto"/>
          <w:tblCellSpacing w:w="0" w:type="dxa"/>
        </w:trPr>
        <w:tc>
          <w:tcPr>
            <w:tcW w:w="0" w:type="auto"/>
            <w:noWrap w:val="0"/>
            <w:vAlign w:val="center"/>
          </w:tcPr>
          <w:p w14:paraId="56497295">
            <w:r>
              <w:rPr>
                <w:rStyle w:val="10"/>
                <w:rFonts w:hint="eastAsia"/>
              </w:rPr>
              <w:t>使用技术要求:</w:t>
            </w:r>
            <w:r>
              <w:rPr>
                <w:rFonts w:hint="eastAsia"/>
              </w:rPr>
              <w:br w:type="textWrapping"/>
            </w:r>
            <w:r>
              <w:rPr>
                <w:rStyle w:val="11"/>
                <w:rFonts w:hint="eastAsia"/>
              </w:rPr>
              <w:t>1.在稻纵卷叶螟卵孵化高峰至2龄幼虫期叶面喷雾，使用时茎叶喷雾均匀周到。2.大风天或预计1小时内有雨，请勿施药。3.本品在水稻上的安全间隔期为21天，每季最多使用1次。</w:t>
            </w:r>
          </w:p>
        </w:tc>
      </w:tr>
      <w:tr w14:paraId="65EA4298">
        <w:tblPrEx>
          <w:tblCellMar>
            <w:top w:w="0" w:type="dxa"/>
            <w:left w:w="0" w:type="dxa"/>
            <w:bottom w:w="0" w:type="dxa"/>
            <w:right w:w="0" w:type="dxa"/>
          </w:tblCellMar>
        </w:tblPrEx>
        <w:trPr>
          <w:wBefore w:w="0" w:type="auto"/>
          <w:tblCellSpacing w:w="0" w:type="dxa"/>
        </w:trPr>
        <w:tc>
          <w:tcPr>
            <w:tcW w:w="0" w:type="auto"/>
            <w:noWrap w:val="0"/>
            <w:vAlign w:val="center"/>
          </w:tcPr>
          <w:p w14:paraId="1E9D6C19">
            <w:r>
              <w:rPr>
                <w:rStyle w:val="10"/>
                <w:rFonts w:hint="eastAsia"/>
              </w:rPr>
              <w:t>产品性能:</w:t>
            </w:r>
            <w:r>
              <w:rPr>
                <w:rFonts w:hint="eastAsia"/>
              </w:rPr>
              <w:br w:type="textWrapping"/>
            </w:r>
            <w:r>
              <w:rPr>
                <w:rStyle w:val="11"/>
                <w:rFonts w:hint="eastAsia"/>
              </w:rPr>
              <w:t>本品由氯虫苯甲酰胺和杀虫单复配而成，氯虫苯甲酰胺杀虫剂主要通过与害虫肌肉细胞的鱼尼丁受体结合，导致受体通道非正常时间开放，使害虫钙离子从钙库中无限制地释放到细胞质中，致使害虫瘫痪死亡。杀虫单是一种人工合成的沙蚕毒素的类似物，进入昆虫体内迅速转化为沙蚕素或二氢沙蚕毒素，具有较强的触杀、胃毒和内吸传导作用。两者复配对水稻稻纵卷叶螟有良好的防治效果。</w:t>
            </w:r>
          </w:p>
        </w:tc>
      </w:tr>
      <w:tr w14:paraId="521EEC73">
        <w:tblPrEx>
          <w:tblCellMar>
            <w:top w:w="0" w:type="dxa"/>
            <w:left w:w="0" w:type="dxa"/>
            <w:bottom w:w="0" w:type="dxa"/>
            <w:right w:w="0" w:type="dxa"/>
          </w:tblCellMar>
        </w:tblPrEx>
        <w:trPr>
          <w:wBefore w:w="0" w:type="auto"/>
          <w:tblCellSpacing w:w="0" w:type="dxa"/>
        </w:trPr>
        <w:tc>
          <w:tcPr>
            <w:tcW w:w="0" w:type="auto"/>
            <w:noWrap w:val="0"/>
            <w:vAlign w:val="center"/>
          </w:tcPr>
          <w:p w14:paraId="2F7F56D2">
            <w:r>
              <w:rPr>
                <w:rStyle w:val="10"/>
                <w:rFonts w:hint="eastAsia"/>
              </w:rPr>
              <w:t>注意事项：</w:t>
            </w:r>
            <w:r>
              <w:rPr>
                <w:rFonts w:hint="eastAsia"/>
              </w:rPr>
              <w:br w:type="textWrapping"/>
            </w:r>
            <w:r>
              <w:rPr>
                <w:rStyle w:val="11"/>
                <w:rFonts w:hint="eastAsia"/>
              </w:rPr>
              <w:t>1.远离水产养殖区、河塘等水体施药；禁止在河塘等水体中清洗施药器具。 2.鱼或虾蟹套养稻田禁用，施药后的田水不得直接排入水体。周围开花植物花期禁用，使用时应密切关注对附近蜂群的影响。蚕室及桑园附近禁用；赤眼蜂等天敌放飞区域禁用。鸟类保护区附近禁用，施药后立即覆土。3.本品不可与强酸、强碱性物质混用。4.用过的容器应妥善处理，不可做他用，也不可随意丢弃。5.使用本品时采取相应的安全防护措施，穿防护服、戴手套等。施药期间不可吃东西和饮水，施药后应及时洗手和洗脸。6.建议与作用机理不同的杀虫剂轮换使用，以延缓抗药性产生。7.孕妇或哺乳期妇女禁止接触。</w:t>
            </w:r>
          </w:p>
        </w:tc>
      </w:tr>
      <w:tr w14:paraId="629B68F8">
        <w:tblPrEx>
          <w:tblCellMar>
            <w:top w:w="0" w:type="dxa"/>
            <w:left w:w="0" w:type="dxa"/>
            <w:bottom w:w="0" w:type="dxa"/>
            <w:right w:w="0" w:type="dxa"/>
          </w:tblCellMar>
        </w:tblPrEx>
        <w:trPr>
          <w:wBefore w:w="0" w:type="auto"/>
          <w:tblCellSpacing w:w="0" w:type="dxa"/>
        </w:trPr>
        <w:tc>
          <w:tcPr>
            <w:tcW w:w="0" w:type="auto"/>
            <w:noWrap w:val="0"/>
            <w:vAlign w:val="center"/>
          </w:tcPr>
          <w:p w14:paraId="518A3A6B">
            <w:r>
              <w:rPr>
                <w:rStyle w:val="10"/>
                <w:rFonts w:hint="eastAsia"/>
              </w:rPr>
              <w:t>中毒急救措施：</w:t>
            </w:r>
            <w:r>
              <w:rPr>
                <w:rFonts w:hint="eastAsia"/>
              </w:rPr>
              <w:br w:type="textWrapping"/>
            </w:r>
            <w:r>
              <w:rPr>
                <w:rStyle w:val="11"/>
                <w:rFonts w:hint="eastAsia"/>
              </w:rPr>
              <w:t>1.皮肤接触：立即脱掉被污染的衣物，用大量清水和肥皂冲洗皮肤。2.眼睛溅入：立即用流动清水冲洗不少于15分钟。如症状持续，携此标签去医院诊治。3.不慎吸入：立即将吸入者移至空气流通处，请医生诊治。4.误食：勿引吐，立即携此标签送医就诊，对症治疗，无特效解毒药。</w:t>
            </w:r>
          </w:p>
        </w:tc>
      </w:tr>
      <w:tr w14:paraId="160CD307">
        <w:tblPrEx>
          <w:tblCellMar>
            <w:top w:w="0" w:type="dxa"/>
            <w:left w:w="0" w:type="dxa"/>
            <w:bottom w:w="0" w:type="dxa"/>
            <w:right w:w="0" w:type="dxa"/>
          </w:tblCellMar>
        </w:tblPrEx>
        <w:trPr>
          <w:wBefore w:w="0" w:type="auto"/>
          <w:tblCellSpacing w:w="0" w:type="dxa"/>
        </w:trPr>
        <w:tc>
          <w:tcPr>
            <w:tcW w:w="0" w:type="auto"/>
            <w:noWrap w:val="0"/>
            <w:vAlign w:val="center"/>
          </w:tcPr>
          <w:p w14:paraId="09AE1CD1">
            <w:r>
              <w:rPr>
                <w:rStyle w:val="10"/>
                <w:rFonts w:hint="eastAsia"/>
              </w:rPr>
              <w:t>储存和运输方法：</w:t>
            </w:r>
            <w:r>
              <w:rPr>
                <w:rFonts w:hint="eastAsia"/>
              </w:rPr>
              <w:br w:type="textWrapping"/>
            </w:r>
            <w:r>
              <w:rPr>
                <w:rStyle w:val="11"/>
                <w:rFonts w:hint="eastAsia"/>
              </w:rPr>
              <w:t>本品应贮存在干燥、阴凉、通风处，远离火源或热源。置于儿童接触不到的地方，并加锁保存。不能与食品、饮料、粮食、饲料等其他商品同贮同运。</w:t>
            </w:r>
          </w:p>
        </w:tc>
      </w:tr>
      <w:tr w14:paraId="50BB7DCA">
        <w:tblPrEx>
          <w:tblCellMar>
            <w:top w:w="0" w:type="dxa"/>
            <w:left w:w="0" w:type="dxa"/>
            <w:bottom w:w="0" w:type="dxa"/>
            <w:right w:w="0" w:type="dxa"/>
          </w:tblCellMar>
        </w:tblPrEx>
        <w:trPr>
          <w:wBefore w:w="0" w:type="auto"/>
          <w:tblCellSpacing w:w="0" w:type="dxa"/>
        </w:trPr>
        <w:tc>
          <w:tcPr>
            <w:tcW w:w="0" w:type="auto"/>
            <w:noWrap w:val="0"/>
            <w:vAlign w:val="center"/>
          </w:tcPr>
          <w:p w14:paraId="0CB23CB4">
            <w:r>
              <w:rPr>
                <w:rStyle w:val="10"/>
                <w:rFonts w:hint="eastAsia"/>
              </w:rPr>
              <w:t>质量保证期：</w:t>
            </w:r>
            <w:r>
              <w:rPr>
                <w:rStyle w:val="11"/>
                <w:rFonts w:hint="eastAsia"/>
              </w:rPr>
              <w:t>2年</w:t>
            </w:r>
          </w:p>
        </w:tc>
      </w:tr>
      <w:tr w14:paraId="5B59F0FB">
        <w:tblPrEx>
          <w:tblCellMar>
            <w:top w:w="0" w:type="dxa"/>
            <w:left w:w="0" w:type="dxa"/>
            <w:bottom w:w="0" w:type="dxa"/>
            <w:right w:w="0" w:type="dxa"/>
          </w:tblCellMar>
        </w:tblPrEx>
        <w:trPr>
          <w:wBefore w:w="0" w:type="auto"/>
          <w:tblCellSpacing w:w="0" w:type="dxa"/>
        </w:trPr>
        <w:tc>
          <w:tcPr>
            <w:tcW w:w="0" w:type="auto"/>
            <w:noWrap w:val="0"/>
            <w:vAlign w:val="center"/>
          </w:tcPr>
          <w:p w14:paraId="46415605">
            <w:r>
              <w:rPr>
                <w:rStyle w:val="10"/>
                <w:rFonts w:hint="eastAsia"/>
              </w:rPr>
              <w:t>备注：</w:t>
            </w:r>
          </w:p>
        </w:tc>
      </w:tr>
    </w:tbl>
    <w:p w14:paraId="0E6BFB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9D02E0">
        <w:tblPrEx>
          <w:tblCellMar>
            <w:top w:w="0" w:type="dxa"/>
            <w:left w:w="0" w:type="dxa"/>
            <w:bottom w:w="0" w:type="dxa"/>
            <w:right w:w="0" w:type="dxa"/>
          </w:tblCellMar>
        </w:tblPrEx>
        <w:trPr>
          <w:wBefore w:w="0" w:type="auto"/>
          <w:tblCellSpacing w:w="0" w:type="dxa"/>
        </w:trPr>
        <w:tc>
          <w:tcPr>
            <w:tcW w:w="0" w:type="auto"/>
            <w:noWrap w:val="0"/>
            <w:vAlign w:val="center"/>
          </w:tcPr>
          <w:p w14:paraId="1E43BEF9">
            <w:r>
              <w:rPr>
                <w:rStyle w:val="10"/>
                <w:rFonts w:hint="eastAsia"/>
              </w:rPr>
              <w:t>登记证号：</w:t>
            </w:r>
            <w:r>
              <w:rPr>
                <w:rFonts w:hint="eastAsia"/>
              </w:rPr>
              <w:t>PD20212644</w:t>
            </w:r>
          </w:p>
        </w:tc>
      </w:tr>
      <w:tr w14:paraId="6952742F">
        <w:tblPrEx>
          <w:tblCellMar>
            <w:top w:w="0" w:type="dxa"/>
            <w:left w:w="0" w:type="dxa"/>
            <w:bottom w:w="0" w:type="dxa"/>
            <w:right w:w="0" w:type="dxa"/>
          </w:tblCellMar>
        </w:tblPrEx>
        <w:trPr>
          <w:wBefore w:w="0" w:type="auto"/>
          <w:tblCellSpacing w:w="0" w:type="dxa"/>
        </w:trPr>
        <w:tc>
          <w:tcPr>
            <w:tcW w:w="0" w:type="auto"/>
            <w:noWrap w:val="0"/>
            <w:vAlign w:val="center"/>
          </w:tcPr>
          <w:p w14:paraId="62026334">
            <w:r>
              <w:rPr>
                <w:rStyle w:val="10"/>
                <w:rFonts w:hint="eastAsia"/>
              </w:rPr>
              <w:t>登记证持有人：</w:t>
            </w:r>
            <w:r>
              <w:rPr>
                <w:rFonts w:hint="eastAsia"/>
              </w:rPr>
              <w:t>合肥合农农药有限公司</w:t>
            </w:r>
          </w:p>
        </w:tc>
      </w:tr>
      <w:tr w14:paraId="03E9DD80">
        <w:tblPrEx>
          <w:tblCellMar>
            <w:top w:w="0" w:type="dxa"/>
            <w:left w:w="0" w:type="dxa"/>
            <w:bottom w:w="0" w:type="dxa"/>
            <w:right w:w="0" w:type="dxa"/>
          </w:tblCellMar>
        </w:tblPrEx>
        <w:trPr>
          <w:wBefore w:w="0" w:type="auto"/>
          <w:tblCellSpacing w:w="0" w:type="dxa"/>
        </w:trPr>
        <w:tc>
          <w:tcPr>
            <w:tcW w:w="0" w:type="auto"/>
            <w:noWrap w:val="0"/>
            <w:vAlign w:val="center"/>
          </w:tcPr>
          <w:p w14:paraId="77A14FA1">
            <w:r>
              <w:rPr>
                <w:rStyle w:val="10"/>
                <w:rFonts w:hint="eastAsia"/>
              </w:rPr>
              <w:t>农药名称：</w:t>
            </w:r>
            <w:r>
              <w:rPr>
                <w:rFonts w:hint="eastAsia"/>
              </w:rPr>
              <w:t>丙噁酮·莎稗磷·西草净</w:t>
            </w:r>
          </w:p>
        </w:tc>
      </w:tr>
      <w:tr w14:paraId="60943435">
        <w:tblPrEx>
          <w:tblCellMar>
            <w:top w:w="0" w:type="dxa"/>
            <w:left w:w="0" w:type="dxa"/>
            <w:bottom w:w="0" w:type="dxa"/>
            <w:right w:w="0" w:type="dxa"/>
          </w:tblCellMar>
        </w:tblPrEx>
        <w:trPr>
          <w:wBefore w:w="0" w:type="auto"/>
          <w:tblCellSpacing w:w="0" w:type="dxa"/>
        </w:trPr>
        <w:tc>
          <w:tcPr>
            <w:tcW w:w="0" w:type="auto"/>
            <w:noWrap w:val="0"/>
            <w:vAlign w:val="center"/>
          </w:tcPr>
          <w:p w14:paraId="1EF95E37">
            <w:r>
              <w:rPr>
                <w:rStyle w:val="10"/>
                <w:rFonts w:hint="eastAsia"/>
              </w:rPr>
              <w:t>剂型：</w:t>
            </w:r>
            <w:r>
              <w:rPr>
                <w:rFonts w:hint="eastAsia"/>
              </w:rPr>
              <w:t>乳油</w:t>
            </w:r>
          </w:p>
        </w:tc>
      </w:tr>
      <w:tr w14:paraId="55CF497C">
        <w:tblPrEx>
          <w:tblCellMar>
            <w:top w:w="0" w:type="dxa"/>
            <w:left w:w="0" w:type="dxa"/>
            <w:bottom w:w="0" w:type="dxa"/>
            <w:right w:w="0" w:type="dxa"/>
          </w:tblCellMar>
        </w:tblPrEx>
        <w:trPr>
          <w:wBefore w:w="0" w:type="auto"/>
          <w:tblCellSpacing w:w="0" w:type="dxa"/>
        </w:trPr>
        <w:tc>
          <w:tcPr>
            <w:tcW w:w="0" w:type="auto"/>
            <w:noWrap w:val="0"/>
            <w:vAlign w:val="center"/>
          </w:tcPr>
          <w:p w14:paraId="68802566">
            <w:r>
              <w:rPr>
                <w:rStyle w:val="10"/>
                <w:rFonts w:hint="eastAsia"/>
              </w:rPr>
              <w:t>毒性及其标识：</w:t>
            </w:r>
            <w:r>
              <w:rPr>
                <w:rFonts w:hint="eastAsia"/>
              </w:rPr>
              <w:t xml:space="preserve"> </w:t>
            </w:r>
            <w:r>
              <w:rPr>
                <w:lang/>
              </w:rPr>
              <w:drawing>
                <wp:inline distT="0" distB="0" distL="114300" distR="114300">
                  <wp:extent cx="476250" cy="323850"/>
                  <wp:effectExtent l="0" t="0" r="0" b="0"/>
                  <wp:docPr id="373" name="图片 3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CED73D">
        <w:tblPrEx>
          <w:tblCellMar>
            <w:top w:w="0" w:type="dxa"/>
            <w:left w:w="0" w:type="dxa"/>
            <w:bottom w:w="0" w:type="dxa"/>
            <w:right w:w="0" w:type="dxa"/>
          </w:tblCellMar>
        </w:tblPrEx>
        <w:trPr>
          <w:wBefore w:w="0" w:type="auto"/>
          <w:tblCellSpacing w:w="0" w:type="dxa"/>
        </w:trPr>
        <w:tc>
          <w:tcPr>
            <w:tcW w:w="0" w:type="auto"/>
            <w:noWrap w:val="0"/>
            <w:vAlign w:val="center"/>
          </w:tcPr>
          <w:p w14:paraId="5FA13AE2">
            <w:r>
              <w:rPr>
                <w:rStyle w:val="10"/>
                <w:rFonts w:hint="eastAsia"/>
              </w:rPr>
              <w:t>总有效成分含量：</w:t>
            </w:r>
            <w:r>
              <w:rPr>
                <w:rFonts w:hint="eastAsia"/>
              </w:rPr>
              <w:t>41%</w:t>
            </w:r>
          </w:p>
        </w:tc>
      </w:tr>
      <w:tr w14:paraId="0B38AC8C">
        <w:tblPrEx>
          <w:tblCellMar>
            <w:top w:w="0" w:type="dxa"/>
            <w:left w:w="0" w:type="dxa"/>
            <w:bottom w:w="0" w:type="dxa"/>
            <w:right w:w="0" w:type="dxa"/>
          </w:tblCellMar>
        </w:tblPrEx>
        <w:trPr>
          <w:wBefore w:w="0" w:type="auto"/>
          <w:tblCellSpacing w:w="0" w:type="dxa"/>
        </w:trPr>
        <w:tc>
          <w:tcPr>
            <w:tcW w:w="0" w:type="auto"/>
            <w:noWrap w:val="0"/>
            <w:vAlign w:val="center"/>
          </w:tcPr>
          <w:p w14:paraId="421D3CEF">
            <w:r>
              <w:rPr>
                <w:rFonts w:hint="eastAsia"/>
              </w:rPr>
              <w:t xml:space="preserve">有效成分及其含量： </w:t>
            </w:r>
          </w:p>
          <w:p w14:paraId="7120A9E9">
            <w:r>
              <w:rPr>
                <w:rFonts w:hint="eastAsia"/>
              </w:rPr>
              <w:t xml:space="preserve">    丙炔噁草酮6%    莎稗磷20%    西草净15%    </w:t>
            </w:r>
          </w:p>
        </w:tc>
      </w:tr>
      <w:tr w14:paraId="46B8EEC8">
        <w:tblPrEx>
          <w:tblCellMar>
            <w:top w:w="0" w:type="dxa"/>
            <w:left w:w="0" w:type="dxa"/>
            <w:bottom w:w="0" w:type="dxa"/>
            <w:right w:w="0" w:type="dxa"/>
          </w:tblCellMar>
        </w:tblPrEx>
        <w:trPr>
          <w:wBefore w:w="0" w:type="auto"/>
          <w:tblCellSpacing w:w="0" w:type="dxa"/>
        </w:trPr>
        <w:tc>
          <w:tcPr>
            <w:tcW w:w="0" w:type="auto"/>
            <w:noWrap w:val="0"/>
            <w:vAlign w:val="center"/>
          </w:tcPr>
          <w:p w14:paraId="21C8A58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B1DB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DBC55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298D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1EF8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ED38E9">
                  <w:r>
                    <w:rPr>
                      <w:rStyle w:val="11"/>
                      <w:rFonts w:hint="eastAsia"/>
                    </w:rPr>
                    <w:t>施用方式</w:t>
                  </w:r>
                </w:p>
              </w:tc>
            </w:tr>
            <w:tr w14:paraId="3808B8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5399EB">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7D3AC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2A4A28">
                  <w:r>
                    <w:rPr>
                      <w:rStyle w:val="11"/>
                      <w:rFonts w:hint="eastAsia"/>
                    </w:rPr>
                    <w:t>70-90毫升/亩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731201">
                  <w:r>
                    <w:rPr>
                      <w:rStyle w:val="11"/>
                      <w:rFonts w:hint="eastAsia"/>
                    </w:rPr>
                    <w:t>甩施</w:t>
                  </w:r>
                </w:p>
              </w:tc>
            </w:tr>
          </w:tbl>
          <w:p w14:paraId="1ABFAC51">
            <w:pPr>
              <w:rPr>
                <w:rFonts w:ascii="Times New Roman" w:hAnsi="Times New Roman" w:cs="Times New Roman"/>
                <w:sz w:val="20"/>
                <w:szCs w:val="20"/>
              </w:rPr>
            </w:pPr>
          </w:p>
        </w:tc>
      </w:tr>
      <w:tr w14:paraId="2ADE1E1A">
        <w:tblPrEx>
          <w:tblCellMar>
            <w:top w:w="0" w:type="dxa"/>
            <w:left w:w="0" w:type="dxa"/>
            <w:bottom w:w="0" w:type="dxa"/>
            <w:right w:w="0" w:type="dxa"/>
          </w:tblCellMar>
        </w:tblPrEx>
        <w:trPr>
          <w:wBefore w:w="0" w:type="auto"/>
          <w:tblCellSpacing w:w="0" w:type="dxa"/>
        </w:trPr>
        <w:tc>
          <w:tcPr>
            <w:tcW w:w="0" w:type="auto"/>
            <w:noWrap w:val="0"/>
            <w:vAlign w:val="center"/>
          </w:tcPr>
          <w:p w14:paraId="79C41DB4">
            <w:r>
              <w:rPr>
                <w:rStyle w:val="10"/>
                <w:rFonts w:hint="eastAsia"/>
              </w:rPr>
              <w:t>使用技术要求:</w:t>
            </w:r>
            <w:r>
              <w:rPr>
                <w:rFonts w:hint="eastAsia"/>
              </w:rPr>
              <w:br w:type="textWrapping"/>
            </w:r>
            <w:r>
              <w:rPr>
                <w:rStyle w:val="11"/>
                <w:rFonts w:hint="eastAsia"/>
              </w:rPr>
              <w:t>1、水稻移栽前3～7天施药。2甩施，稻田灌水整平后呈泥水或清水状时，亩兑水量30kg，去除喷雾器喷头均匀甩施，施药后保持3～5cm水层5～7天。3、每个作物周期最多使用1次。4、插秧后水层勿淹没水稻心叶避免药害。</w:t>
            </w:r>
          </w:p>
        </w:tc>
      </w:tr>
      <w:tr w14:paraId="07E975D0">
        <w:tblPrEx>
          <w:tblCellMar>
            <w:top w:w="0" w:type="dxa"/>
            <w:left w:w="0" w:type="dxa"/>
            <w:bottom w:w="0" w:type="dxa"/>
            <w:right w:w="0" w:type="dxa"/>
          </w:tblCellMar>
        </w:tblPrEx>
        <w:trPr>
          <w:wBefore w:w="0" w:type="auto"/>
          <w:tblCellSpacing w:w="0" w:type="dxa"/>
        </w:trPr>
        <w:tc>
          <w:tcPr>
            <w:tcW w:w="0" w:type="auto"/>
            <w:noWrap w:val="0"/>
            <w:vAlign w:val="center"/>
          </w:tcPr>
          <w:p w14:paraId="3AF2BED1">
            <w:r>
              <w:rPr>
                <w:rStyle w:val="10"/>
                <w:rFonts w:hint="eastAsia"/>
              </w:rPr>
              <w:t>产品性能:</w:t>
            </w:r>
            <w:r>
              <w:rPr>
                <w:rFonts w:hint="eastAsia"/>
              </w:rPr>
              <w:br w:type="textWrapping"/>
            </w:r>
            <w:r>
              <w:rPr>
                <w:rStyle w:val="11"/>
                <w:rFonts w:hint="eastAsia"/>
              </w:rPr>
              <w:t>本剂为移栽水稻田选择性芽前除草剂，施药后，其有效成分在水面迅速扩散后沉入土壤表层，形成封闭药膜，从而将靶标杂草消灭在萌芽状态，可防治稗草，千金子、鸭舌草、节节菜、矮慈菇、牛毛毡、异型莎草等稻田多种一年生禾本科、莎草科和阔叶类杂草。</w:t>
            </w:r>
          </w:p>
        </w:tc>
      </w:tr>
      <w:tr w14:paraId="4CBC1CFE">
        <w:tblPrEx>
          <w:tblCellMar>
            <w:top w:w="0" w:type="dxa"/>
            <w:left w:w="0" w:type="dxa"/>
            <w:bottom w:w="0" w:type="dxa"/>
            <w:right w:w="0" w:type="dxa"/>
          </w:tblCellMar>
        </w:tblPrEx>
        <w:trPr>
          <w:wBefore w:w="0" w:type="auto"/>
          <w:tblCellSpacing w:w="0" w:type="dxa"/>
        </w:trPr>
        <w:tc>
          <w:tcPr>
            <w:tcW w:w="0" w:type="auto"/>
            <w:noWrap w:val="0"/>
            <w:vAlign w:val="center"/>
          </w:tcPr>
          <w:p w14:paraId="78401C24">
            <w:r>
              <w:rPr>
                <w:rStyle w:val="10"/>
                <w:rFonts w:hint="eastAsia"/>
              </w:rPr>
              <w:t>注意事项：</w:t>
            </w:r>
            <w:r>
              <w:rPr>
                <w:rFonts w:hint="eastAsia"/>
              </w:rPr>
              <w:br w:type="textWrapping"/>
            </w:r>
            <w:r>
              <w:rPr>
                <w:rStyle w:val="11"/>
                <w:rFonts w:hint="eastAsia"/>
              </w:rPr>
              <w:t>1、施药时须穿防护服、戴眼镜、手套等保护性衣物；施药时不能吃东西、吸烟、饮水等；施药后彻底清洗裸露部位。2、清洗器具的废水不能排入河流、池塘等水源。3、用过的容器和废弃物应妥善处理，不可做他用，也不可随意丢弃。4、避免孕妇及哺乳期妇女接触本品。5、赤眼蜂等天敌放飞区禁用。6、禁止在河塘等水体中清洗施药器具；远离水产养殖区、河塘等水体施药。7、鱼或虾蟹套养稻田禁用，施药后的田水不得直接排入水体。8、农药包装废弃物应当及时交回农药经营者。</w:t>
            </w:r>
          </w:p>
        </w:tc>
      </w:tr>
      <w:tr w14:paraId="7451EFF7">
        <w:tblPrEx>
          <w:tblCellMar>
            <w:top w:w="0" w:type="dxa"/>
            <w:left w:w="0" w:type="dxa"/>
            <w:bottom w:w="0" w:type="dxa"/>
            <w:right w:w="0" w:type="dxa"/>
          </w:tblCellMar>
        </w:tblPrEx>
        <w:trPr>
          <w:wBefore w:w="0" w:type="auto"/>
          <w:tblCellSpacing w:w="0" w:type="dxa"/>
        </w:trPr>
        <w:tc>
          <w:tcPr>
            <w:tcW w:w="0" w:type="auto"/>
            <w:noWrap w:val="0"/>
            <w:vAlign w:val="center"/>
          </w:tcPr>
          <w:p w14:paraId="01D1D160">
            <w:r>
              <w:rPr>
                <w:rStyle w:val="10"/>
                <w:rFonts w:hint="eastAsia"/>
              </w:rPr>
              <w:t>中毒急救措施：</w:t>
            </w:r>
            <w:r>
              <w:rPr>
                <w:rFonts w:hint="eastAsia"/>
              </w:rPr>
              <w:br w:type="textWrapping"/>
            </w:r>
            <w:r>
              <w:rPr>
                <w:rStyle w:val="11"/>
                <w:rFonts w:hint="eastAsia"/>
              </w:rPr>
              <w:t>对眼睛、粘膜有轻微刺激作用。根据中毒症状进行治疗，没有专门的解 毒药。如不慎溅入眼内，立即用大量清水冲洗至少15分钟，不慎吸入， 应将病人移至空气流通处，如触及皮肤可用肥皂洗净，若误食立即携此 标签送医院对症治疗，催吐、洗胃。</w:t>
            </w:r>
          </w:p>
        </w:tc>
      </w:tr>
      <w:tr w14:paraId="03FDB06E">
        <w:tblPrEx>
          <w:tblCellMar>
            <w:top w:w="0" w:type="dxa"/>
            <w:left w:w="0" w:type="dxa"/>
            <w:bottom w:w="0" w:type="dxa"/>
            <w:right w:w="0" w:type="dxa"/>
          </w:tblCellMar>
        </w:tblPrEx>
        <w:trPr>
          <w:wBefore w:w="0" w:type="auto"/>
          <w:tblCellSpacing w:w="0" w:type="dxa"/>
        </w:trPr>
        <w:tc>
          <w:tcPr>
            <w:tcW w:w="0" w:type="auto"/>
            <w:noWrap w:val="0"/>
            <w:vAlign w:val="center"/>
          </w:tcPr>
          <w:p w14:paraId="1442F605">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3．勿与食品、饮料、粮食、饲料等其他商品同贮同运。贮存或运输时堆层不得超过规定，注意轻拿轻放，以免损坏包装，导致产品泄漏。</w:t>
            </w:r>
          </w:p>
        </w:tc>
      </w:tr>
      <w:tr w14:paraId="1D4BFDE9">
        <w:tblPrEx>
          <w:tblCellMar>
            <w:top w:w="0" w:type="dxa"/>
            <w:left w:w="0" w:type="dxa"/>
            <w:bottom w:w="0" w:type="dxa"/>
            <w:right w:w="0" w:type="dxa"/>
          </w:tblCellMar>
        </w:tblPrEx>
        <w:trPr>
          <w:wBefore w:w="0" w:type="auto"/>
          <w:tblCellSpacing w:w="0" w:type="dxa"/>
        </w:trPr>
        <w:tc>
          <w:tcPr>
            <w:tcW w:w="0" w:type="auto"/>
            <w:noWrap w:val="0"/>
            <w:vAlign w:val="center"/>
          </w:tcPr>
          <w:p w14:paraId="482429AA">
            <w:r>
              <w:rPr>
                <w:rStyle w:val="10"/>
                <w:rFonts w:hint="eastAsia"/>
              </w:rPr>
              <w:t>质量保证期：</w:t>
            </w:r>
            <w:r>
              <w:rPr>
                <w:rStyle w:val="11"/>
                <w:rFonts w:hint="eastAsia"/>
              </w:rPr>
              <w:t>2年</w:t>
            </w:r>
          </w:p>
        </w:tc>
      </w:tr>
      <w:tr w14:paraId="2E2630FD">
        <w:tblPrEx>
          <w:tblCellMar>
            <w:top w:w="0" w:type="dxa"/>
            <w:left w:w="0" w:type="dxa"/>
            <w:bottom w:w="0" w:type="dxa"/>
            <w:right w:w="0" w:type="dxa"/>
          </w:tblCellMar>
        </w:tblPrEx>
        <w:trPr>
          <w:wBefore w:w="0" w:type="auto"/>
          <w:tblCellSpacing w:w="0" w:type="dxa"/>
        </w:trPr>
        <w:tc>
          <w:tcPr>
            <w:tcW w:w="0" w:type="auto"/>
            <w:noWrap w:val="0"/>
            <w:vAlign w:val="center"/>
          </w:tcPr>
          <w:p w14:paraId="08AC36E9">
            <w:r>
              <w:rPr>
                <w:rStyle w:val="10"/>
                <w:rFonts w:hint="eastAsia"/>
              </w:rPr>
              <w:t>备注：</w:t>
            </w:r>
          </w:p>
        </w:tc>
      </w:tr>
    </w:tbl>
    <w:p w14:paraId="4F05B6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C3ADA9">
        <w:tblPrEx>
          <w:tblCellMar>
            <w:top w:w="0" w:type="dxa"/>
            <w:left w:w="0" w:type="dxa"/>
            <w:bottom w:w="0" w:type="dxa"/>
            <w:right w:w="0" w:type="dxa"/>
          </w:tblCellMar>
        </w:tblPrEx>
        <w:trPr>
          <w:wBefore w:w="0" w:type="auto"/>
          <w:tblCellSpacing w:w="0" w:type="dxa"/>
        </w:trPr>
        <w:tc>
          <w:tcPr>
            <w:tcW w:w="0" w:type="auto"/>
            <w:noWrap w:val="0"/>
            <w:vAlign w:val="center"/>
          </w:tcPr>
          <w:p w14:paraId="1B15690F">
            <w:r>
              <w:rPr>
                <w:rStyle w:val="10"/>
                <w:rFonts w:hint="eastAsia"/>
              </w:rPr>
              <w:t>登记证号：</w:t>
            </w:r>
            <w:r>
              <w:rPr>
                <w:rFonts w:hint="eastAsia"/>
              </w:rPr>
              <w:t>PD20212318</w:t>
            </w:r>
          </w:p>
        </w:tc>
      </w:tr>
      <w:tr w14:paraId="590845E7">
        <w:tblPrEx>
          <w:tblCellMar>
            <w:top w:w="0" w:type="dxa"/>
            <w:left w:w="0" w:type="dxa"/>
            <w:bottom w:w="0" w:type="dxa"/>
            <w:right w:w="0" w:type="dxa"/>
          </w:tblCellMar>
        </w:tblPrEx>
        <w:trPr>
          <w:wBefore w:w="0" w:type="auto"/>
          <w:tblCellSpacing w:w="0" w:type="dxa"/>
        </w:trPr>
        <w:tc>
          <w:tcPr>
            <w:tcW w:w="0" w:type="auto"/>
            <w:noWrap w:val="0"/>
            <w:vAlign w:val="center"/>
          </w:tcPr>
          <w:p w14:paraId="1C3BCC53">
            <w:r>
              <w:rPr>
                <w:rStyle w:val="10"/>
                <w:rFonts w:hint="eastAsia"/>
              </w:rPr>
              <w:t>登记证持有人：</w:t>
            </w:r>
            <w:r>
              <w:rPr>
                <w:rFonts w:hint="eastAsia"/>
              </w:rPr>
              <w:t>广西玉林市百能达日用粘胶制品厂</w:t>
            </w:r>
          </w:p>
        </w:tc>
      </w:tr>
      <w:tr w14:paraId="50DFE24D">
        <w:tblPrEx>
          <w:tblCellMar>
            <w:top w:w="0" w:type="dxa"/>
            <w:left w:w="0" w:type="dxa"/>
            <w:bottom w:w="0" w:type="dxa"/>
            <w:right w:w="0" w:type="dxa"/>
          </w:tblCellMar>
        </w:tblPrEx>
        <w:trPr>
          <w:wBefore w:w="0" w:type="auto"/>
          <w:tblCellSpacing w:w="0" w:type="dxa"/>
        </w:trPr>
        <w:tc>
          <w:tcPr>
            <w:tcW w:w="0" w:type="auto"/>
            <w:noWrap w:val="0"/>
            <w:vAlign w:val="center"/>
          </w:tcPr>
          <w:p w14:paraId="715F831F">
            <w:r>
              <w:rPr>
                <w:rStyle w:val="10"/>
                <w:rFonts w:hint="eastAsia"/>
              </w:rPr>
              <w:t>农药名称：</w:t>
            </w:r>
            <w:r>
              <w:rPr>
                <w:rFonts w:hint="eastAsia"/>
              </w:rPr>
              <w:t>溴敌隆</w:t>
            </w:r>
          </w:p>
        </w:tc>
      </w:tr>
      <w:tr w14:paraId="6A374DA7">
        <w:tblPrEx>
          <w:tblCellMar>
            <w:top w:w="0" w:type="dxa"/>
            <w:left w:w="0" w:type="dxa"/>
            <w:bottom w:w="0" w:type="dxa"/>
            <w:right w:w="0" w:type="dxa"/>
          </w:tblCellMar>
        </w:tblPrEx>
        <w:trPr>
          <w:wBefore w:w="0" w:type="auto"/>
          <w:tblCellSpacing w:w="0" w:type="dxa"/>
        </w:trPr>
        <w:tc>
          <w:tcPr>
            <w:tcW w:w="0" w:type="auto"/>
            <w:noWrap w:val="0"/>
            <w:vAlign w:val="center"/>
          </w:tcPr>
          <w:p w14:paraId="35400969">
            <w:r>
              <w:rPr>
                <w:rStyle w:val="10"/>
                <w:rFonts w:hint="eastAsia"/>
              </w:rPr>
              <w:t>剂型：</w:t>
            </w:r>
            <w:r>
              <w:rPr>
                <w:rFonts w:hint="eastAsia"/>
              </w:rPr>
              <w:t>饵剂</w:t>
            </w:r>
          </w:p>
        </w:tc>
      </w:tr>
      <w:tr w14:paraId="6F529AD7">
        <w:tblPrEx>
          <w:tblCellMar>
            <w:top w:w="0" w:type="dxa"/>
            <w:left w:w="0" w:type="dxa"/>
            <w:bottom w:w="0" w:type="dxa"/>
            <w:right w:w="0" w:type="dxa"/>
          </w:tblCellMar>
        </w:tblPrEx>
        <w:trPr>
          <w:wBefore w:w="0" w:type="auto"/>
          <w:tblCellSpacing w:w="0" w:type="dxa"/>
        </w:trPr>
        <w:tc>
          <w:tcPr>
            <w:tcW w:w="0" w:type="auto"/>
            <w:noWrap w:val="0"/>
            <w:vAlign w:val="center"/>
          </w:tcPr>
          <w:p w14:paraId="306D8DC4">
            <w:r>
              <w:rPr>
                <w:rStyle w:val="10"/>
                <w:rFonts w:hint="eastAsia"/>
              </w:rPr>
              <w:t>毒性及其标识：</w:t>
            </w:r>
            <w:r>
              <w:rPr>
                <w:rFonts w:hint="eastAsia"/>
              </w:rPr>
              <w:t xml:space="preserve"> </w:t>
            </w:r>
            <w:r>
              <w:rPr>
                <w:rFonts w:hint="eastAsia"/>
              </w:rPr>
              <w:br w:type="textWrapping"/>
            </w:r>
            <w:r>
              <w:rPr>
                <w:rFonts w:hint="eastAsia"/>
              </w:rPr>
              <w:t xml:space="preserve">低毒 </w:t>
            </w:r>
            <w:r>
              <w:rPr>
                <w:rFonts w:hint="eastAsia"/>
              </w:rPr>
              <w:br w:type="textWrapping"/>
            </w:r>
            <w:r>
              <w:rPr>
                <w:rFonts w:hint="eastAsia"/>
              </w:rPr>
              <w:t xml:space="preserve">(原药剧毒) </w:t>
            </w:r>
          </w:p>
        </w:tc>
      </w:tr>
      <w:tr w14:paraId="5FBB8A85">
        <w:tblPrEx>
          <w:tblCellMar>
            <w:top w:w="0" w:type="dxa"/>
            <w:left w:w="0" w:type="dxa"/>
            <w:bottom w:w="0" w:type="dxa"/>
            <w:right w:w="0" w:type="dxa"/>
          </w:tblCellMar>
        </w:tblPrEx>
        <w:trPr>
          <w:wBefore w:w="0" w:type="auto"/>
          <w:tblCellSpacing w:w="0" w:type="dxa"/>
        </w:trPr>
        <w:tc>
          <w:tcPr>
            <w:tcW w:w="0" w:type="auto"/>
            <w:noWrap w:val="0"/>
            <w:vAlign w:val="center"/>
          </w:tcPr>
          <w:p w14:paraId="53FF7A13">
            <w:r>
              <w:rPr>
                <w:rStyle w:val="10"/>
                <w:rFonts w:hint="eastAsia"/>
              </w:rPr>
              <w:t>总有效成分含量：</w:t>
            </w:r>
            <w:r>
              <w:rPr>
                <w:rFonts w:hint="eastAsia"/>
              </w:rPr>
              <w:t>0.01%</w:t>
            </w:r>
          </w:p>
        </w:tc>
      </w:tr>
      <w:tr w14:paraId="132CB8D4">
        <w:tblPrEx>
          <w:tblCellMar>
            <w:top w:w="0" w:type="dxa"/>
            <w:left w:w="0" w:type="dxa"/>
            <w:bottom w:w="0" w:type="dxa"/>
            <w:right w:w="0" w:type="dxa"/>
          </w:tblCellMar>
        </w:tblPrEx>
        <w:trPr>
          <w:wBefore w:w="0" w:type="auto"/>
          <w:tblCellSpacing w:w="0" w:type="dxa"/>
        </w:trPr>
        <w:tc>
          <w:tcPr>
            <w:tcW w:w="0" w:type="auto"/>
            <w:noWrap w:val="0"/>
            <w:vAlign w:val="center"/>
          </w:tcPr>
          <w:p w14:paraId="7FE4E377">
            <w:r>
              <w:rPr>
                <w:rFonts w:hint="eastAsia"/>
              </w:rPr>
              <w:t xml:space="preserve">有效成分及其含量： </w:t>
            </w:r>
          </w:p>
          <w:p w14:paraId="1355E1CE">
            <w:r>
              <w:rPr>
                <w:rFonts w:hint="eastAsia"/>
              </w:rPr>
              <w:t xml:space="preserve">    溴敌隆0.01%    </w:t>
            </w:r>
          </w:p>
        </w:tc>
      </w:tr>
      <w:tr w14:paraId="513898B2">
        <w:tblPrEx>
          <w:tblCellMar>
            <w:top w:w="0" w:type="dxa"/>
            <w:left w:w="0" w:type="dxa"/>
            <w:bottom w:w="0" w:type="dxa"/>
            <w:right w:w="0" w:type="dxa"/>
          </w:tblCellMar>
        </w:tblPrEx>
        <w:trPr>
          <w:wBefore w:w="0" w:type="auto"/>
          <w:tblCellSpacing w:w="0" w:type="dxa"/>
        </w:trPr>
        <w:tc>
          <w:tcPr>
            <w:tcW w:w="0" w:type="auto"/>
            <w:noWrap w:val="0"/>
            <w:vAlign w:val="center"/>
          </w:tcPr>
          <w:p w14:paraId="645ACC7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869F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17DB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9B26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77589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372DA3">
                  <w:r>
                    <w:rPr>
                      <w:rStyle w:val="11"/>
                      <w:rFonts w:hint="eastAsia"/>
                    </w:rPr>
                    <w:t>施用方式</w:t>
                  </w:r>
                </w:p>
              </w:tc>
            </w:tr>
            <w:tr w14:paraId="201993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B3C46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04CC4F">
                  <w:r>
                    <w:rPr>
                      <w:rStyle w:val="11"/>
                      <w:rFonts w:hint="eastAsia"/>
                    </w:rPr>
                    <w:t>家鼠</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30E77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737AE5">
                  <w:r>
                    <w:rPr>
                      <w:rStyle w:val="11"/>
                      <w:rFonts w:hint="eastAsia"/>
                    </w:rPr>
                    <w:t>饱和投饵</w:t>
                  </w:r>
                </w:p>
              </w:tc>
            </w:tr>
          </w:tbl>
          <w:p w14:paraId="0973D005">
            <w:pPr>
              <w:rPr>
                <w:rFonts w:ascii="Times New Roman" w:hAnsi="Times New Roman" w:cs="Times New Roman"/>
                <w:sz w:val="20"/>
                <w:szCs w:val="20"/>
              </w:rPr>
            </w:pPr>
          </w:p>
        </w:tc>
      </w:tr>
      <w:tr w14:paraId="3B2503A4">
        <w:tblPrEx>
          <w:tblCellMar>
            <w:top w:w="0" w:type="dxa"/>
            <w:left w:w="0" w:type="dxa"/>
            <w:bottom w:w="0" w:type="dxa"/>
            <w:right w:w="0" w:type="dxa"/>
          </w:tblCellMar>
        </w:tblPrEx>
        <w:trPr>
          <w:wBefore w:w="0" w:type="auto"/>
          <w:tblCellSpacing w:w="0" w:type="dxa"/>
        </w:trPr>
        <w:tc>
          <w:tcPr>
            <w:tcW w:w="0" w:type="auto"/>
            <w:noWrap w:val="0"/>
            <w:vAlign w:val="center"/>
          </w:tcPr>
          <w:p w14:paraId="3819830C">
            <w:r>
              <w:rPr>
                <w:rStyle w:val="10"/>
                <w:rFonts w:hint="eastAsia"/>
              </w:rPr>
              <w:t>使用技术要求:</w:t>
            </w:r>
            <w:r>
              <w:rPr>
                <w:rFonts w:hint="eastAsia"/>
              </w:rPr>
              <w:br w:type="textWrapping"/>
            </w:r>
            <w:r>
              <w:rPr>
                <w:rStyle w:val="11"/>
                <w:rFonts w:hint="eastAsia"/>
              </w:rPr>
              <w:t>使用场所：卫生 防治对象：家鼠 制剂用药量：饱和投饵 使用方法：投饵 1、本药剂施药的最佳时期是冬春两季，每次施药间隔期为15天。 2、投饵方法：室内每15m2房间投放3堆，每堆10～15克；室外每5米～10米投放一堆，每堆10～15克。 3、使用区域包括住宅、港口、铁路、畜禽饲养场、粮库等老鼠经常出没的地方。 4、本品应放在毒饵站或毒饵盒中，防止有益生物误食。</w:t>
            </w:r>
          </w:p>
        </w:tc>
      </w:tr>
      <w:tr w14:paraId="6BA4B441">
        <w:tblPrEx>
          <w:tblCellMar>
            <w:top w:w="0" w:type="dxa"/>
            <w:left w:w="0" w:type="dxa"/>
            <w:bottom w:w="0" w:type="dxa"/>
            <w:right w:w="0" w:type="dxa"/>
          </w:tblCellMar>
        </w:tblPrEx>
        <w:trPr>
          <w:wBefore w:w="0" w:type="auto"/>
          <w:tblCellSpacing w:w="0" w:type="dxa"/>
        </w:trPr>
        <w:tc>
          <w:tcPr>
            <w:tcW w:w="0" w:type="auto"/>
            <w:noWrap w:val="0"/>
            <w:vAlign w:val="center"/>
          </w:tcPr>
          <w:p w14:paraId="2863106B">
            <w:r>
              <w:rPr>
                <w:rStyle w:val="10"/>
                <w:rFonts w:hint="eastAsia"/>
              </w:rPr>
              <w:t>产品性能:</w:t>
            </w:r>
            <w:r>
              <w:rPr>
                <w:rFonts w:hint="eastAsia"/>
              </w:rPr>
              <w:br w:type="textWrapping"/>
            </w:r>
            <w:r>
              <w:rPr>
                <w:rStyle w:val="11"/>
                <w:rFonts w:hint="eastAsia"/>
              </w:rPr>
              <w:t>本品为抗凝血杀鼠剂，有慢性杀鼠作用，作用机理是破坏老鼠血液中凝血酶原的合成，导致内脏出血而死亡。</w:t>
            </w:r>
          </w:p>
        </w:tc>
      </w:tr>
      <w:tr w14:paraId="6E434770">
        <w:tblPrEx>
          <w:tblCellMar>
            <w:top w:w="0" w:type="dxa"/>
            <w:left w:w="0" w:type="dxa"/>
            <w:bottom w:w="0" w:type="dxa"/>
            <w:right w:w="0" w:type="dxa"/>
          </w:tblCellMar>
        </w:tblPrEx>
        <w:trPr>
          <w:wBefore w:w="0" w:type="auto"/>
          <w:tblCellSpacing w:w="0" w:type="dxa"/>
        </w:trPr>
        <w:tc>
          <w:tcPr>
            <w:tcW w:w="0" w:type="auto"/>
            <w:noWrap w:val="0"/>
            <w:vAlign w:val="center"/>
          </w:tcPr>
          <w:p w14:paraId="09CF6F11">
            <w:r>
              <w:rPr>
                <w:rStyle w:val="10"/>
                <w:rFonts w:hint="eastAsia"/>
              </w:rPr>
              <w:t>注意事项：</w:t>
            </w:r>
            <w:r>
              <w:rPr>
                <w:rFonts w:hint="eastAsia"/>
              </w:rPr>
              <w:br w:type="textWrapping"/>
            </w:r>
            <w:r>
              <w:rPr>
                <w:rStyle w:val="11"/>
                <w:rFonts w:hint="eastAsia"/>
              </w:rPr>
              <w:t>1）本品对鸟类有毒，鸟类保护区附近禁用，死鼠及剩余的药剂要焚烧或土埋。远离水产养殖区施药，禁止在河塘等水体中清洗施药器具，清洗施药器具的水也不能排入河塘等水体。2）该药剂有毒，需严格管理。投放药剂后要防止家禽、牲畜进入，避免有益生物误食。勿在可能污染食物和饲料的地方使用。3）使用本品应采取相应的安全防护措施，配药和施药时穿防护服，戴防护手套、专用防毒口罩等，避免皮肤接触及口鼻吸入。使用中不可吸烟、饮水及吃东西，使用后及时清洗手、脸等暴露部位皮肤并更换衣物。4）用过的容器应妥善处理，不可做他用，也不可随意丢弃。5）禁止儿童、孕妇和哺乳期妇女接触。6）过敏者禁用，使用中有任何不良反应请及时就医。</w:t>
            </w:r>
          </w:p>
        </w:tc>
      </w:tr>
      <w:tr w14:paraId="20FD8B55">
        <w:tblPrEx>
          <w:tblCellMar>
            <w:top w:w="0" w:type="dxa"/>
            <w:left w:w="0" w:type="dxa"/>
            <w:bottom w:w="0" w:type="dxa"/>
            <w:right w:w="0" w:type="dxa"/>
          </w:tblCellMar>
        </w:tblPrEx>
        <w:trPr>
          <w:wBefore w:w="0" w:type="auto"/>
          <w:tblCellSpacing w:w="0" w:type="dxa"/>
        </w:trPr>
        <w:tc>
          <w:tcPr>
            <w:tcW w:w="0" w:type="auto"/>
            <w:noWrap w:val="0"/>
            <w:vAlign w:val="center"/>
          </w:tcPr>
          <w:p w14:paraId="04C6961C">
            <w:r>
              <w:rPr>
                <w:rStyle w:val="10"/>
                <w:rFonts w:hint="eastAsia"/>
              </w:rPr>
              <w:t>中毒急救措施：</w:t>
            </w:r>
            <w:r>
              <w:rPr>
                <w:rFonts w:hint="eastAsia"/>
              </w:rPr>
              <w:br w:type="textWrapping"/>
            </w:r>
            <w:r>
              <w:rPr>
                <w:rStyle w:val="11"/>
                <w:rFonts w:hint="eastAsia"/>
              </w:rPr>
              <w:t xml:space="preserve">中毒症状：腹痛、背痛、恶心、呕吐、鼻衄，齿龈出血、皮下出血、关节周围出血、尿血、便血等。 皮肤接触：立即脱掉被污染的衣物，用软布去除沾染农药，并用大量清水和肥皂冲洗。眼睛接触：立即翻开眼睑，用大量清水冲洗至少15分钟，及时就医。吸入：立即离开施药现场，转移至空气流通处。如呼吸停止，立即进行人工呼吸并请医生诊治。误服：如发生误服中毒，不要给中毒者服用任何东西，应立即就医。本品有效的解毒剂是维生素K1（phytomenadione)，具体方法为：1）静脉注射维生素K1，每次10毫克，重复2-3次，每次间隔8-12小时。2）常量口服维生素K1，每天10毫克（每天最大量不得超过100毫克），连续10-15天。输200毫升柠檬酸化血液。 </w:t>
            </w:r>
          </w:p>
        </w:tc>
      </w:tr>
      <w:tr w14:paraId="555FED21">
        <w:tblPrEx>
          <w:tblCellMar>
            <w:top w:w="0" w:type="dxa"/>
            <w:left w:w="0" w:type="dxa"/>
            <w:bottom w:w="0" w:type="dxa"/>
            <w:right w:w="0" w:type="dxa"/>
          </w:tblCellMar>
        </w:tblPrEx>
        <w:trPr>
          <w:wBefore w:w="0" w:type="auto"/>
          <w:tblCellSpacing w:w="0" w:type="dxa"/>
        </w:trPr>
        <w:tc>
          <w:tcPr>
            <w:tcW w:w="0" w:type="auto"/>
            <w:noWrap w:val="0"/>
            <w:vAlign w:val="center"/>
          </w:tcPr>
          <w:p w14:paraId="36ED11FC">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61643865">
        <w:tblPrEx>
          <w:tblCellMar>
            <w:top w:w="0" w:type="dxa"/>
            <w:left w:w="0" w:type="dxa"/>
            <w:bottom w:w="0" w:type="dxa"/>
            <w:right w:w="0" w:type="dxa"/>
          </w:tblCellMar>
        </w:tblPrEx>
        <w:trPr>
          <w:wBefore w:w="0" w:type="auto"/>
          <w:tblCellSpacing w:w="0" w:type="dxa"/>
        </w:trPr>
        <w:tc>
          <w:tcPr>
            <w:tcW w:w="0" w:type="auto"/>
            <w:noWrap w:val="0"/>
            <w:vAlign w:val="center"/>
          </w:tcPr>
          <w:p w14:paraId="1E184470">
            <w:r>
              <w:rPr>
                <w:rStyle w:val="10"/>
                <w:rFonts w:hint="eastAsia"/>
              </w:rPr>
              <w:t>质量保证期：</w:t>
            </w:r>
            <w:r>
              <w:rPr>
                <w:rStyle w:val="11"/>
                <w:rFonts w:hint="eastAsia"/>
              </w:rPr>
              <w:t>2年</w:t>
            </w:r>
          </w:p>
        </w:tc>
      </w:tr>
      <w:tr w14:paraId="6FCE9478">
        <w:tblPrEx>
          <w:tblCellMar>
            <w:top w:w="0" w:type="dxa"/>
            <w:left w:w="0" w:type="dxa"/>
            <w:bottom w:w="0" w:type="dxa"/>
            <w:right w:w="0" w:type="dxa"/>
          </w:tblCellMar>
        </w:tblPrEx>
        <w:trPr>
          <w:wBefore w:w="0" w:type="auto"/>
          <w:tblCellSpacing w:w="0" w:type="dxa"/>
        </w:trPr>
        <w:tc>
          <w:tcPr>
            <w:tcW w:w="0" w:type="auto"/>
            <w:noWrap w:val="0"/>
            <w:vAlign w:val="center"/>
          </w:tcPr>
          <w:p w14:paraId="69489C38">
            <w:r>
              <w:rPr>
                <w:rStyle w:val="10"/>
                <w:rFonts w:hint="eastAsia"/>
              </w:rPr>
              <w:t>备注：</w:t>
            </w:r>
            <w:r>
              <w:rPr>
                <w:rFonts w:hint="eastAsia"/>
              </w:rPr>
              <w:br w:type="textWrapping"/>
            </w:r>
            <w:r>
              <w:rPr>
                <w:rStyle w:val="11"/>
                <w:rFonts w:hint="eastAsia"/>
              </w:rPr>
              <w:t>标注"限制使用"字样、标注规定的杀鼠剂图形</w:t>
            </w:r>
          </w:p>
        </w:tc>
      </w:tr>
    </w:tbl>
    <w:p w14:paraId="3C0807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1E1563">
        <w:tblPrEx>
          <w:tblCellMar>
            <w:top w:w="0" w:type="dxa"/>
            <w:left w:w="0" w:type="dxa"/>
            <w:bottom w:w="0" w:type="dxa"/>
            <w:right w:w="0" w:type="dxa"/>
          </w:tblCellMar>
        </w:tblPrEx>
        <w:trPr>
          <w:wBefore w:w="0" w:type="auto"/>
          <w:tblCellSpacing w:w="0" w:type="dxa"/>
        </w:trPr>
        <w:tc>
          <w:tcPr>
            <w:tcW w:w="0" w:type="auto"/>
            <w:noWrap w:val="0"/>
            <w:vAlign w:val="center"/>
          </w:tcPr>
          <w:p w14:paraId="20A40D39">
            <w:r>
              <w:rPr>
                <w:rStyle w:val="10"/>
                <w:rFonts w:hint="eastAsia"/>
              </w:rPr>
              <w:t>登记证号：</w:t>
            </w:r>
            <w:r>
              <w:rPr>
                <w:rFonts w:hint="eastAsia"/>
              </w:rPr>
              <w:t>PD20212460</w:t>
            </w:r>
          </w:p>
        </w:tc>
      </w:tr>
      <w:tr w14:paraId="11CE263A">
        <w:tblPrEx>
          <w:tblCellMar>
            <w:top w:w="0" w:type="dxa"/>
            <w:left w:w="0" w:type="dxa"/>
            <w:bottom w:w="0" w:type="dxa"/>
            <w:right w:w="0" w:type="dxa"/>
          </w:tblCellMar>
        </w:tblPrEx>
        <w:trPr>
          <w:wBefore w:w="0" w:type="auto"/>
          <w:tblCellSpacing w:w="0" w:type="dxa"/>
        </w:trPr>
        <w:tc>
          <w:tcPr>
            <w:tcW w:w="0" w:type="auto"/>
            <w:noWrap w:val="0"/>
            <w:vAlign w:val="center"/>
          </w:tcPr>
          <w:p w14:paraId="0281F89A">
            <w:r>
              <w:rPr>
                <w:rStyle w:val="10"/>
                <w:rFonts w:hint="eastAsia"/>
              </w:rPr>
              <w:t>登记证持有人：</w:t>
            </w:r>
            <w:r>
              <w:rPr>
                <w:rFonts w:hint="eastAsia"/>
              </w:rPr>
              <w:t>开封市汴梁种衣剂有限公司</w:t>
            </w:r>
          </w:p>
        </w:tc>
      </w:tr>
      <w:tr w14:paraId="03723395">
        <w:tblPrEx>
          <w:tblCellMar>
            <w:top w:w="0" w:type="dxa"/>
            <w:left w:w="0" w:type="dxa"/>
            <w:bottom w:w="0" w:type="dxa"/>
            <w:right w:w="0" w:type="dxa"/>
          </w:tblCellMar>
        </w:tblPrEx>
        <w:trPr>
          <w:wBefore w:w="0" w:type="auto"/>
          <w:tblCellSpacing w:w="0" w:type="dxa"/>
        </w:trPr>
        <w:tc>
          <w:tcPr>
            <w:tcW w:w="0" w:type="auto"/>
            <w:noWrap w:val="0"/>
            <w:vAlign w:val="center"/>
          </w:tcPr>
          <w:p w14:paraId="494F2300">
            <w:r>
              <w:rPr>
                <w:rStyle w:val="10"/>
                <w:rFonts w:hint="eastAsia"/>
              </w:rPr>
              <w:t>农药名称：</w:t>
            </w:r>
            <w:r>
              <w:rPr>
                <w:rFonts w:hint="eastAsia"/>
              </w:rPr>
              <w:t>苯醚甲环唑·辛硫磷</w:t>
            </w:r>
          </w:p>
        </w:tc>
      </w:tr>
      <w:tr w14:paraId="77667690">
        <w:tblPrEx>
          <w:tblCellMar>
            <w:top w:w="0" w:type="dxa"/>
            <w:left w:w="0" w:type="dxa"/>
            <w:bottom w:w="0" w:type="dxa"/>
            <w:right w:w="0" w:type="dxa"/>
          </w:tblCellMar>
        </w:tblPrEx>
        <w:trPr>
          <w:wBefore w:w="0" w:type="auto"/>
          <w:tblCellSpacing w:w="0" w:type="dxa"/>
        </w:trPr>
        <w:tc>
          <w:tcPr>
            <w:tcW w:w="0" w:type="auto"/>
            <w:noWrap w:val="0"/>
            <w:vAlign w:val="center"/>
          </w:tcPr>
          <w:p w14:paraId="5F19D5DB">
            <w:r>
              <w:rPr>
                <w:rStyle w:val="10"/>
                <w:rFonts w:hint="eastAsia"/>
              </w:rPr>
              <w:t>剂型：</w:t>
            </w:r>
            <w:r>
              <w:rPr>
                <w:rFonts w:hint="eastAsia"/>
              </w:rPr>
              <w:t>种子处理悬浮剂</w:t>
            </w:r>
          </w:p>
        </w:tc>
      </w:tr>
      <w:tr w14:paraId="10FE0430">
        <w:tblPrEx>
          <w:tblCellMar>
            <w:top w:w="0" w:type="dxa"/>
            <w:left w:w="0" w:type="dxa"/>
            <w:bottom w:w="0" w:type="dxa"/>
            <w:right w:w="0" w:type="dxa"/>
          </w:tblCellMar>
        </w:tblPrEx>
        <w:trPr>
          <w:wBefore w:w="0" w:type="auto"/>
          <w:tblCellSpacing w:w="0" w:type="dxa"/>
        </w:trPr>
        <w:tc>
          <w:tcPr>
            <w:tcW w:w="0" w:type="auto"/>
            <w:noWrap w:val="0"/>
            <w:vAlign w:val="center"/>
          </w:tcPr>
          <w:p w14:paraId="0D21DD73">
            <w:r>
              <w:rPr>
                <w:rStyle w:val="10"/>
                <w:rFonts w:hint="eastAsia"/>
              </w:rPr>
              <w:t>毒性及其标识：</w:t>
            </w:r>
            <w:r>
              <w:rPr>
                <w:rFonts w:hint="eastAsia"/>
              </w:rPr>
              <w:t xml:space="preserve"> </w:t>
            </w:r>
            <w:r>
              <w:rPr>
                <w:lang/>
              </w:rPr>
              <w:drawing>
                <wp:inline distT="0" distB="0" distL="114300" distR="114300">
                  <wp:extent cx="476250" cy="323850"/>
                  <wp:effectExtent l="0" t="0" r="0" b="0"/>
                  <wp:docPr id="374" name="图片 3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773EED">
        <w:tblPrEx>
          <w:tblCellMar>
            <w:top w:w="0" w:type="dxa"/>
            <w:left w:w="0" w:type="dxa"/>
            <w:bottom w:w="0" w:type="dxa"/>
            <w:right w:w="0" w:type="dxa"/>
          </w:tblCellMar>
        </w:tblPrEx>
        <w:trPr>
          <w:wBefore w:w="0" w:type="auto"/>
          <w:tblCellSpacing w:w="0" w:type="dxa"/>
        </w:trPr>
        <w:tc>
          <w:tcPr>
            <w:tcW w:w="0" w:type="auto"/>
            <w:noWrap w:val="0"/>
            <w:vAlign w:val="center"/>
          </w:tcPr>
          <w:p w14:paraId="10E055F9">
            <w:r>
              <w:rPr>
                <w:rStyle w:val="10"/>
                <w:rFonts w:hint="eastAsia"/>
              </w:rPr>
              <w:t>总有效成分含量：</w:t>
            </w:r>
            <w:r>
              <w:rPr>
                <w:rFonts w:hint="eastAsia"/>
              </w:rPr>
              <w:t>5%</w:t>
            </w:r>
          </w:p>
        </w:tc>
      </w:tr>
      <w:tr w14:paraId="1CCF4685">
        <w:tblPrEx>
          <w:tblCellMar>
            <w:top w:w="0" w:type="dxa"/>
            <w:left w:w="0" w:type="dxa"/>
            <w:bottom w:w="0" w:type="dxa"/>
            <w:right w:w="0" w:type="dxa"/>
          </w:tblCellMar>
        </w:tblPrEx>
        <w:trPr>
          <w:wBefore w:w="0" w:type="auto"/>
          <w:tblCellSpacing w:w="0" w:type="dxa"/>
        </w:trPr>
        <w:tc>
          <w:tcPr>
            <w:tcW w:w="0" w:type="auto"/>
            <w:noWrap w:val="0"/>
            <w:vAlign w:val="center"/>
          </w:tcPr>
          <w:p w14:paraId="2A78DA2D">
            <w:r>
              <w:rPr>
                <w:rFonts w:hint="eastAsia"/>
              </w:rPr>
              <w:t xml:space="preserve">有效成分及其含量： </w:t>
            </w:r>
          </w:p>
          <w:p w14:paraId="1CE095D1">
            <w:r>
              <w:rPr>
                <w:rFonts w:hint="eastAsia"/>
              </w:rPr>
              <w:t xml:space="preserve">    苯醚甲环唑0.9%    辛硫磷4.1%    </w:t>
            </w:r>
          </w:p>
        </w:tc>
      </w:tr>
      <w:tr w14:paraId="35436CDA">
        <w:tblPrEx>
          <w:tblCellMar>
            <w:top w:w="0" w:type="dxa"/>
            <w:left w:w="0" w:type="dxa"/>
            <w:bottom w:w="0" w:type="dxa"/>
            <w:right w:w="0" w:type="dxa"/>
          </w:tblCellMar>
        </w:tblPrEx>
        <w:trPr>
          <w:wBefore w:w="0" w:type="auto"/>
          <w:tblCellSpacing w:w="0" w:type="dxa"/>
        </w:trPr>
        <w:tc>
          <w:tcPr>
            <w:tcW w:w="0" w:type="auto"/>
            <w:noWrap w:val="0"/>
            <w:vAlign w:val="center"/>
          </w:tcPr>
          <w:p w14:paraId="3ED8A02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29E2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0067E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8498A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E69FD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0F6298">
                  <w:r>
                    <w:rPr>
                      <w:rStyle w:val="11"/>
                      <w:rFonts w:hint="eastAsia"/>
                    </w:rPr>
                    <w:t>施用方式</w:t>
                  </w:r>
                </w:p>
              </w:tc>
            </w:tr>
            <w:tr w14:paraId="14F734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0D006B">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93944">
                  <w:r>
                    <w:rPr>
                      <w:rStyle w:val="11"/>
                      <w:rFonts w:hint="eastAsia"/>
                    </w:rPr>
                    <w:t>金针虫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0205BD">
                  <w:r>
                    <w:rPr>
                      <w:rStyle w:val="11"/>
                      <w:rFonts w:hint="eastAsia"/>
                    </w:rPr>
                    <w:t>1800-2000毫升/100千克种子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6D3570">
                  <w:r>
                    <w:rPr>
                      <w:rStyle w:val="11"/>
                      <w:rFonts w:hint="eastAsia"/>
                    </w:rPr>
                    <w:t>种子包衣</w:t>
                  </w:r>
                </w:p>
              </w:tc>
            </w:tr>
            <w:tr w14:paraId="70C9F9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ED2D7B">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C3DC96">
                  <w:r>
                    <w:rPr>
                      <w:rStyle w:val="11"/>
                      <w:rFonts w:hint="eastAsia"/>
                    </w:rPr>
                    <w:t>全蚀病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42E1D0">
                  <w:r>
                    <w:rPr>
                      <w:rStyle w:val="11"/>
                      <w:rFonts w:hint="eastAsia"/>
                    </w:rPr>
                    <w:t>1800-2000毫升/100千克种子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798CA8">
                  <w:r>
                    <w:rPr>
                      <w:rStyle w:val="11"/>
                      <w:rFonts w:hint="eastAsia"/>
                    </w:rPr>
                    <w:t>种子包衣</w:t>
                  </w:r>
                </w:p>
              </w:tc>
            </w:tr>
          </w:tbl>
          <w:p w14:paraId="3E681DBA">
            <w:pPr>
              <w:rPr>
                <w:rFonts w:ascii="Times New Roman" w:hAnsi="Times New Roman" w:cs="Times New Roman"/>
                <w:sz w:val="20"/>
                <w:szCs w:val="20"/>
              </w:rPr>
            </w:pPr>
          </w:p>
        </w:tc>
      </w:tr>
      <w:tr w14:paraId="4846299E">
        <w:tblPrEx>
          <w:tblCellMar>
            <w:top w:w="0" w:type="dxa"/>
            <w:left w:w="0" w:type="dxa"/>
            <w:bottom w:w="0" w:type="dxa"/>
            <w:right w:w="0" w:type="dxa"/>
          </w:tblCellMar>
        </w:tblPrEx>
        <w:trPr>
          <w:wBefore w:w="0" w:type="auto"/>
          <w:tblCellSpacing w:w="0" w:type="dxa"/>
        </w:trPr>
        <w:tc>
          <w:tcPr>
            <w:tcW w:w="0" w:type="auto"/>
            <w:noWrap w:val="0"/>
            <w:vAlign w:val="center"/>
          </w:tcPr>
          <w:p w14:paraId="1F36796B">
            <w:r>
              <w:rPr>
                <w:rStyle w:val="10"/>
                <w:rFonts w:hint="eastAsia"/>
              </w:rPr>
              <w:t>使用技术要求:</w:t>
            </w:r>
            <w:r>
              <w:rPr>
                <w:rFonts w:hint="eastAsia"/>
              </w:rPr>
              <w:br w:type="textWrapping"/>
            </w:r>
            <w:r>
              <w:rPr>
                <w:rStyle w:val="11"/>
                <w:rFonts w:hint="eastAsia"/>
              </w:rPr>
              <w:t>1. 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15320E5F">
        <w:tblPrEx>
          <w:tblCellMar>
            <w:top w:w="0" w:type="dxa"/>
            <w:left w:w="0" w:type="dxa"/>
            <w:bottom w:w="0" w:type="dxa"/>
            <w:right w:w="0" w:type="dxa"/>
          </w:tblCellMar>
        </w:tblPrEx>
        <w:trPr>
          <w:wBefore w:w="0" w:type="auto"/>
          <w:tblCellSpacing w:w="0" w:type="dxa"/>
        </w:trPr>
        <w:tc>
          <w:tcPr>
            <w:tcW w:w="0" w:type="auto"/>
            <w:noWrap w:val="0"/>
            <w:vAlign w:val="center"/>
          </w:tcPr>
          <w:p w14:paraId="7471A3D4">
            <w:r>
              <w:rPr>
                <w:rStyle w:val="10"/>
                <w:rFonts w:hint="eastAsia"/>
              </w:rPr>
              <w:t>产品性能:</w:t>
            </w:r>
            <w:r>
              <w:rPr>
                <w:rFonts w:hint="eastAsia"/>
              </w:rPr>
              <w:br w:type="textWrapping"/>
            </w:r>
            <w:r>
              <w:rPr>
                <w:rStyle w:val="11"/>
                <w:rFonts w:hint="eastAsia"/>
              </w:rPr>
              <w:t xml:space="preserve">本产品是由苯醚甲环唑和辛硫磷及相关助剂加工而成的混配制剂，可有效防治小麦金针虫和全蚀病。 </w:t>
            </w:r>
          </w:p>
        </w:tc>
      </w:tr>
      <w:tr w14:paraId="112B59CD">
        <w:tblPrEx>
          <w:tblCellMar>
            <w:top w:w="0" w:type="dxa"/>
            <w:left w:w="0" w:type="dxa"/>
            <w:bottom w:w="0" w:type="dxa"/>
            <w:right w:w="0" w:type="dxa"/>
          </w:tblCellMar>
        </w:tblPrEx>
        <w:trPr>
          <w:wBefore w:w="0" w:type="auto"/>
          <w:tblCellSpacing w:w="0" w:type="dxa"/>
        </w:trPr>
        <w:tc>
          <w:tcPr>
            <w:tcW w:w="0" w:type="auto"/>
            <w:noWrap w:val="0"/>
            <w:vAlign w:val="center"/>
          </w:tcPr>
          <w:p w14:paraId="1E1D2167">
            <w:r>
              <w:rPr>
                <w:rStyle w:val="10"/>
                <w:rFonts w:hint="eastAsia"/>
              </w:rPr>
              <w:t>注意事项：</w:t>
            </w:r>
            <w:r>
              <w:rPr>
                <w:rFonts w:hint="eastAsia"/>
              </w:rPr>
              <w:br w:type="textWrapping"/>
            </w:r>
            <w:r>
              <w:rPr>
                <w:rStyle w:val="11"/>
                <w:rFonts w:hint="eastAsia"/>
              </w:rPr>
              <w:t>1.使用本品时应采取安全防护措施，穿防护服，戴口罩、手套，避免刺激眼睛、皮肤接触及口鼻吸入，切勿吸烟或饮食。使用后及时洗手。 2.本品对鸟类有毒，鸟类保护区附近禁用，播种后立即覆土。远离水产养殖区、河塘等水体施药，禁止在河塘等水体中清洗施药器具。 3. 处理后的种子禁止供人畜食用，也不要与未处理种子混合或一起存放。4.本品勿与碱性农药等物质混合使用。5.用过的容器应妥善处理，不可做他用，也不可随意丢弃。6.孕妇及哺乳期妇女禁止接触本品。</w:t>
            </w:r>
          </w:p>
        </w:tc>
      </w:tr>
      <w:tr w14:paraId="09D8BFBF">
        <w:tblPrEx>
          <w:tblCellMar>
            <w:top w:w="0" w:type="dxa"/>
            <w:left w:w="0" w:type="dxa"/>
            <w:bottom w:w="0" w:type="dxa"/>
            <w:right w:w="0" w:type="dxa"/>
          </w:tblCellMar>
        </w:tblPrEx>
        <w:trPr>
          <w:wBefore w:w="0" w:type="auto"/>
          <w:tblCellSpacing w:w="0" w:type="dxa"/>
        </w:trPr>
        <w:tc>
          <w:tcPr>
            <w:tcW w:w="0" w:type="auto"/>
            <w:noWrap w:val="0"/>
            <w:vAlign w:val="center"/>
          </w:tcPr>
          <w:p w14:paraId="4CCDA33C">
            <w:r>
              <w:rPr>
                <w:rStyle w:val="10"/>
                <w:rFonts w:hint="eastAsia"/>
              </w:rPr>
              <w:t>中毒急救措施：</w:t>
            </w:r>
            <w:r>
              <w:rPr>
                <w:rFonts w:hint="eastAsia"/>
              </w:rPr>
              <w:br w:type="textWrapping"/>
            </w:r>
            <w:r>
              <w:rPr>
                <w:rStyle w:val="11"/>
                <w:rFonts w:hint="eastAsia"/>
              </w:rPr>
              <w:t xml:space="preserve">轻度中毒症状为头痛、头晕、恶心、呕吐、多汗、无力、胸闷、视力模糊、胃口不佳等。全血胆碱酶活力一般降至正常值的70-50%。中度中毒除上述症状外，还出现轻度呼吸困难、肌肉震颤、瞳孔缩小、精神恍惚、行走不稳、大汗、腹疼、腹泻。重者还会出现昏迷、抽搐、呼吸困难、口吐白沫、大小便失禁，惊厥，呼吸麻痹。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4.误服：请用清水充分漱口后，立即携带标签，送医就诊。（1）用阿托品1-5mg皮下或静脉注射（按中毒轻重而定）（2）用解磷定0.4-1.2g静脉注射（按中毒轻重而定）（3）禁用吗啡、茶硷、吩噻嗪、利血平。 </w:t>
            </w:r>
          </w:p>
        </w:tc>
      </w:tr>
      <w:tr w14:paraId="0D5D3C3E">
        <w:tblPrEx>
          <w:tblCellMar>
            <w:top w:w="0" w:type="dxa"/>
            <w:left w:w="0" w:type="dxa"/>
            <w:bottom w:w="0" w:type="dxa"/>
            <w:right w:w="0" w:type="dxa"/>
          </w:tblCellMar>
        </w:tblPrEx>
        <w:trPr>
          <w:wBefore w:w="0" w:type="auto"/>
          <w:tblCellSpacing w:w="0" w:type="dxa"/>
        </w:trPr>
        <w:tc>
          <w:tcPr>
            <w:tcW w:w="0" w:type="auto"/>
            <w:noWrap w:val="0"/>
            <w:vAlign w:val="center"/>
          </w:tcPr>
          <w:p w14:paraId="533083FF">
            <w:r>
              <w:rPr>
                <w:rStyle w:val="10"/>
                <w:rFonts w:hint="eastAsia"/>
              </w:rPr>
              <w:t>储存和运输方法：</w:t>
            </w:r>
            <w:r>
              <w:rPr>
                <w:rFonts w:hint="eastAsia"/>
              </w:rPr>
              <w:br w:type="textWrapping"/>
            </w:r>
            <w:r>
              <w:rPr>
                <w:rStyle w:val="11"/>
                <w:rFonts w:hint="eastAsia"/>
              </w:rPr>
              <w:t>本品应贮存在干燥、阴凉、通风、防雨处，远离火源和热源，置于儿童触及不到之处，并加锁；不能与食品、饮料、粮食、饲料等同贮同运。装卸运输时注意检查包装是否密封完整，轻拿轻放，不可倒置。</w:t>
            </w:r>
          </w:p>
        </w:tc>
      </w:tr>
      <w:tr w14:paraId="5BB1CD21">
        <w:tblPrEx>
          <w:tblCellMar>
            <w:top w:w="0" w:type="dxa"/>
            <w:left w:w="0" w:type="dxa"/>
            <w:bottom w:w="0" w:type="dxa"/>
            <w:right w:w="0" w:type="dxa"/>
          </w:tblCellMar>
        </w:tblPrEx>
        <w:trPr>
          <w:wBefore w:w="0" w:type="auto"/>
          <w:tblCellSpacing w:w="0" w:type="dxa"/>
        </w:trPr>
        <w:tc>
          <w:tcPr>
            <w:tcW w:w="0" w:type="auto"/>
            <w:noWrap w:val="0"/>
            <w:vAlign w:val="center"/>
          </w:tcPr>
          <w:p w14:paraId="25E4F3A7">
            <w:r>
              <w:rPr>
                <w:rStyle w:val="10"/>
                <w:rFonts w:hint="eastAsia"/>
              </w:rPr>
              <w:t>质量保证期：</w:t>
            </w:r>
            <w:r>
              <w:rPr>
                <w:rStyle w:val="11"/>
                <w:rFonts w:hint="eastAsia"/>
              </w:rPr>
              <w:t>2年</w:t>
            </w:r>
          </w:p>
        </w:tc>
      </w:tr>
      <w:tr w14:paraId="55575E80">
        <w:tblPrEx>
          <w:tblCellMar>
            <w:top w:w="0" w:type="dxa"/>
            <w:left w:w="0" w:type="dxa"/>
            <w:bottom w:w="0" w:type="dxa"/>
            <w:right w:w="0" w:type="dxa"/>
          </w:tblCellMar>
        </w:tblPrEx>
        <w:trPr>
          <w:wBefore w:w="0" w:type="auto"/>
          <w:tblCellSpacing w:w="0" w:type="dxa"/>
        </w:trPr>
        <w:tc>
          <w:tcPr>
            <w:tcW w:w="0" w:type="auto"/>
            <w:noWrap w:val="0"/>
            <w:vAlign w:val="center"/>
          </w:tcPr>
          <w:p w14:paraId="7E150840">
            <w:r>
              <w:rPr>
                <w:rStyle w:val="10"/>
                <w:rFonts w:hint="eastAsia"/>
              </w:rPr>
              <w:t>备注：</w:t>
            </w:r>
          </w:p>
        </w:tc>
      </w:tr>
    </w:tbl>
    <w:p w14:paraId="7BCD55F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0383B5">
        <w:tblPrEx>
          <w:tblCellMar>
            <w:top w:w="0" w:type="dxa"/>
            <w:left w:w="0" w:type="dxa"/>
            <w:bottom w:w="0" w:type="dxa"/>
            <w:right w:w="0" w:type="dxa"/>
          </w:tblCellMar>
        </w:tblPrEx>
        <w:trPr>
          <w:wBefore w:w="0" w:type="auto"/>
          <w:tblCellSpacing w:w="0" w:type="dxa"/>
        </w:trPr>
        <w:tc>
          <w:tcPr>
            <w:tcW w:w="0" w:type="auto"/>
            <w:noWrap w:val="0"/>
            <w:vAlign w:val="center"/>
          </w:tcPr>
          <w:p w14:paraId="6D27F8A3">
            <w:r>
              <w:rPr>
                <w:rStyle w:val="10"/>
                <w:rFonts w:hint="eastAsia"/>
              </w:rPr>
              <w:t>登记证号：</w:t>
            </w:r>
            <w:r>
              <w:rPr>
                <w:rFonts w:hint="eastAsia"/>
              </w:rPr>
              <w:t>WP20210426</w:t>
            </w:r>
          </w:p>
        </w:tc>
      </w:tr>
      <w:tr w14:paraId="38C38CF4">
        <w:tblPrEx>
          <w:tblCellMar>
            <w:top w:w="0" w:type="dxa"/>
            <w:left w:w="0" w:type="dxa"/>
            <w:bottom w:w="0" w:type="dxa"/>
            <w:right w:w="0" w:type="dxa"/>
          </w:tblCellMar>
        </w:tblPrEx>
        <w:trPr>
          <w:wBefore w:w="0" w:type="auto"/>
          <w:tblCellSpacing w:w="0" w:type="dxa"/>
        </w:trPr>
        <w:tc>
          <w:tcPr>
            <w:tcW w:w="0" w:type="auto"/>
            <w:noWrap w:val="0"/>
            <w:vAlign w:val="center"/>
          </w:tcPr>
          <w:p w14:paraId="3AC45717">
            <w:r>
              <w:rPr>
                <w:rStyle w:val="10"/>
                <w:rFonts w:hint="eastAsia"/>
              </w:rPr>
              <w:t>登记证持有人：</w:t>
            </w:r>
            <w:r>
              <w:rPr>
                <w:rFonts w:hint="eastAsia"/>
              </w:rPr>
              <w:t>荷丽娜有限公司</w:t>
            </w:r>
          </w:p>
        </w:tc>
      </w:tr>
      <w:tr w14:paraId="61DDDA41">
        <w:tblPrEx>
          <w:tblCellMar>
            <w:top w:w="0" w:type="dxa"/>
            <w:left w:w="0" w:type="dxa"/>
            <w:bottom w:w="0" w:type="dxa"/>
            <w:right w:w="0" w:type="dxa"/>
          </w:tblCellMar>
        </w:tblPrEx>
        <w:trPr>
          <w:wBefore w:w="0" w:type="auto"/>
          <w:tblCellSpacing w:w="0" w:type="dxa"/>
        </w:trPr>
        <w:tc>
          <w:tcPr>
            <w:tcW w:w="0" w:type="auto"/>
            <w:noWrap w:val="0"/>
            <w:vAlign w:val="center"/>
          </w:tcPr>
          <w:p w14:paraId="406C6EAA">
            <w:r>
              <w:rPr>
                <w:rStyle w:val="10"/>
                <w:rFonts w:hint="eastAsia"/>
              </w:rPr>
              <w:t>农药名称：</w:t>
            </w:r>
            <w:r>
              <w:rPr>
                <w:rFonts w:hint="eastAsia"/>
              </w:rPr>
              <w:t>驱蚊液</w:t>
            </w:r>
          </w:p>
        </w:tc>
      </w:tr>
      <w:tr w14:paraId="22B89A83">
        <w:tblPrEx>
          <w:tblCellMar>
            <w:top w:w="0" w:type="dxa"/>
            <w:left w:w="0" w:type="dxa"/>
            <w:bottom w:w="0" w:type="dxa"/>
            <w:right w:w="0" w:type="dxa"/>
          </w:tblCellMar>
        </w:tblPrEx>
        <w:trPr>
          <w:wBefore w:w="0" w:type="auto"/>
          <w:tblCellSpacing w:w="0" w:type="dxa"/>
        </w:trPr>
        <w:tc>
          <w:tcPr>
            <w:tcW w:w="0" w:type="auto"/>
            <w:noWrap w:val="0"/>
            <w:vAlign w:val="center"/>
          </w:tcPr>
          <w:p w14:paraId="2B5BEA70">
            <w:r>
              <w:rPr>
                <w:rStyle w:val="10"/>
                <w:rFonts w:hint="eastAsia"/>
              </w:rPr>
              <w:t>剂型：</w:t>
            </w:r>
            <w:r>
              <w:rPr>
                <w:rFonts w:hint="eastAsia"/>
              </w:rPr>
              <w:t>驱蚊液</w:t>
            </w:r>
          </w:p>
        </w:tc>
      </w:tr>
      <w:tr w14:paraId="7C824F54">
        <w:tblPrEx>
          <w:tblCellMar>
            <w:top w:w="0" w:type="dxa"/>
            <w:left w:w="0" w:type="dxa"/>
            <w:bottom w:w="0" w:type="dxa"/>
            <w:right w:w="0" w:type="dxa"/>
          </w:tblCellMar>
        </w:tblPrEx>
        <w:trPr>
          <w:wBefore w:w="0" w:type="auto"/>
          <w:tblCellSpacing w:w="0" w:type="dxa"/>
        </w:trPr>
        <w:tc>
          <w:tcPr>
            <w:tcW w:w="0" w:type="auto"/>
            <w:noWrap w:val="0"/>
            <w:vAlign w:val="center"/>
          </w:tcPr>
          <w:p w14:paraId="2D4B7BEF">
            <w:r>
              <w:rPr>
                <w:rStyle w:val="10"/>
                <w:rFonts w:hint="eastAsia"/>
              </w:rPr>
              <w:t>毒性及其标识：</w:t>
            </w:r>
            <w:r>
              <w:rPr>
                <w:rFonts w:hint="eastAsia"/>
              </w:rPr>
              <w:t xml:space="preserve"> 微毒 </w:t>
            </w:r>
          </w:p>
        </w:tc>
      </w:tr>
      <w:tr w14:paraId="00E2D337">
        <w:tblPrEx>
          <w:tblCellMar>
            <w:top w:w="0" w:type="dxa"/>
            <w:left w:w="0" w:type="dxa"/>
            <w:bottom w:w="0" w:type="dxa"/>
            <w:right w:w="0" w:type="dxa"/>
          </w:tblCellMar>
        </w:tblPrEx>
        <w:trPr>
          <w:wBefore w:w="0" w:type="auto"/>
          <w:tblCellSpacing w:w="0" w:type="dxa"/>
        </w:trPr>
        <w:tc>
          <w:tcPr>
            <w:tcW w:w="0" w:type="auto"/>
            <w:noWrap w:val="0"/>
            <w:vAlign w:val="center"/>
          </w:tcPr>
          <w:p w14:paraId="7961678B">
            <w:r>
              <w:rPr>
                <w:rStyle w:val="10"/>
                <w:rFonts w:hint="eastAsia"/>
              </w:rPr>
              <w:t>总有效成分含量：</w:t>
            </w:r>
            <w:r>
              <w:rPr>
                <w:rFonts w:hint="eastAsia"/>
              </w:rPr>
              <w:t>15%</w:t>
            </w:r>
          </w:p>
        </w:tc>
      </w:tr>
      <w:tr w14:paraId="2DFE8AB0">
        <w:tblPrEx>
          <w:tblCellMar>
            <w:top w:w="0" w:type="dxa"/>
            <w:left w:w="0" w:type="dxa"/>
            <w:bottom w:w="0" w:type="dxa"/>
            <w:right w:w="0" w:type="dxa"/>
          </w:tblCellMar>
        </w:tblPrEx>
        <w:trPr>
          <w:wBefore w:w="0" w:type="auto"/>
          <w:tblCellSpacing w:w="0" w:type="dxa"/>
        </w:trPr>
        <w:tc>
          <w:tcPr>
            <w:tcW w:w="0" w:type="auto"/>
            <w:noWrap w:val="0"/>
            <w:vAlign w:val="center"/>
          </w:tcPr>
          <w:p w14:paraId="0A00455C">
            <w:r>
              <w:rPr>
                <w:rFonts w:hint="eastAsia"/>
              </w:rPr>
              <w:t xml:space="preserve">有效成分及其含量： </w:t>
            </w:r>
          </w:p>
          <w:p w14:paraId="23B94462">
            <w:r>
              <w:rPr>
                <w:rFonts w:hint="eastAsia"/>
              </w:rPr>
              <w:t xml:space="preserve">    避蚊胺15%    </w:t>
            </w:r>
          </w:p>
        </w:tc>
      </w:tr>
      <w:tr w14:paraId="3C44BF5A">
        <w:tblPrEx>
          <w:tblCellMar>
            <w:top w:w="0" w:type="dxa"/>
            <w:left w:w="0" w:type="dxa"/>
            <w:bottom w:w="0" w:type="dxa"/>
            <w:right w:w="0" w:type="dxa"/>
          </w:tblCellMar>
        </w:tblPrEx>
        <w:trPr>
          <w:wBefore w:w="0" w:type="auto"/>
          <w:tblCellSpacing w:w="0" w:type="dxa"/>
        </w:trPr>
        <w:tc>
          <w:tcPr>
            <w:tcW w:w="0" w:type="auto"/>
            <w:noWrap w:val="0"/>
            <w:vAlign w:val="center"/>
          </w:tcPr>
          <w:p w14:paraId="3F23D4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0731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D942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E8B0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7D88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689659">
                  <w:r>
                    <w:rPr>
                      <w:rStyle w:val="11"/>
                      <w:rFonts w:hint="eastAsia"/>
                    </w:rPr>
                    <w:t>施用方式</w:t>
                  </w:r>
                </w:p>
              </w:tc>
            </w:tr>
            <w:tr w14:paraId="6DA178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F9C13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9C669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0DB88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216960">
                  <w:r>
                    <w:rPr>
                      <w:rStyle w:val="11"/>
                      <w:rFonts w:hint="eastAsia"/>
                    </w:rPr>
                    <w:t>涂抹</w:t>
                  </w:r>
                </w:p>
              </w:tc>
            </w:tr>
          </w:tbl>
          <w:p w14:paraId="51A531B0">
            <w:pPr>
              <w:rPr>
                <w:rFonts w:ascii="Times New Roman" w:hAnsi="Times New Roman" w:cs="Times New Roman"/>
                <w:sz w:val="20"/>
                <w:szCs w:val="20"/>
              </w:rPr>
            </w:pPr>
          </w:p>
        </w:tc>
      </w:tr>
      <w:tr w14:paraId="1BD0063C">
        <w:tblPrEx>
          <w:tblCellMar>
            <w:top w:w="0" w:type="dxa"/>
            <w:left w:w="0" w:type="dxa"/>
            <w:bottom w:w="0" w:type="dxa"/>
            <w:right w:w="0" w:type="dxa"/>
          </w:tblCellMar>
        </w:tblPrEx>
        <w:trPr>
          <w:wBefore w:w="0" w:type="auto"/>
          <w:tblCellSpacing w:w="0" w:type="dxa"/>
        </w:trPr>
        <w:tc>
          <w:tcPr>
            <w:tcW w:w="0" w:type="auto"/>
            <w:noWrap w:val="0"/>
            <w:vAlign w:val="center"/>
          </w:tcPr>
          <w:p w14:paraId="440FBB4C">
            <w:r>
              <w:rPr>
                <w:rStyle w:val="10"/>
                <w:rFonts w:hint="eastAsia"/>
              </w:rPr>
              <w:t>使用技术要求:</w:t>
            </w:r>
            <w:r>
              <w:rPr>
                <w:rFonts w:hint="eastAsia"/>
              </w:rPr>
              <w:br w:type="textWrapping"/>
            </w:r>
            <w:r>
              <w:rPr>
                <w:rStyle w:val="11"/>
                <w:rFonts w:hint="eastAsia"/>
              </w:rPr>
              <w:t>打开喷嘴喷适量驱蚊液于皮肤表面，然后均匀涂抹于皮肤表面，避开眼部和破损皮肤。</w:t>
            </w:r>
          </w:p>
        </w:tc>
      </w:tr>
      <w:tr w14:paraId="6A11ADF5">
        <w:tblPrEx>
          <w:tblCellMar>
            <w:top w:w="0" w:type="dxa"/>
            <w:left w:w="0" w:type="dxa"/>
            <w:bottom w:w="0" w:type="dxa"/>
            <w:right w:w="0" w:type="dxa"/>
          </w:tblCellMar>
        </w:tblPrEx>
        <w:trPr>
          <w:wBefore w:w="0" w:type="auto"/>
          <w:tblCellSpacing w:w="0" w:type="dxa"/>
        </w:trPr>
        <w:tc>
          <w:tcPr>
            <w:tcW w:w="0" w:type="auto"/>
            <w:noWrap w:val="0"/>
            <w:vAlign w:val="center"/>
          </w:tcPr>
          <w:p w14:paraId="6C997A9C">
            <w:r>
              <w:rPr>
                <w:rStyle w:val="10"/>
                <w:rFonts w:hint="eastAsia"/>
              </w:rPr>
              <w:t>产品性能:</w:t>
            </w:r>
            <w:r>
              <w:rPr>
                <w:rFonts w:hint="eastAsia"/>
              </w:rPr>
              <w:br w:type="textWrapping"/>
            </w:r>
            <w:r>
              <w:rPr>
                <w:rStyle w:val="11"/>
                <w:rFonts w:hint="eastAsia"/>
              </w:rPr>
              <w:t>有效驱蚊6小时。气味清香。</w:t>
            </w:r>
          </w:p>
        </w:tc>
      </w:tr>
      <w:tr w14:paraId="4368BA94">
        <w:tblPrEx>
          <w:tblCellMar>
            <w:top w:w="0" w:type="dxa"/>
            <w:left w:w="0" w:type="dxa"/>
            <w:bottom w:w="0" w:type="dxa"/>
            <w:right w:w="0" w:type="dxa"/>
          </w:tblCellMar>
        </w:tblPrEx>
        <w:trPr>
          <w:wBefore w:w="0" w:type="auto"/>
          <w:tblCellSpacing w:w="0" w:type="dxa"/>
        </w:trPr>
        <w:tc>
          <w:tcPr>
            <w:tcW w:w="0" w:type="auto"/>
            <w:noWrap w:val="0"/>
            <w:vAlign w:val="center"/>
          </w:tcPr>
          <w:p w14:paraId="31CAB34C">
            <w:r>
              <w:rPr>
                <w:rStyle w:val="10"/>
                <w:rFonts w:hint="eastAsia"/>
              </w:rPr>
              <w:t>注意事项：</w:t>
            </w:r>
            <w:r>
              <w:rPr>
                <w:rFonts w:hint="eastAsia"/>
              </w:rPr>
              <w:br w:type="textWrapping"/>
            </w:r>
            <w:r>
              <w:rPr>
                <w:rStyle w:val="11"/>
                <w:rFonts w:hint="eastAsia"/>
              </w:rPr>
              <w:t>本品对眼睛有刺激性，勿用于眼睛及周边皮肤。皮炎及 皮肤破损者禁用。本品禁食。过敏者慎用。用后洗手。 使用中有任何不良反应及时就医。 孕妇及哺乳期妇女禁止接触。</w:t>
            </w:r>
          </w:p>
        </w:tc>
      </w:tr>
      <w:tr w14:paraId="1963EB19">
        <w:tblPrEx>
          <w:tblCellMar>
            <w:top w:w="0" w:type="dxa"/>
            <w:left w:w="0" w:type="dxa"/>
            <w:bottom w:w="0" w:type="dxa"/>
            <w:right w:w="0" w:type="dxa"/>
          </w:tblCellMar>
        </w:tblPrEx>
        <w:trPr>
          <w:wBefore w:w="0" w:type="auto"/>
          <w:tblCellSpacing w:w="0" w:type="dxa"/>
        </w:trPr>
        <w:tc>
          <w:tcPr>
            <w:tcW w:w="0" w:type="auto"/>
            <w:noWrap w:val="0"/>
            <w:vAlign w:val="center"/>
          </w:tcPr>
          <w:p w14:paraId="7421CFAC">
            <w:r>
              <w:rPr>
                <w:rStyle w:val="10"/>
                <w:rFonts w:hint="eastAsia"/>
              </w:rPr>
              <w:t>中毒急救措施：</w:t>
            </w:r>
            <w:r>
              <w:rPr>
                <w:rFonts w:hint="eastAsia"/>
              </w:rPr>
              <w:br w:type="textWrapping"/>
            </w:r>
            <w:r>
              <w:rPr>
                <w:rStyle w:val="11"/>
                <w:rFonts w:hint="eastAsia"/>
              </w:rPr>
              <w:t xml:space="preserve">勿触及眼睛、嘴及受损皮肤，若触及请用大量清水冲洗或就 医。若有误食，大量饮水并及时就医。 </w:t>
            </w:r>
          </w:p>
        </w:tc>
      </w:tr>
      <w:tr w14:paraId="602B2D7E">
        <w:tblPrEx>
          <w:tblCellMar>
            <w:top w:w="0" w:type="dxa"/>
            <w:left w:w="0" w:type="dxa"/>
            <w:bottom w:w="0" w:type="dxa"/>
            <w:right w:w="0" w:type="dxa"/>
          </w:tblCellMar>
        </w:tblPrEx>
        <w:trPr>
          <w:wBefore w:w="0" w:type="auto"/>
          <w:tblCellSpacing w:w="0" w:type="dxa"/>
        </w:trPr>
        <w:tc>
          <w:tcPr>
            <w:tcW w:w="0" w:type="auto"/>
            <w:noWrap w:val="0"/>
            <w:vAlign w:val="center"/>
          </w:tcPr>
          <w:p w14:paraId="5BC12C98">
            <w:r>
              <w:rPr>
                <w:rStyle w:val="10"/>
                <w:rFonts w:hint="eastAsia"/>
              </w:rPr>
              <w:t>储存和运输方法：</w:t>
            </w:r>
            <w:r>
              <w:rPr>
                <w:rFonts w:hint="eastAsia"/>
              </w:rPr>
              <w:br w:type="textWrapping"/>
            </w:r>
            <w:r>
              <w:rPr>
                <w:rStyle w:val="11"/>
                <w:rFonts w:hint="eastAsia"/>
              </w:rPr>
              <w:t>避免接触聚氯乙烯、树脂等有机材料。勿与食品、种子、饮 料、饲料和易燃易爆品同贮同运。放置于儿童、无关人员触及不到之处。</w:t>
            </w:r>
          </w:p>
        </w:tc>
      </w:tr>
      <w:tr w14:paraId="6ED2AA44">
        <w:tblPrEx>
          <w:tblCellMar>
            <w:top w:w="0" w:type="dxa"/>
            <w:left w:w="0" w:type="dxa"/>
            <w:bottom w:w="0" w:type="dxa"/>
            <w:right w:w="0" w:type="dxa"/>
          </w:tblCellMar>
        </w:tblPrEx>
        <w:trPr>
          <w:wBefore w:w="0" w:type="auto"/>
          <w:tblCellSpacing w:w="0" w:type="dxa"/>
        </w:trPr>
        <w:tc>
          <w:tcPr>
            <w:tcW w:w="0" w:type="auto"/>
            <w:noWrap w:val="0"/>
            <w:vAlign w:val="center"/>
          </w:tcPr>
          <w:p w14:paraId="66149C46">
            <w:r>
              <w:rPr>
                <w:rStyle w:val="10"/>
                <w:rFonts w:hint="eastAsia"/>
              </w:rPr>
              <w:t>质量保证期：</w:t>
            </w:r>
            <w:r>
              <w:rPr>
                <w:rStyle w:val="11"/>
                <w:rFonts w:hint="eastAsia"/>
              </w:rPr>
              <w:t>2年</w:t>
            </w:r>
          </w:p>
        </w:tc>
      </w:tr>
      <w:tr w14:paraId="6A4A3B57">
        <w:tblPrEx>
          <w:tblCellMar>
            <w:top w:w="0" w:type="dxa"/>
            <w:left w:w="0" w:type="dxa"/>
            <w:bottom w:w="0" w:type="dxa"/>
            <w:right w:w="0" w:type="dxa"/>
          </w:tblCellMar>
        </w:tblPrEx>
        <w:trPr>
          <w:wBefore w:w="0" w:type="auto"/>
          <w:tblCellSpacing w:w="0" w:type="dxa"/>
        </w:trPr>
        <w:tc>
          <w:tcPr>
            <w:tcW w:w="0" w:type="auto"/>
            <w:noWrap w:val="0"/>
            <w:vAlign w:val="center"/>
          </w:tcPr>
          <w:p w14:paraId="70A53452">
            <w:r>
              <w:rPr>
                <w:rStyle w:val="10"/>
                <w:rFonts w:hint="eastAsia"/>
              </w:rPr>
              <w:t>备注：</w:t>
            </w:r>
          </w:p>
        </w:tc>
      </w:tr>
    </w:tbl>
    <w:p w14:paraId="78487BD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338FFD">
        <w:tblPrEx>
          <w:tblCellMar>
            <w:top w:w="0" w:type="dxa"/>
            <w:left w:w="0" w:type="dxa"/>
            <w:bottom w:w="0" w:type="dxa"/>
            <w:right w:w="0" w:type="dxa"/>
          </w:tblCellMar>
        </w:tblPrEx>
        <w:trPr>
          <w:wBefore w:w="0" w:type="auto"/>
          <w:tblCellSpacing w:w="0" w:type="dxa"/>
        </w:trPr>
        <w:tc>
          <w:tcPr>
            <w:tcW w:w="0" w:type="auto"/>
            <w:noWrap w:val="0"/>
            <w:vAlign w:val="center"/>
          </w:tcPr>
          <w:p w14:paraId="41752533">
            <w:r>
              <w:rPr>
                <w:rStyle w:val="10"/>
                <w:rFonts w:hint="eastAsia"/>
              </w:rPr>
              <w:t>登记证号：</w:t>
            </w:r>
            <w:r>
              <w:rPr>
                <w:rFonts w:hint="eastAsia"/>
              </w:rPr>
              <w:t>PD20212453</w:t>
            </w:r>
          </w:p>
        </w:tc>
      </w:tr>
      <w:tr w14:paraId="29450F6A">
        <w:tblPrEx>
          <w:tblCellMar>
            <w:top w:w="0" w:type="dxa"/>
            <w:left w:w="0" w:type="dxa"/>
            <w:bottom w:w="0" w:type="dxa"/>
            <w:right w:w="0" w:type="dxa"/>
          </w:tblCellMar>
        </w:tblPrEx>
        <w:trPr>
          <w:wBefore w:w="0" w:type="auto"/>
          <w:tblCellSpacing w:w="0" w:type="dxa"/>
        </w:trPr>
        <w:tc>
          <w:tcPr>
            <w:tcW w:w="0" w:type="auto"/>
            <w:noWrap w:val="0"/>
            <w:vAlign w:val="center"/>
          </w:tcPr>
          <w:p w14:paraId="3DC2020A">
            <w:r>
              <w:rPr>
                <w:rStyle w:val="10"/>
                <w:rFonts w:hint="eastAsia"/>
              </w:rPr>
              <w:t>登记证持有人：</w:t>
            </w:r>
            <w:r>
              <w:rPr>
                <w:rFonts w:hint="eastAsia"/>
              </w:rPr>
              <w:t>华北制药集团爱诺有限公司</w:t>
            </w:r>
          </w:p>
        </w:tc>
      </w:tr>
      <w:tr w14:paraId="1BD315D5">
        <w:tblPrEx>
          <w:tblCellMar>
            <w:top w:w="0" w:type="dxa"/>
            <w:left w:w="0" w:type="dxa"/>
            <w:bottom w:w="0" w:type="dxa"/>
            <w:right w:w="0" w:type="dxa"/>
          </w:tblCellMar>
        </w:tblPrEx>
        <w:trPr>
          <w:wBefore w:w="0" w:type="auto"/>
          <w:tblCellSpacing w:w="0" w:type="dxa"/>
        </w:trPr>
        <w:tc>
          <w:tcPr>
            <w:tcW w:w="0" w:type="auto"/>
            <w:noWrap w:val="0"/>
            <w:vAlign w:val="center"/>
          </w:tcPr>
          <w:p w14:paraId="2BBAC70C">
            <w:r>
              <w:rPr>
                <w:rStyle w:val="10"/>
                <w:rFonts w:hint="eastAsia"/>
              </w:rPr>
              <w:t>农药名称：</w:t>
            </w:r>
            <w:r>
              <w:rPr>
                <w:rFonts w:hint="eastAsia"/>
              </w:rPr>
              <w:t>甲维·虱螨脲</w:t>
            </w:r>
          </w:p>
        </w:tc>
      </w:tr>
      <w:tr w14:paraId="1AF60AAE">
        <w:tblPrEx>
          <w:tblCellMar>
            <w:top w:w="0" w:type="dxa"/>
            <w:left w:w="0" w:type="dxa"/>
            <w:bottom w:w="0" w:type="dxa"/>
            <w:right w:w="0" w:type="dxa"/>
          </w:tblCellMar>
        </w:tblPrEx>
        <w:trPr>
          <w:wBefore w:w="0" w:type="auto"/>
          <w:tblCellSpacing w:w="0" w:type="dxa"/>
        </w:trPr>
        <w:tc>
          <w:tcPr>
            <w:tcW w:w="0" w:type="auto"/>
            <w:noWrap w:val="0"/>
            <w:vAlign w:val="center"/>
          </w:tcPr>
          <w:p w14:paraId="41C2278F">
            <w:r>
              <w:rPr>
                <w:rStyle w:val="10"/>
                <w:rFonts w:hint="eastAsia"/>
              </w:rPr>
              <w:t>剂型：</w:t>
            </w:r>
            <w:r>
              <w:rPr>
                <w:rFonts w:hint="eastAsia"/>
              </w:rPr>
              <w:t>水分散粒剂</w:t>
            </w:r>
          </w:p>
        </w:tc>
      </w:tr>
      <w:tr w14:paraId="6802D88A">
        <w:tblPrEx>
          <w:tblCellMar>
            <w:top w:w="0" w:type="dxa"/>
            <w:left w:w="0" w:type="dxa"/>
            <w:bottom w:w="0" w:type="dxa"/>
            <w:right w:w="0" w:type="dxa"/>
          </w:tblCellMar>
        </w:tblPrEx>
        <w:trPr>
          <w:wBefore w:w="0" w:type="auto"/>
          <w:tblCellSpacing w:w="0" w:type="dxa"/>
        </w:trPr>
        <w:tc>
          <w:tcPr>
            <w:tcW w:w="0" w:type="auto"/>
            <w:noWrap w:val="0"/>
            <w:vAlign w:val="center"/>
          </w:tcPr>
          <w:p w14:paraId="489F7533">
            <w:r>
              <w:rPr>
                <w:rStyle w:val="10"/>
                <w:rFonts w:hint="eastAsia"/>
              </w:rPr>
              <w:t>毒性及其标识：</w:t>
            </w:r>
            <w:r>
              <w:rPr>
                <w:rFonts w:hint="eastAsia"/>
              </w:rPr>
              <w:t xml:space="preserve"> </w:t>
            </w:r>
            <w:r>
              <w:rPr>
                <w:lang/>
              </w:rPr>
              <w:drawing>
                <wp:inline distT="0" distB="0" distL="114300" distR="114300">
                  <wp:extent cx="476250" cy="323850"/>
                  <wp:effectExtent l="0" t="0" r="0" b="0"/>
                  <wp:docPr id="375" name="图片 3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5B165A">
        <w:tblPrEx>
          <w:tblCellMar>
            <w:top w:w="0" w:type="dxa"/>
            <w:left w:w="0" w:type="dxa"/>
            <w:bottom w:w="0" w:type="dxa"/>
            <w:right w:w="0" w:type="dxa"/>
          </w:tblCellMar>
        </w:tblPrEx>
        <w:trPr>
          <w:wBefore w:w="0" w:type="auto"/>
          <w:tblCellSpacing w:w="0" w:type="dxa"/>
        </w:trPr>
        <w:tc>
          <w:tcPr>
            <w:tcW w:w="0" w:type="auto"/>
            <w:noWrap w:val="0"/>
            <w:vAlign w:val="center"/>
          </w:tcPr>
          <w:p w14:paraId="3A003F6C">
            <w:r>
              <w:rPr>
                <w:rStyle w:val="10"/>
                <w:rFonts w:hint="eastAsia"/>
              </w:rPr>
              <w:t>总有效成分含量：</w:t>
            </w:r>
            <w:r>
              <w:rPr>
                <w:rFonts w:hint="eastAsia"/>
              </w:rPr>
              <w:t>45%</w:t>
            </w:r>
          </w:p>
        </w:tc>
      </w:tr>
      <w:tr w14:paraId="40A7C970">
        <w:tblPrEx>
          <w:tblCellMar>
            <w:top w:w="0" w:type="dxa"/>
            <w:left w:w="0" w:type="dxa"/>
            <w:bottom w:w="0" w:type="dxa"/>
            <w:right w:w="0" w:type="dxa"/>
          </w:tblCellMar>
        </w:tblPrEx>
        <w:trPr>
          <w:wBefore w:w="0" w:type="auto"/>
          <w:tblCellSpacing w:w="0" w:type="dxa"/>
        </w:trPr>
        <w:tc>
          <w:tcPr>
            <w:tcW w:w="0" w:type="auto"/>
            <w:noWrap w:val="0"/>
            <w:vAlign w:val="center"/>
          </w:tcPr>
          <w:p w14:paraId="50395056">
            <w:r>
              <w:rPr>
                <w:rFonts w:hint="eastAsia"/>
              </w:rPr>
              <w:t xml:space="preserve">有效成分及其含量： </w:t>
            </w:r>
          </w:p>
          <w:p w14:paraId="4A6A2A41">
            <w:r>
              <w:rPr>
                <w:rFonts w:hint="eastAsia"/>
              </w:rPr>
              <w:t xml:space="preserve">    富表甲氨基阿维菌素4.4%    虱螨脲40%    </w:t>
            </w:r>
          </w:p>
        </w:tc>
      </w:tr>
      <w:tr w14:paraId="02CB4B0D">
        <w:tblPrEx>
          <w:tblCellMar>
            <w:top w:w="0" w:type="dxa"/>
            <w:left w:w="0" w:type="dxa"/>
            <w:bottom w:w="0" w:type="dxa"/>
            <w:right w:w="0" w:type="dxa"/>
          </w:tblCellMar>
        </w:tblPrEx>
        <w:trPr>
          <w:wBefore w:w="0" w:type="auto"/>
          <w:tblCellSpacing w:w="0" w:type="dxa"/>
        </w:trPr>
        <w:tc>
          <w:tcPr>
            <w:tcW w:w="0" w:type="auto"/>
            <w:noWrap w:val="0"/>
            <w:vAlign w:val="center"/>
          </w:tcPr>
          <w:p w14:paraId="6E2884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06C65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3640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6278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3DC5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397E12">
                  <w:r>
                    <w:rPr>
                      <w:rStyle w:val="11"/>
                      <w:rFonts w:hint="eastAsia"/>
                    </w:rPr>
                    <w:t>施用方式</w:t>
                  </w:r>
                </w:p>
              </w:tc>
            </w:tr>
            <w:tr w14:paraId="3947FD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68587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A52B9F">
                  <w:r>
                    <w:rPr>
                      <w:rStyle w:val="11"/>
                      <w:rFonts w:hint="eastAsia"/>
                    </w:rPr>
                    <w:t>菜青虫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C9DFA">
                  <w:r>
                    <w:rPr>
                      <w:rStyle w:val="11"/>
                      <w:rFonts w:hint="eastAsia"/>
                    </w:rPr>
                    <w:t>6-8克/亩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89ABF8">
                  <w:r>
                    <w:rPr>
                      <w:rStyle w:val="11"/>
                      <w:rFonts w:hint="eastAsia"/>
                    </w:rPr>
                    <w:t>喷雾</w:t>
                  </w:r>
                </w:p>
              </w:tc>
            </w:tr>
          </w:tbl>
          <w:p w14:paraId="2F4A8808">
            <w:pPr>
              <w:rPr>
                <w:rFonts w:ascii="Times New Roman" w:hAnsi="Times New Roman" w:cs="Times New Roman"/>
                <w:sz w:val="20"/>
                <w:szCs w:val="20"/>
              </w:rPr>
            </w:pPr>
          </w:p>
        </w:tc>
      </w:tr>
      <w:tr w14:paraId="50A9974D">
        <w:tblPrEx>
          <w:tblCellMar>
            <w:top w:w="0" w:type="dxa"/>
            <w:left w:w="0" w:type="dxa"/>
            <w:bottom w:w="0" w:type="dxa"/>
            <w:right w:w="0" w:type="dxa"/>
          </w:tblCellMar>
        </w:tblPrEx>
        <w:trPr>
          <w:wBefore w:w="0" w:type="auto"/>
          <w:tblCellSpacing w:w="0" w:type="dxa"/>
        </w:trPr>
        <w:tc>
          <w:tcPr>
            <w:tcW w:w="0" w:type="auto"/>
            <w:noWrap w:val="0"/>
            <w:vAlign w:val="center"/>
          </w:tcPr>
          <w:p w14:paraId="13611838">
            <w:r>
              <w:rPr>
                <w:rStyle w:val="10"/>
                <w:rFonts w:hint="eastAsia"/>
              </w:rPr>
              <w:t>使用技术要求:</w:t>
            </w:r>
            <w:r>
              <w:rPr>
                <w:rFonts w:hint="eastAsia"/>
              </w:rPr>
              <w:br w:type="textWrapping"/>
            </w:r>
            <w:r>
              <w:rPr>
                <w:rStyle w:val="11"/>
                <w:rFonts w:hint="eastAsia"/>
              </w:rPr>
              <w:t>1.本品安全间隔期为7天，每季作物最多使用1次。 2.按照推荐剂量，于甘蓝菜青虫卵孵化盛期至低龄幼虫期喷雾施药1次。喷雾要均匀周到。 3.大风天或预计1小时内下雨请勿施药。</w:t>
            </w:r>
          </w:p>
        </w:tc>
      </w:tr>
      <w:tr w14:paraId="39C8178B">
        <w:tblPrEx>
          <w:tblCellMar>
            <w:top w:w="0" w:type="dxa"/>
            <w:left w:w="0" w:type="dxa"/>
            <w:bottom w:w="0" w:type="dxa"/>
            <w:right w:w="0" w:type="dxa"/>
          </w:tblCellMar>
        </w:tblPrEx>
        <w:trPr>
          <w:wBefore w:w="0" w:type="auto"/>
          <w:tblCellSpacing w:w="0" w:type="dxa"/>
        </w:trPr>
        <w:tc>
          <w:tcPr>
            <w:tcW w:w="0" w:type="auto"/>
            <w:noWrap w:val="0"/>
            <w:vAlign w:val="center"/>
          </w:tcPr>
          <w:p w14:paraId="55FA971E">
            <w:r>
              <w:rPr>
                <w:rStyle w:val="10"/>
                <w:rFonts w:hint="eastAsia"/>
              </w:rPr>
              <w:t>产品性能:</w:t>
            </w:r>
            <w:r>
              <w:rPr>
                <w:rFonts w:hint="eastAsia"/>
              </w:rPr>
              <w:br w:type="textWrapping"/>
            </w:r>
            <w:r>
              <w:rPr>
                <w:rStyle w:val="11"/>
                <w:rFonts w:hint="eastAsia"/>
              </w:rPr>
              <w:t xml:space="preserve">本品是由甲维盐和虱螨脲复配的杀虫剂，甲维盐具有触杀和胃毒作用，可导致害虫神经细胞功能全部丧失，迅速停止进食，且会发生不可逆转的麻痹行为，在之后的三四天之内，害虫死亡率达到最高；虱螨脲作用于幼虫,可阻止蜕皮过程从而杀死害虫，且持效期较长。两者复配可有效防治甘蓝菜青虫。 </w:t>
            </w:r>
          </w:p>
        </w:tc>
      </w:tr>
      <w:tr w14:paraId="02457525">
        <w:tblPrEx>
          <w:tblCellMar>
            <w:top w:w="0" w:type="dxa"/>
            <w:left w:w="0" w:type="dxa"/>
            <w:bottom w:w="0" w:type="dxa"/>
            <w:right w:w="0" w:type="dxa"/>
          </w:tblCellMar>
        </w:tblPrEx>
        <w:trPr>
          <w:wBefore w:w="0" w:type="auto"/>
          <w:tblCellSpacing w:w="0" w:type="dxa"/>
        </w:trPr>
        <w:tc>
          <w:tcPr>
            <w:tcW w:w="0" w:type="auto"/>
            <w:noWrap w:val="0"/>
            <w:vAlign w:val="center"/>
          </w:tcPr>
          <w:p w14:paraId="573A02D6">
            <w:r>
              <w:rPr>
                <w:rStyle w:val="10"/>
                <w:rFonts w:hint="eastAsia"/>
              </w:rPr>
              <w:t>注意事项：</w:t>
            </w:r>
            <w:r>
              <w:rPr>
                <w:rFonts w:hint="eastAsia"/>
              </w:rPr>
              <w:br w:type="textWrapping"/>
            </w:r>
            <w:r>
              <w:rPr>
                <w:rStyle w:val="11"/>
                <w:rFonts w:hint="eastAsia"/>
              </w:rPr>
              <w:t>1.本品对蜂鸟鱼蚕等生物有毒，施药应远离水产养殖区、河塘等水体，禁止在河塘等水体中清洗施药器具；（周围）开花植物花期禁用；蚕室及桑园附近禁用。 2.建议与其他作用机制不同的杀虫剂轮换使用以延缓抗药性产生。 3.使用时穿戴长衣、长裤、帽子、口罩、手套等安全防护措施。 避免吸入药液。施药期间不可吃东西和饮水。施药后应及时洗手和洗脸。 4.用过的容器应妥善处理，不可做他用，也不可随意丢弃。 5.孕妇及哺乳期妇女禁止接触。</w:t>
            </w:r>
          </w:p>
        </w:tc>
      </w:tr>
      <w:tr w14:paraId="3168E706">
        <w:tblPrEx>
          <w:tblCellMar>
            <w:top w:w="0" w:type="dxa"/>
            <w:left w:w="0" w:type="dxa"/>
            <w:bottom w:w="0" w:type="dxa"/>
            <w:right w:w="0" w:type="dxa"/>
          </w:tblCellMar>
        </w:tblPrEx>
        <w:trPr>
          <w:wBefore w:w="0" w:type="auto"/>
          <w:tblCellSpacing w:w="0" w:type="dxa"/>
        </w:trPr>
        <w:tc>
          <w:tcPr>
            <w:tcW w:w="0" w:type="auto"/>
            <w:noWrap w:val="0"/>
            <w:vAlign w:val="center"/>
          </w:tcPr>
          <w:p w14:paraId="6914627A">
            <w:r>
              <w:rPr>
                <w:rStyle w:val="10"/>
                <w:rFonts w:hint="eastAsia"/>
              </w:rPr>
              <w:t>中毒急救措施：</w:t>
            </w:r>
            <w:r>
              <w:rPr>
                <w:rFonts w:hint="eastAsia"/>
              </w:rPr>
              <w:br w:type="textWrapping"/>
            </w:r>
            <w:r>
              <w:rPr>
                <w:rStyle w:val="11"/>
                <w:rFonts w:hint="eastAsia"/>
              </w:rPr>
              <w:t>急救措施：使用中或使用后如感觉不适，立即停止工作，采取急救措施，并携带 此标签或说明书送医院就诊。 1.皮肤接触：脱去污染的衣物，用软布去除沾染农药，立即用大量清水和肥皂水 冲洗。 2.眼睛溅入：立即用流动清水冲洗至少15分钟。 3.吸入：立即离开施药现场，转移到空气清新处。 4.误食：立即停止服用，用清水充分漱口后，立即携带此标签或说明书到医院就 诊。 5.紧急治疗措施：立即引吐、洗胃，洗胃时应防止胃容物进入呼吸道。并给患者 服用吐根糖浆或麻黄素，但勿给昏迷患者催吐或灌任何东西。抢救时避免给患者 使用增强γ－氨基丁酸活性的药物，如巴比妥、丙戊酸等。</w:t>
            </w:r>
          </w:p>
        </w:tc>
      </w:tr>
      <w:tr w14:paraId="5E53E3FC">
        <w:tblPrEx>
          <w:tblCellMar>
            <w:top w:w="0" w:type="dxa"/>
            <w:left w:w="0" w:type="dxa"/>
            <w:bottom w:w="0" w:type="dxa"/>
            <w:right w:w="0" w:type="dxa"/>
          </w:tblCellMar>
        </w:tblPrEx>
        <w:trPr>
          <w:wBefore w:w="0" w:type="auto"/>
          <w:tblCellSpacing w:w="0" w:type="dxa"/>
        </w:trPr>
        <w:tc>
          <w:tcPr>
            <w:tcW w:w="0" w:type="auto"/>
            <w:noWrap w:val="0"/>
            <w:vAlign w:val="center"/>
          </w:tcPr>
          <w:p w14:paraId="24F955E9">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 之处并加锁。勿与食品、饮料、粮食、饲料等其他商品同贮同运。</w:t>
            </w:r>
          </w:p>
        </w:tc>
      </w:tr>
      <w:tr w14:paraId="28F4903E">
        <w:tblPrEx>
          <w:tblCellMar>
            <w:top w:w="0" w:type="dxa"/>
            <w:left w:w="0" w:type="dxa"/>
            <w:bottom w:w="0" w:type="dxa"/>
            <w:right w:w="0" w:type="dxa"/>
          </w:tblCellMar>
        </w:tblPrEx>
        <w:trPr>
          <w:wBefore w:w="0" w:type="auto"/>
          <w:tblCellSpacing w:w="0" w:type="dxa"/>
        </w:trPr>
        <w:tc>
          <w:tcPr>
            <w:tcW w:w="0" w:type="auto"/>
            <w:noWrap w:val="0"/>
            <w:vAlign w:val="center"/>
          </w:tcPr>
          <w:p w14:paraId="55349A91">
            <w:r>
              <w:rPr>
                <w:rStyle w:val="10"/>
                <w:rFonts w:hint="eastAsia"/>
              </w:rPr>
              <w:t>质量保证期：</w:t>
            </w:r>
            <w:r>
              <w:rPr>
                <w:rStyle w:val="11"/>
                <w:rFonts w:hint="eastAsia"/>
              </w:rPr>
              <w:t>2年</w:t>
            </w:r>
          </w:p>
        </w:tc>
      </w:tr>
      <w:tr w14:paraId="3F62D70A">
        <w:tblPrEx>
          <w:tblCellMar>
            <w:top w:w="0" w:type="dxa"/>
            <w:left w:w="0" w:type="dxa"/>
            <w:bottom w:w="0" w:type="dxa"/>
            <w:right w:w="0" w:type="dxa"/>
          </w:tblCellMar>
        </w:tblPrEx>
        <w:trPr>
          <w:wBefore w:w="0" w:type="auto"/>
          <w:tblCellSpacing w:w="0" w:type="dxa"/>
        </w:trPr>
        <w:tc>
          <w:tcPr>
            <w:tcW w:w="0" w:type="auto"/>
            <w:noWrap w:val="0"/>
            <w:vAlign w:val="center"/>
          </w:tcPr>
          <w:p w14:paraId="4F6F067D">
            <w:r>
              <w:rPr>
                <w:rStyle w:val="10"/>
                <w:rFonts w:hint="eastAsia"/>
              </w:rPr>
              <w:t>备注：</w:t>
            </w:r>
          </w:p>
        </w:tc>
      </w:tr>
    </w:tbl>
    <w:p w14:paraId="6650FF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C622E3">
        <w:tblPrEx>
          <w:tblCellMar>
            <w:top w:w="0" w:type="dxa"/>
            <w:left w:w="0" w:type="dxa"/>
            <w:bottom w:w="0" w:type="dxa"/>
            <w:right w:w="0" w:type="dxa"/>
          </w:tblCellMar>
        </w:tblPrEx>
        <w:trPr>
          <w:wBefore w:w="0" w:type="auto"/>
          <w:tblCellSpacing w:w="0" w:type="dxa"/>
        </w:trPr>
        <w:tc>
          <w:tcPr>
            <w:tcW w:w="0" w:type="auto"/>
            <w:noWrap w:val="0"/>
            <w:vAlign w:val="center"/>
          </w:tcPr>
          <w:p w14:paraId="35B04232">
            <w:r>
              <w:rPr>
                <w:rStyle w:val="10"/>
                <w:rFonts w:hint="eastAsia"/>
              </w:rPr>
              <w:t>登记证号：</w:t>
            </w:r>
            <w:r>
              <w:rPr>
                <w:rFonts w:hint="eastAsia"/>
              </w:rPr>
              <w:t>PD20212635</w:t>
            </w:r>
          </w:p>
        </w:tc>
      </w:tr>
      <w:tr w14:paraId="49FD1064">
        <w:tblPrEx>
          <w:tblCellMar>
            <w:top w:w="0" w:type="dxa"/>
            <w:left w:w="0" w:type="dxa"/>
            <w:bottom w:w="0" w:type="dxa"/>
            <w:right w:w="0" w:type="dxa"/>
          </w:tblCellMar>
        </w:tblPrEx>
        <w:trPr>
          <w:wBefore w:w="0" w:type="auto"/>
          <w:tblCellSpacing w:w="0" w:type="dxa"/>
        </w:trPr>
        <w:tc>
          <w:tcPr>
            <w:tcW w:w="0" w:type="auto"/>
            <w:noWrap w:val="0"/>
            <w:vAlign w:val="center"/>
          </w:tcPr>
          <w:p w14:paraId="3922CC78">
            <w:r>
              <w:rPr>
                <w:rStyle w:val="10"/>
                <w:rFonts w:hint="eastAsia"/>
              </w:rPr>
              <w:t>登记证持有人：</w:t>
            </w:r>
            <w:r>
              <w:rPr>
                <w:rFonts w:hint="eastAsia"/>
              </w:rPr>
              <w:t>上海沪联生物药业（夏邑）股份有限公司</w:t>
            </w:r>
          </w:p>
        </w:tc>
      </w:tr>
      <w:tr w14:paraId="3E5B63D7">
        <w:tblPrEx>
          <w:tblCellMar>
            <w:top w:w="0" w:type="dxa"/>
            <w:left w:w="0" w:type="dxa"/>
            <w:bottom w:w="0" w:type="dxa"/>
            <w:right w:w="0" w:type="dxa"/>
          </w:tblCellMar>
        </w:tblPrEx>
        <w:trPr>
          <w:wBefore w:w="0" w:type="auto"/>
          <w:tblCellSpacing w:w="0" w:type="dxa"/>
        </w:trPr>
        <w:tc>
          <w:tcPr>
            <w:tcW w:w="0" w:type="auto"/>
            <w:noWrap w:val="0"/>
            <w:vAlign w:val="center"/>
          </w:tcPr>
          <w:p w14:paraId="299CF0D2">
            <w:r>
              <w:rPr>
                <w:rStyle w:val="10"/>
                <w:rFonts w:hint="eastAsia"/>
              </w:rPr>
              <w:t>农药名称：</w:t>
            </w:r>
            <w:r>
              <w:rPr>
                <w:rFonts w:hint="eastAsia"/>
              </w:rPr>
              <w:t>草甘·三氯吡</w:t>
            </w:r>
          </w:p>
        </w:tc>
      </w:tr>
      <w:tr w14:paraId="32A1EFF1">
        <w:tblPrEx>
          <w:tblCellMar>
            <w:top w:w="0" w:type="dxa"/>
            <w:left w:w="0" w:type="dxa"/>
            <w:bottom w:w="0" w:type="dxa"/>
            <w:right w:w="0" w:type="dxa"/>
          </w:tblCellMar>
        </w:tblPrEx>
        <w:trPr>
          <w:wBefore w:w="0" w:type="auto"/>
          <w:tblCellSpacing w:w="0" w:type="dxa"/>
        </w:trPr>
        <w:tc>
          <w:tcPr>
            <w:tcW w:w="0" w:type="auto"/>
            <w:noWrap w:val="0"/>
            <w:vAlign w:val="center"/>
          </w:tcPr>
          <w:p w14:paraId="1B178F92">
            <w:r>
              <w:rPr>
                <w:rStyle w:val="10"/>
                <w:rFonts w:hint="eastAsia"/>
              </w:rPr>
              <w:t>剂型：</w:t>
            </w:r>
            <w:r>
              <w:rPr>
                <w:rFonts w:hint="eastAsia"/>
              </w:rPr>
              <w:t>可溶粉剂</w:t>
            </w:r>
          </w:p>
        </w:tc>
      </w:tr>
      <w:tr w14:paraId="69C4991F">
        <w:tblPrEx>
          <w:tblCellMar>
            <w:top w:w="0" w:type="dxa"/>
            <w:left w:w="0" w:type="dxa"/>
            <w:bottom w:w="0" w:type="dxa"/>
            <w:right w:w="0" w:type="dxa"/>
          </w:tblCellMar>
        </w:tblPrEx>
        <w:trPr>
          <w:wBefore w:w="0" w:type="auto"/>
          <w:tblCellSpacing w:w="0" w:type="dxa"/>
        </w:trPr>
        <w:tc>
          <w:tcPr>
            <w:tcW w:w="0" w:type="auto"/>
            <w:noWrap w:val="0"/>
            <w:vAlign w:val="center"/>
          </w:tcPr>
          <w:p w14:paraId="2F7A3E2A">
            <w:r>
              <w:rPr>
                <w:rStyle w:val="10"/>
                <w:rFonts w:hint="eastAsia"/>
              </w:rPr>
              <w:t>毒性及其标识：</w:t>
            </w:r>
            <w:r>
              <w:rPr>
                <w:rFonts w:hint="eastAsia"/>
              </w:rPr>
              <w:t xml:space="preserve"> </w:t>
            </w:r>
            <w:r>
              <w:rPr>
                <w:lang/>
              </w:rPr>
              <w:drawing>
                <wp:inline distT="0" distB="0" distL="114300" distR="114300">
                  <wp:extent cx="476250" cy="323850"/>
                  <wp:effectExtent l="0" t="0" r="0" b="0"/>
                  <wp:docPr id="376" name="图片 3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30FBA6F">
        <w:tblPrEx>
          <w:tblCellMar>
            <w:top w:w="0" w:type="dxa"/>
            <w:left w:w="0" w:type="dxa"/>
            <w:bottom w:w="0" w:type="dxa"/>
            <w:right w:w="0" w:type="dxa"/>
          </w:tblCellMar>
        </w:tblPrEx>
        <w:trPr>
          <w:wBefore w:w="0" w:type="auto"/>
          <w:tblCellSpacing w:w="0" w:type="dxa"/>
        </w:trPr>
        <w:tc>
          <w:tcPr>
            <w:tcW w:w="0" w:type="auto"/>
            <w:noWrap w:val="0"/>
            <w:vAlign w:val="center"/>
          </w:tcPr>
          <w:p w14:paraId="59B50A2E">
            <w:r>
              <w:rPr>
                <w:rStyle w:val="10"/>
                <w:rFonts w:hint="eastAsia"/>
              </w:rPr>
              <w:t>总有效成分含量：</w:t>
            </w:r>
            <w:r>
              <w:rPr>
                <w:rFonts w:hint="eastAsia"/>
              </w:rPr>
              <w:t>70%</w:t>
            </w:r>
          </w:p>
        </w:tc>
      </w:tr>
      <w:tr w14:paraId="13BA402E">
        <w:tblPrEx>
          <w:tblCellMar>
            <w:top w:w="0" w:type="dxa"/>
            <w:left w:w="0" w:type="dxa"/>
            <w:bottom w:w="0" w:type="dxa"/>
            <w:right w:w="0" w:type="dxa"/>
          </w:tblCellMar>
        </w:tblPrEx>
        <w:trPr>
          <w:wBefore w:w="0" w:type="auto"/>
          <w:tblCellSpacing w:w="0" w:type="dxa"/>
        </w:trPr>
        <w:tc>
          <w:tcPr>
            <w:tcW w:w="0" w:type="auto"/>
            <w:noWrap w:val="0"/>
            <w:vAlign w:val="center"/>
          </w:tcPr>
          <w:p w14:paraId="171ACE9F">
            <w:r>
              <w:rPr>
                <w:rFonts w:hint="eastAsia"/>
              </w:rPr>
              <w:t xml:space="preserve">有效成分及其含量： </w:t>
            </w:r>
          </w:p>
          <w:p w14:paraId="4C18D830">
            <w:r>
              <w:rPr>
                <w:rFonts w:hint="eastAsia"/>
              </w:rPr>
              <w:t xml:space="preserve">    草甘膦50.4%    三氯吡氧乙酸19.6%    </w:t>
            </w:r>
          </w:p>
        </w:tc>
      </w:tr>
      <w:tr w14:paraId="551C259C">
        <w:tblPrEx>
          <w:tblCellMar>
            <w:top w:w="0" w:type="dxa"/>
            <w:left w:w="0" w:type="dxa"/>
            <w:bottom w:w="0" w:type="dxa"/>
            <w:right w:w="0" w:type="dxa"/>
          </w:tblCellMar>
        </w:tblPrEx>
        <w:trPr>
          <w:wBefore w:w="0" w:type="auto"/>
          <w:tblCellSpacing w:w="0" w:type="dxa"/>
        </w:trPr>
        <w:tc>
          <w:tcPr>
            <w:tcW w:w="0" w:type="auto"/>
            <w:noWrap w:val="0"/>
            <w:vAlign w:val="center"/>
          </w:tcPr>
          <w:p w14:paraId="2511AE4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5DE5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686E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F35B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FEDF2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77EBCF">
                  <w:r>
                    <w:rPr>
                      <w:rStyle w:val="11"/>
                      <w:rFonts w:hint="eastAsia"/>
                    </w:rPr>
                    <w:t>施用方式</w:t>
                  </w:r>
                </w:p>
              </w:tc>
            </w:tr>
            <w:tr w14:paraId="33A10C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3672D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30945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BE7B61">
                  <w:r>
                    <w:rPr>
                      <w:rStyle w:val="11"/>
                      <w:rFonts w:hint="eastAsia"/>
                    </w:rPr>
                    <w:t>80-120克/亩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08B468">
                  <w:r>
                    <w:rPr>
                      <w:rStyle w:val="11"/>
                      <w:rFonts w:hint="eastAsia"/>
                    </w:rPr>
                    <w:t>茎叶喷雾</w:t>
                  </w:r>
                </w:p>
              </w:tc>
            </w:tr>
          </w:tbl>
          <w:p w14:paraId="7786626D">
            <w:pPr>
              <w:rPr>
                <w:rFonts w:ascii="Times New Roman" w:hAnsi="Times New Roman" w:cs="Times New Roman"/>
                <w:sz w:val="20"/>
                <w:szCs w:val="20"/>
              </w:rPr>
            </w:pPr>
          </w:p>
        </w:tc>
      </w:tr>
      <w:tr w14:paraId="1361078B">
        <w:tblPrEx>
          <w:tblCellMar>
            <w:top w:w="0" w:type="dxa"/>
            <w:left w:w="0" w:type="dxa"/>
            <w:bottom w:w="0" w:type="dxa"/>
            <w:right w:w="0" w:type="dxa"/>
          </w:tblCellMar>
        </w:tblPrEx>
        <w:trPr>
          <w:wBefore w:w="0" w:type="auto"/>
          <w:tblCellSpacing w:w="0" w:type="dxa"/>
        </w:trPr>
        <w:tc>
          <w:tcPr>
            <w:tcW w:w="0" w:type="auto"/>
            <w:noWrap w:val="0"/>
            <w:vAlign w:val="center"/>
          </w:tcPr>
          <w:p w14:paraId="16D25529">
            <w:r>
              <w:rPr>
                <w:rStyle w:val="10"/>
                <w:rFonts w:hint="eastAsia"/>
              </w:rPr>
              <w:t>使用技术要求:</w:t>
            </w:r>
            <w:r>
              <w:rPr>
                <w:rFonts w:hint="eastAsia"/>
              </w:rPr>
              <w:br w:type="textWrapping"/>
            </w:r>
            <w:r>
              <w:rPr>
                <w:rStyle w:val="11"/>
                <w:rFonts w:hint="eastAsia"/>
              </w:rPr>
              <w:t>1、本品为非耕地除草剂，不能用于农田杂草。每季作物最多使用1次。2、应于杂草旺盛期进行茎叶喷雾，避免药液漂移到临近作物田。3、大风天或预计两小时内降雨，请勿施药。4、禁止在田间道路、田埂、果树行间、休耕地、林场林地等农林业区域使用。</w:t>
            </w:r>
          </w:p>
        </w:tc>
      </w:tr>
      <w:tr w14:paraId="10D629C5">
        <w:tblPrEx>
          <w:tblCellMar>
            <w:top w:w="0" w:type="dxa"/>
            <w:left w:w="0" w:type="dxa"/>
            <w:bottom w:w="0" w:type="dxa"/>
            <w:right w:w="0" w:type="dxa"/>
          </w:tblCellMar>
        </w:tblPrEx>
        <w:trPr>
          <w:wBefore w:w="0" w:type="auto"/>
          <w:tblCellSpacing w:w="0" w:type="dxa"/>
        </w:trPr>
        <w:tc>
          <w:tcPr>
            <w:tcW w:w="0" w:type="auto"/>
            <w:noWrap w:val="0"/>
            <w:vAlign w:val="center"/>
          </w:tcPr>
          <w:p w14:paraId="194C7615">
            <w:r>
              <w:rPr>
                <w:rStyle w:val="10"/>
                <w:rFonts w:hint="eastAsia"/>
              </w:rPr>
              <w:t>产品性能:</w:t>
            </w:r>
            <w:r>
              <w:rPr>
                <w:rFonts w:hint="eastAsia"/>
              </w:rPr>
              <w:br w:type="textWrapping"/>
            </w:r>
            <w:r>
              <w:rPr>
                <w:rStyle w:val="11"/>
                <w:rFonts w:hint="eastAsia"/>
              </w:rPr>
              <w:t>本品是由草甘膦和三氯吡氧乙酸复配而成的灭生性除草剂，具有内吸和触杀作用。该产品具有活性高、除草速度快、杀草谱广、持效期长的特点。能有效防除非耕地杂草。</w:t>
            </w:r>
          </w:p>
        </w:tc>
      </w:tr>
      <w:tr w14:paraId="0D1D1288">
        <w:tblPrEx>
          <w:tblCellMar>
            <w:top w:w="0" w:type="dxa"/>
            <w:left w:w="0" w:type="dxa"/>
            <w:bottom w:w="0" w:type="dxa"/>
            <w:right w:w="0" w:type="dxa"/>
          </w:tblCellMar>
        </w:tblPrEx>
        <w:trPr>
          <w:wBefore w:w="0" w:type="auto"/>
          <w:tblCellSpacing w:w="0" w:type="dxa"/>
        </w:trPr>
        <w:tc>
          <w:tcPr>
            <w:tcW w:w="0" w:type="auto"/>
            <w:noWrap w:val="0"/>
            <w:vAlign w:val="center"/>
          </w:tcPr>
          <w:p w14:paraId="29D9FA91">
            <w:r>
              <w:rPr>
                <w:rStyle w:val="10"/>
                <w:rFonts w:hint="eastAsia"/>
              </w:rPr>
              <w:t>注意事项：</w:t>
            </w:r>
            <w:r>
              <w:rPr>
                <w:rFonts w:hint="eastAsia"/>
              </w:rPr>
              <w:br w:type="textWrapping"/>
            </w:r>
            <w:r>
              <w:rPr>
                <w:rStyle w:val="11"/>
                <w:rFonts w:hint="eastAsia"/>
              </w:rPr>
              <w:t>1、本品不可与碱性物质混用（波尔多液、石硫合剂等。）2、使用时严格按照《农药安全操作规程》作业，做好安全防护，施药时应戴防护用具，防止药液由口鼻吸入，不得吸烟、饮食、进水等，施药后及时清洗手、脸以及身体被污染的部位。3、水产养殖区、河塘等水体附近禁用，禁止在河塘等水体清洗施药器具以免污染水源；周围开花植物花期禁用，施药期间应密切关注对附近蜂群的影响，桑园及蚕室附近禁用；赤眼蜂等天敌放飞区域禁用；鸟类保护区禁用。4、避免孕妇或哺乳期妇女接触本品。5、用过的包装物应妥善处理，不可做他用，也不可随意丢弃。6、孕妇及哺乳期妇女避免接触本品。</w:t>
            </w:r>
          </w:p>
        </w:tc>
      </w:tr>
      <w:tr w14:paraId="674C3431">
        <w:tblPrEx>
          <w:tblCellMar>
            <w:top w:w="0" w:type="dxa"/>
            <w:left w:w="0" w:type="dxa"/>
            <w:bottom w:w="0" w:type="dxa"/>
            <w:right w:w="0" w:type="dxa"/>
          </w:tblCellMar>
        </w:tblPrEx>
        <w:trPr>
          <w:wBefore w:w="0" w:type="auto"/>
          <w:tblCellSpacing w:w="0" w:type="dxa"/>
        </w:trPr>
        <w:tc>
          <w:tcPr>
            <w:tcW w:w="0" w:type="auto"/>
            <w:noWrap w:val="0"/>
            <w:vAlign w:val="center"/>
          </w:tcPr>
          <w:p w14:paraId="06C04888">
            <w:r>
              <w:rPr>
                <w:rStyle w:val="10"/>
                <w:rFonts w:hint="eastAsia"/>
              </w:rPr>
              <w:t>中毒急救措施：</w:t>
            </w:r>
            <w:r>
              <w:rPr>
                <w:rFonts w:hint="eastAsia"/>
              </w:rPr>
              <w:br w:type="textWrapping"/>
            </w:r>
            <w:r>
              <w:rPr>
                <w:rStyle w:val="11"/>
                <w:rFonts w:hint="eastAsia"/>
              </w:rPr>
              <w:t>中毒症状：本品对眼睛和皮肤有刺激作用，使用中或使用后，如果感觉不适，应立即停止工作，采取急救措施，并携此标签送往医院就诊。皮肤接触：脱去污染的衣服，用软布去除沾染农药，立即用大量清水和肥皂冲洗；眼睛溅入：立即用流动清水冲洗不少于15分钟；不慎吸入：应将病人移至空气流通处。若不慎误服：立即送往医院对症治疗。本品无特效解毒剂。</w:t>
            </w:r>
          </w:p>
        </w:tc>
      </w:tr>
      <w:tr w14:paraId="22003583">
        <w:tblPrEx>
          <w:tblCellMar>
            <w:top w:w="0" w:type="dxa"/>
            <w:left w:w="0" w:type="dxa"/>
            <w:bottom w:w="0" w:type="dxa"/>
            <w:right w:w="0" w:type="dxa"/>
          </w:tblCellMar>
        </w:tblPrEx>
        <w:trPr>
          <w:wBefore w:w="0" w:type="auto"/>
          <w:tblCellSpacing w:w="0" w:type="dxa"/>
        </w:trPr>
        <w:tc>
          <w:tcPr>
            <w:tcW w:w="0" w:type="auto"/>
            <w:noWrap w:val="0"/>
            <w:vAlign w:val="center"/>
          </w:tcPr>
          <w:p w14:paraId="2B3F3057">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351A0513">
        <w:tblPrEx>
          <w:tblCellMar>
            <w:top w:w="0" w:type="dxa"/>
            <w:left w:w="0" w:type="dxa"/>
            <w:bottom w:w="0" w:type="dxa"/>
            <w:right w:w="0" w:type="dxa"/>
          </w:tblCellMar>
        </w:tblPrEx>
        <w:trPr>
          <w:wBefore w:w="0" w:type="auto"/>
          <w:tblCellSpacing w:w="0" w:type="dxa"/>
        </w:trPr>
        <w:tc>
          <w:tcPr>
            <w:tcW w:w="0" w:type="auto"/>
            <w:noWrap w:val="0"/>
            <w:vAlign w:val="center"/>
          </w:tcPr>
          <w:p w14:paraId="0818C3B0">
            <w:r>
              <w:rPr>
                <w:rStyle w:val="10"/>
                <w:rFonts w:hint="eastAsia"/>
              </w:rPr>
              <w:t>质量保证期：</w:t>
            </w:r>
            <w:r>
              <w:rPr>
                <w:rStyle w:val="11"/>
                <w:rFonts w:hint="eastAsia"/>
              </w:rPr>
              <w:t>2年</w:t>
            </w:r>
          </w:p>
        </w:tc>
      </w:tr>
      <w:tr w14:paraId="4FCC7983">
        <w:tblPrEx>
          <w:tblCellMar>
            <w:top w:w="0" w:type="dxa"/>
            <w:left w:w="0" w:type="dxa"/>
            <w:bottom w:w="0" w:type="dxa"/>
            <w:right w:w="0" w:type="dxa"/>
          </w:tblCellMar>
        </w:tblPrEx>
        <w:trPr>
          <w:wBefore w:w="0" w:type="auto"/>
          <w:tblCellSpacing w:w="0" w:type="dxa"/>
        </w:trPr>
        <w:tc>
          <w:tcPr>
            <w:tcW w:w="0" w:type="auto"/>
            <w:noWrap w:val="0"/>
            <w:vAlign w:val="center"/>
          </w:tcPr>
          <w:p w14:paraId="3FC7BB3E">
            <w:r>
              <w:rPr>
                <w:rStyle w:val="10"/>
                <w:rFonts w:hint="eastAsia"/>
              </w:rPr>
              <w:t>备注：</w:t>
            </w:r>
            <w:r>
              <w:rPr>
                <w:rFonts w:hint="eastAsia"/>
              </w:rPr>
              <w:br w:type="textWrapping"/>
            </w:r>
            <w:r>
              <w:rPr>
                <w:rStyle w:val="11"/>
                <w:rFonts w:hint="eastAsia"/>
              </w:rPr>
              <w:t>草甘膦铵盐55.5%，三氯吡氧乙酸钠盐21.3%。</w:t>
            </w:r>
          </w:p>
        </w:tc>
      </w:tr>
    </w:tbl>
    <w:p w14:paraId="6AF1B4A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9054D6">
        <w:tblPrEx>
          <w:tblCellMar>
            <w:top w:w="0" w:type="dxa"/>
            <w:left w:w="0" w:type="dxa"/>
            <w:bottom w:w="0" w:type="dxa"/>
            <w:right w:w="0" w:type="dxa"/>
          </w:tblCellMar>
        </w:tblPrEx>
        <w:trPr>
          <w:wBefore w:w="0" w:type="auto"/>
          <w:tblCellSpacing w:w="0" w:type="dxa"/>
        </w:trPr>
        <w:tc>
          <w:tcPr>
            <w:tcW w:w="0" w:type="auto"/>
            <w:noWrap w:val="0"/>
            <w:vAlign w:val="center"/>
          </w:tcPr>
          <w:p w14:paraId="5D5E5B1C">
            <w:r>
              <w:rPr>
                <w:rStyle w:val="10"/>
                <w:rFonts w:hint="eastAsia"/>
              </w:rPr>
              <w:t>登记证号：</w:t>
            </w:r>
            <w:r>
              <w:rPr>
                <w:rFonts w:hint="eastAsia"/>
              </w:rPr>
              <w:t>WP20210412</w:t>
            </w:r>
          </w:p>
        </w:tc>
      </w:tr>
      <w:tr w14:paraId="27895896">
        <w:tblPrEx>
          <w:tblCellMar>
            <w:top w:w="0" w:type="dxa"/>
            <w:left w:w="0" w:type="dxa"/>
            <w:bottom w:w="0" w:type="dxa"/>
            <w:right w:w="0" w:type="dxa"/>
          </w:tblCellMar>
        </w:tblPrEx>
        <w:trPr>
          <w:wBefore w:w="0" w:type="auto"/>
          <w:tblCellSpacing w:w="0" w:type="dxa"/>
        </w:trPr>
        <w:tc>
          <w:tcPr>
            <w:tcW w:w="0" w:type="auto"/>
            <w:noWrap w:val="0"/>
            <w:vAlign w:val="center"/>
          </w:tcPr>
          <w:p w14:paraId="255644AE">
            <w:r>
              <w:rPr>
                <w:rStyle w:val="10"/>
                <w:rFonts w:hint="eastAsia"/>
              </w:rPr>
              <w:t>登记证持有人：</w:t>
            </w:r>
            <w:r>
              <w:rPr>
                <w:rFonts w:hint="eastAsia"/>
              </w:rPr>
              <w:t>揭阳市为民生物科技有限公司</w:t>
            </w:r>
          </w:p>
        </w:tc>
      </w:tr>
      <w:tr w14:paraId="484138EB">
        <w:tblPrEx>
          <w:tblCellMar>
            <w:top w:w="0" w:type="dxa"/>
            <w:left w:w="0" w:type="dxa"/>
            <w:bottom w:w="0" w:type="dxa"/>
            <w:right w:w="0" w:type="dxa"/>
          </w:tblCellMar>
        </w:tblPrEx>
        <w:trPr>
          <w:wBefore w:w="0" w:type="auto"/>
          <w:tblCellSpacing w:w="0" w:type="dxa"/>
        </w:trPr>
        <w:tc>
          <w:tcPr>
            <w:tcW w:w="0" w:type="auto"/>
            <w:noWrap w:val="0"/>
            <w:vAlign w:val="center"/>
          </w:tcPr>
          <w:p w14:paraId="0FCCDD3E">
            <w:r>
              <w:rPr>
                <w:rStyle w:val="10"/>
                <w:rFonts w:hint="eastAsia"/>
              </w:rPr>
              <w:t>农药名称：</w:t>
            </w:r>
            <w:r>
              <w:rPr>
                <w:rFonts w:hint="eastAsia"/>
              </w:rPr>
              <w:t>杀蟑饵剂</w:t>
            </w:r>
          </w:p>
        </w:tc>
      </w:tr>
      <w:tr w14:paraId="5B04515C">
        <w:tblPrEx>
          <w:tblCellMar>
            <w:top w:w="0" w:type="dxa"/>
            <w:left w:w="0" w:type="dxa"/>
            <w:bottom w:w="0" w:type="dxa"/>
            <w:right w:w="0" w:type="dxa"/>
          </w:tblCellMar>
        </w:tblPrEx>
        <w:trPr>
          <w:wBefore w:w="0" w:type="auto"/>
          <w:tblCellSpacing w:w="0" w:type="dxa"/>
        </w:trPr>
        <w:tc>
          <w:tcPr>
            <w:tcW w:w="0" w:type="auto"/>
            <w:noWrap w:val="0"/>
            <w:vAlign w:val="center"/>
          </w:tcPr>
          <w:p w14:paraId="428D2E3C">
            <w:r>
              <w:rPr>
                <w:rStyle w:val="10"/>
                <w:rFonts w:hint="eastAsia"/>
              </w:rPr>
              <w:t>剂型：</w:t>
            </w:r>
            <w:r>
              <w:rPr>
                <w:rFonts w:hint="eastAsia"/>
              </w:rPr>
              <w:t>饵剂</w:t>
            </w:r>
          </w:p>
        </w:tc>
      </w:tr>
      <w:tr w14:paraId="67ECBA80">
        <w:tblPrEx>
          <w:tblCellMar>
            <w:top w:w="0" w:type="dxa"/>
            <w:left w:w="0" w:type="dxa"/>
            <w:bottom w:w="0" w:type="dxa"/>
            <w:right w:w="0" w:type="dxa"/>
          </w:tblCellMar>
        </w:tblPrEx>
        <w:trPr>
          <w:wBefore w:w="0" w:type="auto"/>
          <w:tblCellSpacing w:w="0" w:type="dxa"/>
        </w:trPr>
        <w:tc>
          <w:tcPr>
            <w:tcW w:w="0" w:type="auto"/>
            <w:noWrap w:val="0"/>
            <w:vAlign w:val="center"/>
          </w:tcPr>
          <w:p w14:paraId="1049AEDB">
            <w:r>
              <w:rPr>
                <w:rStyle w:val="10"/>
                <w:rFonts w:hint="eastAsia"/>
              </w:rPr>
              <w:t>毒性及其标识：</w:t>
            </w:r>
            <w:r>
              <w:rPr>
                <w:rFonts w:hint="eastAsia"/>
              </w:rPr>
              <w:t xml:space="preserve"> </w:t>
            </w:r>
            <w:r>
              <w:rPr>
                <w:lang/>
              </w:rPr>
              <w:drawing>
                <wp:inline distT="0" distB="0" distL="114300" distR="114300">
                  <wp:extent cx="476250" cy="323850"/>
                  <wp:effectExtent l="0" t="0" r="0" b="0"/>
                  <wp:docPr id="377" name="图片 3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FAFBFE">
        <w:tblPrEx>
          <w:tblCellMar>
            <w:top w:w="0" w:type="dxa"/>
            <w:left w:w="0" w:type="dxa"/>
            <w:bottom w:w="0" w:type="dxa"/>
            <w:right w:w="0" w:type="dxa"/>
          </w:tblCellMar>
        </w:tblPrEx>
        <w:trPr>
          <w:wBefore w:w="0" w:type="auto"/>
          <w:tblCellSpacing w:w="0" w:type="dxa"/>
        </w:trPr>
        <w:tc>
          <w:tcPr>
            <w:tcW w:w="0" w:type="auto"/>
            <w:noWrap w:val="0"/>
            <w:vAlign w:val="center"/>
          </w:tcPr>
          <w:p w14:paraId="1892F0B0">
            <w:r>
              <w:rPr>
                <w:rStyle w:val="10"/>
                <w:rFonts w:hint="eastAsia"/>
              </w:rPr>
              <w:t>总有效成分含量：</w:t>
            </w:r>
            <w:r>
              <w:rPr>
                <w:rFonts w:hint="eastAsia"/>
              </w:rPr>
              <w:t>2.5%</w:t>
            </w:r>
          </w:p>
        </w:tc>
      </w:tr>
      <w:tr w14:paraId="00888FE4">
        <w:tblPrEx>
          <w:tblCellMar>
            <w:top w:w="0" w:type="dxa"/>
            <w:left w:w="0" w:type="dxa"/>
            <w:bottom w:w="0" w:type="dxa"/>
            <w:right w:w="0" w:type="dxa"/>
          </w:tblCellMar>
        </w:tblPrEx>
        <w:trPr>
          <w:wBefore w:w="0" w:type="auto"/>
          <w:tblCellSpacing w:w="0" w:type="dxa"/>
        </w:trPr>
        <w:tc>
          <w:tcPr>
            <w:tcW w:w="0" w:type="auto"/>
            <w:noWrap w:val="0"/>
            <w:vAlign w:val="center"/>
          </w:tcPr>
          <w:p w14:paraId="02670A92">
            <w:r>
              <w:rPr>
                <w:rFonts w:hint="eastAsia"/>
              </w:rPr>
              <w:t xml:space="preserve">有效成分及其含量： </w:t>
            </w:r>
          </w:p>
          <w:p w14:paraId="722BB89F">
            <w:r>
              <w:rPr>
                <w:rFonts w:hint="eastAsia"/>
              </w:rPr>
              <w:t xml:space="preserve">    吡虫啉2.5%    </w:t>
            </w:r>
          </w:p>
        </w:tc>
      </w:tr>
      <w:tr w14:paraId="215290B5">
        <w:tblPrEx>
          <w:tblCellMar>
            <w:top w:w="0" w:type="dxa"/>
            <w:left w:w="0" w:type="dxa"/>
            <w:bottom w:w="0" w:type="dxa"/>
            <w:right w:w="0" w:type="dxa"/>
          </w:tblCellMar>
        </w:tblPrEx>
        <w:trPr>
          <w:wBefore w:w="0" w:type="auto"/>
          <w:tblCellSpacing w:w="0" w:type="dxa"/>
        </w:trPr>
        <w:tc>
          <w:tcPr>
            <w:tcW w:w="0" w:type="auto"/>
            <w:noWrap w:val="0"/>
            <w:vAlign w:val="center"/>
          </w:tcPr>
          <w:p w14:paraId="570553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B422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B1F69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21DD4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6D1E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1BD79F">
                  <w:r>
                    <w:rPr>
                      <w:rStyle w:val="11"/>
                      <w:rFonts w:hint="eastAsia"/>
                    </w:rPr>
                    <w:t>施用方式</w:t>
                  </w:r>
                </w:p>
              </w:tc>
            </w:tr>
            <w:tr w14:paraId="6C7023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184C5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EFACC6">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E79BB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165118">
                  <w:r>
                    <w:rPr>
                      <w:rStyle w:val="11"/>
                      <w:rFonts w:hint="eastAsia"/>
                    </w:rPr>
                    <w:t>投放</w:t>
                  </w:r>
                </w:p>
              </w:tc>
            </w:tr>
          </w:tbl>
          <w:p w14:paraId="201D88B9">
            <w:pPr>
              <w:rPr>
                <w:rFonts w:ascii="Times New Roman" w:hAnsi="Times New Roman" w:cs="Times New Roman"/>
                <w:sz w:val="20"/>
                <w:szCs w:val="20"/>
              </w:rPr>
            </w:pPr>
          </w:p>
        </w:tc>
      </w:tr>
      <w:tr w14:paraId="4C4897EC">
        <w:tblPrEx>
          <w:tblCellMar>
            <w:top w:w="0" w:type="dxa"/>
            <w:left w:w="0" w:type="dxa"/>
            <w:bottom w:w="0" w:type="dxa"/>
            <w:right w:w="0" w:type="dxa"/>
          </w:tblCellMar>
        </w:tblPrEx>
        <w:trPr>
          <w:wBefore w:w="0" w:type="auto"/>
          <w:tblCellSpacing w:w="0" w:type="dxa"/>
        </w:trPr>
        <w:tc>
          <w:tcPr>
            <w:tcW w:w="0" w:type="auto"/>
            <w:noWrap w:val="0"/>
            <w:vAlign w:val="center"/>
          </w:tcPr>
          <w:p w14:paraId="7DA0549F">
            <w:r>
              <w:rPr>
                <w:rStyle w:val="10"/>
                <w:rFonts w:hint="eastAsia"/>
              </w:rPr>
              <w:t>使用技术要求:</w:t>
            </w:r>
            <w:r>
              <w:rPr>
                <w:rFonts w:hint="eastAsia"/>
              </w:rPr>
              <w:br w:type="textWrapping"/>
            </w:r>
            <w:r>
              <w:rPr>
                <w:rStyle w:val="11"/>
                <w:rFonts w:hint="eastAsia"/>
              </w:rPr>
              <w:t>本品投放于蜚蠊经常出现的地方，如缝隙、空洞。在10平方米的空间中，建议同时使用2-3袋饵剂效果更佳。一旦饵剂被蜚蠊吃尽后，应立即补充施药，以达到最佳防治效果。</w:t>
            </w:r>
          </w:p>
        </w:tc>
      </w:tr>
      <w:tr w14:paraId="06B1CAD8">
        <w:tblPrEx>
          <w:tblCellMar>
            <w:top w:w="0" w:type="dxa"/>
            <w:left w:w="0" w:type="dxa"/>
            <w:bottom w:w="0" w:type="dxa"/>
            <w:right w:w="0" w:type="dxa"/>
          </w:tblCellMar>
        </w:tblPrEx>
        <w:trPr>
          <w:wBefore w:w="0" w:type="auto"/>
          <w:tblCellSpacing w:w="0" w:type="dxa"/>
        </w:trPr>
        <w:tc>
          <w:tcPr>
            <w:tcW w:w="0" w:type="auto"/>
            <w:noWrap w:val="0"/>
            <w:vAlign w:val="center"/>
          </w:tcPr>
          <w:p w14:paraId="798378EC">
            <w:r>
              <w:rPr>
                <w:rStyle w:val="10"/>
                <w:rFonts w:hint="eastAsia"/>
              </w:rPr>
              <w:t>产品性能:</w:t>
            </w:r>
            <w:r>
              <w:rPr>
                <w:rFonts w:hint="eastAsia"/>
              </w:rPr>
              <w:br w:type="textWrapping"/>
            </w:r>
            <w:r>
              <w:rPr>
                <w:rStyle w:val="11"/>
                <w:rFonts w:hint="eastAsia"/>
              </w:rPr>
              <w:t>本品对蜚蠊具有防治作用，适用于厨房、餐厅、宾馆、卫生间、卧室等场所。</w:t>
            </w:r>
          </w:p>
        </w:tc>
      </w:tr>
      <w:tr w14:paraId="611FA5A0">
        <w:tblPrEx>
          <w:tblCellMar>
            <w:top w:w="0" w:type="dxa"/>
            <w:left w:w="0" w:type="dxa"/>
            <w:bottom w:w="0" w:type="dxa"/>
            <w:right w:w="0" w:type="dxa"/>
          </w:tblCellMar>
        </w:tblPrEx>
        <w:trPr>
          <w:wBefore w:w="0" w:type="auto"/>
          <w:tblCellSpacing w:w="0" w:type="dxa"/>
        </w:trPr>
        <w:tc>
          <w:tcPr>
            <w:tcW w:w="0" w:type="auto"/>
            <w:noWrap w:val="0"/>
            <w:vAlign w:val="center"/>
          </w:tcPr>
          <w:p w14:paraId="5B13D393">
            <w:r>
              <w:rPr>
                <w:rStyle w:val="10"/>
                <w:rFonts w:hint="eastAsia"/>
              </w:rPr>
              <w:t>注意事项：</w:t>
            </w:r>
            <w:r>
              <w:rPr>
                <w:rFonts w:hint="eastAsia"/>
              </w:rPr>
              <w:br w:type="textWrapping"/>
            </w:r>
            <w:r>
              <w:rPr>
                <w:rStyle w:val="11"/>
                <w:rFonts w:hint="eastAsia"/>
              </w:rPr>
              <w:t>1.本品应置于儿童接触不到的地方，避免误服；2.使用时切勿污染食品、餐具及饮用水；3.用后洗手；4.对鱼、蚕有毒，蚕室及附近禁用，过敏者禁用，使用中如有不适，请前往医院诊断。</w:t>
            </w:r>
          </w:p>
        </w:tc>
      </w:tr>
      <w:tr w14:paraId="352DC92A">
        <w:tblPrEx>
          <w:tblCellMar>
            <w:top w:w="0" w:type="dxa"/>
            <w:left w:w="0" w:type="dxa"/>
            <w:bottom w:w="0" w:type="dxa"/>
            <w:right w:w="0" w:type="dxa"/>
          </w:tblCellMar>
        </w:tblPrEx>
        <w:trPr>
          <w:wBefore w:w="0" w:type="auto"/>
          <w:tblCellSpacing w:w="0" w:type="dxa"/>
        </w:trPr>
        <w:tc>
          <w:tcPr>
            <w:tcW w:w="0" w:type="auto"/>
            <w:noWrap w:val="0"/>
            <w:vAlign w:val="center"/>
          </w:tcPr>
          <w:p w14:paraId="3B65CD1B">
            <w:r>
              <w:rPr>
                <w:rStyle w:val="10"/>
                <w:rFonts w:hint="eastAsia"/>
              </w:rPr>
              <w:t>中毒急救措施：</w:t>
            </w:r>
            <w:r>
              <w:rPr>
                <w:rFonts w:hint="eastAsia"/>
              </w:rPr>
              <w:br w:type="textWrapping"/>
            </w:r>
            <w:r>
              <w:rPr>
                <w:rStyle w:val="11"/>
                <w:rFonts w:hint="eastAsia"/>
              </w:rPr>
              <w:t>中毒症状表现为头痛、头昏、恶心、呕吐。不慎接触皮肤，应用肥皂和大量清水冲洗；接触眼睛，应用清水冲洗。使用中或使用后如有感觉不适，应立即停止工作，采取急救措施，并携带标签到医院就诊。</w:t>
            </w:r>
          </w:p>
        </w:tc>
      </w:tr>
      <w:tr w14:paraId="4A490B0F">
        <w:tblPrEx>
          <w:tblCellMar>
            <w:top w:w="0" w:type="dxa"/>
            <w:left w:w="0" w:type="dxa"/>
            <w:bottom w:w="0" w:type="dxa"/>
            <w:right w:w="0" w:type="dxa"/>
          </w:tblCellMar>
        </w:tblPrEx>
        <w:trPr>
          <w:wBefore w:w="0" w:type="auto"/>
          <w:tblCellSpacing w:w="0" w:type="dxa"/>
        </w:trPr>
        <w:tc>
          <w:tcPr>
            <w:tcW w:w="0" w:type="auto"/>
            <w:noWrap w:val="0"/>
            <w:vAlign w:val="center"/>
          </w:tcPr>
          <w:p w14:paraId="0B6CEB27">
            <w:r>
              <w:rPr>
                <w:rStyle w:val="10"/>
                <w:rFonts w:hint="eastAsia"/>
              </w:rPr>
              <w:t>储存和运输方法：</w:t>
            </w:r>
            <w:r>
              <w:rPr>
                <w:rFonts w:hint="eastAsia"/>
              </w:rPr>
              <w:br w:type="textWrapping"/>
            </w:r>
            <w:r>
              <w:rPr>
                <w:rStyle w:val="11"/>
                <w:rFonts w:hint="eastAsia"/>
              </w:rPr>
              <w:t>1.本品应贮存在通风、干燥、阴凉、通风、防雨处，远离火源和热源；2.贮运时不得与食品、饮料、粮食、饲料、种子等混放；3.运输过程确保包装不倒塌、不损坏，防高温曝晒、防雨淋。</w:t>
            </w:r>
          </w:p>
        </w:tc>
      </w:tr>
      <w:tr w14:paraId="1AB4BB20">
        <w:tblPrEx>
          <w:tblCellMar>
            <w:top w:w="0" w:type="dxa"/>
            <w:left w:w="0" w:type="dxa"/>
            <w:bottom w:w="0" w:type="dxa"/>
            <w:right w:w="0" w:type="dxa"/>
          </w:tblCellMar>
        </w:tblPrEx>
        <w:trPr>
          <w:wBefore w:w="0" w:type="auto"/>
          <w:tblCellSpacing w:w="0" w:type="dxa"/>
        </w:trPr>
        <w:tc>
          <w:tcPr>
            <w:tcW w:w="0" w:type="auto"/>
            <w:noWrap w:val="0"/>
            <w:vAlign w:val="center"/>
          </w:tcPr>
          <w:p w14:paraId="1F25CE89">
            <w:r>
              <w:rPr>
                <w:rStyle w:val="10"/>
                <w:rFonts w:hint="eastAsia"/>
              </w:rPr>
              <w:t>质量保证期：</w:t>
            </w:r>
            <w:r>
              <w:rPr>
                <w:rStyle w:val="11"/>
                <w:rFonts w:hint="eastAsia"/>
              </w:rPr>
              <w:t>2年</w:t>
            </w:r>
          </w:p>
        </w:tc>
      </w:tr>
      <w:tr w14:paraId="6C0F09EF">
        <w:tblPrEx>
          <w:tblCellMar>
            <w:top w:w="0" w:type="dxa"/>
            <w:left w:w="0" w:type="dxa"/>
            <w:bottom w:w="0" w:type="dxa"/>
            <w:right w:w="0" w:type="dxa"/>
          </w:tblCellMar>
        </w:tblPrEx>
        <w:trPr>
          <w:wBefore w:w="0" w:type="auto"/>
          <w:tblCellSpacing w:w="0" w:type="dxa"/>
        </w:trPr>
        <w:tc>
          <w:tcPr>
            <w:tcW w:w="0" w:type="auto"/>
            <w:noWrap w:val="0"/>
            <w:vAlign w:val="center"/>
          </w:tcPr>
          <w:p w14:paraId="7A71CFDE">
            <w:r>
              <w:rPr>
                <w:rStyle w:val="10"/>
                <w:rFonts w:hint="eastAsia"/>
              </w:rPr>
              <w:t>备注：</w:t>
            </w:r>
          </w:p>
        </w:tc>
      </w:tr>
    </w:tbl>
    <w:p w14:paraId="18A4FD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32F3E8">
        <w:tblPrEx>
          <w:tblCellMar>
            <w:top w:w="0" w:type="dxa"/>
            <w:left w:w="0" w:type="dxa"/>
            <w:bottom w:w="0" w:type="dxa"/>
            <w:right w:w="0" w:type="dxa"/>
          </w:tblCellMar>
        </w:tblPrEx>
        <w:trPr>
          <w:wBefore w:w="0" w:type="auto"/>
          <w:tblCellSpacing w:w="0" w:type="dxa"/>
        </w:trPr>
        <w:tc>
          <w:tcPr>
            <w:tcW w:w="0" w:type="auto"/>
            <w:noWrap w:val="0"/>
            <w:vAlign w:val="center"/>
          </w:tcPr>
          <w:p w14:paraId="5279FEA7">
            <w:r>
              <w:rPr>
                <w:rStyle w:val="10"/>
                <w:rFonts w:hint="eastAsia"/>
              </w:rPr>
              <w:t>登记证号：</w:t>
            </w:r>
            <w:r>
              <w:rPr>
                <w:rFonts w:hint="eastAsia"/>
              </w:rPr>
              <w:t>PD20211585</w:t>
            </w:r>
          </w:p>
        </w:tc>
      </w:tr>
      <w:tr w14:paraId="1DABBC94">
        <w:tblPrEx>
          <w:tblCellMar>
            <w:top w:w="0" w:type="dxa"/>
            <w:left w:w="0" w:type="dxa"/>
            <w:bottom w:w="0" w:type="dxa"/>
            <w:right w:w="0" w:type="dxa"/>
          </w:tblCellMar>
        </w:tblPrEx>
        <w:trPr>
          <w:wBefore w:w="0" w:type="auto"/>
          <w:tblCellSpacing w:w="0" w:type="dxa"/>
        </w:trPr>
        <w:tc>
          <w:tcPr>
            <w:tcW w:w="0" w:type="auto"/>
            <w:noWrap w:val="0"/>
            <w:vAlign w:val="center"/>
          </w:tcPr>
          <w:p w14:paraId="215FBDDD">
            <w:r>
              <w:rPr>
                <w:rStyle w:val="10"/>
                <w:rFonts w:hint="eastAsia"/>
              </w:rPr>
              <w:t>登记证持有人：</w:t>
            </w:r>
            <w:r>
              <w:rPr>
                <w:rFonts w:hint="eastAsia"/>
              </w:rPr>
              <w:t>山东洁保生物科技有限公司</w:t>
            </w:r>
          </w:p>
        </w:tc>
      </w:tr>
      <w:tr w14:paraId="7EBF6D7F">
        <w:tblPrEx>
          <w:tblCellMar>
            <w:top w:w="0" w:type="dxa"/>
            <w:left w:w="0" w:type="dxa"/>
            <w:bottom w:w="0" w:type="dxa"/>
            <w:right w:w="0" w:type="dxa"/>
          </w:tblCellMar>
        </w:tblPrEx>
        <w:trPr>
          <w:wBefore w:w="0" w:type="auto"/>
          <w:tblCellSpacing w:w="0" w:type="dxa"/>
        </w:trPr>
        <w:tc>
          <w:tcPr>
            <w:tcW w:w="0" w:type="auto"/>
            <w:noWrap w:val="0"/>
            <w:vAlign w:val="center"/>
          </w:tcPr>
          <w:p w14:paraId="2CE9D1BD">
            <w:r>
              <w:rPr>
                <w:rStyle w:val="10"/>
                <w:rFonts w:hint="eastAsia"/>
              </w:rPr>
              <w:t>农药名称：</w:t>
            </w:r>
            <w:r>
              <w:rPr>
                <w:rFonts w:hint="eastAsia"/>
              </w:rPr>
              <w:t>杀虫热雾剂</w:t>
            </w:r>
          </w:p>
        </w:tc>
      </w:tr>
      <w:tr w14:paraId="553DC391">
        <w:tblPrEx>
          <w:tblCellMar>
            <w:top w:w="0" w:type="dxa"/>
            <w:left w:w="0" w:type="dxa"/>
            <w:bottom w:w="0" w:type="dxa"/>
            <w:right w:w="0" w:type="dxa"/>
          </w:tblCellMar>
        </w:tblPrEx>
        <w:trPr>
          <w:wBefore w:w="0" w:type="auto"/>
          <w:tblCellSpacing w:w="0" w:type="dxa"/>
        </w:trPr>
        <w:tc>
          <w:tcPr>
            <w:tcW w:w="0" w:type="auto"/>
            <w:noWrap w:val="0"/>
            <w:vAlign w:val="center"/>
          </w:tcPr>
          <w:p w14:paraId="7CBAD359">
            <w:r>
              <w:rPr>
                <w:rStyle w:val="10"/>
                <w:rFonts w:hint="eastAsia"/>
              </w:rPr>
              <w:t>剂型：</w:t>
            </w:r>
            <w:r>
              <w:rPr>
                <w:rFonts w:hint="eastAsia"/>
              </w:rPr>
              <w:t>热雾剂</w:t>
            </w:r>
          </w:p>
        </w:tc>
      </w:tr>
      <w:tr w14:paraId="6DE2FE98">
        <w:trPr>
          <w:wBefore w:w="0" w:type="auto"/>
          <w:tblCellSpacing w:w="0" w:type="dxa"/>
        </w:trPr>
        <w:tc>
          <w:tcPr>
            <w:tcW w:w="0" w:type="auto"/>
            <w:noWrap w:val="0"/>
            <w:vAlign w:val="center"/>
          </w:tcPr>
          <w:p w14:paraId="0119BDF2">
            <w:r>
              <w:rPr>
                <w:rStyle w:val="10"/>
                <w:rFonts w:hint="eastAsia"/>
              </w:rPr>
              <w:t>毒性及其标识：</w:t>
            </w:r>
            <w:r>
              <w:rPr>
                <w:rFonts w:hint="eastAsia"/>
              </w:rPr>
              <w:t xml:space="preserve"> 微毒 </w:t>
            </w:r>
          </w:p>
        </w:tc>
      </w:tr>
      <w:tr w14:paraId="6A742C2B">
        <w:tblPrEx>
          <w:tblCellMar>
            <w:top w:w="0" w:type="dxa"/>
            <w:left w:w="0" w:type="dxa"/>
            <w:bottom w:w="0" w:type="dxa"/>
            <w:right w:w="0" w:type="dxa"/>
          </w:tblCellMar>
        </w:tblPrEx>
        <w:trPr>
          <w:wBefore w:w="0" w:type="auto"/>
          <w:tblCellSpacing w:w="0" w:type="dxa"/>
        </w:trPr>
        <w:tc>
          <w:tcPr>
            <w:tcW w:w="0" w:type="auto"/>
            <w:noWrap w:val="0"/>
            <w:vAlign w:val="center"/>
          </w:tcPr>
          <w:p w14:paraId="7C982554">
            <w:r>
              <w:rPr>
                <w:rStyle w:val="10"/>
                <w:rFonts w:hint="eastAsia"/>
              </w:rPr>
              <w:t>总有效成分含量：</w:t>
            </w:r>
            <w:r>
              <w:rPr>
                <w:rFonts w:hint="eastAsia"/>
              </w:rPr>
              <w:t>1.7%</w:t>
            </w:r>
          </w:p>
        </w:tc>
      </w:tr>
      <w:tr w14:paraId="42C95A8A">
        <w:tblPrEx>
          <w:tblCellMar>
            <w:top w:w="0" w:type="dxa"/>
            <w:left w:w="0" w:type="dxa"/>
            <w:bottom w:w="0" w:type="dxa"/>
            <w:right w:w="0" w:type="dxa"/>
          </w:tblCellMar>
        </w:tblPrEx>
        <w:trPr>
          <w:wBefore w:w="0" w:type="auto"/>
          <w:tblCellSpacing w:w="0" w:type="dxa"/>
        </w:trPr>
        <w:tc>
          <w:tcPr>
            <w:tcW w:w="0" w:type="auto"/>
            <w:noWrap w:val="0"/>
            <w:vAlign w:val="center"/>
          </w:tcPr>
          <w:p w14:paraId="332909A8">
            <w:r>
              <w:rPr>
                <w:rFonts w:hint="eastAsia"/>
              </w:rPr>
              <w:t xml:space="preserve">有效成分及其含量： </w:t>
            </w:r>
          </w:p>
          <w:p w14:paraId="56E8C68D">
            <w:r>
              <w:rPr>
                <w:rFonts w:hint="eastAsia"/>
              </w:rPr>
              <w:t xml:space="preserve">    高效氯氰菊酯1%    残杀威0.7%    </w:t>
            </w:r>
          </w:p>
        </w:tc>
      </w:tr>
      <w:tr w14:paraId="20093434">
        <w:tblPrEx>
          <w:tblCellMar>
            <w:top w:w="0" w:type="dxa"/>
            <w:left w:w="0" w:type="dxa"/>
            <w:bottom w:w="0" w:type="dxa"/>
            <w:right w:w="0" w:type="dxa"/>
          </w:tblCellMar>
        </w:tblPrEx>
        <w:trPr>
          <w:wBefore w:w="0" w:type="auto"/>
          <w:tblCellSpacing w:w="0" w:type="dxa"/>
        </w:trPr>
        <w:tc>
          <w:tcPr>
            <w:tcW w:w="0" w:type="auto"/>
            <w:noWrap w:val="0"/>
            <w:vAlign w:val="center"/>
          </w:tcPr>
          <w:p w14:paraId="59A492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715F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1B07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803A1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8E31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B33A0D">
                  <w:r>
                    <w:rPr>
                      <w:rStyle w:val="11"/>
                      <w:rFonts w:hint="eastAsia"/>
                    </w:rPr>
                    <w:t>施用方式</w:t>
                  </w:r>
                </w:p>
              </w:tc>
            </w:tr>
            <w:tr w14:paraId="757A5C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E41B9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EDE9EF">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6C3C31">
                  <w:r>
                    <w:rPr>
                      <w:rStyle w:val="11"/>
                      <w:rFonts w:hint="eastAsia"/>
                    </w:rPr>
                    <w:t>1毫升/立方米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28E80F">
                  <w:r>
                    <w:rPr>
                      <w:rStyle w:val="11"/>
                      <w:rFonts w:hint="eastAsia"/>
                    </w:rPr>
                    <w:t>热雾机喷雾</w:t>
                  </w:r>
                </w:p>
              </w:tc>
            </w:tr>
          </w:tbl>
          <w:p w14:paraId="6CC910EE">
            <w:pPr>
              <w:rPr>
                <w:rFonts w:ascii="Times New Roman" w:hAnsi="Times New Roman" w:cs="Times New Roman"/>
                <w:sz w:val="20"/>
                <w:szCs w:val="20"/>
              </w:rPr>
            </w:pPr>
          </w:p>
        </w:tc>
      </w:tr>
      <w:tr w14:paraId="7451AAFB">
        <w:tblPrEx>
          <w:tblCellMar>
            <w:top w:w="0" w:type="dxa"/>
            <w:left w:w="0" w:type="dxa"/>
            <w:bottom w:w="0" w:type="dxa"/>
            <w:right w:w="0" w:type="dxa"/>
          </w:tblCellMar>
        </w:tblPrEx>
        <w:trPr>
          <w:wBefore w:w="0" w:type="auto"/>
          <w:tblCellSpacing w:w="0" w:type="dxa"/>
        </w:trPr>
        <w:tc>
          <w:tcPr>
            <w:tcW w:w="0" w:type="auto"/>
            <w:noWrap w:val="0"/>
            <w:vAlign w:val="center"/>
          </w:tcPr>
          <w:p w14:paraId="72CF207F">
            <w:r>
              <w:rPr>
                <w:rStyle w:val="10"/>
                <w:rFonts w:hint="eastAsia"/>
              </w:rPr>
              <w:t>使用技术要求:</w:t>
            </w:r>
            <w:r>
              <w:rPr>
                <w:rFonts w:hint="eastAsia"/>
              </w:rPr>
              <w:br w:type="textWrapping"/>
            </w:r>
            <w:r>
              <w:rPr>
                <w:rStyle w:val="11"/>
                <w:rFonts w:hint="eastAsia"/>
              </w:rPr>
              <w:t>本品无需稀释，使用时将药液直接加入热雾机药罐内加热雾化即可。</w:t>
            </w:r>
          </w:p>
        </w:tc>
      </w:tr>
      <w:tr w14:paraId="695C65ED">
        <w:tblPrEx>
          <w:tblCellMar>
            <w:top w:w="0" w:type="dxa"/>
            <w:left w:w="0" w:type="dxa"/>
            <w:bottom w:w="0" w:type="dxa"/>
            <w:right w:w="0" w:type="dxa"/>
          </w:tblCellMar>
        </w:tblPrEx>
        <w:trPr>
          <w:wBefore w:w="0" w:type="auto"/>
          <w:tblCellSpacing w:w="0" w:type="dxa"/>
        </w:trPr>
        <w:tc>
          <w:tcPr>
            <w:tcW w:w="0" w:type="auto"/>
            <w:noWrap w:val="0"/>
            <w:vAlign w:val="center"/>
          </w:tcPr>
          <w:p w14:paraId="1E537E7C">
            <w:r>
              <w:rPr>
                <w:rStyle w:val="10"/>
                <w:rFonts w:hint="eastAsia"/>
              </w:rPr>
              <w:t>产品性能:</w:t>
            </w:r>
            <w:r>
              <w:rPr>
                <w:rFonts w:hint="eastAsia"/>
              </w:rPr>
              <w:br w:type="textWrapping"/>
            </w:r>
            <w:r>
              <w:rPr>
                <w:rStyle w:val="11"/>
                <w:rFonts w:hint="eastAsia"/>
              </w:rPr>
              <w:t>本品采用残杀威、高效氯氰菊酯为有效成分，对库房、地下管道、车间、垃圾处理场等室内相对密闭空间的蚊、蝇、蜚蠊有防治作用。</w:t>
            </w:r>
          </w:p>
        </w:tc>
      </w:tr>
      <w:tr w14:paraId="59E6C7A5">
        <w:tblPrEx>
          <w:tblCellMar>
            <w:top w:w="0" w:type="dxa"/>
            <w:left w:w="0" w:type="dxa"/>
            <w:bottom w:w="0" w:type="dxa"/>
            <w:right w:w="0" w:type="dxa"/>
          </w:tblCellMar>
        </w:tblPrEx>
        <w:trPr>
          <w:wBefore w:w="0" w:type="auto"/>
          <w:tblCellSpacing w:w="0" w:type="dxa"/>
        </w:trPr>
        <w:tc>
          <w:tcPr>
            <w:tcW w:w="0" w:type="auto"/>
            <w:noWrap w:val="0"/>
            <w:vAlign w:val="center"/>
          </w:tcPr>
          <w:p w14:paraId="653936DE">
            <w:r>
              <w:rPr>
                <w:rStyle w:val="10"/>
                <w:rFonts w:hint="eastAsia"/>
              </w:rPr>
              <w:t>注意事项：</w:t>
            </w:r>
            <w:r>
              <w:rPr>
                <w:rFonts w:hint="eastAsia"/>
              </w:rPr>
              <w:br w:type="textWrapping"/>
            </w:r>
            <w:r>
              <w:rPr>
                <w:rStyle w:val="11"/>
                <w:rFonts w:hint="eastAsia"/>
              </w:rPr>
              <w:t>1. 喷药时切勿污染食物、粮食、食物容器。药后1小时进行充分通风后，宠物和未着防护的人员方可进入施药区域。 2.施药时请配戴保护性衣物，穿防护服、戴口罩、手套、眼罩等，施药后及时清洗暴露皮肤并更换衣物。 3.本品对鱼、蚕有毒，蚕室及桑园附近禁用。 4.孕妇、哺乳期妇女及过敏者禁用，使用中有任何不良反应请及时就医。 5.用过的容器应妥善处理，不可做他用或丢弃。施药后彻底清洗可能受污染的器皿、器具，清洗时远离河塘等水域。 6. 本品仅限专业人员使用。仅限室内使用。</w:t>
            </w:r>
          </w:p>
        </w:tc>
      </w:tr>
      <w:tr w14:paraId="0C736405">
        <w:tblPrEx>
          <w:tblCellMar>
            <w:top w:w="0" w:type="dxa"/>
            <w:left w:w="0" w:type="dxa"/>
            <w:bottom w:w="0" w:type="dxa"/>
            <w:right w:w="0" w:type="dxa"/>
          </w:tblCellMar>
        </w:tblPrEx>
        <w:trPr>
          <w:wBefore w:w="0" w:type="auto"/>
          <w:tblCellSpacing w:w="0" w:type="dxa"/>
        </w:trPr>
        <w:tc>
          <w:tcPr>
            <w:tcW w:w="0" w:type="auto"/>
            <w:noWrap w:val="0"/>
            <w:vAlign w:val="center"/>
          </w:tcPr>
          <w:p w14:paraId="7F206E1C">
            <w:r>
              <w:rPr>
                <w:rStyle w:val="10"/>
                <w:rFonts w:hint="eastAsia"/>
              </w:rPr>
              <w:t>中毒急救措施：</w:t>
            </w:r>
            <w:r>
              <w:rPr>
                <w:rFonts w:hint="eastAsia"/>
              </w:rPr>
              <w:br w:type="textWrapping"/>
            </w:r>
            <w:r>
              <w:rPr>
                <w:rStyle w:val="11"/>
                <w:rFonts w:hint="eastAsia"/>
              </w:rPr>
              <w:t>若药液沾染皮肤和眼睛，请立即用大量清水冲洗至少15分钟并就医。本品无特效解毒药，若不慎吸入，请立即转移至空气清新处，并及时就医对症治疗。若误服，不要引吐、漱口并立即就医。</w:t>
            </w:r>
          </w:p>
        </w:tc>
      </w:tr>
      <w:tr w14:paraId="3D0A830F">
        <w:tblPrEx>
          <w:tblCellMar>
            <w:top w:w="0" w:type="dxa"/>
            <w:left w:w="0" w:type="dxa"/>
            <w:bottom w:w="0" w:type="dxa"/>
            <w:right w:w="0" w:type="dxa"/>
          </w:tblCellMar>
        </w:tblPrEx>
        <w:trPr>
          <w:wBefore w:w="0" w:type="auto"/>
          <w:tblCellSpacing w:w="0" w:type="dxa"/>
        </w:trPr>
        <w:tc>
          <w:tcPr>
            <w:tcW w:w="0" w:type="auto"/>
            <w:noWrap w:val="0"/>
            <w:vAlign w:val="center"/>
          </w:tcPr>
          <w:p w14:paraId="6FD14D06">
            <w:r>
              <w:rPr>
                <w:rStyle w:val="10"/>
                <w:rFonts w:hint="eastAsia"/>
              </w:rPr>
              <w:t>储存和运输方法：</w:t>
            </w:r>
            <w:r>
              <w:rPr>
                <w:rFonts w:hint="eastAsia"/>
              </w:rPr>
              <w:br w:type="textWrapping"/>
            </w:r>
            <w:r>
              <w:rPr>
                <w:rStyle w:val="11"/>
                <w:rFonts w:hint="eastAsia"/>
              </w:rPr>
              <w:t>本品应贮存于阴凉、干燥、通风、避光处，并远离火源和热源。 应置于儿童及宠物触及不到之处，并加锁。运输时，请防雨淋、高温，注意轻拿轻放，不得损坏包装。请勿与食品、饮料、种子、饲料、粮食等其它商品同贮同运。</w:t>
            </w:r>
          </w:p>
        </w:tc>
      </w:tr>
      <w:tr w14:paraId="0D77FE86">
        <w:tblPrEx>
          <w:tblCellMar>
            <w:top w:w="0" w:type="dxa"/>
            <w:left w:w="0" w:type="dxa"/>
            <w:bottom w:w="0" w:type="dxa"/>
            <w:right w:w="0" w:type="dxa"/>
          </w:tblCellMar>
        </w:tblPrEx>
        <w:trPr>
          <w:wBefore w:w="0" w:type="auto"/>
          <w:tblCellSpacing w:w="0" w:type="dxa"/>
        </w:trPr>
        <w:tc>
          <w:tcPr>
            <w:tcW w:w="0" w:type="auto"/>
            <w:noWrap w:val="0"/>
            <w:vAlign w:val="center"/>
          </w:tcPr>
          <w:p w14:paraId="49C672A8">
            <w:r>
              <w:rPr>
                <w:rStyle w:val="10"/>
                <w:rFonts w:hint="eastAsia"/>
              </w:rPr>
              <w:t>质量保证期：</w:t>
            </w:r>
            <w:r>
              <w:rPr>
                <w:rStyle w:val="11"/>
                <w:rFonts w:hint="eastAsia"/>
              </w:rPr>
              <w:t>2年</w:t>
            </w:r>
          </w:p>
        </w:tc>
      </w:tr>
      <w:tr w14:paraId="664CD494">
        <w:tblPrEx>
          <w:tblCellMar>
            <w:top w:w="0" w:type="dxa"/>
            <w:left w:w="0" w:type="dxa"/>
            <w:bottom w:w="0" w:type="dxa"/>
            <w:right w:w="0" w:type="dxa"/>
          </w:tblCellMar>
        </w:tblPrEx>
        <w:trPr>
          <w:wBefore w:w="0" w:type="auto"/>
          <w:tblCellSpacing w:w="0" w:type="dxa"/>
        </w:trPr>
        <w:tc>
          <w:tcPr>
            <w:tcW w:w="0" w:type="auto"/>
            <w:noWrap w:val="0"/>
            <w:vAlign w:val="center"/>
          </w:tcPr>
          <w:p w14:paraId="4D89F4A8">
            <w:r>
              <w:rPr>
                <w:rStyle w:val="10"/>
                <w:rFonts w:hint="eastAsia"/>
              </w:rPr>
              <w:t>备注：</w:t>
            </w:r>
          </w:p>
        </w:tc>
      </w:tr>
    </w:tbl>
    <w:p w14:paraId="218EE41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F53320">
        <w:tblPrEx>
          <w:tblCellMar>
            <w:top w:w="0" w:type="dxa"/>
            <w:left w:w="0" w:type="dxa"/>
            <w:bottom w:w="0" w:type="dxa"/>
            <w:right w:w="0" w:type="dxa"/>
          </w:tblCellMar>
        </w:tblPrEx>
        <w:trPr>
          <w:wBefore w:w="0" w:type="auto"/>
          <w:tblCellSpacing w:w="0" w:type="dxa"/>
        </w:trPr>
        <w:tc>
          <w:tcPr>
            <w:tcW w:w="0" w:type="auto"/>
            <w:noWrap w:val="0"/>
            <w:vAlign w:val="center"/>
          </w:tcPr>
          <w:p w14:paraId="5746D8D9">
            <w:r>
              <w:rPr>
                <w:rStyle w:val="10"/>
                <w:rFonts w:hint="eastAsia"/>
              </w:rPr>
              <w:t>登记证号：</w:t>
            </w:r>
            <w:r>
              <w:rPr>
                <w:rFonts w:hint="eastAsia"/>
              </w:rPr>
              <w:t>WP20210390</w:t>
            </w:r>
          </w:p>
        </w:tc>
      </w:tr>
      <w:tr w14:paraId="50EEA768">
        <w:tblPrEx>
          <w:tblCellMar>
            <w:top w:w="0" w:type="dxa"/>
            <w:left w:w="0" w:type="dxa"/>
            <w:bottom w:w="0" w:type="dxa"/>
            <w:right w:w="0" w:type="dxa"/>
          </w:tblCellMar>
        </w:tblPrEx>
        <w:trPr>
          <w:wBefore w:w="0" w:type="auto"/>
          <w:tblCellSpacing w:w="0" w:type="dxa"/>
        </w:trPr>
        <w:tc>
          <w:tcPr>
            <w:tcW w:w="0" w:type="auto"/>
            <w:noWrap w:val="0"/>
            <w:vAlign w:val="center"/>
          </w:tcPr>
          <w:p w14:paraId="353414CA">
            <w:r>
              <w:rPr>
                <w:rStyle w:val="10"/>
                <w:rFonts w:hint="eastAsia"/>
              </w:rPr>
              <w:t>登记证持有人：</w:t>
            </w:r>
            <w:r>
              <w:rPr>
                <w:rFonts w:hint="eastAsia"/>
              </w:rPr>
              <w:t>江苏艾津作物科技集团有限公司</w:t>
            </w:r>
          </w:p>
        </w:tc>
      </w:tr>
      <w:tr w14:paraId="321F7858">
        <w:tblPrEx>
          <w:tblCellMar>
            <w:top w:w="0" w:type="dxa"/>
            <w:left w:w="0" w:type="dxa"/>
            <w:bottom w:w="0" w:type="dxa"/>
            <w:right w:w="0" w:type="dxa"/>
          </w:tblCellMar>
        </w:tblPrEx>
        <w:trPr>
          <w:wBefore w:w="0" w:type="auto"/>
          <w:tblCellSpacing w:w="0" w:type="dxa"/>
        </w:trPr>
        <w:tc>
          <w:tcPr>
            <w:tcW w:w="0" w:type="auto"/>
            <w:noWrap w:val="0"/>
            <w:vAlign w:val="center"/>
          </w:tcPr>
          <w:p w14:paraId="1B99909A">
            <w:r>
              <w:rPr>
                <w:rStyle w:val="10"/>
                <w:rFonts w:hint="eastAsia"/>
              </w:rPr>
              <w:t>农药名称：</w:t>
            </w:r>
            <w:r>
              <w:rPr>
                <w:rFonts w:hint="eastAsia"/>
              </w:rPr>
              <w:t>氯菊·烯丙菊</w:t>
            </w:r>
          </w:p>
        </w:tc>
      </w:tr>
      <w:tr w14:paraId="0B7878A0">
        <w:tblPrEx>
          <w:tblCellMar>
            <w:top w:w="0" w:type="dxa"/>
            <w:left w:w="0" w:type="dxa"/>
            <w:bottom w:w="0" w:type="dxa"/>
            <w:right w:w="0" w:type="dxa"/>
          </w:tblCellMar>
        </w:tblPrEx>
        <w:trPr>
          <w:wBefore w:w="0" w:type="auto"/>
          <w:tblCellSpacing w:w="0" w:type="dxa"/>
        </w:trPr>
        <w:tc>
          <w:tcPr>
            <w:tcW w:w="0" w:type="auto"/>
            <w:noWrap w:val="0"/>
            <w:vAlign w:val="center"/>
          </w:tcPr>
          <w:p w14:paraId="6BA4E972">
            <w:r>
              <w:rPr>
                <w:rStyle w:val="10"/>
                <w:rFonts w:hint="eastAsia"/>
              </w:rPr>
              <w:t>剂型：</w:t>
            </w:r>
            <w:r>
              <w:rPr>
                <w:rFonts w:hint="eastAsia"/>
              </w:rPr>
              <w:t>水乳剂</w:t>
            </w:r>
          </w:p>
        </w:tc>
      </w:tr>
      <w:tr w14:paraId="1DE88155">
        <w:tblPrEx>
          <w:tblCellMar>
            <w:top w:w="0" w:type="dxa"/>
            <w:left w:w="0" w:type="dxa"/>
            <w:bottom w:w="0" w:type="dxa"/>
            <w:right w:w="0" w:type="dxa"/>
          </w:tblCellMar>
        </w:tblPrEx>
        <w:trPr>
          <w:wBefore w:w="0" w:type="auto"/>
          <w:tblCellSpacing w:w="0" w:type="dxa"/>
        </w:trPr>
        <w:tc>
          <w:tcPr>
            <w:tcW w:w="0" w:type="auto"/>
            <w:noWrap w:val="0"/>
            <w:vAlign w:val="center"/>
          </w:tcPr>
          <w:p w14:paraId="7E1D64EB">
            <w:r>
              <w:rPr>
                <w:rStyle w:val="10"/>
                <w:rFonts w:hint="eastAsia"/>
              </w:rPr>
              <w:t>毒性及其标识：</w:t>
            </w:r>
            <w:r>
              <w:rPr>
                <w:rFonts w:hint="eastAsia"/>
              </w:rPr>
              <w:t xml:space="preserve"> </w:t>
            </w:r>
            <w:r>
              <w:rPr>
                <w:lang/>
              </w:rPr>
              <w:drawing>
                <wp:inline distT="0" distB="0" distL="114300" distR="114300">
                  <wp:extent cx="476250" cy="323850"/>
                  <wp:effectExtent l="0" t="0" r="0" b="0"/>
                  <wp:docPr id="378" name="图片 3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FDFD5E">
        <w:tblPrEx>
          <w:tblCellMar>
            <w:top w:w="0" w:type="dxa"/>
            <w:left w:w="0" w:type="dxa"/>
            <w:bottom w:w="0" w:type="dxa"/>
            <w:right w:w="0" w:type="dxa"/>
          </w:tblCellMar>
        </w:tblPrEx>
        <w:trPr>
          <w:wBefore w:w="0" w:type="auto"/>
          <w:tblCellSpacing w:w="0" w:type="dxa"/>
        </w:trPr>
        <w:tc>
          <w:tcPr>
            <w:tcW w:w="0" w:type="auto"/>
            <w:noWrap w:val="0"/>
            <w:vAlign w:val="center"/>
          </w:tcPr>
          <w:p w14:paraId="70C57C56">
            <w:r>
              <w:rPr>
                <w:rStyle w:val="10"/>
                <w:rFonts w:hint="eastAsia"/>
              </w:rPr>
              <w:t>总有效成分含量：</w:t>
            </w:r>
            <w:r>
              <w:rPr>
                <w:rFonts w:hint="eastAsia"/>
              </w:rPr>
              <w:t>16.86%</w:t>
            </w:r>
          </w:p>
        </w:tc>
      </w:tr>
      <w:tr w14:paraId="4F97ACE3">
        <w:tblPrEx>
          <w:tblCellMar>
            <w:top w:w="0" w:type="dxa"/>
            <w:left w:w="0" w:type="dxa"/>
            <w:bottom w:w="0" w:type="dxa"/>
            <w:right w:w="0" w:type="dxa"/>
          </w:tblCellMar>
        </w:tblPrEx>
        <w:trPr>
          <w:wBefore w:w="0" w:type="auto"/>
          <w:tblCellSpacing w:w="0" w:type="dxa"/>
        </w:trPr>
        <w:tc>
          <w:tcPr>
            <w:tcW w:w="0" w:type="auto"/>
            <w:noWrap w:val="0"/>
            <w:vAlign w:val="center"/>
          </w:tcPr>
          <w:p w14:paraId="22E76BC0">
            <w:r>
              <w:rPr>
                <w:rFonts w:hint="eastAsia"/>
              </w:rPr>
              <w:t xml:space="preserve">有效成分及其含量： </w:t>
            </w:r>
          </w:p>
          <w:p w14:paraId="569F8D01">
            <w:r>
              <w:rPr>
                <w:rFonts w:hint="eastAsia"/>
              </w:rPr>
              <w:t xml:space="preserve">    氯菊酯16.15%    S-生物烯丙菊酯0.71%    </w:t>
            </w:r>
          </w:p>
        </w:tc>
      </w:tr>
      <w:tr w14:paraId="0FBF5C0F">
        <w:tblPrEx>
          <w:tblCellMar>
            <w:top w:w="0" w:type="dxa"/>
            <w:left w:w="0" w:type="dxa"/>
            <w:bottom w:w="0" w:type="dxa"/>
            <w:right w:w="0" w:type="dxa"/>
          </w:tblCellMar>
        </w:tblPrEx>
        <w:trPr>
          <w:wBefore w:w="0" w:type="auto"/>
          <w:tblCellSpacing w:w="0" w:type="dxa"/>
        </w:trPr>
        <w:tc>
          <w:tcPr>
            <w:tcW w:w="0" w:type="auto"/>
            <w:noWrap w:val="0"/>
            <w:vAlign w:val="center"/>
          </w:tcPr>
          <w:p w14:paraId="08C5B2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5FF77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0A1C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E28CE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8B63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B37003">
                  <w:r>
                    <w:rPr>
                      <w:rStyle w:val="11"/>
                      <w:rFonts w:hint="eastAsia"/>
                    </w:rPr>
                    <w:t>施用方式</w:t>
                  </w:r>
                </w:p>
              </w:tc>
            </w:tr>
            <w:tr w14:paraId="4F2483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9D16A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F5E54">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BBCB9D">
                  <w:r>
                    <w:rPr>
                      <w:rStyle w:val="11"/>
                      <w:rFonts w:hint="eastAsia"/>
                    </w:rPr>
                    <w:t>20倍液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C1C0D8">
                  <w:r>
                    <w:rPr>
                      <w:rStyle w:val="11"/>
                      <w:rFonts w:hint="eastAsia"/>
                    </w:rPr>
                    <w:t>空间喷雾</w:t>
                  </w:r>
                </w:p>
              </w:tc>
            </w:tr>
            <w:tr w14:paraId="250382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171445">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E2A31C">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C5F43E">
                  <w:r>
                    <w:rPr>
                      <w:rStyle w:val="11"/>
                      <w:rFonts w:hint="eastAsia"/>
                    </w:rPr>
                    <w:t>20倍液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BCE9F9">
                  <w:r>
                    <w:rPr>
                      <w:rStyle w:val="11"/>
                      <w:rFonts w:hint="eastAsia"/>
                    </w:rPr>
                    <w:t>空间喷雾</w:t>
                  </w:r>
                </w:p>
              </w:tc>
            </w:tr>
            <w:tr w14:paraId="4FB18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CD44F4">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6D4FA1">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95502B">
                  <w:r>
                    <w:rPr>
                      <w:rStyle w:val="11"/>
                      <w:rFonts w:hint="eastAsia"/>
                    </w:rPr>
                    <w:t>10倍液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D201F7">
                  <w:r>
                    <w:rPr>
                      <w:rStyle w:val="11"/>
                      <w:rFonts w:hint="eastAsia"/>
                    </w:rPr>
                    <w:t>空间喷雾</w:t>
                  </w:r>
                </w:p>
              </w:tc>
            </w:tr>
          </w:tbl>
          <w:p w14:paraId="2AD7C6DE">
            <w:pPr>
              <w:rPr>
                <w:rFonts w:ascii="Times New Roman" w:hAnsi="Times New Roman" w:cs="Times New Roman"/>
                <w:sz w:val="20"/>
                <w:szCs w:val="20"/>
              </w:rPr>
            </w:pPr>
          </w:p>
        </w:tc>
      </w:tr>
      <w:tr w14:paraId="304CF72E">
        <w:tblPrEx>
          <w:tblCellMar>
            <w:top w:w="0" w:type="dxa"/>
            <w:left w:w="0" w:type="dxa"/>
            <w:bottom w:w="0" w:type="dxa"/>
            <w:right w:w="0" w:type="dxa"/>
          </w:tblCellMar>
        </w:tblPrEx>
        <w:trPr>
          <w:wBefore w:w="0" w:type="auto"/>
          <w:tblCellSpacing w:w="0" w:type="dxa"/>
        </w:trPr>
        <w:tc>
          <w:tcPr>
            <w:tcW w:w="0" w:type="auto"/>
            <w:noWrap w:val="0"/>
            <w:vAlign w:val="center"/>
          </w:tcPr>
          <w:p w14:paraId="1F473F28">
            <w:r>
              <w:rPr>
                <w:rStyle w:val="10"/>
                <w:rFonts w:hint="eastAsia"/>
              </w:rPr>
              <w:t>使用技术要求:</w:t>
            </w:r>
            <w:r>
              <w:rPr>
                <w:rFonts w:hint="eastAsia"/>
              </w:rPr>
              <w:br w:type="textWrapping"/>
            </w:r>
            <w:r>
              <w:rPr>
                <w:rStyle w:val="11"/>
                <w:rFonts w:hint="eastAsia"/>
              </w:rPr>
              <w:t>本品药液应现配现用，配好的药液不宜久置。防治蚊、蝇按剂量兑水稀释20倍，防治蜚蠊兑水稀释10倍，进行喷雾，施药时间按需要进行。</w:t>
            </w:r>
          </w:p>
        </w:tc>
      </w:tr>
      <w:tr w14:paraId="7EACDB16">
        <w:tblPrEx>
          <w:tblCellMar>
            <w:top w:w="0" w:type="dxa"/>
            <w:left w:w="0" w:type="dxa"/>
            <w:bottom w:w="0" w:type="dxa"/>
            <w:right w:w="0" w:type="dxa"/>
          </w:tblCellMar>
        </w:tblPrEx>
        <w:trPr>
          <w:wBefore w:w="0" w:type="auto"/>
          <w:tblCellSpacing w:w="0" w:type="dxa"/>
        </w:trPr>
        <w:tc>
          <w:tcPr>
            <w:tcW w:w="0" w:type="auto"/>
            <w:noWrap w:val="0"/>
            <w:vAlign w:val="center"/>
          </w:tcPr>
          <w:p w14:paraId="41127ACF">
            <w:r>
              <w:rPr>
                <w:rStyle w:val="10"/>
                <w:rFonts w:hint="eastAsia"/>
              </w:rPr>
              <w:t>产品性能:</w:t>
            </w:r>
            <w:r>
              <w:rPr>
                <w:rFonts w:hint="eastAsia"/>
              </w:rPr>
              <w:br w:type="textWrapping"/>
            </w:r>
            <w:r>
              <w:rPr>
                <w:rStyle w:val="11"/>
                <w:rFonts w:hint="eastAsia"/>
              </w:rPr>
              <w:t>本品以氯菊酯和S-生物烯丙菊酯复配而成，具有触杀和胃毒作用。以喷雾方式防治蚊、蝇、蜚蠊（俗称蟑螂），使用方便。</w:t>
            </w:r>
          </w:p>
        </w:tc>
      </w:tr>
      <w:tr w14:paraId="1F18A7E7">
        <w:tblPrEx>
          <w:tblCellMar>
            <w:top w:w="0" w:type="dxa"/>
            <w:left w:w="0" w:type="dxa"/>
            <w:bottom w:w="0" w:type="dxa"/>
            <w:right w:w="0" w:type="dxa"/>
          </w:tblCellMar>
        </w:tblPrEx>
        <w:trPr>
          <w:wBefore w:w="0" w:type="auto"/>
          <w:tblCellSpacing w:w="0" w:type="dxa"/>
        </w:trPr>
        <w:tc>
          <w:tcPr>
            <w:tcW w:w="0" w:type="auto"/>
            <w:noWrap w:val="0"/>
            <w:vAlign w:val="center"/>
          </w:tcPr>
          <w:p w14:paraId="394E339F">
            <w:r>
              <w:rPr>
                <w:rStyle w:val="10"/>
                <w:rFonts w:hint="eastAsia"/>
              </w:rPr>
              <w:t>注意事项：</w:t>
            </w:r>
            <w:r>
              <w:rPr>
                <w:rFonts w:hint="eastAsia"/>
              </w:rPr>
              <w:br w:type="textWrapping"/>
            </w:r>
            <w:r>
              <w:rPr>
                <w:rStyle w:val="11"/>
                <w:rFonts w:hint="eastAsia"/>
              </w:rPr>
              <w:t>1. 仅用于室内。使用时带好防护用具，避免药液进入口、鼻、眼、耳中，不可饮食、吸烟，避免吸入雾液。 2. 施药后，立即用肥皂水洗裸露皮肤。勿将药液、清洗液倒入池塘沟渠内，远离水源。 3. 过敏者禁用，勿喷于人体、食品、餐具上，敏感体质人士、孕妇及哺乳期妇女请远离本品及施药场所。使用中有任何不良反应携本标签及时就医。 4. 本品对鱼、蚕有高毒，蚕室内及附近禁止使用，以免造成危害。 5. 不能与碱性物质混用，未用完的药剂放入原包装内封好避光保存。销毁农药空包装并深埋处理。6. 禁止在池塘等水域清洗施药器具，水产养殖区、河塘等水体附近禁用，天敌放飞区禁用。7. 用过的容器应妥善处理，不可做他用，也不可随意丢弃。</w:t>
            </w:r>
          </w:p>
        </w:tc>
      </w:tr>
      <w:tr w14:paraId="3C54C13D">
        <w:tblPrEx>
          <w:tblCellMar>
            <w:top w:w="0" w:type="dxa"/>
            <w:left w:w="0" w:type="dxa"/>
            <w:bottom w:w="0" w:type="dxa"/>
            <w:right w:w="0" w:type="dxa"/>
          </w:tblCellMar>
        </w:tblPrEx>
        <w:trPr>
          <w:wBefore w:w="0" w:type="auto"/>
          <w:tblCellSpacing w:w="0" w:type="dxa"/>
        </w:trPr>
        <w:tc>
          <w:tcPr>
            <w:tcW w:w="0" w:type="auto"/>
            <w:noWrap w:val="0"/>
            <w:vAlign w:val="center"/>
          </w:tcPr>
          <w:p w14:paraId="2F09C75F">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 2. 皮肤接触：立即脱掉被污染的衣物，用肥皂和大量清水彻底清洗受污染的皮肤。 3. 眼睛溅药：立即将眼睑翻开，用清水冲洗10-15分钟，再请医生诊治。 4. 发生吸入：立即将吸入者转移到空气新鲜处，请医生诊治。 5、误服：立即携带标签，送医就诊。</w:t>
            </w:r>
          </w:p>
        </w:tc>
      </w:tr>
      <w:tr w14:paraId="6EABD799">
        <w:tblPrEx>
          <w:tblCellMar>
            <w:top w:w="0" w:type="dxa"/>
            <w:left w:w="0" w:type="dxa"/>
            <w:bottom w:w="0" w:type="dxa"/>
            <w:right w:w="0" w:type="dxa"/>
          </w:tblCellMar>
        </w:tblPrEx>
        <w:trPr>
          <w:wBefore w:w="0" w:type="auto"/>
          <w:tblCellSpacing w:w="0" w:type="dxa"/>
        </w:trPr>
        <w:tc>
          <w:tcPr>
            <w:tcW w:w="0" w:type="auto"/>
            <w:noWrap w:val="0"/>
            <w:vAlign w:val="center"/>
          </w:tcPr>
          <w:p w14:paraId="1849F8D6">
            <w:r>
              <w:rPr>
                <w:rStyle w:val="10"/>
                <w:rFonts w:hint="eastAsia"/>
              </w:rPr>
              <w:t>储存和运输方法：</w:t>
            </w:r>
            <w:r>
              <w:rPr>
                <w:rFonts w:hint="eastAsia"/>
              </w:rPr>
              <w:br w:type="textWrapping"/>
            </w:r>
            <w:r>
              <w:rPr>
                <w:rStyle w:val="11"/>
                <w:rFonts w:hint="eastAsia"/>
              </w:rPr>
              <w:t>1. 本品应贮存在通风、干燥、阴凉处。2. 远离火源。 3. 置于儿童、无关人员触及不到之处，并加锁。勿与食品、饮料、饲料、粮食等同贮同运。</w:t>
            </w:r>
          </w:p>
        </w:tc>
      </w:tr>
      <w:tr w14:paraId="601A8327">
        <w:tblPrEx>
          <w:tblCellMar>
            <w:top w:w="0" w:type="dxa"/>
            <w:left w:w="0" w:type="dxa"/>
            <w:bottom w:w="0" w:type="dxa"/>
            <w:right w:w="0" w:type="dxa"/>
          </w:tblCellMar>
        </w:tblPrEx>
        <w:trPr>
          <w:wBefore w:w="0" w:type="auto"/>
          <w:tblCellSpacing w:w="0" w:type="dxa"/>
        </w:trPr>
        <w:tc>
          <w:tcPr>
            <w:tcW w:w="0" w:type="auto"/>
            <w:noWrap w:val="0"/>
            <w:vAlign w:val="center"/>
          </w:tcPr>
          <w:p w14:paraId="791C2217">
            <w:r>
              <w:rPr>
                <w:rStyle w:val="10"/>
                <w:rFonts w:hint="eastAsia"/>
              </w:rPr>
              <w:t>质量保证期：</w:t>
            </w:r>
            <w:r>
              <w:rPr>
                <w:rStyle w:val="11"/>
                <w:rFonts w:hint="eastAsia"/>
              </w:rPr>
              <w:t>2年</w:t>
            </w:r>
          </w:p>
        </w:tc>
      </w:tr>
      <w:tr w14:paraId="6997770B">
        <w:tblPrEx>
          <w:tblCellMar>
            <w:top w:w="0" w:type="dxa"/>
            <w:left w:w="0" w:type="dxa"/>
            <w:bottom w:w="0" w:type="dxa"/>
            <w:right w:w="0" w:type="dxa"/>
          </w:tblCellMar>
        </w:tblPrEx>
        <w:trPr>
          <w:wBefore w:w="0" w:type="auto"/>
          <w:tblCellSpacing w:w="0" w:type="dxa"/>
        </w:trPr>
        <w:tc>
          <w:tcPr>
            <w:tcW w:w="0" w:type="auto"/>
            <w:noWrap w:val="0"/>
            <w:vAlign w:val="center"/>
          </w:tcPr>
          <w:p w14:paraId="60B55CCE">
            <w:r>
              <w:rPr>
                <w:rStyle w:val="10"/>
                <w:rFonts w:hint="eastAsia"/>
              </w:rPr>
              <w:t>备注：</w:t>
            </w:r>
          </w:p>
        </w:tc>
      </w:tr>
    </w:tbl>
    <w:p w14:paraId="5952EE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485A8A">
        <w:tblPrEx>
          <w:tblCellMar>
            <w:top w:w="0" w:type="dxa"/>
            <w:left w:w="0" w:type="dxa"/>
            <w:bottom w:w="0" w:type="dxa"/>
            <w:right w:w="0" w:type="dxa"/>
          </w:tblCellMar>
        </w:tblPrEx>
        <w:trPr>
          <w:wBefore w:w="0" w:type="auto"/>
          <w:tblCellSpacing w:w="0" w:type="dxa"/>
        </w:trPr>
        <w:tc>
          <w:tcPr>
            <w:tcW w:w="0" w:type="auto"/>
            <w:noWrap w:val="0"/>
            <w:vAlign w:val="center"/>
          </w:tcPr>
          <w:p w14:paraId="19AB498C">
            <w:r>
              <w:rPr>
                <w:rStyle w:val="10"/>
                <w:rFonts w:hint="eastAsia"/>
              </w:rPr>
              <w:t>登记证号：</w:t>
            </w:r>
            <w:r>
              <w:rPr>
                <w:rFonts w:hint="eastAsia"/>
              </w:rPr>
              <w:t>PD20212463</w:t>
            </w:r>
          </w:p>
        </w:tc>
      </w:tr>
      <w:tr w14:paraId="4545F1EB">
        <w:tblPrEx>
          <w:tblCellMar>
            <w:top w:w="0" w:type="dxa"/>
            <w:left w:w="0" w:type="dxa"/>
            <w:bottom w:w="0" w:type="dxa"/>
            <w:right w:w="0" w:type="dxa"/>
          </w:tblCellMar>
        </w:tblPrEx>
        <w:trPr>
          <w:wBefore w:w="0" w:type="auto"/>
          <w:tblCellSpacing w:w="0" w:type="dxa"/>
        </w:trPr>
        <w:tc>
          <w:tcPr>
            <w:tcW w:w="0" w:type="auto"/>
            <w:noWrap w:val="0"/>
            <w:vAlign w:val="center"/>
          </w:tcPr>
          <w:p w14:paraId="45E39F7D">
            <w:r>
              <w:rPr>
                <w:rStyle w:val="10"/>
                <w:rFonts w:hint="eastAsia"/>
              </w:rPr>
              <w:t>登记证持有人：</w:t>
            </w:r>
            <w:r>
              <w:rPr>
                <w:rFonts w:hint="eastAsia"/>
              </w:rPr>
              <w:t>孟州沙隆达植物保护技术有限公司</w:t>
            </w:r>
          </w:p>
        </w:tc>
      </w:tr>
      <w:tr w14:paraId="10C2125C">
        <w:tblPrEx>
          <w:tblCellMar>
            <w:top w:w="0" w:type="dxa"/>
            <w:left w:w="0" w:type="dxa"/>
            <w:bottom w:w="0" w:type="dxa"/>
            <w:right w:w="0" w:type="dxa"/>
          </w:tblCellMar>
        </w:tblPrEx>
        <w:trPr>
          <w:wBefore w:w="0" w:type="auto"/>
          <w:tblCellSpacing w:w="0" w:type="dxa"/>
        </w:trPr>
        <w:tc>
          <w:tcPr>
            <w:tcW w:w="0" w:type="auto"/>
            <w:noWrap w:val="0"/>
            <w:vAlign w:val="center"/>
          </w:tcPr>
          <w:p w14:paraId="151F503F">
            <w:r>
              <w:rPr>
                <w:rStyle w:val="10"/>
                <w:rFonts w:hint="eastAsia"/>
              </w:rPr>
              <w:t>农药名称：</w:t>
            </w:r>
            <w:r>
              <w:rPr>
                <w:rFonts w:hint="eastAsia"/>
              </w:rPr>
              <w:t>苯醚·咯·噻虫</w:t>
            </w:r>
          </w:p>
        </w:tc>
      </w:tr>
      <w:tr w14:paraId="579F03A7">
        <w:tblPrEx>
          <w:tblCellMar>
            <w:top w:w="0" w:type="dxa"/>
            <w:left w:w="0" w:type="dxa"/>
            <w:bottom w:w="0" w:type="dxa"/>
            <w:right w:w="0" w:type="dxa"/>
          </w:tblCellMar>
        </w:tblPrEx>
        <w:trPr>
          <w:wBefore w:w="0" w:type="auto"/>
          <w:tblCellSpacing w:w="0" w:type="dxa"/>
        </w:trPr>
        <w:tc>
          <w:tcPr>
            <w:tcW w:w="0" w:type="auto"/>
            <w:noWrap w:val="0"/>
            <w:vAlign w:val="center"/>
          </w:tcPr>
          <w:p w14:paraId="129F81E9">
            <w:r>
              <w:rPr>
                <w:rStyle w:val="10"/>
                <w:rFonts w:hint="eastAsia"/>
              </w:rPr>
              <w:t>剂型：</w:t>
            </w:r>
            <w:r>
              <w:rPr>
                <w:rFonts w:hint="eastAsia"/>
              </w:rPr>
              <w:t>种子处理悬浮剂</w:t>
            </w:r>
          </w:p>
        </w:tc>
      </w:tr>
      <w:tr w14:paraId="2A1D739B">
        <w:tblPrEx>
          <w:tblCellMar>
            <w:top w:w="0" w:type="dxa"/>
            <w:left w:w="0" w:type="dxa"/>
            <w:bottom w:w="0" w:type="dxa"/>
            <w:right w:w="0" w:type="dxa"/>
          </w:tblCellMar>
        </w:tblPrEx>
        <w:trPr>
          <w:wBefore w:w="0" w:type="auto"/>
          <w:tblCellSpacing w:w="0" w:type="dxa"/>
        </w:trPr>
        <w:tc>
          <w:tcPr>
            <w:tcW w:w="0" w:type="auto"/>
            <w:noWrap w:val="0"/>
            <w:vAlign w:val="center"/>
          </w:tcPr>
          <w:p w14:paraId="0635B0E0">
            <w:r>
              <w:rPr>
                <w:rStyle w:val="10"/>
                <w:rFonts w:hint="eastAsia"/>
              </w:rPr>
              <w:t>毒性及其标识：</w:t>
            </w:r>
            <w:r>
              <w:rPr>
                <w:rFonts w:hint="eastAsia"/>
              </w:rPr>
              <w:t xml:space="preserve"> </w:t>
            </w:r>
            <w:r>
              <w:rPr>
                <w:lang/>
              </w:rPr>
              <w:drawing>
                <wp:inline distT="0" distB="0" distL="114300" distR="114300">
                  <wp:extent cx="476250" cy="323850"/>
                  <wp:effectExtent l="0" t="0" r="0" b="0"/>
                  <wp:docPr id="379" name="图片 3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D5EA78">
        <w:tblPrEx>
          <w:tblCellMar>
            <w:top w:w="0" w:type="dxa"/>
            <w:left w:w="0" w:type="dxa"/>
            <w:bottom w:w="0" w:type="dxa"/>
            <w:right w:w="0" w:type="dxa"/>
          </w:tblCellMar>
        </w:tblPrEx>
        <w:trPr>
          <w:wBefore w:w="0" w:type="auto"/>
          <w:tblCellSpacing w:w="0" w:type="dxa"/>
        </w:trPr>
        <w:tc>
          <w:tcPr>
            <w:tcW w:w="0" w:type="auto"/>
            <w:noWrap w:val="0"/>
            <w:vAlign w:val="center"/>
          </w:tcPr>
          <w:p w14:paraId="13C3A793">
            <w:r>
              <w:rPr>
                <w:rStyle w:val="10"/>
                <w:rFonts w:hint="eastAsia"/>
              </w:rPr>
              <w:t>总有效成分含量：</w:t>
            </w:r>
            <w:r>
              <w:rPr>
                <w:rFonts w:hint="eastAsia"/>
              </w:rPr>
              <w:t>22%</w:t>
            </w:r>
          </w:p>
        </w:tc>
      </w:tr>
      <w:tr w14:paraId="5C1B3DEA">
        <w:tblPrEx>
          <w:tblCellMar>
            <w:top w:w="0" w:type="dxa"/>
            <w:left w:w="0" w:type="dxa"/>
            <w:bottom w:w="0" w:type="dxa"/>
            <w:right w:w="0" w:type="dxa"/>
          </w:tblCellMar>
        </w:tblPrEx>
        <w:trPr>
          <w:wBefore w:w="0" w:type="auto"/>
          <w:tblCellSpacing w:w="0" w:type="dxa"/>
        </w:trPr>
        <w:tc>
          <w:tcPr>
            <w:tcW w:w="0" w:type="auto"/>
            <w:noWrap w:val="0"/>
            <w:vAlign w:val="center"/>
          </w:tcPr>
          <w:p w14:paraId="23DE3173">
            <w:r>
              <w:rPr>
                <w:rFonts w:hint="eastAsia"/>
              </w:rPr>
              <w:t xml:space="preserve">有效成分及其含量： </w:t>
            </w:r>
          </w:p>
          <w:p w14:paraId="6532A7A6">
            <w:r>
              <w:rPr>
                <w:rFonts w:hint="eastAsia"/>
              </w:rPr>
              <w:t xml:space="preserve">    咯菌腈1%    噻虫嗪20%    苯醚甲环唑1%    </w:t>
            </w:r>
          </w:p>
        </w:tc>
      </w:tr>
      <w:tr w14:paraId="0A1D77F7">
        <w:tblPrEx>
          <w:tblCellMar>
            <w:top w:w="0" w:type="dxa"/>
            <w:left w:w="0" w:type="dxa"/>
            <w:bottom w:w="0" w:type="dxa"/>
            <w:right w:w="0" w:type="dxa"/>
          </w:tblCellMar>
        </w:tblPrEx>
        <w:trPr>
          <w:wBefore w:w="0" w:type="auto"/>
          <w:tblCellSpacing w:w="0" w:type="dxa"/>
        </w:trPr>
        <w:tc>
          <w:tcPr>
            <w:tcW w:w="0" w:type="auto"/>
            <w:noWrap w:val="0"/>
            <w:vAlign w:val="center"/>
          </w:tcPr>
          <w:p w14:paraId="1842DD3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7828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870C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67F30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2B77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4B9A6E">
                  <w:r>
                    <w:rPr>
                      <w:rStyle w:val="11"/>
                      <w:rFonts w:hint="eastAsia"/>
                    </w:rPr>
                    <w:t>施用方式</w:t>
                  </w:r>
                </w:p>
              </w:tc>
            </w:tr>
            <w:tr w14:paraId="0BEEBD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BCB0E6">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67105B">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0B0F81">
                  <w:r>
                    <w:rPr>
                      <w:rStyle w:val="11"/>
                      <w:rFonts w:hint="eastAsia"/>
                    </w:rPr>
                    <w:t>500-660毫升/100千克种子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A6F615">
                  <w:r>
                    <w:rPr>
                      <w:rStyle w:val="11"/>
                      <w:rFonts w:hint="eastAsia"/>
                    </w:rPr>
                    <w:t>种子包衣</w:t>
                  </w:r>
                </w:p>
              </w:tc>
            </w:tr>
            <w:tr w14:paraId="1C8D4F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C6F85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FC68C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CD7948">
                  <w:r>
                    <w:rPr>
                      <w:rStyle w:val="11"/>
                      <w:rFonts w:hint="eastAsia"/>
                    </w:rPr>
                    <w:t>500-660毫升/100千克种子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2457D4">
                  <w:r>
                    <w:rPr>
                      <w:rStyle w:val="11"/>
                      <w:rFonts w:hint="eastAsia"/>
                    </w:rPr>
                    <w:t>种子包衣</w:t>
                  </w:r>
                </w:p>
              </w:tc>
            </w:tr>
          </w:tbl>
          <w:p w14:paraId="5D73B6C7">
            <w:pPr>
              <w:rPr>
                <w:rFonts w:ascii="Times New Roman" w:hAnsi="Times New Roman" w:cs="Times New Roman"/>
                <w:sz w:val="20"/>
                <w:szCs w:val="20"/>
              </w:rPr>
            </w:pPr>
          </w:p>
        </w:tc>
      </w:tr>
      <w:tr w14:paraId="34D84C5D">
        <w:tblPrEx>
          <w:tblCellMar>
            <w:top w:w="0" w:type="dxa"/>
            <w:left w:w="0" w:type="dxa"/>
            <w:bottom w:w="0" w:type="dxa"/>
            <w:right w:w="0" w:type="dxa"/>
          </w:tblCellMar>
        </w:tblPrEx>
        <w:trPr>
          <w:wBefore w:w="0" w:type="auto"/>
          <w:tblCellSpacing w:w="0" w:type="dxa"/>
        </w:trPr>
        <w:tc>
          <w:tcPr>
            <w:tcW w:w="0" w:type="auto"/>
            <w:noWrap w:val="0"/>
            <w:vAlign w:val="center"/>
          </w:tcPr>
          <w:p w14:paraId="0077EEAC">
            <w:r>
              <w:rPr>
                <w:rStyle w:val="10"/>
                <w:rFonts w:hint="eastAsia"/>
              </w:rPr>
              <w:t>使用技术要求:</w:t>
            </w:r>
            <w:r>
              <w:rPr>
                <w:rFonts w:hint="eastAsia"/>
              </w:rPr>
              <w:br w:type="textWrapping"/>
            </w:r>
            <w:r>
              <w:rPr>
                <w:rStyle w:val="11"/>
                <w:rFonts w:hint="eastAsia"/>
              </w:rPr>
              <w:t>1. 于花生播种前种子包衣施药1次。手工包衣：根据种子量确定制剂用药量，加适量清水，混合均匀调 成浆状药液，倒在种子上充分搅拌，待均匀着药后，摊开晾于通风阴凉 处。机械包衣：按推荐制剂用药量加适量清水，混合均匀后调成浆状药 液；选用适宜的包衣机械，根据要求调整药种比进行包衣处理。 2. 播种时需考虑低温、大雨等不良环境影响，适时播种。</w:t>
            </w:r>
          </w:p>
        </w:tc>
      </w:tr>
      <w:tr w14:paraId="5C17E2D2">
        <w:tblPrEx>
          <w:tblCellMar>
            <w:top w:w="0" w:type="dxa"/>
            <w:left w:w="0" w:type="dxa"/>
            <w:bottom w:w="0" w:type="dxa"/>
            <w:right w:w="0" w:type="dxa"/>
          </w:tblCellMar>
        </w:tblPrEx>
        <w:trPr>
          <w:wBefore w:w="0" w:type="auto"/>
          <w:tblCellSpacing w:w="0" w:type="dxa"/>
        </w:trPr>
        <w:tc>
          <w:tcPr>
            <w:tcW w:w="0" w:type="auto"/>
            <w:noWrap w:val="0"/>
            <w:vAlign w:val="center"/>
          </w:tcPr>
          <w:p w14:paraId="566D2C4A">
            <w:r>
              <w:rPr>
                <w:rStyle w:val="10"/>
                <w:rFonts w:hint="eastAsia"/>
              </w:rPr>
              <w:t>产品性能:</w:t>
            </w:r>
            <w:r>
              <w:rPr>
                <w:rFonts w:hint="eastAsia"/>
              </w:rPr>
              <w:br w:type="textWrapping"/>
            </w:r>
            <w:r>
              <w:rPr>
                <w:rStyle w:val="11"/>
                <w:rFonts w:hint="eastAsia"/>
              </w:rPr>
              <w:t>本品由苯醚甲环唑、咯菌腈、噻虫嗪复配而成。苯醚甲环唑是甾醇脱甲基化抑制剂，抑制细胞膜麦角甾醇生物合成，从而阻止病原菌生长。咯菌腈属非内吸性杀菌剂，能够通过植物组织吸收，抑制渗透信号传导过程中的丝裂原活化蛋白激酶活性。噻虫嗪为乙酰胆碱受体的兴奋剂，影响害虫中枢神经系统的神经突触。三者混配用于防治花生蚜虫、花生根腐病。</w:t>
            </w:r>
          </w:p>
        </w:tc>
      </w:tr>
      <w:tr w14:paraId="4215621C">
        <w:tblPrEx>
          <w:tblCellMar>
            <w:top w:w="0" w:type="dxa"/>
            <w:left w:w="0" w:type="dxa"/>
            <w:bottom w:w="0" w:type="dxa"/>
            <w:right w:w="0" w:type="dxa"/>
          </w:tblCellMar>
        </w:tblPrEx>
        <w:trPr>
          <w:wBefore w:w="0" w:type="auto"/>
          <w:tblCellSpacing w:w="0" w:type="dxa"/>
        </w:trPr>
        <w:tc>
          <w:tcPr>
            <w:tcW w:w="0" w:type="auto"/>
            <w:noWrap w:val="0"/>
            <w:vAlign w:val="center"/>
          </w:tcPr>
          <w:p w14:paraId="4CE138FC">
            <w:r>
              <w:rPr>
                <w:rStyle w:val="10"/>
                <w:rFonts w:hint="eastAsia"/>
              </w:rPr>
              <w:t>注意事项：</w:t>
            </w:r>
            <w:r>
              <w:rPr>
                <w:rFonts w:hint="eastAsia"/>
              </w:rPr>
              <w:br w:type="textWrapping"/>
            </w:r>
            <w:r>
              <w:rPr>
                <w:rStyle w:val="11"/>
                <w:rFonts w:hint="eastAsia"/>
              </w:rPr>
              <w:t>1.（周围）开花植物花期禁用，使用时应密切关注对附近蜂群的影响；鸟类保护区附近禁用，播种后立即覆土。远离水产养殖区施药，禁止在河塘等水体中清洗施药器具，清洗施药器具的水也不能排入河塘等水体。 2.使用本品应采取相应的安全防护措施，穿靴子、长袖衣和长裤，戴防护手套、口罩等，避免皮肤接触及口鼻吸入。使用中不可吸烟、饮水及吃东西，使用后及时用大量清水和肥皂清洗手、脸等暴露部位皮肤并更换衣物。 3.配药和种子处理应在通风处进行。配药时，操作人员应戴防渗透手套和面罩或护目镜，穿长袖衣、长裤和靴子；种子处理时，应戴防渗透手套，穿长袖衣、长裤和靴子。 4.处理过的种子必须放置在有明显标签的容器内。不得饲喂禽畜，更不得用来加工饲料或食品。 5.播种后应立即覆土，并清理裸露在土壤表面的种子，严禁畜禽进入。 6.用过的容器应妥善处理，不可做他用，也不可随意丢弃。 7.禁止儿童、孕妇及哺乳期的妇女接触。过敏者禁用，使用中有任何不良反应请及时就医。</w:t>
            </w:r>
          </w:p>
        </w:tc>
      </w:tr>
      <w:tr w14:paraId="391D0C4C">
        <w:tblPrEx>
          <w:tblCellMar>
            <w:top w:w="0" w:type="dxa"/>
            <w:left w:w="0" w:type="dxa"/>
            <w:bottom w:w="0" w:type="dxa"/>
            <w:right w:w="0" w:type="dxa"/>
          </w:tblCellMar>
        </w:tblPrEx>
        <w:trPr>
          <w:wBefore w:w="0" w:type="auto"/>
          <w:tblCellSpacing w:w="0" w:type="dxa"/>
        </w:trPr>
        <w:tc>
          <w:tcPr>
            <w:tcW w:w="0" w:type="auto"/>
            <w:noWrap w:val="0"/>
            <w:vAlign w:val="center"/>
          </w:tcPr>
          <w:p w14:paraId="3ACC567D">
            <w:r>
              <w:rPr>
                <w:rStyle w:val="10"/>
                <w:rFonts w:hint="eastAsia"/>
              </w:rPr>
              <w:t>中毒急救措施：</w:t>
            </w:r>
            <w:r>
              <w:rPr>
                <w:rFonts w:hint="eastAsia"/>
              </w:rPr>
              <w:br w:type="textWrapping"/>
            </w:r>
            <w:r>
              <w:rPr>
                <w:rStyle w:val="11"/>
                <w:rFonts w:hint="eastAsia"/>
              </w:rPr>
              <w:t>中毒症状：头痛、恶心、呕吐等。该药对眼有轻微刺激作用，对皮肤无刺激作用。不慎吸入，应将病人移至空气流通处。不慎溅入眼睛，应用大量清水冲洗至少15分钟。误服则应立即携此标签将病人送医院对症治疗。</w:t>
            </w:r>
          </w:p>
        </w:tc>
      </w:tr>
      <w:tr w14:paraId="735C5411">
        <w:tblPrEx>
          <w:tblCellMar>
            <w:top w:w="0" w:type="dxa"/>
            <w:left w:w="0" w:type="dxa"/>
            <w:bottom w:w="0" w:type="dxa"/>
            <w:right w:w="0" w:type="dxa"/>
          </w:tblCellMar>
        </w:tblPrEx>
        <w:trPr>
          <w:wBefore w:w="0" w:type="auto"/>
          <w:tblCellSpacing w:w="0" w:type="dxa"/>
        </w:trPr>
        <w:tc>
          <w:tcPr>
            <w:tcW w:w="0" w:type="auto"/>
            <w:noWrap w:val="0"/>
            <w:vAlign w:val="center"/>
          </w:tcPr>
          <w:p w14:paraId="27A0C177">
            <w:r>
              <w:rPr>
                <w:rStyle w:val="10"/>
                <w:rFonts w:hint="eastAsia"/>
              </w:rPr>
              <w:t>储存和运输方法：</w:t>
            </w:r>
            <w:r>
              <w:rPr>
                <w:rFonts w:hint="eastAsia"/>
              </w:rPr>
              <w:br w:type="textWrapping"/>
            </w:r>
            <w:r>
              <w:rPr>
                <w:rStyle w:val="11"/>
                <w:rFonts w:hint="eastAsia"/>
              </w:rPr>
              <w:t>本品应贮存在干燥、阴凉、通风、防雨处，远离火源或热源，不与氧化剂接触。置于儿童、无关人员及动物接触不到的地方，并加锁保存。勿与食品、饮料、粮食、饲料等同贮同运。</w:t>
            </w:r>
          </w:p>
        </w:tc>
      </w:tr>
      <w:tr w14:paraId="575C645C">
        <w:tblPrEx>
          <w:tblCellMar>
            <w:top w:w="0" w:type="dxa"/>
            <w:left w:w="0" w:type="dxa"/>
            <w:bottom w:w="0" w:type="dxa"/>
            <w:right w:w="0" w:type="dxa"/>
          </w:tblCellMar>
        </w:tblPrEx>
        <w:trPr>
          <w:wBefore w:w="0" w:type="auto"/>
          <w:tblCellSpacing w:w="0" w:type="dxa"/>
        </w:trPr>
        <w:tc>
          <w:tcPr>
            <w:tcW w:w="0" w:type="auto"/>
            <w:noWrap w:val="0"/>
            <w:vAlign w:val="center"/>
          </w:tcPr>
          <w:p w14:paraId="76FB7F92">
            <w:r>
              <w:rPr>
                <w:rStyle w:val="10"/>
                <w:rFonts w:hint="eastAsia"/>
              </w:rPr>
              <w:t>质量保证期：</w:t>
            </w:r>
            <w:r>
              <w:rPr>
                <w:rStyle w:val="11"/>
                <w:rFonts w:hint="eastAsia"/>
              </w:rPr>
              <w:t>2年</w:t>
            </w:r>
          </w:p>
        </w:tc>
      </w:tr>
      <w:tr w14:paraId="7F6CB103">
        <w:tblPrEx>
          <w:tblCellMar>
            <w:top w:w="0" w:type="dxa"/>
            <w:left w:w="0" w:type="dxa"/>
            <w:bottom w:w="0" w:type="dxa"/>
            <w:right w:w="0" w:type="dxa"/>
          </w:tblCellMar>
        </w:tblPrEx>
        <w:trPr>
          <w:wBefore w:w="0" w:type="auto"/>
          <w:tblCellSpacing w:w="0" w:type="dxa"/>
        </w:trPr>
        <w:tc>
          <w:tcPr>
            <w:tcW w:w="0" w:type="auto"/>
            <w:noWrap w:val="0"/>
            <w:vAlign w:val="center"/>
          </w:tcPr>
          <w:p w14:paraId="062B72A9">
            <w:r>
              <w:rPr>
                <w:rStyle w:val="10"/>
                <w:rFonts w:hint="eastAsia"/>
              </w:rPr>
              <w:t>备注：</w:t>
            </w:r>
          </w:p>
        </w:tc>
      </w:tr>
    </w:tbl>
    <w:p w14:paraId="06E0F1B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023E11">
        <w:tblPrEx>
          <w:tblCellMar>
            <w:top w:w="0" w:type="dxa"/>
            <w:left w:w="0" w:type="dxa"/>
            <w:bottom w:w="0" w:type="dxa"/>
            <w:right w:w="0" w:type="dxa"/>
          </w:tblCellMar>
        </w:tblPrEx>
        <w:trPr>
          <w:wBefore w:w="0" w:type="auto"/>
          <w:tblCellSpacing w:w="0" w:type="dxa"/>
        </w:trPr>
        <w:tc>
          <w:tcPr>
            <w:tcW w:w="0" w:type="auto"/>
            <w:noWrap w:val="0"/>
            <w:vAlign w:val="center"/>
          </w:tcPr>
          <w:p w14:paraId="1B2A100C">
            <w:r>
              <w:rPr>
                <w:rStyle w:val="10"/>
                <w:rFonts w:hint="eastAsia"/>
              </w:rPr>
              <w:t>登记证号：</w:t>
            </w:r>
            <w:r>
              <w:rPr>
                <w:rFonts w:hint="eastAsia"/>
              </w:rPr>
              <w:t>EX20210114</w:t>
            </w:r>
          </w:p>
        </w:tc>
      </w:tr>
      <w:tr w14:paraId="24A26F4E">
        <w:tblPrEx>
          <w:tblCellMar>
            <w:top w:w="0" w:type="dxa"/>
            <w:left w:w="0" w:type="dxa"/>
            <w:bottom w:w="0" w:type="dxa"/>
            <w:right w:w="0" w:type="dxa"/>
          </w:tblCellMar>
        </w:tblPrEx>
        <w:trPr>
          <w:wBefore w:w="0" w:type="auto"/>
          <w:tblCellSpacing w:w="0" w:type="dxa"/>
        </w:trPr>
        <w:tc>
          <w:tcPr>
            <w:tcW w:w="0" w:type="auto"/>
            <w:noWrap w:val="0"/>
            <w:vAlign w:val="center"/>
          </w:tcPr>
          <w:p w14:paraId="7E143908">
            <w:r>
              <w:rPr>
                <w:rStyle w:val="10"/>
                <w:rFonts w:hint="eastAsia"/>
              </w:rPr>
              <w:t>登记证持有人：</w:t>
            </w:r>
            <w:r>
              <w:rPr>
                <w:rFonts w:hint="eastAsia"/>
              </w:rPr>
              <w:t>迈克斯（如东）化工有限公司</w:t>
            </w:r>
          </w:p>
        </w:tc>
      </w:tr>
      <w:tr w14:paraId="48EB7F0D">
        <w:tblPrEx>
          <w:tblCellMar>
            <w:top w:w="0" w:type="dxa"/>
            <w:left w:w="0" w:type="dxa"/>
            <w:bottom w:w="0" w:type="dxa"/>
            <w:right w:w="0" w:type="dxa"/>
          </w:tblCellMar>
        </w:tblPrEx>
        <w:trPr>
          <w:wBefore w:w="0" w:type="auto"/>
          <w:tblCellSpacing w:w="0" w:type="dxa"/>
        </w:trPr>
        <w:tc>
          <w:tcPr>
            <w:tcW w:w="0" w:type="auto"/>
            <w:noWrap w:val="0"/>
            <w:vAlign w:val="center"/>
          </w:tcPr>
          <w:p w14:paraId="6DB403E9">
            <w:r>
              <w:rPr>
                <w:rStyle w:val="10"/>
                <w:rFonts w:hint="eastAsia"/>
              </w:rPr>
              <w:t>农药名称：</w:t>
            </w:r>
            <w:r>
              <w:rPr>
                <w:rFonts w:hint="eastAsia"/>
              </w:rPr>
              <w:t>利谷隆</w:t>
            </w:r>
          </w:p>
        </w:tc>
      </w:tr>
      <w:tr w14:paraId="1D04578B">
        <w:tblPrEx>
          <w:tblCellMar>
            <w:top w:w="0" w:type="dxa"/>
            <w:left w:w="0" w:type="dxa"/>
            <w:bottom w:w="0" w:type="dxa"/>
            <w:right w:w="0" w:type="dxa"/>
          </w:tblCellMar>
        </w:tblPrEx>
        <w:trPr>
          <w:wBefore w:w="0" w:type="auto"/>
          <w:tblCellSpacing w:w="0" w:type="dxa"/>
        </w:trPr>
        <w:tc>
          <w:tcPr>
            <w:tcW w:w="0" w:type="auto"/>
            <w:noWrap w:val="0"/>
            <w:vAlign w:val="center"/>
          </w:tcPr>
          <w:p w14:paraId="09C5354C">
            <w:r>
              <w:rPr>
                <w:rStyle w:val="10"/>
                <w:rFonts w:hint="eastAsia"/>
              </w:rPr>
              <w:t>剂型：</w:t>
            </w:r>
            <w:r>
              <w:rPr>
                <w:rFonts w:hint="eastAsia"/>
              </w:rPr>
              <w:t>原药</w:t>
            </w:r>
          </w:p>
        </w:tc>
      </w:tr>
      <w:tr w14:paraId="549DF7A5">
        <w:tblPrEx>
          <w:tblCellMar>
            <w:top w:w="0" w:type="dxa"/>
            <w:left w:w="0" w:type="dxa"/>
            <w:bottom w:w="0" w:type="dxa"/>
            <w:right w:w="0" w:type="dxa"/>
          </w:tblCellMar>
        </w:tblPrEx>
        <w:trPr>
          <w:wBefore w:w="0" w:type="auto"/>
          <w:tblCellSpacing w:w="0" w:type="dxa"/>
        </w:trPr>
        <w:tc>
          <w:tcPr>
            <w:tcW w:w="0" w:type="auto"/>
            <w:noWrap w:val="0"/>
            <w:vAlign w:val="center"/>
          </w:tcPr>
          <w:p w14:paraId="50530C89">
            <w:r>
              <w:rPr>
                <w:rStyle w:val="10"/>
                <w:rFonts w:hint="eastAsia"/>
              </w:rPr>
              <w:t>毒性及其标识：</w:t>
            </w:r>
            <w:r>
              <w:rPr>
                <w:rFonts w:hint="eastAsia"/>
              </w:rPr>
              <w:t xml:space="preserve"> </w:t>
            </w:r>
            <w:r>
              <w:rPr>
                <w:lang/>
              </w:rPr>
              <w:drawing>
                <wp:inline distT="0" distB="0" distL="114300" distR="114300">
                  <wp:extent cx="476250" cy="323850"/>
                  <wp:effectExtent l="0" t="0" r="0" b="0"/>
                  <wp:docPr id="380" name="图片 3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8196445">
        <w:tblPrEx>
          <w:tblCellMar>
            <w:top w:w="0" w:type="dxa"/>
            <w:left w:w="0" w:type="dxa"/>
            <w:bottom w:w="0" w:type="dxa"/>
            <w:right w:w="0" w:type="dxa"/>
          </w:tblCellMar>
        </w:tblPrEx>
        <w:trPr>
          <w:wBefore w:w="0" w:type="auto"/>
          <w:tblCellSpacing w:w="0" w:type="dxa"/>
        </w:trPr>
        <w:tc>
          <w:tcPr>
            <w:tcW w:w="0" w:type="auto"/>
            <w:noWrap w:val="0"/>
            <w:vAlign w:val="center"/>
          </w:tcPr>
          <w:p w14:paraId="26C7FE61">
            <w:r>
              <w:rPr>
                <w:rStyle w:val="10"/>
                <w:rFonts w:hint="eastAsia"/>
              </w:rPr>
              <w:t>总有效成分含量：</w:t>
            </w:r>
            <w:r>
              <w:rPr>
                <w:rFonts w:hint="eastAsia"/>
              </w:rPr>
              <w:t>97%</w:t>
            </w:r>
          </w:p>
        </w:tc>
      </w:tr>
      <w:tr w14:paraId="2C98A09B">
        <w:tblPrEx>
          <w:tblCellMar>
            <w:top w:w="0" w:type="dxa"/>
            <w:left w:w="0" w:type="dxa"/>
            <w:bottom w:w="0" w:type="dxa"/>
            <w:right w:w="0" w:type="dxa"/>
          </w:tblCellMar>
        </w:tblPrEx>
        <w:trPr>
          <w:wBefore w:w="0" w:type="auto"/>
          <w:tblCellSpacing w:w="0" w:type="dxa"/>
        </w:trPr>
        <w:tc>
          <w:tcPr>
            <w:tcW w:w="0" w:type="auto"/>
            <w:noWrap w:val="0"/>
            <w:vAlign w:val="center"/>
          </w:tcPr>
          <w:p w14:paraId="2DBF4243">
            <w:r>
              <w:rPr>
                <w:rFonts w:hint="eastAsia"/>
              </w:rPr>
              <w:t xml:space="preserve">有效成分及其含量： </w:t>
            </w:r>
          </w:p>
          <w:p w14:paraId="0B155291">
            <w:r>
              <w:rPr>
                <w:rFonts w:hint="eastAsia"/>
              </w:rPr>
              <w:t xml:space="preserve">    </w:t>
            </w:r>
          </w:p>
        </w:tc>
      </w:tr>
      <w:tr w14:paraId="0DEA0E13">
        <w:tblPrEx>
          <w:tblCellMar>
            <w:top w:w="0" w:type="dxa"/>
            <w:left w:w="0" w:type="dxa"/>
            <w:bottom w:w="0" w:type="dxa"/>
            <w:right w:w="0" w:type="dxa"/>
          </w:tblCellMar>
        </w:tblPrEx>
        <w:trPr>
          <w:wBefore w:w="0" w:type="auto"/>
          <w:tblCellSpacing w:w="0" w:type="dxa"/>
        </w:trPr>
        <w:tc>
          <w:tcPr>
            <w:tcW w:w="0" w:type="auto"/>
            <w:noWrap w:val="0"/>
            <w:vAlign w:val="center"/>
          </w:tcPr>
          <w:p w14:paraId="2D1DAD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74DA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FEF08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BEFA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9BAB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35A076">
                  <w:r>
                    <w:rPr>
                      <w:rStyle w:val="11"/>
                      <w:rFonts w:hint="eastAsia"/>
                    </w:rPr>
                    <w:t>施用方式</w:t>
                  </w:r>
                </w:p>
              </w:tc>
            </w:tr>
          </w:tbl>
          <w:p w14:paraId="63C7658C">
            <w:pPr>
              <w:rPr>
                <w:rFonts w:ascii="Times New Roman" w:hAnsi="Times New Roman" w:cs="Times New Roman"/>
                <w:sz w:val="20"/>
                <w:szCs w:val="20"/>
              </w:rPr>
            </w:pPr>
          </w:p>
        </w:tc>
      </w:tr>
      <w:tr w14:paraId="1C3C9CF6">
        <w:tblPrEx>
          <w:tblCellMar>
            <w:top w:w="0" w:type="dxa"/>
            <w:left w:w="0" w:type="dxa"/>
            <w:bottom w:w="0" w:type="dxa"/>
            <w:right w:w="0" w:type="dxa"/>
          </w:tblCellMar>
        </w:tblPrEx>
        <w:trPr>
          <w:wBefore w:w="0" w:type="auto"/>
          <w:tblCellSpacing w:w="0" w:type="dxa"/>
        </w:trPr>
        <w:tc>
          <w:tcPr>
            <w:tcW w:w="0" w:type="auto"/>
            <w:noWrap w:val="0"/>
            <w:vAlign w:val="center"/>
          </w:tcPr>
          <w:p w14:paraId="1C709137">
            <w:r>
              <w:rPr>
                <w:rStyle w:val="10"/>
                <w:rFonts w:hint="eastAsia"/>
              </w:rPr>
              <w:t>使用技术要求:</w:t>
            </w:r>
          </w:p>
        </w:tc>
      </w:tr>
      <w:tr w14:paraId="663070D8">
        <w:tblPrEx>
          <w:tblCellMar>
            <w:top w:w="0" w:type="dxa"/>
            <w:left w:w="0" w:type="dxa"/>
            <w:bottom w:w="0" w:type="dxa"/>
            <w:right w:w="0" w:type="dxa"/>
          </w:tblCellMar>
        </w:tblPrEx>
        <w:trPr>
          <w:wBefore w:w="0" w:type="auto"/>
          <w:tblCellSpacing w:w="0" w:type="dxa"/>
        </w:trPr>
        <w:tc>
          <w:tcPr>
            <w:tcW w:w="0" w:type="auto"/>
            <w:noWrap w:val="0"/>
            <w:vAlign w:val="center"/>
          </w:tcPr>
          <w:p w14:paraId="6C341D4A">
            <w:r>
              <w:rPr>
                <w:rStyle w:val="10"/>
                <w:rFonts w:hint="eastAsia"/>
              </w:rPr>
              <w:t>产品性能:</w:t>
            </w:r>
          </w:p>
        </w:tc>
      </w:tr>
      <w:tr w14:paraId="7C504E98">
        <w:tblPrEx>
          <w:tblCellMar>
            <w:top w:w="0" w:type="dxa"/>
            <w:left w:w="0" w:type="dxa"/>
            <w:bottom w:w="0" w:type="dxa"/>
            <w:right w:w="0" w:type="dxa"/>
          </w:tblCellMar>
        </w:tblPrEx>
        <w:trPr>
          <w:wBefore w:w="0" w:type="auto"/>
          <w:tblCellSpacing w:w="0" w:type="dxa"/>
        </w:trPr>
        <w:tc>
          <w:tcPr>
            <w:tcW w:w="0" w:type="auto"/>
            <w:noWrap w:val="0"/>
            <w:vAlign w:val="center"/>
          </w:tcPr>
          <w:p w14:paraId="0E158DC3">
            <w:r>
              <w:rPr>
                <w:rStyle w:val="10"/>
                <w:rFonts w:hint="eastAsia"/>
              </w:rPr>
              <w:t>注意事项：</w:t>
            </w:r>
          </w:p>
        </w:tc>
      </w:tr>
      <w:tr w14:paraId="629ECEC7">
        <w:tblPrEx>
          <w:tblCellMar>
            <w:top w:w="0" w:type="dxa"/>
            <w:left w:w="0" w:type="dxa"/>
            <w:bottom w:w="0" w:type="dxa"/>
            <w:right w:w="0" w:type="dxa"/>
          </w:tblCellMar>
        </w:tblPrEx>
        <w:trPr>
          <w:wBefore w:w="0" w:type="auto"/>
          <w:tblCellSpacing w:w="0" w:type="dxa"/>
        </w:trPr>
        <w:tc>
          <w:tcPr>
            <w:tcW w:w="0" w:type="auto"/>
            <w:noWrap w:val="0"/>
            <w:vAlign w:val="center"/>
          </w:tcPr>
          <w:p w14:paraId="2830CCA7">
            <w:r>
              <w:rPr>
                <w:rStyle w:val="10"/>
                <w:rFonts w:hint="eastAsia"/>
              </w:rPr>
              <w:t>中毒急救措施：</w:t>
            </w:r>
          </w:p>
        </w:tc>
      </w:tr>
      <w:tr w14:paraId="2472D3ED">
        <w:tblPrEx>
          <w:tblCellMar>
            <w:top w:w="0" w:type="dxa"/>
            <w:left w:w="0" w:type="dxa"/>
            <w:bottom w:w="0" w:type="dxa"/>
            <w:right w:w="0" w:type="dxa"/>
          </w:tblCellMar>
        </w:tblPrEx>
        <w:trPr>
          <w:wBefore w:w="0" w:type="auto"/>
          <w:tblCellSpacing w:w="0" w:type="dxa"/>
        </w:trPr>
        <w:tc>
          <w:tcPr>
            <w:tcW w:w="0" w:type="auto"/>
            <w:noWrap w:val="0"/>
            <w:vAlign w:val="center"/>
          </w:tcPr>
          <w:p w14:paraId="4F7FEFCE">
            <w:r>
              <w:rPr>
                <w:rStyle w:val="10"/>
                <w:rFonts w:hint="eastAsia"/>
              </w:rPr>
              <w:t>储存和运输方法：</w:t>
            </w:r>
          </w:p>
        </w:tc>
      </w:tr>
      <w:tr w14:paraId="18734854">
        <w:tblPrEx>
          <w:tblCellMar>
            <w:top w:w="0" w:type="dxa"/>
            <w:left w:w="0" w:type="dxa"/>
            <w:bottom w:w="0" w:type="dxa"/>
            <w:right w:w="0" w:type="dxa"/>
          </w:tblCellMar>
        </w:tblPrEx>
        <w:trPr>
          <w:wBefore w:w="0" w:type="auto"/>
          <w:tblCellSpacing w:w="0" w:type="dxa"/>
        </w:trPr>
        <w:tc>
          <w:tcPr>
            <w:tcW w:w="0" w:type="auto"/>
            <w:noWrap w:val="0"/>
            <w:vAlign w:val="center"/>
          </w:tcPr>
          <w:p w14:paraId="131D9CD4">
            <w:r>
              <w:rPr>
                <w:rStyle w:val="10"/>
                <w:rFonts w:hint="eastAsia"/>
              </w:rPr>
              <w:t>质量保证期：</w:t>
            </w:r>
          </w:p>
        </w:tc>
      </w:tr>
      <w:tr w14:paraId="0D4374AB">
        <w:tblPrEx>
          <w:tblCellMar>
            <w:top w:w="0" w:type="dxa"/>
            <w:left w:w="0" w:type="dxa"/>
            <w:bottom w:w="0" w:type="dxa"/>
            <w:right w:w="0" w:type="dxa"/>
          </w:tblCellMar>
        </w:tblPrEx>
        <w:trPr>
          <w:wBefore w:w="0" w:type="auto"/>
          <w:tblCellSpacing w:w="0" w:type="dxa"/>
        </w:trPr>
        <w:tc>
          <w:tcPr>
            <w:tcW w:w="0" w:type="auto"/>
            <w:noWrap w:val="0"/>
            <w:vAlign w:val="center"/>
          </w:tcPr>
          <w:p w14:paraId="6B5FA730">
            <w:r>
              <w:rPr>
                <w:rStyle w:val="10"/>
                <w:rFonts w:hint="eastAsia"/>
              </w:rPr>
              <w:t>备注：</w:t>
            </w:r>
          </w:p>
        </w:tc>
      </w:tr>
    </w:tbl>
    <w:p w14:paraId="6FDC237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4E3C36">
        <w:tblPrEx>
          <w:tblCellMar>
            <w:top w:w="0" w:type="dxa"/>
            <w:left w:w="0" w:type="dxa"/>
            <w:bottom w:w="0" w:type="dxa"/>
            <w:right w:w="0" w:type="dxa"/>
          </w:tblCellMar>
        </w:tblPrEx>
        <w:trPr>
          <w:wBefore w:w="0" w:type="auto"/>
          <w:tblCellSpacing w:w="0" w:type="dxa"/>
        </w:trPr>
        <w:tc>
          <w:tcPr>
            <w:tcW w:w="0" w:type="auto"/>
            <w:noWrap w:val="0"/>
            <w:vAlign w:val="center"/>
          </w:tcPr>
          <w:p w14:paraId="3A21A6D3">
            <w:r>
              <w:rPr>
                <w:rStyle w:val="10"/>
                <w:rFonts w:hint="eastAsia"/>
              </w:rPr>
              <w:t>登记证号：</w:t>
            </w:r>
            <w:r>
              <w:rPr>
                <w:rFonts w:hint="eastAsia"/>
              </w:rPr>
              <w:t>EX20210113</w:t>
            </w:r>
          </w:p>
        </w:tc>
      </w:tr>
      <w:tr w14:paraId="38D29B33">
        <w:tblPrEx>
          <w:tblCellMar>
            <w:top w:w="0" w:type="dxa"/>
            <w:left w:w="0" w:type="dxa"/>
            <w:bottom w:w="0" w:type="dxa"/>
            <w:right w:w="0" w:type="dxa"/>
          </w:tblCellMar>
        </w:tblPrEx>
        <w:trPr>
          <w:wBefore w:w="0" w:type="auto"/>
          <w:tblCellSpacing w:w="0" w:type="dxa"/>
        </w:trPr>
        <w:tc>
          <w:tcPr>
            <w:tcW w:w="0" w:type="auto"/>
            <w:noWrap w:val="0"/>
            <w:vAlign w:val="center"/>
          </w:tcPr>
          <w:p w14:paraId="0D3DE43D">
            <w:r>
              <w:rPr>
                <w:rStyle w:val="10"/>
                <w:rFonts w:hint="eastAsia"/>
              </w:rPr>
              <w:t>登记证持有人：</w:t>
            </w:r>
            <w:r>
              <w:rPr>
                <w:rFonts w:hint="eastAsia"/>
              </w:rPr>
              <w:t>江苏快达农化股份有限公司</w:t>
            </w:r>
          </w:p>
        </w:tc>
      </w:tr>
      <w:tr w14:paraId="138821B9">
        <w:tblPrEx>
          <w:tblCellMar>
            <w:top w:w="0" w:type="dxa"/>
            <w:left w:w="0" w:type="dxa"/>
            <w:bottom w:w="0" w:type="dxa"/>
            <w:right w:w="0" w:type="dxa"/>
          </w:tblCellMar>
        </w:tblPrEx>
        <w:trPr>
          <w:wBefore w:w="0" w:type="auto"/>
          <w:tblCellSpacing w:w="0" w:type="dxa"/>
        </w:trPr>
        <w:tc>
          <w:tcPr>
            <w:tcW w:w="0" w:type="auto"/>
            <w:noWrap w:val="0"/>
            <w:vAlign w:val="center"/>
          </w:tcPr>
          <w:p w14:paraId="2A5C955B">
            <w:r>
              <w:rPr>
                <w:rStyle w:val="10"/>
                <w:rFonts w:hint="eastAsia"/>
              </w:rPr>
              <w:t>农药名称：</w:t>
            </w:r>
            <w:r>
              <w:rPr>
                <w:rFonts w:hint="eastAsia"/>
              </w:rPr>
              <w:t>利谷隆</w:t>
            </w:r>
          </w:p>
        </w:tc>
      </w:tr>
      <w:tr w14:paraId="4F31DF6C">
        <w:tblPrEx>
          <w:tblCellMar>
            <w:top w:w="0" w:type="dxa"/>
            <w:left w:w="0" w:type="dxa"/>
            <w:bottom w:w="0" w:type="dxa"/>
            <w:right w:w="0" w:type="dxa"/>
          </w:tblCellMar>
        </w:tblPrEx>
        <w:trPr>
          <w:wBefore w:w="0" w:type="auto"/>
          <w:tblCellSpacing w:w="0" w:type="dxa"/>
        </w:trPr>
        <w:tc>
          <w:tcPr>
            <w:tcW w:w="0" w:type="auto"/>
            <w:noWrap w:val="0"/>
            <w:vAlign w:val="center"/>
          </w:tcPr>
          <w:p w14:paraId="5250B452">
            <w:r>
              <w:rPr>
                <w:rStyle w:val="10"/>
                <w:rFonts w:hint="eastAsia"/>
              </w:rPr>
              <w:t>剂型：</w:t>
            </w:r>
            <w:r>
              <w:rPr>
                <w:rFonts w:hint="eastAsia"/>
              </w:rPr>
              <w:t>原药</w:t>
            </w:r>
          </w:p>
        </w:tc>
      </w:tr>
      <w:tr w14:paraId="35FA2D6D">
        <w:tblPrEx>
          <w:tblCellMar>
            <w:top w:w="0" w:type="dxa"/>
            <w:left w:w="0" w:type="dxa"/>
            <w:bottom w:w="0" w:type="dxa"/>
            <w:right w:w="0" w:type="dxa"/>
          </w:tblCellMar>
        </w:tblPrEx>
        <w:trPr>
          <w:wBefore w:w="0" w:type="auto"/>
          <w:tblCellSpacing w:w="0" w:type="dxa"/>
        </w:trPr>
        <w:tc>
          <w:tcPr>
            <w:tcW w:w="0" w:type="auto"/>
            <w:noWrap w:val="0"/>
            <w:vAlign w:val="center"/>
          </w:tcPr>
          <w:p w14:paraId="157DBB2E">
            <w:r>
              <w:rPr>
                <w:rStyle w:val="10"/>
                <w:rFonts w:hint="eastAsia"/>
              </w:rPr>
              <w:t>毒性及其标识：</w:t>
            </w:r>
            <w:r>
              <w:rPr>
                <w:rFonts w:hint="eastAsia"/>
              </w:rPr>
              <w:t xml:space="preserve"> </w:t>
            </w:r>
            <w:r>
              <w:rPr>
                <w:lang/>
              </w:rPr>
              <w:drawing>
                <wp:inline distT="0" distB="0" distL="114300" distR="114300">
                  <wp:extent cx="476250" cy="323850"/>
                  <wp:effectExtent l="0" t="0" r="0" b="0"/>
                  <wp:docPr id="381" name="图片 3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835AD00">
        <w:tblPrEx>
          <w:tblCellMar>
            <w:top w:w="0" w:type="dxa"/>
            <w:left w:w="0" w:type="dxa"/>
            <w:bottom w:w="0" w:type="dxa"/>
            <w:right w:w="0" w:type="dxa"/>
          </w:tblCellMar>
        </w:tblPrEx>
        <w:trPr>
          <w:wBefore w:w="0" w:type="auto"/>
          <w:tblCellSpacing w:w="0" w:type="dxa"/>
        </w:trPr>
        <w:tc>
          <w:tcPr>
            <w:tcW w:w="0" w:type="auto"/>
            <w:noWrap w:val="0"/>
            <w:vAlign w:val="center"/>
          </w:tcPr>
          <w:p w14:paraId="797B14D4">
            <w:r>
              <w:rPr>
                <w:rStyle w:val="10"/>
                <w:rFonts w:hint="eastAsia"/>
              </w:rPr>
              <w:t>总有效成分含量：</w:t>
            </w:r>
            <w:r>
              <w:rPr>
                <w:rFonts w:hint="eastAsia"/>
              </w:rPr>
              <w:t>97%</w:t>
            </w:r>
          </w:p>
        </w:tc>
      </w:tr>
      <w:tr w14:paraId="7C7B5C6B">
        <w:tblPrEx>
          <w:tblCellMar>
            <w:top w:w="0" w:type="dxa"/>
            <w:left w:w="0" w:type="dxa"/>
            <w:bottom w:w="0" w:type="dxa"/>
            <w:right w:w="0" w:type="dxa"/>
          </w:tblCellMar>
        </w:tblPrEx>
        <w:trPr>
          <w:wBefore w:w="0" w:type="auto"/>
          <w:tblCellSpacing w:w="0" w:type="dxa"/>
        </w:trPr>
        <w:tc>
          <w:tcPr>
            <w:tcW w:w="0" w:type="auto"/>
            <w:noWrap w:val="0"/>
            <w:vAlign w:val="center"/>
          </w:tcPr>
          <w:p w14:paraId="7271E96E">
            <w:r>
              <w:rPr>
                <w:rFonts w:hint="eastAsia"/>
              </w:rPr>
              <w:t xml:space="preserve">有效成分及其含量： </w:t>
            </w:r>
          </w:p>
          <w:p w14:paraId="75B36FD3">
            <w:r>
              <w:rPr>
                <w:rFonts w:hint="eastAsia"/>
              </w:rPr>
              <w:t xml:space="preserve">    </w:t>
            </w:r>
          </w:p>
        </w:tc>
      </w:tr>
      <w:tr w14:paraId="34FF7F35">
        <w:tblPrEx>
          <w:tblCellMar>
            <w:top w:w="0" w:type="dxa"/>
            <w:left w:w="0" w:type="dxa"/>
            <w:bottom w:w="0" w:type="dxa"/>
            <w:right w:w="0" w:type="dxa"/>
          </w:tblCellMar>
        </w:tblPrEx>
        <w:trPr>
          <w:wBefore w:w="0" w:type="auto"/>
          <w:tblCellSpacing w:w="0" w:type="dxa"/>
        </w:trPr>
        <w:tc>
          <w:tcPr>
            <w:tcW w:w="0" w:type="auto"/>
            <w:noWrap w:val="0"/>
            <w:vAlign w:val="center"/>
          </w:tcPr>
          <w:p w14:paraId="6601094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2066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7011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4B57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B03D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9635A0">
                  <w:r>
                    <w:rPr>
                      <w:rStyle w:val="11"/>
                      <w:rFonts w:hint="eastAsia"/>
                    </w:rPr>
                    <w:t>施用方式</w:t>
                  </w:r>
                </w:p>
              </w:tc>
            </w:tr>
          </w:tbl>
          <w:p w14:paraId="31DF2E76">
            <w:pPr>
              <w:rPr>
                <w:rFonts w:ascii="Times New Roman" w:hAnsi="Times New Roman" w:cs="Times New Roman"/>
                <w:sz w:val="20"/>
                <w:szCs w:val="20"/>
              </w:rPr>
            </w:pPr>
          </w:p>
        </w:tc>
      </w:tr>
      <w:tr w14:paraId="2CDDDEB2">
        <w:tblPrEx>
          <w:tblCellMar>
            <w:top w:w="0" w:type="dxa"/>
            <w:left w:w="0" w:type="dxa"/>
            <w:bottom w:w="0" w:type="dxa"/>
            <w:right w:w="0" w:type="dxa"/>
          </w:tblCellMar>
        </w:tblPrEx>
        <w:trPr>
          <w:wBefore w:w="0" w:type="auto"/>
          <w:tblCellSpacing w:w="0" w:type="dxa"/>
        </w:trPr>
        <w:tc>
          <w:tcPr>
            <w:tcW w:w="0" w:type="auto"/>
            <w:noWrap w:val="0"/>
            <w:vAlign w:val="center"/>
          </w:tcPr>
          <w:p w14:paraId="6795F6C9">
            <w:r>
              <w:rPr>
                <w:rStyle w:val="10"/>
                <w:rFonts w:hint="eastAsia"/>
              </w:rPr>
              <w:t>使用技术要求:</w:t>
            </w:r>
          </w:p>
        </w:tc>
      </w:tr>
      <w:tr w14:paraId="171AEB72">
        <w:tblPrEx>
          <w:tblCellMar>
            <w:top w:w="0" w:type="dxa"/>
            <w:left w:w="0" w:type="dxa"/>
            <w:bottom w:w="0" w:type="dxa"/>
            <w:right w:w="0" w:type="dxa"/>
          </w:tblCellMar>
        </w:tblPrEx>
        <w:trPr>
          <w:wBefore w:w="0" w:type="auto"/>
          <w:tblCellSpacing w:w="0" w:type="dxa"/>
        </w:trPr>
        <w:tc>
          <w:tcPr>
            <w:tcW w:w="0" w:type="auto"/>
            <w:noWrap w:val="0"/>
            <w:vAlign w:val="center"/>
          </w:tcPr>
          <w:p w14:paraId="62EB37EA">
            <w:r>
              <w:rPr>
                <w:rStyle w:val="10"/>
                <w:rFonts w:hint="eastAsia"/>
              </w:rPr>
              <w:t>产品性能:</w:t>
            </w:r>
          </w:p>
        </w:tc>
      </w:tr>
      <w:tr w14:paraId="63A0E270">
        <w:tblPrEx>
          <w:tblCellMar>
            <w:top w:w="0" w:type="dxa"/>
            <w:left w:w="0" w:type="dxa"/>
            <w:bottom w:w="0" w:type="dxa"/>
            <w:right w:w="0" w:type="dxa"/>
          </w:tblCellMar>
        </w:tblPrEx>
        <w:trPr>
          <w:wBefore w:w="0" w:type="auto"/>
          <w:tblCellSpacing w:w="0" w:type="dxa"/>
        </w:trPr>
        <w:tc>
          <w:tcPr>
            <w:tcW w:w="0" w:type="auto"/>
            <w:noWrap w:val="0"/>
            <w:vAlign w:val="center"/>
          </w:tcPr>
          <w:p w14:paraId="45A8FA53">
            <w:r>
              <w:rPr>
                <w:rStyle w:val="10"/>
                <w:rFonts w:hint="eastAsia"/>
              </w:rPr>
              <w:t>注意事项：</w:t>
            </w:r>
          </w:p>
        </w:tc>
      </w:tr>
      <w:tr w14:paraId="25989E10">
        <w:tblPrEx>
          <w:tblCellMar>
            <w:top w:w="0" w:type="dxa"/>
            <w:left w:w="0" w:type="dxa"/>
            <w:bottom w:w="0" w:type="dxa"/>
            <w:right w:w="0" w:type="dxa"/>
          </w:tblCellMar>
        </w:tblPrEx>
        <w:trPr>
          <w:wBefore w:w="0" w:type="auto"/>
          <w:tblCellSpacing w:w="0" w:type="dxa"/>
        </w:trPr>
        <w:tc>
          <w:tcPr>
            <w:tcW w:w="0" w:type="auto"/>
            <w:noWrap w:val="0"/>
            <w:vAlign w:val="center"/>
          </w:tcPr>
          <w:p w14:paraId="3EBFEB21">
            <w:r>
              <w:rPr>
                <w:rStyle w:val="10"/>
                <w:rFonts w:hint="eastAsia"/>
              </w:rPr>
              <w:t>中毒急救措施：</w:t>
            </w:r>
          </w:p>
        </w:tc>
      </w:tr>
      <w:tr w14:paraId="3915C2D7">
        <w:tblPrEx>
          <w:tblCellMar>
            <w:top w:w="0" w:type="dxa"/>
            <w:left w:w="0" w:type="dxa"/>
            <w:bottom w:w="0" w:type="dxa"/>
            <w:right w:w="0" w:type="dxa"/>
          </w:tblCellMar>
        </w:tblPrEx>
        <w:trPr>
          <w:wBefore w:w="0" w:type="auto"/>
          <w:tblCellSpacing w:w="0" w:type="dxa"/>
        </w:trPr>
        <w:tc>
          <w:tcPr>
            <w:tcW w:w="0" w:type="auto"/>
            <w:noWrap w:val="0"/>
            <w:vAlign w:val="center"/>
          </w:tcPr>
          <w:p w14:paraId="10995D35">
            <w:r>
              <w:rPr>
                <w:rStyle w:val="10"/>
                <w:rFonts w:hint="eastAsia"/>
              </w:rPr>
              <w:t>储存和运输方法：</w:t>
            </w:r>
          </w:p>
        </w:tc>
      </w:tr>
      <w:tr w14:paraId="037A1C29">
        <w:tblPrEx>
          <w:tblCellMar>
            <w:top w:w="0" w:type="dxa"/>
            <w:left w:w="0" w:type="dxa"/>
            <w:bottom w:w="0" w:type="dxa"/>
            <w:right w:w="0" w:type="dxa"/>
          </w:tblCellMar>
        </w:tblPrEx>
        <w:trPr>
          <w:wBefore w:w="0" w:type="auto"/>
          <w:tblCellSpacing w:w="0" w:type="dxa"/>
        </w:trPr>
        <w:tc>
          <w:tcPr>
            <w:tcW w:w="0" w:type="auto"/>
            <w:noWrap w:val="0"/>
            <w:vAlign w:val="center"/>
          </w:tcPr>
          <w:p w14:paraId="4D67C2AC">
            <w:r>
              <w:rPr>
                <w:rStyle w:val="10"/>
                <w:rFonts w:hint="eastAsia"/>
              </w:rPr>
              <w:t>质量保证期：</w:t>
            </w:r>
          </w:p>
        </w:tc>
      </w:tr>
      <w:tr w14:paraId="6945E985">
        <w:tblPrEx>
          <w:tblCellMar>
            <w:top w:w="0" w:type="dxa"/>
            <w:left w:w="0" w:type="dxa"/>
            <w:bottom w:w="0" w:type="dxa"/>
            <w:right w:w="0" w:type="dxa"/>
          </w:tblCellMar>
        </w:tblPrEx>
        <w:trPr>
          <w:wBefore w:w="0" w:type="auto"/>
          <w:tblCellSpacing w:w="0" w:type="dxa"/>
        </w:trPr>
        <w:tc>
          <w:tcPr>
            <w:tcW w:w="0" w:type="auto"/>
            <w:noWrap w:val="0"/>
            <w:vAlign w:val="center"/>
          </w:tcPr>
          <w:p w14:paraId="30F49ADE">
            <w:r>
              <w:rPr>
                <w:rStyle w:val="10"/>
                <w:rFonts w:hint="eastAsia"/>
              </w:rPr>
              <w:t>备注：</w:t>
            </w:r>
          </w:p>
        </w:tc>
      </w:tr>
    </w:tbl>
    <w:p w14:paraId="689CB5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86BA9C">
        <w:tblPrEx>
          <w:tblCellMar>
            <w:top w:w="0" w:type="dxa"/>
            <w:left w:w="0" w:type="dxa"/>
            <w:bottom w:w="0" w:type="dxa"/>
            <w:right w:w="0" w:type="dxa"/>
          </w:tblCellMar>
        </w:tblPrEx>
        <w:trPr>
          <w:wBefore w:w="0" w:type="auto"/>
          <w:tblCellSpacing w:w="0" w:type="dxa"/>
        </w:trPr>
        <w:tc>
          <w:tcPr>
            <w:tcW w:w="0" w:type="auto"/>
            <w:noWrap w:val="0"/>
            <w:vAlign w:val="center"/>
          </w:tcPr>
          <w:p w14:paraId="4C964841">
            <w:r>
              <w:rPr>
                <w:rStyle w:val="10"/>
                <w:rFonts w:hint="eastAsia"/>
              </w:rPr>
              <w:t>登记证号：</w:t>
            </w:r>
            <w:r>
              <w:rPr>
                <w:rFonts w:hint="eastAsia"/>
              </w:rPr>
              <w:t>PD20212592</w:t>
            </w:r>
          </w:p>
        </w:tc>
      </w:tr>
      <w:tr w14:paraId="2F316093">
        <w:tblPrEx>
          <w:tblCellMar>
            <w:top w:w="0" w:type="dxa"/>
            <w:left w:w="0" w:type="dxa"/>
            <w:bottom w:w="0" w:type="dxa"/>
            <w:right w:w="0" w:type="dxa"/>
          </w:tblCellMar>
        </w:tblPrEx>
        <w:trPr>
          <w:wBefore w:w="0" w:type="auto"/>
          <w:tblCellSpacing w:w="0" w:type="dxa"/>
        </w:trPr>
        <w:tc>
          <w:tcPr>
            <w:tcW w:w="0" w:type="auto"/>
            <w:noWrap w:val="0"/>
            <w:vAlign w:val="center"/>
          </w:tcPr>
          <w:p w14:paraId="2441DD92">
            <w:r>
              <w:rPr>
                <w:rStyle w:val="10"/>
                <w:rFonts w:hint="eastAsia"/>
              </w:rPr>
              <w:t>登记证持有人：</w:t>
            </w:r>
            <w:r>
              <w:rPr>
                <w:rFonts w:hint="eastAsia"/>
              </w:rPr>
              <w:t>山东奥坤作物科学股份有限公司</w:t>
            </w:r>
          </w:p>
        </w:tc>
      </w:tr>
      <w:tr w14:paraId="568ECE16">
        <w:tblPrEx>
          <w:tblCellMar>
            <w:top w:w="0" w:type="dxa"/>
            <w:left w:w="0" w:type="dxa"/>
            <w:bottom w:w="0" w:type="dxa"/>
            <w:right w:w="0" w:type="dxa"/>
          </w:tblCellMar>
        </w:tblPrEx>
        <w:trPr>
          <w:wBefore w:w="0" w:type="auto"/>
          <w:tblCellSpacing w:w="0" w:type="dxa"/>
        </w:trPr>
        <w:tc>
          <w:tcPr>
            <w:tcW w:w="0" w:type="auto"/>
            <w:noWrap w:val="0"/>
            <w:vAlign w:val="center"/>
          </w:tcPr>
          <w:p w14:paraId="72EDF010">
            <w:r>
              <w:rPr>
                <w:rStyle w:val="10"/>
                <w:rFonts w:hint="eastAsia"/>
              </w:rPr>
              <w:t>农药名称：</w:t>
            </w:r>
            <w:r>
              <w:rPr>
                <w:rFonts w:hint="eastAsia"/>
              </w:rPr>
              <w:t>异松·乙草胺</w:t>
            </w:r>
          </w:p>
        </w:tc>
      </w:tr>
      <w:tr w14:paraId="58036DE8">
        <w:tblPrEx>
          <w:tblCellMar>
            <w:top w:w="0" w:type="dxa"/>
            <w:left w:w="0" w:type="dxa"/>
            <w:bottom w:w="0" w:type="dxa"/>
            <w:right w:w="0" w:type="dxa"/>
          </w:tblCellMar>
        </w:tblPrEx>
        <w:trPr>
          <w:wBefore w:w="0" w:type="auto"/>
          <w:tblCellSpacing w:w="0" w:type="dxa"/>
        </w:trPr>
        <w:tc>
          <w:tcPr>
            <w:tcW w:w="0" w:type="auto"/>
            <w:noWrap w:val="0"/>
            <w:vAlign w:val="center"/>
          </w:tcPr>
          <w:p w14:paraId="24BA5932">
            <w:r>
              <w:rPr>
                <w:rStyle w:val="10"/>
                <w:rFonts w:hint="eastAsia"/>
              </w:rPr>
              <w:t>剂型：</w:t>
            </w:r>
            <w:r>
              <w:rPr>
                <w:rFonts w:hint="eastAsia"/>
              </w:rPr>
              <w:t>乳油</w:t>
            </w:r>
          </w:p>
        </w:tc>
      </w:tr>
      <w:tr w14:paraId="131BF635">
        <w:tblPrEx>
          <w:tblCellMar>
            <w:top w:w="0" w:type="dxa"/>
            <w:left w:w="0" w:type="dxa"/>
            <w:bottom w:w="0" w:type="dxa"/>
            <w:right w:w="0" w:type="dxa"/>
          </w:tblCellMar>
        </w:tblPrEx>
        <w:trPr>
          <w:wBefore w:w="0" w:type="auto"/>
          <w:tblCellSpacing w:w="0" w:type="dxa"/>
        </w:trPr>
        <w:tc>
          <w:tcPr>
            <w:tcW w:w="0" w:type="auto"/>
            <w:noWrap w:val="0"/>
            <w:vAlign w:val="center"/>
          </w:tcPr>
          <w:p w14:paraId="188714B6">
            <w:r>
              <w:rPr>
                <w:rStyle w:val="10"/>
                <w:rFonts w:hint="eastAsia"/>
              </w:rPr>
              <w:t>毒性及其标识：</w:t>
            </w:r>
            <w:r>
              <w:rPr>
                <w:rFonts w:hint="eastAsia"/>
              </w:rPr>
              <w:t xml:space="preserve"> </w:t>
            </w:r>
            <w:r>
              <w:rPr>
                <w:lang/>
              </w:rPr>
              <w:drawing>
                <wp:inline distT="0" distB="0" distL="114300" distR="114300">
                  <wp:extent cx="476250" cy="323850"/>
                  <wp:effectExtent l="0" t="0" r="0" b="0"/>
                  <wp:docPr id="382" name="图片 3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645C10">
        <w:tblPrEx>
          <w:tblCellMar>
            <w:top w:w="0" w:type="dxa"/>
            <w:left w:w="0" w:type="dxa"/>
            <w:bottom w:w="0" w:type="dxa"/>
            <w:right w:w="0" w:type="dxa"/>
          </w:tblCellMar>
        </w:tblPrEx>
        <w:trPr>
          <w:wBefore w:w="0" w:type="auto"/>
          <w:tblCellSpacing w:w="0" w:type="dxa"/>
        </w:trPr>
        <w:tc>
          <w:tcPr>
            <w:tcW w:w="0" w:type="auto"/>
            <w:noWrap w:val="0"/>
            <w:vAlign w:val="center"/>
          </w:tcPr>
          <w:p w14:paraId="22ED5251">
            <w:r>
              <w:rPr>
                <w:rStyle w:val="10"/>
                <w:rFonts w:hint="eastAsia"/>
              </w:rPr>
              <w:t>总有效成分含量：</w:t>
            </w:r>
            <w:r>
              <w:rPr>
                <w:rFonts w:hint="eastAsia"/>
              </w:rPr>
              <w:t>81%</w:t>
            </w:r>
          </w:p>
        </w:tc>
      </w:tr>
      <w:tr w14:paraId="5B5B8E1F">
        <w:tblPrEx>
          <w:tblCellMar>
            <w:top w:w="0" w:type="dxa"/>
            <w:left w:w="0" w:type="dxa"/>
            <w:bottom w:w="0" w:type="dxa"/>
            <w:right w:w="0" w:type="dxa"/>
          </w:tblCellMar>
        </w:tblPrEx>
        <w:trPr>
          <w:wBefore w:w="0" w:type="auto"/>
          <w:tblCellSpacing w:w="0" w:type="dxa"/>
        </w:trPr>
        <w:tc>
          <w:tcPr>
            <w:tcW w:w="0" w:type="auto"/>
            <w:noWrap w:val="0"/>
            <w:vAlign w:val="center"/>
          </w:tcPr>
          <w:p w14:paraId="49B73EBE">
            <w:r>
              <w:rPr>
                <w:rFonts w:hint="eastAsia"/>
              </w:rPr>
              <w:t xml:space="preserve">有效成分及其含量： </w:t>
            </w:r>
          </w:p>
          <w:p w14:paraId="5A9CDEE8">
            <w:r>
              <w:rPr>
                <w:rFonts w:hint="eastAsia"/>
              </w:rPr>
              <w:t xml:space="preserve">    异噁草松25%    乙草胺56%    </w:t>
            </w:r>
          </w:p>
        </w:tc>
      </w:tr>
      <w:tr w14:paraId="03BA047E">
        <w:tblPrEx>
          <w:tblCellMar>
            <w:top w:w="0" w:type="dxa"/>
            <w:left w:w="0" w:type="dxa"/>
            <w:bottom w:w="0" w:type="dxa"/>
            <w:right w:w="0" w:type="dxa"/>
          </w:tblCellMar>
        </w:tblPrEx>
        <w:trPr>
          <w:wBefore w:w="0" w:type="auto"/>
          <w:tblCellSpacing w:w="0" w:type="dxa"/>
        </w:trPr>
        <w:tc>
          <w:tcPr>
            <w:tcW w:w="0" w:type="auto"/>
            <w:noWrap w:val="0"/>
            <w:vAlign w:val="center"/>
          </w:tcPr>
          <w:p w14:paraId="432B8C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3F1D2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D89B8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3791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D5D3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7557E0">
                  <w:r>
                    <w:rPr>
                      <w:rStyle w:val="11"/>
                      <w:rFonts w:hint="eastAsia"/>
                    </w:rPr>
                    <w:t>施用方式</w:t>
                  </w:r>
                </w:p>
              </w:tc>
            </w:tr>
            <w:tr w14:paraId="4E6FAD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1330B8">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142E0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16CC8">
                  <w:r>
                    <w:rPr>
                      <w:rStyle w:val="11"/>
                      <w:rFonts w:hint="eastAsia"/>
                    </w:rPr>
                    <w:t>110-140毫升/亩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A5CB15">
                  <w:r>
                    <w:rPr>
                      <w:rStyle w:val="11"/>
                      <w:rFonts w:hint="eastAsia"/>
                    </w:rPr>
                    <w:t>土壤喷雾</w:t>
                  </w:r>
                </w:p>
              </w:tc>
            </w:tr>
          </w:tbl>
          <w:p w14:paraId="75246DEA">
            <w:pPr>
              <w:rPr>
                <w:rFonts w:ascii="Times New Roman" w:hAnsi="Times New Roman" w:cs="Times New Roman"/>
                <w:sz w:val="20"/>
                <w:szCs w:val="20"/>
              </w:rPr>
            </w:pPr>
          </w:p>
        </w:tc>
      </w:tr>
      <w:tr w14:paraId="52ACAFF3">
        <w:tblPrEx>
          <w:tblCellMar>
            <w:top w:w="0" w:type="dxa"/>
            <w:left w:w="0" w:type="dxa"/>
            <w:bottom w:w="0" w:type="dxa"/>
            <w:right w:w="0" w:type="dxa"/>
          </w:tblCellMar>
        </w:tblPrEx>
        <w:trPr>
          <w:wBefore w:w="0" w:type="auto"/>
          <w:tblCellSpacing w:w="0" w:type="dxa"/>
        </w:trPr>
        <w:tc>
          <w:tcPr>
            <w:tcW w:w="0" w:type="auto"/>
            <w:noWrap w:val="0"/>
            <w:vAlign w:val="center"/>
          </w:tcPr>
          <w:p w14:paraId="6E4B8952">
            <w:r>
              <w:rPr>
                <w:rStyle w:val="10"/>
                <w:rFonts w:hint="eastAsia"/>
              </w:rPr>
              <w:t>使用技术要求:</w:t>
            </w:r>
            <w:r>
              <w:rPr>
                <w:rFonts w:hint="eastAsia"/>
              </w:rPr>
              <w:br w:type="textWrapping"/>
            </w:r>
            <w:r>
              <w:rPr>
                <w:rStyle w:val="11"/>
                <w:rFonts w:hint="eastAsia"/>
              </w:rPr>
              <w:t>1.在马铃薯播后苗前，以推荐剂量兑水均匀土壤喷雾施药1次。 2. 大风天或预计1小时内降雨,请勿施药。3. 施药时防止飘移到邻近作物田，以免产生药害；异噁草松土壤残效期较长，注意合理安排后茬作物，保证安全间隔期。4. 勿超剂量使用，避免药害。5. 每季作物最多使用1次。</w:t>
            </w:r>
          </w:p>
        </w:tc>
      </w:tr>
      <w:tr w14:paraId="4B363ECC">
        <w:tblPrEx>
          <w:tblCellMar>
            <w:top w:w="0" w:type="dxa"/>
            <w:left w:w="0" w:type="dxa"/>
            <w:bottom w:w="0" w:type="dxa"/>
            <w:right w:w="0" w:type="dxa"/>
          </w:tblCellMar>
        </w:tblPrEx>
        <w:trPr>
          <w:wBefore w:w="0" w:type="auto"/>
          <w:tblCellSpacing w:w="0" w:type="dxa"/>
        </w:trPr>
        <w:tc>
          <w:tcPr>
            <w:tcW w:w="0" w:type="auto"/>
            <w:noWrap w:val="0"/>
            <w:vAlign w:val="center"/>
          </w:tcPr>
          <w:p w14:paraId="16778A1C">
            <w:r>
              <w:rPr>
                <w:rStyle w:val="10"/>
                <w:rFonts w:hint="eastAsia"/>
              </w:rPr>
              <w:t>产品性能:</w:t>
            </w:r>
            <w:r>
              <w:rPr>
                <w:rFonts w:hint="eastAsia"/>
              </w:rPr>
              <w:br w:type="textWrapping"/>
            </w:r>
            <w:r>
              <w:rPr>
                <w:rStyle w:val="11"/>
                <w:rFonts w:hint="eastAsia"/>
              </w:rPr>
              <w:t>本品为酰胺类、异噁唑啉酮类混配除草剂。马铃薯田土壤处理除草剂，能有效的防除一年生杂草，对已 出土的杂草也有一定的防效。</w:t>
            </w:r>
          </w:p>
        </w:tc>
      </w:tr>
      <w:tr w14:paraId="2F6A95F5">
        <w:tblPrEx>
          <w:tblCellMar>
            <w:top w:w="0" w:type="dxa"/>
            <w:left w:w="0" w:type="dxa"/>
            <w:bottom w:w="0" w:type="dxa"/>
            <w:right w:w="0" w:type="dxa"/>
          </w:tblCellMar>
        </w:tblPrEx>
        <w:trPr>
          <w:wBefore w:w="0" w:type="auto"/>
          <w:tblCellSpacing w:w="0" w:type="dxa"/>
        </w:trPr>
        <w:tc>
          <w:tcPr>
            <w:tcW w:w="0" w:type="auto"/>
            <w:noWrap w:val="0"/>
            <w:vAlign w:val="center"/>
          </w:tcPr>
          <w:p w14:paraId="484B864A">
            <w:r>
              <w:rPr>
                <w:rStyle w:val="10"/>
                <w:rFonts w:hint="eastAsia"/>
              </w:rPr>
              <w:t>注意事项：</w:t>
            </w:r>
            <w:r>
              <w:rPr>
                <w:rFonts w:hint="eastAsia"/>
              </w:rPr>
              <w:br w:type="textWrapping"/>
            </w:r>
            <w:r>
              <w:rPr>
                <w:rStyle w:val="11"/>
                <w:rFonts w:hint="eastAsia"/>
              </w:rPr>
              <w:t>1. 本品最好播后随即施药，以免降低药效。药后马铃薯可能出现褪绿、叶皱药害症状，可恢复，对产量无影响。 2. 本品不可与呈碱性的农药等物质混和使用，会降低除草剂药效。3. 孕妇和哺乳期的妇女禁止接触药物。 4. 使用本品时应穿戴长衣、长裤、帽子、口罩、手套等防护措施,避免本剂接触眼睛和皮肤, 不可饮水、进食和吸烟。施药后应用清水洗净暴露皮肤。 5. 对鱼类有毒，远离水产养殖区、河塘等水施药，禁止在河塘等水体中清洗施药器具，避免药液进入地表水体；施药后的田水不得直接排入河塘等水域。 6. 赤眼蜂等天敌昆虫放飞区禁用。 7. 用过的容器应妥善处理，不可做他用，也不可随意丢弃。8. 避免与氧化接触或混合。</w:t>
            </w:r>
          </w:p>
        </w:tc>
      </w:tr>
      <w:tr w14:paraId="2F8D7559">
        <w:tblPrEx>
          <w:tblCellMar>
            <w:top w:w="0" w:type="dxa"/>
            <w:left w:w="0" w:type="dxa"/>
            <w:bottom w:w="0" w:type="dxa"/>
            <w:right w:w="0" w:type="dxa"/>
          </w:tblCellMar>
        </w:tblPrEx>
        <w:trPr>
          <w:wBefore w:w="0" w:type="auto"/>
          <w:tblCellSpacing w:w="0" w:type="dxa"/>
        </w:trPr>
        <w:tc>
          <w:tcPr>
            <w:tcW w:w="0" w:type="auto"/>
            <w:noWrap w:val="0"/>
            <w:vAlign w:val="center"/>
          </w:tcPr>
          <w:p w14:paraId="546B90BD">
            <w:r>
              <w:rPr>
                <w:rStyle w:val="10"/>
                <w:rFonts w:hint="eastAsia"/>
              </w:rPr>
              <w:t>中毒急救措施：</w:t>
            </w:r>
            <w:r>
              <w:rPr>
                <w:rFonts w:hint="eastAsia"/>
              </w:rPr>
              <w:br w:type="textWrapping"/>
            </w:r>
            <w:r>
              <w:rPr>
                <w:rStyle w:val="11"/>
                <w:rFonts w:hint="eastAsia"/>
              </w:rPr>
              <w:t>中毒症状：本品对皮肤和眼睛有刺激作用。不慎吸入，应将病人立即移至空气清新处。进入眼睛：用大量水清洗眼睛15分钟；接触皮肤：用水和肥皂彻底清洗；如误食，不要催吐，应使病人静卧勿动，请医生对症治疗。本品无特殊解毒剂。</w:t>
            </w:r>
          </w:p>
        </w:tc>
      </w:tr>
      <w:tr w14:paraId="70A79BC7">
        <w:tblPrEx>
          <w:tblCellMar>
            <w:top w:w="0" w:type="dxa"/>
            <w:left w:w="0" w:type="dxa"/>
            <w:bottom w:w="0" w:type="dxa"/>
            <w:right w:w="0" w:type="dxa"/>
          </w:tblCellMar>
        </w:tblPrEx>
        <w:trPr>
          <w:wBefore w:w="0" w:type="auto"/>
          <w:tblCellSpacing w:w="0" w:type="dxa"/>
        </w:trPr>
        <w:tc>
          <w:tcPr>
            <w:tcW w:w="0" w:type="auto"/>
            <w:noWrap w:val="0"/>
            <w:vAlign w:val="center"/>
          </w:tcPr>
          <w:p w14:paraId="13E75F6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1FAB3B18">
        <w:tblPrEx>
          <w:tblCellMar>
            <w:top w:w="0" w:type="dxa"/>
            <w:left w:w="0" w:type="dxa"/>
            <w:bottom w:w="0" w:type="dxa"/>
            <w:right w:w="0" w:type="dxa"/>
          </w:tblCellMar>
        </w:tblPrEx>
        <w:trPr>
          <w:wBefore w:w="0" w:type="auto"/>
          <w:tblCellSpacing w:w="0" w:type="dxa"/>
        </w:trPr>
        <w:tc>
          <w:tcPr>
            <w:tcW w:w="0" w:type="auto"/>
            <w:noWrap w:val="0"/>
            <w:vAlign w:val="center"/>
          </w:tcPr>
          <w:p w14:paraId="240427F8">
            <w:r>
              <w:rPr>
                <w:rStyle w:val="10"/>
                <w:rFonts w:hint="eastAsia"/>
              </w:rPr>
              <w:t>质量保证期：</w:t>
            </w:r>
            <w:r>
              <w:rPr>
                <w:rStyle w:val="11"/>
                <w:rFonts w:hint="eastAsia"/>
              </w:rPr>
              <w:t>2年</w:t>
            </w:r>
          </w:p>
        </w:tc>
      </w:tr>
      <w:tr w14:paraId="75ECBE4A">
        <w:tblPrEx>
          <w:tblCellMar>
            <w:top w:w="0" w:type="dxa"/>
            <w:left w:w="0" w:type="dxa"/>
            <w:bottom w:w="0" w:type="dxa"/>
            <w:right w:w="0" w:type="dxa"/>
          </w:tblCellMar>
        </w:tblPrEx>
        <w:trPr>
          <w:wBefore w:w="0" w:type="auto"/>
          <w:tblCellSpacing w:w="0" w:type="dxa"/>
        </w:trPr>
        <w:tc>
          <w:tcPr>
            <w:tcW w:w="0" w:type="auto"/>
            <w:noWrap w:val="0"/>
            <w:vAlign w:val="center"/>
          </w:tcPr>
          <w:p w14:paraId="5A5C29BC">
            <w:r>
              <w:rPr>
                <w:rStyle w:val="10"/>
                <w:rFonts w:hint="eastAsia"/>
              </w:rPr>
              <w:t>备注：</w:t>
            </w:r>
          </w:p>
        </w:tc>
      </w:tr>
    </w:tbl>
    <w:p w14:paraId="65A85B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DDCBA4">
        <w:tblPrEx>
          <w:tblCellMar>
            <w:top w:w="0" w:type="dxa"/>
            <w:left w:w="0" w:type="dxa"/>
            <w:bottom w:w="0" w:type="dxa"/>
            <w:right w:w="0" w:type="dxa"/>
          </w:tblCellMar>
        </w:tblPrEx>
        <w:trPr>
          <w:wBefore w:w="0" w:type="auto"/>
          <w:tblCellSpacing w:w="0" w:type="dxa"/>
        </w:trPr>
        <w:tc>
          <w:tcPr>
            <w:tcW w:w="0" w:type="auto"/>
            <w:noWrap w:val="0"/>
            <w:vAlign w:val="center"/>
          </w:tcPr>
          <w:p w14:paraId="05724113">
            <w:r>
              <w:rPr>
                <w:rStyle w:val="10"/>
                <w:rFonts w:hint="eastAsia"/>
              </w:rPr>
              <w:t>登记证号：</w:t>
            </w:r>
            <w:r>
              <w:rPr>
                <w:rFonts w:hint="eastAsia"/>
              </w:rPr>
              <w:t>PD20212550</w:t>
            </w:r>
          </w:p>
        </w:tc>
      </w:tr>
      <w:tr w14:paraId="6ABAF988">
        <w:tblPrEx>
          <w:tblCellMar>
            <w:top w:w="0" w:type="dxa"/>
            <w:left w:w="0" w:type="dxa"/>
            <w:bottom w:w="0" w:type="dxa"/>
            <w:right w:w="0" w:type="dxa"/>
          </w:tblCellMar>
        </w:tblPrEx>
        <w:trPr>
          <w:wBefore w:w="0" w:type="auto"/>
          <w:tblCellSpacing w:w="0" w:type="dxa"/>
        </w:trPr>
        <w:tc>
          <w:tcPr>
            <w:tcW w:w="0" w:type="auto"/>
            <w:noWrap w:val="0"/>
            <w:vAlign w:val="center"/>
          </w:tcPr>
          <w:p w14:paraId="3A685C4F">
            <w:r>
              <w:rPr>
                <w:rStyle w:val="10"/>
                <w:rFonts w:hint="eastAsia"/>
              </w:rPr>
              <w:t>登记证持有人：</w:t>
            </w:r>
            <w:r>
              <w:rPr>
                <w:rFonts w:hint="eastAsia"/>
              </w:rPr>
              <w:t>山东奥坤作物科学股份有限公司</w:t>
            </w:r>
          </w:p>
        </w:tc>
      </w:tr>
      <w:tr w14:paraId="40DD3680">
        <w:tblPrEx>
          <w:tblCellMar>
            <w:top w:w="0" w:type="dxa"/>
            <w:left w:w="0" w:type="dxa"/>
            <w:bottom w:w="0" w:type="dxa"/>
            <w:right w:w="0" w:type="dxa"/>
          </w:tblCellMar>
        </w:tblPrEx>
        <w:trPr>
          <w:wBefore w:w="0" w:type="auto"/>
          <w:tblCellSpacing w:w="0" w:type="dxa"/>
        </w:trPr>
        <w:tc>
          <w:tcPr>
            <w:tcW w:w="0" w:type="auto"/>
            <w:noWrap w:val="0"/>
            <w:vAlign w:val="center"/>
          </w:tcPr>
          <w:p w14:paraId="723AE76F">
            <w:r>
              <w:rPr>
                <w:rStyle w:val="10"/>
                <w:rFonts w:hint="eastAsia"/>
              </w:rPr>
              <w:t>农药名称：</w:t>
            </w:r>
            <w:r>
              <w:rPr>
                <w:rFonts w:hint="eastAsia"/>
              </w:rPr>
              <w:t>草铵膦·高氟吡·乙羧氟</w:t>
            </w:r>
          </w:p>
        </w:tc>
      </w:tr>
      <w:tr w14:paraId="09A2FAAA">
        <w:tblPrEx>
          <w:tblCellMar>
            <w:top w:w="0" w:type="dxa"/>
            <w:left w:w="0" w:type="dxa"/>
            <w:bottom w:w="0" w:type="dxa"/>
            <w:right w:w="0" w:type="dxa"/>
          </w:tblCellMar>
        </w:tblPrEx>
        <w:trPr>
          <w:wBefore w:w="0" w:type="auto"/>
          <w:tblCellSpacing w:w="0" w:type="dxa"/>
        </w:trPr>
        <w:tc>
          <w:tcPr>
            <w:tcW w:w="0" w:type="auto"/>
            <w:noWrap w:val="0"/>
            <w:vAlign w:val="center"/>
          </w:tcPr>
          <w:p w14:paraId="41FEE9BB">
            <w:r>
              <w:rPr>
                <w:rStyle w:val="10"/>
                <w:rFonts w:hint="eastAsia"/>
              </w:rPr>
              <w:t>剂型：</w:t>
            </w:r>
            <w:r>
              <w:rPr>
                <w:rFonts w:hint="eastAsia"/>
              </w:rPr>
              <w:t>微乳剂</w:t>
            </w:r>
          </w:p>
        </w:tc>
      </w:tr>
      <w:tr w14:paraId="0B613B8F">
        <w:tblPrEx>
          <w:tblCellMar>
            <w:top w:w="0" w:type="dxa"/>
            <w:left w:w="0" w:type="dxa"/>
            <w:bottom w:w="0" w:type="dxa"/>
            <w:right w:w="0" w:type="dxa"/>
          </w:tblCellMar>
        </w:tblPrEx>
        <w:trPr>
          <w:wBefore w:w="0" w:type="auto"/>
          <w:tblCellSpacing w:w="0" w:type="dxa"/>
        </w:trPr>
        <w:tc>
          <w:tcPr>
            <w:tcW w:w="0" w:type="auto"/>
            <w:noWrap w:val="0"/>
            <w:vAlign w:val="center"/>
          </w:tcPr>
          <w:p w14:paraId="01139502">
            <w:r>
              <w:rPr>
                <w:rStyle w:val="10"/>
                <w:rFonts w:hint="eastAsia"/>
              </w:rPr>
              <w:t>毒性及其标识：</w:t>
            </w:r>
            <w:r>
              <w:rPr>
                <w:rFonts w:hint="eastAsia"/>
              </w:rPr>
              <w:t xml:space="preserve"> 微毒 </w:t>
            </w:r>
          </w:p>
        </w:tc>
      </w:tr>
      <w:tr w14:paraId="0936BB98">
        <w:tblPrEx>
          <w:tblCellMar>
            <w:top w:w="0" w:type="dxa"/>
            <w:left w:w="0" w:type="dxa"/>
            <w:bottom w:w="0" w:type="dxa"/>
            <w:right w:w="0" w:type="dxa"/>
          </w:tblCellMar>
        </w:tblPrEx>
        <w:trPr>
          <w:wBefore w:w="0" w:type="auto"/>
          <w:tblCellSpacing w:w="0" w:type="dxa"/>
        </w:trPr>
        <w:tc>
          <w:tcPr>
            <w:tcW w:w="0" w:type="auto"/>
            <w:noWrap w:val="0"/>
            <w:vAlign w:val="center"/>
          </w:tcPr>
          <w:p w14:paraId="1262B3D8">
            <w:r>
              <w:rPr>
                <w:rStyle w:val="10"/>
                <w:rFonts w:hint="eastAsia"/>
              </w:rPr>
              <w:t>总有效成分含量：</w:t>
            </w:r>
            <w:r>
              <w:rPr>
                <w:rFonts w:hint="eastAsia"/>
              </w:rPr>
              <w:t>23%</w:t>
            </w:r>
          </w:p>
        </w:tc>
      </w:tr>
      <w:tr w14:paraId="64C08506">
        <w:tblPrEx>
          <w:tblCellMar>
            <w:top w:w="0" w:type="dxa"/>
            <w:left w:w="0" w:type="dxa"/>
            <w:bottom w:w="0" w:type="dxa"/>
            <w:right w:w="0" w:type="dxa"/>
          </w:tblCellMar>
        </w:tblPrEx>
        <w:trPr>
          <w:wBefore w:w="0" w:type="auto"/>
          <w:tblCellSpacing w:w="0" w:type="dxa"/>
        </w:trPr>
        <w:tc>
          <w:tcPr>
            <w:tcW w:w="0" w:type="auto"/>
            <w:noWrap w:val="0"/>
            <w:vAlign w:val="center"/>
          </w:tcPr>
          <w:p w14:paraId="3688EA14">
            <w:r>
              <w:rPr>
                <w:rFonts w:hint="eastAsia"/>
              </w:rPr>
              <w:t xml:space="preserve">有效成分及其含量： </w:t>
            </w:r>
          </w:p>
          <w:p w14:paraId="6E5548C6">
            <w:r>
              <w:rPr>
                <w:rFonts w:hint="eastAsia"/>
              </w:rPr>
              <w:t xml:space="preserve">    草铵膦19.5%    高效氟吡甲禾灵2.5%    乙羧氟草醚1%    </w:t>
            </w:r>
          </w:p>
        </w:tc>
      </w:tr>
      <w:tr w14:paraId="1AEA669D">
        <w:tblPrEx>
          <w:tblCellMar>
            <w:top w:w="0" w:type="dxa"/>
            <w:left w:w="0" w:type="dxa"/>
            <w:bottom w:w="0" w:type="dxa"/>
            <w:right w:w="0" w:type="dxa"/>
          </w:tblCellMar>
        </w:tblPrEx>
        <w:trPr>
          <w:wBefore w:w="0" w:type="auto"/>
          <w:tblCellSpacing w:w="0" w:type="dxa"/>
        </w:trPr>
        <w:tc>
          <w:tcPr>
            <w:tcW w:w="0" w:type="auto"/>
            <w:noWrap w:val="0"/>
            <w:vAlign w:val="center"/>
          </w:tcPr>
          <w:p w14:paraId="45F89A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FF85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8B00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EA87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879F5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6DB6B3">
                  <w:r>
                    <w:rPr>
                      <w:rStyle w:val="11"/>
                      <w:rFonts w:hint="eastAsia"/>
                    </w:rPr>
                    <w:t>施用方式</w:t>
                  </w:r>
                </w:p>
              </w:tc>
            </w:tr>
            <w:tr w14:paraId="4F856D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6BBC0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4C001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939711">
                  <w:r>
                    <w:rPr>
                      <w:rStyle w:val="11"/>
                      <w:rFonts w:hint="eastAsia"/>
                    </w:rPr>
                    <w:t>100-200毫升/亩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853395">
                  <w:r>
                    <w:rPr>
                      <w:rStyle w:val="11"/>
                      <w:rFonts w:hint="eastAsia"/>
                    </w:rPr>
                    <w:t>茎叶喷雾</w:t>
                  </w:r>
                </w:p>
              </w:tc>
            </w:tr>
          </w:tbl>
          <w:p w14:paraId="797A7B76">
            <w:pPr>
              <w:rPr>
                <w:rFonts w:ascii="Times New Roman" w:hAnsi="Times New Roman" w:cs="Times New Roman"/>
                <w:sz w:val="20"/>
                <w:szCs w:val="20"/>
              </w:rPr>
            </w:pPr>
          </w:p>
        </w:tc>
      </w:tr>
      <w:tr w14:paraId="51D74151">
        <w:tblPrEx>
          <w:tblCellMar>
            <w:top w:w="0" w:type="dxa"/>
            <w:left w:w="0" w:type="dxa"/>
            <w:bottom w:w="0" w:type="dxa"/>
            <w:right w:w="0" w:type="dxa"/>
          </w:tblCellMar>
        </w:tblPrEx>
        <w:trPr>
          <w:wBefore w:w="0" w:type="auto"/>
          <w:tblCellSpacing w:w="0" w:type="dxa"/>
        </w:trPr>
        <w:tc>
          <w:tcPr>
            <w:tcW w:w="0" w:type="auto"/>
            <w:noWrap w:val="0"/>
            <w:vAlign w:val="center"/>
          </w:tcPr>
          <w:p w14:paraId="37425C31">
            <w:r>
              <w:rPr>
                <w:rStyle w:val="10"/>
                <w:rFonts w:hint="eastAsia"/>
              </w:rPr>
              <w:t>使用技术要求:</w:t>
            </w:r>
            <w:r>
              <w:rPr>
                <w:rFonts w:hint="eastAsia"/>
              </w:rPr>
              <w:br w:type="textWrapping"/>
            </w:r>
            <w:r>
              <w:rPr>
                <w:rStyle w:val="11"/>
                <w:rFonts w:hint="eastAsia"/>
              </w:rPr>
              <w:t>1. 于非耕地杂草旺盛生长期茎叶喷雾施药1次。 2. 选择晴好天气，按防治作物、用药量、使用方法、根据杂草的株高，调节喷头高度，喷雾时勿接触作物绿色部分，以免产生药害。 3. 如施药后4小时内下雨，会影响药效，应酌情补喷。</w:t>
            </w:r>
          </w:p>
        </w:tc>
      </w:tr>
      <w:tr w14:paraId="0F54334B">
        <w:tblPrEx>
          <w:tblCellMar>
            <w:top w:w="0" w:type="dxa"/>
            <w:left w:w="0" w:type="dxa"/>
            <w:bottom w:w="0" w:type="dxa"/>
            <w:right w:w="0" w:type="dxa"/>
          </w:tblCellMar>
        </w:tblPrEx>
        <w:trPr>
          <w:wBefore w:w="0" w:type="auto"/>
          <w:tblCellSpacing w:w="0" w:type="dxa"/>
        </w:trPr>
        <w:tc>
          <w:tcPr>
            <w:tcW w:w="0" w:type="auto"/>
            <w:noWrap w:val="0"/>
            <w:vAlign w:val="center"/>
          </w:tcPr>
          <w:p w14:paraId="16DFD0F7">
            <w:r>
              <w:rPr>
                <w:rStyle w:val="10"/>
                <w:rFonts w:hint="eastAsia"/>
              </w:rPr>
              <w:t>产品性能:</w:t>
            </w:r>
            <w:r>
              <w:rPr>
                <w:rFonts w:hint="eastAsia"/>
              </w:rPr>
              <w:br w:type="textWrapping"/>
            </w:r>
            <w:r>
              <w:rPr>
                <w:rStyle w:val="11"/>
                <w:rFonts w:hint="eastAsia"/>
              </w:rPr>
              <w:t>本品为乙羧氟草醚、高效氟吡甲禾灵和草铵膦复配制剂，一种内吸兼触杀型灭生性除草剂，可用于非耕地防除一年生和多年生禾本科及阔叶杂草。</w:t>
            </w:r>
          </w:p>
        </w:tc>
      </w:tr>
      <w:tr w14:paraId="27C86CD5">
        <w:tblPrEx>
          <w:tblCellMar>
            <w:top w:w="0" w:type="dxa"/>
            <w:left w:w="0" w:type="dxa"/>
            <w:bottom w:w="0" w:type="dxa"/>
            <w:right w:w="0" w:type="dxa"/>
          </w:tblCellMar>
        </w:tblPrEx>
        <w:trPr>
          <w:wBefore w:w="0" w:type="auto"/>
          <w:tblCellSpacing w:w="0" w:type="dxa"/>
        </w:trPr>
        <w:tc>
          <w:tcPr>
            <w:tcW w:w="0" w:type="auto"/>
            <w:noWrap w:val="0"/>
            <w:vAlign w:val="center"/>
          </w:tcPr>
          <w:p w14:paraId="7DAE1557">
            <w:r>
              <w:rPr>
                <w:rStyle w:val="10"/>
                <w:rFonts w:hint="eastAsia"/>
              </w:rPr>
              <w:t>注意事项：</w:t>
            </w:r>
            <w:r>
              <w:rPr>
                <w:rFonts w:hint="eastAsia"/>
              </w:rPr>
              <w:br w:type="textWrapping"/>
            </w:r>
            <w:r>
              <w:rPr>
                <w:rStyle w:val="11"/>
                <w:rFonts w:hint="eastAsia"/>
              </w:rPr>
              <w:t>1.禁止在田间道路、田埂、果树行间、休耕地、林场地等农林区域使用。 喷雾时需定向均匀全面喷在杂草上，勿使药液漂移或接触到作物上，以免产生药害。2. 避免药液接触皮肤、眼睛和污染衣物，避免吸入雾滴。切勿在施药现场抽烟或饮食。3. 本品对眼睛有刺激性，使用时穿戴长衣、长裤、帽子、口罩、手套等防护措施。使用后应及时清洗皮肤及所穿衣物。4. 本品对鸟类、蜜蜂、鱼类等水生生物、家蚕有毒，施药期间应避免对周围蜂群的影响，禁止在开花植物花期、蚕室和桑园附近使用。5. 远离水产养殖区、河塘等水域施药。禁止在河塘等水域清洗施药器具。地下水水源地禁用。6. 赤眼蜂、瓢虫等天敌放飞区域禁用。 7. 避免孕妇和哺乳期的妇女接触本品。8. 用过的容器应妥善处理，不可随意丢弃或作他用。9. 避免与具有氧化性物质接触或混合。</w:t>
            </w:r>
          </w:p>
        </w:tc>
      </w:tr>
      <w:tr w14:paraId="1F6C5E57">
        <w:tblPrEx>
          <w:tblCellMar>
            <w:top w:w="0" w:type="dxa"/>
            <w:left w:w="0" w:type="dxa"/>
            <w:bottom w:w="0" w:type="dxa"/>
            <w:right w:w="0" w:type="dxa"/>
          </w:tblCellMar>
        </w:tblPrEx>
        <w:trPr>
          <w:wBefore w:w="0" w:type="auto"/>
          <w:tblCellSpacing w:w="0" w:type="dxa"/>
        </w:trPr>
        <w:tc>
          <w:tcPr>
            <w:tcW w:w="0" w:type="auto"/>
            <w:noWrap w:val="0"/>
            <w:vAlign w:val="center"/>
          </w:tcPr>
          <w:p w14:paraId="17C132A8">
            <w:r>
              <w:rPr>
                <w:rStyle w:val="10"/>
                <w:rFonts w:hint="eastAsia"/>
              </w:rPr>
              <w:t>中毒急救措施：</w:t>
            </w:r>
            <w:r>
              <w:rPr>
                <w:rFonts w:hint="eastAsia"/>
              </w:rPr>
              <w:br w:type="textWrapping"/>
            </w:r>
            <w:r>
              <w:rPr>
                <w:rStyle w:val="11"/>
                <w:rFonts w:hint="eastAsia"/>
              </w:rPr>
              <w:t>1. 若溅到皮肤上，应立即用大量清水冲洗，如皮肤疼痛感持续，请医生诊治。 2. 不慎溅入眼中，要立即用清水冲洗15分钟以上，并请医生诊治。 3. 不慎吸入，应将病人移至空气流通处。4. 若误服，立即携此标签将病人送医院救治，可对症治疗，无特殊解毒药。</w:t>
            </w:r>
          </w:p>
        </w:tc>
      </w:tr>
      <w:tr w14:paraId="11DBF23B">
        <w:tblPrEx>
          <w:tblCellMar>
            <w:top w:w="0" w:type="dxa"/>
            <w:left w:w="0" w:type="dxa"/>
            <w:bottom w:w="0" w:type="dxa"/>
            <w:right w:w="0" w:type="dxa"/>
          </w:tblCellMar>
        </w:tblPrEx>
        <w:trPr>
          <w:wBefore w:w="0" w:type="auto"/>
          <w:tblCellSpacing w:w="0" w:type="dxa"/>
        </w:trPr>
        <w:tc>
          <w:tcPr>
            <w:tcW w:w="0" w:type="auto"/>
            <w:noWrap w:val="0"/>
            <w:vAlign w:val="center"/>
          </w:tcPr>
          <w:p w14:paraId="7EBFAAF9">
            <w:r>
              <w:rPr>
                <w:rStyle w:val="10"/>
                <w:rFonts w:hint="eastAsia"/>
              </w:rPr>
              <w:t>储存和运输方法：</w:t>
            </w:r>
            <w:r>
              <w:rPr>
                <w:rFonts w:hint="eastAsia"/>
              </w:rPr>
              <w:br w:type="textWrapping"/>
            </w:r>
            <w:r>
              <w:rPr>
                <w:rStyle w:val="11"/>
                <w:rFonts w:hint="eastAsia"/>
              </w:rPr>
              <w:t>1. 本品应密封贮存在干燥、阴凉、通风、防雨处，本品属易燃液体，远离火源或热源。2. 存放于儿童、无关人员触及不到之处，并加锁。3. 勿与食品、饮料、粮食、饲料等其他商品同贮同运。</w:t>
            </w:r>
          </w:p>
        </w:tc>
      </w:tr>
      <w:tr w14:paraId="0276FB97">
        <w:tblPrEx>
          <w:tblCellMar>
            <w:top w:w="0" w:type="dxa"/>
            <w:left w:w="0" w:type="dxa"/>
            <w:bottom w:w="0" w:type="dxa"/>
            <w:right w:w="0" w:type="dxa"/>
          </w:tblCellMar>
        </w:tblPrEx>
        <w:trPr>
          <w:wBefore w:w="0" w:type="auto"/>
          <w:tblCellSpacing w:w="0" w:type="dxa"/>
        </w:trPr>
        <w:tc>
          <w:tcPr>
            <w:tcW w:w="0" w:type="auto"/>
            <w:noWrap w:val="0"/>
            <w:vAlign w:val="center"/>
          </w:tcPr>
          <w:p w14:paraId="7F42F846">
            <w:r>
              <w:rPr>
                <w:rStyle w:val="10"/>
                <w:rFonts w:hint="eastAsia"/>
              </w:rPr>
              <w:t>质量保证期：</w:t>
            </w:r>
            <w:r>
              <w:rPr>
                <w:rStyle w:val="11"/>
                <w:rFonts w:hint="eastAsia"/>
              </w:rPr>
              <w:t>2年</w:t>
            </w:r>
          </w:p>
        </w:tc>
      </w:tr>
      <w:tr w14:paraId="7E8D5C7F">
        <w:tblPrEx>
          <w:tblCellMar>
            <w:top w:w="0" w:type="dxa"/>
            <w:left w:w="0" w:type="dxa"/>
            <w:bottom w:w="0" w:type="dxa"/>
            <w:right w:w="0" w:type="dxa"/>
          </w:tblCellMar>
        </w:tblPrEx>
        <w:trPr>
          <w:wBefore w:w="0" w:type="auto"/>
          <w:tblCellSpacing w:w="0" w:type="dxa"/>
        </w:trPr>
        <w:tc>
          <w:tcPr>
            <w:tcW w:w="0" w:type="auto"/>
            <w:noWrap w:val="0"/>
            <w:vAlign w:val="center"/>
          </w:tcPr>
          <w:p w14:paraId="0C6B3A13">
            <w:r>
              <w:rPr>
                <w:rStyle w:val="10"/>
                <w:rFonts w:hint="eastAsia"/>
              </w:rPr>
              <w:t>备注：</w:t>
            </w:r>
          </w:p>
        </w:tc>
      </w:tr>
    </w:tbl>
    <w:p w14:paraId="6B4C8FA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4F6FC0">
        <w:tblPrEx>
          <w:tblCellMar>
            <w:top w:w="0" w:type="dxa"/>
            <w:left w:w="0" w:type="dxa"/>
            <w:bottom w:w="0" w:type="dxa"/>
            <w:right w:w="0" w:type="dxa"/>
          </w:tblCellMar>
        </w:tblPrEx>
        <w:trPr>
          <w:wBefore w:w="0" w:type="auto"/>
          <w:tblCellSpacing w:w="0" w:type="dxa"/>
        </w:trPr>
        <w:tc>
          <w:tcPr>
            <w:tcW w:w="0" w:type="auto"/>
            <w:noWrap w:val="0"/>
            <w:vAlign w:val="center"/>
          </w:tcPr>
          <w:p w14:paraId="6360866B">
            <w:r>
              <w:rPr>
                <w:rStyle w:val="10"/>
                <w:rFonts w:hint="eastAsia"/>
              </w:rPr>
              <w:t>登记证号：</w:t>
            </w:r>
            <w:r>
              <w:rPr>
                <w:rFonts w:hint="eastAsia"/>
              </w:rPr>
              <w:t>PD20212621</w:t>
            </w:r>
          </w:p>
        </w:tc>
      </w:tr>
      <w:tr w14:paraId="355F73A1">
        <w:tblPrEx>
          <w:tblCellMar>
            <w:top w:w="0" w:type="dxa"/>
            <w:left w:w="0" w:type="dxa"/>
            <w:bottom w:w="0" w:type="dxa"/>
            <w:right w:w="0" w:type="dxa"/>
          </w:tblCellMar>
        </w:tblPrEx>
        <w:trPr>
          <w:wBefore w:w="0" w:type="auto"/>
          <w:tblCellSpacing w:w="0" w:type="dxa"/>
        </w:trPr>
        <w:tc>
          <w:tcPr>
            <w:tcW w:w="0" w:type="auto"/>
            <w:noWrap w:val="0"/>
            <w:vAlign w:val="center"/>
          </w:tcPr>
          <w:p w14:paraId="78A57437">
            <w:r>
              <w:rPr>
                <w:rStyle w:val="10"/>
                <w:rFonts w:hint="eastAsia"/>
              </w:rPr>
              <w:t>登记证持有人：</w:t>
            </w:r>
            <w:r>
              <w:rPr>
                <w:rFonts w:hint="eastAsia"/>
              </w:rPr>
              <w:t>安徽隆冠生物科技有限公司</w:t>
            </w:r>
          </w:p>
        </w:tc>
      </w:tr>
      <w:tr w14:paraId="49716962">
        <w:tblPrEx>
          <w:tblCellMar>
            <w:top w:w="0" w:type="dxa"/>
            <w:left w:w="0" w:type="dxa"/>
            <w:bottom w:w="0" w:type="dxa"/>
            <w:right w:w="0" w:type="dxa"/>
          </w:tblCellMar>
        </w:tblPrEx>
        <w:trPr>
          <w:wBefore w:w="0" w:type="auto"/>
          <w:tblCellSpacing w:w="0" w:type="dxa"/>
        </w:trPr>
        <w:tc>
          <w:tcPr>
            <w:tcW w:w="0" w:type="auto"/>
            <w:noWrap w:val="0"/>
            <w:vAlign w:val="center"/>
          </w:tcPr>
          <w:p w14:paraId="7DD1C41C">
            <w:r>
              <w:rPr>
                <w:rStyle w:val="10"/>
                <w:rFonts w:hint="eastAsia"/>
              </w:rPr>
              <w:t>农药名称：</w:t>
            </w:r>
            <w:r>
              <w:rPr>
                <w:rFonts w:hint="eastAsia"/>
              </w:rPr>
              <w:t>吡酰草·二磺·异丙隆</w:t>
            </w:r>
          </w:p>
        </w:tc>
      </w:tr>
      <w:tr w14:paraId="7BB760F0">
        <w:tblPrEx>
          <w:tblCellMar>
            <w:top w:w="0" w:type="dxa"/>
            <w:left w:w="0" w:type="dxa"/>
            <w:bottom w:w="0" w:type="dxa"/>
            <w:right w:w="0" w:type="dxa"/>
          </w:tblCellMar>
        </w:tblPrEx>
        <w:trPr>
          <w:wBefore w:w="0" w:type="auto"/>
          <w:tblCellSpacing w:w="0" w:type="dxa"/>
        </w:trPr>
        <w:tc>
          <w:tcPr>
            <w:tcW w:w="0" w:type="auto"/>
            <w:noWrap w:val="0"/>
            <w:vAlign w:val="center"/>
          </w:tcPr>
          <w:p w14:paraId="29C31ED8">
            <w:r>
              <w:rPr>
                <w:rStyle w:val="10"/>
                <w:rFonts w:hint="eastAsia"/>
              </w:rPr>
              <w:t>剂型：</w:t>
            </w:r>
            <w:r>
              <w:rPr>
                <w:rFonts w:hint="eastAsia"/>
              </w:rPr>
              <w:t>可分散油悬浮剂</w:t>
            </w:r>
          </w:p>
        </w:tc>
      </w:tr>
      <w:tr w14:paraId="49D403B0">
        <w:tblPrEx>
          <w:tblCellMar>
            <w:top w:w="0" w:type="dxa"/>
            <w:left w:w="0" w:type="dxa"/>
            <w:bottom w:w="0" w:type="dxa"/>
            <w:right w:w="0" w:type="dxa"/>
          </w:tblCellMar>
        </w:tblPrEx>
        <w:trPr>
          <w:wBefore w:w="0" w:type="auto"/>
          <w:tblCellSpacing w:w="0" w:type="dxa"/>
        </w:trPr>
        <w:tc>
          <w:tcPr>
            <w:tcW w:w="0" w:type="auto"/>
            <w:noWrap w:val="0"/>
            <w:vAlign w:val="center"/>
          </w:tcPr>
          <w:p w14:paraId="49A9F303">
            <w:r>
              <w:rPr>
                <w:rStyle w:val="10"/>
                <w:rFonts w:hint="eastAsia"/>
              </w:rPr>
              <w:t>毒性及其标识：</w:t>
            </w:r>
            <w:r>
              <w:rPr>
                <w:rFonts w:hint="eastAsia"/>
              </w:rPr>
              <w:t xml:space="preserve"> </w:t>
            </w:r>
            <w:r>
              <w:rPr>
                <w:lang/>
              </w:rPr>
              <w:drawing>
                <wp:inline distT="0" distB="0" distL="114300" distR="114300">
                  <wp:extent cx="476250" cy="323850"/>
                  <wp:effectExtent l="0" t="0" r="0" b="0"/>
                  <wp:docPr id="383" name="图片 3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936474">
        <w:tblPrEx>
          <w:tblCellMar>
            <w:top w:w="0" w:type="dxa"/>
            <w:left w:w="0" w:type="dxa"/>
            <w:bottom w:w="0" w:type="dxa"/>
            <w:right w:w="0" w:type="dxa"/>
          </w:tblCellMar>
        </w:tblPrEx>
        <w:trPr>
          <w:wBefore w:w="0" w:type="auto"/>
          <w:tblCellSpacing w:w="0" w:type="dxa"/>
        </w:trPr>
        <w:tc>
          <w:tcPr>
            <w:tcW w:w="0" w:type="auto"/>
            <w:noWrap w:val="0"/>
            <w:vAlign w:val="center"/>
          </w:tcPr>
          <w:p w14:paraId="36717430">
            <w:r>
              <w:rPr>
                <w:rStyle w:val="10"/>
                <w:rFonts w:hint="eastAsia"/>
              </w:rPr>
              <w:t>总有效成分含量：</w:t>
            </w:r>
            <w:r>
              <w:rPr>
                <w:rFonts w:hint="eastAsia"/>
              </w:rPr>
              <w:t>36%</w:t>
            </w:r>
          </w:p>
        </w:tc>
      </w:tr>
      <w:tr w14:paraId="35D5B072">
        <w:tblPrEx>
          <w:tblCellMar>
            <w:top w:w="0" w:type="dxa"/>
            <w:left w:w="0" w:type="dxa"/>
            <w:bottom w:w="0" w:type="dxa"/>
            <w:right w:w="0" w:type="dxa"/>
          </w:tblCellMar>
        </w:tblPrEx>
        <w:trPr>
          <w:wBefore w:w="0" w:type="auto"/>
          <w:tblCellSpacing w:w="0" w:type="dxa"/>
        </w:trPr>
        <w:tc>
          <w:tcPr>
            <w:tcW w:w="0" w:type="auto"/>
            <w:noWrap w:val="0"/>
            <w:vAlign w:val="center"/>
          </w:tcPr>
          <w:p w14:paraId="28FF16CF">
            <w:r>
              <w:rPr>
                <w:rFonts w:hint="eastAsia"/>
              </w:rPr>
              <w:t xml:space="preserve">有效成分及其含量： </w:t>
            </w:r>
          </w:p>
          <w:p w14:paraId="6E41FCEF">
            <w:r>
              <w:rPr>
                <w:rFonts w:hint="eastAsia"/>
              </w:rPr>
              <w:t xml:space="preserve">    异丙隆31.6%    甲基二磺隆0.4%    吡氟酰草胺4%    </w:t>
            </w:r>
          </w:p>
        </w:tc>
      </w:tr>
      <w:tr w14:paraId="29A38794">
        <w:tblPrEx>
          <w:tblCellMar>
            <w:top w:w="0" w:type="dxa"/>
            <w:left w:w="0" w:type="dxa"/>
            <w:bottom w:w="0" w:type="dxa"/>
            <w:right w:w="0" w:type="dxa"/>
          </w:tblCellMar>
        </w:tblPrEx>
        <w:trPr>
          <w:wBefore w:w="0" w:type="auto"/>
          <w:tblCellSpacing w:w="0" w:type="dxa"/>
        </w:trPr>
        <w:tc>
          <w:tcPr>
            <w:tcW w:w="0" w:type="auto"/>
            <w:noWrap w:val="0"/>
            <w:vAlign w:val="center"/>
          </w:tcPr>
          <w:p w14:paraId="60BCE4A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4B00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BD76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2DDBC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C2F11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7449AF">
                  <w:r>
                    <w:rPr>
                      <w:rStyle w:val="11"/>
                      <w:rFonts w:hint="eastAsia"/>
                    </w:rPr>
                    <w:t>施用方式</w:t>
                  </w:r>
                </w:p>
              </w:tc>
            </w:tr>
            <w:tr w14:paraId="7F2ECD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62A3A8">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9A5DC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AC0F6">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EDD5F5">
                  <w:r>
                    <w:rPr>
                      <w:rStyle w:val="11"/>
                      <w:rFonts w:hint="eastAsia"/>
                    </w:rPr>
                    <w:t>茎叶喷雾</w:t>
                  </w:r>
                </w:p>
              </w:tc>
            </w:tr>
          </w:tbl>
          <w:p w14:paraId="3DE5A2B8">
            <w:pPr>
              <w:rPr>
                <w:rFonts w:ascii="Times New Roman" w:hAnsi="Times New Roman" w:cs="Times New Roman"/>
                <w:sz w:val="20"/>
                <w:szCs w:val="20"/>
              </w:rPr>
            </w:pPr>
          </w:p>
        </w:tc>
      </w:tr>
      <w:tr w14:paraId="22FA750B">
        <w:tblPrEx>
          <w:tblCellMar>
            <w:top w:w="0" w:type="dxa"/>
            <w:left w:w="0" w:type="dxa"/>
            <w:bottom w:w="0" w:type="dxa"/>
            <w:right w:w="0" w:type="dxa"/>
          </w:tblCellMar>
        </w:tblPrEx>
        <w:trPr>
          <w:wBefore w:w="0" w:type="auto"/>
          <w:tblCellSpacing w:w="0" w:type="dxa"/>
        </w:trPr>
        <w:tc>
          <w:tcPr>
            <w:tcW w:w="0" w:type="auto"/>
            <w:noWrap w:val="0"/>
            <w:vAlign w:val="center"/>
          </w:tcPr>
          <w:p w14:paraId="53F8D43E">
            <w:r>
              <w:rPr>
                <w:rStyle w:val="10"/>
                <w:rFonts w:hint="eastAsia"/>
              </w:rPr>
              <w:t>使用技术要求:</w:t>
            </w:r>
            <w:r>
              <w:rPr>
                <w:rFonts w:hint="eastAsia"/>
              </w:rPr>
              <w:br w:type="textWrapping"/>
            </w:r>
            <w:r>
              <w:rPr>
                <w:rStyle w:val="11"/>
                <w:rFonts w:hint="eastAsia"/>
              </w:rPr>
              <w:t>1.于小麦3叶期至返青，杂草2-5叶期进行茎叶喷雾。2.勿在低温和寒流及霜冻前后等不良气候条件下施药，避免药害。3.大风天或1小时内有降雨，请勿施药。4.每季最多使用1次。</w:t>
            </w:r>
          </w:p>
        </w:tc>
      </w:tr>
      <w:tr w14:paraId="012FDC65">
        <w:tblPrEx>
          <w:tblCellMar>
            <w:top w:w="0" w:type="dxa"/>
            <w:left w:w="0" w:type="dxa"/>
            <w:bottom w:w="0" w:type="dxa"/>
            <w:right w:w="0" w:type="dxa"/>
          </w:tblCellMar>
        </w:tblPrEx>
        <w:trPr>
          <w:wBefore w:w="0" w:type="auto"/>
          <w:tblCellSpacing w:w="0" w:type="dxa"/>
        </w:trPr>
        <w:tc>
          <w:tcPr>
            <w:tcW w:w="0" w:type="auto"/>
            <w:noWrap w:val="0"/>
            <w:vAlign w:val="center"/>
          </w:tcPr>
          <w:p w14:paraId="46E31C04">
            <w:r>
              <w:rPr>
                <w:rStyle w:val="10"/>
                <w:rFonts w:hint="eastAsia"/>
              </w:rPr>
              <w:t>产品性能:</w:t>
            </w:r>
            <w:r>
              <w:rPr>
                <w:rFonts w:hint="eastAsia"/>
              </w:rPr>
              <w:br w:type="textWrapping"/>
            </w:r>
            <w:r>
              <w:rPr>
                <w:rStyle w:val="11"/>
                <w:rFonts w:hint="eastAsia"/>
              </w:rPr>
              <w:t>本品是异丙隆、甲基二磺隆、吡氟酰草胺的混配制剂。本品具有内吸传导性，通过杂草的茎叶吸收，传导至杂草生长点。异丙隆主要经杂草根和茎叶吸收，干扰光合作用的进行，在光照下不能放出氧和二氧化碳，有机物生成停止，敏感杂草因饥饿而死亡。甲基二磺隆本剂为小麦田苗后防除禾本科杂草和部分阔叶杂草的内吸选择性茎叶除草剂；吡氟酰草胺具有抑制类胡萝卜素生物合成作用，吸收药剂的杂草植株中类胡萝卜素含量下降，导致叶绿素被破坏，细胞膜破裂，杂草则表现为幼芽脱色，最后整株萎蔫死亡。三者混配可有效防除小麦田一年生禾本科及阔叶杂草。</w:t>
            </w:r>
          </w:p>
        </w:tc>
      </w:tr>
      <w:tr w14:paraId="69AC0115">
        <w:tblPrEx>
          <w:tblCellMar>
            <w:top w:w="0" w:type="dxa"/>
            <w:left w:w="0" w:type="dxa"/>
            <w:bottom w:w="0" w:type="dxa"/>
            <w:right w:w="0" w:type="dxa"/>
          </w:tblCellMar>
        </w:tblPrEx>
        <w:trPr>
          <w:wBefore w:w="0" w:type="auto"/>
          <w:tblCellSpacing w:w="0" w:type="dxa"/>
        </w:trPr>
        <w:tc>
          <w:tcPr>
            <w:tcW w:w="0" w:type="auto"/>
            <w:noWrap w:val="0"/>
            <w:vAlign w:val="center"/>
          </w:tcPr>
          <w:p w14:paraId="7DE79117">
            <w:r>
              <w:rPr>
                <w:rStyle w:val="10"/>
                <w:rFonts w:hint="eastAsia"/>
              </w:rPr>
              <w:t>注意事项：</w:t>
            </w:r>
            <w:r>
              <w:rPr>
                <w:rFonts w:hint="eastAsia"/>
              </w:rPr>
              <w:br w:type="textWrapping"/>
            </w:r>
            <w:r>
              <w:rPr>
                <w:rStyle w:val="11"/>
                <w:rFonts w:hint="eastAsia"/>
              </w:rPr>
              <w:t>1. 不可使用最外围桑树上的桑叶饲喂家蚕。2. 鸟类保护区附近禁用。3. 未用完的制剂应放在原包装内密封保存，切勿将本品置于饮、食容器内。4. 远离水产养殖区、河塘等水体施药，禁止在河塘等水体中清洗施药器具。施药后的田水不得直接排入水体。5. 本品对眼睛有刺激性，使用时避免接触眼睛，穿戴长衣、长裤、帽子、口罩、手套等防护措施。6. 建议与作用机制不同的除草剂轮换使用，使用前请先进行小面积试验以确认安全性和有效性。7. 施药期间不可吃东西、饮水、吸烟等；施药后应及时洗手、洗脸并洗涤施药时穿着的衣物。用过的容器应妥善处理，不可做他用，也不可随意丢弃。8. 请严格按照标签说明使用。9. 禁止孕妇及哺乳期的妇女接触本品。</w:t>
            </w:r>
          </w:p>
        </w:tc>
      </w:tr>
      <w:tr w14:paraId="02CCE359">
        <w:tblPrEx>
          <w:tblCellMar>
            <w:top w:w="0" w:type="dxa"/>
            <w:left w:w="0" w:type="dxa"/>
            <w:bottom w:w="0" w:type="dxa"/>
            <w:right w:w="0" w:type="dxa"/>
          </w:tblCellMar>
        </w:tblPrEx>
        <w:trPr>
          <w:wBefore w:w="0" w:type="auto"/>
          <w:tblCellSpacing w:w="0" w:type="dxa"/>
        </w:trPr>
        <w:tc>
          <w:tcPr>
            <w:tcW w:w="0" w:type="auto"/>
            <w:noWrap w:val="0"/>
            <w:vAlign w:val="center"/>
          </w:tcPr>
          <w:p w14:paraId="3A391479">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31276D3E">
        <w:tblPrEx>
          <w:tblCellMar>
            <w:top w:w="0" w:type="dxa"/>
            <w:left w:w="0" w:type="dxa"/>
            <w:bottom w:w="0" w:type="dxa"/>
            <w:right w:w="0" w:type="dxa"/>
          </w:tblCellMar>
        </w:tblPrEx>
        <w:trPr>
          <w:wBefore w:w="0" w:type="auto"/>
          <w:tblCellSpacing w:w="0" w:type="dxa"/>
        </w:trPr>
        <w:tc>
          <w:tcPr>
            <w:tcW w:w="0" w:type="auto"/>
            <w:noWrap w:val="0"/>
            <w:vAlign w:val="center"/>
          </w:tcPr>
          <w:p w14:paraId="29CDC740">
            <w:r>
              <w:rPr>
                <w:rStyle w:val="10"/>
                <w:rFonts w:hint="eastAsia"/>
              </w:rPr>
              <w:t>储存和运输方法：</w:t>
            </w:r>
            <w:r>
              <w:rPr>
                <w:rFonts w:hint="eastAsia"/>
              </w:rPr>
              <w:br w:type="textWrapping"/>
            </w:r>
            <w:r>
              <w:rPr>
                <w:rStyle w:val="11"/>
                <w:rFonts w:hint="eastAsia"/>
              </w:rPr>
              <w:t>1．本品应密封贮存在干燥、阴凉、通风、防雨处，本品属易燃液体，远离火源或热源。2．存放于儿童、无关人员触及不到之处，并加锁。3．勿与食品、饮料、粮食、饲料等其他商品同贮同运。贮存或运输时堆层不得超过规定，注意轻拿轻放，以免损坏包装，导致产品泄漏。</w:t>
            </w:r>
          </w:p>
        </w:tc>
      </w:tr>
      <w:tr w14:paraId="37240809">
        <w:tblPrEx>
          <w:tblCellMar>
            <w:top w:w="0" w:type="dxa"/>
            <w:left w:w="0" w:type="dxa"/>
            <w:bottom w:w="0" w:type="dxa"/>
            <w:right w:w="0" w:type="dxa"/>
          </w:tblCellMar>
        </w:tblPrEx>
        <w:trPr>
          <w:wBefore w:w="0" w:type="auto"/>
          <w:tblCellSpacing w:w="0" w:type="dxa"/>
        </w:trPr>
        <w:tc>
          <w:tcPr>
            <w:tcW w:w="0" w:type="auto"/>
            <w:noWrap w:val="0"/>
            <w:vAlign w:val="center"/>
          </w:tcPr>
          <w:p w14:paraId="140D69C3">
            <w:r>
              <w:rPr>
                <w:rStyle w:val="10"/>
                <w:rFonts w:hint="eastAsia"/>
              </w:rPr>
              <w:t>质量保证期：</w:t>
            </w:r>
            <w:r>
              <w:rPr>
                <w:rStyle w:val="11"/>
                <w:rFonts w:hint="eastAsia"/>
              </w:rPr>
              <w:t>2年</w:t>
            </w:r>
          </w:p>
        </w:tc>
      </w:tr>
      <w:tr w14:paraId="0940C73F">
        <w:tblPrEx>
          <w:tblCellMar>
            <w:top w:w="0" w:type="dxa"/>
            <w:left w:w="0" w:type="dxa"/>
            <w:bottom w:w="0" w:type="dxa"/>
            <w:right w:w="0" w:type="dxa"/>
          </w:tblCellMar>
        </w:tblPrEx>
        <w:trPr>
          <w:wBefore w:w="0" w:type="auto"/>
          <w:tblCellSpacing w:w="0" w:type="dxa"/>
        </w:trPr>
        <w:tc>
          <w:tcPr>
            <w:tcW w:w="0" w:type="auto"/>
            <w:noWrap w:val="0"/>
            <w:vAlign w:val="center"/>
          </w:tcPr>
          <w:p w14:paraId="550F77ED">
            <w:r>
              <w:rPr>
                <w:rStyle w:val="10"/>
                <w:rFonts w:hint="eastAsia"/>
              </w:rPr>
              <w:t>备注：</w:t>
            </w:r>
          </w:p>
        </w:tc>
      </w:tr>
    </w:tbl>
    <w:p w14:paraId="005079A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C0A113">
        <w:tblPrEx>
          <w:tblCellMar>
            <w:top w:w="0" w:type="dxa"/>
            <w:left w:w="0" w:type="dxa"/>
            <w:bottom w:w="0" w:type="dxa"/>
            <w:right w:w="0" w:type="dxa"/>
          </w:tblCellMar>
        </w:tblPrEx>
        <w:trPr>
          <w:wBefore w:w="0" w:type="auto"/>
          <w:tblCellSpacing w:w="0" w:type="dxa"/>
        </w:trPr>
        <w:tc>
          <w:tcPr>
            <w:tcW w:w="0" w:type="auto"/>
            <w:noWrap w:val="0"/>
            <w:vAlign w:val="center"/>
          </w:tcPr>
          <w:p w14:paraId="5841C364">
            <w:r>
              <w:rPr>
                <w:rStyle w:val="10"/>
                <w:rFonts w:hint="eastAsia"/>
              </w:rPr>
              <w:t>登记证号：</w:t>
            </w:r>
            <w:r>
              <w:rPr>
                <w:rFonts w:hint="eastAsia"/>
              </w:rPr>
              <w:t>PD20212436</w:t>
            </w:r>
          </w:p>
        </w:tc>
      </w:tr>
      <w:tr w14:paraId="512080FA">
        <w:tblPrEx>
          <w:tblCellMar>
            <w:top w:w="0" w:type="dxa"/>
            <w:left w:w="0" w:type="dxa"/>
            <w:bottom w:w="0" w:type="dxa"/>
            <w:right w:w="0" w:type="dxa"/>
          </w:tblCellMar>
        </w:tblPrEx>
        <w:trPr>
          <w:wBefore w:w="0" w:type="auto"/>
          <w:tblCellSpacing w:w="0" w:type="dxa"/>
        </w:trPr>
        <w:tc>
          <w:tcPr>
            <w:tcW w:w="0" w:type="auto"/>
            <w:noWrap w:val="0"/>
            <w:vAlign w:val="center"/>
          </w:tcPr>
          <w:p w14:paraId="270AE349">
            <w:r>
              <w:rPr>
                <w:rStyle w:val="10"/>
                <w:rFonts w:hint="eastAsia"/>
              </w:rPr>
              <w:t>登记证持有人：</w:t>
            </w:r>
            <w:r>
              <w:rPr>
                <w:rFonts w:hint="eastAsia"/>
              </w:rPr>
              <w:t>河南锦绣之星作物保护有限公司</w:t>
            </w:r>
          </w:p>
        </w:tc>
      </w:tr>
      <w:tr w14:paraId="08EFF71A">
        <w:tblPrEx>
          <w:tblCellMar>
            <w:top w:w="0" w:type="dxa"/>
            <w:left w:w="0" w:type="dxa"/>
            <w:bottom w:w="0" w:type="dxa"/>
            <w:right w:w="0" w:type="dxa"/>
          </w:tblCellMar>
        </w:tblPrEx>
        <w:trPr>
          <w:wBefore w:w="0" w:type="auto"/>
          <w:tblCellSpacing w:w="0" w:type="dxa"/>
        </w:trPr>
        <w:tc>
          <w:tcPr>
            <w:tcW w:w="0" w:type="auto"/>
            <w:noWrap w:val="0"/>
            <w:vAlign w:val="center"/>
          </w:tcPr>
          <w:p w14:paraId="6E69A2A1">
            <w:r>
              <w:rPr>
                <w:rStyle w:val="10"/>
                <w:rFonts w:hint="eastAsia"/>
              </w:rPr>
              <w:t>农药名称：</w:t>
            </w:r>
            <w:r>
              <w:rPr>
                <w:rFonts w:hint="eastAsia"/>
              </w:rPr>
              <w:t>氟啶虫酰胺·烯啶虫胺</w:t>
            </w:r>
          </w:p>
        </w:tc>
      </w:tr>
      <w:tr w14:paraId="4A20ACC1">
        <w:tblPrEx>
          <w:tblCellMar>
            <w:top w:w="0" w:type="dxa"/>
            <w:left w:w="0" w:type="dxa"/>
            <w:bottom w:w="0" w:type="dxa"/>
            <w:right w:w="0" w:type="dxa"/>
          </w:tblCellMar>
        </w:tblPrEx>
        <w:trPr>
          <w:wBefore w:w="0" w:type="auto"/>
          <w:tblCellSpacing w:w="0" w:type="dxa"/>
        </w:trPr>
        <w:tc>
          <w:tcPr>
            <w:tcW w:w="0" w:type="auto"/>
            <w:noWrap w:val="0"/>
            <w:vAlign w:val="center"/>
          </w:tcPr>
          <w:p w14:paraId="172BF8CF">
            <w:r>
              <w:rPr>
                <w:rStyle w:val="10"/>
                <w:rFonts w:hint="eastAsia"/>
              </w:rPr>
              <w:t>剂型：</w:t>
            </w:r>
            <w:r>
              <w:rPr>
                <w:rFonts w:hint="eastAsia"/>
              </w:rPr>
              <w:t>水分散粒剂</w:t>
            </w:r>
          </w:p>
        </w:tc>
      </w:tr>
      <w:tr w14:paraId="4C98EC82">
        <w:tblPrEx>
          <w:tblCellMar>
            <w:top w:w="0" w:type="dxa"/>
            <w:left w:w="0" w:type="dxa"/>
            <w:bottom w:w="0" w:type="dxa"/>
            <w:right w:w="0" w:type="dxa"/>
          </w:tblCellMar>
        </w:tblPrEx>
        <w:trPr>
          <w:wBefore w:w="0" w:type="auto"/>
          <w:tblCellSpacing w:w="0" w:type="dxa"/>
        </w:trPr>
        <w:tc>
          <w:tcPr>
            <w:tcW w:w="0" w:type="auto"/>
            <w:noWrap w:val="0"/>
            <w:vAlign w:val="center"/>
          </w:tcPr>
          <w:p w14:paraId="5E9152F4">
            <w:r>
              <w:rPr>
                <w:rStyle w:val="10"/>
                <w:rFonts w:hint="eastAsia"/>
              </w:rPr>
              <w:t>毒性及其标识：</w:t>
            </w:r>
            <w:r>
              <w:rPr>
                <w:rFonts w:hint="eastAsia"/>
              </w:rPr>
              <w:t xml:space="preserve"> </w:t>
            </w:r>
            <w:r>
              <w:rPr>
                <w:lang/>
              </w:rPr>
              <w:drawing>
                <wp:inline distT="0" distB="0" distL="114300" distR="114300">
                  <wp:extent cx="476250" cy="323850"/>
                  <wp:effectExtent l="0" t="0" r="0" b="0"/>
                  <wp:docPr id="384" name="图片 3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27C284">
        <w:tblPrEx>
          <w:tblCellMar>
            <w:top w:w="0" w:type="dxa"/>
            <w:left w:w="0" w:type="dxa"/>
            <w:bottom w:w="0" w:type="dxa"/>
            <w:right w:w="0" w:type="dxa"/>
          </w:tblCellMar>
        </w:tblPrEx>
        <w:trPr>
          <w:wBefore w:w="0" w:type="auto"/>
          <w:tblCellSpacing w:w="0" w:type="dxa"/>
        </w:trPr>
        <w:tc>
          <w:tcPr>
            <w:tcW w:w="0" w:type="auto"/>
            <w:noWrap w:val="0"/>
            <w:vAlign w:val="center"/>
          </w:tcPr>
          <w:p w14:paraId="52FEEDE1">
            <w:r>
              <w:rPr>
                <w:rStyle w:val="10"/>
                <w:rFonts w:hint="eastAsia"/>
              </w:rPr>
              <w:t>总有效成分含量：</w:t>
            </w:r>
            <w:r>
              <w:rPr>
                <w:rFonts w:hint="eastAsia"/>
              </w:rPr>
              <w:t>30%</w:t>
            </w:r>
          </w:p>
        </w:tc>
      </w:tr>
      <w:tr w14:paraId="0D1D4A10">
        <w:tblPrEx>
          <w:tblCellMar>
            <w:top w:w="0" w:type="dxa"/>
            <w:left w:w="0" w:type="dxa"/>
            <w:bottom w:w="0" w:type="dxa"/>
            <w:right w:w="0" w:type="dxa"/>
          </w:tblCellMar>
        </w:tblPrEx>
        <w:trPr>
          <w:wBefore w:w="0" w:type="auto"/>
          <w:tblCellSpacing w:w="0" w:type="dxa"/>
        </w:trPr>
        <w:tc>
          <w:tcPr>
            <w:tcW w:w="0" w:type="auto"/>
            <w:noWrap w:val="0"/>
            <w:vAlign w:val="center"/>
          </w:tcPr>
          <w:p w14:paraId="774B653D">
            <w:r>
              <w:rPr>
                <w:rFonts w:hint="eastAsia"/>
              </w:rPr>
              <w:t xml:space="preserve">有效成分及其含量： </w:t>
            </w:r>
          </w:p>
          <w:p w14:paraId="368E598A">
            <w:r>
              <w:rPr>
                <w:rFonts w:hint="eastAsia"/>
              </w:rPr>
              <w:t xml:space="preserve">    氟啶虫酰胺10%    烯啶虫胺20%    </w:t>
            </w:r>
          </w:p>
        </w:tc>
      </w:tr>
      <w:tr w14:paraId="04F09109">
        <w:tblPrEx>
          <w:tblCellMar>
            <w:top w:w="0" w:type="dxa"/>
            <w:left w:w="0" w:type="dxa"/>
            <w:bottom w:w="0" w:type="dxa"/>
            <w:right w:w="0" w:type="dxa"/>
          </w:tblCellMar>
        </w:tblPrEx>
        <w:trPr>
          <w:wBefore w:w="0" w:type="auto"/>
          <w:tblCellSpacing w:w="0" w:type="dxa"/>
        </w:trPr>
        <w:tc>
          <w:tcPr>
            <w:tcW w:w="0" w:type="auto"/>
            <w:noWrap w:val="0"/>
            <w:vAlign w:val="center"/>
          </w:tcPr>
          <w:p w14:paraId="3774FB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91D2E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7549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98B2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FF3C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06EBCC">
                  <w:r>
                    <w:rPr>
                      <w:rStyle w:val="11"/>
                      <w:rFonts w:hint="eastAsia"/>
                    </w:rPr>
                    <w:t>施用方式</w:t>
                  </w:r>
                </w:p>
              </w:tc>
            </w:tr>
            <w:tr w14:paraId="7225E4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FE516D">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97C492">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5A685A">
                  <w:r>
                    <w:rPr>
                      <w:rStyle w:val="11"/>
                      <w:rFonts w:hint="eastAsia"/>
                    </w:rPr>
                    <w:t>4-6克/亩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F5611F">
                  <w:r>
                    <w:rPr>
                      <w:rStyle w:val="11"/>
                      <w:rFonts w:hint="eastAsia"/>
                    </w:rPr>
                    <w:t>喷雾</w:t>
                  </w:r>
                </w:p>
              </w:tc>
            </w:tr>
          </w:tbl>
          <w:p w14:paraId="594CD72A">
            <w:pPr>
              <w:rPr>
                <w:rFonts w:ascii="Times New Roman" w:hAnsi="Times New Roman" w:cs="Times New Roman"/>
                <w:sz w:val="20"/>
                <w:szCs w:val="20"/>
              </w:rPr>
            </w:pPr>
          </w:p>
        </w:tc>
      </w:tr>
      <w:tr w14:paraId="5AAC634B">
        <w:tblPrEx>
          <w:tblCellMar>
            <w:top w:w="0" w:type="dxa"/>
            <w:left w:w="0" w:type="dxa"/>
            <w:bottom w:w="0" w:type="dxa"/>
            <w:right w:w="0" w:type="dxa"/>
          </w:tblCellMar>
        </w:tblPrEx>
        <w:trPr>
          <w:wBefore w:w="0" w:type="auto"/>
          <w:tblCellSpacing w:w="0" w:type="dxa"/>
        </w:trPr>
        <w:tc>
          <w:tcPr>
            <w:tcW w:w="0" w:type="auto"/>
            <w:noWrap w:val="0"/>
            <w:vAlign w:val="center"/>
          </w:tcPr>
          <w:p w14:paraId="4AF560F5">
            <w:r>
              <w:rPr>
                <w:rStyle w:val="10"/>
                <w:rFonts w:hint="eastAsia"/>
              </w:rPr>
              <w:t>使用技术要求:</w:t>
            </w:r>
            <w:r>
              <w:rPr>
                <w:rFonts w:hint="eastAsia"/>
              </w:rPr>
              <w:br w:type="textWrapping"/>
            </w:r>
            <w:r>
              <w:rPr>
                <w:rStyle w:val="11"/>
                <w:rFonts w:hint="eastAsia"/>
              </w:rPr>
              <w:t>1. 应于棉花蚜虫始盛期施药，兑水均匀喷雾。 2. 大风天或预计1小时内降雨，请勿施药。 3、本品在棉花上的安全间隔期为14天，每季作物最多使用1次。</w:t>
            </w:r>
          </w:p>
        </w:tc>
      </w:tr>
      <w:tr w14:paraId="7FB10333">
        <w:tblPrEx>
          <w:tblCellMar>
            <w:top w:w="0" w:type="dxa"/>
            <w:left w:w="0" w:type="dxa"/>
            <w:bottom w:w="0" w:type="dxa"/>
            <w:right w:w="0" w:type="dxa"/>
          </w:tblCellMar>
        </w:tblPrEx>
        <w:trPr>
          <w:wBefore w:w="0" w:type="auto"/>
          <w:tblCellSpacing w:w="0" w:type="dxa"/>
        </w:trPr>
        <w:tc>
          <w:tcPr>
            <w:tcW w:w="0" w:type="auto"/>
            <w:noWrap w:val="0"/>
            <w:vAlign w:val="center"/>
          </w:tcPr>
          <w:p w14:paraId="1B01A39A">
            <w:r>
              <w:rPr>
                <w:rStyle w:val="10"/>
                <w:rFonts w:hint="eastAsia"/>
              </w:rPr>
              <w:t>产品性能:</w:t>
            </w:r>
            <w:r>
              <w:rPr>
                <w:rFonts w:hint="eastAsia"/>
              </w:rPr>
              <w:br w:type="textWrapping"/>
            </w:r>
            <w:r>
              <w:rPr>
                <w:rStyle w:val="11"/>
                <w:rFonts w:hint="eastAsia"/>
              </w:rPr>
              <w:t>烯啶虫胺为烟碱乙酰胆碱受体拮抗剂，影响昆虫中枢神经系统胆碱传递，具有内吸、渗透、胃毒和触杀作用。氟啶虫酰胺为同翅目害虫拒食剂，为内吸性杀虫剂，在植物体内渗透性较强，持效性较长，耐雨性较好，叶面喷雾，可用于防治棉花蚜虫。</w:t>
            </w:r>
          </w:p>
        </w:tc>
      </w:tr>
      <w:tr w14:paraId="673C2E4D">
        <w:tblPrEx>
          <w:tblCellMar>
            <w:top w:w="0" w:type="dxa"/>
            <w:left w:w="0" w:type="dxa"/>
            <w:bottom w:w="0" w:type="dxa"/>
            <w:right w:w="0" w:type="dxa"/>
          </w:tblCellMar>
        </w:tblPrEx>
        <w:trPr>
          <w:wBefore w:w="0" w:type="auto"/>
          <w:tblCellSpacing w:w="0" w:type="dxa"/>
        </w:trPr>
        <w:tc>
          <w:tcPr>
            <w:tcW w:w="0" w:type="auto"/>
            <w:noWrap w:val="0"/>
            <w:vAlign w:val="center"/>
          </w:tcPr>
          <w:p w14:paraId="29E674DB">
            <w:r>
              <w:rPr>
                <w:rStyle w:val="10"/>
                <w:rFonts w:hint="eastAsia"/>
              </w:rPr>
              <w:t>注意事项：</w:t>
            </w:r>
            <w:r>
              <w:rPr>
                <w:rFonts w:hint="eastAsia"/>
              </w:rPr>
              <w:br w:type="textWrapping"/>
            </w:r>
            <w:r>
              <w:rPr>
                <w:rStyle w:val="11"/>
                <w:rFonts w:hint="eastAsia"/>
              </w:rPr>
              <w:t>（1）使用本品时避免皮肤接触及口鼻吸入，采用防护措施，穿戴口罩、长衣、长裤、手套、鞋；使用中不可吸烟、饮水及吃东西，使用后及时用大量清水和肥皂清洗手、脸等暴露部位皮肤并更换衣物。（2）远离水产养殖区、河塘等水体施药，禁止在河塘等水体中清洗施药器具。（3）对蜜蜂有毒，(周围)开花植物花期禁用；（4）对家蚕有毒，蚕室及桑园附近禁用。（5）建议与作用机制不同的杀虫剂轮换使用，以延缓抗性产生。（6）用过的容器应妥善处理，不可做他用，也不可随意丢弃。（7）禁止儿童、孕妇及哺乳期的妇女接触。过敏者禁用，使用中有任何不良反应请及时就医。</w:t>
            </w:r>
          </w:p>
        </w:tc>
      </w:tr>
      <w:tr w14:paraId="7BC74F0A">
        <w:tblPrEx>
          <w:tblCellMar>
            <w:top w:w="0" w:type="dxa"/>
            <w:left w:w="0" w:type="dxa"/>
            <w:bottom w:w="0" w:type="dxa"/>
            <w:right w:w="0" w:type="dxa"/>
          </w:tblCellMar>
        </w:tblPrEx>
        <w:trPr>
          <w:wBefore w:w="0" w:type="auto"/>
          <w:tblCellSpacing w:w="0" w:type="dxa"/>
        </w:trPr>
        <w:tc>
          <w:tcPr>
            <w:tcW w:w="0" w:type="auto"/>
            <w:noWrap w:val="0"/>
            <w:vAlign w:val="center"/>
          </w:tcPr>
          <w:p w14:paraId="0C7D037E">
            <w:r>
              <w:rPr>
                <w:rStyle w:val="10"/>
                <w:rFonts w:hint="eastAsia"/>
              </w:rPr>
              <w:t>中毒急救措施：</w:t>
            </w:r>
            <w:r>
              <w:rPr>
                <w:rFonts w:hint="eastAsia"/>
              </w:rPr>
              <w:br w:type="textWrapping"/>
            </w:r>
            <w:r>
              <w:rPr>
                <w:rStyle w:val="11"/>
                <w:rFonts w:hint="eastAsia"/>
              </w:rPr>
              <w:t xml:space="preserve">中毒症状：对眼睛有刺激性，使用时请注意防护，烯啶虫胺急性中毒常出现头痛、恶心、呕吐等症状，无其他明显全身中毒症状。 急救措施：使用中或使用后如果感觉不适，应立即停止工作，采取急救措施，并携带标签送医院就诊。 皮肤接触：脱去污染衣物，用软布去除沾染农药，立即用大量清水和肥皂冲洗。 眼睛接触：立即用流动清水冲洗不少于15分钟。 吸入：立即离开施药现场，转移到空气清新处。 误食：立即停止服用，用清水充分漱口后，立即携带本标签到医院就诊。本品尚无特效解毒剂，对症治疗。 </w:t>
            </w:r>
          </w:p>
        </w:tc>
      </w:tr>
      <w:tr w14:paraId="2E10418D">
        <w:tblPrEx>
          <w:tblCellMar>
            <w:top w:w="0" w:type="dxa"/>
            <w:left w:w="0" w:type="dxa"/>
            <w:bottom w:w="0" w:type="dxa"/>
            <w:right w:w="0" w:type="dxa"/>
          </w:tblCellMar>
        </w:tblPrEx>
        <w:trPr>
          <w:wBefore w:w="0" w:type="auto"/>
          <w:tblCellSpacing w:w="0" w:type="dxa"/>
        </w:trPr>
        <w:tc>
          <w:tcPr>
            <w:tcW w:w="0" w:type="auto"/>
            <w:noWrap w:val="0"/>
            <w:vAlign w:val="center"/>
          </w:tcPr>
          <w:p w14:paraId="1698B2D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本品应贮存在干燥、阴凉、通风、防雨处，远离火源或热源。置于儿童、无关人员及动物接触不到的地方，并加锁保存。勿与食品、饮料、种子、饲料等物品同贮同运。</w:t>
            </w:r>
          </w:p>
        </w:tc>
      </w:tr>
      <w:tr w14:paraId="36624E17">
        <w:tblPrEx>
          <w:tblCellMar>
            <w:top w:w="0" w:type="dxa"/>
            <w:left w:w="0" w:type="dxa"/>
            <w:bottom w:w="0" w:type="dxa"/>
            <w:right w:w="0" w:type="dxa"/>
          </w:tblCellMar>
        </w:tblPrEx>
        <w:trPr>
          <w:wBefore w:w="0" w:type="auto"/>
          <w:tblCellSpacing w:w="0" w:type="dxa"/>
        </w:trPr>
        <w:tc>
          <w:tcPr>
            <w:tcW w:w="0" w:type="auto"/>
            <w:noWrap w:val="0"/>
            <w:vAlign w:val="center"/>
          </w:tcPr>
          <w:p w14:paraId="725FE9AB">
            <w:r>
              <w:rPr>
                <w:rStyle w:val="10"/>
                <w:rFonts w:hint="eastAsia"/>
              </w:rPr>
              <w:t>质量保证期：</w:t>
            </w:r>
            <w:r>
              <w:rPr>
                <w:rStyle w:val="11"/>
                <w:rFonts w:hint="eastAsia"/>
              </w:rPr>
              <w:t>2年</w:t>
            </w:r>
          </w:p>
        </w:tc>
      </w:tr>
      <w:tr w14:paraId="2E112142">
        <w:tblPrEx>
          <w:tblCellMar>
            <w:top w:w="0" w:type="dxa"/>
            <w:left w:w="0" w:type="dxa"/>
            <w:bottom w:w="0" w:type="dxa"/>
            <w:right w:w="0" w:type="dxa"/>
          </w:tblCellMar>
        </w:tblPrEx>
        <w:trPr>
          <w:wBefore w:w="0" w:type="auto"/>
          <w:tblCellSpacing w:w="0" w:type="dxa"/>
        </w:trPr>
        <w:tc>
          <w:tcPr>
            <w:tcW w:w="0" w:type="auto"/>
            <w:noWrap w:val="0"/>
            <w:vAlign w:val="center"/>
          </w:tcPr>
          <w:p w14:paraId="73F4577E">
            <w:r>
              <w:rPr>
                <w:rStyle w:val="10"/>
                <w:rFonts w:hint="eastAsia"/>
              </w:rPr>
              <w:t>备注：</w:t>
            </w:r>
          </w:p>
        </w:tc>
      </w:tr>
    </w:tbl>
    <w:p w14:paraId="43B7ECD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5127A7">
        <w:tblPrEx>
          <w:tblCellMar>
            <w:top w:w="0" w:type="dxa"/>
            <w:left w:w="0" w:type="dxa"/>
            <w:bottom w:w="0" w:type="dxa"/>
            <w:right w:w="0" w:type="dxa"/>
          </w:tblCellMar>
        </w:tblPrEx>
        <w:trPr>
          <w:wBefore w:w="0" w:type="auto"/>
          <w:tblCellSpacing w:w="0" w:type="dxa"/>
        </w:trPr>
        <w:tc>
          <w:tcPr>
            <w:tcW w:w="0" w:type="auto"/>
            <w:noWrap w:val="0"/>
            <w:vAlign w:val="center"/>
          </w:tcPr>
          <w:p w14:paraId="62EA05E3">
            <w:r>
              <w:rPr>
                <w:rStyle w:val="10"/>
                <w:rFonts w:hint="eastAsia"/>
              </w:rPr>
              <w:t>登记证号：</w:t>
            </w:r>
            <w:r>
              <w:rPr>
                <w:rFonts w:hint="eastAsia"/>
              </w:rPr>
              <w:t>PD20212642</w:t>
            </w:r>
          </w:p>
        </w:tc>
      </w:tr>
      <w:tr w14:paraId="16262A72">
        <w:tblPrEx>
          <w:tblCellMar>
            <w:top w:w="0" w:type="dxa"/>
            <w:left w:w="0" w:type="dxa"/>
            <w:bottom w:w="0" w:type="dxa"/>
            <w:right w:w="0" w:type="dxa"/>
          </w:tblCellMar>
        </w:tblPrEx>
        <w:trPr>
          <w:wBefore w:w="0" w:type="auto"/>
          <w:tblCellSpacing w:w="0" w:type="dxa"/>
        </w:trPr>
        <w:tc>
          <w:tcPr>
            <w:tcW w:w="0" w:type="auto"/>
            <w:noWrap w:val="0"/>
            <w:vAlign w:val="center"/>
          </w:tcPr>
          <w:p w14:paraId="46B2CFF5">
            <w:r>
              <w:rPr>
                <w:rStyle w:val="10"/>
                <w:rFonts w:hint="eastAsia"/>
              </w:rPr>
              <w:t>登记证持有人：</w:t>
            </w:r>
            <w:r>
              <w:rPr>
                <w:rFonts w:hint="eastAsia"/>
              </w:rPr>
              <w:t>蚌埠圣丹生物化工有限公司</w:t>
            </w:r>
          </w:p>
        </w:tc>
      </w:tr>
      <w:tr w14:paraId="3828D610">
        <w:tblPrEx>
          <w:tblCellMar>
            <w:top w:w="0" w:type="dxa"/>
            <w:left w:w="0" w:type="dxa"/>
            <w:bottom w:w="0" w:type="dxa"/>
            <w:right w:w="0" w:type="dxa"/>
          </w:tblCellMar>
        </w:tblPrEx>
        <w:trPr>
          <w:wBefore w:w="0" w:type="auto"/>
          <w:tblCellSpacing w:w="0" w:type="dxa"/>
        </w:trPr>
        <w:tc>
          <w:tcPr>
            <w:tcW w:w="0" w:type="auto"/>
            <w:noWrap w:val="0"/>
            <w:vAlign w:val="center"/>
          </w:tcPr>
          <w:p w14:paraId="3D3267AA">
            <w:r>
              <w:rPr>
                <w:rStyle w:val="10"/>
                <w:rFonts w:hint="eastAsia"/>
              </w:rPr>
              <w:t>农药名称：</w:t>
            </w:r>
            <w:r>
              <w:rPr>
                <w:rFonts w:hint="eastAsia"/>
              </w:rPr>
              <w:t>二磺·氟唑·唑啉草酯</w:t>
            </w:r>
          </w:p>
        </w:tc>
      </w:tr>
      <w:tr w14:paraId="315FEBD1">
        <w:tblPrEx>
          <w:tblCellMar>
            <w:top w:w="0" w:type="dxa"/>
            <w:left w:w="0" w:type="dxa"/>
            <w:bottom w:w="0" w:type="dxa"/>
            <w:right w:w="0" w:type="dxa"/>
          </w:tblCellMar>
        </w:tblPrEx>
        <w:trPr>
          <w:wBefore w:w="0" w:type="auto"/>
          <w:tblCellSpacing w:w="0" w:type="dxa"/>
        </w:trPr>
        <w:tc>
          <w:tcPr>
            <w:tcW w:w="0" w:type="auto"/>
            <w:noWrap w:val="0"/>
            <w:vAlign w:val="center"/>
          </w:tcPr>
          <w:p w14:paraId="149667B2">
            <w:r>
              <w:rPr>
                <w:rStyle w:val="10"/>
                <w:rFonts w:hint="eastAsia"/>
              </w:rPr>
              <w:t>剂型：</w:t>
            </w:r>
            <w:r>
              <w:rPr>
                <w:rFonts w:hint="eastAsia"/>
              </w:rPr>
              <w:t>可分散油悬浮剂</w:t>
            </w:r>
          </w:p>
        </w:tc>
      </w:tr>
      <w:tr w14:paraId="1AD379A9">
        <w:tblPrEx>
          <w:tblCellMar>
            <w:top w:w="0" w:type="dxa"/>
            <w:left w:w="0" w:type="dxa"/>
            <w:bottom w:w="0" w:type="dxa"/>
            <w:right w:w="0" w:type="dxa"/>
          </w:tblCellMar>
        </w:tblPrEx>
        <w:trPr>
          <w:wBefore w:w="0" w:type="auto"/>
          <w:tblCellSpacing w:w="0" w:type="dxa"/>
        </w:trPr>
        <w:tc>
          <w:tcPr>
            <w:tcW w:w="0" w:type="auto"/>
            <w:noWrap w:val="0"/>
            <w:vAlign w:val="center"/>
          </w:tcPr>
          <w:p w14:paraId="00F2B75D">
            <w:r>
              <w:rPr>
                <w:rStyle w:val="10"/>
                <w:rFonts w:hint="eastAsia"/>
              </w:rPr>
              <w:t>毒性及其标识：</w:t>
            </w:r>
            <w:r>
              <w:rPr>
                <w:rFonts w:hint="eastAsia"/>
              </w:rPr>
              <w:t xml:space="preserve"> </w:t>
            </w:r>
            <w:r>
              <w:rPr>
                <w:lang/>
              </w:rPr>
              <w:drawing>
                <wp:inline distT="0" distB="0" distL="114300" distR="114300">
                  <wp:extent cx="476250" cy="323850"/>
                  <wp:effectExtent l="0" t="0" r="0" b="0"/>
                  <wp:docPr id="385" name="图片 3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37CEA4">
        <w:tblPrEx>
          <w:tblCellMar>
            <w:top w:w="0" w:type="dxa"/>
            <w:left w:w="0" w:type="dxa"/>
            <w:bottom w:w="0" w:type="dxa"/>
            <w:right w:w="0" w:type="dxa"/>
          </w:tblCellMar>
        </w:tblPrEx>
        <w:trPr>
          <w:wBefore w:w="0" w:type="auto"/>
          <w:tblCellSpacing w:w="0" w:type="dxa"/>
        </w:trPr>
        <w:tc>
          <w:tcPr>
            <w:tcW w:w="0" w:type="auto"/>
            <w:noWrap w:val="0"/>
            <w:vAlign w:val="center"/>
          </w:tcPr>
          <w:p w14:paraId="7497BBB2">
            <w:r>
              <w:rPr>
                <w:rStyle w:val="10"/>
                <w:rFonts w:hint="eastAsia"/>
              </w:rPr>
              <w:t>总有效成分含量：</w:t>
            </w:r>
            <w:r>
              <w:rPr>
                <w:rFonts w:hint="eastAsia"/>
              </w:rPr>
              <w:t>10%</w:t>
            </w:r>
          </w:p>
        </w:tc>
      </w:tr>
      <w:tr w14:paraId="5E791391">
        <w:tblPrEx>
          <w:tblCellMar>
            <w:top w:w="0" w:type="dxa"/>
            <w:left w:w="0" w:type="dxa"/>
            <w:bottom w:w="0" w:type="dxa"/>
            <w:right w:w="0" w:type="dxa"/>
          </w:tblCellMar>
        </w:tblPrEx>
        <w:trPr>
          <w:wBefore w:w="0" w:type="auto"/>
          <w:tblCellSpacing w:w="0" w:type="dxa"/>
        </w:trPr>
        <w:tc>
          <w:tcPr>
            <w:tcW w:w="0" w:type="auto"/>
            <w:noWrap w:val="0"/>
            <w:vAlign w:val="center"/>
          </w:tcPr>
          <w:p w14:paraId="021CF447">
            <w:r>
              <w:rPr>
                <w:rFonts w:hint="eastAsia"/>
              </w:rPr>
              <w:t xml:space="preserve">有效成分及其含量： </w:t>
            </w:r>
          </w:p>
          <w:p w14:paraId="45A17485">
            <w:r>
              <w:rPr>
                <w:rFonts w:hint="eastAsia"/>
              </w:rPr>
              <w:t xml:space="preserve">    甲基二磺隆1%    氟唑磺隆3%    唑啉草酯6%    </w:t>
            </w:r>
          </w:p>
        </w:tc>
      </w:tr>
      <w:tr w14:paraId="2329B99F">
        <w:tblPrEx>
          <w:tblCellMar>
            <w:top w:w="0" w:type="dxa"/>
            <w:left w:w="0" w:type="dxa"/>
            <w:bottom w:w="0" w:type="dxa"/>
            <w:right w:w="0" w:type="dxa"/>
          </w:tblCellMar>
        </w:tblPrEx>
        <w:trPr>
          <w:wBefore w:w="0" w:type="auto"/>
          <w:tblCellSpacing w:w="0" w:type="dxa"/>
        </w:trPr>
        <w:tc>
          <w:tcPr>
            <w:tcW w:w="0" w:type="auto"/>
            <w:noWrap w:val="0"/>
            <w:vAlign w:val="center"/>
          </w:tcPr>
          <w:p w14:paraId="33D463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6226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7594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2CCE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F4C8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0DBCA5">
                  <w:r>
                    <w:rPr>
                      <w:rStyle w:val="11"/>
                      <w:rFonts w:hint="eastAsia"/>
                    </w:rPr>
                    <w:t>施用方式</w:t>
                  </w:r>
                </w:p>
              </w:tc>
            </w:tr>
            <w:tr w14:paraId="39148E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5E2C10">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E76BF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C45EA9">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F54071">
                  <w:r>
                    <w:rPr>
                      <w:rStyle w:val="11"/>
                      <w:rFonts w:hint="eastAsia"/>
                    </w:rPr>
                    <w:t>茎叶喷雾</w:t>
                  </w:r>
                </w:p>
              </w:tc>
            </w:tr>
          </w:tbl>
          <w:p w14:paraId="7A5DEE8F">
            <w:pPr>
              <w:rPr>
                <w:rFonts w:ascii="Times New Roman" w:hAnsi="Times New Roman" w:cs="Times New Roman"/>
                <w:sz w:val="20"/>
                <w:szCs w:val="20"/>
              </w:rPr>
            </w:pPr>
          </w:p>
        </w:tc>
      </w:tr>
      <w:tr w14:paraId="5EEA12EB">
        <w:tblPrEx>
          <w:tblCellMar>
            <w:top w:w="0" w:type="dxa"/>
            <w:left w:w="0" w:type="dxa"/>
            <w:bottom w:w="0" w:type="dxa"/>
            <w:right w:w="0" w:type="dxa"/>
          </w:tblCellMar>
        </w:tblPrEx>
        <w:trPr>
          <w:wBefore w:w="0" w:type="auto"/>
          <w:tblCellSpacing w:w="0" w:type="dxa"/>
        </w:trPr>
        <w:tc>
          <w:tcPr>
            <w:tcW w:w="0" w:type="auto"/>
            <w:noWrap w:val="0"/>
            <w:vAlign w:val="center"/>
          </w:tcPr>
          <w:p w14:paraId="4D82ED08">
            <w:r>
              <w:rPr>
                <w:rStyle w:val="10"/>
                <w:rFonts w:hint="eastAsia"/>
              </w:rPr>
              <w:t>使用技术要求:</w:t>
            </w:r>
            <w:r>
              <w:rPr>
                <w:rFonts w:hint="eastAsia"/>
              </w:rPr>
              <w:br w:type="textWrapping"/>
            </w:r>
            <w:r>
              <w:rPr>
                <w:rStyle w:val="11"/>
                <w:rFonts w:hint="eastAsia"/>
              </w:rPr>
              <w:t>1. 于冬小麦3叶期后至拔节前，田间一年生杂草2-5叶期，茎叶喷雾施药。2. 本品每季最多使用1次。 3. 大风天或预计1小时内降雨，请勿施药。</w:t>
            </w:r>
          </w:p>
        </w:tc>
      </w:tr>
      <w:tr w14:paraId="6FD525AA">
        <w:tblPrEx>
          <w:tblCellMar>
            <w:top w:w="0" w:type="dxa"/>
            <w:left w:w="0" w:type="dxa"/>
            <w:bottom w:w="0" w:type="dxa"/>
            <w:right w:w="0" w:type="dxa"/>
          </w:tblCellMar>
        </w:tblPrEx>
        <w:trPr>
          <w:wBefore w:w="0" w:type="auto"/>
          <w:tblCellSpacing w:w="0" w:type="dxa"/>
        </w:trPr>
        <w:tc>
          <w:tcPr>
            <w:tcW w:w="0" w:type="auto"/>
            <w:noWrap w:val="0"/>
            <w:vAlign w:val="center"/>
          </w:tcPr>
          <w:p w14:paraId="1D9D8E8F">
            <w:r>
              <w:rPr>
                <w:rStyle w:val="10"/>
                <w:rFonts w:hint="eastAsia"/>
              </w:rPr>
              <w:t>产品性能:</w:t>
            </w:r>
            <w:r>
              <w:rPr>
                <w:rFonts w:hint="eastAsia"/>
              </w:rPr>
              <w:br w:type="textWrapping"/>
            </w:r>
            <w:r>
              <w:rPr>
                <w:rStyle w:val="11"/>
                <w:rFonts w:hint="eastAsia"/>
              </w:rPr>
              <w:t>本品是三元复配的除草剂，氟唑磺隆和甲基二磺隆是磺酰脲类内吸型小麦田除草剂，氟唑磺隆其有效成分可被杂草的根和茎叶吸收，通过抑制杂草体内乙酰乳酸合成酶的活性，破坏杂草正常代谢而发挥除草活性。对看麦娘和棒头草活性高。甲基二磺隆对看麦娘、棒头草、荠菜和繁缕均有较高活性。唑啉草酯属新苯基吡唑啉类除草剂，作用机理为乙酰辅酶A羧化酶（ACC）抑制剂。造成脂肪酸合成受阻，使细胞生长分裂停止细胞膜含脂结构被破坏，导致杂草死亡。三者混用能够有效防除冬小麦一年生杂草。</w:t>
            </w:r>
          </w:p>
        </w:tc>
      </w:tr>
      <w:tr w14:paraId="306FDC4A">
        <w:tblPrEx>
          <w:tblCellMar>
            <w:top w:w="0" w:type="dxa"/>
            <w:left w:w="0" w:type="dxa"/>
            <w:bottom w:w="0" w:type="dxa"/>
            <w:right w:w="0" w:type="dxa"/>
          </w:tblCellMar>
        </w:tblPrEx>
        <w:trPr>
          <w:wBefore w:w="0" w:type="auto"/>
          <w:tblCellSpacing w:w="0" w:type="dxa"/>
        </w:trPr>
        <w:tc>
          <w:tcPr>
            <w:tcW w:w="0" w:type="auto"/>
            <w:noWrap w:val="0"/>
            <w:vAlign w:val="center"/>
          </w:tcPr>
          <w:p w14:paraId="4E7A5692">
            <w:r>
              <w:rPr>
                <w:rStyle w:val="10"/>
                <w:rFonts w:hint="eastAsia"/>
              </w:rPr>
              <w:t>注意事项：</w:t>
            </w:r>
            <w:r>
              <w:rPr>
                <w:rFonts w:hint="eastAsia"/>
              </w:rPr>
              <w:br w:type="textWrapping"/>
            </w:r>
            <w:r>
              <w:rPr>
                <w:rStyle w:val="11"/>
                <w:rFonts w:hint="eastAsia"/>
              </w:rPr>
              <w:t>1.本品对眼睛有刺激性，使用时要注意避免与眼睛接触，穿戴长衣、长裤、帽子、口罩、手套等防护措施，避免吸入药液；施药期间不可吃东西、饮水等。施药后应及时洗手、洗脸等。2. 清洗施药器具的废水不能排入河流、池塘等水源。废弃物、用过的容器应妥善处理，不可做他用，也不可随意丢弃。3. 远离水产养殖区、河塘等水域施药，禁止在河塘等水体清洗施药器械。4. 施药后的田水不得直接排入水体。5. 孕妇及哺乳期妇女应避免接触本品。6. 避免与氧化剂接触。</w:t>
            </w:r>
          </w:p>
        </w:tc>
      </w:tr>
      <w:tr w14:paraId="1ED9EAE8">
        <w:tblPrEx>
          <w:tblCellMar>
            <w:top w:w="0" w:type="dxa"/>
            <w:left w:w="0" w:type="dxa"/>
            <w:bottom w:w="0" w:type="dxa"/>
            <w:right w:w="0" w:type="dxa"/>
          </w:tblCellMar>
        </w:tblPrEx>
        <w:trPr>
          <w:wBefore w:w="0" w:type="auto"/>
          <w:tblCellSpacing w:w="0" w:type="dxa"/>
        </w:trPr>
        <w:tc>
          <w:tcPr>
            <w:tcW w:w="0" w:type="auto"/>
            <w:noWrap w:val="0"/>
            <w:vAlign w:val="center"/>
          </w:tcPr>
          <w:p w14:paraId="51E8F38C">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w:t>
            </w:r>
          </w:p>
        </w:tc>
      </w:tr>
      <w:tr w14:paraId="4DE93029">
        <w:tblPrEx>
          <w:tblCellMar>
            <w:top w:w="0" w:type="dxa"/>
            <w:left w:w="0" w:type="dxa"/>
            <w:bottom w:w="0" w:type="dxa"/>
            <w:right w:w="0" w:type="dxa"/>
          </w:tblCellMar>
        </w:tblPrEx>
        <w:trPr>
          <w:wBefore w:w="0" w:type="auto"/>
          <w:tblCellSpacing w:w="0" w:type="dxa"/>
        </w:trPr>
        <w:tc>
          <w:tcPr>
            <w:tcW w:w="0" w:type="auto"/>
            <w:noWrap w:val="0"/>
            <w:vAlign w:val="center"/>
          </w:tcPr>
          <w:p w14:paraId="6D47CC5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0C229BCE">
        <w:tblPrEx>
          <w:tblCellMar>
            <w:top w:w="0" w:type="dxa"/>
            <w:left w:w="0" w:type="dxa"/>
            <w:bottom w:w="0" w:type="dxa"/>
            <w:right w:w="0" w:type="dxa"/>
          </w:tblCellMar>
        </w:tblPrEx>
        <w:trPr>
          <w:wBefore w:w="0" w:type="auto"/>
          <w:tblCellSpacing w:w="0" w:type="dxa"/>
        </w:trPr>
        <w:tc>
          <w:tcPr>
            <w:tcW w:w="0" w:type="auto"/>
            <w:noWrap w:val="0"/>
            <w:vAlign w:val="center"/>
          </w:tcPr>
          <w:p w14:paraId="4182D01A">
            <w:r>
              <w:rPr>
                <w:rStyle w:val="10"/>
                <w:rFonts w:hint="eastAsia"/>
              </w:rPr>
              <w:t>质量保证期：</w:t>
            </w:r>
            <w:r>
              <w:rPr>
                <w:rStyle w:val="11"/>
                <w:rFonts w:hint="eastAsia"/>
              </w:rPr>
              <w:t>2年</w:t>
            </w:r>
          </w:p>
        </w:tc>
      </w:tr>
      <w:tr w14:paraId="404E648F">
        <w:tblPrEx>
          <w:tblCellMar>
            <w:top w:w="0" w:type="dxa"/>
            <w:left w:w="0" w:type="dxa"/>
            <w:bottom w:w="0" w:type="dxa"/>
            <w:right w:w="0" w:type="dxa"/>
          </w:tblCellMar>
        </w:tblPrEx>
        <w:trPr>
          <w:wBefore w:w="0" w:type="auto"/>
          <w:tblCellSpacing w:w="0" w:type="dxa"/>
        </w:trPr>
        <w:tc>
          <w:tcPr>
            <w:tcW w:w="0" w:type="auto"/>
            <w:noWrap w:val="0"/>
            <w:vAlign w:val="center"/>
          </w:tcPr>
          <w:p w14:paraId="60C424BB">
            <w:r>
              <w:rPr>
                <w:rStyle w:val="10"/>
                <w:rFonts w:hint="eastAsia"/>
              </w:rPr>
              <w:t>备注：</w:t>
            </w:r>
          </w:p>
        </w:tc>
      </w:tr>
    </w:tbl>
    <w:p w14:paraId="05D15BC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9B6F51">
        <w:tblPrEx>
          <w:tblCellMar>
            <w:top w:w="0" w:type="dxa"/>
            <w:left w:w="0" w:type="dxa"/>
            <w:bottom w:w="0" w:type="dxa"/>
            <w:right w:w="0" w:type="dxa"/>
          </w:tblCellMar>
        </w:tblPrEx>
        <w:trPr>
          <w:wBefore w:w="0" w:type="auto"/>
          <w:tblCellSpacing w:w="0" w:type="dxa"/>
        </w:trPr>
        <w:tc>
          <w:tcPr>
            <w:tcW w:w="0" w:type="auto"/>
            <w:noWrap w:val="0"/>
            <w:vAlign w:val="center"/>
          </w:tcPr>
          <w:p w14:paraId="1525CF5C">
            <w:r>
              <w:rPr>
                <w:rStyle w:val="10"/>
                <w:rFonts w:hint="eastAsia"/>
              </w:rPr>
              <w:t>登记证号：</w:t>
            </w:r>
            <w:r>
              <w:rPr>
                <w:rFonts w:hint="eastAsia"/>
              </w:rPr>
              <w:t>PD20212672</w:t>
            </w:r>
          </w:p>
        </w:tc>
      </w:tr>
      <w:tr w14:paraId="64FD3AD5">
        <w:tblPrEx>
          <w:tblCellMar>
            <w:top w:w="0" w:type="dxa"/>
            <w:left w:w="0" w:type="dxa"/>
            <w:bottom w:w="0" w:type="dxa"/>
            <w:right w:w="0" w:type="dxa"/>
          </w:tblCellMar>
        </w:tblPrEx>
        <w:trPr>
          <w:wBefore w:w="0" w:type="auto"/>
          <w:tblCellSpacing w:w="0" w:type="dxa"/>
        </w:trPr>
        <w:tc>
          <w:tcPr>
            <w:tcW w:w="0" w:type="auto"/>
            <w:noWrap w:val="0"/>
            <w:vAlign w:val="center"/>
          </w:tcPr>
          <w:p w14:paraId="7C7A751B">
            <w:r>
              <w:rPr>
                <w:rStyle w:val="10"/>
                <w:rFonts w:hint="eastAsia"/>
              </w:rPr>
              <w:t>登记证持有人：</w:t>
            </w:r>
            <w:r>
              <w:rPr>
                <w:rFonts w:hint="eastAsia"/>
              </w:rPr>
              <w:t>安徽华微农化股份有限公司</w:t>
            </w:r>
          </w:p>
        </w:tc>
      </w:tr>
      <w:tr w14:paraId="2CEB31CB">
        <w:tblPrEx>
          <w:tblCellMar>
            <w:top w:w="0" w:type="dxa"/>
            <w:left w:w="0" w:type="dxa"/>
            <w:bottom w:w="0" w:type="dxa"/>
            <w:right w:w="0" w:type="dxa"/>
          </w:tblCellMar>
        </w:tblPrEx>
        <w:trPr>
          <w:wBefore w:w="0" w:type="auto"/>
          <w:tblCellSpacing w:w="0" w:type="dxa"/>
        </w:trPr>
        <w:tc>
          <w:tcPr>
            <w:tcW w:w="0" w:type="auto"/>
            <w:noWrap w:val="0"/>
            <w:vAlign w:val="center"/>
          </w:tcPr>
          <w:p w14:paraId="6FC9164B">
            <w:r>
              <w:rPr>
                <w:rStyle w:val="10"/>
                <w:rFonts w:hint="eastAsia"/>
              </w:rPr>
              <w:t>农药名称：</w:t>
            </w:r>
            <w:r>
              <w:rPr>
                <w:rFonts w:hint="eastAsia"/>
              </w:rPr>
              <w:t>唑醚·喹啉铜</w:t>
            </w:r>
          </w:p>
        </w:tc>
      </w:tr>
      <w:tr w14:paraId="2592F4FD">
        <w:tblPrEx>
          <w:tblCellMar>
            <w:top w:w="0" w:type="dxa"/>
            <w:left w:w="0" w:type="dxa"/>
            <w:bottom w:w="0" w:type="dxa"/>
            <w:right w:w="0" w:type="dxa"/>
          </w:tblCellMar>
        </w:tblPrEx>
        <w:trPr>
          <w:wBefore w:w="0" w:type="auto"/>
          <w:tblCellSpacing w:w="0" w:type="dxa"/>
        </w:trPr>
        <w:tc>
          <w:tcPr>
            <w:tcW w:w="0" w:type="auto"/>
            <w:noWrap w:val="0"/>
            <w:vAlign w:val="center"/>
          </w:tcPr>
          <w:p w14:paraId="346E6632">
            <w:r>
              <w:rPr>
                <w:rStyle w:val="10"/>
                <w:rFonts w:hint="eastAsia"/>
              </w:rPr>
              <w:t>剂型：</w:t>
            </w:r>
            <w:r>
              <w:rPr>
                <w:rFonts w:hint="eastAsia"/>
              </w:rPr>
              <w:t>水分散粒剂</w:t>
            </w:r>
          </w:p>
        </w:tc>
      </w:tr>
      <w:tr w14:paraId="53C0BC56">
        <w:tblPrEx>
          <w:tblCellMar>
            <w:top w:w="0" w:type="dxa"/>
            <w:left w:w="0" w:type="dxa"/>
            <w:bottom w:w="0" w:type="dxa"/>
            <w:right w:w="0" w:type="dxa"/>
          </w:tblCellMar>
        </w:tblPrEx>
        <w:trPr>
          <w:wBefore w:w="0" w:type="auto"/>
          <w:tblCellSpacing w:w="0" w:type="dxa"/>
        </w:trPr>
        <w:tc>
          <w:tcPr>
            <w:tcW w:w="0" w:type="auto"/>
            <w:noWrap w:val="0"/>
            <w:vAlign w:val="center"/>
          </w:tcPr>
          <w:p w14:paraId="62C71BF9">
            <w:r>
              <w:rPr>
                <w:rStyle w:val="10"/>
                <w:rFonts w:hint="eastAsia"/>
              </w:rPr>
              <w:t>毒性及其标识：</w:t>
            </w:r>
            <w:r>
              <w:rPr>
                <w:rFonts w:hint="eastAsia"/>
              </w:rPr>
              <w:t xml:space="preserve"> </w:t>
            </w:r>
            <w:r>
              <w:rPr>
                <w:lang/>
              </w:rPr>
              <w:drawing>
                <wp:inline distT="0" distB="0" distL="114300" distR="114300">
                  <wp:extent cx="476250" cy="323850"/>
                  <wp:effectExtent l="0" t="0" r="0" b="0"/>
                  <wp:docPr id="386" name="图片 3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F22263">
        <w:tblPrEx>
          <w:tblCellMar>
            <w:top w:w="0" w:type="dxa"/>
            <w:left w:w="0" w:type="dxa"/>
            <w:bottom w:w="0" w:type="dxa"/>
            <w:right w:w="0" w:type="dxa"/>
          </w:tblCellMar>
        </w:tblPrEx>
        <w:trPr>
          <w:wBefore w:w="0" w:type="auto"/>
          <w:tblCellSpacing w:w="0" w:type="dxa"/>
        </w:trPr>
        <w:tc>
          <w:tcPr>
            <w:tcW w:w="0" w:type="auto"/>
            <w:noWrap w:val="0"/>
            <w:vAlign w:val="center"/>
          </w:tcPr>
          <w:p w14:paraId="56EF7EFF">
            <w:r>
              <w:rPr>
                <w:rStyle w:val="10"/>
                <w:rFonts w:hint="eastAsia"/>
              </w:rPr>
              <w:t>总有效成分含量：</w:t>
            </w:r>
            <w:r>
              <w:rPr>
                <w:rFonts w:hint="eastAsia"/>
              </w:rPr>
              <w:t>50%</w:t>
            </w:r>
          </w:p>
        </w:tc>
      </w:tr>
      <w:tr w14:paraId="56AF49E8">
        <w:tblPrEx>
          <w:tblCellMar>
            <w:top w:w="0" w:type="dxa"/>
            <w:left w:w="0" w:type="dxa"/>
            <w:bottom w:w="0" w:type="dxa"/>
            <w:right w:w="0" w:type="dxa"/>
          </w:tblCellMar>
        </w:tblPrEx>
        <w:trPr>
          <w:wBefore w:w="0" w:type="auto"/>
          <w:tblCellSpacing w:w="0" w:type="dxa"/>
        </w:trPr>
        <w:tc>
          <w:tcPr>
            <w:tcW w:w="0" w:type="auto"/>
            <w:noWrap w:val="0"/>
            <w:vAlign w:val="center"/>
          </w:tcPr>
          <w:p w14:paraId="7E7A6279">
            <w:r>
              <w:rPr>
                <w:rFonts w:hint="eastAsia"/>
              </w:rPr>
              <w:t xml:space="preserve">有效成分及其含量： </w:t>
            </w:r>
          </w:p>
          <w:p w14:paraId="4459AFE4">
            <w:r>
              <w:rPr>
                <w:rFonts w:hint="eastAsia"/>
              </w:rPr>
              <w:t xml:space="preserve">    吡唑醚菌酯20%    喹啉铜30%    </w:t>
            </w:r>
          </w:p>
        </w:tc>
      </w:tr>
      <w:tr w14:paraId="61712796">
        <w:tblPrEx>
          <w:tblCellMar>
            <w:top w:w="0" w:type="dxa"/>
            <w:left w:w="0" w:type="dxa"/>
            <w:bottom w:w="0" w:type="dxa"/>
            <w:right w:w="0" w:type="dxa"/>
          </w:tblCellMar>
        </w:tblPrEx>
        <w:trPr>
          <w:wBefore w:w="0" w:type="auto"/>
          <w:tblCellSpacing w:w="0" w:type="dxa"/>
        </w:trPr>
        <w:tc>
          <w:tcPr>
            <w:tcW w:w="0" w:type="auto"/>
            <w:noWrap w:val="0"/>
            <w:vAlign w:val="center"/>
          </w:tcPr>
          <w:p w14:paraId="509F39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32EA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150B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B7DC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36F52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C664A1">
                  <w:r>
                    <w:rPr>
                      <w:rStyle w:val="11"/>
                      <w:rFonts w:hint="eastAsia"/>
                    </w:rPr>
                    <w:t>施用方式</w:t>
                  </w:r>
                </w:p>
              </w:tc>
            </w:tr>
            <w:tr w14:paraId="71294F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4873DD">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604D03">
                  <w:r>
                    <w:rPr>
                      <w:rStyle w:val="11"/>
                      <w:rFonts w:hint="eastAsia"/>
                    </w:rPr>
                    <w:t>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7FFE5C">
                  <w:r>
                    <w:rPr>
                      <w:rStyle w:val="11"/>
                      <w:rFonts w:hint="eastAsia"/>
                    </w:rPr>
                    <w:t>18-24克/亩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B29150">
                  <w:r>
                    <w:rPr>
                      <w:rStyle w:val="11"/>
                      <w:rFonts w:hint="eastAsia"/>
                    </w:rPr>
                    <w:t>喷雾</w:t>
                  </w:r>
                </w:p>
              </w:tc>
            </w:tr>
          </w:tbl>
          <w:p w14:paraId="7628E118">
            <w:pPr>
              <w:rPr>
                <w:rFonts w:ascii="Times New Roman" w:hAnsi="Times New Roman" w:cs="Times New Roman"/>
                <w:sz w:val="20"/>
                <w:szCs w:val="20"/>
              </w:rPr>
            </w:pPr>
          </w:p>
        </w:tc>
      </w:tr>
      <w:tr w14:paraId="378F037C">
        <w:tblPrEx>
          <w:tblCellMar>
            <w:top w:w="0" w:type="dxa"/>
            <w:left w:w="0" w:type="dxa"/>
            <w:bottom w:w="0" w:type="dxa"/>
            <w:right w:w="0" w:type="dxa"/>
          </w:tblCellMar>
        </w:tblPrEx>
        <w:trPr>
          <w:wBefore w:w="0" w:type="auto"/>
          <w:tblCellSpacing w:w="0" w:type="dxa"/>
        </w:trPr>
        <w:tc>
          <w:tcPr>
            <w:tcW w:w="0" w:type="auto"/>
            <w:noWrap w:val="0"/>
            <w:vAlign w:val="center"/>
          </w:tcPr>
          <w:p w14:paraId="7CA711C1">
            <w:r>
              <w:rPr>
                <w:rStyle w:val="10"/>
                <w:rFonts w:hint="eastAsia"/>
              </w:rPr>
              <w:t>使用技术要求:</w:t>
            </w:r>
            <w:r>
              <w:rPr>
                <w:rFonts w:hint="eastAsia"/>
              </w:rPr>
              <w:br w:type="textWrapping"/>
            </w:r>
            <w:r>
              <w:rPr>
                <w:rStyle w:val="11"/>
                <w:rFonts w:hint="eastAsia"/>
              </w:rPr>
              <w:t>1、在辣椒疫病发病初期或发病前开始施药，每季最多使用次数为3次，每隔7-10天施药1次。2、大风天或预计药后1小时内降雨，请勿使用本品。3、本品在辣椒上使用的安全间隔期为7天，每季作物最多使用3次。</w:t>
            </w:r>
          </w:p>
        </w:tc>
      </w:tr>
      <w:tr w14:paraId="727D2A54">
        <w:tblPrEx>
          <w:tblCellMar>
            <w:top w:w="0" w:type="dxa"/>
            <w:left w:w="0" w:type="dxa"/>
            <w:bottom w:w="0" w:type="dxa"/>
            <w:right w:w="0" w:type="dxa"/>
          </w:tblCellMar>
        </w:tblPrEx>
        <w:trPr>
          <w:wBefore w:w="0" w:type="auto"/>
          <w:tblCellSpacing w:w="0" w:type="dxa"/>
        </w:trPr>
        <w:tc>
          <w:tcPr>
            <w:tcW w:w="0" w:type="auto"/>
            <w:noWrap w:val="0"/>
            <w:vAlign w:val="center"/>
          </w:tcPr>
          <w:p w14:paraId="02D1FA02">
            <w:r>
              <w:rPr>
                <w:rStyle w:val="10"/>
                <w:rFonts w:hint="eastAsia"/>
              </w:rPr>
              <w:t>产品性能:</w:t>
            </w:r>
            <w:r>
              <w:rPr>
                <w:rFonts w:hint="eastAsia"/>
              </w:rPr>
              <w:br w:type="textWrapping"/>
            </w:r>
            <w:r>
              <w:rPr>
                <w:rStyle w:val="11"/>
                <w:rFonts w:hint="eastAsia"/>
              </w:rPr>
              <w:t>本品是吡唑醚菌酯和喹啉铜的混配制剂，吡唑醚菌酯抑制孢子萌发和菌丝生长，喹啉铜形成保护膜；本品融合了两种药剂的杀菌谱，能够防治各种细菌性病害和多种真菌性病害，具有保护和治疗双重作用。</w:t>
            </w:r>
          </w:p>
        </w:tc>
      </w:tr>
      <w:tr w14:paraId="519C2FB3">
        <w:tblPrEx>
          <w:tblCellMar>
            <w:top w:w="0" w:type="dxa"/>
            <w:left w:w="0" w:type="dxa"/>
            <w:bottom w:w="0" w:type="dxa"/>
            <w:right w:w="0" w:type="dxa"/>
          </w:tblCellMar>
        </w:tblPrEx>
        <w:trPr>
          <w:wBefore w:w="0" w:type="auto"/>
          <w:tblCellSpacing w:w="0" w:type="dxa"/>
        </w:trPr>
        <w:tc>
          <w:tcPr>
            <w:tcW w:w="0" w:type="auto"/>
            <w:noWrap w:val="0"/>
            <w:vAlign w:val="center"/>
          </w:tcPr>
          <w:p w14:paraId="76F33CEF">
            <w:r>
              <w:rPr>
                <w:rStyle w:val="10"/>
                <w:rFonts w:hint="eastAsia"/>
              </w:rPr>
              <w:t>注意事项：</w:t>
            </w:r>
            <w:r>
              <w:rPr>
                <w:rFonts w:hint="eastAsia"/>
              </w:rPr>
              <w:br w:type="textWrapping"/>
            </w:r>
            <w:r>
              <w:rPr>
                <w:rStyle w:val="11"/>
                <w:rFonts w:hint="eastAsia"/>
              </w:rPr>
              <w:t>1.施用时应注意穿戴防护衣物，请勿吸烟及饮食；施用后及时清洗外露的皮肤、用过的器具和污染的衣物。2.本品对鱼类等水生生物毒性较高，远离水产养殖区、河塘等水体施药；药液及其废液不得污染各类水域、土壤等环境，禁止在河塘等水体中清洗施药器具。勿将药液或空包装弃于水中或在河塘中清洗施药器具，避免影响鱼类等水生生物和污染水源。本品蚕室及桑园附近禁用。3.孕妇和哺乳期妇女禁止接触农药。4.使用后容器应妥善处理，不可随意丢弃或作他用。</w:t>
            </w:r>
          </w:p>
        </w:tc>
      </w:tr>
      <w:tr w14:paraId="0652C209">
        <w:tblPrEx>
          <w:tblCellMar>
            <w:top w:w="0" w:type="dxa"/>
            <w:left w:w="0" w:type="dxa"/>
            <w:bottom w:w="0" w:type="dxa"/>
            <w:right w:w="0" w:type="dxa"/>
          </w:tblCellMar>
        </w:tblPrEx>
        <w:trPr>
          <w:wBefore w:w="0" w:type="auto"/>
          <w:tblCellSpacing w:w="0" w:type="dxa"/>
        </w:trPr>
        <w:tc>
          <w:tcPr>
            <w:tcW w:w="0" w:type="auto"/>
            <w:noWrap w:val="0"/>
            <w:vAlign w:val="center"/>
          </w:tcPr>
          <w:p w14:paraId="63831015">
            <w:r>
              <w:rPr>
                <w:rStyle w:val="10"/>
                <w:rFonts w:hint="eastAsia"/>
              </w:rPr>
              <w:t>中毒急救措施：</w:t>
            </w:r>
            <w:r>
              <w:rPr>
                <w:rFonts w:hint="eastAsia"/>
              </w:rPr>
              <w:br w:type="textWrapping"/>
            </w:r>
            <w:r>
              <w:rPr>
                <w:rStyle w:val="11"/>
                <w:rFonts w:hint="eastAsia"/>
              </w:rPr>
              <w:t>1.如有药液溅到皮肤或眼睛上，应立即用清水冲洗至少15分钟，若严重者请及时就医。若误服，立即携标签请医生诊治。不慎吸入，立即将吸入者转移到空气新鲜处，严重者携标签就医。2.本品无特效</w:t>
            </w:r>
          </w:p>
        </w:tc>
      </w:tr>
      <w:tr w14:paraId="1037FA16">
        <w:tblPrEx>
          <w:tblCellMar>
            <w:top w:w="0" w:type="dxa"/>
            <w:left w:w="0" w:type="dxa"/>
            <w:bottom w:w="0" w:type="dxa"/>
            <w:right w:w="0" w:type="dxa"/>
          </w:tblCellMar>
        </w:tblPrEx>
        <w:trPr>
          <w:wBefore w:w="0" w:type="auto"/>
          <w:tblCellSpacing w:w="0" w:type="dxa"/>
        </w:trPr>
        <w:tc>
          <w:tcPr>
            <w:tcW w:w="0" w:type="auto"/>
            <w:noWrap w:val="0"/>
            <w:vAlign w:val="center"/>
          </w:tcPr>
          <w:p w14:paraId="04B93C45">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本品应贮存在干燥、阴凉、通风、防雨处，远离火源或热源。置于儿童、无关人员触及不到之处，并加锁。勿与食品、饮料、粮食、饲料等其他商品同贮同运。 </w:t>
            </w:r>
          </w:p>
        </w:tc>
      </w:tr>
      <w:tr w14:paraId="7A8CAD08">
        <w:tblPrEx>
          <w:tblCellMar>
            <w:top w:w="0" w:type="dxa"/>
            <w:left w:w="0" w:type="dxa"/>
            <w:bottom w:w="0" w:type="dxa"/>
            <w:right w:w="0" w:type="dxa"/>
          </w:tblCellMar>
        </w:tblPrEx>
        <w:trPr>
          <w:wBefore w:w="0" w:type="auto"/>
          <w:tblCellSpacing w:w="0" w:type="dxa"/>
        </w:trPr>
        <w:tc>
          <w:tcPr>
            <w:tcW w:w="0" w:type="auto"/>
            <w:noWrap w:val="0"/>
            <w:vAlign w:val="center"/>
          </w:tcPr>
          <w:p w14:paraId="03E047E7">
            <w:r>
              <w:rPr>
                <w:rStyle w:val="10"/>
                <w:rFonts w:hint="eastAsia"/>
              </w:rPr>
              <w:t>质量保证期：</w:t>
            </w:r>
            <w:r>
              <w:rPr>
                <w:rStyle w:val="11"/>
                <w:rFonts w:hint="eastAsia"/>
              </w:rPr>
              <w:t>2年</w:t>
            </w:r>
          </w:p>
        </w:tc>
      </w:tr>
      <w:tr w14:paraId="0DEAA343">
        <w:tblPrEx>
          <w:tblCellMar>
            <w:top w:w="0" w:type="dxa"/>
            <w:left w:w="0" w:type="dxa"/>
            <w:bottom w:w="0" w:type="dxa"/>
            <w:right w:w="0" w:type="dxa"/>
          </w:tblCellMar>
        </w:tblPrEx>
        <w:trPr>
          <w:wBefore w:w="0" w:type="auto"/>
          <w:tblCellSpacing w:w="0" w:type="dxa"/>
        </w:trPr>
        <w:tc>
          <w:tcPr>
            <w:tcW w:w="0" w:type="auto"/>
            <w:noWrap w:val="0"/>
            <w:vAlign w:val="center"/>
          </w:tcPr>
          <w:p w14:paraId="4BB15DCC">
            <w:r>
              <w:rPr>
                <w:rStyle w:val="10"/>
                <w:rFonts w:hint="eastAsia"/>
              </w:rPr>
              <w:t>备注：</w:t>
            </w:r>
          </w:p>
        </w:tc>
      </w:tr>
    </w:tbl>
    <w:p w14:paraId="1D3E87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B57D7A">
        <w:tblPrEx>
          <w:tblCellMar>
            <w:top w:w="0" w:type="dxa"/>
            <w:left w:w="0" w:type="dxa"/>
            <w:bottom w:w="0" w:type="dxa"/>
            <w:right w:w="0" w:type="dxa"/>
          </w:tblCellMar>
        </w:tblPrEx>
        <w:trPr>
          <w:wBefore w:w="0" w:type="auto"/>
          <w:tblCellSpacing w:w="0" w:type="dxa"/>
        </w:trPr>
        <w:tc>
          <w:tcPr>
            <w:tcW w:w="0" w:type="auto"/>
            <w:noWrap w:val="0"/>
            <w:vAlign w:val="center"/>
          </w:tcPr>
          <w:p w14:paraId="190F4D48">
            <w:r>
              <w:rPr>
                <w:rStyle w:val="10"/>
                <w:rFonts w:hint="eastAsia"/>
              </w:rPr>
              <w:t>登记证号：</w:t>
            </w:r>
            <w:r>
              <w:rPr>
                <w:rFonts w:hint="eastAsia"/>
              </w:rPr>
              <w:t>PD20212450</w:t>
            </w:r>
          </w:p>
        </w:tc>
      </w:tr>
      <w:tr w14:paraId="094F0212">
        <w:tblPrEx>
          <w:tblCellMar>
            <w:top w:w="0" w:type="dxa"/>
            <w:left w:w="0" w:type="dxa"/>
            <w:bottom w:w="0" w:type="dxa"/>
            <w:right w:w="0" w:type="dxa"/>
          </w:tblCellMar>
        </w:tblPrEx>
        <w:trPr>
          <w:wBefore w:w="0" w:type="auto"/>
          <w:tblCellSpacing w:w="0" w:type="dxa"/>
        </w:trPr>
        <w:tc>
          <w:tcPr>
            <w:tcW w:w="0" w:type="auto"/>
            <w:noWrap w:val="0"/>
            <w:vAlign w:val="center"/>
          </w:tcPr>
          <w:p w14:paraId="088823F7">
            <w:r>
              <w:rPr>
                <w:rStyle w:val="10"/>
                <w:rFonts w:hint="eastAsia"/>
              </w:rPr>
              <w:t>登记证持有人：</w:t>
            </w:r>
            <w:r>
              <w:rPr>
                <w:rFonts w:hint="eastAsia"/>
              </w:rPr>
              <w:t>河北军星生物化工有限公司</w:t>
            </w:r>
          </w:p>
        </w:tc>
      </w:tr>
      <w:tr w14:paraId="03D3DC42">
        <w:tblPrEx>
          <w:tblCellMar>
            <w:top w:w="0" w:type="dxa"/>
            <w:left w:w="0" w:type="dxa"/>
            <w:bottom w:w="0" w:type="dxa"/>
            <w:right w:w="0" w:type="dxa"/>
          </w:tblCellMar>
        </w:tblPrEx>
        <w:trPr>
          <w:wBefore w:w="0" w:type="auto"/>
          <w:tblCellSpacing w:w="0" w:type="dxa"/>
        </w:trPr>
        <w:tc>
          <w:tcPr>
            <w:tcW w:w="0" w:type="auto"/>
            <w:noWrap w:val="0"/>
            <w:vAlign w:val="center"/>
          </w:tcPr>
          <w:p w14:paraId="42D72196">
            <w:r>
              <w:rPr>
                <w:rStyle w:val="10"/>
                <w:rFonts w:hint="eastAsia"/>
              </w:rPr>
              <w:t>农药名称：</w:t>
            </w:r>
            <w:r>
              <w:rPr>
                <w:rFonts w:hint="eastAsia"/>
              </w:rPr>
              <w:t>阿维·啶虫脒</w:t>
            </w:r>
          </w:p>
        </w:tc>
      </w:tr>
      <w:tr w14:paraId="6633C8EA">
        <w:tblPrEx>
          <w:tblCellMar>
            <w:top w:w="0" w:type="dxa"/>
            <w:left w:w="0" w:type="dxa"/>
            <w:bottom w:w="0" w:type="dxa"/>
            <w:right w:w="0" w:type="dxa"/>
          </w:tblCellMar>
        </w:tblPrEx>
        <w:trPr>
          <w:wBefore w:w="0" w:type="auto"/>
          <w:tblCellSpacing w:w="0" w:type="dxa"/>
        </w:trPr>
        <w:tc>
          <w:tcPr>
            <w:tcW w:w="0" w:type="auto"/>
            <w:noWrap w:val="0"/>
            <w:vAlign w:val="center"/>
          </w:tcPr>
          <w:p w14:paraId="1E234A03">
            <w:r>
              <w:rPr>
                <w:rStyle w:val="10"/>
                <w:rFonts w:hint="eastAsia"/>
              </w:rPr>
              <w:t>剂型：</w:t>
            </w:r>
            <w:r>
              <w:rPr>
                <w:rFonts w:hint="eastAsia"/>
              </w:rPr>
              <w:t>微乳剂</w:t>
            </w:r>
          </w:p>
        </w:tc>
      </w:tr>
      <w:tr w14:paraId="21F15681">
        <w:tblPrEx>
          <w:tblCellMar>
            <w:top w:w="0" w:type="dxa"/>
            <w:left w:w="0" w:type="dxa"/>
            <w:bottom w:w="0" w:type="dxa"/>
            <w:right w:w="0" w:type="dxa"/>
          </w:tblCellMar>
        </w:tblPrEx>
        <w:trPr>
          <w:wBefore w:w="0" w:type="auto"/>
          <w:tblCellSpacing w:w="0" w:type="dxa"/>
        </w:trPr>
        <w:tc>
          <w:tcPr>
            <w:tcW w:w="0" w:type="auto"/>
            <w:noWrap w:val="0"/>
            <w:vAlign w:val="center"/>
          </w:tcPr>
          <w:p w14:paraId="1696F463">
            <w:r>
              <w:rPr>
                <w:rStyle w:val="10"/>
                <w:rFonts w:hint="eastAsia"/>
              </w:rPr>
              <w:t>毒性及其标识：</w:t>
            </w:r>
            <w:r>
              <w:rPr>
                <w:rFonts w:hint="eastAsia"/>
              </w:rPr>
              <w:t xml:space="preserve"> </w:t>
            </w:r>
            <w:r>
              <w:rPr>
                <w:lang/>
              </w:rPr>
              <w:drawing>
                <wp:inline distT="0" distB="0" distL="114300" distR="114300">
                  <wp:extent cx="476250" cy="323850"/>
                  <wp:effectExtent l="0" t="0" r="0" b="0"/>
                  <wp:docPr id="387" name="图片 3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18A96C5E">
        <w:tblPrEx>
          <w:tblCellMar>
            <w:top w:w="0" w:type="dxa"/>
            <w:left w:w="0" w:type="dxa"/>
            <w:bottom w:w="0" w:type="dxa"/>
            <w:right w:w="0" w:type="dxa"/>
          </w:tblCellMar>
        </w:tblPrEx>
        <w:trPr>
          <w:wBefore w:w="0" w:type="auto"/>
          <w:tblCellSpacing w:w="0" w:type="dxa"/>
        </w:trPr>
        <w:tc>
          <w:tcPr>
            <w:tcW w:w="0" w:type="auto"/>
            <w:noWrap w:val="0"/>
            <w:vAlign w:val="center"/>
          </w:tcPr>
          <w:p w14:paraId="38B02B07">
            <w:r>
              <w:rPr>
                <w:rStyle w:val="10"/>
                <w:rFonts w:hint="eastAsia"/>
              </w:rPr>
              <w:t>总有效成分含量：</w:t>
            </w:r>
            <w:r>
              <w:rPr>
                <w:rFonts w:hint="eastAsia"/>
              </w:rPr>
              <w:t>12.5%</w:t>
            </w:r>
          </w:p>
        </w:tc>
      </w:tr>
      <w:tr w14:paraId="38180987">
        <w:tblPrEx>
          <w:tblCellMar>
            <w:top w:w="0" w:type="dxa"/>
            <w:left w:w="0" w:type="dxa"/>
            <w:bottom w:w="0" w:type="dxa"/>
            <w:right w:w="0" w:type="dxa"/>
          </w:tblCellMar>
        </w:tblPrEx>
        <w:trPr>
          <w:wBefore w:w="0" w:type="auto"/>
          <w:tblCellSpacing w:w="0" w:type="dxa"/>
        </w:trPr>
        <w:tc>
          <w:tcPr>
            <w:tcW w:w="0" w:type="auto"/>
            <w:noWrap w:val="0"/>
            <w:vAlign w:val="center"/>
          </w:tcPr>
          <w:p w14:paraId="4E8938C1">
            <w:r>
              <w:rPr>
                <w:rFonts w:hint="eastAsia"/>
              </w:rPr>
              <w:t xml:space="preserve">有效成分及其含量： </w:t>
            </w:r>
          </w:p>
          <w:p w14:paraId="6BE06000">
            <w:r>
              <w:rPr>
                <w:rFonts w:hint="eastAsia"/>
              </w:rPr>
              <w:t xml:space="preserve">    阿维菌素2.5%    啶虫脒10%    </w:t>
            </w:r>
          </w:p>
        </w:tc>
      </w:tr>
      <w:tr w14:paraId="56ECA271">
        <w:tblPrEx>
          <w:tblCellMar>
            <w:top w:w="0" w:type="dxa"/>
            <w:left w:w="0" w:type="dxa"/>
            <w:bottom w:w="0" w:type="dxa"/>
            <w:right w:w="0" w:type="dxa"/>
          </w:tblCellMar>
        </w:tblPrEx>
        <w:trPr>
          <w:wBefore w:w="0" w:type="auto"/>
          <w:tblCellSpacing w:w="0" w:type="dxa"/>
        </w:trPr>
        <w:tc>
          <w:tcPr>
            <w:tcW w:w="0" w:type="auto"/>
            <w:noWrap w:val="0"/>
            <w:vAlign w:val="center"/>
          </w:tcPr>
          <w:p w14:paraId="4DE571D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6B56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3D0B9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1E34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F6B5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3BFF0F">
                  <w:r>
                    <w:rPr>
                      <w:rStyle w:val="11"/>
                      <w:rFonts w:hint="eastAsia"/>
                    </w:rPr>
                    <w:t>施用方式</w:t>
                  </w:r>
                </w:p>
              </w:tc>
            </w:tr>
            <w:tr w14:paraId="52C095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07F251">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F36E3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537AF5">
                  <w:r>
                    <w:rPr>
                      <w:rStyle w:val="11"/>
                      <w:rFonts w:hint="eastAsia"/>
                    </w:rPr>
                    <w:t>8-12毫升/亩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E8F3CB">
                  <w:r>
                    <w:rPr>
                      <w:rStyle w:val="11"/>
                      <w:rFonts w:hint="eastAsia"/>
                    </w:rPr>
                    <w:t>喷雾</w:t>
                  </w:r>
                </w:p>
              </w:tc>
            </w:tr>
          </w:tbl>
          <w:p w14:paraId="68D7F09A">
            <w:pPr>
              <w:rPr>
                <w:rFonts w:ascii="Times New Roman" w:hAnsi="Times New Roman" w:cs="Times New Roman"/>
                <w:sz w:val="20"/>
                <w:szCs w:val="20"/>
              </w:rPr>
            </w:pPr>
          </w:p>
        </w:tc>
      </w:tr>
      <w:tr w14:paraId="0C638D2B">
        <w:tblPrEx>
          <w:tblCellMar>
            <w:top w:w="0" w:type="dxa"/>
            <w:left w:w="0" w:type="dxa"/>
            <w:bottom w:w="0" w:type="dxa"/>
            <w:right w:w="0" w:type="dxa"/>
          </w:tblCellMar>
        </w:tblPrEx>
        <w:trPr>
          <w:wBefore w:w="0" w:type="auto"/>
          <w:tblCellSpacing w:w="0" w:type="dxa"/>
        </w:trPr>
        <w:tc>
          <w:tcPr>
            <w:tcW w:w="0" w:type="auto"/>
            <w:noWrap w:val="0"/>
            <w:vAlign w:val="center"/>
          </w:tcPr>
          <w:p w14:paraId="72819EC1">
            <w:r>
              <w:rPr>
                <w:rStyle w:val="10"/>
                <w:rFonts w:hint="eastAsia"/>
              </w:rPr>
              <w:t>使用技术要求:</w:t>
            </w:r>
            <w:r>
              <w:rPr>
                <w:rFonts w:hint="eastAsia"/>
              </w:rPr>
              <w:br w:type="textWrapping"/>
            </w:r>
            <w:r>
              <w:rPr>
                <w:rStyle w:val="11"/>
                <w:rFonts w:hint="eastAsia"/>
              </w:rPr>
              <w:t>1. 棉花蚜虫发生始盛期喷雾施药1次，注意喷雾均匀周到。 2. 本品在棉花上每季最多使用1次， 安全间隔期21天。 3. 大风天或预计1小时内降雨，请勿施药。</w:t>
            </w:r>
          </w:p>
        </w:tc>
      </w:tr>
      <w:tr w14:paraId="1C46DD56">
        <w:tblPrEx>
          <w:tblCellMar>
            <w:top w:w="0" w:type="dxa"/>
            <w:left w:w="0" w:type="dxa"/>
            <w:bottom w:w="0" w:type="dxa"/>
            <w:right w:w="0" w:type="dxa"/>
          </w:tblCellMar>
        </w:tblPrEx>
        <w:trPr>
          <w:wBefore w:w="0" w:type="auto"/>
          <w:tblCellSpacing w:w="0" w:type="dxa"/>
        </w:trPr>
        <w:tc>
          <w:tcPr>
            <w:tcW w:w="0" w:type="auto"/>
            <w:noWrap w:val="0"/>
            <w:vAlign w:val="center"/>
          </w:tcPr>
          <w:p w14:paraId="5B088064">
            <w:r>
              <w:rPr>
                <w:rStyle w:val="10"/>
                <w:rFonts w:hint="eastAsia"/>
              </w:rPr>
              <w:t>产品性能:</w:t>
            </w:r>
            <w:r>
              <w:rPr>
                <w:rFonts w:hint="eastAsia"/>
              </w:rPr>
              <w:br w:type="textWrapping"/>
            </w:r>
            <w:r>
              <w:rPr>
                <w:rStyle w:val="11"/>
                <w:rFonts w:hint="eastAsia"/>
              </w:rPr>
              <w:t>本品是抗生素类和硝基亚甲苯杂环类混配而成的杀虫剂，外观为铁黄色透明液体，有刺激性气味。作用机理是作用于昆虫神经系统突触的烟碱乙酰胆碱受体，干扰昆虫神经系统的刺激传导，引起神经系统通路阻塞，造成神经递质乙酰胆碱在突出部位的积累，导致昆虫麻痹，最终死亡。本品具有触杀、胃毒作用，并有微弱的熏蒸作用，无内吸作用。但它对叶片有较强的渗透作用，可杀死表皮下的害虫，且持效期较长。对棉花蚜虫有较好的防治效果。</w:t>
            </w:r>
          </w:p>
        </w:tc>
      </w:tr>
      <w:tr w14:paraId="06CDF5E5">
        <w:tblPrEx>
          <w:tblCellMar>
            <w:top w:w="0" w:type="dxa"/>
            <w:left w:w="0" w:type="dxa"/>
            <w:bottom w:w="0" w:type="dxa"/>
            <w:right w:w="0" w:type="dxa"/>
          </w:tblCellMar>
        </w:tblPrEx>
        <w:trPr>
          <w:wBefore w:w="0" w:type="auto"/>
          <w:tblCellSpacing w:w="0" w:type="dxa"/>
        </w:trPr>
        <w:tc>
          <w:tcPr>
            <w:tcW w:w="0" w:type="auto"/>
            <w:noWrap w:val="0"/>
            <w:vAlign w:val="center"/>
          </w:tcPr>
          <w:p w14:paraId="0B459945">
            <w:r>
              <w:rPr>
                <w:rStyle w:val="10"/>
                <w:rFonts w:hint="eastAsia"/>
              </w:rPr>
              <w:t>注意事项：</w:t>
            </w:r>
            <w:r>
              <w:rPr>
                <w:rFonts w:hint="eastAsia"/>
              </w:rPr>
              <w:br w:type="textWrapping"/>
            </w:r>
            <w:r>
              <w:rPr>
                <w:rStyle w:val="11"/>
                <w:rFonts w:hint="eastAsia"/>
              </w:rPr>
              <w:t>1. 严格按照规定用药量和方法使用。 2. 本品不可与呈碱性的农药等物质混合使用。 3. 建议与其他作用机制不同的杀虫剂轮换使用，以延缓抗性产生。 4.本品对鱼、鸟、水蚤、蚯蚓、蜜蜂、蚕、赤眼蜂毒性高。水产养殖区、河塘等水体附近禁用；禁止在河塘等水体中清洗施药器具；蚕室及桑园附近、鸟类保护区、赤眼蜂、瓢虫等天敌放飞区域禁用；（周围）开花植物花期禁用，使用时应密切关注对附近蜂群的影响。 5. 本品对眼睛有中度刺激性，使用时避免接触眼睛，穿戴长衣、长裤、帽子、口罩、手套等防护措施，避免吸入药液。施药期间不可吃东西和饮水，施药后应及时洗手和洗脸。 6. 用药后包装物及用过的容器应妥善处理，不可做他用，也不可随意丢弃。 7. 孕妇及哺乳期妇女禁止接触本品。8. 避免与氧化剂接触。</w:t>
            </w:r>
          </w:p>
        </w:tc>
      </w:tr>
      <w:tr w14:paraId="4B2E9544">
        <w:tblPrEx>
          <w:tblCellMar>
            <w:top w:w="0" w:type="dxa"/>
            <w:left w:w="0" w:type="dxa"/>
            <w:bottom w:w="0" w:type="dxa"/>
            <w:right w:w="0" w:type="dxa"/>
          </w:tblCellMar>
        </w:tblPrEx>
        <w:trPr>
          <w:wBefore w:w="0" w:type="auto"/>
          <w:tblCellSpacing w:w="0" w:type="dxa"/>
        </w:trPr>
        <w:tc>
          <w:tcPr>
            <w:tcW w:w="0" w:type="auto"/>
            <w:noWrap w:val="0"/>
            <w:vAlign w:val="center"/>
          </w:tcPr>
          <w:p w14:paraId="16588F76">
            <w:r>
              <w:rPr>
                <w:rStyle w:val="10"/>
                <w:rFonts w:hint="eastAsia"/>
              </w:rPr>
              <w:t>中毒急救措施：</w:t>
            </w:r>
            <w:r>
              <w:rPr>
                <w:rFonts w:hint="eastAsia"/>
              </w:rPr>
              <w:br w:type="textWrapping"/>
            </w:r>
            <w:r>
              <w:rPr>
                <w:rStyle w:val="11"/>
                <w:rFonts w:hint="eastAsia"/>
              </w:rPr>
              <w:t>使用中或使用后如果感觉不适，应立即停止工作，采取急救措施。1.皮肤接触：脱去污染的衣物，用软布去除沾染农药，立即用大量清水和肥皂冲洗。2.眼睛溅入：立即用流动清水冲洗不少于15分钟。3.吸入：立即离开施药现场，转移到空气清新处。4.误食：立即停止服用，用清水充分漱口后，携带农药标签到医院就诊。清醒者立即引吐并给患者服用吐根糖浆或麻黄素，但勿给已经昏迷的患者灌喂任何东西或催吐；避免使用能增强γ－氨基丁酸活性的药物，如巴比妥、丙戊酸等。</w:t>
            </w:r>
          </w:p>
        </w:tc>
      </w:tr>
      <w:tr w14:paraId="1497F433">
        <w:tblPrEx>
          <w:tblCellMar>
            <w:top w:w="0" w:type="dxa"/>
            <w:left w:w="0" w:type="dxa"/>
            <w:bottom w:w="0" w:type="dxa"/>
            <w:right w:w="0" w:type="dxa"/>
          </w:tblCellMar>
        </w:tblPrEx>
        <w:trPr>
          <w:wBefore w:w="0" w:type="auto"/>
          <w:tblCellSpacing w:w="0" w:type="dxa"/>
        </w:trPr>
        <w:tc>
          <w:tcPr>
            <w:tcW w:w="0" w:type="auto"/>
            <w:noWrap w:val="0"/>
            <w:vAlign w:val="center"/>
          </w:tcPr>
          <w:p w14:paraId="2B230143">
            <w:r>
              <w:rPr>
                <w:rStyle w:val="10"/>
                <w:rFonts w:hint="eastAsia"/>
              </w:rPr>
              <w:t>储存和运输方法：</w:t>
            </w:r>
            <w:r>
              <w:rPr>
                <w:rFonts w:hint="eastAsia"/>
              </w:rPr>
              <w:br w:type="textWrapping"/>
            </w:r>
            <w:r>
              <w:rPr>
                <w:rStyle w:val="11"/>
                <w:rFonts w:hint="eastAsia"/>
              </w:rPr>
              <w:t>1. 本品应贮存在干燥、阴凉、通风、防雨处，远离火源或热源。2. 置于儿童、无关人员及动物接触不到的地方，并加锁保存。3. 勿与食品、饮料、粮食、饲料等其他商品同贮同运。</w:t>
            </w:r>
          </w:p>
        </w:tc>
      </w:tr>
      <w:tr w14:paraId="26962CFD">
        <w:tblPrEx>
          <w:tblCellMar>
            <w:top w:w="0" w:type="dxa"/>
            <w:left w:w="0" w:type="dxa"/>
            <w:bottom w:w="0" w:type="dxa"/>
            <w:right w:w="0" w:type="dxa"/>
          </w:tblCellMar>
        </w:tblPrEx>
        <w:trPr>
          <w:wBefore w:w="0" w:type="auto"/>
          <w:tblCellSpacing w:w="0" w:type="dxa"/>
        </w:trPr>
        <w:tc>
          <w:tcPr>
            <w:tcW w:w="0" w:type="auto"/>
            <w:noWrap w:val="0"/>
            <w:vAlign w:val="center"/>
          </w:tcPr>
          <w:p w14:paraId="5FBA3FEA">
            <w:r>
              <w:rPr>
                <w:rStyle w:val="10"/>
                <w:rFonts w:hint="eastAsia"/>
              </w:rPr>
              <w:t>质量保证期：</w:t>
            </w:r>
            <w:r>
              <w:rPr>
                <w:rStyle w:val="11"/>
                <w:rFonts w:hint="eastAsia"/>
              </w:rPr>
              <w:t>2年</w:t>
            </w:r>
          </w:p>
        </w:tc>
      </w:tr>
      <w:tr w14:paraId="63B843FD">
        <w:tblPrEx>
          <w:tblCellMar>
            <w:top w:w="0" w:type="dxa"/>
            <w:left w:w="0" w:type="dxa"/>
            <w:bottom w:w="0" w:type="dxa"/>
            <w:right w:w="0" w:type="dxa"/>
          </w:tblCellMar>
        </w:tblPrEx>
        <w:trPr>
          <w:wBefore w:w="0" w:type="auto"/>
          <w:tblCellSpacing w:w="0" w:type="dxa"/>
        </w:trPr>
        <w:tc>
          <w:tcPr>
            <w:tcW w:w="0" w:type="auto"/>
            <w:noWrap w:val="0"/>
            <w:vAlign w:val="center"/>
          </w:tcPr>
          <w:p w14:paraId="47EB6CBE">
            <w:r>
              <w:rPr>
                <w:rStyle w:val="10"/>
                <w:rFonts w:hint="eastAsia"/>
              </w:rPr>
              <w:t>备注：</w:t>
            </w:r>
          </w:p>
        </w:tc>
      </w:tr>
    </w:tbl>
    <w:p w14:paraId="635A68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08EAF4">
        <w:tblPrEx>
          <w:tblCellMar>
            <w:top w:w="0" w:type="dxa"/>
            <w:left w:w="0" w:type="dxa"/>
            <w:bottom w:w="0" w:type="dxa"/>
            <w:right w:w="0" w:type="dxa"/>
          </w:tblCellMar>
        </w:tblPrEx>
        <w:trPr>
          <w:wBefore w:w="0" w:type="auto"/>
          <w:tblCellSpacing w:w="0" w:type="dxa"/>
        </w:trPr>
        <w:tc>
          <w:tcPr>
            <w:tcW w:w="0" w:type="auto"/>
            <w:noWrap w:val="0"/>
            <w:vAlign w:val="center"/>
          </w:tcPr>
          <w:p w14:paraId="42509548">
            <w:r>
              <w:rPr>
                <w:rStyle w:val="10"/>
                <w:rFonts w:hint="eastAsia"/>
              </w:rPr>
              <w:t>登记证号：</w:t>
            </w:r>
            <w:r>
              <w:rPr>
                <w:rFonts w:hint="eastAsia"/>
              </w:rPr>
              <w:t>PD20212363</w:t>
            </w:r>
          </w:p>
        </w:tc>
      </w:tr>
      <w:tr w14:paraId="33D7FBC3">
        <w:tblPrEx>
          <w:tblCellMar>
            <w:top w:w="0" w:type="dxa"/>
            <w:left w:w="0" w:type="dxa"/>
            <w:bottom w:w="0" w:type="dxa"/>
            <w:right w:w="0" w:type="dxa"/>
          </w:tblCellMar>
        </w:tblPrEx>
        <w:trPr>
          <w:wBefore w:w="0" w:type="auto"/>
          <w:tblCellSpacing w:w="0" w:type="dxa"/>
        </w:trPr>
        <w:tc>
          <w:tcPr>
            <w:tcW w:w="0" w:type="auto"/>
            <w:noWrap w:val="0"/>
            <w:vAlign w:val="center"/>
          </w:tcPr>
          <w:p w14:paraId="77E712EE">
            <w:r>
              <w:rPr>
                <w:rStyle w:val="10"/>
                <w:rFonts w:hint="eastAsia"/>
              </w:rPr>
              <w:t>登记证持有人：</w:t>
            </w:r>
            <w:r>
              <w:rPr>
                <w:rFonts w:hint="eastAsia"/>
              </w:rPr>
              <w:t>山东麒麟农化有限公司</w:t>
            </w:r>
          </w:p>
        </w:tc>
      </w:tr>
      <w:tr w14:paraId="58E1825B">
        <w:tblPrEx>
          <w:tblCellMar>
            <w:top w:w="0" w:type="dxa"/>
            <w:left w:w="0" w:type="dxa"/>
            <w:bottom w:w="0" w:type="dxa"/>
            <w:right w:w="0" w:type="dxa"/>
          </w:tblCellMar>
        </w:tblPrEx>
        <w:trPr>
          <w:wBefore w:w="0" w:type="auto"/>
          <w:tblCellSpacing w:w="0" w:type="dxa"/>
        </w:trPr>
        <w:tc>
          <w:tcPr>
            <w:tcW w:w="0" w:type="auto"/>
            <w:noWrap w:val="0"/>
            <w:vAlign w:val="center"/>
          </w:tcPr>
          <w:p w14:paraId="26F0A2CC">
            <w:r>
              <w:rPr>
                <w:rStyle w:val="10"/>
                <w:rFonts w:hint="eastAsia"/>
              </w:rPr>
              <w:t>农药名称：</w:t>
            </w:r>
            <w:r>
              <w:rPr>
                <w:rFonts w:hint="eastAsia"/>
              </w:rPr>
              <w:t>呋虫胺</w:t>
            </w:r>
          </w:p>
        </w:tc>
      </w:tr>
      <w:tr w14:paraId="355AC71D">
        <w:tblPrEx>
          <w:tblCellMar>
            <w:top w:w="0" w:type="dxa"/>
            <w:left w:w="0" w:type="dxa"/>
            <w:bottom w:w="0" w:type="dxa"/>
            <w:right w:w="0" w:type="dxa"/>
          </w:tblCellMar>
        </w:tblPrEx>
        <w:trPr>
          <w:wBefore w:w="0" w:type="auto"/>
          <w:tblCellSpacing w:w="0" w:type="dxa"/>
        </w:trPr>
        <w:tc>
          <w:tcPr>
            <w:tcW w:w="0" w:type="auto"/>
            <w:noWrap w:val="0"/>
            <w:vAlign w:val="center"/>
          </w:tcPr>
          <w:p w14:paraId="070E8178">
            <w:r>
              <w:rPr>
                <w:rStyle w:val="10"/>
                <w:rFonts w:hint="eastAsia"/>
              </w:rPr>
              <w:t>剂型：</w:t>
            </w:r>
            <w:r>
              <w:rPr>
                <w:rFonts w:hint="eastAsia"/>
              </w:rPr>
              <w:t>可溶粉剂</w:t>
            </w:r>
          </w:p>
        </w:tc>
      </w:tr>
      <w:tr w14:paraId="2270BAE3">
        <w:tblPrEx>
          <w:tblCellMar>
            <w:top w:w="0" w:type="dxa"/>
            <w:left w:w="0" w:type="dxa"/>
            <w:bottom w:w="0" w:type="dxa"/>
            <w:right w:w="0" w:type="dxa"/>
          </w:tblCellMar>
        </w:tblPrEx>
        <w:trPr>
          <w:wBefore w:w="0" w:type="auto"/>
          <w:tblCellSpacing w:w="0" w:type="dxa"/>
        </w:trPr>
        <w:tc>
          <w:tcPr>
            <w:tcW w:w="0" w:type="auto"/>
            <w:noWrap w:val="0"/>
            <w:vAlign w:val="center"/>
          </w:tcPr>
          <w:p w14:paraId="65D1C79D">
            <w:r>
              <w:rPr>
                <w:rStyle w:val="10"/>
                <w:rFonts w:hint="eastAsia"/>
              </w:rPr>
              <w:t>毒性及其标识：</w:t>
            </w:r>
            <w:r>
              <w:rPr>
                <w:rFonts w:hint="eastAsia"/>
              </w:rPr>
              <w:t xml:space="preserve"> </w:t>
            </w:r>
            <w:r>
              <w:rPr>
                <w:lang/>
              </w:rPr>
              <w:drawing>
                <wp:inline distT="0" distB="0" distL="114300" distR="114300">
                  <wp:extent cx="476250" cy="323850"/>
                  <wp:effectExtent l="0" t="0" r="0" b="0"/>
                  <wp:docPr id="388" name="图片 3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D52328">
        <w:tblPrEx>
          <w:tblCellMar>
            <w:top w:w="0" w:type="dxa"/>
            <w:left w:w="0" w:type="dxa"/>
            <w:bottom w:w="0" w:type="dxa"/>
            <w:right w:w="0" w:type="dxa"/>
          </w:tblCellMar>
        </w:tblPrEx>
        <w:trPr>
          <w:wBefore w:w="0" w:type="auto"/>
          <w:tblCellSpacing w:w="0" w:type="dxa"/>
        </w:trPr>
        <w:tc>
          <w:tcPr>
            <w:tcW w:w="0" w:type="auto"/>
            <w:noWrap w:val="0"/>
            <w:vAlign w:val="center"/>
          </w:tcPr>
          <w:p w14:paraId="5B21DAE8">
            <w:r>
              <w:rPr>
                <w:rStyle w:val="10"/>
                <w:rFonts w:hint="eastAsia"/>
              </w:rPr>
              <w:t>总有效成分含量：</w:t>
            </w:r>
            <w:r>
              <w:rPr>
                <w:rFonts w:hint="eastAsia"/>
              </w:rPr>
              <w:t>20%</w:t>
            </w:r>
          </w:p>
        </w:tc>
      </w:tr>
      <w:tr w14:paraId="298C7657">
        <w:tblPrEx>
          <w:tblCellMar>
            <w:top w:w="0" w:type="dxa"/>
            <w:left w:w="0" w:type="dxa"/>
            <w:bottom w:w="0" w:type="dxa"/>
            <w:right w:w="0" w:type="dxa"/>
          </w:tblCellMar>
        </w:tblPrEx>
        <w:trPr>
          <w:wBefore w:w="0" w:type="auto"/>
          <w:tblCellSpacing w:w="0" w:type="dxa"/>
        </w:trPr>
        <w:tc>
          <w:tcPr>
            <w:tcW w:w="0" w:type="auto"/>
            <w:noWrap w:val="0"/>
            <w:vAlign w:val="center"/>
          </w:tcPr>
          <w:p w14:paraId="3A6064F5">
            <w:r>
              <w:rPr>
                <w:rFonts w:hint="eastAsia"/>
              </w:rPr>
              <w:t xml:space="preserve">有效成分及其含量： </w:t>
            </w:r>
          </w:p>
          <w:p w14:paraId="033D6E14">
            <w:r>
              <w:rPr>
                <w:rFonts w:hint="eastAsia"/>
              </w:rPr>
              <w:t xml:space="preserve">    呋虫胺20%    </w:t>
            </w:r>
          </w:p>
        </w:tc>
      </w:tr>
      <w:tr w14:paraId="17326BBE">
        <w:tblPrEx>
          <w:tblCellMar>
            <w:top w:w="0" w:type="dxa"/>
            <w:left w:w="0" w:type="dxa"/>
            <w:bottom w:w="0" w:type="dxa"/>
            <w:right w:w="0" w:type="dxa"/>
          </w:tblCellMar>
        </w:tblPrEx>
        <w:trPr>
          <w:wBefore w:w="0" w:type="auto"/>
          <w:tblCellSpacing w:w="0" w:type="dxa"/>
        </w:trPr>
        <w:tc>
          <w:tcPr>
            <w:tcW w:w="0" w:type="auto"/>
            <w:noWrap w:val="0"/>
            <w:vAlign w:val="center"/>
          </w:tcPr>
          <w:p w14:paraId="2F28847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92C2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DEBAB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12110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3EEC2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8B661D">
                  <w:r>
                    <w:rPr>
                      <w:rStyle w:val="11"/>
                      <w:rFonts w:hint="eastAsia"/>
                    </w:rPr>
                    <w:t>施用方式</w:t>
                  </w:r>
                </w:p>
              </w:tc>
            </w:tr>
            <w:tr w14:paraId="64E6B0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FCCC6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92659A">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299BE6">
                  <w:r>
                    <w:rPr>
                      <w:rStyle w:val="11"/>
                      <w:rFonts w:hint="eastAsia"/>
                    </w:rPr>
                    <w:t>30-50克/亩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A1075B">
                  <w:r>
                    <w:rPr>
                      <w:rStyle w:val="11"/>
                      <w:rFonts w:hint="eastAsia"/>
                    </w:rPr>
                    <w:t>喷雾</w:t>
                  </w:r>
                </w:p>
              </w:tc>
            </w:tr>
          </w:tbl>
          <w:p w14:paraId="3DC6ED15">
            <w:pPr>
              <w:rPr>
                <w:rFonts w:ascii="Times New Roman" w:hAnsi="Times New Roman" w:cs="Times New Roman"/>
                <w:sz w:val="20"/>
                <w:szCs w:val="20"/>
              </w:rPr>
            </w:pPr>
          </w:p>
        </w:tc>
      </w:tr>
      <w:tr w14:paraId="53827E4E">
        <w:tblPrEx>
          <w:tblCellMar>
            <w:top w:w="0" w:type="dxa"/>
            <w:left w:w="0" w:type="dxa"/>
            <w:bottom w:w="0" w:type="dxa"/>
            <w:right w:w="0" w:type="dxa"/>
          </w:tblCellMar>
        </w:tblPrEx>
        <w:trPr>
          <w:wBefore w:w="0" w:type="auto"/>
          <w:tblCellSpacing w:w="0" w:type="dxa"/>
        </w:trPr>
        <w:tc>
          <w:tcPr>
            <w:tcW w:w="0" w:type="auto"/>
            <w:noWrap w:val="0"/>
            <w:vAlign w:val="center"/>
          </w:tcPr>
          <w:p w14:paraId="3E598113">
            <w:r>
              <w:rPr>
                <w:rStyle w:val="10"/>
                <w:rFonts w:hint="eastAsia"/>
              </w:rPr>
              <w:t>使用技术要求:</w:t>
            </w:r>
            <w:r>
              <w:rPr>
                <w:rFonts w:hint="eastAsia"/>
              </w:rPr>
              <w:br w:type="textWrapping"/>
            </w:r>
            <w:r>
              <w:rPr>
                <w:rStyle w:val="11"/>
                <w:rFonts w:hint="eastAsia"/>
              </w:rPr>
              <w:t>1.本品于水稻稻飞虱若虫发生高峰期使用，应喷雾均匀。 2.大风天或预计1小时内降雨，请勿施药。 3.本品在水稻上的安全间隔期为21天，每季最多使用1次。</w:t>
            </w:r>
          </w:p>
        </w:tc>
      </w:tr>
      <w:tr w14:paraId="4A65199D">
        <w:tblPrEx>
          <w:tblCellMar>
            <w:top w:w="0" w:type="dxa"/>
            <w:left w:w="0" w:type="dxa"/>
            <w:bottom w:w="0" w:type="dxa"/>
            <w:right w:w="0" w:type="dxa"/>
          </w:tblCellMar>
        </w:tblPrEx>
        <w:trPr>
          <w:wBefore w:w="0" w:type="auto"/>
          <w:tblCellSpacing w:w="0" w:type="dxa"/>
        </w:trPr>
        <w:tc>
          <w:tcPr>
            <w:tcW w:w="0" w:type="auto"/>
            <w:noWrap w:val="0"/>
            <w:vAlign w:val="center"/>
          </w:tcPr>
          <w:p w14:paraId="5891FAB1">
            <w:r>
              <w:rPr>
                <w:rStyle w:val="10"/>
                <w:rFonts w:hint="eastAsia"/>
              </w:rPr>
              <w:t>产品性能:</w:t>
            </w:r>
            <w:r>
              <w:rPr>
                <w:rFonts w:hint="eastAsia"/>
              </w:rPr>
              <w:br w:type="textWrapping"/>
            </w:r>
            <w:r>
              <w:rPr>
                <w:rStyle w:val="11"/>
                <w:rFonts w:hint="eastAsia"/>
              </w:rPr>
              <w:t>本品为新烟碱类杀虫剂，是通过作用于昆虫神经传递系统, 引起昆虫麻痹从而发挥杀虫作用。呋虫胺具有内吸、触杀、胃毒作用，可以快速被植物吸收并广泛分布于作物体内，具有低毒、杀虫谱广、持效期长等优点，能有效防治水稻稻飞虱。</w:t>
            </w:r>
          </w:p>
        </w:tc>
      </w:tr>
      <w:tr w14:paraId="6BA4AB03">
        <w:tblPrEx>
          <w:tblCellMar>
            <w:top w:w="0" w:type="dxa"/>
            <w:left w:w="0" w:type="dxa"/>
            <w:bottom w:w="0" w:type="dxa"/>
            <w:right w:w="0" w:type="dxa"/>
          </w:tblCellMar>
        </w:tblPrEx>
        <w:trPr>
          <w:wBefore w:w="0" w:type="auto"/>
          <w:tblCellSpacing w:w="0" w:type="dxa"/>
        </w:trPr>
        <w:tc>
          <w:tcPr>
            <w:tcW w:w="0" w:type="auto"/>
            <w:noWrap w:val="0"/>
            <w:vAlign w:val="center"/>
          </w:tcPr>
          <w:p w14:paraId="1C7E0881">
            <w:r>
              <w:rPr>
                <w:rStyle w:val="10"/>
                <w:rFonts w:hint="eastAsia"/>
              </w:rPr>
              <w:t>注意事项：</w:t>
            </w:r>
            <w:r>
              <w:rPr>
                <w:rFonts w:hint="eastAsia"/>
              </w:rPr>
              <w:br w:type="textWrapping"/>
            </w:r>
            <w:r>
              <w:rPr>
                <w:rStyle w:val="11"/>
                <w:rFonts w:hint="eastAsia"/>
              </w:rPr>
              <w:t>1. 建议与其他作用机制不同的杀虫剂轮换使用，以延缓抗性产生。2. 本品对蜜蜂、家蚕有毒，养蜂场所和周围开花植物花期禁用，使用时应密切关注对附近蜂群的影响。蚕室及桑园附近禁用。3.赤眼蜂等天敌放飞区域禁用4. 开启包装时应选择在无风的条件下，注意药剂不要散逸，以免造成不必要的伤害.5.禁止在河塘等水域清洗施药器具，用过的容器应妥善处理，不可做他用或随意丢弃。6.孕妇及哺乳期妇女禁止接触本品。</w:t>
            </w:r>
          </w:p>
        </w:tc>
      </w:tr>
      <w:tr w14:paraId="4DB5C2AB">
        <w:tblPrEx>
          <w:tblCellMar>
            <w:top w:w="0" w:type="dxa"/>
            <w:left w:w="0" w:type="dxa"/>
            <w:bottom w:w="0" w:type="dxa"/>
            <w:right w:w="0" w:type="dxa"/>
          </w:tblCellMar>
        </w:tblPrEx>
        <w:trPr>
          <w:wBefore w:w="0" w:type="auto"/>
          <w:tblCellSpacing w:w="0" w:type="dxa"/>
        </w:trPr>
        <w:tc>
          <w:tcPr>
            <w:tcW w:w="0" w:type="auto"/>
            <w:noWrap w:val="0"/>
            <w:vAlign w:val="center"/>
          </w:tcPr>
          <w:p w14:paraId="1D91F15B">
            <w:r>
              <w:rPr>
                <w:rStyle w:val="10"/>
                <w:rFonts w:hint="eastAsia"/>
              </w:rPr>
              <w:t>中毒急救措施：</w:t>
            </w:r>
            <w:r>
              <w:rPr>
                <w:rFonts w:hint="eastAsia"/>
              </w:rPr>
              <w:br w:type="textWrapping"/>
            </w:r>
            <w:r>
              <w:rPr>
                <w:rStyle w:val="11"/>
                <w:rFonts w:hint="eastAsia"/>
              </w:rPr>
              <w:t>皮肤接触应立即脱去污染的衣物，用肥皂及清水彻底冲洗。误入眼中应立即拉开眼睑，用流动的清水冲洗15分钟，就医。吸入应马上脱离现场至空气新鲜处。呼吸困难时给输氧。就医。误服中毒，立即送医院对症治疗。尚无特效解毒剂。</w:t>
            </w:r>
          </w:p>
        </w:tc>
      </w:tr>
      <w:tr w14:paraId="787259B1">
        <w:tblPrEx>
          <w:tblCellMar>
            <w:top w:w="0" w:type="dxa"/>
            <w:left w:w="0" w:type="dxa"/>
            <w:bottom w:w="0" w:type="dxa"/>
            <w:right w:w="0" w:type="dxa"/>
          </w:tblCellMar>
        </w:tblPrEx>
        <w:trPr>
          <w:wBefore w:w="0" w:type="auto"/>
          <w:tblCellSpacing w:w="0" w:type="dxa"/>
        </w:trPr>
        <w:tc>
          <w:tcPr>
            <w:tcW w:w="0" w:type="auto"/>
            <w:noWrap w:val="0"/>
            <w:vAlign w:val="center"/>
          </w:tcPr>
          <w:p w14:paraId="262EF71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本品应贮存在干燥、阴凉、通风、防雨处，远离火源或热源。置于儿童触及不到之处，并加锁保存。勿与食品、饮料、饲料等其它商品同贮同运。</w:t>
            </w:r>
          </w:p>
        </w:tc>
      </w:tr>
      <w:tr w14:paraId="7AF3443F">
        <w:tblPrEx>
          <w:tblCellMar>
            <w:top w:w="0" w:type="dxa"/>
            <w:left w:w="0" w:type="dxa"/>
            <w:bottom w:w="0" w:type="dxa"/>
            <w:right w:w="0" w:type="dxa"/>
          </w:tblCellMar>
        </w:tblPrEx>
        <w:trPr>
          <w:wBefore w:w="0" w:type="auto"/>
          <w:tblCellSpacing w:w="0" w:type="dxa"/>
        </w:trPr>
        <w:tc>
          <w:tcPr>
            <w:tcW w:w="0" w:type="auto"/>
            <w:noWrap w:val="0"/>
            <w:vAlign w:val="center"/>
          </w:tcPr>
          <w:p w14:paraId="38FD8A83">
            <w:r>
              <w:rPr>
                <w:rStyle w:val="10"/>
                <w:rFonts w:hint="eastAsia"/>
              </w:rPr>
              <w:t>质量保证期：</w:t>
            </w:r>
            <w:r>
              <w:rPr>
                <w:rStyle w:val="11"/>
                <w:rFonts w:hint="eastAsia"/>
              </w:rPr>
              <w:t>2年</w:t>
            </w:r>
          </w:p>
        </w:tc>
      </w:tr>
      <w:tr w14:paraId="5E497C96">
        <w:tblPrEx>
          <w:tblCellMar>
            <w:top w:w="0" w:type="dxa"/>
            <w:left w:w="0" w:type="dxa"/>
            <w:bottom w:w="0" w:type="dxa"/>
            <w:right w:w="0" w:type="dxa"/>
          </w:tblCellMar>
        </w:tblPrEx>
        <w:trPr>
          <w:wBefore w:w="0" w:type="auto"/>
          <w:tblCellSpacing w:w="0" w:type="dxa"/>
        </w:trPr>
        <w:tc>
          <w:tcPr>
            <w:tcW w:w="0" w:type="auto"/>
            <w:noWrap w:val="0"/>
            <w:vAlign w:val="center"/>
          </w:tcPr>
          <w:p w14:paraId="73533D47">
            <w:r>
              <w:rPr>
                <w:rStyle w:val="10"/>
                <w:rFonts w:hint="eastAsia"/>
              </w:rPr>
              <w:t>备注：</w:t>
            </w:r>
          </w:p>
        </w:tc>
      </w:tr>
    </w:tbl>
    <w:p w14:paraId="407A432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CADA13">
        <w:tblPrEx>
          <w:tblCellMar>
            <w:top w:w="0" w:type="dxa"/>
            <w:left w:w="0" w:type="dxa"/>
            <w:bottom w:w="0" w:type="dxa"/>
            <w:right w:w="0" w:type="dxa"/>
          </w:tblCellMar>
        </w:tblPrEx>
        <w:trPr>
          <w:wBefore w:w="0" w:type="auto"/>
          <w:tblCellSpacing w:w="0" w:type="dxa"/>
        </w:trPr>
        <w:tc>
          <w:tcPr>
            <w:tcW w:w="0" w:type="auto"/>
            <w:noWrap w:val="0"/>
            <w:vAlign w:val="center"/>
          </w:tcPr>
          <w:p w14:paraId="6F6650DA">
            <w:r>
              <w:rPr>
                <w:rStyle w:val="10"/>
                <w:rFonts w:hint="eastAsia"/>
              </w:rPr>
              <w:t>登记证号：</w:t>
            </w:r>
            <w:r>
              <w:rPr>
                <w:rFonts w:hint="eastAsia"/>
              </w:rPr>
              <w:t>PD20212767</w:t>
            </w:r>
          </w:p>
        </w:tc>
      </w:tr>
      <w:tr w14:paraId="5BE4F7FE">
        <w:tblPrEx>
          <w:tblCellMar>
            <w:top w:w="0" w:type="dxa"/>
            <w:left w:w="0" w:type="dxa"/>
            <w:bottom w:w="0" w:type="dxa"/>
            <w:right w:w="0" w:type="dxa"/>
          </w:tblCellMar>
        </w:tblPrEx>
        <w:trPr>
          <w:wBefore w:w="0" w:type="auto"/>
          <w:tblCellSpacing w:w="0" w:type="dxa"/>
        </w:trPr>
        <w:tc>
          <w:tcPr>
            <w:tcW w:w="0" w:type="auto"/>
            <w:noWrap w:val="0"/>
            <w:vAlign w:val="center"/>
          </w:tcPr>
          <w:p w14:paraId="531918E8">
            <w:r>
              <w:rPr>
                <w:rStyle w:val="10"/>
                <w:rFonts w:hint="eastAsia"/>
              </w:rPr>
              <w:t>登记证持有人：</w:t>
            </w:r>
            <w:r>
              <w:rPr>
                <w:rFonts w:hint="eastAsia"/>
              </w:rPr>
              <w:t>郑州郑氏化工产品有限公司</w:t>
            </w:r>
          </w:p>
        </w:tc>
      </w:tr>
      <w:tr w14:paraId="6D6E9BA5">
        <w:tblPrEx>
          <w:tblCellMar>
            <w:top w:w="0" w:type="dxa"/>
            <w:left w:w="0" w:type="dxa"/>
            <w:bottom w:w="0" w:type="dxa"/>
            <w:right w:w="0" w:type="dxa"/>
          </w:tblCellMar>
        </w:tblPrEx>
        <w:trPr>
          <w:wBefore w:w="0" w:type="auto"/>
          <w:tblCellSpacing w:w="0" w:type="dxa"/>
        </w:trPr>
        <w:tc>
          <w:tcPr>
            <w:tcW w:w="0" w:type="auto"/>
            <w:noWrap w:val="0"/>
            <w:vAlign w:val="center"/>
          </w:tcPr>
          <w:p w14:paraId="683FB62B">
            <w:r>
              <w:rPr>
                <w:rStyle w:val="10"/>
                <w:rFonts w:hint="eastAsia"/>
              </w:rPr>
              <w:t>农药名称：</w:t>
            </w:r>
            <w:r>
              <w:rPr>
                <w:rFonts w:hint="eastAsia"/>
              </w:rPr>
              <w:t>24-表芸·赤霉酸</w:t>
            </w:r>
          </w:p>
        </w:tc>
      </w:tr>
      <w:tr w14:paraId="2CB3B4EF">
        <w:tblPrEx>
          <w:tblCellMar>
            <w:top w:w="0" w:type="dxa"/>
            <w:left w:w="0" w:type="dxa"/>
            <w:bottom w:w="0" w:type="dxa"/>
            <w:right w:w="0" w:type="dxa"/>
          </w:tblCellMar>
        </w:tblPrEx>
        <w:trPr>
          <w:wBefore w:w="0" w:type="auto"/>
          <w:tblCellSpacing w:w="0" w:type="dxa"/>
        </w:trPr>
        <w:tc>
          <w:tcPr>
            <w:tcW w:w="0" w:type="auto"/>
            <w:noWrap w:val="0"/>
            <w:vAlign w:val="center"/>
          </w:tcPr>
          <w:p w14:paraId="6C902082">
            <w:r>
              <w:rPr>
                <w:rStyle w:val="10"/>
                <w:rFonts w:hint="eastAsia"/>
              </w:rPr>
              <w:t>剂型：</w:t>
            </w:r>
            <w:r>
              <w:rPr>
                <w:rFonts w:hint="eastAsia"/>
              </w:rPr>
              <w:t>可溶液剂</w:t>
            </w:r>
          </w:p>
        </w:tc>
      </w:tr>
      <w:tr w14:paraId="51B4EC66">
        <w:tblPrEx>
          <w:tblCellMar>
            <w:top w:w="0" w:type="dxa"/>
            <w:left w:w="0" w:type="dxa"/>
            <w:bottom w:w="0" w:type="dxa"/>
            <w:right w:w="0" w:type="dxa"/>
          </w:tblCellMar>
        </w:tblPrEx>
        <w:trPr>
          <w:wBefore w:w="0" w:type="auto"/>
          <w:tblCellSpacing w:w="0" w:type="dxa"/>
        </w:trPr>
        <w:tc>
          <w:tcPr>
            <w:tcW w:w="0" w:type="auto"/>
            <w:noWrap w:val="0"/>
            <w:vAlign w:val="center"/>
          </w:tcPr>
          <w:p w14:paraId="36BDACBC">
            <w:r>
              <w:rPr>
                <w:rStyle w:val="10"/>
                <w:rFonts w:hint="eastAsia"/>
              </w:rPr>
              <w:t>毒性及其标识：</w:t>
            </w:r>
            <w:r>
              <w:rPr>
                <w:rFonts w:hint="eastAsia"/>
              </w:rPr>
              <w:t xml:space="preserve"> </w:t>
            </w:r>
            <w:r>
              <w:rPr>
                <w:lang/>
              </w:rPr>
              <w:drawing>
                <wp:inline distT="0" distB="0" distL="114300" distR="114300">
                  <wp:extent cx="476250" cy="323850"/>
                  <wp:effectExtent l="0" t="0" r="0" b="0"/>
                  <wp:docPr id="389" name="图片 3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27CFBE">
        <w:tblPrEx>
          <w:tblCellMar>
            <w:top w:w="0" w:type="dxa"/>
            <w:left w:w="0" w:type="dxa"/>
            <w:bottom w:w="0" w:type="dxa"/>
            <w:right w:w="0" w:type="dxa"/>
          </w:tblCellMar>
        </w:tblPrEx>
        <w:trPr>
          <w:wBefore w:w="0" w:type="auto"/>
          <w:tblCellSpacing w:w="0" w:type="dxa"/>
        </w:trPr>
        <w:tc>
          <w:tcPr>
            <w:tcW w:w="0" w:type="auto"/>
            <w:noWrap w:val="0"/>
            <w:vAlign w:val="center"/>
          </w:tcPr>
          <w:p w14:paraId="0DD7050C">
            <w:r>
              <w:rPr>
                <w:rStyle w:val="10"/>
                <w:rFonts w:hint="eastAsia"/>
              </w:rPr>
              <w:t>总有效成分含量：</w:t>
            </w:r>
            <w:r>
              <w:rPr>
                <w:rFonts w:hint="eastAsia"/>
              </w:rPr>
              <w:t>3%</w:t>
            </w:r>
          </w:p>
        </w:tc>
      </w:tr>
      <w:tr w14:paraId="3C8E7980">
        <w:tblPrEx>
          <w:tblCellMar>
            <w:top w:w="0" w:type="dxa"/>
            <w:left w:w="0" w:type="dxa"/>
            <w:bottom w:w="0" w:type="dxa"/>
            <w:right w:w="0" w:type="dxa"/>
          </w:tblCellMar>
        </w:tblPrEx>
        <w:trPr>
          <w:wBefore w:w="0" w:type="auto"/>
          <w:tblCellSpacing w:w="0" w:type="dxa"/>
        </w:trPr>
        <w:tc>
          <w:tcPr>
            <w:tcW w:w="0" w:type="auto"/>
            <w:noWrap w:val="0"/>
            <w:vAlign w:val="center"/>
          </w:tcPr>
          <w:p w14:paraId="66C46020">
            <w:r>
              <w:rPr>
                <w:rFonts w:hint="eastAsia"/>
              </w:rPr>
              <w:t xml:space="preserve">有效成分及其含量： </w:t>
            </w:r>
          </w:p>
          <w:p w14:paraId="43307A5E">
            <w:r>
              <w:rPr>
                <w:rFonts w:hint="eastAsia"/>
              </w:rPr>
              <w:t xml:space="preserve">    24-表芸苔素内酯0.004%    赤霉酸2.996%    </w:t>
            </w:r>
          </w:p>
        </w:tc>
      </w:tr>
      <w:tr w14:paraId="7D47DF5D">
        <w:tblPrEx>
          <w:tblCellMar>
            <w:top w:w="0" w:type="dxa"/>
            <w:left w:w="0" w:type="dxa"/>
            <w:bottom w:w="0" w:type="dxa"/>
            <w:right w:w="0" w:type="dxa"/>
          </w:tblCellMar>
        </w:tblPrEx>
        <w:trPr>
          <w:wBefore w:w="0" w:type="auto"/>
          <w:tblCellSpacing w:w="0" w:type="dxa"/>
        </w:trPr>
        <w:tc>
          <w:tcPr>
            <w:tcW w:w="0" w:type="auto"/>
            <w:noWrap w:val="0"/>
            <w:vAlign w:val="center"/>
          </w:tcPr>
          <w:p w14:paraId="3F5824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EA8B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2F6B8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0C7E2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FB4C6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9FFF03">
                  <w:r>
                    <w:rPr>
                      <w:rStyle w:val="11"/>
                      <w:rFonts w:hint="eastAsia"/>
                    </w:rPr>
                    <w:t>施用方式</w:t>
                  </w:r>
                </w:p>
              </w:tc>
            </w:tr>
            <w:tr w14:paraId="1A7078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956DC4">
                  <w:r>
                    <w:rPr>
                      <w:rStyle w:val="11"/>
                      <w:rFonts w:hint="eastAsia"/>
                    </w:rPr>
                    <w:t>枣树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F9ED8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6290FF">
                  <w:r>
                    <w:rPr>
                      <w:rStyle w:val="11"/>
                      <w:rFonts w:hint="eastAsia"/>
                    </w:rPr>
                    <w:t>1700-2000倍液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07CC94">
                  <w:r>
                    <w:rPr>
                      <w:rStyle w:val="11"/>
                      <w:rFonts w:hint="eastAsia"/>
                    </w:rPr>
                    <w:t>喷雾</w:t>
                  </w:r>
                </w:p>
              </w:tc>
            </w:tr>
          </w:tbl>
          <w:p w14:paraId="4E746DF7">
            <w:pPr>
              <w:rPr>
                <w:rFonts w:ascii="Times New Roman" w:hAnsi="Times New Roman" w:cs="Times New Roman"/>
                <w:sz w:val="20"/>
                <w:szCs w:val="20"/>
              </w:rPr>
            </w:pPr>
          </w:p>
        </w:tc>
      </w:tr>
      <w:tr w14:paraId="09AE6B8D">
        <w:tblPrEx>
          <w:tblCellMar>
            <w:top w:w="0" w:type="dxa"/>
            <w:left w:w="0" w:type="dxa"/>
            <w:bottom w:w="0" w:type="dxa"/>
            <w:right w:w="0" w:type="dxa"/>
          </w:tblCellMar>
        </w:tblPrEx>
        <w:trPr>
          <w:wBefore w:w="0" w:type="auto"/>
          <w:tblCellSpacing w:w="0" w:type="dxa"/>
        </w:trPr>
        <w:tc>
          <w:tcPr>
            <w:tcW w:w="0" w:type="auto"/>
            <w:noWrap w:val="0"/>
            <w:vAlign w:val="center"/>
          </w:tcPr>
          <w:p w14:paraId="2E5BB9CB">
            <w:r>
              <w:rPr>
                <w:rStyle w:val="10"/>
                <w:rFonts w:hint="eastAsia"/>
              </w:rPr>
              <w:t>使用技术要求:</w:t>
            </w:r>
            <w:r>
              <w:rPr>
                <w:rFonts w:hint="eastAsia"/>
              </w:rPr>
              <w:br w:type="textWrapping"/>
            </w:r>
            <w:r>
              <w:rPr>
                <w:rStyle w:val="11"/>
                <w:rFonts w:hint="eastAsia"/>
              </w:rPr>
              <w:t>应于枣树初花期、幼果期、果实膨大期各喷雾施药1次。</w:t>
            </w:r>
          </w:p>
        </w:tc>
      </w:tr>
      <w:tr w14:paraId="020BFC5B">
        <w:tblPrEx>
          <w:tblCellMar>
            <w:top w:w="0" w:type="dxa"/>
            <w:left w:w="0" w:type="dxa"/>
            <w:bottom w:w="0" w:type="dxa"/>
            <w:right w:w="0" w:type="dxa"/>
          </w:tblCellMar>
        </w:tblPrEx>
        <w:trPr>
          <w:wBefore w:w="0" w:type="auto"/>
          <w:tblCellSpacing w:w="0" w:type="dxa"/>
        </w:trPr>
        <w:tc>
          <w:tcPr>
            <w:tcW w:w="0" w:type="auto"/>
            <w:noWrap w:val="0"/>
            <w:vAlign w:val="center"/>
          </w:tcPr>
          <w:p w14:paraId="6D8122D9">
            <w:r>
              <w:rPr>
                <w:rStyle w:val="10"/>
                <w:rFonts w:hint="eastAsia"/>
              </w:rPr>
              <w:t>产品性能:</w:t>
            </w:r>
            <w:r>
              <w:rPr>
                <w:rFonts w:hint="eastAsia"/>
              </w:rPr>
              <w:br w:type="textWrapping"/>
            </w:r>
            <w:r>
              <w:rPr>
                <w:rStyle w:val="11"/>
                <w:rFonts w:hint="eastAsia"/>
              </w:rPr>
              <w:t>本品由24-表芸苔素内酯和赤霉酸复配而成，具有促进细胞、茎伸长、叶片扩大、果实生长、减少花果的脱落等作用。对枣树生长有较好的调节作用。</w:t>
            </w:r>
          </w:p>
        </w:tc>
      </w:tr>
      <w:tr w14:paraId="59F434A0">
        <w:tblPrEx>
          <w:tblCellMar>
            <w:top w:w="0" w:type="dxa"/>
            <w:left w:w="0" w:type="dxa"/>
            <w:bottom w:w="0" w:type="dxa"/>
            <w:right w:w="0" w:type="dxa"/>
          </w:tblCellMar>
        </w:tblPrEx>
        <w:trPr>
          <w:wBefore w:w="0" w:type="auto"/>
          <w:tblCellSpacing w:w="0" w:type="dxa"/>
        </w:trPr>
        <w:tc>
          <w:tcPr>
            <w:tcW w:w="0" w:type="auto"/>
            <w:noWrap w:val="0"/>
            <w:vAlign w:val="center"/>
          </w:tcPr>
          <w:p w14:paraId="3E3CBF5B">
            <w:r>
              <w:rPr>
                <w:rStyle w:val="10"/>
                <w:rFonts w:hint="eastAsia"/>
              </w:rPr>
              <w:t>注意事项：</w:t>
            </w:r>
            <w:r>
              <w:rPr>
                <w:rFonts w:hint="eastAsia"/>
              </w:rPr>
              <w:br w:type="textWrapping"/>
            </w:r>
            <w:r>
              <w:rPr>
                <w:rStyle w:val="11"/>
                <w:rFonts w:hint="eastAsia"/>
              </w:rPr>
              <w:t>1. 使用本品时注意安全防护，穿（戴）长衣、长裤、帽子、口罩、手套、鞋子等。，避免刺激眼睛、皮肤接触及口鼻吸入，切勿吸烟或饮食。使用后及时洗手。 2. 本品对鸟类有毒，禁止在鸟类放飞区使用。 3. 远离水产养殖区、河塘等水体施药，禁止在河塘等水体中清洗施药器具。 4. 用过的容器或废弃包装应妥善处理，切勿他用或随意丢弃。 5. 禁止孕妇、哺乳期妇女及过敏者接触本品。 6. 避免与氧化剂接触或混合。</w:t>
            </w:r>
          </w:p>
        </w:tc>
      </w:tr>
      <w:tr w14:paraId="615DB513">
        <w:tblPrEx>
          <w:tblCellMar>
            <w:top w:w="0" w:type="dxa"/>
            <w:left w:w="0" w:type="dxa"/>
            <w:bottom w:w="0" w:type="dxa"/>
            <w:right w:w="0" w:type="dxa"/>
          </w:tblCellMar>
        </w:tblPrEx>
        <w:trPr>
          <w:wBefore w:w="0" w:type="auto"/>
          <w:tblCellSpacing w:w="0" w:type="dxa"/>
        </w:trPr>
        <w:tc>
          <w:tcPr>
            <w:tcW w:w="0" w:type="auto"/>
            <w:noWrap w:val="0"/>
            <w:vAlign w:val="center"/>
          </w:tcPr>
          <w:p w14:paraId="55176181">
            <w:r>
              <w:rPr>
                <w:rStyle w:val="10"/>
                <w:rFonts w:hint="eastAsia"/>
              </w:rPr>
              <w:t>中毒急救措施：</w:t>
            </w:r>
            <w:r>
              <w:rPr>
                <w:rFonts w:hint="eastAsia"/>
              </w:rPr>
              <w:br w:type="textWrapping"/>
            </w:r>
            <w:r>
              <w:rPr>
                <w:rStyle w:val="11"/>
                <w:rFonts w:hint="eastAsia"/>
              </w:rPr>
              <w:t>中毒症状：无典型症状。 急救措施：如不慎溅入眼睛或皮肤接触，应立即用大量清水冲洗至少15分钟；如不慎吸入，应立即转移至空气流通处；如不慎误服，立即携此标签送医对症治疗。</w:t>
            </w:r>
          </w:p>
        </w:tc>
      </w:tr>
      <w:tr w14:paraId="5C253E8F">
        <w:tblPrEx>
          <w:tblCellMar>
            <w:top w:w="0" w:type="dxa"/>
            <w:left w:w="0" w:type="dxa"/>
            <w:bottom w:w="0" w:type="dxa"/>
            <w:right w:w="0" w:type="dxa"/>
          </w:tblCellMar>
        </w:tblPrEx>
        <w:trPr>
          <w:wBefore w:w="0" w:type="auto"/>
          <w:tblCellSpacing w:w="0" w:type="dxa"/>
        </w:trPr>
        <w:tc>
          <w:tcPr>
            <w:tcW w:w="0" w:type="auto"/>
            <w:noWrap w:val="0"/>
            <w:vAlign w:val="center"/>
          </w:tcPr>
          <w:p w14:paraId="2D806F6D">
            <w:r>
              <w:rPr>
                <w:rStyle w:val="10"/>
                <w:rFonts w:hint="eastAsia"/>
              </w:rPr>
              <w:t>储存和运输方法：</w:t>
            </w:r>
            <w:r>
              <w:rPr>
                <w:rFonts w:hint="eastAsia"/>
              </w:rPr>
              <w:br w:type="textWrapping"/>
            </w:r>
            <w:r>
              <w:rPr>
                <w:rStyle w:val="11"/>
                <w:rFonts w:hint="eastAsia"/>
              </w:rPr>
              <w:t>1.本品应贮存于阴凉、干燥、通风、防雨处，本品属易燃液体，应远离火源及热源。 2.本品应远离家禽，不能与食品、饮料、饲料和粮食等同贮同运。 3.本品应贮存于儿童、无关人员触及不到的地方病加锁保存。</w:t>
            </w:r>
          </w:p>
        </w:tc>
      </w:tr>
      <w:tr w14:paraId="391C07C5">
        <w:tblPrEx>
          <w:tblCellMar>
            <w:top w:w="0" w:type="dxa"/>
            <w:left w:w="0" w:type="dxa"/>
            <w:bottom w:w="0" w:type="dxa"/>
            <w:right w:w="0" w:type="dxa"/>
          </w:tblCellMar>
        </w:tblPrEx>
        <w:trPr>
          <w:wBefore w:w="0" w:type="auto"/>
          <w:tblCellSpacing w:w="0" w:type="dxa"/>
        </w:trPr>
        <w:tc>
          <w:tcPr>
            <w:tcW w:w="0" w:type="auto"/>
            <w:noWrap w:val="0"/>
            <w:vAlign w:val="center"/>
          </w:tcPr>
          <w:p w14:paraId="1689A3C6">
            <w:r>
              <w:rPr>
                <w:rStyle w:val="10"/>
                <w:rFonts w:hint="eastAsia"/>
              </w:rPr>
              <w:t>质量保证期：</w:t>
            </w:r>
            <w:r>
              <w:rPr>
                <w:rStyle w:val="11"/>
                <w:rFonts w:hint="eastAsia"/>
              </w:rPr>
              <w:t>2年</w:t>
            </w:r>
          </w:p>
        </w:tc>
      </w:tr>
      <w:tr w14:paraId="06DB574E">
        <w:tblPrEx>
          <w:tblCellMar>
            <w:top w:w="0" w:type="dxa"/>
            <w:left w:w="0" w:type="dxa"/>
            <w:bottom w:w="0" w:type="dxa"/>
            <w:right w:w="0" w:type="dxa"/>
          </w:tblCellMar>
        </w:tblPrEx>
        <w:trPr>
          <w:wBefore w:w="0" w:type="auto"/>
          <w:tblCellSpacing w:w="0" w:type="dxa"/>
        </w:trPr>
        <w:tc>
          <w:tcPr>
            <w:tcW w:w="0" w:type="auto"/>
            <w:noWrap w:val="0"/>
            <w:vAlign w:val="center"/>
          </w:tcPr>
          <w:p w14:paraId="4373672A">
            <w:r>
              <w:rPr>
                <w:rStyle w:val="10"/>
                <w:rFonts w:hint="eastAsia"/>
              </w:rPr>
              <w:t>备注：</w:t>
            </w:r>
          </w:p>
        </w:tc>
      </w:tr>
    </w:tbl>
    <w:p w14:paraId="27A940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D6D261">
        <w:tblPrEx>
          <w:tblCellMar>
            <w:top w:w="0" w:type="dxa"/>
            <w:left w:w="0" w:type="dxa"/>
            <w:bottom w:w="0" w:type="dxa"/>
            <w:right w:w="0" w:type="dxa"/>
          </w:tblCellMar>
        </w:tblPrEx>
        <w:trPr>
          <w:wBefore w:w="0" w:type="auto"/>
          <w:tblCellSpacing w:w="0" w:type="dxa"/>
        </w:trPr>
        <w:tc>
          <w:tcPr>
            <w:tcW w:w="0" w:type="auto"/>
            <w:noWrap w:val="0"/>
            <w:vAlign w:val="center"/>
          </w:tcPr>
          <w:p w14:paraId="02FC5418">
            <w:r>
              <w:rPr>
                <w:rStyle w:val="10"/>
                <w:rFonts w:hint="eastAsia"/>
              </w:rPr>
              <w:t>登记证号：</w:t>
            </w:r>
            <w:r>
              <w:rPr>
                <w:rFonts w:hint="eastAsia"/>
              </w:rPr>
              <w:t>EX20210132</w:t>
            </w:r>
          </w:p>
        </w:tc>
      </w:tr>
      <w:tr w14:paraId="3DB137EE">
        <w:tblPrEx>
          <w:tblCellMar>
            <w:top w:w="0" w:type="dxa"/>
            <w:left w:w="0" w:type="dxa"/>
            <w:bottom w:w="0" w:type="dxa"/>
            <w:right w:w="0" w:type="dxa"/>
          </w:tblCellMar>
        </w:tblPrEx>
        <w:trPr>
          <w:wBefore w:w="0" w:type="auto"/>
          <w:tblCellSpacing w:w="0" w:type="dxa"/>
        </w:trPr>
        <w:tc>
          <w:tcPr>
            <w:tcW w:w="0" w:type="auto"/>
            <w:noWrap w:val="0"/>
            <w:vAlign w:val="center"/>
          </w:tcPr>
          <w:p w14:paraId="69814847">
            <w:r>
              <w:rPr>
                <w:rStyle w:val="10"/>
                <w:rFonts w:hint="eastAsia"/>
              </w:rPr>
              <w:t>登记证持有人：</w:t>
            </w:r>
            <w:r>
              <w:rPr>
                <w:rFonts w:hint="eastAsia"/>
              </w:rPr>
              <w:t>兴农药业(中国)有限公司</w:t>
            </w:r>
          </w:p>
        </w:tc>
      </w:tr>
      <w:tr w14:paraId="5999C904">
        <w:tblPrEx>
          <w:tblCellMar>
            <w:top w:w="0" w:type="dxa"/>
            <w:left w:w="0" w:type="dxa"/>
            <w:bottom w:w="0" w:type="dxa"/>
            <w:right w:w="0" w:type="dxa"/>
          </w:tblCellMar>
        </w:tblPrEx>
        <w:trPr>
          <w:wBefore w:w="0" w:type="auto"/>
          <w:tblCellSpacing w:w="0" w:type="dxa"/>
        </w:trPr>
        <w:tc>
          <w:tcPr>
            <w:tcW w:w="0" w:type="auto"/>
            <w:noWrap w:val="0"/>
            <w:vAlign w:val="center"/>
          </w:tcPr>
          <w:p w14:paraId="5FB576C0">
            <w:r>
              <w:rPr>
                <w:rStyle w:val="10"/>
                <w:rFonts w:hint="eastAsia"/>
              </w:rPr>
              <w:t>农药名称：</w:t>
            </w:r>
            <w:r>
              <w:rPr>
                <w:rFonts w:hint="eastAsia"/>
              </w:rPr>
              <w:t>草甘膦</w:t>
            </w:r>
          </w:p>
        </w:tc>
      </w:tr>
      <w:tr w14:paraId="23123283">
        <w:tblPrEx>
          <w:tblCellMar>
            <w:top w:w="0" w:type="dxa"/>
            <w:left w:w="0" w:type="dxa"/>
            <w:bottom w:w="0" w:type="dxa"/>
            <w:right w:w="0" w:type="dxa"/>
          </w:tblCellMar>
        </w:tblPrEx>
        <w:trPr>
          <w:wBefore w:w="0" w:type="auto"/>
          <w:tblCellSpacing w:w="0" w:type="dxa"/>
        </w:trPr>
        <w:tc>
          <w:tcPr>
            <w:tcW w:w="0" w:type="auto"/>
            <w:noWrap w:val="0"/>
            <w:vAlign w:val="center"/>
          </w:tcPr>
          <w:p w14:paraId="248C8CC0">
            <w:r>
              <w:rPr>
                <w:rStyle w:val="10"/>
                <w:rFonts w:hint="eastAsia"/>
              </w:rPr>
              <w:t>剂型：</w:t>
            </w:r>
            <w:r>
              <w:rPr>
                <w:rFonts w:hint="eastAsia"/>
              </w:rPr>
              <w:t>可溶液剂</w:t>
            </w:r>
          </w:p>
        </w:tc>
      </w:tr>
      <w:tr w14:paraId="74B3C425">
        <w:tblPrEx>
          <w:tblCellMar>
            <w:top w:w="0" w:type="dxa"/>
            <w:left w:w="0" w:type="dxa"/>
            <w:bottom w:w="0" w:type="dxa"/>
            <w:right w:w="0" w:type="dxa"/>
          </w:tblCellMar>
        </w:tblPrEx>
        <w:trPr>
          <w:wBefore w:w="0" w:type="auto"/>
          <w:tblCellSpacing w:w="0" w:type="dxa"/>
        </w:trPr>
        <w:tc>
          <w:tcPr>
            <w:tcW w:w="0" w:type="auto"/>
            <w:noWrap w:val="0"/>
            <w:vAlign w:val="center"/>
          </w:tcPr>
          <w:p w14:paraId="3B9FC762">
            <w:r>
              <w:rPr>
                <w:rStyle w:val="10"/>
                <w:rFonts w:hint="eastAsia"/>
              </w:rPr>
              <w:t>毒性及其标识：</w:t>
            </w:r>
            <w:r>
              <w:rPr>
                <w:rFonts w:hint="eastAsia"/>
              </w:rPr>
              <w:t xml:space="preserve"> </w:t>
            </w:r>
            <w:r>
              <w:rPr>
                <w:lang/>
              </w:rPr>
              <w:drawing>
                <wp:inline distT="0" distB="0" distL="114300" distR="114300">
                  <wp:extent cx="476250" cy="323850"/>
                  <wp:effectExtent l="0" t="0" r="0" b="0"/>
                  <wp:docPr id="390" name="图片 3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E63B68">
        <w:tblPrEx>
          <w:tblCellMar>
            <w:top w:w="0" w:type="dxa"/>
            <w:left w:w="0" w:type="dxa"/>
            <w:bottom w:w="0" w:type="dxa"/>
            <w:right w:w="0" w:type="dxa"/>
          </w:tblCellMar>
        </w:tblPrEx>
        <w:trPr>
          <w:wBefore w:w="0" w:type="auto"/>
          <w:tblCellSpacing w:w="0" w:type="dxa"/>
        </w:trPr>
        <w:tc>
          <w:tcPr>
            <w:tcW w:w="0" w:type="auto"/>
            <w:noWrap w:val="0"/>
            <w:vAlign w:val="center"/>
          </w:tcPr>
          <w:p w14:paraId="1D3EC690">
            <w:r>
              <w:rPr>
                <w:rStyle w:val="10"/>
                <w:rFonts w:hint="eastAsia"/>
              </w:rPr>
              <w:t>总有效成分含量：</w:t>
            </w:r>
            <w:r>
              <w:rPr>
                <w:rFonts w:hint="eastAsia"/>
              </w:rPr>
              <w:t>450克/升</w:t>
            </w:r>
          </w:p>
        </w:tc>
      </w:tr>
      <w:tr w14:paraId="5795109C">
        <w:tblPrEx>
          <w:tblCellMar>
            <w:top w:w="0" w:type="dxa"/>
            <w:left w:w="0" w:type="dxa"/>
            <w:bottom w:w="0" w:type="dxa"/>
            <w:right w:w="0" w:type="dxa"/>
          </w:tblCellMar>
        </w:tblPrEx>
        <w:trPr>
          <w:wBefore w:w="0" w:type="auto"/>
          <w:tblCellSpacing w:w="0" w:type="dxa"/>
        </w:trPr>
        <w:tc>
          <w:tcPr>
            <w:tcW w:w="0" w:type="auto"/>
            <w:noWrap w:val="0"/>
            <w:vAlign w:val="center"/>
          </w:tcPr>
          <w:p w14:paraId="0977B377">
            <w:r>
              <w:rPr>
                <w:rFonts w:hint="eastAsia"/>
              </w:rPr>
              <w:t xml:space="preserve">有效成分及其含量： </w:t>
            </w:r>
          </w:p>
          <w:p w14:paraId="026BF667">
            <w:r>
              <w:rPr>
                <w:rFonts w:hint="eastAsia"/>
              </w:rPr>
              <w:t xml:space="preserve">    </w:t>
            </w:r>
          </w:p>
        </w:tc>
      </w:tr>
      <w:tr w14:paraId="7AA1C33F">
        <w:tblPrEx>
          <w:tblCellMar>
            <w:top w:w="0" w:type="dxa"/>
            <w:left w:w="0" w:type="dxa"/>
            <w:bottom w:w="0" w:type="dxa"/>
            <w:right w:w="0" w:type="dxa"/>
          </w:tblCellMar>
        </w:tblPrEx>
        <w:trPr>
          <w:wBefore w:w="0" w:type="auto"/>
          <w:tblCellSpacing w:w="0" w:type="dxa"/>
        </w:trPr>
        <w:tc>
          <w:tcPr>
            <w:tcW w:w="0" w:type="auto"/>
            <w:noWrap w:val="0"/>
            <w:vAlign w:val="center"/>
          </w:tcPr>
          <w:p w14:paraId="41CB5F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EB22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66C3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392F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A4E5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F7F5AA">
                  <w:r>
                    <w:rPr>
                      <w:rStyle w:val="11"/>
                      <w:rFonts w:hint="eastAsia"/>
                    </w:rPr>
                    <w:t>施用方式</w:t>
                  </w:r>
                </w:p>
              </w:tc>
            </w:tr>
          </w:tbl>
          <w:p w14:paraId="1CF6A715">
            <w:pPr>
              <w:rPr>
                <w:rFonts w:ascii="Times New Roman" w:hAnsi="Times New Roman" w:cs="Times New Roman"/>
                <w:sz w:val="20"/>
                <w:szCs w:val="20"/>
              </w:rPr>
            </w:pPr>
          </w:p>
        </w:tc>
      </w:tr>
      <w:tr w14:paraId="743A9EE6">
        <w:tblPrEx>
          <w:tblCellMar>
            <w:top w:w="0" w:type="dxa"/>
            <w:left w:w="0" w:type="dxa"/>
            <w:bottom w:w="0" w:type="dxa"/>
            <w:right w:w="0" w:type="dxa"/>
          </w:tblCellMar>
        </w:tblPrEx>
        <w:trPr>
          <w:wBefore w:w="0" w:type="auto"/>
          <w:tblCellSpacing w:w="0" w:type="dxa"/>
        </w:trPr>
        <w:tc>
          <w:tcPr>
            <w:tcW w:w="0" w:type="auto"/>
            <w:noWrap w:val="0"/>
            <w:vAlign w:val="center"/>
          </w:tcPr>
          <w:p w14:paraId="47C9D2EE">
            <w:r>
              <w:rPr>
                <w:rStyle w:val="10"/>
                <w:rFonts w:hint="eastAsia"/>
              </w:rPr>
              <w:t>使用技术要求:</w:t>
            </w:r>
            <w:r>
              <w:rPr>
                <w:rFonts w:hint="eastAsia"/>
              </w:rPr>
              <w:br w:type="textWrapping"/>
            </w:r>
          </w:p>
        </w:tc>
      </w:tr>
      <w:tr w14:paraId="2E776C29">
        <w:tblPrEx>
          <w:tblCellMar>
            <w:top w:w="0" w:type="dxa"/>
            <w:left w:w="0" w:type="dxa"/>
            <w:bottom w:w="0" w:type="dxa"/>
            <w:right w:w="0" w:type="dxa"/>
          </w:tblCellMar>
        </w:tblPrEx>
        <w:trPr>
          <w:wBefore w:w="0" w:type="auto"/>
          <w:tblCellSpacing w:w="0" w:type="dxa"/>
        </w:trPr>
        <w:tc>
          <w:tcPr>
            <w:tcW w:w="0" w:type="auto"/>
            <w:noWrap w:val="0"/>
            <w:vAlign w:val="center"/>
          </w:tcPr>
          <w:p w14:paraId="74A87C7A">
            <w:r>
              <w:rPr>
                <w:rStyle w:val="10"/>
                <w:rFonts w:hint="eastAsia"/>
              </w:rPr>
              <w:t>产品性能:</w:t>
            </w:r>
          </w:p>
        </w:tc>
      </w:tr>
      <w:tr w14:paraId="47D71CFB">
        <w:tblPrEx>
          <w:tblCellMar>
            <w:top w:w="0" w:type="dxa"/>
            <w:left w:w="0" w:type="dxa"/>
            <w:bottom w:w="0" w:type="dxa"/>
            <w:right w:w="0" w:type="dxa"/>
          </w:tblCellMar>
        </w:tblPrEx>
        <w:trPr>
          <w:wBefore w:w="0" w:type="auto"/>
          <w:tblCellSpacing w:w="0" w:type="dxa"/>
        </w:trPr>
        <w:tc>
          <w:tcPr>
            <w:tcW w:w="0" w:type="auto"/>
            <w:noWrap w:val="0"/>
            <w:vAlign w:val="center"/>
          </w:tcPr>
          <w:p w14:paraId="2AC6621A">
            <w:r>
              <w:rPr>
                <w:rStyle w:val="10"/>
                <w:rFonts w:hint="eastAsia"/>
              </w:rPr>
              <w:t>注意事项：</w:t>
            </w:r>
          </w:p>
        </w:tc>
      </w:tr>
      <w:tr w14:paraId="368D5424">
        <w:tblPrEx>
          <w:tblCellMar>
            <w:top w:w="0" w:type="dxa"/>
            <w:left w:w="0" w:type="dxa"/>
            <w:bottom w:w="0" w:type="dxa"/>
            <w:right w:w="0" w:type="dxa"/>
          </w:tblCellMar>
        </w:tblPrEx>
        <w:trPr>
          <w:wBefore w:w="0" w:type="auto"/>
          <w:tblCellSpacing w:w="0" w:type="dxa"/>
        </w:trPr>
        <w:tc>
          <w:tcPr>
            <w:tcW w:w="0" w:type="auto"/>
            <w:noWrap w:val="0"/>
            <w:vAlign w:val="center"/>
          </w:tcPr>
          <w:p w14:paraId="1F893451">
            <w:r>
              <w:rPr>
                <w:rStyle w:val="10"/>
                <w:rFonts w:hint="eastAsia"/>
              </w:rPr>
              <w:t>中毒急救措施：</w:t>
            </w:r>
          </w:p>
        </w:tc>
      </w:tr>
      <w:tr w14:paraId="007E9AE8">
        <w:tblPrEx>
          <w:tblCellMar>
            <w:top w:w="0" w:type="dxa"/>
            <w:left w:w="0" w:type="dxa"/>
            <w:bottom w:w="0" w:type="dxa"/>
            <w:right w:w="0" w:type="dxa"/>
          </w:tblCellMar>
        </w:tblPrEx>
        <w:trPr>
          <w:wBefore w:w="0" w:type="auto"/>
          <w:tblCellSpacing w:w="0" w:type="dxa"/>
        </w:trPr>
        <w:tc>
          <w:tcPr>
            <w:tcW w:w="0" w:type="auto"/>
            <w:noWrap w:val="0"/>
            <w:vAlign w:val="center"/>
          </w:tcPr>
          <w:p w14:paraId="5AD995E5">
            <w:r>
              <w:rPr>
                <w:rStyle w:val="10"/>
                <w:rFonts w:hint="eastAsia"/>
              </w:rPr>
              <w:t>储存和运输方法：</w:t>
            </w:r>
          </w:p>
        </w:tc>
      </w:tr>
      <w:tr w14:paraId="184360C6">
        <w:tblPrEx>
          <w:tblCellMar>
            <w:top w:w="0" w:type="dxa"/>
            <w:left w:w="0" w:type="dxa"/>
            <w:bottom w:w="0" w:type="dxa"/>
            <w:right w:w="0" w:type="dxa"/>
          </w:tblCellMar>
        </w:tblPrEx>
        <w:trPr>
          <w:wBefore w:w="0" w:type="auto"/>
          <w:tblCellSpacing w:w="0" w:type="dxa"/>
        </w:trPr>
        <w:tc>
          <w:tcPr>
            <w:tcW w:w="0" w:type="auto"/>
            <w:noWrap w:val="0"/>
            <w:vAlign w:val="center"/>
          </w:tcPr>
          <w:p w14:paraId="64ECC63E">
            <w:r>
              <w:rPr>
                <w:rStyle w:val="10"/>
                <w:rFonts w:hint="eastAsia"/>
              </w:rPr>
              <w:t>质量保证期：</w:t>
            </w:r>
          </w:p>
        </w:tc>
      </w:tr>
      <w:tr w14:paraId="60DAFF2D">
        <w:tblPrEx>
          <w:tblCellMar>
            <w:top w:w="0" w:type="dxa"/>
            <w:left w:w="0" w:type="dxa"/>
            <w:bottom w:w="0" w:type="dxa"/>
            <w:right w:w="0" w:type="dxa"/>
          </w:tblCellMar>
        </w:tblPrEx>
        <w:trPr>
          <w:wBefore w:w="0" w:type="auto"/>
          <w:tblCellSpacing w:w="0" w:type="dxa"/>
        </w:trPr>
        <w:tc>
          <w:tcPr>
            <w:tcW w:w="0" w:type="auto"/>
            <w:noWrap w:val="0"/>
            <w:vAlign w:val="center"/>
          </w:tcPr>
          <w:p w14:paraId="3CCB3AE0">
            <w:r>
              <w:rPr>
                <w:rStyle w:val="10"/>
                <w:rFonts w:hint="eastAsia"/>
              </w:rPr>
              <w:t>备注：</w:t>
            </w:r>
          </w:p>
        </w:tc>
      </w:tr>
    </w:tbl>
    <w:p w14:paraId="1C084B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AA6144">
        <w:tblPrEx>
          <w:tblCellMar>
            <w:top w:w="0" w:type="dxa"/>
            <w:left w:w="0" w:type="dxa"/>
            <w:bottom w:w="0" w:type="dxa"/>
            <w:right w:w="0" w:type="dxa"/>
          </w:tblCellMar>
        </w:tblPrEx>
        <w:trPr>
          <w:wBefore w:w="0" w:type="auto"/>
          <w:tblCellSpacing w:w="0" w:type="dxa"/>
        </w:trPr>
        <w:tc>
          <w:tcPr>
            <w:tcW w:w="0" w:type="auto"/>
            <w:noWrap w:val="0"/>
            <w:vAlign w:val="center"/>
          </w:tcPr>
          <w:p w14:paraId="588E14E0">
            <w:r>
              <w:rPr>
                <w:rStyle w:val="10"/>
                <w:rFonts w:hint="eastAsia"/>
              </w:rPr>
              <w:t>登记证号：</w:t>
            </w:r>
            <w:r>
              <w:rPr>
                <w:rFonts w:hint="eastAsia"/>
              </w:rPr>
              <w:t>PD20212673</w:t>
            </w:r>
          </w:p>
        </w:tc>
      </w:tr>
      <w:tr w14:paraId="74626EE9">
        <w:tblPrEx>
          <w:tblCellMar>
            <w:top w:w="0" w:type="dxa"/>
            <w:left w:w="0" w:type="dxa"/>
            <w:bottom w:w="0" w:type="dxa"/>
            <w:right w:w="0" w:type="dxa"/>
          </w:tblCellMar>
        </w:tblPrEx>
        <w:trPr>
          <w:wBefore w:w="0" w:type="auto"/>
          <w:tblCellSpacing w:w="0" w:type="dxa"/>
        </w:trPr>
        <w:tc>
          <w:tcPr>
            <w:tcW w:w="0" w:type="auto"/>
            <w:noWrap w:val="0"/>
            <w:vAlign w:val="center"/>
          </w:tcPr>
          <w:p w14:paraId="59EEC7F6">
            <w:r>
              <w:rPr>
                <w:rStyle w:val="10"/>
                <w:rFonts w:hint="eastAsia"/>
              </w:rPr>
              <w:t>登记证持有人：</w:t>
            </w:r>
            <w:r>
              <w:rPr>
                <w:rFonts w:hint="eastAsia"/>
              </w:rPr>
              <w:t>沈阳化工研究院（南通）化工科技发展有限公司</w:t>
            </w:r>
          </w:p>
        </w:tc>
      </w:tr>
      <w:tr w14:paraId="156E7632">
        <w:tblPrEx>
          <w:tblCellMar>
            <w:top w:w="0" w:type="dxa"/>
            <w:left w:w="0" w:type="dxa"/>
            <w:bottom w:w="0" w:type="dxa"/>
            <w:right w:w="0" w:type="dxa"/>
          </w:tblCellMar>
        </w:tblPrEx>
        <w:trPr>
          <w:wBefore w:w="0" w:type="auto"/>
          <w:tblCellSpacing w:w="0" w:type="dxa"/>
        </w:trPr>
        <w:tc>
          <w:tcPr>
            <w:tcW w:w="0" w:type="auto"/>
            <w:noWrap w:val="0"/>
            <w:vAlign w:val="center"/>
          </w:tcPr>
          <w:p w14:paraId="54DC7404">
            <w:r>
              <w:rPr>
                <w:rStyle w:val="10"/>
                <w:rFonts w:hint="eastAsia"/>
              </w:rPr>
              <w:t>农药名称：</w:t>
            </w:r>
            <w:r>
              <w:rPr>
                <w:rFonts w:hint="eastAsia"/>
              </w:rPr>
              <w:t>精甲·咯菌腈</w:t>
            </w:r>
          </w:p>
        </w:tc>
      </w:tr>
      <w:tr w14:paraId="1458947F">
        <w:tblPrEx>
          <w:tblCellMar>
            <w:top w:w="0" w:type="dxa"/>
            <w:left w:w="0" w:type="dxa"/>
            <w:bottom w:w="0" w:type="dxa"/>
            <w:right w:w="0" w:type="dxa"/>
          </w:tblCellMar>
        </w:tblPrEx>
        <w:trPr>
          <w:wBefore w:w="0" w:type="auto"/>
          <w:tblCellSpacing w:w="0" w:type="dxa"/>
        </w:trPr>
        <w:tc>
          <w:tcPr>
            <w:tcW w:w="0" w:type="auto"/>
            <w:noWrap w:val="0"/>
            <w:vAlign w:val="center"/>
          </w:tcPr>
          <w:p w14:paraId="04F65BF4">
            <w:r>
              <w:rPr>
                <w:rStyle w:val="10"/>
                <w:rFonts w:hint="eastAsia"/>
              </w:rPr>
              <w:t>剂型：</w:t>
            </w:r>
            <w:r>
              <w:rPr>
                <w:rFonts w:hint="eastAsia"/>
              </w:rPr>
              <w:t>种子处理悬浮剂</w:t>
            </w:r>
          </w:p>
        </w:tc>
      </w:tr>
      <w:tr w14:paraId="00894A4D">
        <w:tblPrEx>
          <w:tblCellMar>
            <w:top w:w="0" w:type="dxa"/>
            <w:left w:w="0" w:type="dxa"/>
            <w:bottom w:w="0" w:type="dxa"/>
            <w:right w:w="0" w:type="dxa"/>
          </w:tblCellMar>
        </w:tblPrEx>
        <w:trPr>
          <w:wBefore w:w="0" w:type="auto"/>
          <w:tblCellSpacing w:w="0" w:type="dxa"/>
        </w:trPr>
        <w:tc>
          <w:tcPr>
            <w:tcW w:w="0" w:type="auto"/>
            <w:noWrap w:val="0"/>
            <w:vAlign w:val="center"/>
          </w:tcPr>
          <w:p w14:paraId="7FAABF24">
            <w:r>
              <w:rPr>
                <w:rStyle w:val="10"/>
                <w:rFonts w:hint="eastAsia"/>
              </w:rPr>
              <w:t>毒性及其标识：</w:t>
            </w:r>
            <w:r>
              <w:rPr>
                <w:rFonts w:hint="eastAsia"/>
              </w:rPr>
              <w:t xml:space="preserve"> </w:t>
            </w:r>
            <w:r>
              <w:rPr>
                <w:lang/>
              </w:rPr>
              <w:drawing>
                <wp:inline distT="0" distB="0" distL="114300" distR="114300">
                  <wp:extent cx="476250" cy="323850"/>
                  <wp:effectExtent l="0" t="0" r="0" b="0"/>
                  <wp:docPr id="391" name="图片 3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B2B694">
        <w:tblPrEx>
          <w:tblCellMar>
            <w:top w:w="0" w:type="dxa"/>
            <w:left w:w="0" w:type="dxa"/>
            <w:bottom w:w="0" w:type="dxa"/>
            <w:right w:w="0" w:type="dxa"/>
          </w:tblCellMar>
        </w:tblPrEx>
        <w:trPr>
          <w:wBefore w:w="0" w:type="auto"/>
          <w:tblCellSpacing w:w="0" w:type="dxa"/>
        </w:trPr>
        <w:tc>
          <w:tcPr>
            <w:tcW w:w="0" w:type="auto"/>
            <w:noWrap w:val="0"/>
            <w:vAlign w:val="center"/>
          </w:tcPr>
          <w:p w14:paraId="05560605">
            <w:r>
              <w:rPr>
                <w:rStyle w:val="10"/>
                <w:rFonts w:hint="eastAsia"/>
              </w:rPr>
              <w:t>总有效成分含量：</w:t>
            </w:r>
            <w:r>
              <w:rPr>
                <w:rFonts w:hint="eastAsia"/>
              </w:rPr>
              <w:t>63克/升</w:t>
            </w:r>
          </w:p>
        </w:tc>
      </w:tr>
      <w:tr w14:paraId="207FA13F">
        <w:tblPrEx>
          <w:tblCellMar>
            <w:top w:w="0" w:type="dxa"/>
            <w:left w:w="0" w:type="dxa"/>
            <w:bottom w:w="0" w:type="dxa"/>
            <w:right w:w="0" w:type="dxa"/>
          </w:tblCellMar>
        </w:tblPrEx>
        <w:trPr>
          <w:wBefore w:w="0" w:type="auto"/>
          <w:tblCellSpacing w:w="0" w:type="dxa"/>
        </w:trPr>
        <w:tc>
          <w:tcPr>
            <w:tcW w:w="0" w:type="auto"/>
            <w:noWrap w:val="0"/>
            <w:vAlign w:val="center"/>
          </w:tcPr>
          <w:p w14:paraId="185AA6B8">
            <w:r>
              <w:rPr>
                <w:rFonts w:hint="eastAsia"/>
              </w:rPr>
              <w:t xml:space="preserve">有效成分及其含量： </w:t>
            </w:r>
          </w:p>
          <w:p w14:paraId="7A8B220D">
            <w:r>
              <w:rPr>
                <w:rFonts w:hint="eastAsia"/>
              </w:rPr>
              <w:t xml:space="preserve">    咯菌腈25克/升    精甲霜灵38克/升    </w:t>
            </w:r>
          </w:p>
        </w:tc>
      </w:tr>
      <w:tr w14:paraId="1DC3484B">
        <w:tblPrEx>
          <w:tblCellMar>
            <w:top w:w="0" w:type="dxa"/>
            <w:left w:w="0" w:type="dxa"/>
            <w:bottom w:w="0" w:type="dxa"/>
            <w:right w:w="0" w:type="dxa"/>
          </w:tblCellMar>
        </w:tblPrEx>
        <w:trPr>
          <w:wBefore w:w="0" w:type="auto"/>
          <w:tblCellSpacing w:w="0" w:type="dxa"/>
        </w:trPr>
        <w:tc>
          <w:tcPr>
            <w:tcW w:w="0" w:type="auto"/>
            <w:noWrap w:val="0"/>
            <w:vAlign w:val="center"/>
          </w:tcPr>
          <w:p w14:paraId="06D3D3D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2D07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E50E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968B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73DE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22DBF9">
                  <w:r>
                    <w:rPr>
                      <w:rStyle w:val="11"/>
                      <w:rFonts w:hint="eastAsia"/>
                    </w:rPr>
                    <w:t>施用方式</w:t>
                  </w:r>
                </w:p>
              </w:tc>
            </w:tr>
            <w:tr w14:paraId="6B9887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637B17">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D1FF15">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F1DE3F">
                  <w:r>
                    <w:rPr>
                      <w:rStyle w:val="11"/>
                      <w:rFonts w:hint="eastAsia"/>
                    </w:rPr>
                    <w:t>300-400毫升/100千克种子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BC174C">
                  <w:r>
                    <w:rPr>
                      <w:rStyle w:val="11"/>
                      <w:rFonts w:hint="eastAsia"/>
                    </w:rPr>
                    <w:t>种子包衣</w:t>
                  </w:r>
                </w:p>
              </w:tc>
            </w:tr>
            <w:tr w14:paraId="1FBB2F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A880A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3E48BC">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5EEB8C">
                  <w:r>
                    <w:rPr>
                      <w:rStyle w:val="11"/>
                      <w:rFonts w:hint="eastAsia"/>
                    </w:rPr>
                    <w:t>300-400毫升/100千克种子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D6A85">
                  <w:r>
                    <w:rPr>
                      <w:rStyle w:val="11"/>
                      <w:rFonts w:hint="eastAsia"/>
                    </w:rPr>
                    <w:t>种子包衣</w:t>
                  </w:r>
                </w:p>
              </w:tc>
            </w:tr>
          </w:tbl>
          <w:p w14:paraId="7958A5F8">
            <w:pPr>
              <w:rPr>
                <w:rFonts w:ascii="Times New Roman" w:hAnsi="Times New Roman" w:cs="Times New Roman"/>
                <w:sz w:val="20"/>
                <w:szCs w:val="20"/>
              </w:rPr>
            </w:pPr>
          </w:p>
        </w:tc>
      </w:tr>
      <w:tr w14:paraId="6CD5B2C6">
        <w:tblPrEx>
          <w:tblCellMar>
            <w:top w:w="0" w:type="dxa"/>
            <w:left w:w="0" w:type="dxa"/>
            <w:bottom w:w="0" w:type="dxa"/>
            <w:right w:w="0" w:type="dxa"/>
          </w:tblCellMar>
        </w:tblPrEx>
        <w:trPr>
          <w:wBefore w:w="0" w:type="auto"/>
          <w:tblCellSpacing w:w="0" w:type="dxa"/>
        </w:trPr>
        <w:tc>
          <w:tcPr>
            <w:tcW w:w="0" w:type="auto"/>
            <w:noWrap w:val="0"/>
            <w:vAlign w:val="center"/>
          </w:tcPr>
          <w:p w14:paraId="3A476273">
            <w:r>
              <w:rPr>
                <w:rStyle w:val="10"/>
                <w:rFonts w:hint="eastAsia"/>
              </w:rPr>
              <w:t>使用技术要求:</w:t>
            </w:r>
            <w:r>
              <w:rPr>
                <w:rFonts w:hint="eastAsia"/>
              </w:rPr>
              <w:br w:type="textWrapping"/>
            </w:r>
            <w:r>
              <w:rPr>
                <w:rStyle w:val="11"/>
                <w:rFonts w:hint="eastAsia"/>
              </w:rPr>
              <w:t>1.本品使用方便，可供农户直接包衣，亦可供种子公司作种子包衣剂。 2.用于处理的种子应达到国家良种标准。 3.配制好的药液应在24小时内使用。 4.本品在上述作物新品种上大面积应用时，必须先进行小范围的安全性试验。 5.防治水稻恶苗病，种子包衣：按推荐用药量，用水稀释至1-2升，将药浆与种子按比例充分搅拌，直到药液均匀分布到种子表面，晾干后即可。</w:t>
            </w:r>
          </w:p>
        </w:tc>
      </w:tr>
      <w:tr w14:paraId="7AAE90DB">
        <w:tblPrEx>
          <w:tblCellMar>
            <w:top w:w="0" w:type="dxa"/>
            <w:left w:w="0" w:type="dxa"/>
            <w:bottom w:w="0" w:type="dxa"/>
            <w:right w:w="0" w:type="dxa"/>
          </w:tblCellMar>
        </w:tblPrEx>
        <w:trPr>
          <w:wBefore w:w="0" w:type="auto"/>
          <w:tblCellSpacing w:w="0" w:type="dxa"/>
        </w:trPr>
        <w:tc>
          <w:tcPr>
            <w:tcW w:w="0" w:type="auto"/>
            <w:noWrap w:val="0"/>
            <w:vAlign w:val="center"/>
          </w:tcPr>
          <w:p w14:paraId="6D5142D2">
            <w:r>
              <w:rPr>
                <w:rStyle w:val="10"/>
                <w:rFonts w:hint="eastAsia"/>
              </w:rPr>
              <w:t>产品性能:</w:t>
            </w:r>
            <w:r>
              <w:rPr>
                <w:rFonts w:hint="eastAsia"/>
              </w:rPr>
              <w:br w:type="textWrapping"/>
            </w:r>
            <w:r>
              <w:rPr>
                <w:rStyle w:val="11"/>
                <w:rFonts w:hint="eastAsia"/>
              </w:rPr>
              <w:t>本品是种子处理杀菌剂。该产品由两种具有不同作用机制的杀菌剂混配而成。其中，咯菌腈可以防治由高等真菌（如镰刀菌、立枯丝核菌）引起的苗期病害。而精甲霜灵能透过种皮，随种子萌发和幼苗生长内吸传导到植株的各个部位，防治由低等真菌（如腐霉菌、疫霉菌）引起的多种土传和种传病害。按推荐剂量使用，对种子及幼苗安全。</w:t>
            </w:r>
          </w:p>
        </w:tc>
      </w:tr>
      <w:tr w14:paraId="02B065CE">
        <w:tblPrEx>
          <w:tblCellMar>
            <w:top w:w="0" w:type="dxa"/>
            <w:left w:w="0" w:type="dxa"/>
            <w:bottom w:w="0" w:type="dxa"/>
            <w:right w:w="0" w:type="dxa"/>
          </w:tblCellMar>
        </w:tblPrEx>
        <w:trPr>
          <w:wBefore w:w="0" w:type="auto"/>
          <w:tblCellSpacing w:w="0" w:type="dxa"/>
        </w:trPr>
        <w:tc>
          <w:tcPr>
            <w:tcW w:w="0" w:type="auto"/>
            <w:noWrap w:val="0"/>
            <w:vAlign w:val="center"/>
          </w:tcPr>
          <w:p w14:paraId="1CE1CB24">
            <w:r>
              <w:rPr>
                <w:rStyle w:val="10"/>
                <w:rFonts w:hint="eastAsia"/>
              </w:rPr>
              <w:t>注意事项：</w:t>
            </w:r>
            <w:r>
              <w:rPr>
                <w:rFonts w:hint="eastAsia"/>
              </w:rPr>
              <w:br w:type="textWrapping"/>
            </w:r>
            <w:r>
              <w:rPr>
                <w:rStyle w:val="11"/>
                <w:rFonts w:hint="eastAsia"/>
              </w:rPr>
              <w:t>1.请按照农药安全使用准则使用本品。在种子处理过程中，避免药液接触皮肤、眼睛和污染衣物，避免吸入。切勿在施药现场抽烟或饮食。在饮水、进食和抽烟前，应先洗手、洗脸。 2.配药和种子处理应在通风处进行，操作人员应戴防渗手套和帽子，穿长袖衣、长裤和靴子。 3.种子处理结束后，彻底清洗防护用具，洗澡，并更换和清洗工作服。 4.处理过的种子必须放置在有明显标签的容器内。尽快使用，勿与食物、饲料放在一起，不得饲喂禽畜，更不得用来加工饲料或食品。 5.播种后必须覆土，严禁畜禽进入。6.远离水产养殖区、河塘等水体施药；禁止在河塘等水体中清洗施药器具。7.鱼或虾蟹套养稻田禁用；施药后的田水不得直接排入水体。8.鸟类保护区附近禁用。9.使用过的空包装，用清水冲洗三次后妥善处理，切勿重复使用或改作其它用途。所有施药器具，用后应立即用清水或适当的洗涤剂清洗。 10.勿将本品及其废液弃于池塘、河溪、湖泊等，以免污染水源。 11.未用完的制剂应放在原包装内密封保存，切勿将本品置于饮、食容器内。制造厂敬告用户：严格按照推荐方法使用、操作和贮藏本品。使用时应接受当地农业技术部门的指导。12.避免与氧化剂接触。13.避免孕妇及哺乳期妇女接触本品。</w:t>
            </w:r>
          </w:p>
        </w:tc>
      </w:tr>
      <w:tr w14:paraId="0B994E29">
        <w:tblPrEx>
          <w:tblCellMar>
            <w:top w:w="0" w:type="dxa"/>
            <w:left w:w="0" w:type="dxa"/>
            <w:bottom w:w="0" w:type="dxa"/>
            <w:right w:w="0" w:type="dxa"/>
          </w:tblCellMar>
        </w:tblPrEx>
        <w:trPr>
          <w:wBefore w:w="0" w:type="auto"/>
          <w:tblCellSpacing w:w="0" w:type="dxa"/>
        </w:trPr>
        <w:tc>
          <w:tcPr>
            <w:tcW w:w="0" w:type="auto"/>
            <w:noWrap w:val="0"/>
            <w:vAlign w:val="center"/>
          </w:tcPr>
          <w:p w14:paraId="1F8BA9F4">
            <w:r>
              <w:rPr>
                <w:rStyle w:val="10"/>
                <w:rFonts w:hint="eastAsia"/>
              </w:rPr>
              <w:t>中毒急救措施：</w:t>
            </w:r>
            <w:r>
              <w:rPr>
                <w:rFonts w:hint="eastAsia"/>
              </w:rPr>
              <w:br w:type="textWrapping"/>
            </w:r>
            <w:r>
              <w:rPr>
                <w:rStyle w:val="11"/>
                <w:rFonts w:hint="eastAsia"/>
              </w:rPr>
              <w:t>中毒症状：按标签推荐方法使用，无典型中毒症状。中毒急救： 1.用药时如果感觉不适，立即停止工作，采取急救措施，并携此标签送医就诊。2.皮肤接触：立即脱掉被污染的衣物，用肥皂和大量清水彻底清洗受污染的皮肤。必要时请医生诊治。 3.眼睛溅药：立即将眼睑翻开，用清水冲洗至少15分钟，再请医生诊治。4.发生吸入：立即将吸入者转移到空气新鲜处。如果吸入者停止呼吸，需进行人工呼吸。注意保暖和休息，请医生诊治。5.误服：请勿引吐。立即携带标签，送医就诊。紧急医疗措施：使用医用活性炭洗胃，洗胃时注意防止胃容物进入呼吸道。注意：对昏迷病人，切勿经口喂入任何东西或引吐。解毒剂：无专用解毒剂，对症治疗。</w:t>
            </w:r>
          </w:p>
        </w:tc>
      </w:tr>
      <w:tr w14:paraId="3CC20D01">
        <w:tblPrEx>
          <w:tblCellMar>
            <w:top w:w="0" w:type="dxa"/>
            <w:left w:w="0" w:type="dxa"/>
            <w:bottom w:w="0" w:type="dxa"/>
            <w:right w:w="0" w:type="dxa"/>
          </w:tblCellMar>
        </w:tblPrEx>
        <w:trPr>
          <w:wBefore w:w="0" w:type="auto"/>
          <w:tblCellSpacing w:w="0" w:type="dxa"/>
        </w:trPr>
        <w:tc>
          <w:tcPr>
            <w:tcW w:w="0" w:type="auto"/>
            <w:noWrap w:val="0"/>
            <w:vAlign w:val="center"/>
          </w:tcPr>
          <w:p w14:paraId="192D16AA">
            <w:r>
              <w:rPr>
                <w:rStyle w:val="10"/>
                <w:rFonts w:hint="eastAsia"/>
              </w:rPr>
              <w:t>储存和运输方法：</w:t>
            </w:r>
            <w:r>
              <w:rPr>
                <w:rFonts w:hint="eastAsia"/>
              </w:rPr>
              <w:br w:type="textWrapping"/>
            </w:r>
            <w:r>
              <w:rPr>
                <w:rStyle w:val="11"/>
                <w:rFonts w:hint="eastAsia"/>
              </w:rPr>
              <w:t>1.本品应加锁保存，勿让儿童、无关人员和动物接触。勿与食物、饮料和动物饲料放在一起贮存和运输。2.本品应贮藏在避光、干燥、通风处。贮藏温度应避免低于-10℃或高于35℃。3.产品码放高度不宜超过2米，以免损坏包装。4.运输时应注意避光、防高温、雨淋。5.有效期：自生产日期起，原包装存放在阴凉、干燥处，保质期为两年。</w:t>
            </w:r>
          </w:p>
        </w:tc>
      </w:tr>
      <w:tr w14:paraId="6FF75120">
        <w:tblPrEx>
          <w:tblCellMar>
            <w:top w:w="0" w:type="dxa"/>
            <w:left w:w="0" w:type="dxa"/>
            <w:bottom w:w="0" w:type="dxa"/>
            <w:right w:w="0" w:type="dxa"/>
          </w:tblCellMar>
        </w:tblPrEx>
        <w:trPr>
          <w:wBefore w:w="0" w:type="auto"/>
          <w:tblCellSpacing w:w="0" w:type="dxa"/>
        </w:trPr>
        <w:tc>
          <w:tcPr>
            <w:tcW w:w="0" w:type="auto"/>
            <w:noWrap w:val="0"/>
            <w:vAlign w:val="center"/>
          </w:tcPr>
          <w:p w14:paraId="6191287F">
            <w:r>
              <w:rPr>
                <w:rStyle w:val="10"/>
                <w:rFonts w:hint="eastAsia"/>
              </w:rPr>
              <w:t>质量保证期：</w:t>
            </w:r>
            <w:r>
              <w:rPr>
                <w:rStyle w:val="11"/>
                <w:rFonts w:hint="eastAsia"/>
              </w:rPr>
              <w:t>2年</w:t>
            </w:r>
          </w:p>
        </w:tc>
      </w:tr>
      <w:tr w14:paraId="65D59F6E">
        <w:tblPrEx>
          <w:tblCellMar>
            <w:top w:w="0" w:type="dxa"/>
            <w:left w:w="0" w:type="dxa"/>
            <w:bottom w:w="0" w:type="dxa"/>
            <w:right w:w="0" w:type="dxa"/>
          </w:tblCellMar>
        </w:tblPrEx>
        <w:trPr>
          <w:wBefore w:w="0" w:type="auto"/>
          <w:tblCellSpacing w:w="0" w:type="dxa"/>
        </w:trPr>
        <w:tc>
          <w:tcPr>
            <w:tcW w:w="0" w:type="auto"/>
            <w:noWrap w:val="0"/>
            <w:vAlign w:val="center"/>
          </w:tcPr>
          <w:p w14:paraId="4308E60E">
            <w:r>
              <w:rPr>
                <w:rStyle w:val="10"/>
                <w:rFonts w:hint="eastAsia"/>
              </w:rPr>
              <w:t>备注：</w:t>
            </w:r>
            <w:r>
              <w:rPr>
                <w:rFonts w:hint="eastAsia"/>
              </w:rPr>
              <w:br w:type="textWrapping"/>
            </w:r>
            <w:r>
              <w:rPr>
                <w:rStyle w:val="11"/>
                <w:rFonts w:hint="eastAsia"/>
              </w:rPr>
              <w:t>精甲霜灵质量浓度38克/升，质量分数3.5%；咯菌腈质量浓度25克/升，质量分数2.4%</w:t>
            </w:r>
          </w:p>
        </w:tc>
      </w:tr>
    </w:tbl>
    <w:p w14:paraId="2A1C24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FAFB7F">
        <w:tblPrEx>
          <w:tblCellMar>
            <w:top w:w="0" w:type="dxa"/>
            <w:left w:w="0" w:type="dxa"/>
            <w:bottom w:w="0" w:type="dxa"/>
            <w:right w:w="0" w:type="dxa"/>
          </w:tblCellMar>
        </w:tblPrEx>
        <w:trPr>
          <w:wBefore w:w="0" w:type="auto"/>
          <w:tblCellSpacing w:w="0" w:type="dxa"/>
        </w:trPr>
        <w:tc>
          <w:tcPr>
            <w:tcW w:w="0" w:type="auto"/>
            <w:noWrap w:val="0"/>
            <w:vAlign w:val="center"/>
          </w:tcPr>
          <w:p w14:paraId="4F6D9AA5">
            <w:r>
              <w:rPr>
                <w:rStyle w:val="10"/>
                <w:rFonts w:hint="eastAsia"/>
              </w:rPr>
              <w:t>登记证号：</w:t>
            </w:r>
            <w:r>
              <w:rPr>
                <w:rFonts w:hint="eastAsia"/>
              </w:rPr>
              <w:t>PD20212451</w:t>
            </w:r>
          </w:p>
        </w:tc>
      </w:tr>
      <w:tr w14:paraId="63577975">
        <w:tblPrEx>
          <w:tblCellMar>
            <w:top w:w="0" w:type="dxa"/>
            <w:left w:w="0" w:type="dxa"/>
            <w:bottom w:w="0" w:type="dxa"/>
            <w:right w:w="0" w:type="dxa"/>
          </w:tblCellMar>
        </w:tblPrEx>
        <w:trPr>
          <w:wBefore w:w="0" w:type="auto"/>
          <w:tblCellSpacing w:w="0" w:type="dxa"/>
        </w:trPr>
        <w:tc>
          <w:tcPr>
            <w:tcW w:w="0" w:type="auto"/>
            <w:noWrap w:val="0"/>
            <w:vAlign w:val="center"/>
          </w:tcPr>
          <w:p w14:paraId="5CBEDCAA">
            <w:r>
              <w:rPr>
                <w:rStyle w:val="10"/>
                <w:rFonts w:hint="eastAsia"/>
              </w:rPr>
              <w:t>登记证持有人：</w:t>
            </w:r>
            <w:r>
              <w:rPr>
                <w:rFonts w:hint="eastAsia"/>
              </w:rPr>
              <w:t>山东滨农科技有限公司</w:t>
            </w:r>
          </w:p>
        </w:tc>
      </w:tr>
      <w:tr w14:paraId="01C2912B">
        <w:tblPrEx>
          <w:tblCellMar>
            <w:top w:w="0" w:type="dxa"/>
            <w:left w:w="0" w:type="dxa"/>
            <w:bottom w:w="0" w:type="dxa"/>
            <w:right w:w="0" w:type="dxa"/>
          </w:tblCellMar>
        </w:tblPrEx>
        <w:trPr>
          <w:wBefore w:w="0" w:type="auto"/>
          <w:tblCellSpacing w:w="0" w:type="dxa"/>
        </w:trPr>
        <w:tc>
          <w:tcPr>
            <w:tcW w:w="0" w:type="auto"/>
            <w:noWrap w:val="0"/>
            <w:vAlign w:val="center"/>
          </w:tcPr>
          <w:p w14:paraId="65EA025E">
            <w:r>
              <w:rPr>
                <w:rStyle w:val="10"/>
                <w:rFonts w:hint="eastAsia"/>
              </w:rPr>
              <w:t>农药名称：</w:t>
            </w:r>
            <w:r>
              <w:rPr>
                <w:rFonts w:hint="eastAsia"/>
              </w:rPr>
              <w:t>阿维·螺虫酯</w:t>
            </w:r>
          </w:p>
        </w:tc>
      </w:tr>
      <w:tr w14:paraId="063E20C9">
        <w:tblPrEx>
          <w:tblCellMar>
            <w:top w:w="0" w:type="dxa"/>
            <w:left w:w="0" w:type="dxa"/>
            <w:bottom w:w="0" w:type="dxa"/>
            <w:right w:w="0" w:type="dxa"/>
          </w:tblCellMar>
        </w:tblPrEx>
        <w:trPr>
          <w:wBefore w:w="0" w:type="auto"/>
          <w:tblCellSpacing w:w="0" w:type="dxa"/>
        </w:trPr>
        <w:tc>
          <w:tcPr>
            <w:tcW w:w="0" w:type="auto"/>
            <w:noWrap w:val="0"/>
            <w:vAlign w:val="center"/>
          </w:tcPr>
          <w:p w14:paraId="6AF7727F">
            <w:r>
              <w:rPr>
                <w:rStyle w:val="10"/>
                <w:rFonts w:hint="eastAsia"/>
              </w:rPr>
              <w:t>剂型：</w:t>
            </w:r>
            <w:r>
              <w:rPr>
                <w:rFonts w:hint="eastAsia"/>
              </w:rPr>
              <w:t>悬浮剂</w:t>
            </w:r>
          </w:p>
        </w:tc>
      </w:tr>
      <w:tr w14:paraId="67CAE1E2">
        <w:tblPrEx>
          <w:tblCellMar>
            <w:top w:w="0" w:type="dxa"/>
            <w:left w:w="0" w:type="dxa"/>
            <w:bottom w:w="0" w:type="dxa"/>
            <w:right w:w="0" w:type="dxa"/>
          </w:tblCellMar>
        </w:tblPrEx>
        <w:trPr>
          <w:wBefore w:w="0" w:type="auto"/>
          <w:tblCellSpacing w:w="0" w:type="dxa"/>
        </w:trPr>
        <w:tc>
          <w:tcPr>
            <w:tcW w:w="0" w:type="auto"/>
            <w:noWrap w:val="0"/>
            <w:vAlign w:val="center"/>
          </w:tcPr>
          <w:p w14:paraId="09DC6960">
            <w:r>
              <w:rPr>
                <w:rStyle w:val="10"/>
                <w:rFonts w:hint="eastAsia"/>
              </w:rPr>
              <w:t>毒性及其标识：</w:t>
            </w:r>
            <w:r>
              <w:rPr>
                <w:rFonts w:hint="eastAsia"/>
              </w:rPr>
              <w:t xml:space="preserve"> </w:t>
            </w:r>
            <w:r>
              <w:rPr>
                <w:lang/>
              </w:rPr>
              <w:drawing>
                <wp:inline distT="0" distB="0" distL="114300" distR="114300">
                  <wp:extent cx="476250" cy="323850"/>
                  <wp:effectExtent l="0" t="0" r="0" b="0"/>
                  <wp:docPr id="392" name="图片 3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03EE2BCE">
        <w:tblPrEx>
          <w:tblCellMar>
            <w:top w:w="0" w:type="dxa"/>
            <w:left w:w="0" w:type="dxa"/>
            <w:bottom w:w="0" w:type="dxa"/>
            <w:right w:w="0" w:type="dxa"/>
          </w:tblCellMar>
        </w:tblPrEx>
        <w:trPr>
          <w:wBefore w:w="0" w:type="auto"/>
          <w:tblCellSpacing w:w="0" w:type="dxa"/>
        </w:trPr>
        <w:tc>
          <w:tcPr>
            <w:tcW w:w="0" w:type="auto"/>
            <w:noWrap w:val="0"/>
            <w:vAlign w:val="center"/>
          </w:tcPr>
          <w:p w14:paraId="32B4E752">
            <w:r>
              <w:rPr>
                <w:rStyle w:val="10"/>
                <w:rFonts w:hint="eastAsia"/>
              </w:rPr>
              <w:t>总有效成分含量：</w:t>
            </w:r>
            <w:r>
              <w:rPr>
                <w:rFonts w:hint="eastAsia"/>
              </w:rPr>
              <w:t>18%</w:t>
            </w:r>
          </w:p>
        </w:tc>
      </w:tr>
      <w:tr w14:paraId="71663C23">
        <w:tblPrEx>
          <w:tblCellMar>
            <w:top w:w="0" w:type="dxa"/>
            <w:left w:w="0" w:type="dxa"/>
            <w:bottom w:w="0" w:type="dxa"/>
            <w:right w:w="0" w:type="dxa"/>
          </w:tblCellMar>
        </w:tblPrEx>
        <w:trPr>
          <w:wBefore w:w="0" w:type="auto"/>
          <w:tblCellSpacing w:w="0" w:type="dxa"/>
        </w:trPr>
        <w:tc>
          <w:tcPr>
            <w:tcW w:w="0" w:type="auto"/>
            <w:noWrap w:val="0"/>
            <w:vAlign w:val="center"/>
          </w:tcPr>
          <w:p w14:paraId="1ED4C1D4">
            <w:r>
              <w:rPr>
                <w:rFonts w:hint="eastAsia"/>
              </w:rPr>
              <w:t xml:space="preserve">有效成分及其含量： </w:t>
            </w:r>
          </w:p>
          <w:p w14:paraId="23E33603">
            <w:r>
              <w:rPr>
                <w:rFonts w:hint="eastAsia"/>
              </w:rPr>
              <w:t xml:space="preserve">    阿维菌素3%    螺虫乙酯15%    </w:t>
            </w:r>
          </w:p>
        </w:tc>
      </w:tr>
      <w:tr w14:paraId="7A76FE6F">
        <w:tblPrEx>
          <w:tblCellMar>
            <w:top w:w="0" w:type="dxa"/>
            <w:left w:w="0" w:type="dxa"/>
            <w:bottom w:w="0" w:type="dxa"/>
            <w:right w:w="0" w:type="dxa"/>
          </w:tblCellMar>
        </w:tblPrEx>
        <w:trPr>
          <w:wBefore w:w="0" w:type="auto"/>
          <w:tblCellSpacing w:w="0" w:type="dxa"/>
        </w:trPr>
        <w:tc>
          <w:tcPr>
            <w:tcW w:w="0" w:type="auto"/>
            <w:noWrap w:val="0"/>
            <w:vAlign w:val="center"/>
          </w:tcPr>
          <w:p w14:paraId="1B8E3C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DEA2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27FB5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82153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955A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649D89">
                  <w:r>
                    <w:rPr>
                      <w:rStyle w:val="11"/>
                      <w:rFonts w:hint="eastAsia"/>
                    </w:rPr>
                    <w:t>施用方式</w:t>
                  </w:r>
                </w:p>
              </w:tc>
            </w:tr>
            <w:tr w14:paraId="106F7A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D83CC6">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0E769">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53E815">
                  <w:r>
                    <w:rPr>
                      <w:rStyle w:val="11"/>
                      <w:rFonts w:hint="eastAsia"/>
                    </w:rPr>
                    <w:t>2500-3500倍液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718C50">
                  <w:r>
                    <w:rPr>
                      <w:rStyle w:val="11"/>
                      <w:rFonts w:hint="eastAsia"/>
                    </w:rPr>
                    <w:t>喷雾</w:t>
                  </w:r>
                </w:p>
              </w:tc>
            </w:tr>
          </w:tbl>
          <w:p w14:paraId="7850F28E">
            <w:pPr>
              <w:rPr>
                <w:rFonts w:ascii="Times New Roman" w:hAnsi="Times New Roman" w:cs="Times New Roman"/>
                <w:sz w:val="20"/>
                <w:szCs w:val="20"/>
              </w:rPr>
            </w:pPr>
          </w:p>
        </w:tc>
      </w:tr>
      <w:tr w14:paraId="63EFC5F7">
        <w:tblPrEx>
          <w:tblCellMar>
            <w:top w:w="0" w:type="dxa"/>
            <w:left w:w="0" w:type="dxa"/>
            <w:bottom w:w="0" w:type="dxa"/>
            <w:right w:w="0" w:type="dxa"/>
          </w:tblCellMar>
        </w:tblPrEx>
        <w:trPr>
          <w:wBefore w:w="0" w:type="auto"/>
          <w:tblCellSpacing w:w="0" w:type="dxa"/>
        </w:trPr>
        <w:tc>
          <w:tcPr>
            <w:tcW w:w="0" w:type="auto"/>
            <w:noWrap w:val="0"/>
            <w:vAlign w:val="center"/>
          </w:tcPr>
          <w:p w14:paraId="5FAECCF8">
            <w:r>
              <w:rPr>
                <w:rStyle w:val="10"/>
                <w:rFonts w:hint="eastAsia"/>
              </w:rPr>
              <w:t>使用技术要求:</w:t>
            </w:r>
            <w:r>
              <w:rPr>
                <w:rFonts w:hint="eastAsia"/>
              </w:rPr>
              <w:br w:type="textWrapping"/>
            </w:r>
            <w:r>
              <w:rPr>
                <w:rStyle w:val="11"/>
                <w:rFonts w:hint="eastAsia"/>
              </w:rPr>
              <w:t>1.于柑橘树介壳虫若虫发生初期喷雾施药1次。2.阿维菌素见光易分解，请在早晚使用。3.大风天或预计1小时内降雨，请勿施药。4.本品在柑橘上安全间隔期为30天，每季作物最多使用次数为1次。</w:t>
            </w:r>
          </w:p>
        </w:tc>
      </w:tr>
      <w:tr w14:paraId="20F691A5">
        <w:tblPrEx>
          <w:tblCellMar>
            <w:top w:w="0" w:type="dxa"/>
            <w:left w:w="0" w:type="dxa"/>
            <w:bottom w:w="0" w:type="dxa"/>
            <w:right w:w="0" w:type="dxa"/>
          </w:tblCellMar>
        </w:tblPrEx>
        <w:trPr>
          <w:wBefore w:w="0" w:type="auto"/>
          <w:tblCellSpacing w:w="0" w:type="dxa"/>
        </w:trPr>
        <w:tc>
          <w:tcPr>
            <w:tcW w:w="0" w:type="auto"/>
            <w:noWrap w:val="0"/>
            <w:vAlign w:val="center"/>
          </w:tcPr>
          <w:p w14:paraId="2020A0EA">
            <w:r>
              <w:rPr>
                <w:rStyle w:val="10"/>
                <w:rFonts w:hint="eastAsia"/>
              </w:rPr>
              <w:t>产品性能:</w:t>
            </w:r>
            <w:r>
              <w:rPr>
                <w:rFonts w:hint="eastAsia"/>
              </w:rPr>
              <w:br w:type="textWrapping"/>
            </w:r>
            <w:r>
              <w:rPr>
                <w:rStyle w:val="11"/>
                <w:rFonts w:hint="eastAsia"/>
              </w:rPr>
              <w:t>本品是阿维菌素和螺虫乙酯复配制剂。阿维菌素具有触杀和胃毒作用，且对叶片有较强的渗透作用，可杀死表皮下的害虫，持效期较长。螺虫乙酯是防治刺吸式口器害虫的杀虫剂，其作用机制为干扰害虫脂肪合成、阻断能量代谢，其内吸性较强，可在植株体内上下传导，且持效期较长。二者复配有较好的增效作用，能较好防治柑橘蚧壳虫等害虫。</w:t>
            </w:r>
          </w:p>
        </w:tc>
      </w:tr>
      <w:tr w14:paraId="260ECE8B">
        <w:tblPrEx>
          <w:tblCellMar>
            <w:top w:w="0" w:type="dxa"/>
            <w:left w:w="0" w:type="dxa"/>
            <w:bottom w:w="0" w:type="dxa"/>
            <w:right w:w="0" w:type="dxa"/>
          </w:tblCellMar>
        </w:tblPrEx>
        <w:trPr>
          <w:wBefore w:w="0" w:type="auto"/>
          <w:tblCellSpacing w:w="0" w:type="dxa"/>
        </w:trPr>
        <w:tc>
          <w:tcPr>
            <w:tcW w:w="0" w:type="auto"/>
            <w:noWrap w:val="0"/>
            <w:vAlign w:val="center"/>
          </w:tcPr>
          <w:p w14:paraId="41B6F166">
            <w:r>
              <w:rPr>
                <w:rStyle w:val="10"/>
                <w:rFonts w:hint="eastAsia"/>
              </w:rPr>
              <w:t>注意事项：</w:t>
            </w:r>
            <w:r>
              <w:rPr>
                <w:rFonts w:hint="eastAsia"/>
              </w:rPr>
              <w:br w:type="textWrapping"/>
            </w:r>
            <w:r>
              <w:rPr>
                <w:rStyle w:val="11"/>
                <w:rFonts w:hint="eastAsia"/>
              </w:rPr>
              <w:t>1.本品对蜜蜂和家蚕有毒，(周围)开花植物花期、桑园、蚕室周围禁用。施药期间应密切关注对附近蜂群的影响，鸟类保护区附近禁用；赤眼蜂等天敌放飞区域禁用。2.使用时穿戴长衣、长裤、帽子、口罩、手套等防护措施避免与皮肤接触，施药后应立即用肥皂清洗。3.本品对鱼类、水生生物等有毒，切勿直接施用在水道或湿地上，在丢弃器具清洗用水或残液时，应避免流入湖泊、河流和鱼塘，切勿污染水源。水产养殖区、河塘等水体附近禁用，禁止在河塘等水域清洗施药器具。4.建议与其他作物机制杀虫剂交替使用。5.用过的容器应妥善处理，不可做他用，也不可随意丢弃。6.孕妇及哺乳期妇女禁止接触本品。</w:t>
            </w:r>
          </w:p>
        </w:tc>
      </w:tr>
      <w:tr w14:paraId="46578064">
        <w:tblPrEx>
          <w:tblCellMar>
            <w:top w:w="0" w:type="dxa"/>
            <w:left w:w="0" w:type="dxa"/>
            <w:bottom w:w="0" w:type="dxa"/>
            <w:right w:w="0" w:type="dxa"/>
          </w:tblCellMar>
        </w:tblPrEx>
        <w:trPr>
          <w:wBefore w:w="0" w:type="auto"/>
          <w:tblCellSpacing w:w="0" w:type="dxa"/>
        </w:trPr>
        <w:tc>
          <w:tcPr>
            <w:tcW w:w="0" w:type="auto"/>
            <w:noWrap w:val="0"/>
            <w:vAlign w:val="center"/>
          </w:tcPr>
          <w:p w14:paraId="1D3A633C">
            <w:r>
              <w:rPr>
                <w:rStyle w:val="10"/>
                <w:rFonts w:hint="eastAsia"/>
              </w:rPr>
              <w:t>中毒急救措施：</w:t>
            </w:r>
            <w:r>
              <w:rPr>
                <w:rFonts w:hint="eastAsia"/>
              </w:rPr>
              <w:br w:type="textWrapping"/>
            </w:r>
            <w:r>
              <w:rPr>
                <w:rStyle w:val="11"/>
                <w:rFonts w:hint="eastAsia"/>
              </w:rPr>
              <w:t>该产品对眼睛有刺激性，使用时避免接触眼睛。使用本品时，如溅至眼睛或皮肤，应用大量清水冲洗15分钟。不慎吸入，请立即离开施药现场，转移到空气清新处。如误服，请立即停止服用，携此标签立即就医。对症治疗。</w:t>
            </w:r>
          </w:p>
        </w:tc>
      </w:tr>
      <w:tr w14:paraId="5D13F52B">
        <w:tblPrEx>
          <w:tblCellMar>
            <w:top w:w="0" w:type="dxa"/>
            <w:left w:w="0" w:type="dxa"/>
            <w:bottom w:w="0" w:type="dxa"/>
            <w:right w:w="0" w:type="dxa"/>
          </w:tblCellMar>
        </w:tblPrEx>
        <w:trPr>
          <w:wBefore w:w="0" w:type="auto"/>
          <w:tblCellSpacing w:w="0" w:type="dxa"/>
        </w:trPr>
        <w:tc>
          <w:tcPr>
            <w:tcW w:w="0" w:type="auto"/>
            <w:noWrap w:val="0"/>
            <w:vAlign w:val="center"/>
          </w:tcPr>
          <w:p w14:paraId="12153193">
            <w:r>
              <w:rPr>
                <w:rStyle w:val="10"/>
                <w:rFonts w:hint="eastAsia"/>
              </w:rPr>
              <w:t>储存和运输方法：</w:t>
            </w:r>
            <w:r>
              <w:rPr>
                <w:rFonts w:hint="eastAsia"/>
              </w:rPr>
              <w:br w:type="textWrapping"/>
            </w:r>
            <w:r>
              <w:rPr>
                <w:rStyle w:val="11"/>
                <w:rFonts w:hint="eastAsia"/>
              </w:rPr>
              <w:t>1.本品宜存放在通风阴凉干燥防雨处及儿童、无关人员触及不到的地方，并加锁保存，远离火源和热源。2、不得与食品、饮料、粮食、饲料同贮同运。</w:t>
            </w:r>
          </w:p>
        </w:tc>
      </w:tr>
      <w:tr w14:paraId="57508223">
        <w:tblPrEx>
          <w:tblCellMar>
            <w:top w:w="0" w:type="dxa"/>
            <w:left w:w="0" w:type="dxa"/>
            <w:bottom w:w="0" w:type="dxa"/>
            <w:right w:w="0" w:type="dxa"/>
          </w:tblCellMar>
        </w:tblPrEx>
        <w:trPr>
          <w:wBefore w:w="0" w:type="auto"/>
          <w:tblCellSpacing w:w="0" w:type="dxa"/>
        </w:trPr>
        <w:tc>
          <w:tcPr>
            <w:tcW w:w="0" w:type="auto"/>
            <w:noWrap w:val="0"/>
            <w:vAlign w:val="center"/>
          </w:tcPr>
          <w:p w14:paraId="0A16B0B1">
            <w:r>
              <w:rPr>
                <w:rStyle w:val="10"/>
                <w:rFonts w:hint="eastAsia"/>
              </w:rPr>
              <w:t>质量保证期：</w:t>
            </w:r>
            <w:r>
              <w:rPr>
                <w:rStyle w:val="11"/>
                <w:rFonts w:hint="eastAsia"/>
              </w:rPr>
              <w:t>2年</w:t>
            </w:r>
          </w:p>
        </w:tc>
      </w:tr>
      <w:tr w14:paraId="346395AB">
        <w:tblPrEx>
          <w:tblCellMar>
            <w:top w:w="0" w:type="dxa"/>
            <w:left w:w="0" w:type="dxa"/>
            <w:bottom w:w="0" w:type="dxa"/>
            <w:right w:w="0" w:type="dxa"/>
          </w:tblCellMar>
        </w:tblPrEx>
        <w:trPr>
          <w:wBefore w:w="0" w:type="auto"/>
          <w:tblCellSpacing w:w="0" w:type="dxa"/>
        </w:trPr>
        <w:tc>
          <w:tcPr>
            <w:tcW w:w="0" w:type="auto"/>
            <w:noWrap w:val="0"/>
            <w:vAlign w:val="center"/>
          </w:tcPr>
          <w:p w14:paraId="64160104">
            <w:r>
              <w:rPr>
                <w:rStyle w:val="10"/>
                <w:rFonts w:hint="eastAsia"/>
              </w:rPr>
              <w:t>备注：</w:t>
            </w:r>
          </w:p>
        </w:tc>
      </w:tr>
    </w:tbl>
    <w:p w14:paraId="3988AA9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D6728C">
        <w:tblPrEx>
          <w:tblCellMar>
            <w:top w:w="0" w:type="dxa"/>
            <w:left w:w="0" w:type="dxa"/>
            <w:bottom w:w="0" w:type="dxa"/>
            <w:right w:w="0" w:type="dxa"/>
          </w:tblCellMar>
        </w:tblPrEx>
        <w:trPr>
          <w:wBefore w:w="0" w:type="auto"/>
          <w:tblCellSpacing w:w="0" w:type="dxa"/>
        </w:trPr>
        <w:tc>
          <w:tcPr>
            <w:tcW w:w="0" w:type="auto"/>
            <w:noWrap w:val="0"/>
            <w:vAlign w:val="center"/>
          </w:tcPr>
          <w:p w14:paraId="1CBFA8F7">
            <w:r>
              <w:rPr>
                <w:rStyle w:val="10"/>
                <w:rFonts w:hint="eastAsia"/>
              </w:rPr>
              <w:t>登记证号：</w:t>
            </w:r>
            <w:r>
              <w:rPr>
                <w:rFonts w:hint="eastAsia"/>
              </w:rPr>
              <w:t>EX20210140</w:t>
            </w:r>
          </w:p>
        </w:tc>
      </w:tr>
      <w:tr w14:paraId="1C8D1F31">
        <w:tblPrEx>
          <w:tblCellMar>
            <w:top w:w="0" w:type="dxa"/>
            <w:left w:w="0" w:type="dxa"/>
            <w:bottom w:w="0" w:type="dxa"/>
            <w:right w:w="0" w:type="dxa"/>
          </w:tblCellMar>
        </w:tblPrEx>
        <w:trPr>
          <w:wBefore w:w="0" w:type="auto"/>
          <w:tblCellSpacing w:w="0" w:type="dxa"/>
        </w:trPr>
        <w:tc>
          <w:tcPr>
            <w:tcW w:w="0" w:type="auto"/>
            <w:noWrap w:val="0"/>
            <w:vAlign w:val="center"/>
          </w:tcPr>
          <w:p w14:paraId="6922D6AF">
            <w:r>
              <w:rPr>
                <w:rStyle w:val="10"/>
                <w:rFonts w:hint="eastAsia"/>
              </w:rPr>
              <w:t>登记证持有人：</w:t>
            </w:r>
            <w:r>
              <w:rPr>
                <w:rFonts w:hint="eastAsia"/>
              </w:rPr>
              <w:t>江苏中旗科技股份有限公司</w:t>
            </w:r>
          </w:p>
        </w:tc>
      </w:tr>
      <w:tr w14:paraId="23BE8B21">
        <w:tblPrEx>
          <w:tblCellMar>
            <w:top w:w="0" w:type="dxa"/>
            <w:left w:w="0" w:type="dxa"/>
            <w:bottom w:w="0" w:type="dxa"/>
            <w:right w:w="0" w:type="dxa"/>
          </w:tblCellMar>
        </w:tblPrEx>
        <w:trPr>
          <w:wBefore w:w="0" w:type="auto"/>
          <w:tblCellSpacing w:w="0" w:type="dxa"/>
        </w:trPr>
        <w:tc>
          <w:tcPr>
            <w:tcW w:w="0" w:type="auto"/>
            <w:noWrap w:val="0"/>
            <w:vAlign w:val="center"/>
          </w:tcPr>
          <w:p w14:paraId="28A3C429">
            <w:r>
              <w:rPr>
                <w:rStyle w:val="10"/>
                <w:rFonts w:hint="eastAsia"/>
              </w:rPr>
              <w:t>农药名称：</w:t>
            </w:r>
            <w:r>
              <w:rPr>
                <w:rFonts w:hint="eastAsia"/>
              </w:rPr>
              <w:t>精噁唑禾草灵</w:t>
            </w:r>
          </w:p>
        </w:tc>
      </w:tr>
      <w:tr w14:paraId="155BF90B">
        <w:tblPrEx>
          <w:tblCellMar>
            <w:top w:w="0" w:type="dxa"/>
            <w:left w:w="0" w:type="dxa"/>
            <w:bottom w:w="0" w:type="dxa"/>
            <w:right w:w="0" w:type="dxa"/>
          </w:tblCellMar>
        </w:tblPrEx>
        <w:trPr>
          <w:wBefore w:w="0" w:type="auto"/>
          <w:tblCellSpacing w:w="0" w:type="dxa"/>
        </w:trPr>
        <w:tc>
          <w:tcPr>
            <w:tcW w:w="0" w:type="auto"/>
            <w:noWrap w:val="0"/>
            <w:vAlign w:val="center"/>
          </w:tcPr>
          <w:p w14:paraId="5E079424">
            <w:r>
              <w:rPr>
                <w:rStyle w:val="10"/>
                <w:rFonts w:hint="eastAsia"/>
              </w:rPr>
              <w:t>剂型：</w:t>
            </w:r>
            <w:r>
              <w:rPr>
                <w:rFonts w:hint="eastAsia"/>
              </w:rPr>
              <w:t>乳油</w:t>
            </w:r>
          </w:p>
        </w:tc>
      </w:tr>
      <w:tr w14:paraId="6B6BEAE1">
        <w:tblPrEx>
          <w:tblCellMar>
            <w:top w:w="0" w:type="dxa"/>
            <w:left w:w="0" w:type="dxa"/>
            <w:bottom w:w="0" w:type="dxa"/>
            <w:right w:w="0" w:type="dxa"/>
          </w:tblCellMar>
        </w:tblPrEx>
        <w:trPr>
          <w:wBefore w:w="0" w:type="auto"/>
          <w:tblCellSpacing w:w="0" w:type="dxa"/>
        </w:trPr>
        <w:tc>
          <w:tcPr>
            <w:tcW w:w="0" w:type="auto"/>
            <w:noWrap w:val="0"/>
            <w:vAlign w:val="center"/>
          </w:tcPr>
          <w:p w14:paraId="7428BBBE">
            <w:r>
              <w:rPr>
                <w:rStyle w:val="10"/>
                <w:rFonts w:hint="eastAsia"/>
              </w:rPr>
              <w:t>毒性及其标识：</w:t>
            </w:r>
            <w:r>
              <w:rPr>
                <w:rFonts w:hint="eastAsia"/>
              </w:rPr>
              <w:t xml:space="preserve"> </w:t>
            </w:r>
            <w:r>
              <w:rPr>
                <w:lang/>
              </w:rPr>
              <w:drawing>
                <wp:inline distT="0" distB="0" distL="114300" distR="114300">
                  <wp:extent cx="476250" cy="323850"/>
                  <wp:effectExtent l="0" t="0" r="0" b="0"/>
                  <wp:docPr id="393" name="图片 3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B6004F4">
        <w:tblPrEx>
          <w:tblCellMar>
            <w:top w:w="0" w:type="dxa"/>
            <w:left w:w="0" w:type="dxa"/>
            <w:bottom w:w="0" w:type="dxa"/>
            <w:right w:w="0" w:type="dxa"/>
          </w:tblCellMar>
        </w:tblPrEx>
        <w:trPr>
          <w:wBefore w:w="0" w:type="auto"/>
          <w:tblCellSpacing w:w="0" w:type="dxa"/>
        </w:trPr>
        <w:tc>
          <w:tcPr>
            <w:tcW w:w="0" w:type="auto"/>
            <w:noWrap w:val="0"/>
            <w:vAlign w:val="center"/>
          </w:tcPr>
          <w:p w14:paraId="1078512E">
            <w:r>
              <w:rPr>
                <w:rStyle w:val="10"/>
                <w:rFonts w:hint="eastAsia"/>
              </w:rPr>
              <w:t>总有效成分含量：</w:t>
            </w:r>
            <w:r>
              <w:rPr>
                <w:rFonts w:hint="eastAsia"/>
              </w:rPr>
              <w:t>120克/升</w:t>
            </w:r>
          </w:p>
        </w:tc>
      </w:tr>
      <w:tr w14:paraId="1A411002">
        <w:tblPrEx>
          <w:tblCellMar>
            <w:top w:w="0" w:type="dxa"/>
            <w:left w:w="0" w:type="dxa"/>
            <w:bottom w:w="0" w:type="dxa"/>
            <w:right w:w="0" w:type="dxa"/>
          </w:tblCellMar>
        </w:tblPrEx>
        <w:trPr>
          <w:wBefore w:w="0" w:type="auto"/>
          <w:tblCellSpacing w:w="0" w:type="dxa"/>
        </w:trPr>
        <w:tc>
          <w:tcPr>
            <w:tcW w:w="0" w:type="auto"/>
            <w:noWrap w:val="0"/>
            <w:vAlign w:val="center"/>
          </w:tcPr>
          <w:p w14:paraId="0E592665">
            <w:r>
              <w:rPr>
                <w:rFonts w:hint="eastAsia"/>
              </w:rPr>
              <w:t xml:space="preserve">有效成分及其含量： </w:t>
            </w:r>
          </w:p>
          <w:p w14:paraId="21967BFE">
            <w:r>
              <w:rPr>
                <w:rFonts w:hint="eastAsia"/>
              </w:rPr>
              <w:t xml:space="preserve">    </w:t>
            </w:r>
          </w:p>
        </w:tc>
      </w:tr>
      <w:tr w14:paraId="7BE29D38">
        <w:tblPrEx>
          <w:tblCellMar>
            <w:top w:w="0" w:type="dxa"/>
            <w:left w:w="0" w:type="dxa"/>
            <w:bottom w:w="0" w:type="dxa"/>
            <w:right w:w="0" w:type="dxa"/>
          </w:tblCellMar>
        </w:tblPrEx>
        <w:trPr>
          <w:wBefore w:w="0" w:type="auto"/>
          <w:tblCellSpacing w:w="0" w:type="dxa"/>
        </w:trPr>
        <w:tc>
          <w:tcPr>
            <w:tcW w:w="0" w:type="auto"/>
            <w:noWrap w:val="0"/>
            <w:vAlign w:val="center"/>
          </w:tcPr>
          <w:p w14:paraId="204403C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F411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F2088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206F6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0AC8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0FF2A3">
                  <w:r>
                    <w:rPr>
                      <w:rStyle w:val="11"/>
                      <w:rFonts w:hint="eastAsia"/>
                    </w:rPr>
                    <w:t>施用方式</w:t>
                  </w:r>
                </w:p>
              </w:tc>
            </w:tr>
          </w:tbl>
          <w:p w14:paraId="7D49A71A">
            <w:pPr>
              <w:rPr>
                <w:rFonts w:ascii="Times New Roman" w:hAnsi="Times New Roman" w:cs="Times New Roman"/>
                <w:sz w:val="20"/>
                <w:szCs w:val="20"/>
              </w:rPr>
            </w:pPr>
          </w:p>
        </w:tc>
      </w:tr>
      <w:tr w14:paraId="65FAC7F6">
        <w:tblPrEx>
          <w:tblCellMar>
            <w:top w:w="0" w:type="dxa"/>
            <w:left w:w="0" w:type="dxa"/>
            <w:bottom w:w="0" w:type="dxa"/>
            <w:right w:w="0" w:type="dxa"/>
          </w:tblCellMar>
        </w:tblPrEx>
        <w:trPr>
          <w:wBefore w:w="0" w:type="auto"/>
          <w:tblCellSpacing w:w="0" w:type="dxa"/>
        </w:trPr>
        <w:tc>
          <w:tcPr>
            <w:tcW w:w="0" w:type="auto"/>
            <w:noWrap w:val="0"/>
            <w:vAlign w:val="center"/>
          </w:tcPr>
          <w:p w14:paraId="14801C38">
            <w:r>
              <w:rPr>
                <w:rStyle w:val="10"/>
                <w:rFonts w:hint="eastAsia"/>
              </w:rPr>
              <w:t>使用技术要求:</w:t>
            </w:r>
            <w:r>
              <w:rPr>
                <w:rFonts w:hint="eastAsia"/>
              </w:rPr>
              <w:br w:type="textWrapping"/>
            </w:r>
          </w:p>
        </w:tc>
      </w:tr>
      <w:tr w14:paraId="0FA3B8B3">
        <w:tblPrEx>
          <w:tblCellMar>
            <w:top w:w="0" w:type="dxa"/>
            <w:left w:w="0" w:type="dxa"/>
            <w:bottom w:w="0" w:type="dxa"/>
            <w:right w:w="0" w:type="dxa"/>
          </w:tblCellMar>
        </w:tblPrEx>
        <w:trPr>
          <w:wBefore w:w="0" w:type="auto"/>
          <w:tblCellSpacing w:w="0" w:type="dxa"/>
        </w:trPr>
        <w:tc>
          <w:tcPr>
            <w:tcW w:w="0" w:type="auto"/>
            <w:noWrap w:val="0"/>
            <w:vAlign w:val="center"/>
          </w:tcPr>
          <w:p w14:paraId="7916B6F6">
            <w:r>
              <w:rPr>
                <w:rStyle w:val="10"/>
                <w:rFonts w:hint="eastAsia"/>
              </w:rPr>
              <w:t>产品性能:</w:t>
            </w:r>
          </w:p>
        </w:tc>
      </w:tr>
      <w:tr w14:paraId="667DEBAB">
        <w:tblPrEx>
          <w:tblCellMar>
            <w:top w:w="0" w:type="dxa"/>
            <w:left w:w="0" w:type="dxa"/>
            <w:bottom w:w="0" w:type="dxa"/>
            <w:right w:w="0" w:type="dxa"/>
          </w:tblCellMar>
        </w:tblPrEx>
        <w:trPr>
          <w:wBefore w:w="0" w:type="auto"/>
          <w:tblCellSpacing w:w="0" w:type="dxa"/>
        </w:trPr>
        <w:tc>
          <w:tcPr>
            <w:tcW w:w="0" w:type="auto"/>
            <w:noWrap w:val="0"/>
            <w:vAlign w:val="center"/>
          </w:tcPr>
          <w:p w14:paraId="244682BC">
            <w:r>
              <w:rPr>
                <w:rStyle w:val="10"/>
                <w:rFonts w:hint="eastAsia"/>
              </w:rPr>
              <w:t>注意事项：</w:t>
            </w:r>
          </w:p>
        </w:tc>
      </w:tr>
      <w:tr w14:paraId="5A698F22">
        <w:tblPrEx>
          <w:tblCellMar>
            <w:top w:w="0" w:type="dxa"/>
            <w:left w:w="0" w:type="dxa"/>
            <w:bottom w:w="0" w:type="dxa"/>
            <w:right w:w="0" w:type="dxa"/>
          </w:tblCellMar>
        </w:tblPrEx>
        <w:trPr>
          <w:wBefore w:w="0" w:type="auto"/>
          <w:tblCellSpacing w:w="0" w:type="dxa"/>
        </w:trPr>
        <w:tc>
          <w:tcPr>
            <w:tcW w:w="0" w:type="auto"/>
            <w:noWrap w:val="0"/>
            <w:vAlign w:val="center"/>
          </w:tcPr>
          <w:p w14:paraId="33D73A8C">
            <w:r>
              <w:rPr>
                <w:rStyle w:val="10"/>
                <w:rFonts w:hint="eastAsia"/>
              </w:rPr>
              <w:t>中毒急救措施：</w:t>
            </w:r>
          </w:p>
        </w:tc>
      </w:tr>
      <w:tr w14:paraId="2F0A96F9">
        <w:tblPrEx>
          <w:tblCellMar>
            <w:top w:w="0" w:type="dxa"/>
            <w:left w:w="0" w:type="dxa"/>
            <w:bottom w:w="0" w:type="dxa"/>
            <w:right w:w="0" w:type="dxa"/>
          </w:tblCellMar>
        </w:tblPrEx>
        <w:trPr>
          <w:wBefore w:w="0" w:type="auto"/>
          <w:tblCellSpacing w:w="0" w:type="dxa"/>
        </w:trPr>
        <w:tc>
          <w:tcPr>
            <w:tcW w:w="0" w:type="auto"/>
            <w:noWrap w:val="0"/>
            <w:vAlign w:val="center"/>
          </w:tcPr>
          <w:p w14:paraId="2CCFF909">
            <w:r>
              <w:rPr>
                <w:rStyle w:val="10"/>
                <w:rFonts w:hint="eastAsia"/>
              </w:rPr>
              <w:t>储存和运输方法：</w:t>
            </w:r>
          </w:p>
        </w:tc>
      </w:tr>
      <w:tr w14:paraId="48C2654F">
        <w:tblPrEx>
          <w:tblCellMar>
            <w:top w:w="0" w:type="dxa"/>
            <w:left w:w="0" w:type="dxa"/>
            <w:bottom w:w="0" w:type="dxa"/>
            <w:right w:w="0" w:type="dxa"/>
          </w:tblCellMar>
        </w:tblPrEx>
        <w:trPr>
          <w:wBefore w:w="0" w:type="auto"/>
          <w:tblCellSpacing w:w="0" w:type="dxa"/>
        </w:trPr>
        <w:tc>
          <w:tcPr>
            <w:tcW w:w="0" w:type="auto"/>
            <w:noWrap w:val="0"/>
            <w:vAlign w:val="center"/>
          </w:tcPr>
          <w:p w14:paraId="11F7F712">
            <w:r>
              <w:rPr>
                <w:rStyle w:val="10"/>
                <w:rFonts w:hint="eastAsia"/>
              </w:rPr>
              <w:t>质量保证期：</w:t>
            </w:r>
          </w:p>
        </w:tc>
      </w:tr>
      <w:tr w14:paraId="22431FF2">
        <w:tblPrEx>
          <w:tblCellMar>
            <w:top w:w="0" w:type="dxa"/>
            <w:left w:w="0" w:type="dxa"/>
            <w:bottom w:w="0" w:type="dxa"/>
            <w:right w:w="0" w:type="dxa"/>
          </w:tblCellMar>
        </w:tblPrEx>
        <w:trPr>
          <w:wBefore w:w="0" w:type="auto"/>
          <w:tblCellSpacing w:w="0" w:type="dxa"/>
        </w:trPr>
        <w:tc>
          <w:tcPr>
            <w:tcW w:w="0" w:type="auto"/>
            <w:noWrap w:val="0"/>
            <w:vAlign w:val="center"/>
          </w:tcPr>
          <w:p w14:paraId="30D63B93">
            <w:r>
              <w:rPr>
                <w:rStyle w:val="10"/>
                <w:rFonts w:hint="eastAsia"/>
              </w:rPr>
              <w:t>备注：</w:t>
            </w:r>
          </w:p>
        </w:tc>
      </w:tr>
    </w:tbl>
    <w:p w14:paraId="426697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66FD7D">
        <w:tblPrEx>
          <w:tblCellMar>
            <w:top w:w="0" w:type="dxa"/>
            <w:left w:w="0" w:type="dxa"/>
            <w:bottom w:w="0" w:type="dxa"/>
            <w:right w:w="0" w:type="dxa"/>
          </w:tblCellMar>
        </w:tblPrEx>
        <w:trPr>
          <w:wBefore w:w="0" w:type="auto"/>
          <w:tblCellSpacing w:w="0" w:type="dxa"/>
        </w:trPr>
        <w:tc>
          <w:tcPr>
            <w:tcW w:w="0" w:type="auto"/>
            <w:noWrap w:val="0"/>
            <w:vAlign w:val="center"/>
          </w:tcPr>
          <w:p w14:paraId="079FFDE8">
            <w:r>
              <w:rPr>
                <w:rStyle w:val="10"/>
                <w:rFonts w:hint="eastAsia"/>
              </w:rPr>
              <w:t>登记证号：</w:t>
            </w:r>
            <w:r>
              <w:rPr>
                <w:rFonts w:hint="eastAsia"/>
              </w:rPr>
              <w:t>PD20183596</w:t>
            </w:r>
          </w:p>
        </w:tc>
      </w:tr>
      <w:tr w14:paraId="517C4604">
        <w:tblPrEx>
          <w:tblCellMar>
            <w:top w:w="0" w:type="dxa"/>
            <w:left w:w="0" w:type="dxa"/>
            <w:bottom w:w="0" w:type="dxa"/>
            <w:right w:w="0" w:type="dxa"/>
          </w:tblCellMar>
        </w:tblPrEx>
        <w:trPr>
          <w:wBefore w:w="0" w:type="auto"/>
          <w:tblCellSpacing w:w="0" w:type="dxa"/>
        </w:trPr>
        <w:tc>
          <w:tcPr>
            <w:tcW w:w="0" w:type="auto"/>
            <w:noWrap w:val="0"/>
            <w:vAlign w:val="center"/>
          </w:tcPr>
          <w:p w14:paraId="1F005EA3">
            <w:r>
              <w:rPr>
                <w:rStyle w:val="10"/>
                <w:rFonts w:hint="eastAsia"/>
              </w:rPr>
              <w:t>登记证持有人：</w:t>
            </w:r>
            <w:r>
              <w:rPr>
                <w:rFonts w:hint="eastAsia"/>
              </w:rPr>
              <w:t>拜耳股份公司</w:t>
            </w:r>
          </w:p>
        </w:tc>
      </w:tr>
      <w:tr w14:paraId="2CFF5088">
        <w:tblPrEx>
          <w:tblCellMar>
            <w:top w:w="0" w:type="dxa"/>
            <w:left w:w="0" w:type="dxa"/>
            <w:bottom w:w="0" w:type="dxa"/>
            <w:right w:w="0" w:type="dxa"/>
          </w:tblCellMar>
        </w:tblPrEx>
        <w:trPr>
          <w:wBefore w:w="0" w:type="auto"/>
          <w:tblCellSpacing w:w="0" w:type="dxa"/>
        </w:trPr>
        <w:tc>
          <w:tcPr>
            <w:tcW w:w="0" w:type="auto"/>
            <w:noWrap w:val="0"/>
            <w:vAlign w:val="center"/>
          </w:tcPr>
          <w:p w14:paraId="1DEF8124">
            <w:r>
              <w:rPr>
                <w:rStyle w:val="10"/>
                <w:rFonts w:hint="eastAsia"/>
              </w:rPr>
              <w:t>农药名称：</w:t>
            </w:r>
            <w:r>
              <w:rPr>
                <w:rFonts w:hint="eastAsia"/>
              </w:rPr>
              <w:t>乙铝·氟吡胺</w:t>
            </w:r>
          </w:p>
        </w:tc>
      </w:tr>
      <w:tr w14:paraId="39B1E45E">
        <w:tblPrEx>
          <w:tblCellMar>
            <w:top w:w="0" w:type="dxa"/>
            <w:left w:w="0" w:type="dxa"/>
            <w:bottom w:w="0" w:type="dxa"/>
            <w:right w:w="0" w:type="dxa"/>
          </w:tblCellMar>
        </w:tblPrEx>
        <w:trPr>
          <w:wBefore w:w="0" w:type="auto"/>
          <w:tblCellSpacing w:w="0" w:type="dxa"/>
        </w:trPr>
        <w:tc>
          <w:tcPr>
            <w:tcW w:w="0" w:type="auto"/>
            <w:noWrap w:val="0"/>
            <w:vAlign w:val="center"/>
          </w:tcPr>
          <w:p w14:paraId="2897E212">
            <w:r>
              <w:rPr>
                <w:rStyle w:val="10"/>
                <w:rFonts w:hint="eastAsia"/>
              </w:rPr>
              <w:t>剂型：</w:t>
            </w:r>
            <w:r>
              <w:rPr>
                <w:rFonts w:hint="eastAsia"/>
              </w:rPr>
              <w:t>水分散粒剂</w:t>
            </w:r>
          </w:p>
        </w:tc>
      </w:tr>
      <w:tr w14:paraId="36C599A8">
        <w:tblPrEx>
          <w:tblCellMar>
            <w:top w:w="0" w:type="dxa"/>
            <w:left w:w="0" w:type="dxa"/>
            <w:bottom w:w="0" w:type="dxa"/>
            <w:right w:w="0" w:type="dxa"/>
          </w:tblCellMar>
        </w:tblPrEx>
        <w:trPr>
          <w:wBefore w:w="0" w:type="auto"/>
          <w:tblCellSpacing w:w="0" w:type="dxa"/>
        </w:trPr>
        <w:tc>
          <w:tcPr>
            <w:tcW w:w="0" w:type="auto"/>
            <w:noWrap w:val="0"/>
            <w:vAlign w:val="center"/>
          </w:tcPr>
          <w:p w14:paraId="7AD7B0E6">
            <w:r>
              <w:rPr>
                <w:rStyle w:val="10"/>
                <w:rFonts w:hint="eastAsia"/>
              </w:rPr>
              <w:t>毒性及其标识：</w:t>
            </w:r>
            <w:r>
              <w:rPr>
                <w:rFonts w:hint="eastAsia"/>
              </w:rPr>
              <w:t xml:space="preserve"> </w:t>
            </w:r>
            <w:r>
              <w:rPr>
                <w:lang/>
              </w:rPr>
              <w:drawing>
                <wp:inline distT="0" distB="0" distL="114300" distR="114300">
                  <wp:extent cx="476250" cy="323850"/>
                  <wp:effectExtent l="0" t="0" r="0" b="0"/>
                  <wp:docPr id="394" name="图片 3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21B45A">
        <w:tblPrEx>
          <w:tblCellMar>
            <w:top w:w="0" w:type="dxa"/>
            <w:left w:w="0" w:type="dxa"/>
            <w:bottom w:w="0" w:type="dxa"/>
            <w:right w:w="0" w:type="dxa"/>
          </w:tblCellMar>
        </w:tblPrEx>
        <w:trPr>
          <w:wBefore w:w="0" w:type="auto"/>
          <w:tblCellSpacing w:w="0" w:type="dxa"/>
        </w:trPr>
        <w:tc>
          <w:tcPr>
            <w:tcW w:w="0" w:type="auto"/>
            <w:noWrap w:val="0"/>
            <w:vAlign w:val="center"/>
          </w:tcPr>
          <w:p w14:paraId="651AA872">
            <w:r>
              <w:rPr>
                <w:rStyle w:val="10"/>
                <w:rFonts w:hint="eastAsia"/>
              </w:rPr>
              <w:t>总有效成分含量：</w:t>
            </w:r>
            <w:r>
              <w:rPr>
                <w:rFonts w:hint="eastAsia"/>
              </w:rPr>
              <w:t>71%</w:t>
            </w:r>
          </w:p>
        </w:tc>
      </w:tr>
      <w:tr w14:paraId="2BD80EE5">
        <w:tblPrEx>
          <w:tblCellMar>
            <w:top w:w="0" w:type="dxa"/>
            <w:left w:w="0" w:type="dxa"/>
            <w:bottom w:w="0" w:type="dxa"/>
            <w:right w:w="0" w:type="dxa"/>
          </w:tblCellMar>
        </w:tblPrEx>
        <w:trPr>
          <w:wBefore w:w="0" w:type="auto"/>
          <w:tblCellSpacing w:w="0" w:type="dxa"/>
        </w:trPr>
        <w:tc>
          <w:tcPr>
            <w:tcW w:w="0" w:type="auto"/>
            <w:noWrap w:val="0"/>
            <w:vAlign w:val="center"/>
          </w:tcPr>
          <w:p w14:paraId="7C86BE63">
            <w:r>
              <w:rPr>
                <w:rFonts w:hint="eastAsia"/>
              </w:rPr>
              <w:t xml:space="preserve">有效成分及其含量： </w:t>
            </w:r>
          </w:p>
          <w:p w14:paraId="469F0A23">
            <w:r>
              <w:rPr>
                <w:rFonts w:hint="eastAsia"/>
              </w:rPr>
              <w:t xml:space="preserve">    三乙膦酸铝66.6%    氟吡菌胺4.4%    </w:t>
            </w:r>
          </w:p>
        </w:tc>
      </w:tr>
      <w:tr w14:paraId="0FD216F1">
        <w:tblPrEx>
          <w:tblCellMar>
            <w:top w:w="0" w:type="dxa"/>
            <w:left w:w="0" w:type="dxa"/>
            <w:bottom w:w="0" w:type="dxa"/>
            <w:right w:w="0" w:type="dxa"/>
          </w:tblCellMar>
        </w:tblPrEx>
        <w:trPr>
          <w:wBefore w:w="0" w:type="auto"/>
          <w:tblCellSpacing w:w="0" w:type="dxa"/>
        </w:trPr>
        <w:tc>
          <w:tcPr>
            <w:tcW w:w="0" w:type="auto"/>
            <w:noWrap w:val="0"/>
            <w:vAlign w:val="center"/>
          </w:tcPr>
          <w:p w14:paraId="191D41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C9B1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80013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58EF8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0CE0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256E54">
                  <w:r>
                    <w:rPr>
                      <w:rStyle w:val="11"/>
                      <w:rFonts w:hint="eastAsia"/>
                    </w:rPr>
                    <w:t>施用方式</w:t>
                  </w:r>
                </w:p>
              </w:tc>
            </w:tr>
            <w:tr w14:paraId="508F93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A629FD">
                  <w:r>
                    <w:rPr>
                      <w:rStyle w:val="11"/>
                      <w:rFonts w:hint="eastAsia"/>
                    </w:rPr>
                    <w:t>荔枝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7F1328">
                  <w:r>
                    <w:rPr>
                      <w:rStyle w:val="11"/>
                      <w:rFonts w:hint="eastAsia"/>
                    </w:rPr>
                    <w:t>霜疫霉病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2C120F">
                  <w:r>
                    <w:rPr>
                      <w:rStyle w:val="11"/>
                      <w:rFonts w:hint="eastAsia"/>
                    </w:rPr>
                    <w:t>400-500倍液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017856">
                  <w:r>
                    <w:rPr>
                      <w:rStyle w:val="11"/>
                      <w:rFonts w:hint="eastAsia"/>
                    </w:rPr>
                    <w:t>喷雾</w:t>
                  </w:r>
                </w:p>
              </w:tc>
            </w:tr>
          </w:tbl>
          <w:p w14:paraId="5E4A2308">
            <w:pPr>
              <w:rPr>
                <w:rFonts w:ascii="Times New Roman" w:hAnsi="Times New Roman" w:cs="Times New Roman"/>
                <w:sz w:val="20"/>
                <w:szCs w:val="20"/>
              </w:rPr>
            </w:pPr>
          </w:p>
        </w:tc>
      </w:tr>
      <w:tr w14:paraId="2BD888C4">
        <w:tblPrEx>
          <w:tblCellMar>
            <w:top w:w="0" w:type="dxa"/>
            <w:left w:w="0" w:type="dxa"/>
            <w:bottom w:w="0" w:type="dxa"/>
            <w:right w:w="0" w:type="dxa"/>
          </w:tblCellMar>
        </w:tblPrEx>
        <w:trPr>
          <w:wBefore w:w="0" w:type="auto"/>
          <w:tblCellSpacing w:w="0" w:type="dxa"/>
        </w:trPr>
        <w:tc>
          <w:tcPr>
            <w:tcW w:w="0" w:type="auto"/>
            <w:noWrap w:val="0"/>
            <w:vAlign w:val="center"/>
          </w:tcPr>
          <w:p w14:paraId="04DC16A9">
            <w:r>
              <w:rPr>
                <w:rStyle w:val="10"/>
                <w:rFonts w:hint="eastAsia"/>
              </w:rPr>
              <w:t>使用技术要求:</w:t>
            </w:r>
            <w:r>
              <w:rPr>
                <w:rFonts w:hint="eastAsia"/>
              </w:rPr>
              <w:br w:type="textWrapping"/>
            </w:r>
            <w:r>
              <w:rPr>
                <w:rStyle w:val="11"/>
                <w:rFonts w:hint="eastAsia"/>
              </w:rPr>
              <w:t>1.配制药液时，应采用农药标准稀释方法两步稀释法，先在小水桶中充分稀释推荐用量的本品，然后再倒入喷雾器中，搅拌混匀，即配即用；2.据作物大小，确定合适的用水量，按每亩推荐用药量或倍数施用；3.在病害发生初期进行叶面喷雾处理。黄瓜：建议每隔7天左右施用一次，可连续用药2-3次；葡萄：可连续用药2-3次，间隔10天一次；荔枝：可连续用药3次，间隔15天左右一次；4.预计病害重发生时，建议使用高剂量；5.大风天或预计1小时内降雨，请勿施药；6.安全间隔期：黄瓜为3天，葡萄为14天，荔枝为14天；7.每季最多施用次数：3次。</w:t>
            </w:r>
          </w:p>
        </w:tc>
      </w:tr>
      <w:tr w14:paraId="3E9295F7">
        <w:tblPrEx>
          <w:tblCellMar>
            <w:top w:w="0" w:type="dxa"/>
            <w:left w:w="0" w:type="dxa"/>
            <w:bottom w:w="0" w:type="dxa"/>
            <w:right w:w="0" w:type="dxa"/>
          </w:tblCellMar>
        </w:tblPrEx>
        <w:trPr>
          <w:wBefore w:w="0" w:type="auto"/>
          <w:tblCellSpacing w:w="0" w:type="dxa"/>
        </w:trPr>
        <w:tc>
          <w:tcPr>
            <w:tcW w:w="0" w:type="auto"/>
            <w:noWrap w:val="0"/>
            <w:vAlign w:val="center"/>
          </w:tcPr>
          <w:p w14:paraId="391B7A9B">
            <w:r>
              <w:rPr>
                <w:rStyle w:val="10"/>
                <w:rFonts w:hint="eastAsia"/>
              </w:rPr>
              <w:t>产品性能:</w:t>
            </w:r>
            <w:r>
              <w:rPr>
                <w:rFonts w:hint="eastAsia"/>
              </w:rPr>
              <w:br w:type="textWrapping"/>
            </w:r>
            <w:r>
              <w:rPr>
                <w:rStyle w:val="11"/>
                <w:rFonts w:hint="eastAsia"/>
              </w:rPr>
              <w:t>本品由内吸性杀菌剂氟吡菌胺和兼具向基和向顶双向传导活性的三乙膦酸铝复配而成，具有治疗作用，尽早施用更对植株及新生组织有优异保护作用。对卵菌引起的果蔬病害具有稳定和良好的防治效果。该产品具有活性高、内吸性强、持效期长的特点。按照推荐方法施用，对作物安全。</w:t>
            </w:r>
          </w:p>
        </w:tc>
      </w:tr>
      <w:tr w14:paraId="47FA7855">
        <w:tblPrEx>
          <w:tblCellMar>
            <w:top w:w="0" w:type="dxa"/>
            <w:left w:w="0" w:type="dxa"/>
            <w:bottom w:w="0" w:type="dxa"/>
            <w:right w:w="0" w:type="dxa"/>
          </w:tblCellMar>
        </w:tblPrEx>
        <w:trPr>
          <w:wBefore w:w="0" w:type="auto"/>
          <w:tblCellSpacing w:w="0" w:type="dxa"/>
        </w:trPr>
        <w:tc>
          <w:tcPr>
            <w:tcW w:w="0" w:type="auto"/>
            <w:noWrap w:val="0"/>
            <w:vAlign w:val="center"/>
          </w:tcPr>
          <w:p w14:paraId="30FAC713">
            <w:r>
              <w:rPr>
                <w:rStyle w:val="10"/>
                <w:rFonts w:hint="eastAsia"/>
              </w:rPr>
              <w:t>注意事项：</w:t>
            </w:r>
            <w:r>
              <w:rPr>
                <w:rFonts w:hint="eastAsia"/>
              </w:rPr>
              <w:br w:type="textWrapping"/>
            </w:r>
            <w:r>
              <w:rPr>
                <w:rStyle w:val="11"/>
                <w:rFonts w:hint="eastAsia"/>
              </w:rPr>
              <w:t>1.本品不能与氮（氨）为主的叶面肥，三氯杀螨醇、油悬浮剂、铜制剂、液体硫制剂类农药混用；2.本品易吸潮结块，贮运中应注意密封干燥保存；3.使用时应戴防护镜、口罩和手套，穿防护服，并禁止饮食、吸烟、饮水等；4.施药后用肥皂和足量清水彻底清洗手、面部以及其它可能接触药液的身体部位；5.本品对水生生物有极高毒性风险，药品及废液严禁污染各类水域、土壤等环境；水产养殖区、河塘等水体附近禁用；严禁在河塘清洗施药器械；6.空包装应妥善处理，不可随意丢弃，也不可做他用；7.避免孕妇及哺乳期妇女接触。8. 可与甲霜灵、嘧菌酯、氰霜唑、烯酰吗啉等作用机理不同的药剂轮换使用。</w:t>
            </w:r>
          </w:p>
        </w:tc>
      </w:tr>
      <w:tr w14:paraId="18B98944">
        <w:tblPrEx>
          <w:tblCellMar>
            <w:top w:w="0" w:type="dxa"/>
            <w:left w:w="0" w:type="dxa"/>
            <w:bottom w:w="0" w:type="dxa"/>
            <w:right w:w="0" w:type="dxa"/>
          </w:tblCellMar>
        </w:tblPrEx>
        <w:trPr>
          <w:wBefore w:w="0" w:type="auto"/>
          <w:tblCellSpacing w:w="0" w:type="dxa"/>
        </w:trPr>
        <w:tc>
          <w:tcPr>
            <w:tcW w:w="0" w:type="auto"/>
            <w:noWrap w:val="0"/>
            <w:vAlign w:val="center"/>
          </w:tcPr>
          <w:p w14:paraId="2E39AC54">
            <w:r>
              <w:rPr>
                <w:rStyle w:val="10"/>
                <w:rFonts w:hint="eastAsia"/>
              </w:rPr>
              <w:t>中毒急救措施：</w:t>
            </w:r>
            <w:r>
              <w:rPr>
                <w:rFonts w:hint="eastAsia"/>
              </w:rPr>
              <w:br w:type="textWrapping"/>
            </w:r>
            <w:r>
              <w:rPr>
                <w:rStyle w:val="11"/>
                <w:rFonts w:hint="eastAsia"/>
              </w:rPr>
              <w:t>1. 一般建议：将中毒者从危险区域转移，脱去受污染衣物并妥善处置，转移时需保持中毒者处于稳定的侧卧体位；2. 如皮肤接触：用肥皂和大量清水彻底清洗，如有条件，先用聚乙二醇400清洗再用清水冲洗，如仍有不适，应立即就医；3. 如误入眼睛：立即用大量清水冲洗至少15分钟；如戴隐形眼镜，先冲洗5分钟，摘掉眼镜后再继续冲洗，如仍有不适，应立即就医；4. 如误吸入：将患者移到空气新鲜处，使其保持温暖和休息，如仍有不适，应立即就医；5.如误食：禁止催吐，用水漱口并立即携此标签就医；6.中毒症状：刺激，无特效解毒剂，建议医生根据患者症状对症治疗。通常不需要洗胃，但如果大量摄入时（超过一满口),给服活性炭和硫酸钠；7.如发生中毒事故或化学事故请拨打国家化学事故应急响应专线0532-83889090。</w:t>
            </w:r>
          </w:p>
        </w:tc>
      </w:tr>
      <w:tr w14:paraId="4CF1B2FF">
        <w:tblPrEx>
          <w:tblCellMar>
            <w:top w:w="0" w:type="dxa"/>
            <w:left w:w="0" w:type="dxa"/>
            <w:bottom w:w="0" w:type="dxa"/>
            <w:right w:w="0" w:type="dxa"/>
          </w:tblCellMar>
        </w:tblPrEx>
        <w:trPr>
          <w:wBefore w:w="0" w:type="auto"/>
          <w:tblCellSpacing w:w="0" w:type="dxa"/>
        </w:trPr>
        <w:tc>
          <w:tcPr>
            <w:tcW w:w="0" w:type="auto"/>
            <w:noWrap w:val="0"/>
            <w:vAlign w:val="center"/>
          </w:tcPr>
          <w:p w14:paraId="3866AE41">
            <w:r>
              <w:rPr>
                <w:rStyle w:val="10"/>
                <w:rFonts w:hint="eastAsia"/>
              </w:rPr>
              <w:t>储存和运输方法：</w:t>
            </w:r>
            <w:r>
              <w:rPr>
                <w:rFonts w:hint="eastAsia"/>
              </w:rPr>
              <w:br w:type="textWrapping"/>
            </w:r>
            <w:r>
              <w:rPr>
                <w:rStyle w:val="11"/>
                <w:rFonts w:hint="eastAsia"/>
              </w:rPr>
              <w:t>1．本品应以原包装贮存于阴凉、干燥和通风处；2．不能与食品、饮料、粮食、饲料等混合储存和运输；3. 置于儿童接触不到的地方，加锁保管；4．存贮温度为-20℃~40℃；5．运输时应注意防水防潮，避免雨淋；搬运时轻搬轻放，不可倒置；6. 远离火源或热源。</w:t>
            </w:r>
          </w:p>
        </w:tc>
      </w:tr>
      <w:tr w14:paraId="2E73B843">
        <w:tblPrEx>
          <w:tblCellMar>
            <w:top w:w="0" w:type="dxa"/>
            <w:left w:w="0" w:type="dxa"/>
            <w:bottom w:w="0" w:type="dxa"/>
            <w:right w:w="0" w:type="dxa"/>
          </w:tblCellMar>
        </w:tblPrEx>
        <w:trPr>
          <w:wBefore w:w="0" w:type="auto"/>
          <w:tblCellSpacing w:w="0" w:type="dxa"/>
        </w:trPr>
        <w:tc>
          <w:tcPr>
            <w:tcW w:w="0" w:type="auto"/>
            <w:noWrap w:val="0"/>
            <w:vAlign w:val="center"/>
          </w:tcPr>
          <w:p w14:paraId="04930DA7">
            <w:r>
              <w:rPr>
                <w:rStyle w:val="10"/>
                <w:rFonts w:hint="eastAsia"/>
              </w:rPr>
              <w:t>质量保证期：</w:t>
            </w:r>
            <w:r>
              <w:rPr>
                <w:rStyle w:val="11"/>
                <w:rFonts w:hint="eastAsia"/>
              </w:rPr>
              <w:t>2年</w:t>
            </w:r>
          </w:p>
        </w:tc>
      </w:tr>
      <w:tr w14:paraId="18159879">
        <w:tblPrEx>
          <w:tblCellMar>
            <w:top w:w="0" w:type="dxa"/>
            <w:left w:w="0" w:type="dxa"/>
            <w:bottom w:w="0" w:type="dxa"/>
            <w:right w:w="0" w:type="dxa"/>
          </w:tblCellMar>
        </w:tblPrEx>
        <w:trPr>
          <w:wBefore w:w="0" w:type="auto"/>
          <w:tblCellSpacing w:w="0" w:type="dxa"/>
        </w:trPr>
        <w:tc>
          <w:tcPr>
            <w:tcW w:w="0" w:type="auto"/>
            <w:noWrap w:val="0"/>
            <w:vAlign w:val="center"/>
          </w:tcPr>
          <w:p w14:paraId="3284360C">
            <w:r>
              <w:rPr>
                <w:rStyle w:val="10"/>
                <w:rFonts w:hint="eastAsia"/>
              </w:rPr>
              <w:t>备注：</w:t>
            </w:r>
          </w:p>
        </w:tc>
      </w:tr>
    </w:tbl>
    <w:p w14:paraId="3A0523C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C5B765">
        <w:tblPrEx>
          <w:tblCellMar>
            <w:top w:w="0" w:type="dxa"/>
            <w:left w:w="0" w:type="dxa"/>
            <w:bottom w:w="0" w:type="dxa"/>
            <w:right w:w="0" w:type="dxa"/>
          </w:tblCellMar>
        </w:tblPrEx>
        <w:trPr>
          <w:wBefore w:w="0" w:type="auto"/>
          <w:tblCellSpacing w:w="0" w:type="dxa"/>
        </w:trPr>
        <w:tc>
          <w:tcPr>
            <w:tcW w:w="0" w:type="auto"/>
            <w:noWrap w:val="0"/>
            <w:vAlign w:val="center"/>
          </w:tcPr>
          <w:p w14:paraId="362618F0">
            <w:r>
              <w:rPr>
                <w:rStyle w:val="10"/>
                <w:rFonts w:hint="eastAsia"/>
              </w:rPr>
              <w:t>登记证号：</w:t>
            </w:r>
            <w:r>
              <w:rPr>
                <w:rFonts w:hint="eastAsia"/>
              </w:rPr>
              <w:t>PD20212551</w:t>
            </w:r>
          </w:p>
        </w:tc>
      </w:tr>
      <w:tr w14:paraId="0FAF8BD8">
        <w:tblPrEx>
          <w:tblCellMar>
            <w:top w:w="0" w:type="dxa"/>
            <w:left w:w="0" w:type="dxa"/>
            <w:bottom w:w="0" w:type="dxa"/>
            <w:right w:w="0" w:type="dxa"/>
          </w:tblCellMar>
        </w:tblPrEx>
        <w:trPr>
          <w:wBefore w:w="0" w:type="auto"/>
          <w:tblCellSpacing w:w="0" w:type="dxa"/>
        </w:trPr>
        <w:tc>
          <w:tcPr>
            <w:tcW w:w="0" w:type="auto"/>
            <w:noWrap w:val="0"/>
            <w:vAlign w:val="center"/>
          </w:tcPr>
          <w:p w14:paraId="0BCC636C">
            <w:r>
              <w:rPr>
                <w:rStyle w:val="10"/>
                <w:rFonts w:hint="eastAsia"/>
              </w:rPr>
              <w:t>登记证持有人：</w:t>
            </w:r>
            <w:r>
              <w:rPr>
                <w:rFonts w:hint="eastAsia"/>
              </w:rPr>
              <w:t>山东奥坤作物科学股份有限公司</w:t>
            </w:r>
          </w:p>
        </w:tc>
      </w:tr>
      <w:tr w14:paraId="35C27569">
        <w:tblPrEx>
          <w:tblCellMar>
            <w:top w:w="0" w:type="dxa"/>
            <w:left w:w="0" w:type="dxa"/>
            <w:bottom w:w="0" w:type="dxa"/>
            <w:right w:w="0" w:type="dxa"/>
          </w:tblCellMar>
        </w:tblPrEx>
        <w:trPr>
          <w:wBefore w:w="0" w:type="auto"/>
          <w:tblCellSpacing w:w="0" w:type="dxa"/>
        </w:trPr>
        <w:tc>
          <w:tcPr>
            <w:tcW w:w="0" w:type="auto"/>
            <w:noWrap w:val="0"/>
            <w:vAlign w:val="center"/>
          </w:tcPr>
          <w:p w14:paraId="7DBED4C5">
            <w:r>
              <w:rPr>
                <w:rStyle w:val="10"/>
                <w:rFonts w:hint="eastAsia"/>
              </w:rPr>
              <w:t>农药名称：</w:t>
            </w:r>
            <w:r>
              <w:rPr>
                <w:rFonts w:hint="eastAsia"/>
              </w:rPr>
              <w:t>精草铵膦铵盐</w:t>
            </w:r>
          </w:p>
        </w:tc>
      </w:tr>
      <w:tr w14:paraId="5A70787B">
        <w:tblPrEx>
          <w:tblCellMar>
            <w:top w:w="0" w:type="dxa"/>
            <w:left w:w="0" w:type="dxa"/>
            <w:bottom w:w="0" w:type="dxa"/>
            <w:right w:w="0" w:type="dxa"/>
          </w:tblCellMar>
        </w:tblPrEx>
        <w:trPr>
          <w:wBefore w:w="0" w:type="auto"/>
          <w:tblCellSpacing w:w="0" w:type="dxa"/>
        </w:trPr>
        <w:tc>
          <w:tcPr>
            <w:tcW w:w="0" w:type="auto"/>
            <w:noWrap w:val="0"/>
            <w:vAlign w:val="center"/>
          </w:tcPr>
          <w:p w14:paraId="07B14849">
            <w:r>
              <w:rPr>
                <w:rStyle w:val="10"/>
                <w:rFonts w:hint="eastAsia"/>
              </w:rPr>
              <w:t>剂型：</w:t>
            </w:r>
            <w:r>
              <w:rPr>
                <w:rFonts w:hint="eastAsia"/>
              </w:rPr>
              <w:t>可溶液剂</w:t>
            </w:r>
          </w:p>
        </w:tc>
      </w:tr>
      <w:tr w14:paraId="31041DE6">
        <w:tblPrEx>
          <w:tblCellMar>
            <w:top w:w="0" w:type="dxa"/>
            <w:left w:w="0" w:type="dxa"/>
            <w:bottom w:w="0" w:type="dxa"/>
            <w:right w:w="0" w:type="dxa"/>
          </w:tblCellMar>
        </w:tblPrEx>
        <w:trPr>
          <w:wBefore w:w="0" w:type="auto"/>
          <w:tblCellSpacing w:w="0" w:type="dxa"/>
        </w:trPr>
        <w:tc>
          <w:tcPr>
            <w:tcW w:w="0" w:type="auto"/>
            <w:noWrap w:val="0"/>
            <w:vAlign w:val="center"/>
          </w:tcPr>
          <w:p w14:paraId="5B49967C">
            <w:r>
              <w:rPr>
                <w:rStyle w:val="10"/>
                <w:rFonts w:hint="eastAsia"/>
              </w:rPr>
              <w:t>毒性及其标识：</w:t>
            </w:r>
            <w:r>
              <w:rPr>
                <w:rFonts w:hint="eastAsia"/>
              </w:rPr>
              <w:t xml:space="preserve"> </w:t>
            </w:r>
            <w:r>
              <w:rPr>
                <w:lang/>
              </w:rPr>
              <w:drawing>
                <wp:inline distT="0" distB="0" distL="114300" distR="114300">
                  <wp:extent cx="476250" cy="323850"/>
                  <wp:effectExtent l="0" t="0" r="0" b="0"/>
                  <wp:docPr id="395" name="图片 3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EF5EC59">
        <w:tblPrEx>
          <w:tblCellMar>
            <w:top w:w="0" w:type="dxa"/>
            <w:left w:w="0" w:type="dxa"/>
            <w:bottom w:w="0" w:type="dxa"/>
            <w:right w:w="0" w:type="dxa"/>
          </w:tblCellMar>
        </w:tblPrEx>
        <w:trPr>
          <w:wBefore w:w="0" w:type="auto"/>
          <w:tblCellSpacing w:w="0" w:type="dxa"/>
        </w:trPr>
        <w:tc>
          <w:tcPr>
            <w:tcW w:w="0" w:type="auto"/>
            <w:noWrap w:val="0"/>
            <w:vAlign w:val="center"/>
          </w:tcPr>
          <w:p w14:paraId="3230BC4C">
            <w:r>
              <w:rPr>
                <w:rStyle w:val="10"/>
                <w:rFonts w:hint="eastAsia"/>
              </w:rPr>
              <w:t>总有效成分含量：</w:t>
            </w:r>
            <w:r>
              <w:rPr>
                <w:rFonts w:hint="eastAsia"/>
              </w:rPr>
              <w:t>10%</w:t>
            </w:r>
          </w:p>
        </w:tc>
      </w:tr>
      <w:tr w14:paraId="1DF7D57D">
        <w:tblPrEx>
          <w:tblCellMar>
            <w:top w:w="0" w:type="dxa"/>
            <w:left w:w="0" w:type="dxa"/>
            <w:bottom w:w="0" w:type="dxa"/>
            <w:right w:w="0" w:type="dxa"/>
          </w:tblCellMar>
        </w:tblPrEx>
        <w:trPr>
          <w:wBefore w:w="0" w:type="auto"/>
          <w:tblCellSpacing w:w="0" w:type="dxa"/>
        </w:trPr>
        <w:tc>
          <w:tcPr>
            <w:tcW w:w="0" w:type="auto"/>
            <w:noWrap w:val="0"/>
            <w:vAlign w:val="center"/>
          </w:tcPr>
          <w:p w14:paraId="2F0EA916">
            <w:r>
              <w:rPr>
                <w:rFonts w:hint="eastAsia"/>
              </w:rPr>
              <w:t xml:space="preserve">有效成分及其含量： </w:t>
            </w:r>
          </w:p>
          <w:p w14:paraId="365D75F5">
            <w:r>
              <w:rPr>
                <w:rFonts w:hint="eastAsia"/>
              </w:rPr>
              <w:t xml:space="preserve">    精草铵膦10%    </w:t>
            </w:r>
          </w:p>
        </w:tc>
      </w:tr>
      <w:tr w14:paraId="40CC0A9E">
        <w:tblPrEx>
          <w:tblCellMar>
            <w:top w:w="0" w:type="dxa"/>
            <w:left w:w="0" w:type="dxa"/>
            <w:bottom w:w="0" w:type="dxa"/>
            <w:right w:w="0" w:type="dxa"/>
          </w:tblCellMar>
        </w:tblPrEx>
        <w:trPr>
          <w:wBefore w:w="0" w:type="auto"/>
          <w:tblCellSpacing w:w="0" w:type="dxa"/>
        </w:trPr>
        <w:tc>
          <w:tcPr>
            <w:tcW w:w="0" w:type="auto"/>
            <w:noWrap w:val="0"/>
            <w:vAlign w:val="center"/>
          </w:tcPr>
          <w:p w14:paraId="0EC7C4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902A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A45ED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2CA7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6996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387733">
                  <w:r>
                    <w:rPr>
                      <w:rStyle w:val="11"/>
                      <w:rFonts w:hint="eastAsia"/>
                    </w:rPr>
                    <w:t>施用方式</w:t>
                  </w:r>
                </w:p>
              </w:tc>
            </w:tr>
            <w:tr w14:paraId="107510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37818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FD18E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9A3BC4">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7E8B35">
                  <w:r>
                    <w:rPr>
                      <w:rStyle w:val="11"/>
                      <w:rFonts w:hint="eastAsia"/>
                    </w:rPr>
                    <w:t>茎叶喷雾</w:t>
                  </w:r>
                </w:p>
              </w:tc>
            </w:tr>
          </w:tbl>
          <w:p w14:paraId="49C42EC5">
            <w:pPr>
              <w:rPr>
                <w:rFonts w:ascii="Times New Roman" w:hAnsi="Times New Roman" w:cs="Times New Roman"/>
                <w:sz w:val="20"/>
                <w:szCs w:val="20"/>
              </w:rPr>
            </w:pPr>
          </w:p>
        </w:tc>
      </w:tr>
      <w:tr w14:paraId="6A7FB9A7">
        <w:tblPrEx>
          <w:tblCellMar>
            <w:top w:w="0" w:type="dxa"/>
            <w:left w:w="0" w:type="dxa"/>
            <w:bottom w:w="0" w:type="dxa"/>
            <w:right w:w="0" w:type="dxa"/>
          </w:tblCellMar>
        </w:tblPrEx>
        <w:trPr>
          <w:wBefore w:w="0" w:type="auto"/>
          <w:tblCellSpacing w:w="0" w:type="dxa"/>
        </w:trPr>
        <w:tc>
          <w:tcPr>
            <w:tcW w:w="0" w:type="auto"/>
            <w:noWrap w:val="0"/>
            <w:vAlign w:val="center"/>
          </w:tcPr>
          <w:p w14:paraId="31DF45FA">
            <w:r>
              <w:rPr>
                <w:rStyle w:val="10"/>
                <w:rFonts w:hint="eastAsia"/>
              </w:rPr>
              <w:t>使用技术要求:</w:t>
            </w:r>
            <w:r>
              <w:rPr>
                <w:rFonts w:hint="eastAsia"/>
              </w:rPr>
              <w:br w:type="textWrapping"/>
            </w:r>
            <w:r>
              <w:rPr>
                <w:rStyle w:val="11"/>
                <w:rFonts w:hint="eastAsia"/>
              </w:rPr>
              <w:t>1.于杂草生长旺盛期，每亩兑水30-50公斤，均匀茎叶喷雾1次；2.大风天或预计1小时内有雨，请勿施药。</w:t>
            </w:r>
          </w:p>
        </w:tc>
      </w:tr>
      <w:tr w14:paraId="1C88BFAF">
        <w:tblPrEx>
          <w:tblCellMar>
            <w:top w:w="0" w:type="dxa"/>
            <w:left w:w="0" w:type="dxa"/>
            <w:bottom w:w="0" w:type="dxa"/>
            <w:right w:w="0" w:type="dxa"/>
          </w:tblCellMar>
        </w:tblPrEx>
        <w:trPr>
          <w:wBefore w:w="0" w:type="auto"/>
          <w:tblCellSpacing w:w="0" w:type="dxa"/>
        </w:trPr>
        <w:tc>
          <w:tcPr>
            <w:tcW w:w="0" w:type="auto"/>
            <w:noWrap w:val="0"/>
            <w:vAlign w:val="center"/>
          </w:tcPr>
          <w:p w14:paraId="2F864D7A">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 药后短时间内，植物体内铵代谢陷于紊乱，细胞毒剂铵离子在植物体内累积，与此同时，光合作用被 抑制，达到除草目的，适用于防除非耕地杂草。</w:t>
            </w:r>
          </w:p>
        </w:tc>
      </w:tr>
      <w:tr w14:paraId="4490F9E5">
        <w:tblPrEx>
          <w:tblCellMar>
            <w:top w:w="0" w:type="dxa"/>
            <w:left w:w="0" w:type="dxa"/>
            <w:bottom w:w="0" w:type="dxa"/>
            <w:right w:w="0" w:type="dxa"/>
          </w:tblCellMar>
        </w:tblPrEx>
        <w:trPr>
          <w:wBefore w:w="0" w:type="auto"/>
          <w:tblCellSpacing w:w="0" w:type="dxa"/>
        </w:trPr>
        <w:tc>
          <w:tcPr>
            <w:tcW w:w="0" w:type="auto"/>
            <w:noWrap w:val="0"/>
            <w:vAlign w:val="center"/>
          </w:tcPr>
          <w:p w14:paraId="5631913D">
            <w:r>
              <w:rPr>
                <w:rStyle w:val="10"/>
                <w:rFonts w:hint="eastAsia"/>
              </w:rPr>
              <w:t>注意事项：</w:t>
            </w:r>
            <w:r>
              <w:rPr>
                <w:rFonts w:hint="eastAsia"/>
              </w:rPr>
              <w:br w:type="textWrapping"/>
            </w:r>
            <w:r>
              <w:rPr>
                <w:rStyle w:val="11"/>
                <w:rFonts w:hint="eastAsia"/>
              </w:rPr>
              <w:t>1.使用时需均匀全面喷雾，喷湿喷透，施药时喷头上应加装保护罩，避免药液飘移到临近作物。禁止在田间道路、田埂、果树行间、休耕地、林场地等农林区域使用。具体施用时，需在当地农技植保部门指导下使用。2.本品遇土钝化，因此在稀释和配制本品药液时，应使用清水，禁止用浑浊的河水或沟渠水配药，以最大限度地提高除草的效果。3.施药时请戴上口罩、手套，穿长衣裤等，不能吃东西、喝水、吸烟等；施药完毕请立即用肥皂水清洗手和脸。4.刚施药后的区域防止人畜进入；容器的洗涤用水和残留农药不得流入河流、鱼塘等水域。远离水产养殖区、河塘等水域施药，禁止在河塘等水体清洗施药器具。鸟类保护区附近禁用。蚕室及桑园附近禁用。瓢虫等天敌放飞区域禁用。5.孕妇及哺乳期的妇女避免接触此药。6.用过的容器应妥善处理，不可做它用，也不可随意丢弃。7.避免与氧化剂接触。</w:t>
            </w:r>
          </w:p>
        </w:tc>
      </w:tr>
      <w:tr w14:paraId="4EE6016F">
        <w:tblPrEx>
          <w:tblCellMar>
            <w:top w:w="0" w:type="dxa"/>
            <w:left w:w="0" w:type="dxa"/>
            <w:bottom w:w="0" w:type="dxa"/>
            <w:right w:w="0" w:type="dxa"/>
          </w:tblCellMar>
        </w:tblPrEx>
        <w:trPr>
          <w:wBefore w:w="0" w:type="auto"/>
          <w:tblCellSpacing w:w="0" w:type="dxa"/>
        </w:trPr>
        <w:tc>
          <w:tcPr>
            <w:tcW w:w="0" w:type="auto"/>
            <w:noWrap w:val="0"/>
            <w:vAlign w:val="center"/>
          </w:tcPr>
          <w:p w14:paraId="1830B7B8">
            <w:r>
              <w:rPr>
                <w:rStyle w:val="10"/>
                <w:rFonts w:hint="eastAsia"/>
              </w:rPr>
              <w:t>中毒急救措施：</w:t>
            </w:r>
            <w:r>
              <w:rPr>
                <w:rFonts w:hint="eastAsia"/>
              </w:rPr>
              <w:br w:type="textWrapping"/>
            </w:r>
            <w:r>
              <w:rPr>
                <w:rStyle w:val="11"/>
                <w:rFonts w:hint="eastAsia"/>
              </w:rPr>
              <w:t>中毒症状：本品对皮肤和眼睛有刺激作用。如不慎接触皮肤，应立即用大 量清水冲洗；若溅到眼睛中，立即用大量清水冲洗至少15分钟，严重时就医；不慎吸入，应将病人立即移至空气清新处；如不慎误服，立即引吐，并携本标签及时把病人送往医院对症治疗。本品无特效解毒剂。</w:t>
            </w:r>
          </w:p>
        </w:tc>
      </w:tr>
      <w:tr w14:paraId="3B71AE79">
        <w:tblPrEx>
          <w:tblCellMar>
            <w:top w:w="0" w:type="dxa"/>
            <w:left w:w="0" w:type="dxa"/>
            <w:bottom w:w="0" w:type="dxa"/>
            <w:right w:w="0" w:type="dxa"/>
          </w:tblCellMar>
        </w:tblPrEx>
        <w:trPr>
          <w:wBefore w:w="0" w:type="auto"/>
          <w:tblCellSpacing w:w="0" w:type="dxa"/>
        </w:trPr>
        <w:tc>
          <w:tcPr>
            <w:tcW w:w="0" w:type="auto"/>
            <w:noWrap w:val="0"/>
            <w:vAlign w:val="center"/>
          </w:tcPr>
          <w:p w14:paraId="4B64694E">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本品应贮存在阴凉、干燥、通风、防雨处，远离火源和热源。置于儿童、无关人员或动物触及不到之处，并加锁。勿与食品、饮料、粮食、饲料等同贮同运。</w:t>
            </w:r>
          </w:p>
        </w:tc>
      </w:tr>
      <w:tr w14:paraId="0582DD91">
        <w:tblPrEx>
          <w:tblCellMar>
            <w:top w:w="0" w:type="dxa"/>
            <w:left w:w="0" w:type="dxa"/>
            <w:bottom w:w="0" w:type="dxa"/>
            <w:right w:w="0" w:type="dxa"/>
          </w:tblCellMar>
        </w:tblPrEx>
        <w:trPr>
          <w:wBefore w:w="0" w:type="auto"/>
          <w:tblCellSpacing w:w="0" w:type="dxa"/>
        </w:trPr>
        <w:tc>
          <w:tcPr>
            <w:tcW w:w="0" w:type="auto"/>
            <w:noWrap w:val="0"/>
            <w:vAlign w:val="center"/>
          </w:tcPr>
          <w:p w14:paraId="79F2DB3C">
            <w:r>
              <w:rPr>
                <w:rStyle w:val="10"/>
                <w:rFonts w:hint="eastAsia"/>
              </w:rPr>
              <w:t>质量保证期：</w:t>
            </w:r>
            <w:r>
              <w:rPr>
                <w:rStyle w:val="11"/>
                <w:rFonts w:hint="eastAsia"/>
              </w:rPr>
              <w:t>2年</w:t>
            </w:r>
          </w:p>
        </w:tc>
      </w:tr>
      <w:tr w14:paraId="4DE71452">
        <w:tblPrEx>
          <w:tblCellMar>
            <w:top w:w="0" w:type="dxa"/>
            <w:left w:w="0" w:type="dxa"/>
            <w:bottom w:w="0" w:type="dxa"/>
            <w:right w:w="0" w:type="dxa"/>
          </w:tblCellMar>
        </w:tblPrEx>
        <w:trPr>
          <w:wBefore w:w="0" w:type="auto"/>
          <w:tblCellSpacing w:w="0" w:type="dxa"/>
        </w:trPr>
        <w:tc>
          <w:tcPr>
            <w:tcW w:w="0" w:type="auto"/>
            <w:noWrap w:val="0"/>
            <w:vAlign w:val="center"/>
          </w:tcPr>
          <w:p w14:paraId="084C318C">
            <w:r>
              <w:rPr>
                <w:rStyle w:val="10"/>
                <w:rFonts w:hint="eastAsia"/>
              </w:rPr>
              <w:t>备注：</w:t>
            </w:r>
            <w:r>
              <w:rPr>
                <w:rFonts w:hint="eastAsia"/>
              </w:rPr>
              <w:br w:type="textWrapping"/>
            </w:r>
            <w:r>
              <w:rPr>
                <w:rStyle w:val="11"/>
                <w:rFonts w:hint="eastAsia"/>
              </w:rPr>
              <w:t>精草铵膦铵盐10.9%</w:t>
            </w:r>
          </w:p>
        </w:tc>
      </w:tr>
    </w:tbl>
    <w:p w14:paraId="229B95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AD9AC7">
        <w:tblPrEx>
          <w:tblCellMar>
            <w:top w:w="0" w:type="dxa"/>
            <w:left w:w="0" w:type="dxa"/>
            <w:bottom w:w="0" w:type="dxa"/>
            <w:right w:w="0" w:type="dxa"/>
          </w:tblCellMar>
        </w:tblPrEx>
        <w:trPr>
          <w:wBefore w:w="0" w:type="auto"/>
          <w:tblCellSpacing w:w="0" w:type="dxa"/>
        </w:trPr>
        <w:tc>
          <w:tcPr>
            <w:tcW w:w="0" w:type="auto"/>
            <w:noWrap w:val="0"/>
            <w:vAlign w:val="center"/>
          </w:tcPr>
          <w:p w14:paraId="7E98DB8C">
            <w:r>
              <w:rPr>
                <w:rStyle w:val="10"/>
                <w:rFonts w:hint="eastAsia"/>
              </w:rPr>
              <w:t>登记证号：</w:t>
            </w:r>
            <w:r>
              <w:rPr>
                <w:rFonts w:hint="eastAsia"/>
              </w:rPr>
              <w:t>WP20210387</w:t>
            </w:r>
          </w:p>
        </w:tc>
      </w:tr>
      <w:tr w14:paraId="2BA2136E">
        <w:tblPrEx>
          <w:tblCellMar>
            <w:top w:w="0" w:type="dxa"/>
            <w:left w:w="0" w:type="dxa"/>
            <w:bottom w:w="0" w:type="dxa"/>
            <w:right w:w="0" w:type="dxa"/>
          </w:tblCellMar>
        </w:tblPrEx>
        <w:trPr>
          <w:wBefore w:w="0" w:type="auto"/>
          <w:tblCellSpacing w:w="0" w:type="dxa"/>
        </w:trPr>
        <w:tc>
          <w:tcPr>
            <w:tcW w:w="0" w:type="auto"/>
            <w:noWrap w:val="0"/>
            <w:vAlign w:val="center"/>
          </w:tcPr>
          <w:p w14:paraId="65A91FEC">
            <w:r>
              <w:rPr>
                <w:rStyle w:val="10"/>
                <w:rFonts w:hint="eastAsia"/>
              </w:rPr>
              <w:t>登记证持有人：</w:t>
            </w:r>
            <w:r>
              <w:rPr>
                <w:rFonts w:hint="eastAsia"/>
              </w:rPr>
              <w:t>山西奥赛诺生物科技有限公司</w:t>
            </w:r>
          </w:p>
        </w:tc>
      </w:tr>
      <w:tr w14:paraId="13873AFD">
        <w:tblPrEx>
          <w:tblCellMar>
            <w:top w:w="0" w:type="dxa"/>
            <w:left w:w="0" w:type="dxa"/>
            <w:bottom w:w="0" w:type="dxa"/>
            <w:right w:w="0" w:type="dxa"/>
          </w:tblCellMar>
        </w:tblPrEx>
        <w:trPr>
          <w:wBefore w:w="0" w:type="auto"/>
          <w:tblCellSpacing w:w="0" w:type="dxa"/>
        </w:trPr>
        <w:tc>
          <w:tcPr>
            <w:tcW w:w="0" w:type="auto"/>
            <w:noWrap w:val="0"/>
            <w:vAlign w:val="center"/>
          </w:tcPr>
          <w:p w14:paraId="7FF5873F">
            <w:r>
              <w:rPr>
                <w:rStyle w:val="10"/>
                <w:rFonts w:hint="eastAsia"/>
              </w:rPr>
              <w:t>农药名称：</w:t>
            </w:r>
            <w:r>
              <w:rPr>
                <w:rFonts w:hint="eastAsia"/>
              </w:rPr>
              <w:t>噻虫·高氯氟</w:t>
            </w:r>
          </w:p>
        </w:tc>
      </w:tr>
      <w:tr w14:paraId="276608E0">
        <w:tblPrEx>
          <w:tblCellMar>
            <w:top w:w="0" w:type="dxa"/>
            <w:left w:w="0" w:type="dxa"/>
            <w:bottom w:w="0" w:type="dxa"/>
            <w:right w:w="0" w:type="dxa"/>
          </w:tblCellMar>
        </w:tblPrEx>
        <w:trPr>
          <w:wBefore w:w="0" w:type="auto"/>
          <w:tblCellSpacing w:w="0" w:type="dxa"/>
        </w:trPr>
        <w:tc>
          <w:tcPr>
            <w:tcW w:w="0" w:type="auto"/>
            <w:noWrap w:val="0"/>
            <w:vAlign w:val="center"/>
          </w:tcPr>
          <w:p w14:paraId="2E00A20C">
            <w:r>
              <w:rPr>
                <w:rStyle w:val="10"/>
                <w:rFonts w:hint="eastAsia"/>
              </w:rPr>
              <w:t>剂型：</w:t>
            </w:r>
            <w:r>
              <w:rPr>
                <w:rFonts w:hint="eastAsia"/>
              </w:rPr>
              <w:t>悬浮剂</w:t>
            </w:r>
          </w:p>
        </w:tc>
      </w:tr>
      <w:tr w14:paraId="3FEEBA6C">
        <w:tblPrEx>
          <w:tblCellMar>
            <w:top w:w="0" w:type="dxa"/>
            <w:left w:w="0" w:type="dxa"/>
            <w:bottom w:w="0" w:type="dxa"/>
            <w:right w:w="0" w:type="dxa"/>
          </w:tblCellMar>
        </w:tblPrEx>
        <w:trPr>
          <w:wBefore w:w="0" w:type="auto"/>
          <w:tblCellSpacing w:w="0" w:type="dxa"/>
        </w:trPr>
        <w:tc>
          <w:tcPr>
            <w:tcW w:w="0" w:type="auto"/>
            <w:noWrap w:val="0"/>
            <w:vAlign w:val="center"/>
          </w:tcPr>
          <w:p w14:paraId="2A4437A1">
            <w:r>
              <w:rPr>
                <w:rStyle w:val="10"/>
                <w:rFonts w:hint="eastAsia"/>
              </w:rPr>
              <w:t>毒性及其标识：</w:t>
            </w:r>
            <w:r>
              <w:rPr>
                <w:rFonts w:hint="eastAsia"/>
              </w:rPr>
              <w:t xml:space="preserve"> </w:t>
            </w:r>
            <w:r>
              <w:rPr>
                <w:lang/>
              </w:rPr>
              <w:drawing>
                <wp:inline distT="0" distB="0" distL="114300" distR="114300">
                  <wp:extent cx="476250" cy="323850"/>
                  <wp:effectExtent l="0" t="0" r="0" b="0"/>
                  <wp:docPr id="396" name="图片 3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A54EB2">
        <w:tblPrEx>
          <w:tblCellMar>
            <w:top w:w="0" w:type="dxa"/>
            <w:left w:w="0" w:type="dxa"/>
            <w:bottom w:w="0" w:type="dxa"/>
            <w:right w:w="0" w:type="dxa"/>
          </w:tblCellMar>
        </w:tblPrEx>
        <w:trPr>
          <w:wBefore w:w="0" w:type="auto"/>
          <w:tblCellSpacing w:w="0" w:type="dxa"/>
        </w:trPr>
        <w:tc>
          <w:tcPr>
            <w:tcW w:w="0" w:type="auto"/>
            <w:noWrap w:val="0"/>
            <w:vAlign w:val="center"/>
          </w:tcPr>
          <w:p w14:paraId="39E227E6">
            <w:r>
              <w:rPr>
                <w:rStyle w:val="10"/>
                <w:rFonts w:hint="eastAsia"/>
              </w:rPr>
              <w:t>总有效成分含量：</w:t>
            </w:r>
            <w:r>
              <w:rPr>
                <w:rFonts w:hint="eastAsia"/>
              </w:rPr>
              <w:t>9%</w:t>
            </w:r>
          </w:p>
        </w:tc>
      </w:tr>
      <w:tr w14:paraId="247F295E">
        <w:tblPrEx>
          <w:tblCellMar>
            <w:top w:w="0" w:type="dxa"/>
            <w:left w:w="0" w:type="dxa"/>
            <w:bottom w:w="0" w:type="dxa"/>
            <w:right w:w="0" w:type="dxa"/>
          </w:tblCellMar>
        </w:tblPrEx>
        <w:trPr>
          <w:wBefore w:w="0" w:type="auto"/>
          <w:tblCellSpacing w:w="0" w:type="dxa"/>
        </w:trPr>
        <w:tc>
          <w:tcPr>
            <w:tcW w:w="0" w:type="auto"/>
            <w:noWrap w:val="0"/>
            <w:vAlign w:val="center"/>
          </w:tcPr>
          <w:p w14:paraId="3693B13F">
            <w:r>
              <w:rPr>
                <w:rFonts w:hint="eastAsia"/>
              </w:rPr>
              <w:t xml:space="preserve">有效成分及其含量： </w:t>
            </w:r>
          </w:p>
          <w:p w14:paraId="47545978">
            <w:r>
              <w:rPr>
                <w:rFonts w:hint="eastAsia"/>
              </w:rPr>
              <w:t xml:space="preserve">    噻虫嗪4.5%    高效氯氟氰菊酯4.5%    </w:t>
            </w:r>
          </w:p>
        </w:tc>
      </w:tr>
      <w:tr w14:paraId="289517CD">
        <w:tblPrEx>
          <w:tblCellMar>
            <w:top w:w="0" w:type="dxa"/>
            <w:left w:w="0" w:type="dxa"/>
            <w:bottom w:w="0" w:type="dxa"/>
            <w:right w:w="0" w:type="dxa"/>
          </w:tblCellMar>
        </w:tblPrEx>
        <w:trPr>
          <w:wBefore w:w="0" w:type="auto"/>
          <w:tblCellSpacing w:w="0" w:type="dxa"/>
        </w:trPr>
        <w:tc>
          <w:tcPr>
            <w:tcW w:w="0" w:type="auto"/>
            <w:noWrap w:val="0"/>
            <w:vAlign w:val="center"/>
          </w:tcPr>
          <w:p w14:paraId="6B90D33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D7E6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C367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6F812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11CF7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5377AC">
                  <w:r>
                    <w:rPr>
                      <w:rStyle w:val="11"/>
                      <w:rFonts w:hint="eastAsia"/>
                    </w:rPr>
                    <w:t>施用方式</w:t>
                  </w:r>
                </w:p>
              </w:tc>
            </w:tr>
            <w:tr w14:paraId="5472C7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FE50F5">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1133F9">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2091C1">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952525">
                  <w:r>
                    <w:rPr>
                      <w:rStyle w:val="11"/>
                      <w:rFonts w:hint="eastAsia"/>
                    </w:rPr>
                    <w:t>喷洒</w:t>
                  </w:r>
                </w:p>
              </w:tc>
            </w:tr>
          </w:tbl>
          <w:p w14:paraId="0590CE1F">
            <w:pPr>
              <w:rPr>
                <w:rFonts w:ascii="Times New Roman" w:hAnsi="Times New Roman" w:cs="Times New Roman"/>
                <w:sz w:val="20"/>
                <w:szCs w:val="20"/>
              </w:rPr>
            </w:pPr>
          </w:p>
        </w:tc>
      </w:tr>
      <w:tr w14:paraId="6BE5BBE7">
        <w:tblPrEx>
          <w:tblCellMar>
            <w:top w:w="0" w:type="dxa"/>
            <w:left w:w="0" w:type="dxa"/>
            <w:bottom w:w="0" w:type="dxa"/>
            <w:right w:w="0" w:type="dxa"/>
          </w:tblCellMar>
        </w:tblPrEx>
        <w:trPr>
          <w:wBefore w:w="0" w:type="auto"/>
          <w:tblCellSpacing w:w="0" w:type="dxa"/>
        </w:trPr>
        <w:tc>
          <w:tcPr>
            <w:tcW w:w="0" w:type="auto"/>
            <w:noWrap w:val="0"/>
            <w:vAlign w:val="center"/>
          </w:tcPr>
          <w:p w14:paraId="31577822">
            <w:r>
              <w:rPr>
                <w:rStyle w:val="10"/>
                <w:rFonts w:hint="eastAsia"/>
              </w:rPr>
              <w:t>使用技术要求:</w:t>
            </w:r>
            <w:r>
              <w:rPr>
                <w:rFonts w:hint="eastAsia"/>
              </w:rPr>
              <w:br w:type="textWrapping"/>
            </w:r>
            <w:r>
              <w:rPr>
                <w:rStyle w:val="11"/>
                <w:rFonts w:hint="eastAsia"/>
              </w:rPr>
              <w:t>防治室外蝇，按照推荐剂量稀释20倍后喷雾。</w:t>
            </w:r>
          </w:p>
        </w:tc>
      </w:tr>
      <w:tr w14:paraId="5BDF2ED5">
        <w:tblPrEx>
          <w:tblCellMar>
            <w:top w:w="0" w:type="dxa"/>
            <w:left w:w="0" w:type="dxa"/>
            <w:bottom w:w="0" w:type="dxa"/>
            <w:right w:w="0" w:type="dxa"/>
          </w:tblCellMar>
        </w:tblPrEx>
        <w:trPr>
          <w:wBefore w:w="0" w:type="auto"/>
          <w:tblCellSpacing w:w="0" w:type="dxa"/>
        </w:trPr>
        <w:tc>
          <w:tcPr>
            <w:tcW w:w="0" w:type="auto"/>
            <w:noWrap w:val="0"/>
            <w:vAlign w:val="center"/>
          </w:tcPr>
          <w:p w14:paraId="62885478">
            <w:r>
              <w:rPr>
                <w:rStyle w:val="10"/>
                <w:rFonts w:hint="eastAsia"/>
              </w:rPr>
              <w:t>产品性能:</w:t>
            </w:r>
            <w:r>
              <w:rPr>
                <w:rFonts w:hint="eastAsia"/>
              </w:rPr>
              <w:br w:type="textWrapping"/>
            </w:r>
            <w:r>
              <w:rPr>
                <w:rStyle w:val="11"/>
                <w:rFonts w:hint="eastAsia"/>
              </w:rPr>
              <w:t>本品所含的噻虫嗪是一种新型的高效低毒广谱杀虫剂。是第二代新烟碱类杀虫剂，作用机理与第一代新烟碱类杀虫剂相似，但具有更高的活性。对害虫具有胃毒、触杀、内吸作用，作用速度快、持效期长等特点。高效氯氟氰菊酯是拟除虫菊酯类杀虫剂，具有触杀和胃毒作用。室外喷洒使用该产品，能有效防治蝇。</w:t>
            </w:r>
          </w:p>
        </w:tc>
      </w:tr>
      <w:tr w14:paraId="0BDD7224">
        <w:tblPrEx>
          <w:tblCellMar>
            <w:top w:w="0" w:type="dxa"/>
            <w:left w:w="0" w:type="dxa"/>
            <w:bottom w:w="0" w:type="dxa"/>
            <w:right w:w="0" w:type="dxa"/>
          </w:tblCellMar>
        </w:tblPrEx>
        <w:trPr>
          <w:wBefore w:w="0" w:type="auto"/>
          <w:tblCellSpacing w:w="0" w:type="dxa"/>
        </w:trPr>
        <w:tc>
          <w:tcPr>
            <w:tcW w:w="0" w:type="auto"/>
            <w:noWrap w:val="0"/>
            <w:vAlign w:val="center"/>
          </w:tcPr>
          <w:p w14:paraId="281BD4E4">
            <w:r>
              <w:rPr>
                <w:rStyle w:val="10"/>
                <w:rFonts w:hint="eastAsia"/>
              </w:rPr>
              <w:t>注意事项：</w:t>
            </w:r>
            <w:r>
              <w:rPr>
                <w:rFonts w:hint="eastAsia"/>
              </w:rPr>
              <w:br w:type="textWrapping"/>
            </w:r>
            <w:r>
              <w:rPr>
                <w:rStyle w:val="11"/>
                <w:rFonts w:hint="eastAsia"/>
              </w:rPr>
              <w:t>1、本品在鸟类保护区禁用；禁止在周围开花植物花期施用该产品；施用该产品前及时清除周围蜜源/粉源植物；施用该产品时，提前3-5日告知周围3000 m以内的养蜂者；（周围）开花植物花期禁用，使用时应密切关注对附近蜂群的影响；桑园及蚕室周围禁用；本品对水生生物和家蚕剧毒，对蜜蜂高毒。2.禁止在河塘等水体中清洗施药器具；远离水产养殖区、河塘等水体施药或水厂养殖区、河塘等水体附近禁用。3.使用时穿戴长衣、长裤、帽子、口罩、手套等防护措施。4.存放在小孩触摸不到的地方。5.施药时非工 作人员远离现场，工作人员施药时不得饮水、吸烟或进食，施药后及时用肥皂清水洗净身体裸露之处。6.如不小心将药液溅到眼中，应马上用大量清水冲洗，并立即送医院治疗。7.不小心误服，带上标签，立即送医院对症治疗。8.过敏者禁用，使用中有任何不良反应请及时就医，孕妇及哺乳期妇女避免接触。</w:t>
            </w:r>
          </w:p>
        </w:tc>
      </w:tr>
      <w:tr w14:paraId="1CE3FCA3">
        <w:tblPrEx>
          <w:tblCellMar>
            <w:top w:w="0" w:type="dxa"/>
            <w:left w:w="0" w:type="dxa"/>
            <w:bottom w:w="0" w:type="dxa"/>
            <w:right w:w="0" w:type="dxa"/>
          </w:tblCellMar>
        </w:tblPrEx>
        <w:trPr>
          <w:wBefore w:w="0" w:type="auto"/>
          <w:tblCellSpacing w:w="0" w:type="dxa"/>
        </w:trPr>
        <w:tc>
          <w:tcPr>
            <w:tcW w:w="0" w:type="auto"/>
            <w:noWrap w:val="0"/>
            <w:vAlign w:val="center"/>
          </w:tcPr>
          <w:p w14:paraId="25037B75">
            <w:r>
              <w:rPr>
                <w:rStyle w:val="10"/>
                <w:rFonts w:hint="eastAsia"/>
              </w:rPr>
              <w:t>中毒急救措施：</w:t>
            </w:r>
            <w:r>
              <w:rPr>
                <w:rFonts w:hint="eastAsia"/>
              </w:rPr>
              <w:br w:type="textWrapping"/>
            </w:r>
            <w:r>
              <w:rPr>
                <w:rStyle w:val="11"/>
                <w:rFonts w:hint="eastAsia"/>
              </w:rPr>
              <w:t>该产品对眼睛有刺激性，使用时避免接触眼睛。如果药剂接触皮肤，应用肥皂和大量清水冲洗。如有误服，应立即就医，可洗胃但不能催吐，对症治疗。</w:t>
            </w:r>
          </w:p>
        </w:tc>
      </w:tr>
      <w:tr w14:paraId="673ECB60">
        <w:tblPrEx>
          <w:tblCellMar>
            <w:top w:w="0" w:type="dxa"/>
            <w:left w:w="0" w:type="dxa"/>
            <w:bottom w:w="0" w:type="dxa"/>
            <w:right w:w="0" w:type="dxa"/>
          </w:tblCellMar>
        </w:tblPrEx>
        <w:trPr>
          <w:wBefore w:w="0" w:type="auto"/>
          <w:tblCellSpacing w:w="0" w:type="dxa"/>
        </w:trPr>
        <w:tc>
          <w:tcPr>
            <w:tcW w:w="0" w:type="auto"/>
            <w:noWrap w:val="0"/>
            <w:vAlign w:val="center"/>
          </w:tcPr>
          <w:p w14:paraId="73525EB6">
            <w:r>
              <w:rPr>
                <w:rStyle w:val="10"/>
                <w:rFonts w:hint="eastAsia"/>
              </w:rPr>
              <w:t>储存和运输方法：</w:t>
            </w:r>
            <w:r>
              <w:rPr>
                <w:rFonts w:hint="eastAsia"/>
              </w:rPr>
              <w:br w:type="textWrapping"/>
            </w:r>
            <w:r>
              <w:rPr>
                <w:rStyle w:val="11"/>
                <w:rFonts w:hint="eastAsia"/>
              </w:rPr>
              <w:t>本品应贮存在干燥、阴凉、通风、防雨处，远离火源或热源。置于儿童及其他无关人员触及不到之处，并加锁。勿与食品、饮料、粮食、饲料等其他商品同贮同运。</w:t>
            </w:r>
          </w:p>
        </w:tc>
      </w:tr>
      <w:tr w14:paraId="448F143B">
        <w:tblPrEx>
          <w:tblCellMar>
            <w:top w:w="0" w:type="dxa"/>
            <w:left w:w="0" w:type="dxa"/>
            <w:bottom w:w="0" w:type="dxa"/>
            <w:right w:w="0" w:type="dxa"/>
          </w:tblCellMar>
        </w:tblPrEx>
        <w:trPr>
          <w:wBefore w:w="0" w:type="auto"/>
          <w:tblCellSpacing w:w="0" w:type="dxa"/>
        </w:trPr>
        <w:tc>
          <w:tcPr>
            <w:tcW w:w="0" w:type="auto"/>
            <w:noWrap w:val="0"/>
            <w:vAlign w:val="center"/>
          </w:tcPr>
          <w:p w14:paraId="57B5475C">
            <w:r>
              <w:rPr>
                <w:rStyle w:val="10"/>
                <w:rFonts w:hint="eastAsia"/>
              </w:rPr>
              <w:t>质量保证期：</w:t>
            </w:r>
            <w:r>
              <w:rPr>
                <w:rStyle w:val="11"/>
                <w:rFonts w:hint="eastAsia"/>
              </w:rPr>
              <w:t>2年</w:t>
            </w:r>
          </w:p>
        </w:tc>
      </w:tr>
      <w:tr w14:paraId="609536F4">
        <w:tblPrEx>
          <w:tblCellMar>
            <w:top w:w="0" w:type="dxa"/>
            <w:left w:w="0" w:type="dxa"/>
            <w:bottom w:w="0" w:type="dxa"/>
            <w:right w:w="0" w:type="dxa"/>
          </w:tblCellMar>
        </w:tblPrEx>
        <w:trPr>
          <w:wBefore w:w="0" w:type="auto"/>
          <w:tblCellSpacing w:w="0" w:type="dxa"/>
        </w:trPr>
        <w:tc>
          <w:tcPr>
            <w:tcW w:w="0" w:type="auto"/>
            <w:noWrap w:val="0"/>
            <w:vAlign w:val="center"/>
          </w:tcPr>
          <w:p w14:paraId="191EEA05">
            <w:r>
              <w:rPr>
                <w:rStyle w:val="10"/>
                <w:rFonts w:hint="eastAsia"/>
              </w:rPr>
              <w:t>备注：</w:t>
            </w:r>
          </w:p>
        </w:tc>
      </w:tr>
    </w:tbl>
    <w:p w14:paraId="6810BA6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54F260">
        <w:tblPrEx>
          <w:tblCellMar>
            <w:top w:w="0" w:type="dxa"/>
            <w:left w:w="0" w:type="dxa"/>
            <w:bottom w:w="0" w:type="dxa"/>
            <w:right w:w="0" w:type="dxa"/>
          </w:tblCellMar>
        </w:tblPrEx>
        <w:trPr>
          <w:wBefore w:w="0" w:type="auto"/>
          <w:tblCellSpacing w:w="0" w:type="dxa"/>
        </w:trPr>
        <w:tc>
          <w:tcPr>
            <w:tcW w:w="0" w:type="auto"/>
            <w:noWrap w:val="0"/>
            <w:vAlign w:val="center"/>
          </w:tcPr>
          <w:p w14:paraId="114262C0">
            <w:r>
              <w:rPr>
                <w:rStyle w:val="10"/>
                <w:rFonts w:hint="eastAsia"/>
              </w:rPr>
              <w:t>登记证号：</w:t>
            </w:r>
            <w:r>
              <w:rPr>
                <w:rFonts w:hint="eastAsia"/>
              </w:rPr>
              <w:t>PD20212588</w:t>
            </w:r>
          </w:p>
        </w:tc>
      </w:tr>
      <w:tr w14:paraId="57090A13">
        <w:tblPrEx>
          <w:tblCellMar>
            <w:top w:w="0" w:type="dxa"/>
            <w:left w:w="0" w:type="dxa"/>
            <w:bottom w:w="0" w:type="dxa"/>
            <w:right w:w="0" w:type="dxa"/>
          </w:tblCellMar>
        </w:tblPrEx>
        <w:trPr>
          <w:wBefore w:w="0" w:type="auto"/>
          <w:tblCellSpacing w:w="0" w:type="dxa"/>
        </w:trPr>
        <w:tc>
          <w:tcPr>
            <w:tcW w:w="0" w:type="auto"/>
            <w:noWrap w:val="0"/>
            <w:vAlign w:val="center"/>
          </w:tcPr>
          <w:p w14:paraId="28BDF984">
            <w:r>
              <w:rPr>
                <w:rStyle w:val="10"/>
                <w:rFonts w:hint="eastAsia"/>
              </w:rPr>
              <w:t>登记证持有人：</w:t>
            </w:r>
            <w:r>
              <w:rPr>
                <w:rFonts w:hint="eastAsia"/>
              </w:rPr>
              <w:t>山东奥坤作物科学股份有限公司</w:t>
            </w:r>
          </w:p>
        </w:tc>
      </w:tr>
      <w:tr w14:paraId="4A016677">
        <w:tblPrEx>
          <w:tblCellMar>
            <w:top w:w="0" w:type="dxa"/>
            <w:left w:w="0" w:type="dxa"/>
            <w:bottom w:w="0" w:type="dxa"/>
            <w:right w:w="0" w:type="dxa"/>
          </w:tblCellMar>
        </w:tblPrEx>
        <w:trPr>
          <w:wBefore w:w="0" w:type="auto"/>
          <w:tblCellSpacing w:w="0" w:type="dxa"/>
        </w:trPr>
        <w:tc>
          <w:tcPr>
            <w:tcW w:w="0" w:type="auto"/>
            <w:noWrap w:val="0"/>
            <w:vAlign w:val="center"/>
          </w:tcPr>
          <w:p w14:paraId="4E784F42">
            <w:r>
              <w:rPr>
                <w:rStyle w:val="10"/>
                <w:rFonts w:hint="eastAsia"/>
              </w:rPr>
              <w:t>农药名称：</w:t>
            </w:r>
            <w:r>
              <w:rPr>
                <w:rFonts w:hint="eastAsia"/>
              </w:rPr>
              <w:t>嗪酮·乙草胺</w:t>
            </w:r>
          </w:p>
        </w:tc>
      </w:tr>
      <w:tr w14:paraId="62C22B65">
        <w:tblPrEx>
          <w:tblCellMar>
            <w:top w:w="0" w:type="dxa"/>
            <w:left w:w="0" w:type="dxa"/>
            <w:bottom w:w="0" w:type="dxa"/>
            <w:right w:w="0" w:type="dxa"/>
          </w:tblCellMar>
        </w:tblPrEx>
        <w:trPr>
          <w:wBefore w:w="0" w:type="auto"/>
          <w:tblCellSpacing w:w="0" w:type="dxa"/>
        </w:trPr>
        <w:tc>
          <w:tcPr>
            <w:tcW w:w="0" w:type="auto"/>
            <w:noWrap w:val="0"/>
            <w:vAlign w:val="center"/>
          </w:tcPr>
          <w:p w14:paraId="4157985C">
            <w:r>
              <w:rPr>
                <w:rStyle w:val="10"/>
                <w:rFonts w:hint="eastAsia"/>
              </w:rPr>
              <w:t>剂型：</w:t>
            </w:r>
            <w:r>
              <w:rPr>
                <w:rFonts w:hint="eastAsia"/>
              </w:rPr>
              <w:t>乳油</w:t>
            </w:r>
          </w:p>
        </w:tc>
      </w:tr>
      <w:tr w14:paraId="24584AA7">
        <w:tblPrEx>
          <w:tblCellMar>
            <w:top w:w="0" w:type="dxa"/>
            <w:left w:w="0" w:type="dxa"/>
            <w:bottom w:w="0" w:type="dxa"/>
            <w:right w:w="0" w:type="dxa"/>
          </w:tblCellMar>
        </w:tblPrEx>
        <w:trPr>
          <w:wBefore w:w="0" w:type="auto"/>
          <w:tblCellSpacing w:w="0" w:type="dxa"/>
        </w:trPr>
        <w:tc>
          <w:tcPr>
            <w:tcW w:w="0" w:type="auto"/>
            <w:noWrap w:val="0"/>
            <w:vAlign w:val="center"/>
          </w:tcPr>
          <w:p w14:paraId="431A3F77">
            <w:r>
              <w:rPr>
                <w:rStyle w:val="10"/>
                <w:rFonts w:hint="eastAsia"/>
              </w:rPr>
              <w:t>毒性及其标识：</w:t>
            </w:r>
            <w:r>
              <w:rPr>
                <w:rFonts w:hint="eastAsia"/>
              </w:rPr>
              <w:t xml:space="preserve"> </w:t>
            </w:r>
            <w:r>
              <w:rPr>
                <w:lang/>
              </w:rPr>
              <w:drawing>
                <wp:inline distT="0" distB="0" distL="114300" distR="114300">
                  <wp:extent cx="476250" cy="323850"/>
                  <wp:effectExtent l="0" t="0" r="0" b="0"/>
                  <wp:docPr id="397" name="图片 3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ED16FDC">
        <w:tblPrEx>
          <w:tblCellMar>
            <w:top w:w="0" w:type="dxa"/>
            <w:left w:w="0" w:type="dxa"/>
            <w:bottom w:w="0" w:type="dxa"/>
            <w:right w:w="0" w:type="dxa"/>
          </w:tblCellMar>
        </w:tblPrEx>
        <w:trPr>
          <w:wBefore w:w="0" w:type="auto"/>
          <w:tblCellSpacing w:w="0" w:type="dxa"/>
        </w:trPr>
        <w:tc>
          <w:tcPr>
            <w:tcW w:w="0" w:type="auto"/>
            <w:noWrap w:val="0"/>
            <w:vAlign w:val="center"/>
          </w:tcPr>
          <w:p w14:paraId="6BC05D0C">
            <w:r>
              <w:rPr>
                <w:rStyle w:val="10"/>
                <w:rFonts w:hint="eastAsia"/>
              </w:rPr>
              <w:t>总有效成分含量：</w:t>
            </w:r>
            <w:r>
              <w:rPr>
                <w:rFonts w:hint="eastAsia"/>
              </w:rPr>
              <w:t>75%</w:t>
            </w:r>
          </w:p>
        </w:tc>
      </w:tr>
      <w:tr w14:paraId="2BD9ACF7">
        <w:tblPrEx>
          <w:tblCellMar>
            <w:top w:w="0" w:type="dxa"/>
            <w:left w:w="0" w:type="dxa"/>
            <w:bottom w:w="0" w:type="dxa"/>
            <w:right w:w="0" w:type="dxa"/>
          </w:tblCellMar>
        </w:tblPrEx>
        <w:trPr>
          <w:wBefore w:w="0" w:type="auto"/>
          <w:tblCellSpacing w:w="0" w:type="dxa"/>
        </w:trPr>
        <w:tc>
          <w:tcPr>
            <w:tcW w:w="0" w:type="auto"/>
            <w:noWrap w:val="0"/>
            <w:vAlign w:val="center"/>
          </w:tcPr>
          <w:p w14:paraId="2DC5562B">
            <w:r>
              <w:rPr>
                <w:rFonts w:hint="eastAsia"/>
              </w:rPr>
              <w:t xml:space="preserve">有效成分及其含量： </w:t>
            </w:r>
          </w:p>
          <w:p w14:paraId="21EBA6BE">
            <w:r>
              <w:rPr>
                <w:rFonts w:hint="eastAsia"/>
              </w:rPr>
              <w:t xml:space="preserve">    嗪草酮15%    乙草胺60%    </w:t>
            </w:r>
          </w:p>
        </w:tc>
      </w:tr>
      <w:tr w14:paraId="793FBAFA">
        <w:tblPrEx>
          <w:tblCellMar>
            <w:top w:w="0" w:type="dxa"/>
            <w:left w:w="0" w:type="dxa"/>
            <w:bottom w:w="0" w:type="dxa"/>
            <w:right w:w="0" w:type="dxa"/>
          </w:tblCellMar>
        </w:tblPrEx>
        <w:trPr>
          <w:wBefore w:w="0" w:type="auto"/>
          <w:tblCellSpacing w:w="0" w:type="dxa"/>
        </w:trPr>
        <w:tc>
          <w:tcPr>
            <w:tcW w:w="0" w:type="auto"/>
            <w:noWrap w:val="0"/>
            <w:vAlign w:val="center"/>
          </w:tcPr>
          <w:p w14:paraId="37E011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C06F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69F1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18FC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C8D46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D72109">
                  <w:r>
                    <w:rPr>
                      <w:rStyle w:val="11"/>
                      <w:rFonts w:hint="eastAsia"/>
                    </w:rPr>
                    <w:t>施用方式</w:t>
                  </w:r>
                </w:p>
              </w:tc>
            </w:tr>
            <w:tr w14:paraId="34CB49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57B16F">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6FC1E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D39649">
                  <w:r>
                    <w:rPr>
                      <w:rStyle w:val="11"/>
                      <w:rFonts w:hint="eastAsia"/>
                    </w:rPr>
                    <w:t>100-120毫升/亩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957F7C">
                  <w:r>
                    <w:rPr>
                      <w:rStyle w:val="11"/>
                      <w:rFonts w:hint="eastAsia"/>
                    </w:rPr>
                    <w:t>土壤喷雾</w:t>
                  </w:r>
                </w:p>
              </w:tc>
            </w:tr>
          </w:tbl>
          <w:p w14:paraId="0E4FA094">
            <w:pPr>
              <w:rPr>
                <w:rFonts w:ascii="Times New Roman" w:hAnsi="Times New Roman" w:cs="Times New Roman"/>
                <w:sz w:val="20"/>
                <w:szCs w:val="20"/>
              </w:rPr>
            </w:pPr>
          </w:p>
        </w:tc>
      </w:tr>
      <w:tr w14:paraId="47237CED">
        <w:tblPrEx>
          <w:tblCellMar>
            <w:top w:w="0" w:type="dxa"/>
            <w:left w:w="0" w:type="dxa"/>
            <w:bottom w:w="0" w:type="dxa"/>
            <w:right w:w="0" w:type="dxa"/>
          </w:tblCellMar>
        </w:tblPrEx>
        <w:trPr>
          <w:wBefore w:w="0" w:type="auto"/>
          <w:tblCellSpacing w:w="0" w:type="dxa"/>
        </w:trPr>
        <w:tc>
          <w:tcPr>
            <w:tcW w:w="0" w:type="auto"/>
            <w:noWrap w:val="0"/>
            <w:vAlign w:val="center"/>
          </w:tcPr>
          <w:p w14:paraId="5D9753D6">
            <w:r>
              <w:rPr>
                <w:rStyle w:val="10"/>
                <w:rFonts w:hint="eastAsia"/>
              </w:rPr>
              <w:t>使用技术要求:</w:t>
            </w:r>
            <w:r>
              <w:rPr>
                <w:rFonts w:hint="eastAsia"/>
              </w:rPr>
              <w:br w:type="textWrapping"/>
            </w:r>
            <w:r>
              <w:rPr>
                <w:rStyle w:val="11"/>
                <w:rFonts w:hint="eastAsia"/>
              </w:rPr>
              <w:t>1、本品应在马铃薯播种后，出苗前，土壤喷雾。2、大风天或预计1小时内降雨，请勿施药。3、每季最多使用1次。</w:t>
            </w:r>
          </w:p>
        </w:tc>
      </w:tr>
      <w:tr w14:paraId="4AD11F50">
        <w:tblPrEx>
          <w:tblCellMar>
            <w:top w:w="0" w:type="dxa"/>
            <w:left w:w="0" w:type="dxa"/>
            <w:bottom w:w="0" w:type="dxa"/>
            <w:right w:w="0" w:type="dxa"/>
          </w:tblCellMar>
        </w:tblPrEx>
        <w:trPr>
          <w:wBefore w:w="0" w:type="auto"/>
          <w:tblCellSpacing w:w="0" w:type="dxa"/>
        </w:trPr>
        <w:tc>
          <w:tcPr>
            <w:tcW w:w="0" w:type="auto"/>
            <w:noWrap w:val="0"/>
            <w:vAlign w:val="center"/>
          </w:tcPr>
          <w:p w14:paraId="48267CFB">
            <w:r>
              <w:rPr>
                <w:rStyle w:val="10"/>
                <w:rFonts w:hint="eastAsia"/>
              </w:rPr>
              <w:t>产品性能:</w:t>
            </w:r>
            <w:r>
              <w:rPr>
                <w:rFonts w:hint="eastAsia"/>
              </w:rPr>
              <w:br w:type="textWrapping"/>
            </w:r>
            <w:r>
              <w:rPr>
                <w:rStyle w:val="11"/>
                <w:rFonts w:hint="eastAsia"/>
              </w:rPr>
              <w:t>本品为酰胺类、三嗪酮类混配除草剂。施药后各种敏感杂草出苗后叶褪绿，最后营养枯竭而致死。</w:t>
            </w:r>
          </w:p>
        </w:tc>
      </w:tr>
      <w:tr w14:paraId="409839B2">
        <w:tblPrEx>
          <w:tblCellMar>
            <w:top w:w="0" w:type="dxa"/>
            <w:left w:w="0" w:type="dxa"/>
            <w:bottom w:w="0" w:type="dxa"/>
            <w:right w:w="0" w:type="dxa"/>
          </w:tblCellMar>
        </w:tblPrEx>
        <w:trPr>
          <w:wBefore w:w="0" w:type="auto"/>
          <w:tblCellSpacing w:w="0" w:type="dxa"/>
        </w:trPr>
        <w:tc>
          <w:tcPr>
            <w:tcW w:w="0" w:type="auto"/>
            <w:noWrap w:val="0"/>
            <w:vAlign w:val="center"/>
          </w:tcPr>
          <w:p w14:paraId="4CA5CD7B">
            <w:r>
              <w:rPr>
                <w:rStyle w:val="10"/>
                <w:rFonts w:hint="eastAsia"/>
              </w:rPr>
              <w:t>注意事项：</w:t>
            </w:r>
            <w:r>
              <w:rPr>
                <w:rFonts w:hint="eastAsia"/>
              </w:rPr>
              <w:br w:type="textWrapping"/>
            </w:r>
            <w:r>
              <w:rPr>
                <w:rStyle w:val="11"/>
                <w:rFonts w:hint="eastAsia"/>
              </w:rPr>
              <w:t>1.本品最好播后随即施药，以免降低药效。2.建议与其他类型除草剂轮换用。3.施药时防止飘移到邻近作物田，以免产生药害。4.嗪草酮土壤残效期较长，注意合理安排后茬作物，保证安全间隔期。5.勿超剂量使用，避免药害。6.本品对眼睛有刺激性作用，施药时应穿长衣长裤，戴手套、眼镜、口罩等，此时不能吸烟、吃东西、饮水等，施药后清洗干净手脸等。7.本品对蜜蜂、鱼类等水生生物、家蚕有毒，施药期间应避免对周围蜂群的影响，禁止在开花植物花期、蚕室和桑园附近使用。8.远离水产养殖区、河塘等水域施药。瓢虫、赤眼蜂等天敌放飞区域禁用。9.鸟类保护区附近禁用。10.禁止在河塘等水体清洗施药器具，清洗器具的废水不能排入河流、池塘等水体（水田）。11.用过的容器及废弃物要妥善处理，不可随意丢弃，也不可做他用。12.避免孕妇及哺乳期妇女接触本品。13.避免与氧化剂接触。</w:t>
            </w:r>
          </w:p>
        </w:tc>
      </w:tr>
      <w:tr w14:paraId="3AE8CEBD">
        <w:tblPrEx>
          <w:tblCellMar>
            <w:top w:w="0" w:type="dxa"/>
            <w:left w:w="0" w:type="dxa"/>
            <w:bottom w:w="0" w:type="dxa"/>
            <w:right w:w="0" w:type="dxa"/>
          </w:tblCellMar>
        </w:tblPrEx>
        <w:trPr>
          <w:wBefore w:w="0" w:type="auto"/>
          <w:tblCellSpacing w:w="0" w:type="dxa"/>
        </w:trPr>
        <w:tc>
          <w:tcPr>
            <w:tcW w:w="0" w:type="auto"/>
            <w:noWrap w:val="0"/>
            <w:vAlign w:val="center"/>
          </w:tcPr>
          <w:p w14:paraId="622A5F33">
            <w:r>
              <w:rPr>
                <w:rStyle w:val="10"/>
                <w:rFonts w:hint="eastAsia"/>
              </w:rPr>
              <w:t>中毒急救措施：</w:t>
            </w:r>
            <w:r>
              <w:rPr>
                <w:rFonts w:hint="eastAsia"/>
              </w:rPr>
              <w:br w:type="textWrapping"/>
            </w:r>
            <w:r>
              <w:rPr>
                <w:rStyle w:val="11"/>
                <w:rFonts w:hint="eastAsia"/>
              </w:rPr>
              <w:t>中毒症状：本品经口，经皮毒性低，但对眼睛、皮肤、呼吸道有刺激作用。急救措施：如药液沾染皮肤，立即用肥皂水彻底清洗；如溅入眼睛，立即用大量流动清水冲洗至少15分钟；如吸入，应立即到通风处；如误饮，应立即送医院对症治疗。本品尚无特效解毒剂。</w:t>
            </w:r>
          </w:p>
        </w:tc>
      </w:tr>
      <w:tr w14:paraId="5F805727">
        <w:tblPrEx>
          <w:tblCellMar>
            <w:top w:w="0" w:type="dxa"/>
            <w:left w:w="0" w:type="dxa"/>
            <w:bottom w:w="0" w:type="dxa"/>
            <w:right w:w="0" w:type="dxa"/>
          </w:tblCellMar>
        </w:tblPrEx>
        <w:trPr>
          <w:wBefore w:w="0" w:type="auto"/>
          <w:tblCellSpacing w:w="0" w:type="dxa"/>
        </w:trPr>
        <w:tc>
          <w:tcPr>
            <w:tcW w:w="0" w:type="auto"/>
            <w:noWrap w:val="0"/>
            <w:vAlign w:val="center"/>
          </w:tcPr>
          <w:p w14:paraId="6B486DA0">
            <w:r>
              <w:rPr>
                <w:rStyle w:val="10"/>
                <w:rFonts w:hint="eastAsia"/>
              </w:rPr>
              <w:t>储存和运输方法：</w:t>
            </w:r>
            <w:r>
              <w:rPr>
                <w:rFonts w:hint="eastAsia"/>
              </w:rPr>
              <w:br w:type="textWrapping"/>
            </w:r>
            <w:r>
              <w:rPr>
                <w:rStyle w:val="11"/>
                <w:rFonts w:hint="eastAsia"/>
              </w:rPr>
              <w:t>包装件应存放于阴凉、干燥、通风处，远离火源或热源。置于儿童、无关人员触及不到之处，并加锁保存。不能与食品、饮料、粮食、饲料等其它商品同贮同运。搬运及运输过程中，轻拿轻放，避免倒置。</w:t>
            </w:r>
          </w:p>
        </w:tc>
      </w:tr>
      <w:tr w14:paraId="53B33F67">
        <w:tblPrEx>
          <w:tblCellMar>
            <w:top w:w="0" w:type="dxa"/>
            <w:left w:w="0" w:type="dxa"/>
            <w:bottom w:w="0" w:type="dxa"/>
            <w:right w:w="0" w:type="dxa"/>
          </w:tblCellMar>
        </w:tblPrEx>
        <w:trPr>
          <w:wBefore w:w="0" w:type="auto"/>
          <w:tblCellSpacing w:w="0" w:type="dxa"/>
        </w:trPr>
        <w:tc>
          <w:tcPr>
            <w:tcW w:w="0" w:type="auto"/>
            <w:noWrap w:val="0"/>
            <w:vAlign w:val="center"/>
          </w:tcPr>
          <w:p w14:paraId="39187CFC">
            <w:r>
              <w:rPr>
                <w:rStyle w:val="10"/>
                <w:rFonts w:hint="eastAsia"/>
              </w:rPr>
              <w:t>质量保证期：</w:t>
            </w:r>
            <w:r>
              <w:rPr>
                <w:rStyle w:val="11"/>
                <w:rFonts w:hint="eastAsia"/>
              </w:rPr>
              <w:t>2年</w:t>
            </w:r>
          </w:p>
        </w:tc>
      </w:tr>
      <w:tr w14:paraId="52973FC0">
        <w:tblPrEx>
          <w:tblCellMar>
            <w:top w:w="0" w:type="dxa"/>
            <w:left w:w="0" w:type="dxa"/>
            <w:bottom w:w="0" w:type="dxa"/>
            <w:right w:w="0" w:type="dxa"/>
          </w:tblCellMar>
        </w:tblPrEx>
        <w:trPr>
          <w:wBefore w:w="0" w:type="auto"/>
          <w:tblCellSpacing w:w="0" w:type="dxa"/>
        </w:trPr>
        <w:tc>
          <w:tcPr>
            <w:tcW w:w="0" w:type="auto"/>
            <w:noWrap w:val="0"/>
            <w:vAlign w:val="center"/>
          </w:tcPr>
          <w:p w14:paraId="079DEBB6">
            <w:r>
              <w:rPr>
                <w:rStyle w:val="10"/>
                <w:rFonts w:hint="eastAsia"/>
              </w:rPr>
              <w:t>备注：</w:t>
            </w:r>
          </w:p>
        </w:tc>
      </w:tr>
    </w:tbl>
    <w:p w14:paraId="715AAC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B1B095">
        <w:tblPrEx>
          <w:tblCellMar>
            <w:top w:w="0" w:type="dxa"/>
            <w:left w:w="0" w:type="dxa"/>
            <w:bottom w:w="0" w:type="dxa"/>
            <w:right w:w="0" w:type="dxa"/>
          </w:tblCellMar>
        </w:tblPrEx>
        <w:trPr>
          <w:wBefore w:w="0" w:type="auto"/>
          <w:tblCellSpacing w:w="0" w:type="dxa"/>
        </w:trPr>
        <w:tc>
          <w:tcPr>
            <w:tcW w:w="0" w:type="auto"/>
            <w:noWrap w:val="0"/>
            <w:vAlign w:val="center"/>
          </w:tcPr>
          <w:p w14:paraId="63A017EE">
            <w:r>
              <w:rPr>
                <w:rStyle w:val="10"/>
                <w:rFonts w:hint="eastAsia"/>
              </w:rPr>
              <w:t>登记证号：</w:t>
            </w:r>
            <w:r>
              <w:rPr>
                <w:rFonts w:hint="eastAsia"/>
              </w:rPr>
              <w:t>PD20200659</w:t>
            </w:r>
          </w:p>
        </w:tc>
      </w:tr>
      <w:tr w14:paraId="6D2FB6C3">
        <w:tblPrEx>
          <w:tblCellMar>
            <w:top w:w="0" w:type="dxa"/>
            <w:left w:w="0" w:type="dxa"/>
            <w:bottom w:w="0" w:type="dxa"/>
            <w:right w:w="0" w:type="dxa"/>
          </w:tblCellMar>
        </w:tblPrEx>
        <w:trPr>
          <w:wBefore w:w="0" w:type="auto"/>
          <w:tblCellSpacing w:w="0" w:type="dxa"/>
        </w:trPr>
        <w:tc>
          <w:tcPr>
            <w:tcW w:w="0" w:type="auto"/>
            <w:noWrap w:val="0"/>
            <w:vAlign w:val="center"/>
          </w:tcPr>
          <w:p w14:paraId="750B1CCC">
            <w:r>
              <w:rPr>
                <w:rStyle w:val="10"/>
                <w:rFonts w:hint="eastAsia"/>
              </w:rPr>
              <w:t>登记证持有人：</w:t>
            </w:r>
            <w:r>
              <w:rPr>
                <w:rFonts w:hint="eastAsia"/>
              </w:rPr>
              <w:t>拜耳股份公司</w:t>
            </w:r>
          </w:p>
        </w:tc>
      </w:tr>
      <w:tr w14:paraId="23AD3186">
        <w:tblPrEx>
          <w:tblCellMar>
            <w:top w:w="0" w:type="dxa"/>
            <w:left w:w="0" w:type="dxa"/>
            <w:bottom w:w="0" w:type="dxa"/>
            <w:right w:w="0" w:type="dxa"/>
          </w:tblCellMar>
        </w:tblPrEx>
        <w:trPr>
          <w:wBefore w:w="0" w:type="auto"/>
          <w:tblCellSpacing w:w="0" w:type="dxa"/>
        </w:trPr>
        <w:tc>
          <w:tcPr>
            <w:tcW w:w="0" w:type="auto"/>
            <w:noWrap w:val="0"/>
            <w:vAlign w:val="center"/>
          </w:tcPr>
          <w:p w14:paraId="1F659983">
            <w:r>
              <w:rPr>
                <w:rStyle w:val="10"/>
                <w:rFonts w:hint="eastAsia"/>
              </w:rPr>
              <w:t>农药名称：</w:t>
            </w:r>
            <w:r>
              <w:rPr>
                <w:rFonts w:hint="eastAsia"/>
              </w:rPr>
              <w:t>四唑虫酰胺</w:t>
            </w:r>
          </w:p>
        </w:tc>
      </w:tr>
      <w:tr w14:paraId="2A5CB250">
        <w:tblPrEx>
          <w:tblCellMar>
            <w:top w:w="0" w:type="dxa"/>
            <w:left w:w="0" w:type="dxa"/>
            <w:bottom w:w="0" w:type="dxa"/>
            <w:right w:w="0" w:type="dxa"/>
          </w:tblCellMar>
        </w:tblPrEx>
        <w:trPr>
          <w:wBefore w:w="0" w:type="auto"/>
          <w:tblCellSpacing w:w="0" w:type="dxa"/>
        </w:trPr>
        <w:tc>
          <w:tcPr>
            <w:tcW w:w="0" w:type="auto"/>
            <w:noWrap w:val="0"/>
            <w:vAlign w:val="center"/>
          </w:tcPr>
          <w:p w14:paraId="5EFCEE03">
            <w:r>
              <w:rPr>
                <w:rStyle w:val="10"/>
                <w:rFonts w:hint="eastAsia"/>
              </w:rPr>
              <w:t>剂型：</w:t>
            </w:r>
            <w:r>
              <w:rPr>
                <w:rFonts w:hint="eastAsia"/>
              </w:rPr>
              <w:t>悬浮剂</w:t>
            </w:r>
          </w:p>
        </w:tc>
      </w:tr>
      <w:tr w14:paraId="409902EB">
        <w:tblPrEx>
          <w:tblCellMar>
            <w:top w:w="0" w:type="dxa"/>
            <w:left w:w="0" w:type="dxa"/>
            <w:bottom w:w="0" w:type="dxa"/>
            <w:right w:w="0" w:type="dxa"/>
          </w:tblCellMar>
        </w:tblPrEx>
        <w:trPr>
          <w:wBefore w:w="0" w:type="auto"/>
          <w:tblCellSpacing w:w="0" w:type="dxa"/>
        </w:trPr>
        <w:tc>
          <w:tcPr>
            <w:tcW w:w="0" w:type="auto"/>
            <w:noWrap w:val="0"/>
            <w:vAlign w:val="center"/>
          </w:tcPr>
          <w:p w14:paraId="6953D1B6">
            <w:r>
              <w:rPr>
                <w:rStyle w:val="10"/>
                <w:rFonts w:hint="eastAsia"/>
              </w:rPr>
              <w:t>毒性及其标识：</w:t>
            </w:r>
            <w:r>
              <w:rPr>
                <w:rFonts w:hint="eastAsia"/>
              </w:rPr>
              <w:t xml:space="preserve"> </w:t>
            </w:r>
            <w:r>
              <w:rPr>
                <w:lang/>
              </w:rPr>
              <w:drawing>
                <wp:inline distT="0" distB="0" distL="114300" distR="114300">
                  <wp:extent cx="476250" cy="323850"/>
                  <wp:effectExtent l="0" t="0" r="0" b="0"/>
                  <wp:docPr id="398" name="图片 3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C5C2AA6">
        <w:tblPrEx>
          <w:tblCellMar>
            <w:top w:w="0" w:type="dxa"/>
            <w:left w:w="0" w:type="dxa"/>
            <w:bottom w:w="0" w:type="dxa"/>
            <w:right w:w="0" w:type="dxa"/>
          </w:tblCellMar>
        </w:tblPrEx>
        <w:trPr>
          <w:wBefore w:w="0" w:type="auto"/>
          <w:tblCellSpacing w:w="0" w:type="dxa"/>
        </w:trPr>
        <w:tc>
          <w:tcPr>
            <w:tcW w:w="0" w:type="auto"/>
            <w:noWrap w:val="0"/>
            <w:vAlign w:val="center"/>
          </w:tcPr>
          <w:p w14:paraId="4C2BC8CC">
            <w:r>
              <w:rPr>
                <w:rStyle w:val="10"/>
                <w:rFonts w:hint="eastAsia"/>
              </w:rPr>
              <w:t>总有效成分含量：</w:t>
            </w:r>
            <w:r>
              <w:rPr>
                <w:rFonts w:hint="eastAsia"/>
              </w:rPr>
              <w:t>200克/升</w:t>
            </w:r>
          </w:p>
        </w:tc>
      </w:tr>
      <w:tr w14:paraId="3883DE24">
        <w:tblPrEx>
          <w:tblCellMar>
            <w:top w:w="0" w:type="dxa"/>
            <w:left w:w="0" w:type="dxa"/>
            <w:bottom w:w="0" w:type="dxa"/>
            <w:right w:w="0" w:type="dxa"/>
          </w:tblCellMar>
        </w:tblPrEx>
        <w:trPr>
          <w:wBefore w:w="0" w:type="auto"/>
          <w:tblCellSpacing w:w="0" w:type="dxa"/>
        </w:trPr>
        <w:tc>
          <w:tcPr>
            <w:tcW w:w="0" w:type="auto"/>
            <w:noWrap w:val="0"/>
            <w:vAlign w:val="center"/>
          </w:tcPr>
          <w:p w14:paraId="5F833A6C">
            <w:r>
              <w:rPr>
                <w:rFonts w:hint="eastAsia"/>
              </w:rPr>
              <w:t xml:space="preserve">有效成分及其含量： </w:t>
            </w:r>
          </w:p>
          <w:p w14:paraId="33EA619D">
            <w:r>
              <w:rPr>
                <w:rFonts w:hint="eastAsia"/>
              </w:rPr>
              <w:t xml:space="preserve">    四唑虫酰胺200克/升    </w:t>
            </w:r>
          </w:p>
        </w:tc>
      </w:tr>
      <w:tr w14:paraId="28CDC8E2">
        <w:tblPrEx>
          <w:tblCellMar>
            <w:top w:w="0" w:type="dxa"/>
            <w:left w:w="0" w:type="dxa"/>
            <w:bottom w:w="0" w:type="dxa"/>
            <w:right w:w="0" w:type="dxa"/>
          </w:tblCellMar>
        </w:tblPrEx>
        <w:trPr>
          <w:wBefore w:w="0" w:type="auto"/>
          <w:tblCellSpacing w:w="0" w:type="dxa"/>
        </w:trPr>
        <w:tc>
          <w:tcPr>
            <w:tcW w:w="0" w:type="auto"/>
            <w:noWrap w:val="0"/>
            <w:vAlign w:val="center"/>
          </w:tcPr>
          <w:p w14:paraId="447C4FB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B38D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DD01B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D2C9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548DB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29567C">
                  <w:r>
                    <w:rPr>
                      <w:rStyle w:val="11"/>
                      <w:rFonts w:hint="eastAsia"/>
                    </w:rPr>
                    <w:t>施用方式</w:t>
                  </w:r>
                </w:p>
              </w:tc>
            </w:tr>
            <w:tr w14:paraId="716B31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1B839F">
                  <w:r>
                    <w:rPr>
                      <w:rStyle w:val="11"/>
                      <w:rFonts w:hint="eastAsia"/>
                    </w:rPr>
                    <w:t>辣椒(保护地)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AE47E3">
                  <w:r>
                    <w:rPr>
                      <w:rStyle w:val="11"/>
                      <w:rFonts w:hint="eastAsia"/>
                    </w:rPr>
                    <w:t>烟青虫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FE8988">
                  <w:r>
                    <w:rPr>
                      <w:rStyle w:val="11"/>
                      <w:rFonts w:hint="eastAsia"/>
                    </w:rPr>
                    <w:t>7.5-10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EA6EFB">
                  <w:r>
                    <w:rPr>
                      <w:rStyle w:val="11"/>
                      <w:rFonts w:hint="eastAsia"/>
                    </w:rPr>
                    <w:t>喷雾</w:t>
                  </w:r>
                </w:p>
              </w:tc>
            </w:tr>
            <w:tr w14:paraId="2E697D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D39ECD">
                  <w:r>
                    <w:rPr>
                      <w:rStyle w:val="11"/>
                      <w:rFonts w:hint="eastAsia"/>
                    </w:rPr>
                    <w:t>番茄(保护地)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61229A">
                  <w:r>
                    <w:rPr>
                      <w:rStyle w:val="11"/>
                      <w:rFonts w:hint="eastAsia"/>
                    </w:rPr>
                    <w:t>棉铃虫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74ED37">
                  <w:r>
                    <w:rPr>
                      <w:rStyle w:val="11"/>
                      <w:rFonts w:hint="eastAsia"/>
                    </w:rPr>
                    <w:t>7.5-10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D85F5E">
                  <w:r>
                    <w:rPr>
                      <w:rStyle w:val="11"/>
                      <w:rFonts w:hint="eastAsia"/>
                    </w:rPr>
                    <w:t>喷雾</w:t>
                  </w:r>
                </w:p>
              </w:tc>
            </w:tr>
          </w:tbl>
          <w:p w14:paraId="5CA42FAE">
            <w:pPr>
              <w:rPr>
                <w:rFonts w:ascii="Times New Roman" w:hAnsi="Times New Roman" w:cs="Times New Roman"/>
                <w:sz w:val="20"/>
                <w:szCs w:val="20"/>
              </w:rPr>
            </w:pPr>
          </w:p>
        </w:tc>
      </w:tr>
      <w:tr w14:paraId="63B2E8EC">
        <w:tblPrEx>
          <w:tblCellMar>
            <w:top w:w="0" w:type="dxa"/>
            <w:left w:w="0" w:type="dxa"/>
            <w:bottom w:w="0" w:type="dxa"/>
            <w:right w:w="0" w:type="dxa"/>
          </w:tblCellMar>
        </w:tblPrEx>
        <w:trPr>
          <w:wBefore w:w="0" w:type="auto"/>
          <w:tblCellSpacing w:w="0" w:type="dxa"/>
        </w:trPr>
        <w:tc>
          <w:tcPr>
            <w:tcW w:w="0" w:type="auto"/>
            <w:noWrap w:val="0"/>
            <w:vAlign w:val="center"/>
          </w:tcPr>
          <w:p w14:paraId="79EC48C4">
            <w:r>
              <w:rPr>
                <w:rStyle w:val="10"/>
                <w:rFonts w:hint="eastAsia"/>
              </w:rPr>
              <w:t>使用技术要求:</w:t>
            </w:r>
            <w:r>
              <w:rPr>
                <w:rFonts w:hint="eastAsia"/>
              </w:rPr>
              <w:br w:type="textWrapping"/>
            </w:r>
            <w:r>
              <w:rPr>
                <w:rStyle w:val="11"/>
                <w:rFonts w:hint="eastAsia"/>
              </w:rPr>
              <w:t>1.配药前先将原包装摇匀，再采用二次稀释法配药。2.防治甘蓝甜菜夜蛾、番茄棉龄虫和辣椒烟青虫，于低龄幼虫发生初期喷雾施药。3.安全间隔期：甘蓝7天，每个生长季最多施用2次；番茄（保护地）7天，每个生长季最多施用2次；辣椒（保护地）7天，每个生长季最多施用2次。4.严格按照批准的使用次和用药量使用。5.大风天或预计1小时内降雨，请勿施药。</w:t>
            </w:r>
          </w:p>
        </w:tc>
      </w:tr>
      <w:tr w14:paraId="26374EDC">
        <w:tblPrEx>
          <w:tblCellMar>
            <w:top w:w="0" w:type="dxa"/>
            <w:left w:w="0" w:type="dxa"/>
            <w:bottom w:w="0" w:type="dxa"/>
            <w:right w:w="0" w:type="dxa"/>
          </w:tblCellMar>
        </w:tblPrEx>
        <w:trPr>
          <w:wBefore w:w="0" w:type="auto"/>
          <w:tblCellSpacing w:w="0" w:type="dxa"/>
        </w:trPr>
        <w:tc>
          <w:tcPr>
            <w:tcW w:w="0" w:type="auto"/>
            <w:noWrap w:val="0"/>
            <w:vAlign w:val="center"/>
          </w:tcPr>
          <w:p w14:paraId="2A08E597">
            <w:r>
              <w:rPr>
                <w:rStyle w:val="10"/>
                <w:rFonts w:hint="eastAsia"/>
              </w:rPr>
              <w:t>产品性能:</w:t>
            </w:r>
            <w:r>
              <w:rPr>
                <w:rFonts w:hint="eastAsia"/>
              </w:rPr>
              <w:br w:type="textWrapping"/>
            </w:r>
            <w:r>
              <w:rPr>
                <w:rStyle w:val="11"/>
                <w:rFonts w:hint="eastAsia"/>
              </w:rPr>
              <w:t>本品为双酰胺类杀虫剂，作用于害虫的鱼尼丁受体，引起细胞内钙离子无节制释放，导致肌肉收缩、麻痹直至害虫死亡。本品以胃毒为主，能够有效防治鳞翅目害虫为害。</w:t>
            </w:r>
          </w:p>
        </w:tc>
      </w:tr>
      <w:tr w14:paraId="20ED26F3">
        <w:tblPrEx>
          <w:tblCellMar>
            <w:top w:w="0" w:type="dxa"/>
            <w:left w:w="0" w:type="dxa"/>
            <w:bottom w:w="0" w:type="dxa"/>
            <w:right w:w="0" w:type="dxa"/>
          </w:tblCellMar>
        </w:tblPrEx>
        <w:trPr>
          <w:wBefore w:w="0" w:type="auto"/>
          <w:tblCellSpacing w:w="0" w:type="dxa"/>
        </w:trPr>
        <w:tc>
          <w:tcPr>
            <w:tcW w:w="0" w:type="auto"/>
            <w:noWrap w:val="0"/>
            <w:vAlign w:val="center"/>
          </w:tcPr>
          <w:p w14:paraId="7886519A">
            <w:r>
              <w:rPr>
                <w:rStyle w:val="10"/>
                <w:rFonts w:hint="eastAsia"/>
              </w:rPr>
              <w:t>注意事项：</w:t>
            </w:r>
            <w:r>
              <w:rPr>
                <w:rFonts w:hint="eastAsia"/>
              </w:rPr>
              <w:br w:type="textWrapping"/>
            </w:r>
            <w:r>
              <w:rPr>
                <w:rStyle w:val="11"/>
                <w:rFonts w:hint="eastAsia"/>
              </w:rPr>
              <w:t>1.为了更好的避免抗性的产生，严格按照标签推荐的剂量和每季最多用药次数使用，注意与不同作用机制杀虫剂轮换用药。2.操作本品时应戴防护手套、口罩、防护镜、穿防护服、雨靴等，禁止饮食、饮水和吸烟等。3.施药后应及时洗澡，清洗防护用具和衣物等。4.避免孕妇及哺乳期的妇女接触。5.空包装应三次清洗并砸烂或划破后妥善处理，切勿重复使用。6.药液及废液严禁污染各类水域、土壤等环境；水产养殖区、河塘、沟渠、湖泊等水体附近禁用，禁止在河塘等水域清洗施药器具。7.（周围）开花植物花期禁用，使用本品应注意避免对蜜蜂、授粉昆虫及蚕室造成影响。使用时应密切关注对附近蜂群的影响；蚕室及桑园附近禁用；赤眼蜂或其他天敌放飞区域禁用。</w:t>
            </w:r>
          </w:p>
        </w:tc>
      </w:tr>
      <w:tr w14:paraId="69F0F893">
        <w:tblPrEx>
          <w:tblCellMar>
            <w:top w:w="0" w:type="dxa"/>
            <w:left w:w="0" w:type="dxa"/>
            <w:bottom w:w="0" w:type="dxa"/>
            <w:right w:w="0" w:type="dxa"/>
          </w:tblCellMar>
        </w:tblPrEx>
        <w:trPr>
          <w:wBefore w:w="0" w:type="auto"/>
          <w:tblCellSpacing w:w="0" w:type="dxa"/>
        </w:trPr>
        <w:tc>
          <w:tcPr>
            <w:tcW w:w="0" w:type="auto"/>
            <w:noWrap w:val="0"/>
            <w:vAlign w:val="center"/>
          </w:tcPr>
          <w:p w14:paraId="31A1ECE6">
            <w:r>
              <w:rPr>
                <w:rStyle w:val="10"/>
                <w:rFonts w:hint="eastAsia"/>
              </w:rPr>
              <w:t>中毒急救措施：</w:t>
            </w:r>
            <w:r>
              <w:rPr>
                <w:rFonts w:hint="eastAsia"/>
              </w:rPr>
              <w:br w:type="textWrapping"/>
            </w:r>
            <w:r>
              <w:rPr>
                <w:rStyle w:val="11"/>
                <w:rFonts w:hint="eastAsia"/>
              </w:rPr>
              <w:t>有任何不良反应请及时携标签就医。1.一般建议：将中毒者从危险区域转移，脱去受污染衣物并妥善处置，转移时需保持中毒者处于稳定的侧卧体位。2.如皮肤接触：用肥皂和大量清水彻底清洗，如有条件，先用聚乙二醇400清洗再用清水冲洗，如仍有不适应立即就医。3.如误入眼睛：立即用大量清水冲洗至少15分钟；如戴隐形眼镜，先冲洗5分钟，摘掉眼镜后再继续冲洗，如仍有不适，应立即就医。4.如误吸入：将患者移到空气新鲜处，使其保持温暖和休息，如仍有不适，应立即就医。5.如误食：禁止引吐，用水漱口并立即携此标签就医。6.无已知的中毒症状，无特定解毒剂，建议医生根据患者症状对症治疗，大量吞食两小时内应考虑洗胃，可给服活性炭和硫酸钠。7.如发生中毒事故或化学事故请拨打国家化学事故应急响应专线0532-83889090。</w:t>
            </w:r>
          </w:p>
        </w:tc>
      </w:tr>
      <w:tr w14:paraId="43B5913F">
        <w:tblPrEx>
          <w:tblCellMar>
            <w:top w:w="0" w:type="dxa"/>
            <w:left w:w="0" w:type="dxa"/>
            <w:bottom w:w="0" w:type="dxa"/>
            <w:right w:w="0" w:type="dxa"/>
          </w:tblCellMar>
        </w:tblPrEx>
        <w:trPr>
          <w:wBefore w:w="0" w:type="auto"/>
          <w:tblCellSpacing w:w="0" w:type="dxa"/>
        </w:trPr>
        <w:tc>
          <w:tcPr>
            <w:tcW w:w="0" w:type="auto"/>
            <w:noWrap w:val="0"/>
            <w:vAlign w:val="center"/>
          </w:tcPr>
          <w:p w14:paraId="76E60200">
            <w:r>
              <w:rPr>
                <w:rStyle w:val="10"/>
                <w:rFonts w:hint="eastAsia"/>
              </w:rPr>
              <w:t>储存和运输方法：</w:t>
            </w:r>
            <w:r>
              <w:rPr>
                <w:rFonts w:hint="eastAsia"/>
              </w:rPr>
              <w:br w:type="textWrapping"/>
            </w:r>
            <w:r>
              <w:rPr>
                <w:rStyle w:val="11"/>
                <w:rFonts w:hint="eastAsia"/>
              </w:rPr>
              <w:t>1.本品应以密封的原包装储存于阴凉、干燥和通风处。2.加锁保存，置于儿童接触不到的地方。3.勿与食品、饮料、粮食、饲料、种子、肥料等其他商品同贮同运。4.适宜的储存温度为0℃—35℃。5.运输时应注意防水防潮，避免雨淋日晒；搬运时轻搬轻放，不可倒置。6.远离火源或热源。</w:t>
            </w:r>
          </w:p>
        </w:tc>
      </w:tr>
      <w:tr w14:paraId="5DABA55D">
        <w:tblPrEx>
          <w:tblCellMar>
            <w:top w:w="0" w:type="dxa"/>
            <w:left w:w="0" w:type="dxa"/>
            <w:bottom w:w="0" w:type="dxa"/>
            <w:right w:w="0" w:type="dxa"/>
          </w:tblCellMar>
        </w:tblPrEx>
        <w:trPr>
          <w:wBefore w:w="0" w:type="auto"/>
          <w:tblCellSpacing w:w="0" w:type="dxa"/>
        </w:trPr>
        <w:tc>
          <w:tcPr>
            <w:tcW w:w="0" w:type="auto"/>
            <w:noWrap w:val="0"/>
            <w:vAlign w:val="center"/>
          </w:tcPr>
          <w:p w14:paraId="4E137E77">
            <w:r>
              <w:rPr>
                <w:rStyle w:val="10"/>
                <w:rFonts w:hint="eastAsia"/>
              </w:rPr>
              <w:t>质量保证期：</w:t>
            </w:r>
            <w:r>
              <w:rPr>
                <w:rStyle w:val="11"/>
                <w:rFonts w:hint="eastAsia"/>
              </w:rPr>
              <w:t>3年</w:t>
            </w:r>
          </w:p>
        </w:tc>
      </w:tr>
      <w:tr w14:paraId="00BFA87B">
        <w:tblPrEx>
          <w:tblCellMar>
            <w:top w:w="0" w:type="dxa"/>
            <w:left w:w="0" w:type="dxa"/>
            <w:bottom w:w="0" w:type="dxa"/>
            <w:right w:w="0" w:type="dxa"/>
          </w:tblCellMar>
        </w:tblPrEx>
        <w:trPr>
          <w:wBefore w:w="0" w:type="auto"/>
          <w:tblCellSpacing w:w="0" w:type="dxa"/>
        </w:trPr>
        <w:tc>
          <w:tcPr>
            <w:tcW w:w="0" w:type="auto"/>
            <w:noWrap w:val="0"/>
            <w:vAlign w:val="center"/>
          </w:tcPr>
          <w:p w14:paraId="1E0FCED2">
            <w:r>
              <w:rPr>
                <w:rStyle w:val="10"/>
                <w:rFonts w:hint="eastAsia"/>
              </w:rPr>
              <w:t>备注：</w:t>
            </w:r>
          </w:p>
        </w:tc>
      </w:tr>
    </w:tbl>
    <w:p w14:paraId="52AC2A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76D592">
        <w:tblPrEx>
          <w:tblCellMar>
            <w:top w:w="0" w:type="dxa"/>
            <w:left w:w="0" w:type="dxa"/>
            <w:bottom w:w="0" w:type="dxa"/>
            <w:right w:w="0" w:type="dxa"/>
          </w:tblCellMar>
        </w:tblPrEx>
        <w:trPr>
          <w:wBefore w:w="0" w:type="auto"/>
          <w:tblCellSpacing w:w="0" w:type="dxa"/>
        </w:trPr>
        <w:tc>
          <w:tcPr>
            <w:tcW w:w="0" w:type="auto"/>
            <w:noWrap w:val="0"/>
            <w:vAlign w:val="center"/>
          </w:tcPr>
          <w:p w14:paraId="06D2B563">
            <w:r>
              <w:rPr>
                <w:rStyle w:val="10"/>
                <w:rFonts w:hint="eastAsia"/>
              </w:rPr>
              <w:t>登记证号：</w:t>
            </w:r>
            <w:r>
              <w:rPr>
                <w:rFonts w:hint="eastAsia"/>
              </w:rPr>
              <w:t>PD20212431</w:t>
            </w:r>
          </w:p>
        </w:tc>
      </w:tr>
      <w:tr w14:paraId="2842494A">
        <w:tblPrEx>
          <w:tblCellMar>
            <w:top w:w="0" w:type="dxa"/>
            <w:left w:w="0" w:type="dxa"/>
            <w:bottom w:w="0" w:type="dxa"/>
            <w:right w:w="0" w:type="dxa"/>
          </w:tblCellMar>
        </w:tblPrEx>
        <w:trPr>
          <w:wBefore w:w="0" w:type="auto"/>
          <w:tblCellSpacing w:w="0" w:type="dxa"/>
        </w:trPr>
        <w:tc>
          <w:tcPr>
            <w:tcW w:w="0" w:type="auto"/>
            <w:noWrap w:val="0"/>
            <w:vAlign w:val="center"/>
          </w:tcPr>
          <w:p w14:paraId="1F9DD436">
            <w:r>
              <w:rPr>
                <w:rStyle w:val="10"/>
                <w:rFonts w:hint="eastAsia"/>
              </w:rPr>
              <w:t>登记证持有人：</w:t>
            </w:r>
            <w:r>
              <w:rPr>
                <w:rFonts w:hint="eastAsia"/>
              </w:rPr>
              <w:t>广西金穗通实业有限公司</w:t>
            </w:r>
          </w:p>
        </w:tc>
      </w:tr>
      <w:tr w14:paraId="569213FF">
        <w:tblPrEx>
          <w:tblCellMar>
            <w:top w:w="0" w:type="dxa"/>
            <w:left w:w="0" w:type="dxa"/>
            <w:bottom w:w="0" w:type="dxa"/>
            <w:right w:w="0" w:type="dxa"/>
          </w:tblCellMar>
        </w:tblPrEx>
        <w:trPr>
          <w:wBefore w:w="0" w:type="auto"/>
          <w:tblCellSpacing w:w="0" w:type="dxa"/>
        </w:trPr>
        <w:tc>
          <w:tcPr>
            <w:tcW w:w="0" w:type="auto"/>
            <w:noWrap w:val="0"/>
            <w:vAlign w:val="center"/>
          </w:tcPr>
          <w:p w14:paraId="6D320D3C">
            <w:r>
              <w:rPr>
                <w:rStyle w:val="10"/>
                <w:rFonts w:hint="eastAsia"/>
              </w:rPr>
              <w:t>农药名称：</w:t>
            </w:r>
            <w:r>
              <w:rPr>
                <w:rFonts w:hint="eastAsia"/>
              </w:rPr>
              <w:t>甲氨基阿维菌素苯甲酸盐</w:t>
            </w:r>
          </w:p>
        </w:tc>
      </w:tr>
      <w:tr w14:paraId="738B6205">
        <w:tblPrEx>
          <w:tblCellMar>
            <w:top w:w="0" w:type="dxa"/>
            <w:left w:w="0" w:type="dxa"/>
            <w:bottom w:w="0" w:type="dxa"/>
            <w:right w:w="0" w:type="dxa"/>
          </w:tblCellMar>
        </w:tblPrEx>
        <w:trPr>
          <w:wBefore w:w="0" w:type="auto"/>
          <w:tblCellSpacing w:w="0" w:type="dxa"/>
        </w:trPr>
        <w:tc>
          <w:tcPr>
            <w:tcW w:w="0" w:type="auto"/>
            <w:noWrap w:val="0"/>
            <w:vAlign w:val="center"/>
          </w:tcPr>
          <w:p w14:paraId="69158BB7">
            <w:r>
              <w:rPr>
                <w:rStyle w:val="10"/>
                <w:rFonts w:hint="eastAsia"/>
              </w:rPr>
              <w:t>剂型：</w:t>
            </w:r>
            <w:r>
              <w:rPr>
                <w:rFonts w:hint="eastAsia"/>
              </w:rPr>
              <w:t>微乳剂</w:t>
            </w:r>
          </w:p>
        </w:tc>
      </w:tr>
      <w:tr w14:paraId="0F1EA7A6">
        <w:tblPrEx>
          <w:tblCellMar>
            <w:top w:w="0" w:type="dxa"/>
            <w:left w:w="0" w:type="dxa"/>
            <w:bottom w:w="0" w:type="dxa"/>
            <w:right w:w="0" w:type="dxa"/>
          </w:tblCellMar>
        </w:tblPrEx>
        <w:trPr>
          <w:wBefore w:w="0" w:type="auto"/>
          <w:tblCellSpacing w:w="0" w:type="dxa"/>
        </w:trPr>
        <w:tc>
          <w:tcPr>
            <w:tcW w:w="0" w:type="auto"/>
            <w:noWrap w:val="0"/>
            <w:vAlign w:val="center"/>
          </w:tcPr>
          <w:p w14:paraId="4FE86B3F">
            <w:r>
              <w:rPr>
                <w:rStyle w:val="10"/>
                <w:rFonts w:hint="eastAsia"/>
              </w:rPr>
              <w:t>毒性及其标识：</w:t>
            </w:r>
            <w:r>
              <w:rPr>
                <w:rFonts w:hint="eastAsia"/>
              </w:rPr>
              <w:t xml:space="preserve"> </w:t>
            </w:r>
            <w:r>
              <w:rPr>
                <w:lang/>
              </w:rPr>
              <w:drawing>
                <wp:inline distT="0" distB="0" distL="114300" distR="114300">
                  <wp:extent cx="476250" cy="323850"/>
                  <wp:effectExtent l="0" t="0" r="0" b="0"/>
                  <wp:docPr id="399" name="图片 3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8062857">
        <w:tblPrEx>
          <w:tblCellMar>
            <w:top w:w="0" w:type="dxa"/>
            <w:left w:w="0" w:type="dxa"/>
            <w:bottom w:w="0" w:type="dxa"/>
            <w:right w:w="0" w:type="dxa"/>
          </w:tblCellMar>
        </w:tblPrEx>
        <w:trPr>
          <w:wBefore w:w="0" w:type="auto"/>
          <w:tblCellSpacing w:w="0" w:type="dxa"/>
        </w:trPr>
        <w:tc>
          <w:tcPr>
            <w:tcW w:w="0" w:type="auto"/>
            <w:noWrap w:val="0"/>
            <w:vAlign w:val="center"/>
          </w:tcPr>
          <w:p w14:paraId="273589CF">
            <w:r>
              <w:rPr>
                <w:rStyle w:val="10"/>
                <w:rFonts w:hint="eastAsia"/>
              </w:rPr>
              <w:t>总有效成分含量：</w:t>
            </w:r>
            <w:r>
              <w:rPr>
                <w:rFonts w:hint="eastAsia"/>
              </w:rPr>
              <w:t>5%</w:t>
            </w:r>
          </w:p>
        </w:tc>
      </w:tr>
      <w:tr w14:paraId="4B98277E">
        <w:tblPrEx>
          <w:tblCellMar>
            <w:top w:w="0" w:type="dxa"/>
            <w:left w:w="0" w:type="dxa"/>
            <w:bottom w:w="0" w:type="dxa"/>
            <w:right w:w="0" w:type="dxa"/>
          </w:tblCellMar>
        </w:tblPrEx>
        <w:trPr>
          <w:wBefore w:w="0" w:type="auto"/>
          <w:tblCellSpacing w:w="0" w:type="dxa"/>
        </w:trPr>
        <w:tc>
          <w:tcPr>
            <w:tcW w:w="0" w:type="auto"/>
            <w:noWrap w:val="0"/>
            <w:vAlign w:val="center"/>
          </w:tcPr>
          <w:p w14:paraId="35F5C3F9">
            <w:r>
              <w:rPr>
                <w:rFonts w:hint="eastAsia"/>
              </w:rPr>
              <w:t xml:space="preserve">有效成分及其含量： </w:t>
            </w:r>
          </w:p>
          <w:p w14:paraId="2C1B9FD3">
            <w:r>
              <w:rPr>
                <w:rFonts w:hint="eastAsia"/>
              </w:rPr>
              <w:t xml:space="preserve">    甲氨基阿维菌素5%    </w:t>
            </w:r>
          </w:p>
        </w:tc>
      </w:tr>
      <w:tr w14:paraId="752EC5F5">
        <w:tblPrEx>
          <w:tblCellMar>
            <w:top w:w="0" w:type="dxa"/>
            <w:left w:w="0" w:type="dxa"/>
            <w:bottom w:w="0" w:type="dxa"/>
            <w:right w:w="0" w:type="dxa"/>
          </w:tblCellMar>
        </w:tblPrEx>
        <w:trPr>
          <w:wBefore w:w="0" w:type="auto"/>
          <w:tblCellSpacing w:w="0" w:type="dxa"/>
        </w:trPr>
        <w:tc>
          <w:tcPr>
            <w:tcW w:w="0" w:type="auto"/>
            <w:noWrap w:val="0"/>
            <w:vAlign w:val="center"/>
          </w:tcPr>
          <w:p w14:paraId="51B86B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ED53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E83B4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2C63C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EFC6C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469EB3">
                  <w:r>
                    <w:rPr>
                      <w:rStyle w:val="11"/>
                      <w:rFonts w:hint="eastAsia"/>
                    </w:rPr>
                    <w:t>施用方式</w:t>
                  </w:r>
                </w:p>
              </w:tc>
            </w:tr>
            <w:tr w14:paraId="4ACDEF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278205">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EACB2C">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D2CDC5">
                  <w:r>
                    <w:rPr>
                      <w:rStyle w:val="11"/>
                      <w:rFonts w:hint="eastAsia"/>
                    </w:rPr>
                    <w:t>3-6毫升/亩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64A353">
                  <w:r>
                    <w:rPr>
                      <w:rStyle w:val="11"/>
                      <w:rFonts w:hint="eastAsia"/>
                    </w:rPr>
                    <w:t>喷雾</w:t>
                  </w:r>
                </w:p>
              </w:tc>
            </w:tr>
          </w:tbl>
          <w:p w14:paraId="11DF607B">
            <w:pPr>
              <w:rPr>
                <w:rFonts w:ascii="Times New Roman" w:hAnsi="Times New Roman" w:cs="Times New Roman"/>
                <w:sz w:val="20"/>
                <w:szCs w:val="20"/>
              </w:rPr>
            </w:pPr>
          </w:p>
        </w:tc>
      </w:tr>
      <w:tr w14:paraId="6556680F">
        <w:tblPrEx>
          <w:tblCellMar>
            <w:top w:w="0" w:type="dxa"/>
            <w:left w:w="0" w:type="dxa"/>
            <w:bottom w:w="0" w:type="dxa"/>
            <w:right w:w="0" w:type="dxa"/>
          </w:tblCellMar>
        </w:tblPrEx>
        <w:trPr>
          <w:wBefore w:w="0" w:type="auto"/>
          <w:tblCellSpacing w:w="0" w:type="dxa"/>
        </w:trPr>
        <w:tc>
          <w:tcPr>
            <w:tcW w:w="0" w:type="auto"/>
            <w:noWrap w:val="0"/>
            <w:vAlign w:val="center"/>
          </w:tcPr>
          <w:p w14:paraId="162AA08A">
            <w:r>
              <w:rPr>
                <w:rStyle w:val="10"/>
                <w:rFonts w:hint="eastAsia"/>
              </w:rPr>
              <w:t>使用技术要求:</w:t>
            </w:r>
            <w:r>
              <w:rPr>
                <w:rFonts w:hint="eastAsia"/>
              </w:rPr>
              <w:br w:type="textWrapping"/>
            </w:r>
            <w:r>
              <w:rPr>
                <w:rStyle w:val="11"/>
                <w:rFonts w:hint="eastAsia"/>
              </w:rPr>
              <w:t>1.于甜菜夜蛾低龄幼虫期喷雾施药1次。 2.本品在甘蓝上每季最多使用1次，安全间隔期7天。 3.大风天或预计1小时内降雨，请勿施药。</w:t>
            </w:r>
          </w:p>
        </w:tc>
      </w:tr>
      <w:tr w14:paraId="0E522CCB">
        <w:tblPrEx>
          <w:tblCellMar>
            <w:top w:w="0" w:type="dxa"/>
            <w:left w:w="0" w:type="dxa"/>
            <w:bottom w:w="0" w:type="dxa"/>
            <w:right w:w="0" w:type="dxa"/>
          </w:tblCellMar>
        </w:tblPrEx>
        <w:trPr>
          <w:wBefore w:w="0" w:type="auto"/>
          <w:tblCellSpacing w:w="0" w:type="dxa"/>
        </w:trPr>
        <w:tc>
          <w:tcPr>
            <w:tcW w:w="0" w:type="auto"/>
            <w:noWrap w:val="0"/>
            <w:vAlign w:val="center"/>
          </w:tcPr>
          <w:p w14:paraId="375EAC26">
            <w:r>
              <w:rPr>
                <w:rStyle w:val="10"/>
                <w:rFonts w:hint="eastAsia"/>
              </w:rPr>
              <w:t>产品性能:</w:t>
            </w:r>
            <w:r>
              <w:rPr>
                <w:rFonts w:hint="eastAsia"/>
              </w:rPr>
              <w:br w:type="textWrapping"/>
            </w:r>
            <w:r>
              <w:rPr>
                <w:rStyle w:val="11"/>
                <w:rFonts w:hint="eastAsia"/>
              </w:rPr>
              <w:t>本品作用机理是阻碍害虫运动神经信息传递而使其身体麻痹死亡。作用方式以胃毒为主兼触杀作用，可以有效地渗入作物表皮组织，用于防治甘蓝甜菜夜蛾效果良好。</w:t>
            </w:r>
          </w:p>
        </w:tc>
      </w:tr>
      <w:tr w14:paraId="12C2E763">
        <w:tblPrEx>
          <w:tblCellMar>
            <w:top w:w="0" w:type="dxa"/>
            <w:left w:w="0" w:type="dxa"/>
            <w:bottom w:w="0" w:type="dxa"/>
            <w:right w:w="0" w:type="dxa"/>
          </w:tblCellMar>
        </w:tblPrEx>
        <w:trPr>
          <w:wBefore w:w="0" w:type="auto"/>
          <w:tblCellSpacing w:w="0" w:type="dxa"/>
        </w:trPr>
        <w:tc>
          <w:tcPr>
            <w:tcW w:w="0" w:type="auto"/>
            <w:noWrap w:val="0"/>
            <w:vAlign w:val="center"/>
          </w:tcPr>
          <w:p w14:paraId="3F348504">
            <w:r>
              <w:rPr>
                <w:rStyle w:val="10"/>
                <w:rFonts w:hint="eastAsia"/>
              </w:rPr>
              <w:t>注意事项：</w:t>
            </w:r>
            <w:r>
              <w:rPr>
                <w:rFonts w:hint="eastAsia"/>
              </w:rPr>
              <w:br w:type="textWrapping"/>
            </w:r>
            <w:r>
              <w:rPr>
                <w:rStyle w:val="11"/>
                <w:rFonts w:hint="eastAsia"/>
              </w:rPr>
              <w:t>1.本品对鱼、蚕高毒，对蜜蜂有毒，（周围）开花植物花期禁用，使用时应密切关注对附近蜂群的影响；鸟类保护区附近禁用；蚕室、桑园附近禁用。赤眼蜂等天敌放飞区域禁用。水产养殖区、河塘等水体附近禁用，禁止在河塘等水域清洗施药器具。 2.使用时穿戴长衣、长裤、帽子、口罩、手套等防护措施，避免皮肤、伤口、黏膜、眼睛接触及口鼻吸入。使用中不可吸烟、饮水及吃东西，使得后及时清洗手、脸等暴露部位皮肤并更换衣物。 3.用过的容器应该妥善处理，不可作他用，也不可随意丢弃。农药包装废弃物及时交回农药经营者。 4.建议与不同作用机制的杀虫剂轮换使用。 5.避免孕妇及哺乳期妇女接触。</w:t>
            </w:r>
          </w:p>
        </w:tc>
      </w:tr>
      <w:tr w14:paraId="0CAAE11B">
        <w:tblPrEx>
          <w:tblCellMar>
            <w:top w:w="0" w:type="dxa"/>
            <w:left w:w="0" w:type="dxa"/>
            <w:bottom w:w="0" w:type="dxa"/>
            <w:right w:w="0" w:type="dxa"/>
          </w:tblCellMar>
        </w:tblPrEx>
        <w:trPr>
          <w:wBefore w:w="0" w:type="auto"/>
          <w:tblCellSpacing w:w="0" w:type="dxa"/>
        </w:trPr>
        <w:tc>
          <w:tcPr>
            <w:tcW w:w="0" w:type="auto"/>
            <w:noWrap w:val="0"/>
            <w:vAlign w:val="center"/>
          </w:tcPr>
          <w:p w14:paraId="38F08572">
            <w:r>
              <w:rPr>
                <w:rStyle w:val="10"/>
                <w:rFonts w:hint="eastAsia"/>
              </w:rPr>
              <w:t>中毒急救措施：</w:t>
            </w:r>
            <w:r>
              <w:rPr>
                <w:rFonts w:hint="eastAsia"/>
              </w:rPr>
              <w:br w:type="textWrapping"/>
            </w:r>
            <w:r>
              <w:rPr>
                <w:rStyle w:val="11"/>
                <w:rFonts w:hint="eastAsia"/>
              </w:rPr>
              <w:t>该产品对眼睛有刺激性，使用时避免接触眼睛。 中毒症状：头痛、恶心、呕吐、胸闷等。 中毒急救：1.皮肤接触：立即脱掉被污染的衣物，用大量清水冲洗被污染的皮肤，再用肥皂清洗，然后用清水冲净。2.眼睛溅药：立即将眼睑翻开，用清水冲洗至少15分钟，再请医生诊治。 3.发生吸入：立即将吸入者转移到空气新鲜处，如果吸入者停止呼吸， 需进行人工呼吸。请医生诊治。 4.误服：请用清水充分漱口后，立即携带标签，送医就诊。5.解毒剂：无专用解毒剂，对症治疗。</w:t>
            </w:r>
          </w:p>
        </w:tc>
      </w:tr>
      <w:tr w14:paraId="5DC2C759">
        <w:tblPrEx>
          <w:tblCellMar>
            <w:top w:w="0" w:type="dxa"/>
            <w:left w:w="0" w:type="dxa"/>
            <w:bottom w:w="0" w:type="dxa"/>
            <w:right w:w="0" w:type="dxa"/>
          </w:tblCellMar>
        </w:tblPrEx>
        <w:trPr>
          <w:wBefore w:w="0" w:type="auto"/>
          <w:tblCellSpacing w:w="0" w:type="dxa"/>
        </w:trPr>
        <w:tc>
          <w:tcPr>
            <w:tcW w:w="0" w:type="auto"/>
            <w:noWrap w:val="0"/>
            <w:vAlign w:val="center"/>
          </w:tcPr>
          <w:p w14:paraId="1CF5537D">
            <w:r>
              <w:rPr>
                <w:rStyle w:val="10"/>
                <w:rFonts w:hint="eastAsia"/>
              </w:rPr>
              <w:t>储存和运输方法：</w:t>
            </w:r>
            <w:r>
              <w:rPr>
                <w:rFonts w:hint="eastAsia"/>
              </w:rPr>
              <w:br w:type="textWrapping"/>
            </w:r>
            <w:r>
              <w:rPr>
                <w:rStyle w:val="11"/>
                <w:rFonts w:hint="eastAsia"/>
              </w:rPr>
              <w:t>本品应远离火源、热源，贮存于通风、阴凉、干燥，小孩接触不到的地方，并加锁保存，勿与食品、饲料、粮食、饮料等混合存放、运输。</w:t>
            </w:r>
          </w:p>
        </w:tc>
      </w:tr>
      <w:tr w14:paraId="132BC876">
        <w:tblPrEx>
          <w:tblCellMar>
            <w:top w:w="0" w:type="dxa"/>
            <w:left w:w="0" w:type="dxa"/>
            <w:bottom w:w="0" w:type="dxa"/>
            <w:right w:w="0" w:type="dxa"/>
          </w:tblCellMar>
        </w:tblPrEx>
        <w:trPr>
          <w:wBefore w:w="0" w:type="auto"/>
          <w:tblCellSpacing w:w="0" w:type="dxa"/>
        </w:trPr>
        <w:tc>
          <w:tcPr>
            <w:tcW w:w="0" w:type="auto"/>
            <w:noWrap w:val="0"/>
            <w:vAlign w:val="center"/>
          </w:tcPr>
          <w:p w14:paraId="4C3C146D">
            <w:r>
              <w:rPr>
                <w:rStyle w:val="10"/>
                <w:rFonts w:hint="eastAsia"/>
              </w:rPr>
              <w:t>质量保证期：</w:t>
            </w:r>
            <w:r>
              <w:rPr>
                <w:rStyle w:val="11"/>
                <w:rFonts w:hint="eastAsia"/>
              </w:rPr>
              <w:t>2年</w:t>
            </w:r>
          </w:p>
        </w:tc>
      </w:tr>
      <w:tr w14:paraId="57F958D7">
        <w:tblPrEx>
          <w:tblCellMar>
            <w:top w:w="0" w:type="dxa"/>
            <w:left w:w="0" w:type="dxa"/>
            <w:bottom w:w="0" w:type="dxa"/>
            <w:right w:w="0" w:type="dxa"/>
          </w:tblCellMar>
        </w:tblPrEx>
        <w:trPr>
          <w:wBefore w:w="0" w:type="auto"/>
          <w:tblCellSpacing w:w="0" w:type="dxa"/>
        </w:trPr>
        <w:tc>
          <w:tcPr>
            <w:tcW w:w="0" w:type="auto"/>
            <w:noWrap w:val="0"/>
            <w:vAlign w:val="center"/>
          </w:tcPr>
          <w:p w14:paraId="1C436D8A">
            <w:r>
              <w:rPr>
                <w:rStyle w:val="10"/>
                <w:rFonts w:hint="eastAsia"/>
              </w:rPr>
              <w:t>备注：</w:t>
            </w:r>
          </w:p>
        </w:tc>
      </w:tr>
    </w:tbl>
    <w:p w14:paraId="15FC373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6D78FA">
        <w:tblPrEx>
          <w:tblCellMar>
            <w:top w:w="0" w:type="dxa"/>
            <w:left w:w="0" w:type="dxa"/>
            <w:bottom w:w="0" w:type="dxa"/>
            <w:right w:w="0" w:type="dxa"/>
          </w:tblCellMar>
        </w:tblPrEx>
        <w:trPr>
          <w:wBefore w:w="0" w:type="auto"/>
          <w:tblCellSpacing w:w="0" w:type="dxa"/>
        </w:trPr>
        <w:tc>
          <w:tcPr>
            <w:tcW w:w="0" w:type="auto"/>
            <w:noWrap w:val="0"/>
            <w:vAlign w:val="center"/>
          </w:tcPr>
          <w:p w14:paraId="2707E580">
            <w:r>
              <w:rPr>
                <w:rStyle w:val="10"/>
                <w:rFonts w:hint="eastAsia"/>
              </w:rPr>
              <w:t>登记证号：</w:t>
            </w:r>
            <w:r>
              <w:rPr>
                <w:rFonts w:hint="eastAsia"/>
              </w:rPr>
              <w:t>EX20210142</w:t>
            </w:r>
          </w:p>
        </w:tc>
      </w:tr>
      <w:tr w14:paraId="53E153BB">
        <w:tblPrEx>
          <w:tblCellMar>
            <w:top w:w="0" w:type="dxa"/>
            <w:left w:w="0" w:type="dxa"/>
            <w:bottom w:w="0" w:type="dxa"/>
            <w:right w:w="0" w:type="dxa"/>
          </w:tblCellMar>
        </w:tblPrEx>
        <w:trPr>
          <w:wBefore w:w="0" w:type="auto"/>
          <w:tblCellSpacing w:w="0" w:type="dxa"/>
        </w:trPr>
        <w:tc>
          <w:tcPr>
            <w:tcW w:w="0" w:type="auto"/>
            <w:noWrap w:val="0"/>
            <w:vAlign w:val="center"/>
          </w:tcPr>
          <w:p w14:paraId="777C738C">
            <w:r>
              <w:rPr>
                <w:rStyle w:val="10"/>
                <w:rFonts w:hint="eastAsia"/>
              </w:rPr>
              <w:t>登记证持有人：</w:t>
            </w:r>
            <w:r>
              <w:rPr>
                <w:rFonts w:hint="eastAsia"/>
              </w:rPr>
              <w:t>浙江新安化工集团股份有限公司</w:t>
            </w:r>
          </w:p>
        </w:tc>
      </w:tr>
      <w:tr w14:paraId="06B69F57">
        <w:tblPrEx>
          <w:tblCellMar>
            <w:top w:w="0" w:type="dxa"/>
            <w:left w:w="0" w:type="dxa"/>
            <w:bottom w:w="0" w:type="dxa"/>
            <w:right w:w="0" w:type="dxa"/>
          </w:tblCellMar>
        </w:tblPrEx>
        <w:trPr>
          <w:wBefore w:w="0" w:type="auto"/>
          <w:tblCellSpacing w:w="0" w:type="dxa"/>
        </w:trPr>
        <w:tc>
          <w:tcPr>
            <w:tcW w:w="0" w:type="auto"/>
            <w:noWrap w:val="0"/>
            <w:vAlign w:val="center"/>
          </w:tcPr>
          <w:p w14:paraId="544F1586">
            <w:r>
              <w:rPr>
                <w:rStyle w:val="10"/>
                <w:rFonts w:hint="eastAsia"/>
              </w:rPr>
              <w:t>农药名称：</w:t>
            </w:r>
            <w:r>
              <w:rPr>
                <w:rFonts w:hint="eastAsia"/>
              </w:rPr>
              <w:t>双草醚</w:t>
            </w:r>
          </w:p>
        </w:tc>
      </w:tr>
      <w:tr w14:paraId="0898D9FE">
        <w:tblPrEx>
          <w:tblCellMar>
            <w:top w:w="0" w:type="dxa"/>
            <w:left w:w="0" w:type="dxa"/>
            <w:bottom w:w="0" w:type="dxa"/>
            <w:right w:w="0" w:type="dxa"/>
          </w:tblCellMar>
        </w:tblPrEx>
        <w:trPr>
          <w:wBefore w:w="0" w:type="auto"/>
          <w:tblCellSpacing w:w="0" w:type="dxa"/>
        </w:trPr>
        <w:tc>
          <w:tcPr>
            <w:tcW w:w="0" w:type="auto"/>
            <w:noWrap w:val="0"/>
            <w:vAlign w:val="center"/>
          </w:tcPr>
          <w:p w14:paraId="4F88AD13">
            <w:r>
              <w:rPr>
                <w:rStyle w:val="10"/>
                <w:rFonts w:hint="eastAsia"/>
              </w:rPr>
              <w:t>剂型：</w:t>
            </w:r>
            <w:r>
              <w:rPr>
                <w:rFonts w:hint="eastAsia"/>
              </w:rPr>
              <w:t>悬浮剂</w:t>
            </w:r>
          </w:p>
        </w:tc>
      </w:tr>
      <w:tr w14:paraId="4E654977">
        <w:tblPrEx>
          <w:tblCellMar>
            <w:top w:w="0" w:type="dxa"/>
            <w:left w:w="0" w:type="dxa"/>
            <w:bottom w:w="0" w:type="dxa"/>
            <w:right w:w="0" w:type="dxa"/>
          </w:tblCellMar>
        </w:tblPrEx>
        <w:trPr>
          <w:wBefore w:w="0" w:type="auto"/>
          <w:tblCellSpacing w:w="0" w:type="dxa"/>
        </w:trPr>
        <w:tc>
          <w:tcPr>
            <w:tcW w:w="0" w:type="auto"/>
            <w:noWrap w:val="0"/>
            <w:vAlign w:val="center"/>
          </w:tcPr>
          <w:p w14:paraId="580A0538">
            <w:r>
              <w:rPr>
                <w:rStyle w:val="10"/>
                <w:rFonts w:hint="eastAsia"/>
              </w:rPr>
              <w:t>毒性及其标识：</w:t>
            </w:r>
            <w:r>
              <w:rPr>
                <w:rFonts w:hint="eastAsia"/>
              </w:rPr>
              <w:t xml:space="preserve"> </w:t>
            </w:r>
            <w:r>
              <w:rPr>
                <w:lang/>
              </w:rPr>
              <w:drawing>
                <wp:inline distT="0" distB="0" distL="114300" distR="114300">
                  <wp:extent cx="476250" cy="323850"/>
                  <wp:effectExtent l="0" t="0" r="0" b="0"/>
                  <wp:docPr id="400" name="图片 4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217F25">
        <w:tblPrEx>
          <w:tblCellMar>
            <w:top w:w="0" w:type="dxa"/>
            <w:left w:w="0" w:type="dxa"/>
            <w:bottom w:w="0" w:type="dxa"/>
            <w:right w:w="0" w:type="dxa"/>
          </w:tblCellMar>
        </w:tblPrEx>
        <w:trPr>
          <w:wBefore w:w="0" w:type="auto"/>
          <w:tblCellSpacing w:w="0" w:type="dxa"/>
        </w:trPr>
        <w:tc>
          <w:tcPr>
            <w:tcW w:w="0" w:type="auto"/>
            <w:noWrap w:val="0"/>
            <w:vAlign w:val="center"/>
          </w:tcPr>
          <w:p w14:paraId="4A9C8A15">
            <w:r>
              <w:rPr>
                <w:rStyle w:val="10"/>
                <w:rFonts w:hint="eastAsia"/>
              </w:rPr>
              <w:t>总有效成分含量：</w:t>
            </w:r>
            <w:r>
              <w:rPr>
                <w:rFonts w:hint="eastAsia"/>
              </w:rPr>
              <w:t>400克/升</w:t>
            </w:r>
          </w:p>
        </w:tc>
      </w:tr>
      <w:tr w14:paraId="45A73BB5">
        <w:tblPrEx>
          <w:tblCellMar>
            <w:top w:w="0" w:type="dxa"/>
            <w:left w:w="0" w:type="dxa"/>
            <w:bottom w:w="0" w:type="dxa"/>
            <w:right w:w="0" w:type="dxa"/>
          </w:tblCellMar>
        </w:tblPrEx>
        <w:trPr>
          <w:wBefore w:w="0" w:type="auto"/>
          <w:tblCellSpacing w:w="0" w:type="dxa"/>
        </w:trPr>
        <w:tc>
          <w:tcPr>
            <w:tcW w:w="0" w:type="auto"/>
            <w:noWrap w:val="0"/>
            <w:vAlign w:val="center"/>
          </w:tcPr>
          <w:p w14:paraId="21C9FD8F">
            <w:r>
              <w:rPr>
                <w:rFonts w:hint="eastAsia"/>
              </w:rPr>
              <w:t xml:space="preserve">有效成分及其含量： </w:t>
            </w:r>
          </w:p>
          <w:p w14:paraId="583FA974">
            <w:r>
              <w:rPr>
                <w:rFonts w:hint="eastAsia"/>
              </w:rPr>
              <w:t xml:space="preserve">    </w:t>
            </w:r>
          </w:p>
        </w:tc>
      </w:tr>
      <w:tr w14:paraId="76DD4DD1">
        <w:tblPrEx>
          <w:tblCellMar>
            <w:top w:w="0" w:type="dxa"/>
            <w:left w:w="0" w:type="dxa"/>
            <w:bottom w:w="0" w:type="dxa"/>
            <w:right w:w="0" w:type="dxa"/>
          </w:tblCellMar>
        </w:tblPrEx>
        <w:trPr>
          <w:wBefore w:w="0" w:type="auto"/>
          <w:tblCellSpacing w:w="0" w:type="dxa"/>
        </w:trPr>
        <w:tc>
          <w:tcPr>
            <w:tcW w:w="0" w:type="auto"/>
            <w:noWrap w:val="0"/>
            <w:vAlign w:val="center"/>
          </w:tcPr>
          <w:p w14:paraId="1DD084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A665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30496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CF4C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332EB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9F4D50">
                  <w:r>
                    <w:rPr>
                      <w:rStyle w:val="11"/>
                      <w:rFonts w:hint="eastAsia"/>
                    </w:rPr>
                    <w:t>施用方式</w:t>
                  </w:r>
                </w:p>
              </w:tc>
            </w:tr>
          </w:tbl>
          <w:p w14:paraId="028A8946">
            <w:pPr>
              <w:rPr>
                <w:rFonts w:ascii="Times New Roman" w:hAnsi="Times New Roman" w:cs="Times New Roman"/>
                <w:sz w:val="20"/>
                <w:szCs w:val="20"/>
              </w:rPr>
            </w:pPr>
          </w:p>
        </w:tc>
      </w:tr>
      <w:tr w14:paraId="5213126D">
        <w:tblPrEx>
          <w:tblCellMar>
            <w:top w:w="0" w:type="dxa"/>
            <w:left w:w="0" w:type="dxa"/>
            <w:bottom w:w="0" w:type="dxa"/>
            <w:right w:w="0" w:type="dxa"/>
          </w:tblCellMar>
        </w:tblPrEx>
        <w:trPr>
          <w:wBefore w:w="0" w:type="auto"/>
          <w:tblCellSpacing w:w="0" w:type="dxa"/>
        </w:trPr>
        <w:tc>
          <w:tcPr>
            <w:tcW w:w="0" w:type="auto"/>
            <w:noWrap w:val="0"/>
            <w:vAlign w:val="center"/>
          </w:tcPr>
          <w:p w14:paraId="0F4B74B5">
            <w:r>
              <w:rPr>
                <w:rStyle w:val="10"/>
                <w:rFonts w:hint="eastAsia"/>
              </w:rPr>
              <w:t>使用技术要求:</w:t>
            </w:r>
            <w:r>
              <w:rPr>
                <w:rFonts w:hint="eastAsia"/>
              </w:rPr>
              <w:br w:type="textWrapping"/>
            </w:r>
          </w:p>
        </w:tc>
      </w:tr>
      <w:tr w14:paraId="51D52B1C">
        <w:tblPrEx>
          <w:tblCellMar>
            <w:top w:w="0" w:type="dxa"/>
            <w:left w:w="0" w:type="dxa"/>
            <w:bottom w:w="0" w:type="dxa"/>
            <w:right w:w="0" w:type="dxa"/>
          </w:tblCellMar>
        </w:tblPrEx>
        <w:trPr>
          <w:wBefore w:w="0" w:type="auto"/>
          <w:tblCellSpacing w:w="0" w:type="dxa"/>
        </w:trPr>
        <w:tc>
          <w:tcPr>
            <w:tcW w:w="0" w:type="auto"/>
            <w:noWrap w:val="0"/>
            <w:vAlign w:val="center"/>
          </w:tcPr>
          <w:p w14:paraId="16AB24B3">
            <w:r>
              <w:rPr>
                <w:rStyle w:val="10"/>
                <w:rFonts w:hint="eastAsia"/>
              </w:rPr>
              <w:t>产品性能:</w:t>
            </w:r>
          </w:p>
        </w:tc>
      </w:tr>
      <w:tr w14:paraId="1099708F">
        <w:tblPrEx>
          <w:tblCellMar>
            <w:top w:w="0" w:type="dxa"/>
            <w:left w:w="0" w:type="dxa"/>
            <w:bottom w:w="0" w:type="dxa"/>
            <w:right w:w="0" w:type="dxa"/>
          </w:tblCellMar>
        </w:tblPrEx>
        <w:trPr>
          <w:wBefore w:w="0" w:type="auto"/>
          <w:tblCellSpacing w:w="0" w:type="dxa"/>
        </w:trPr>
        <w:tc>
          <w:tcPr>
            <w:tcW w:w="0" w:type="auto"/>
            <w:noWrap w:val="0"/>
            <w:vAlign w:val="center"/>
          </w:tcPr>
          <w:p w14:paraId="658336ED">
            <w:r>
              <w:rPr>
                <w:rStyle w:val="10"/>
                <w:rFonts w:hint="eastAsia"/>
              </w:rPr>
              <w:t>注意事项：</w:t>
            </w:r>
          </w:p>
        </w:tc>
      </w:tr>
      <w:tr w14:paraId="3B448CFB">
        <w:tblPrEx>
          <w:tblCellMar>
            <w:top w:w="0" w:type="dxa"/>
            <w:left w:w="0" w:type="dxa"/>
            <w:bottom w:w="0" w:type="dxa"/>
            <w:right w:w="0" w:type="dxa"/>
          </w:tblCellMar>
        </w:tblPrEx>
        <w:trPr>
          <w:wBefore w:w="0" w:type="auto"/>
          <w:tblCellSpacing w:w="0" w:type="dxa"/>
        </w:trPr>
        <w:tc>
          <w:tcPr>
            <w:tcW w:w="0" w:type="auto"/>
            <w:noWrap w:val="0"/>
            <w:vAlign w:val="center"/>
          </w:tcPr>
          <w:p w14:paraId="74AC24C1">
            <w:r>
              <w:rPr>
                <w:rStyle w:val="10"/>
                <w:rFonts w:hint="eastAsia"/>
              </w:rPr>
              <w:t>中毒急救措施：</w:t>
            </w:r>
          </w:p>
        </w:tc>
      </w:tr>
      <w:tr w14:paraId="1BFEA704">
        <w:tblPrEx>
          <w:tblCellMar>
            <w:top w:w="0" w:type="dxa"/>
            <w:left w:w="0" w:type="dxa"/>
            <w:bottom w:w="0" w:type="dxa"/>
            <w:right w:w="0" w:type="dxa"/>
          </w:tblCellMar>
        </w:tblPrEx>
        <w:trPr>
          <w:wBefore w:w="0" w:type="auto"/>
          <w:tblCellSpacing w:w="0" w:type="dxa"/>
        </w:trPr>
        <w:tc>
          <w:tcPr>
            <w:tcW w:w="0" w:type="auto"/>
            <w:noWrap w:val="0"/>
            <w:vAlign w:val="center"/>
          </w:tcPr>
          <w:p w14:paraId="5A51D038">
            <w:r>
              <w:rPr>
                <w:rStyle w:val="10"/>
                <w:rFonts w:hint="eastAsia"/>
              </w:rPr>
              <w:t>储存和运输方法：</w:t>
            </w:r>
          </w:p>
        </w:tc>
      </w:tr>
      <w:tr w14:paraId="63732A8A">
        <w:tblPrEx>
          <w:tblCellMar>
            <w:top w:w="0" w:type="dxa"/>
            <w:left w:w="0" w:type="dxa"/>
            <w:bottom w:w="0" w:type="dxa"/>
            <w:right w:w="0" w:type="dxa"/>
          </w:tblCellMar>
        </w:tblPrEx>
        <w:trPr>
          <w:wBefore w:w="0" w:type="auto"/>
          <w:tblCellSpacing w:w="0" w:type="dxa"/>
        </w:trPr>
        <w:tc>
          <w:tcPr>
            <w:tcW w:w="0" w:type="auto"/>
            <w:noWrap w:val="0"/>
            <w:vAlign w:val="center"/>
          </w:tcPr>
          <w:p w14:paraId="4AF07E65">
            <w:r>
              <w:rPr>
                <w:rStyle w:val="10"/>
                <w:rFonts w:hint="eastAsia"/>
              </w:rPr>
              <w:t>质量保证期：</w:t>
            </w:r>
          </w:p>
        </w:tc>
      </w:tr>
      <w:tr w14:paraId="1005CD46">
        <w:tblPrEx>
          <w:tblCellMar>
            <w:top w:w="0" w:type="dxa"/>
            <w:left w:w="0" w:type="dxa"/>
            <w:bottom w:w="0" w:type="dxa"/>
            <w:right w:w="0" w:type="dxa"/>
          </w:tblCellMar>
        </w:tblPrEx>
        <w:trPr>
          <w:wBefore w:w="0" w:type="auto"/>
          <w:tblCellSpacing w:w="0" w:type="dxa"/>
        </w:trPr>
        <w:tc>
          <w:tcPr>
            <w:tcW w:w="0" w:type="auto"/>
            <w:noWrap w:val="0"/>
            <w:vAlign w:val="center"/>
          </w:tcPr>
          <w:p w14:paraId="0952FC0F">
            <w:r>
              <w:rPr>
                <w:rStyle w:val="10"/>
                <w:rFonts w:hint="eastAsia"/>
              </w:rPr>
              <w:t>备注：</w:t>
            </w:r>
          </w:p>
        </w:tc>
      </w:tr>
    </w:tbl>
    <w:p w14:paraId="0BD197A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4DE634">
        <w:tblPrEx>
          <w:tblCellMar>
            <w:top w:w="0" w:type="dxa"/>
            <w:left w:w="0" w:type="dxa"/>
            <w:bottom w:w="0" w:type="dxa"/>
            <w:right w:w="0" w:type="dxa"/>
          </w:tblCellMar>
        </w:tblPrEx>
        <w:trPr>
          <w:wBefore w:w="0" w:type="auto"/>
          <w:tblCellSpacing w:w="0" w:type="dxa"/>
        </w:trPr>
        <w:tc>
          <w:tcPr>
            <w:tcW w:w="0" w:type="auto"/>
            <w:noWrap w:val="0"/>
            <w:vAlign w:val="center"/>
          </w:tcPr>
          <w:p w14:paraId="1C0D2FE7">
            <w:r>
              <w:rPr>
                <w:rStyle w:val="10"/>
                <w:rFonts w:hint="eastAsia"/>
              </w:rPr>
              <w:t>登记证号：</w:t>
            </w:r>
            <w:r>
              <w:rPr>
                <w:rFonts w:hint="eastAsia"/>
              </w:rPr>
              <w:t>PD20212634</w:t>
            </w:r>
          </w:p>
        </w:tc>
      </w:tr>
      <w:tr w14:paraId="3DE14C4D">
        <w:tblPrEx>
          <w:tblCellMar>
            <w:top w:w="0" w:type="dxa"/>
            <w:left w:w="0" w:type="dxa"/>
            <w:bottom w:w="0" w:type="dxa"/>
            <w:right w:w="0" w:type="dxa"/>
          </w:tblCellMar>
        </w:tblPrEx>
        <w:trPr>
          <w:wBefore w:w="0" w:type="auto"/>
          <w:tblCellSpacing w:w="0" w:type="dxa"/>
        </w:trPr>
        <w:tc>
          <w:tcPr>
            <w:tcW w:w="0" w:type="auto"/>
            <w:noWrap w:val="0"/>
            <w:vAlign w:val="center"/>
          </w:tcPr>
          <w:p w14:paraId="2D5977A7">
            <w:r>
              <w:rPr>
                <w:rStyle w:val="10"/>
                <w:rFonts w:hint="eastAsia"/>
              </w:rPr>
              <w:t>登记证持有人：</w:t>
            </w:r>
            <w:r>
              <w:rPr>
                <w:rFonts w:hint="eastAsia"/>
              </w:rPr>
              <w:t>上海沪联生物药业（夏邑）股份有限公司</w:t>
            </w:r>
          </w:p>
        </w:tc>
      </w:tr>
      <w:tr w14:paraId="79C92513">
        <w:tblPrEx>
          <w:tblCellMar>
            <w:top w:w="0" w:type="dxa"/>
            <w:left w:w="0" w:type="dxa"/>
            <w:bottom w:w="0" w:type="dxa"/>
            <w:right w:w="0" w:type="dxa"/>
          </w:tblCellMar>
        </w:tblPrEx>
        <w:trPr>
          <w:wBefore w:w="0" w:type="auto"/>
          <w:tblCellSpacing w:w="0" w:type="dxa"/>
        </w:trPr>
        <w:tc>
          <w:tcPr>
            <w:tcW w:w="0" w:type="auto"/>
            <w:noWrap w:val="0"/>
            <w:vAlign w:val="center"/>
          </w:tcPr>
          <w:p w14:paraId="7D6B6A2C">
            <w:r>
              <w:rPr>
                <w:rStyle w:val="10"/>
                <w:rFonts w:hint="eastAsia"/>
              </w:rPr>
              <w:t>农药名称：</w:t>
            </w:r>
            <w:r>
              <w:rPr>
                <w:rFonts w:hint="eastAsia"/>
              </w:rPr>
              <w:t>麦畏·草甘膦</w:t>
            </w:r>
          </w:p>
        </w:tc>
      </w:tr>
      <w:tr w14:paraId="5E0B01D2">
        <w:tblPrEx>
          <w:tblCellMar>
            <w:top w:w="0" w:type="dxa"/>
            <w:left w:w="0" w:type="dxa"/>
            <w:bottom w:w="0" w:type="dxa"/>
            <w:right w:w="0" w:type="dxa"/>
          </w:tblCellMar>
        </w:tblPrEx>
        <w:trPr>
          <w:wBefore w:w="0" w:type="auto"/>
          <w:tblCellSpacing w:w="0" w:type="dxa"/>
        </w:trPr>
        <w:tc>
          <w:tcPr>
            <w:tcW w:w="0" w:type="auto"/>
            <w:noWrap w:val="0"/>
            <w:vAlign w:val="center"/>
          </w:tcPr>
          <w:p w14:paraId="2AA08EF6">
            <w:r>
              <w:rPr>
                <w:rStyle w:val="10"/>
                <w:rFonts w:hint="eastAsia"/>
              </w:rPr>
              <w:t>剂型：</w:t>
            </w:r>
            <w:r>
              <w:rPr>
                <w:rFonts w:hint="eastAsia"/>
              </w:rPr>
              <w:t>可溶粒剂</w:t>
            </w:r>
          </w:p>
        </w:tc>
      </w:tr>
      <w:tr w14:paraId="06099EE1">
        <w:tblPrEx>
          <w:tblCellMar>
            <w:top w:w="0" w:type="dxa"/>
            <w:left w:w="0" w:type="dxa"/>
            <w:bottom w:w="0" w:type="dxa"/>
            <w:right w:w="0" w:type="dxa"/>
          </w:tblCellMar>
        </w:tblPrEx>
        <w:trPr>
          <w:wBefore w:w="0" w:type="auto"/>
          <w:tblCellSpacing w:w="0" w:type="dxa"/>
        </w:trPr>
        <w:tc>
          <w:tcPr>
            <w:tcW w:w="0" w:type="auto"/>
            <w:noWrap w:val="0"/>
            <w:vAlign w:val="center"/>
          </w:tcPr>
          <w:p w14:paraId="0689B85B">
            <w:r>
              <w:rPr>
                <w:rStyle w:val="10"/>
                <w:rFonts w:hint="eastAsia"/>
              </w:rPr>
              <w:t>毒性及其标识：</w:t>
            </w:r>
            <w:r>
              <w:rPr>
                <w:rFonts w:hint="eastAsia"/>
              </w:rPr>
              <w:t xml:space="preserve"> </w:t>
            </w:r>
            <w:r>
              <w:rPr>
                <w:lang/>
              </w:rPr>
              <w:drawing>
                <wp:inline distT="0" distB="0" distL="114300" distR="114300">
                  <wp:extent cx="476250" cy="323850"/>
                  <wp:effectExtent l="0" t="0" r="0" b="0"/>
                  <wp:docPr id="401" name="图片 4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2F28505">
        <w:tblPrEx>
          <w:tblCellMar>
            <w:top w:w="0" w:type="dxa"/>
            <w:left w:w="0" w:type="dxa"/>
            <w:bottom w:w="0" w:type="dxa"/>
            <w:right w:w="0" w:type="dxa"/>
          </w:tblCellMar>
        </w:tblPrEx>
        <w:trPr>
          <w:wBefore w:w="0" w:type="auto"/>
          <w:tblCellSpacing w:w="0" w:type="dxa"/>
        </w:trPr>
        <w:tc>
          <w:tcPr>
            <w:tcW w:w="0" w:type="auto"/>
            <w:noWrap w:val="0"/>
            <w:vAlign w:val="center"/>
          </w:tcPr>
          <w:p w14:paraId="3DA489FF">
            <w:r>
              <w:rPr>
                <w:rStyle w:val="10"/>
                <w:rFonts w:hint="eastAsia"/>
              </w:rPr>
              <w:t>总有效成分含量：</w:t>
            </w:r>
            <w:r>
              <w:rPr>
                <w:rFonts w:hint="eastAsia"/>
              </w:rPr>
              <w:t>64.5%</w:t>
            </w:r>
          </w:p>
        </w:tc>
      </w:tr>
      <w:tr w14:paraId="2E65813E">
        <w:tblPrEx>
          <w:tblCellMar>
            <w:top w:w="0" w:type="dxa"/>
            <w:left w:w="0" w:type="dxa"/>
            <w:bottom w:w="0" w:type="dxa"/>
            <w:right w:w="0" w:type="dxa"/>
          </w:tblCellMar>
        </w:tblPrEx>
        <w:trPr>
          <w:wBefore w:w="0" w:type="auto"/>
          <w:tblCellSpacing w:w="0" w:type="dxa"/>
        </w:trPr>
        <w:tc>
          <w:tcPr>
            <w:tcW w:w="0" w:type="auto"/>
            <w:noWrap w:val="0"/>
            <w:vAlign w:val="center"/>
          </w:tcPr>
          <w:p w14:paraId="5B363BE2">
            <w:r>
              <w:rPr>
                <w:rFonts w:hint="eastAsia"/>
              </w:rPr>
              <w:t xml:space="preserve">有效成分及其含量： </w:t>
            </w:r>
          </w:p>
          <w:p w14:paraId="304297AC">
            <w:r>
              <w:rPr>
                <w:rFonts w:hint="eastAsia"/>
              </w:rPr>
              <w:t xml:space="preserve">    麦草畏10.5%    草甘膦54%    </w:t>
            </w:r>
          </w:p>
        </w:tc>
      </w:tr>
      <w:tr w14:paraId="3FAB866A">
        <w:tblPrEx>
          <w:tblCellMar>
            <w:top w:w="0" w:type="dxa"/>
            <w:left w:w="0" w:type="dxa"/>
            <w:bottom w:w="0" w:type="dxa"/>
            <w:right w:w="0" w:type="dxa"/>
          </w:tblCellMar>
        </w:tblPrEx>
        <w:trPr>
          <w:wBefore w:w="0" w:type="auto"/>
          <w:tblCellSpacing w:w="0" w:type="dxa"/>
        </w:trPr>
        <w:tc>
          <w:tcPr>
            <w:tcW w:w="0" w:type="auto"/>
            <w:noWrap w:val="0"/>
            <w:vAlign w:val="center"/>
          </w:tcPr>
          <w:p w14:paraId="069C71E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A69F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2DFE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9676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FE7A5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01E10C">
                  <w:r>
                    <w:rPr>
                      <w:rStyle w:val="11"/>
                      <w:rFonts w:hint="eastAsia"/>
                    </w:rPr>
                    <w:t>施用方式</w:t>
                  </w:r>
                </w:p>
              </w:tc>
            </w:tr>
            <w:tr w14:paraId="45FDD8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88E53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B2C74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A80A48">
                  <w:r>
                    <w:rPr>
                      <w:rStyle w:val="11"/>
                      <w:rFonts w:hint="eastAsia"/>
                    </w:rPr>
                    <w:t>60-120毫升/亩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8D5E5A">
                  <w:r>
                    <w:rPr>
                      <w:rStyle w:val="11"/>
                      <w:rFonts w:hint="eastAsia"/>
                    </w:rPr>
                    <w:t>茎叶喷雾</w:t>
                  </w:r>
                </w:p>
              </w:tc>
            </w:tr>
          </w:tbl>
          <w:p w14:paraId="30012293">
            <w:pPr>
              <w:rPr>
                <w:rFonts w:ascii="Times New Roman" w:hAnsi="Times New Roman" w:cs="Times New Roman"/>
                <w:sz w:val="20"/>
                <w:szCs w:val="20"/>
              </w:rPr>
            </w:pPr>
          </w:p>
        </w:tc>
      </w:tr>
      <w:tr w14:paraId="3D1C252F">
        <w:tblPrEx>
          <w:tblCellMar>
            <w:top w:w="0" w:type="dxa"/>
            <w:left w:w="0" w:type="dxa"/>
            <w:bottom w:w="0" w:type="dxa"/>
            <w:right w:w="0" w:type="dxa"/>
          </w:tblCellMar>
        </w:tblPrEx>
        <w:trPr>
          <w:wBefore w:w="0" w:type="auto"/>
          <w:tblCellSpacing w:w="0" w:type="dxa"/>
        </w:trPr>
        <w:tc>
          <w:tcPr>
            <w:tcW w:w="0" w:type="auto"/>
            <w:noWrap w:val="0"/>
            <w:vAlign w:val="center"/>
          </w:tcPr>
          <w:p w14:paraId="032371A8">
            <w:r>
              <w:rPr>
                <w:rStyle w:val="10"/>
                <w:rFonts w:hint="eastAsia"/>
              </w:rPr>
              <w:t>使用技术要求:</w:t>
            </w:r>
            <w:r>
              <w:rPr>
                <w:rFonts w:hint="eastAsia"/>
              </w:rPr>
              <w:br w:type="textWrapping"/>
            </w:r>
            <w:r>
              <w:rPr>
                <w:rStyle w:val="11"/>
                <w:rFonts w:hint="eastAsia"/>
              </w:rPr>
              <w:t>1、 于非耕地杂草生长旺盛期，茎叶喷雾施药。2、本品为灭生性除草剂，施药时应防止药液飘移到果木和临近作物上，以免发生药害。3、大风天或预计两小时内降雨，请勿施药。4、禁止在田间道路、田埂、果树行间、休耕地、林场林地等农林业区域使用。</w:t>
            </w:r>
          </w:p>
        </w:tc>
      </w:tr>
      <w:tr w14:paraId="74AE3F9D">
        <w:tblPrEx>
          <w:tblCellMar>
            <w:top w:w="0" w:type="dxa"/>
            <w:left w:w="0" w:type="dxa"/>
            <w:bottom w:w="0" w:type="dxa"/>
            <w:right w:w="0" w:type="dxa"/>
          </w:tblCellMar>
        </w:tblPrEx>
        <w:trPr>
          <w:wBefore w:w="0" w:type="auto"/>
          <w:tblCellSpacing w:w="0" w:type="dxa"/>
        </w:trPr>
        <w:tc>
          <w:tcPr>
            <w:tcW w:w="0" w:type="auto"/>
            <w:noWrap w:val="0"/>
            <w:vAlign w:val="center"/>
          </w:tcPr>
          <w:p w14:paraId="7E3A4C15">
            <w:r>
              <w:rPr>
                <w:rStyle w:val="10"/>
                <w:rFonts w:hint="eastAsia"/>
              </w:rPr>
              <w:t>产品性能:</w:t>
            </w:r>
            <w:r>
              <w:rPr>
                <w:rFonts w:hint="eastAsia"/>
              </w:rPr>
              <w:br w:type="textWrapping"/>
            </w:r>
            <w:r>
              <w:rPr>
                <w:rStyle w:val="11"/>
                <w:rFonts w:hint="eastAsia"/>
              </w:rPr>
              <w:t>本品是由麦草畏和草甘膦混配而成的内吸传导性灭生性除草剂，能有效防除非耕地杂草。</w:t>
            </w:r>
          </w:p>
        </w:tc>
      </w:tr>
      <w:tr w14:paraId="52550359">
        <w:tblPrEx>
          <w:tblCellMar>
            <w:top w:w="0" w:type="dxa"/>
            <w:left w:w="0" w:type="dxa"/>
            <w:bottom w:w="0" w:type="dxa"/>
            <w:right w:w="0" w:type="dxa"/>
          </w:tblCellMar>
        </w:tblPrEx>
        <w:trPr>
          <w:wBefore w:w="0" w:type="auto"/>
          <w:tblCellSpacing w:w="0" w:type="dxa"/>
        </w:trPr>
        <w:tc>
          <w:tcPr>
            <w:tcW w:w="0" w:type="auto"/>
            <w:noWrap w:val="0"/>
            <w:vAlign w:val="center"/>
          </w:tcPr>
          <w:p w14:paraId="6794482E">
            <w:r>
              <w:rPr>
                <w:rStyle w:val="10"/>
                <w:rFonts w:hint="eastAsia"/>
              </w:rPr>
              <w:t>注意事项：</w:t>
            </w:r>
            <w:r>
              <w:rPr>
                <w:rFonts w:hint="eastAsia"/>
              </w:rPr>
              <w:br w:type="textWrapping"/>
            </w:r>
            <w:r>
              <w:rPr>
                <w:rStyle w:val="11"/>
                <w:rFonts w:hint="eastAsia"/>
              </w:rPr>
              <w:t>1、本品宜在晴天露水干后定向均匀喷雾，用清水稀释，不得用污水、硬水，以免影响药效。2、使用时严格按照《农药安全操作规程》作业，做好安全防护，施药时应戴防护用具，防止药液由口鼻吸入，不得吸烟、饮食、进水等，施药后及时清洗手、脸以及身体被污染的部位。3、水产养殖区、河塘等水体附近禁用，禁止在河塘等水体清洗施药器具以免污染水源。4、避免孕妇或哺乳期妇女接触本品。5、用过的包装物应妥善处理，不可做他用，也不可随意丢弃。6.远离鸟类保护区施药，蚕室及桑园附近禁用，赤眼蜂等天敌放飞区域禁用。</w:t>
            </w:r>
          </w:p>
        </w:tc>
      </w:tr>
      <w:tr w14:paraId="04B50702">
        <w:tblPrEx>
          <w:tblCellMar>
            <w:top w:w="0" w:type="dxa"/>
            <w:left w:w="0" w:type="dxa"/>
            <w:bottom w:w="0" w:type="dxa"/>
            <w:right w:w="0" w:type="dxa"/>
          </w:tblCellMar>
        </w:tblPrEx>
        <w:trPr>
          <w:wBefore w:w="0" w:type="auto"/>
          <w:tblCellSpacing w:w="0" w:type="dxa"/>
        </w:trPr>
        <w:tc>
          <w:tcPr>
            <w:tcW w:w="0" w:type="auto"/>
            <w:noWrap w:val="0"/>
            <w:vAlign w:val="center"/>
          </w:tcPr>
          <w:p w14:paraId="0134C8A5">
            <w:r>
              <w:rPr>
                <w:rStyle w:val="10"/>
                <w:rFonts w:hint="eastAsia"/>
              </w:rPr>
              <w:t>中毒急救措施：</w:t>
            </w:r>
            <w:r>
              <w:rPr>
                <w:rFonts w:hint="eastAsia"/>
              </w:rPr>
              <w:br w:type="textWrapping"/>
            </w:r>
            <w:r>
              <w:rPr>
                <w:rStyle w:val="11"/>
                <w:rFonts w:hint="eastAsia"/>
              </w:rPr>
              <w:t>本品对眼睛和皮肤有刺激作用，使用中或使用后，如果感觉不适，应立即停止工作，采取急救措施，并携此标签送往医院就诊。皮肤接触：脱去污染的衣服，用软布去除沾染农药，立即用大量清水和肥皂冲洗；眼睛溅入：立即用流动清水冲洗不少于15分钟；不慎吸入：应将病人移至空气流通处。若不慎误服，立即送往医院对症治疗。本品无特效解毒剂。</w:t>
            </w:r>
          </w:p>
        </w:tc>
      </w:tr>
      <w:tr w14:paraId="2E4F917E">
        <w:tblPrEx>
          <w:tblCellMar>
            <w:top w:w="0" w:type="dxa"/>
            <w:left w:w="0" w:type="dxa"/>
            <w:bottom w:w="0" w:type="dxa"/>
            <w:right w:w="0" w:type="dxa"/>
          </w:tblCellMar>
        </w:tblPrEx>
        <w:trPr>
          <w:wBefore w:w="0" w:type="auto"/>
          <w:tblCellSpacing w:w="0" w:type="dxa"/>
        </w:trPr>
        <w:tc>
          <w:tcPr>
            <w:tcW w:w="0" w:type="auto"/>
            <w:noWrap w:val="0"/>
            <w:vAlign w:val="center"/>
          </w:tcPr>
          <w:p w14:paraId="798B41ED">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51819A1F">
        <w:tblPrEx>
          <w:tblCellMar>
            <w:top w:w="0" w:type="dxa"/>
            <w:left w:w="0" w:type="dxa"/>
            <w:bottom w:w="0" w:type="dxa"/>
            <w:right w:w="0" w:type="dxa"/>
          </w:tblCellMar>
        </w:tblPrEx>
        <w:trPr>
          <w:wBefore w:w="0" w:type="auto"/>
          <w:tblCellSpacing w:w="0" w:type="dxa"/>
        </w:trPr>
        <w:tc>
          <w:tcPr>
            <w:tcW w:w="0" w:type="auto"/>
            <w:noWrap w:val="0"/>
            <w:vAlign w:val="center"/>
          </w:tcPr>
          <w:p w14:paraId="366720DB">
            <w:r>
              <w:rPr>
                <w:rStyle w:val="10"/>
                <w:rFonts w:hint="eastAsia"/>
              </w:rPr>
              <w:t>质量保证期：</w:t>
            </w:r>
            <w:r>
              <w:rPr>
                <w:rStyle w:val="11"/>
                <w:rFonts w:hint="eastAsia"/>
              </w:rPr>
              <w:t>2年</w:t>
            </w:r>
          </w:p>
        </w:tc>
      </w:tr>
      <w:tr w14:paraId="2C514DDD">
        <w:tblPrEx>
          <w:tblCellMar>
            <w:top w:w="0" w:type="dxa"/>
            <w:left w:w="0" w:type="dxa"/>
            <w:bottom w:w="0" w:type="dxa"/>
            <w:right w:w="0" w:type="dxa"/>
          </w:tblCellMar>
        </w:tblPrEx>
        <w:trPr>
          <w:wBefore w:w="0" w:type="auto"/>
          <w:tblCellSpacing w:w="0" w:type="dxa"/>
        </w:trPr>
        <w:tc>
          <w:tcPr>
            <w:tcW w:w="0" w:type="auto"/>
            <w:noWrap w:val="0"/>
            <w:vAlign w:val="center"/>
          </w:tcPr>
          <w:p w14:paraId="535FCA45">
            <w:r>
              <w:rPr>
                <w:rStyle w:val="10"/>
                <w:rFonts w:hint="eastAsia"/>
              </w:rPr>
              <w:t>备注：</w:t>
            </w:r>
          </w:p>
        </w:tc>
      </w:tr>
    </w:tbl>
    <w:p w14:paraId="69F3C8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9F6220">
        <w:tblPrEx>
          <w:tblCellMar>
            <w:top w:w="0" w:type="dxa"/>
            <w:left w:w="0" w:type="dxa"/>
            <w:bottom w:w="0" w:type="dxa"/>
            <w:right w:w="0" w:type="dxa"/>
          </w:tblCellMar>
        </w:tblPrEx>
        <w:trPr>
          <w:wBefore w:w="0" w:type="auto"/>
          <w:tblCellSpacing w:w="0" w:type="dxa"/>
        </w:trPr>
        <w:tc>
          <w:tcPr>
            <w:tcW w:w="0" w:type="auto"/>
            <w:noWrap w:val="0"/>
            <w:vAlign w:val="center"/>
          </w:tcPr>
          <w:p w14:paraId="23508E6F">
            <w:r>
              <w:rPr>
                <w:rStyle w:val="10"/>
                <w:rFonts w:hint="eastAsia"/>
              </w:rPr>
              <w:t>登记证号：</w:t>
            </w:r>
            <w:r>
              <w:rPr>
                <w:rFonts w:hint="eastAsia"/>
              </w:rPr>
              <w:t>PD20212410</w:t>
            </w:r>
          </w:p>
        </w:tc>
      </w:tr>
      <w:tr w14:paraId="5136DAB0">
        <w:tblPrEx>
          <w:tblCellMar>
            <w:top w:w="0" w:type="dxa"/>
            <w:left w:w="0" w:type="dxa"/>
            <w:bottom w:w="0" w:type="dxa"/>
            <w:right w:w="0" w:type="dxa"/>
          </w:tblCellMar>
        </w:tblPrEx>
        <w:trPr>
          <w:wBefore w:w="0" w:type="auto"/>
          <w:tblCellSpacing w:w="0" w:type="dxa"/>
        </w:trPr>
        <w:tc>
          <w:tcPr>
            <w:tcW w:w="0" w:type="auto"/>
            <w:noWrap w:val="0"/>
            <w:vAlign w:val="center"/>
          </w:tcPr>
          <w:p w14:paraId="1336F3BC">
            <w:r>
              <w:rPr>
                <w:rStyle w:val="10"/>
                <w:rFonts w:hint="eastAsia"/>
              </w:rPr>
              <w:t>登记证持有人：</w:t>
            </w:r>
            <w:r>
              <w:rPr>
                <w:rFonts w:hint="eastAsia"/>
              </w:rPr>
              <w:t>重庆中邦药业（集团）有限公司</w:t>
            </w:r>
          </w:p>
        </w:tc>
      </w:tr>
      <w:tr w14:paraId="049B600D">
        <w:tblPrEx>
          <w:tblCellMar>
            <w:top w:w="0" w:type="dxa"/>
            <w:left w:w="0" w:type="dxa"/>
            <w:bottom w:w="0" w:type="dxa"/>
            <w:right w:w="0" w:type="dxa"/>
          </w:tblCellMar>
        </w:tblPrEx>
        <w:trPr>
          <w:wBefore w:w="0" w:type="auto"/>
          <w:tblCellSpacing w:w="0" w:type="dxa"/>
        </w:trPr>
        <w:tc>
          <w:tcPr>
            <w:tcW w:w="0" w:type="auto"/>
            <w:noWrap w:val="0"/>
            <w:vAlign w:val="center"/>
          </w:tcPr>
          <w:p w14:paraId="1CB20A82">
            <w:r>
              <w:rPr>
                <w:rStyle w:val="10"/>
                <w:rFonts w:hint="eastAsia"/>
              </w:rPr>
              <w:t>农药名称：</w:t>
            </w:r>
            <w:r>
              <w:rPr>
                <w:rFonts w:hint="eastAsia"/>
              </w:rPr>
              <w:t>高效氯氰菊酯</w:t>
            </w:r>
          </w:p>
        </w:tc>
      </w:tr>
      <w:tr w14:paraId="7289A70C">
        <w:tblPrEx>
          <w:tblCellMar>
            <w:top w:w="0" w:type="dxa"/>
            <w:left w:w="0" w:type="dxa"/>
            <w:bottom w:w="0" w:type="dxa"/>
            <w:right w:w="0" w:type="dxa"/>
          </w:tblCellMar>
        </w:tblPrEx>
        <w:trPr>
          <w:wBefore w:w="0" w:type="auto"/>
          <w:tblCellSpacing w:w="0" w:type="dxa"/>
        </w:trPr>
        <w:tc>
          <w:tcPr>
            <w:tcW w:w="0" w:type="auto"/>
            <w:noWrap w:val="0"/>
            <w:vAlign w:val="center"/>
          </w:tcPr>
          <w:p w14:paraId="0A68997A">
            <w:r>
              <w:rPr>
                <w:rStyle w:val="10"/>
                <w:rFonts w:hint="eastAsia"/>
              </w:rPr>
              <w:t>剂型：</w:t>
            </w:r>
            <w:r>
              <w:rPr>
                <w:rFonts w:hint="eastAsia"/>
              </w:rPr>
              <w:t>微囊悬浮剂</w:t>
            </w:r>
          </w:p>
        </w:tc>
      </w:tr>
      <w:tr w14:paraId="44E73A65">
        <w:tblPrEx>
          <w:tblCellMar>
            <w:top w:w="0" w:type="dxa"/>
            <w:left w:w="0" w:type="dxa"/>
            <w:bottom w:w="0" w:type="dxa"/>
            <w:right w:w="0" w:type="dxa"/>
          </w:tblCellMar>
        </w:tblPrEx>
        <w:trPr>
          <w:wBefore w:w="0" w:type="auto"/>
          <w:tblCellSpacing w:w="0" w:type="dxa"/>
        </w:trPr>
        <w:tc>
          <w:tcPr>
            <w:tcW w:w="0" w:type="auto"/>
            <w:noWrap w:val="0"/>
            <w:vAlign w:val="center"/>
          </w:tcPr>
          <w:p w14:paraId="59EDAE26">
            <w:r>
              <w:rPr>
                <w:rStyle w:val="10"/>
                <w:rFonts w:hint="eastAsia"/>
              </w:rPr>
              <w:t>毒性及其标识：</w:t>
            </w:r>
            <w:r>
              <w:rPr>
                <w:rFonts w:hint="eastAsia"/>
              </w:rPr>
              <w:t xml:space="preserve"> </w:t>
            </w:r>
            <w:r>
              <w:rPr>
                <w:lang/>
              </w:rPr>
              <w:drawing>
                <wp:inline distT="0" distB="0" distL="114300" distR="114300">
                  <wp:extent cx="476250" cy="323850"/>
                  <wp:effectExtent l="0" t="0" r="0" b="0"/>
                  <wp:docPr id="402" name="图片 4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E6998C">
        <w:tblPrEx>
          <w:tblCellMar>
            <w:top w:w="0" w:type="dxa"/>
            <w:left w:w="0" w:type="dxa"/>
            <w:bottom w:w="0" w:type="dxa"/>
            <w:right w:w="0" w:type="dxa"/>
          </w:tblCellMar>
        </w:tblPrEx>
        <w:trPr>
          <w:wBefore w:w="0" w:type="auto"/>
          <w:tblCellSpacing w:w="0" w:type="dxa"/>
        </w:trPr>
        <w:tc>
          <w:tcPr>
            <w:tcW w:w="0" w:type="auto"/>
            <w:noWrap w:val="0"/>
            <w:vAlign w:val="center"/>
          </w:tcPr>
          <w:p w14:paraId="5B54A6B5">
            <w:r>
              <w:rPr>
                <w:rStyle w:val="10"/>
                <w:rFonts w:hint="eastAsia"/>
              </w:rPr>
              <w:t>总有效成分含量：</w:t>
            </w:r>
            <w:r>
              <w:rPr>
                <w:rFonts w:hint="eastAsia"/>
              </w:rPr>
              <w:t>3%</w:t>
            </w:r>
          </w:p>
        </w:tc>
      </w:tr>
      <w:tr w14:paraId="2B67E805">
        <w:tblPrEx>
          <w:tblCellMar>
            <w:top w:w="0" w:type="dxa"/>
            <w:left w:w="0" w:type="dxa"/>
            <w:bottom w:w="0" w:type="dxa"/>
            <w:right w:w="0" w:type="dxa"/>
          </w:tblCellMar>
        </w:tblPrEx>
        <w:trPr>
          <w:wBefore w:w="0" w:type="auto"/>
          <w:tblCellSpacing w:w="0" w:type="dxa"/>
        </w:trPr>
        <w:tc>
          <w:tcPr>
            <w:tcW w:w="0" w:type="auto"/>
            <w:noWrap w:val="0"/>
            <w:vAlign w:val="center"/>
          </w:tcPr>
          <w:p w14:paraId="2F365189">
            <w:r>
              <w:rPr>
                <w:rFonts w:hint="eastAsia"/>
              </w:rPr>
              <w:t xml:space="preserve">有效成分及其含量： </w:t>
            </w:r>
          </w:p>
          <w:p w14:paraId="15D28103">
            <w:r>
              <w:rPr>
                <w:rFonts w:hint="eastAsia"/>
              </w:rPr>
              <w:t xml:space="preserve">    高效氯氰菊酯3%    </w:t>
            </w:r>
          </w:p>
        </w:tc>
      </w:tr>
      <w:tr w14:paraId="1419D807">
        <w:tblPrEx>
          <w:tblCellMar>
            <w:top w:w="0" w:type="dxa"/>
            <w:left w:w="0" w:type="dxa"/>
            <w:bottom w:w="0" w:type="dxa"/>
            <w:right w:w="0" w:type="dxa"/>
          </w:tblCellMar>
        </w:tblPrEx>
        <w:trPr>
          <w:wBefore w:w="0" w:type="auto"/>
          <w:tblCellSpacing w:w="0" w:type="dxa"/>
        </w:trPr>
        <w:tc>
          <w:tcPr>
            <w:tcW w:w="0" w:type="auto"/>
            <w:noWrap w:val="0"/>
            <w:vAlign w:val="center"/>
          </w:tcPr>
          <w:p w14:paraId="672D21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0374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C7A93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087A2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F51D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2A7E5D">
                  <w:r>
                    <w:rPr>
                      <w:rStyle w:val="11"/>
                      <w:rFonts w:hint="eastAsia"/>
                    </w:rPr>
                    <w:t>施用方式</w:t>
                  </w:r>
                </w:p>
              </w:tc>
            </w:tr>
            <w:tr w14:paraId="28E956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4BC77E">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570F0D">
                  <w:r>
                    <w:rPr>
                      <w:rStyle w:val="11"/>
                      <w:rFonts w:hint="eastAsia"/>
                    </w:rPr>
                    <w:t>菜青虫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F9A106">
                  <w:r>
                    <w:rPr>
                      <w:rStyle w:val="11"/>
                      <w:rFonts w:hint="eastAsia"/>
                    </w:rPr>
                    <w:t>50-75毫升/亩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7ACC61">
                  <w:r>
                    <w:rPr>
                      <w:rStyle w:val="11"/>
                      <w:rFonts w:hint="eastAsia"/>
                    </w:rPr>
                    <w:t>喷雾</w:t>
                  </w:r>
                </w:p>
              </w:tc>
            </w:tr>
            <w:tr w14:paraId="5D0FAE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F4EF16">
                  <w:r>
                    <w:rPr>
                      <w:rStyle w:val="11"/>
                      <w:rFonts w:hint="eastAsia"/>
                    </w:rPr>
                    <w:t>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F84138">
                  <w:r>
                    <w:rPr>
                      <w:rStyle w:val="11"/>
                      <w:rFonts w:hint="eastAsia"/>
                    </w:rPr>
                    <w:t>天牛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8C8A6E">
                  <w:r>
                    <w:rPr>
                      <w:rStyle w:val="11"/>
                      <w:rFonts w:hint="eastAsia"/>
                    </w:rPr>
                    <w:t>400-800倍液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E0636">
                  <w:r>
                    <w:rPr>
                      <w:rStyle w:val="11"/>
                      <w:rFonts w:hint="eastAsia"/>
                    </w:rPr>
                    <w:t>喷雾</w:t>
                  </w:r>
                </w:p>
              </w:tc>
            </w:tr>
            <w:tr w14:paraId="648A14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F2C36E">
                  <w:r>
                    <w:rPr>
                      <w:rStyle w:val="11"/>
                      <w:rFonts w:hint="eastAsia"/>
                    </w:rPr>
                    <w:t>松树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7EF162">
                  <w:r>
                    <w:rPr>
                      <w:rStyle w:val="11"/>
                      <w:rFonts w:hint="eastAsia"/>
                    </w:rPr>
                    <w:t>天牛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6D21C1">
                  <w:r>
                    <w:rPr>
                      <w:rStyle w:val="11"/>
                      <w:rFonts w:hint="eastAsia"/>
                    </w:rPr>
                    <w:t>400-800倍液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44F86A">
                  <w:r>
                    <w:rPr>
                      <w:rStyle w:val="11"/>
                      <w:rFonts w:hint="eastAsia"/>
                    </w:rPr>
                    <w:t>喷雾</w:t>
                  </w:r>
                </w:p>
              </w:tc>
            </w:tr>
          </w:tbl>
          <w:p w14:paraId="3EC03773">
            <w:pPr>
              <w:rPr>
                <w:rFonts w:ascii="Times New Roman" w:hAnsi="Times New Roman" w:cs="Times New Roman"/>
                <w:sz w:val="20"/>
                <w:szCs w:val="20"/>
              </w:rPr>
            </w:pPr>
          </w:p>
        </w:tc>
      </w:tr>
      <w:tr w14:paraId="41A9648C">
        <w:tblPrEx>
          <w:tblCellMar>
            <w:top w:w="0" w:type="dxa"/>
            <w:left w:w="0" w:type="dxa"/>
            <w:bottom w:w="0" w:type="dxa"/>
            <w:right w:w="0" w:type="dxa"/>
          </w:tblCellMar>
        </w:tblPrEx>
        <w:trPr>
          <w:wBefore w:w="0" w:type="auto"/>
          <w:tblCellSpacing w:w="0" w:type="dxa"/>
        </w:trPr>
        <w:tc>
          <w:tcPr>
            <w:tcW w:w="0" w:type="auto"/>
            <w:noWrap w:val="0"/>
            <w:vAlign w:val="center"/>
          </w:tcPr>
          <w:p w14:paraId="24531983">
            <w:r>
              <w:rPr>
                <w:rStyle w:val="10"/>
                <w:rFonts w:hint="eastAsia"/>
              </w:rPr>
              <w:t>使用技术要求:</w:t>
            </w:r>
            <w:r>
              <w:rPr>
                <w:rFonts w:hint="eastAsia"/>
              </w:rPr>
              <w:br w:type="textWrapping"/>
            </w:r>
            <w:r>
              <w:rPr>
                <w:rStyle w:val="11"/>
                <w:rFonts w:hint="eastAsia"/>
              </w:rPr>
              <w:t>1. 杨树天牛和松树天牛在成虫补充营养期或成虫羽化高峰期施药1次，选择在清晨、傍晚喷药。2. 防治甘蓝菜青虫在卵孵高峰期至低龄幼虫始盛期施药1次。在甘蓝上安全间隔期7天，每季作物最多使用1次。 3. 大风天或预计1小时内降雨，请勿施药。</w:t>
            </w:r>
          </w:p>
        </w:tc>
      </w:tr>
      <w:tr w14:paraId="30402A66">
        <w:tblPrEx>
          <w:tblCellMar>
            <w:top w:w="0" w:type="dxa"/>
            <w:left w:w="0" w:type="dxa"/>
            <w:bottom w:w="0" w:type="dxa"/>
            <w:right w:w="0" w:type="dxa"/>
          </w:tblCellMar>
        </w:tblPrEx>
        <w:trPr>
          <w:wBefore w:w="0" w:type="auto"/>
          <w:tblCellSpacing w:w="0" w:type="dxa"/>
        </w:trPr>
        <w:tc>
          <w:tcPr>
            <w:tcW w:w="0" w:type="auto"/>
            <w:noWrap w:val="0"/>
            <w:vAlign w:val="center"/>
          </w:tcPr>
          <w:p w14:paraId="3C61E40A">
            <w:r>
              <w:rPr>
                <w:rStyle w:val="10"/>
                <w:rFonts w:hint="eastAsia"/>
              </w:rPr>
              <w:t>产品性能:</w:t>
            </w:r>
            <w:r>
              <w:rPr>
                <w:rFonts w:hint="eastAsia"/>
              </w:rPr>
              <w:br w:type="textWrapping"/>
            </w:r>
            <w:r>
              <w:rPr>
                <w:rStyle w:val="11"/>
                <w:rFonts w:hint="eastAsia"/>
              </w:rPr>
              <w:t>本品是拟除虫菊酯类农药，具有触杀和胃毒作用。本品对有效成分进行微胶囊化处理，使有效成分在囊皮的保护下延缓了光解、氧化、挥发，延长了农药持效期。对防治杨树天牛、松树天牛、甘蓝菜青虫有较好效果。</w:t>
            </w:r>
          </w:p>
        </w:tc>
      </w:tr>
      <w:tr w14:paraId="02EAAD44">
        <w:tblPrEx>
          <w:tblCellMar>
            <w:top w:w="0" w:type="dxa"/>
            <w:left w:w="0" w:type="dxa"/>
            <w:bottom w:w="0" w:type="dxa"/>
            <w:right w:w="0" w:type="dxa"/>
          </w:tblCellMar>
        </w:tblPrEx>
        <w:trPr>
          <w:wBefore w:w="0" w:type="auto"/>
          <w:tblCellSpacing w:w="0" w:type="dxa"/>
        </w:trPr>
        <w:tc>
          <w:tcPr>
            <w:tcW w:w="0" w:type="auto"/>
            <w:noWrap w:val="0"/>
            <w:vAlign w:val="center"/>
          </w:tcPr>
          <w:p w14:paraId="2456B117">
            <w:r>
              <w:rPr>
                <w:rStyle w:val="10"/>
                <w:rFonts w:hint="eastAsia"/>
              </w:rPr>
              <w:t>注意事项：</w:t>
            </w:r>
            <w:r>
              <w:rPr>
                <w:rFonts w:hint="eastAsia"/>
              </w:rPr>
              <w:br w:type="textWrapping"/>
            </w:r>
            <w:r>
              <w:rPr>
                <w:rStyle w:val="11"/>
                <w:rFonts w:hint="eastAsia"/>
              </w:rPr>
              <w:t>1. 长期存放会有分层，使用时应摇匀。2. 建议与其它作用机制不同的杀虫剂轮换使用，以延缓抗性产生。3. 本品对蜜蜂、家蚕、非靶标节肢动物有毒，施药期间应避免对周围蜂群的影响，（周围）开花植物花期禁用，使用时应密切关注对附近蜂群的影响；蚕室及桑园附近禁用；赤眼蜂等天敌放飞区域禁用。4.远离水产养殖区、河塘等水体施药；禁止在河塘等水体中清洗施药器具。5. 配药和施药时，使用时穿戴长衣、长裤、帽子、口罩、手套等安全防护措施，以避免污染皮肤和眼睛，施药完毕后应及时换洗衣服，洗净手、脸和被污染的皮肤。6. 施药前、后要彻底清洗喷药器械，洗涤后的废水不应污染河流等水源，未用完的药液应密封后妥善放置。7. 用过的容器应妥善处理，不作他用，也不可随意丢弃。8. 孕妇、哺乳期妇女禁止接触本品。</w:t>
            </w:r>
          </w:p>
        </w:tc>
      </w:tr>
      <w:tr w14:paraId="1CCA10F6">
        <w:tblPrEx>
          <w:tblCellMar>
            <w:top w:w="0" w:type="dxa"/>
            <w:left w:w="0" w:type="dxa"/>
            <w:bottom w:w="0" w:type="dxa"/>
            <w:right w:w="0" w:type="dxa"/>
          </w:tblCellMar>
        </w:tblPrEx>
        <w:trPr>
          <w:wBefore w:w="0" w:type="auto"/>
          <w:tblCellSpacing w:w="0" w:type="dxa"/>
        </w:trPr>
        <w:tc>
          <w:tcPr>
            <w:tcW w:w="0" w:type="auto"/>
            <w:noWrap w:val="0"/>
            <w:vAlign w:val="center"/>
          </w:tcPr>
          <w:p w14:paraId="64AE7933">
            <w:r>
              <w:rPr>
                <w:rStyle w:val="10"/>
                <w:rFonts w:hint="eastAsia"/>
              </w:rPr>
              <w:t>中毒急救措施：</w:t>
            </w:r>
            <w:r>
              <w:rPr>
                <w:rFonts w:hint="eastAsia"/>
              </w:rPr>
              <w:br w:type="textWrapping"/>
            </w:r>
            <w:r>
              <w:rPr>
                <w:rStyle w:val="11"/>
                <w:rFonts w:hint="eastAsia"/>
              </w:rPr>
              <w:t>中毒症状：属神经毒剂，很少引起全身性中毒。接触量大时会引起头痛、头昏、恶心、呕吐、双手颤抖，全身抽搐或惊厥、昏迷、休克。不慎吸入，将病人移至空气流通处。不慎接触皮肤或溅入眼睛，应用大量清水冲洗至少15分钟。误服应立即携带此标签将病人送医院治疗。 急救措施：（1）无特殊解毒剂，可对症治疗。（2）大量吞服时可洗胃。（3）不能催吐。</w:t>
            </w:r>
          </w:p>
        </w:tc>
      </w:tr>
      <w:tr w14:paraId="22CC5106">
        <w:tblPrEx>
          <w:tblCellMar>
            <w:top w:w="0" w:type="dxa"/>
            <w:left w:w="0" w:type="dxa"/>
            <w:bottom w:w="0" w:type="dxa"/>
            <w:right w:w="0" w:type="dxa"/>
          </w:tblCellMar>
        </w:tblPrEx>
        <w:trPr>
          <w:wBefore w:w="0" w:type="auto"/>
          <w:tblCellSpacing w:w="0" w:type="dxa"/>
        </w:trPr>
        <w:tc>
          <w:tcPr>
            <w:tcW w:w="0" w:type="auto"/>
            <w:noWrap w:val="0"/>
            <w:vAlign w:val="center"/>
          </w:tcPr>
          <w:p w14:paraId="2BFE0276">
            <w:r>
              <w:rPr>
                <w:rStyle w:val="10"/>
                <w:rFonts w:hint="eastAsia"/>
              </w:rPr>
              <w:t>储存和运输方法：</w:t>
            </w:r>
            <w:r>
              <w:rPr>
                <w:rFonts w:hint="eastAsia"/>
              </w:rPr>
              <w:br w:type="textWrapping"/>
            </w:r>
            <w:r>
              <w:rPr>
                <w:rStyle w:val="11"/>
                <w:rFonts w:hint="eastAsia"/>
              </w:rPr>
              <w:t>本品应贮存在干燥、阴凉、通风的库房中。储运时，严放潮湿和日晒，避免与皮肤、眼睛接触，防止由口鼻吸入。装卸时应轻搬轻放，防止包装件破损渗漏。置于儿童、无关人员触及不到之处，并加锁。勿与食品、饮料、饲料、粮食等同贮同运。</w:t>
            </w:r>
          </w:p>
        </w:tc>
      </w:tr>
      <w:tr w14:paraId="3843924B">
        <w:tblPrEx>
          <w:tblCellMar>
            <w:top w:w="0" w:type="dxa"/>
            <w:left w:w="0" w:type="dxa"/>
            <w:bottom w:w="0" w:type="dxa"/>
            <w:right w:w="0" w:type="dxa"/>
          </w:tblCellMar>
        </w:tblPrEx>
        <w:trPr>
          <w:wBefore w:w="0" w:type="auto"/>
          <w:tblCellSpacing w:w="0" w:type="dxa"/>
        </w:trPr>
        <w:tc>
          <w:tcPr>
            <w:tcW w:w="0" w:type="auto"/>
            <w:noWrap w:val="0"/>
            <w:vAlign w:val="center"/>
          </w:tcPr>
          <w:p w14:paraId="740889A9">
            <w:r>
              <w:rPr>
                <w:rStyle w:val="10"/>
                <w:rFonts w:hint="eastAsia"/>
              </w:rPr>
              <w:t>质量保证期：</w:t>
            </w:r>
            <w:r>
              <w:rPr>
                <w:rStyle w:val="11"/>
                <w:rFonts w:hint="eastAsia"/>
              </w:rPr>
              <w:t>2年</w:t>
            </w:r>
          </w:p>
        </w:tc>
      </w:tr>
      <w:tr w14:paraId="165B72CD">
        <w:tblPrEx>
          <w:tblCellMar>
            <w:top w:w="0" w:type="dxa"/>
            <w:left w:w="0" w:type="dxa"/>
            <w:bottom w:w="0" w:type="dxa"/>
            <w:right w:w="0" w:type="dxa"/>
          </w:tblCellMar>
        </w:tblPrEx>
        <w:trPr>
          <w:wBefore w:w="0" w:type="auto"/>
          <w:tblCellSpacing w:w="0" w:type="dxa"/>
        </w:trPr>
        <w:tc>
          <w:tcPr>
            <w:tcW w:w="0" w:type="auto"/>
            <w:noWrap w:val="0"/>
            <w:vAlign w:val="center"/>
          </w:tcPr>
          <w:p w14:paraId="6FB8FFEC">
            <w:r>
              <w:rPr>
                <w:rStyle w:val="10"/>
                <w:rFonts w:hint="eastAsia"/>
              </w:rPr>
              <w:t>备注：</w:t>
            </w:r>
          </w:p>
        </w:tc>
      </w:tr>
    </w:tbl>
    <w:p w14:paraId="69DA0C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0A1EB9">
        <w:tblPrEx>
          <w:tblCellMar>
            <w:top w:w="0" w:type="dxa"/>
            <w:left w:w="0" w:type="dxa"/>
            <w:bottom w:w="0" w:type="dxa"/>
            <w:right w:w="0" w:type="dxa"/>
          </w:tblCellMar>
        </w:tblPrEx>
        <w:trPr>
          <w:wBefore w:w="0" w:type="auto"/>
          <w:tblCellSpacing w:w="0" w:type="dxa"/>
        </w:trPr>
        <w:tc>
          <w:tcPr>
            <w:tcW w:w="0" w:type="auto"/>
            <w:noWrap w:val="0"/>
            <w:vAlign w:val="center"/>
          </w:tcPr>
          <w:p w14:paraId="54C988D7">
            <w:r>
              <w:rPr>
                <w:rStyle w:val="10"/>
                <w:rFonts w:hint="eastAsia"/>
              </w:rPr>
              <w:t>登记证号：</w:t>
            </w:r>
            <w:r>
              <w:rPr>
                <w:rFonts w:hint="eastAsia"/>
              </w:rPr>
              <w:t>PD20212697</w:t>
            </w:r>
          </w:p>
        </w:tc>
      </w:tr>
      <w:tr w14:paraId="184FF21C">
        <w:tblPrEx>
          <w:tblCellMar>
            <w:top w:w="0" w:type="dxa"/>
            <w:left w:w="0" w:type="dxa"/>
            <w:bottom w:w="0" w:type="dxa"/>
            <w:right w:w="0" w:type="dxa"/>
          </w:tblCellMar>
        </w:tblPrEx>
        <w:trPr>
          <w:wBefore w:w="0" w:type="auto"/>
          <w:tblCellSpacing w:w="0" w:type="dxa"/>
        </w:trPr>
        <w:tc>
          <w:tcPr>
            <w:tcW w:w="0" w:type="auto"/>
            <w:noWrap w:val="0"/>
            <w:vAlign w:val="center"/>
          </w:tcPr>
          <w:p w14:paraId="49A06169">
            <w:r>
              <w:rPr>
                <w:rStyle w:val="10"/>
                <w:rFonts w:hint="eastAsia"/>
              </w:rPr>
              <w:t>登记证持有人：</w:t>
            </w:r>
            <w:r>
              <w:rPr>
                <w:rFonts w:hint="eastAsia"/>
              </w:rPr>
              <w:t>沾化国昌精细化工有限公司</w:t>
            </w:r>
          </w:p>
        </w:tc>
      </w:tr>
      <w:tr w14:paraId="16C6D23C">
        <w:tblPrEx>
          <w:tblCellMar>
            <w:top w:w="0" w:type="dxa"/>
            <w:left w:w="0" w:type="dxa"/>
            <w:bottom w:w="0" w:type="dxa"/>
            <w:right w:w="0" w:type="dxa"/>
          </w:tblCellMar>
        </w:tblPrEx>
        <w:trPr>
          <w:wBefore w:w="0" w:type="auto"/>
          <w:tblCellSpacing w:w="0" w:type="dxa"/>
        </w:trPr>
        <w:tc>
          <w:tcPr>
            <w:tcW w:w="0" w:type="auto"/>
            <w:noWrap w:val="0"/>
            <w:vAlign w:val="center"/>
          </w:tcPr>
          <w:p w14:paraId="00B33955">
            <w:r>
              <w:rPr>
                <w:rStyle w:val="10"/>
                <w:rFonts w:hint="eastAsia"/>
              </w:rPr>
              <w:t>农药名称：</w:t>
            </w:r>
            <w:r>
              <w:rPr>
                <w:rFonts w:hint="eastAsia"/>
              </w:rPr>
              <w:t>苯甲·醚菌酯</w:t>
            </w:r>
          </w:p>
        </w:tc>
      </w:tr>
      <w:tr w14:paraId="0DC5931F">
        <w:tblPrEx>
          <w:tblCellMar>
            <w:top w:w="0" w:type="dxa"/>
            <w:left w:w="0" w:type="dxa"/>
            <w:bottom w:w="0" w:type="dxa"/>
            <w:right w:w="0" w:type="dxa"/>
          </w:tblCellMar>
        </w:tblPrEx>
        <w:trPr>
          <w:wBefore w:w="0" w:type="auto"/>
          <w:tblCellSpacing w:w="0" w:type="dxa"/>
        </w:trPr>
        <w:tc>
          <w:tcPr>
            <w:tcW w:w="0" w:type="auto"/>
            <w:noWrap w:val="0"/>
            <w:vAlign w:val="center"/>
          </w:tcPr>
          <w:p w14:paraId="4AA80B91">
            <w:r>
              <w:rPr>
                <w:rStyle w:val="10"/>
                <w:rFonts w:hint="eastAsia"/>
              </w:rPr>
              <w:t>剂型：</w:t>
            </w:r>
            <w:r>
              <w:rPr>
                <w:rFonts w:hint="eastAsia"/>
              </w:rPr>
              <w:t>水分散粒剂</w:t>
            </w:r>
          </w:p>
        </w:tc>
      </w:tr>
      <w:tr w14:paraId="7B7AB60A">
        <w:tblPrEx>
          <w:tblCellMar>
            <w:top w:w="0" w:type="dxa"/>
            <w:left w:w="0" w:type="dxa"/>
            <w:bottom w:w="0" w:type="dxa"/>
            <w:right w:w="0" w:type="dxa"/>
          </w:tblCellMar>
        </w:tblPrEx>
        <w:trPr>
          <w:wBefore w:w="0" w:type="auto"/>
          <w:tblCellSpacing w:w="0" w:type="dxa"/>
        </w:trPr>
        <w:tc>
          <w:tcPr>
            <w:tcW w:w="0" w:type="auto"/>
            <w:noWrap w:val="0"/>
            <w:vAlign w:val="center"/>
          </w:tcPr>
          <w:p w14:paraId="4635B6E8">
            <w:r>
              <w:rPr>
                <w:rStyle w:val="10"/>
                <w:rFonts w:hint="eastAsia"/>
              </w:rPr>
              <w:t>毒性及其标识：</w:t>
            </w:r>
            <w:r>
              <w:rPr>
                <w:rFonts w:hint="eastAsia"/>
              </w:rPr>
              <w:t xml:space="preserve"> </w:t>
            </w:r>
            <w:r>
              <w:rPr>
                <w:lang/>
              </w:rPr>
              <w:drawing>
                <wp:inline distT="0" distB="0" distL="114300" distR="114300">
                  <wp:extent cx="476250" cy="323850"/>
                  <wp:effectExtent l="0" t="0" r="0" b="0"/>
                  <wp:docPr id="403" name="图片 4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4C790D">
        <w:tblPrEx>
          <w:tblCellMar>
            <w:top w:w="0" w:type="dxa"/>
            <w:left w:w="0" w:type="dxa"/>
            <w:bottom w:w="0" w:type="dxa"/>
            <w:right w:w="0" w:type="dxa"/>
          </w:tblCellMar>
        </w:tblPrEx>
        <w:trPr>
          <w:wBefore w:w="0" w:type="auto"/>
          <w:tblCellSpacing w:w="0" w:type="dxa"/>
        </w:trPr>
        <w:tc>
          <w:tcPr>
            <w:tcW w:w="0" w:type="auto"/>
            <w:noWrap w:val="0"/>
            <w:vAlign w:val="center"/>
          </w:tcPr>
          <w:p w14:paraId="63690551">
            <w:r>
              <w:rPr>
                <w:rStyle w:val="10"/>
                <w:rFonts w:hint="eastAsia"/>
              </w:rPr>
              <w:t>总有效成分含量：</w:t>
            </w:r>
            <w:r>
              <w:rPr>
                <w:rFonts w:hint="eastAsia"/>
              </w:rPr>
              <w:t>30%</w:t>
            </w:r>
          </w:p>
        </w:tc>
      </w:tr>
      <w:tr w14:paraId="78F6C940">
        <w:tblPrEx>
          <w:tblCellMar>
            <w:top w:w="0" w:type="dxa"/>
            <w:left w:w="0" w:type="dxa"/>
            <w:bottom w:w="0" w:type="dxa"/>
            <w:right w:w="0" w:type="dxa"/>
          </w:tblCellMar>
        </w:tblPrEx>
        <w:trPr>
          <w:wBefore w:w="0" w:type="auto"/>
          <w:tblCellSpacing w:w="0" w:type="dxa"/>
        </w:trPr>
        <w:tc>
          <w:tcPr>
            <w:tcW w:w="0" w:type="auto"/>
            <w:noWrap w:val="0"/>
            <w:vAlign w:val="center"/>
          </w:tcPr>
          <w:p w14:paraId="4149AE2B">
            <w:r>
              <w:rPr>
                <w:rFonts w:hint="eastAsia"/>
              </w:rPr>
              <w:t xml:space="preserve">有效成分及其含量： </w:t>
            </w:r>
          </w:p>
          <w:p w14:paraId="0FD3209F">
            <w:r>
              <w:rPr>
                <w:rFonts w:hint="eastAsia"/>
              </w:rPr>
              <w:t xml:space="preserve">    苯醚甲环唑10%    醚菌酯20%    </w:t>
            </w:r>
          </w:p>
        </w:tc>
      </w:tr>
      <w:tr w14:paraId="31565D3E">
        <w:tblPrEx>
          <w:tblCellMar>
            <w:top w:w="0" w:type="dxa"/>
            <w:left w:w="0" w:type="dxa"/>
            <w:bottom w:w="0" w:type="dxa"/>
            <w:right w:w="0" w:type="dxa"/>
          </w:tblCellMar>
        </w:tblPrEx>
        <w:trPr>
          <w:wBefore w:w="0" w:type="auto"/>
          <w:tblCellSpacing w:w="0" w:type="dxa"/>
        </w:trPr>
        <w:tc>
          <w:tcPr>
            <w:tcW w:w="0" w:type="auto"/>
            <w:noWrap w:val="0"/>
            <w:vAlign w:val="center"/>
          </w:tcPr>
          <w:p w14:paraId="1ABD37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2A35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DC33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E071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5A417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D0C284">
                  <w:r>
                    <w:rPr>
                      <w:rStyle w:val="11"/>
                      <w:rFonts w:hint="eastAsia"/>
                    </w:rPr>
                    <w:t>施用方式</w:t>
                  </w:r>
                </w:p>
              </w:tc>
            </w:tr>
            <w:tr w14:paraId="013F8E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C30FCB">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339FEC">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1B4BE0">
                  <w:r>
                    <w:rPr>
                      <w:rStyle w:val="11"/>
                      <w:rFonts w:hint="eastAsia"/>
                    </w:rPr>
                    <w:t>19-23毫升/亩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F460E9">
                  <w:r>
                    <w:rPr>
                      <w:rStyle w:val="11"/>
                      <w:rFonts w:hint="eastAsia"/>
                    </w:rPr>
                    <w:t>喷雾</w:t>
                  </w:r>
                </w:p>
              </w:tc>
            </w:tr>
          </w:tbl>
          <w:p w14:paraId="7B8FA707">
            <w:pPr>
              <w:rPr>
                <w:rFonts w:ascii="Times New Roman" w:hAnsi="Times New Roman" w:cs="Times New Roman"/>
                <w:sz w:val="20"/>
                <w:szCs w:val="20"/>
              </w:rPr>
            </w:pPr>
          </w:p>
        </w:tc>
      </w:tr>
      <w:tr w14:paraId="7DD1D164">
        <w:tblPrEx>
          <w:tblCellMar>
            <w:top w:w="0" w:type="dxa"/>
            <w:left w:w="0" w:type="dxa"/>
            <w:bottom w:w="0" w:type="dxa"/>
            <w:right w:w="0" w:type="dxa"/>
          </w:tblCellMar>
        </w:tblPrEx>
        <w:trPr>
          <w:wBefore w:w="0" w:type="auto"/>
          <w:tblCellSpacing w:w="0" w:type="dxa"/>
        </w:trPr>
        <w:tc>
          <w:tcPr>
            <w:tcW w:w="0" w:type="auto"/>
            <w:noWrap w:val="0"/>
            <w:vAlign w:val="center"/>
          </w:tcPr>
          <w:p w14:paraId="38CEE739">
            <w:r>
              <w:rPr>
                <w:rStyle w:val="10"/>
                <w:rFonts w:hint="eastAsia"/>
              </w:rPr>
              <w:t>使用技术要求:</w:t>
            </w:r>
            <w:r>
              <w:rPr>
                <w:rFonts w:hint="eastAsia"/>
              </w:rPr>
              <w:br w:type="textWrapping"/>
            </w:r>
            <w:r>
              <w:rPr>
                <w:rStyle w:val="11"/>
                <w:rFonts w:hint="eastAsia"/>
              </w:rPr>
              <w:t>1.发病初期用药，施药方法为喷雾，施药2-3次，间隔7天间施用，安全间隔期为3天； 2.可根据不同病害或病害的不同发展时期调整用药量； 3.本品可与其它不同作用机制的杀菌剂混用或轮用，以延缓抗性产生； 4.应避免超剂量、超范围及高温条件下施用，以免产生药害。</w:t>
            </w:r>
          </w:p>
        </w:tc>
      </w:tr>
      <w:tr w14:paraId="7F0C6A56">
        <w:tblPrEx>
          <w:tblCellMar>
            <w:top w:w="0" w:type="dxa"/>
            <w:left w:w="0" w:type="dxa"/>
            <w:bottom w:w="0" w:type="dxa"/>
            <w:right w:w="0" w:type="dxa"/>
          </w:tblCellMar>
        </w:tblPrEx>
        <w:trPr>
          <w:wBefore w:w="0" w:type="auto"/>
          <w:tblCellSpacing w:w="0" w:type="dxa"/>
        </w:trPr>
        <w:tc>
          <w:tcPr>
            <w:tcW w:w="0" w:type="auto"/>
            <w:noWrap w:val="0"/>
            <w:vAlign w:val="center"/>
          </w:tcPr>
          <w:p w14:paraId="0C320AA3">
            <w:r>
              <w:rPr>
                <w:rStyle w:val="10"/>
                <w:rFonts w:hint="eastAsia"/>
              </w:rPr>
              <w:t>产品性能:</w:t>
            </w:r>
            <w:r>
              <w:rPr>
                <w:rFonts w:hint="eastAsia"/>
              </w:rPr>
              <w:br w:type="textWrapping"/>
            </w:r>
            <w:r>
              <w:rPr>
                <w:rStyle w:val="11"/>
                <w:rFonts w:hint="eastAsia"/>
              </w:rPr>
              <w:t>本品为甲氨基丙烯酸酯类同三唑类复配制剂，对多种真菌性病害（半知菌，子囊菌，担子菌，卵菌纲等）具有很好的保护和治疗效果，同时具有激活生长点，提高免疫力，调节植物健康的功能。苯醚甲环唑和醚菌酯两者复配均具有增效作用。</w:t>
            </w:r>
          </w:p>
        </w:tc>
      </w:tr>
      <w:tr w14:paraId="752A9A66">
        <w:tblPrEx>
          <w:tblCellMar>
            <w:top w:w="0" w:type="dxa"/>
            <w:left w:w="0" w:type="dxa"/>
            <w:bottom w:w="0" w:type="dxa"/>
            <w:right w:w="0" w:type="dxa"/>
          </w:tblCellMar>
        </w:tblPrEx>
        <w:trPr>
          <w:wBefore w:w="0" w:type="auto"/>
          <w:tblCellSpacing w:w="0" w:type="dxa"/>
        </w:trPr>
        <w:tc>
          <w:tcPr>
            <w:tcW w:w="0" w:type="auto"/>
            <w:noWrap w:val="0"/>
            <w:vAlign w:val="center"/>
          </w:tcPr>
          <w:p w14:paraId="54AD0BB7">
            <w:r>
              <w:rPr>
                <w:rStyle w:val="10"/>
                <w:rFonts w:hint="eastAsia"/>
              </w:rPr>
              <w:t>注意事项：</w:t>
            </w:r>
            <w:r>
              <w:rPr>
                <w:rFonts w:hint="eastAsia"/>
              </w:rPr>
              <w:br w:type="textWrapping"/>
            </w:r>
            <w:r>
              <w:rPr>
                <w:rStyle w:val="11"/>
                <w:rFonts w:hint="eastAsia"/>
              </w:rPr>
              <w:t>1.对眼睛有刺激性，避免暴露，施药时必须穿戴防护衣或使用防护措施。 2.施药后用清水及肥皂水彻底清洗脸及其他裸露部位。避免皮肤接触或吸入有害气体、雾滴或粉尘。 3.操作时应远离儿童和家禽。 4.本品对鱼及水生生物等有毒，水产养殖区、河塘等水体禁用，禁止在河塘等水域清洗施药器具，避免影响鱼类和污染水源。周围开花植物花期禁用。 5.孕妇、哺乳期妇女及过敏者禁用。 6.使用中有任何不良反应请及时就医。 7.药剂应现混现兑，配好的药液要立即使用。 7.用过的容器应妥善处理，不可做他用，也不可随意丢弃。8.毁掉空包装袋，并按照当地的有关规定处理所有的废弃物。敬告用户：按照推荐方法使用、操作和贮藏本品。使用时应接受当地农业技术部门的指导。</w:t>
            </w:r>
          </w:p>
        </w:tc>
      </w:tr>
      <w:tr w14:paraId="626DD2FB">
        <w:tblPrEx>
          <w:tblCellMar>
            <w:top w:w="0" w:type="dxa"/>
            <w:left w:w="0" w:type="dxa"/>
            <w:bottom w:w="0" w:type="dxa"/>
            <w:right w:w="0" w:type="dxa"/>
          </w:tblCellMar>
        </w:tblPrEx>
        <w:trPr>
          <w:wBefore w:w="0" w:type="auto"/>
          <w:tblCellSpacing w:w="0" w:type="dxa"/>
        </w:trPr>
        <w:tc>
          <w:tcPr>
            <w:tcW w:w="0" w:type="auto"/>
            <w:noWrap w:val="0"/>
            <w:vAlign w:val="center"/>
          </w:tcPr>
          <w:p w14:paraId="157572ED">
            <w:r>
              <w:rPr>
                <w:rStyle w:val="10"/>
                <w:rFonts w:hint="eastAsia"/>
              </w:rPr>
              <w:t>中毒急救措施：</w:t>
            </w:r>
            <w:r>
              <w:rPr>
                <w:rFonts w:hint="eastAsia"/>
              </w:rPr>
              <w:br w:type="textWrapping"/>
            </w:r>
            <w:r>
              <w:rPr>
                <w:rStyle w:val="11"/>
                <w:rFonts w:hint="eastAsia"/>
              </w:rPr>
              <w:t>急救措施：不慎吸入，速将病人移至空气流通处；接触皮肤，用肥皂和清水彻底清洗；溅入眼睛，用清水冲洗眼睛至少15分钟，送医就诊；如误服，反复使用医用炭和大量水，并立即携带标签送医就诊。无专用解毒剂，对症状治疗。洗胃时防止胃溶液进入呼吸道。注意：昏迷的人切勿喂入任何东西或引吐。</w:t>
            </w:r>
          </w:p>
        </w:tc>
      </w:tr>
      <w:tr w14:paraId="38A36477">
        <w:tblPrEx>
          <w:tblCellMar>
            <w:top w:w="0" w:type="dxa"/>
            <w:left w:w="0" w:type="dxa"/>
            <w:bottom w:w="0" w:type="dxa"/>
            <w:right w:w="0" w:type="dxa"/>
          </w:tblCellMar>
        </w:tblPrEx>
        <w:trPr>
          <w:wBefore w:w="0" w:type="auto"/>
          <w:tblCellSpacing w:w="0" w:type="dxa"/>
        </w:trPr>
        <w:tc>
          <w:tcPr>
            <w:tcW w:w="0" w:type="auto"/>
            <w:noWrap w:val="0"/>
            <w:vAlign w:val="center"/>
          </w:tcPr>
          <w:p w14:paraId="7DCA4C4E">
            <w:r>
              <w:rPr>
                <w:rStyle w:val="10"/>
                <w:rFonts w:hint="eastAsia"/>
              </w:rPr>
              <w:t>储存和运输方法：</w:t>
            </w:r>
            <w:r>
              <w:rPr>
                <w:rFonts w:hint="eastAsia"/>
              </w:rPr>
              <w:br w:type="textWrapping"/>
            </w:r>
            <w:r>
              <w:rPr>
                <w:rStyle w:val="11"/>
                <w:rFonts w:hint="eastAsia"/>
              </w:rPr>
              <w:t>1.远离家禽、食品和饲料、种子、粮食、饮料等，放置于儿童触及不到的地方并加锁。2.药剂储存于原容器中，保持容器处于密封状态，并贮存在干燥阴凉通风处，运输时应注意避光、防高温、雨淋。</w:t>
            </w:r>
          </w:p>
        </w:tc>
      </w:tr>
      <w:tr w14:paraId="1C5E6050">
        <w:tblPrEx>
          <w:tblCellMar>
            <w:top w:w="0" w:type="dxa"/>
            <w:left w:w="0" w:type="dxa"/>
            <w:bottom w:w="0" w:type="dxa"/>
            <w:right w:w="0" w:type="dxa"/>
          </w:tblCellMar>
        </w:tblPrEx>
        <w:trPr>
          <w:wBefore w:w="0" w:type="auto"/>
          <w:tblCellSpacing w:w="0" w:type="dxa"/>
        </w:trPr>
        <w:tc>
          <w:tcPr>
            <w:tcW w:w="0" w:type="auto"/>
            <w:noWrap w:val="0"/>
            <w:vAlign w:val="center"/>
          </w:tcPr>
          <w:p w14:paraId="5935084B">
            <w:r>
              <w:rPr>
                <w:rStyle w:val="10"/>
                <w:rFonts w:hint="eastAsia"/>
              </w:rPr>
              <w:t>质量保证期：</w:t>
            </w:r>
            <w:r>
              <w:rPr>
                <w:rStyle w:val="11"/>
                <w:rFonts w:hint="eastAsia"/>
              </w:rPr>
              <w:t>2年</w:t>
            </w:r>
          </w:p>
        </w:tc>
      </w:tr>
      <w:tr w14:paraId="3B97B177">
        <w:tblPrEx>
          <w:tblCellMar>
            <w:top w:w="0" w:type="dxa"/>
            <w:left w:w="0" w:type="dxa"/>
            <w:bottom w:w="0" w:type="dxa"/>
            <w:right w:w="0" w:type="dxa"/>
          </w:tblCellMar>
        </w:tblPrEx>
        <w:trPr>
          <w:wBefore w:w="0" w:type="auto"/>
          <w:tblCellSpacing w:w="0" w:type="dxa"/>
        </w:trPr>
        <w:tc>
          <w:tcPr>
            <w:tcW w:w="0" w:type="auto"/>
            <w:noWrap w:val="0"/>
            <w:vAlign w:val="center"/>
          </w:tcPr>
          <w:p w14:paraId="193A927A">
            <w:r>
              <w:rPr>
                <w:rStyle w:val="10"/>
                <w:rFonts w:hint="eastAsia"/>
              </w:rPr>
              <w:t>备注：</w:t>
            </w:r>
          </w:p>
        </w:tc>
      </w:tr>
    </w:tbl>
    <w:p w14:paraId="21E936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7023FA">
        <w:tblPrEx>
          <w:tblCellMar>
            <w:top w:w="0" w:type="dxa"/>
            <w:left w:w="0" w:type="dxa"/>
            <w:bottom w:w="0" w:type="dxa"/>
            <w:right w:w="0" w:type="dxa"/>
          </w:tblCellMar>
        </w:tblPrEx>
        <w:trPr>
          <w:wBefore w:w="0" w:type="auto"/>
          <w:tblCellSpacing w:w="0" w:type="dxa"/>
        </w:trPr>
        <w:tc>
          <w:tcPr>
            <w:tcW w:w="0" w:type="auto"/>
            <w:noWrap w:val="0"/>
            <w:vAlign w:val="center"/>
          </w:tcPr>
          <w:p w14:paraId="2221969F">
            <w:r>
              <w:rPr>
                <w:rStyle w:val="10"/>
                <w:rFonts w:hint="eastAsia"/>
              </w:rPr>
              <w:t>登记证号：</w:t>
            </w:r>
            <w:r>
              <w:rPr>
                <w:rFonts w:hint="eastAsia"/>
              </w:rPr>
              <w:t>PD20212755</w:t>
            </w:r>
          </w:p>
        </w:tc>
      </w:tr>
      <w:tr w14:paraId="0F16A605">
        <w:tblPrEx>
          <w:tblCellMar>
            <w:top w:w="0" w:type="dxa"/>
            <w:left w:w="0" w:type="dxa"/>
            <w:bottom w:w="0" w:type="dxa"/>
            <w:right w:w="0" w:type="dxa"/>
          </w:tblCellMar>
        </w:tblPrEx>
        <w:trPr>
          <w:wBefore w:w="0" w:type="auto"/>
          <w:tblCellSpacing w:w="0" w:type="dxa"/>
        </w:trPr>
        <w:tc>
          <w:tcPr>
            <w:tcW w:w="0" w:type="auto"/>
            <w:noWrap w:val="0"/>
            <w:vAlign w:val="center"/>
          </w:tcPr>
          <w:p w14:paraId="2E51E417">
            <w:r>
              <w:rPr>
                <w:rStyle w:val="10"/>
                <w:rFonts w:hint="eastAsia"/>
              </w:rPr>
              <w:t>登记证持有人：</w:t>
            </w:r>
            <w:r>
              <w:rPr>
                <w:rFonts w:hint="eastAsia"/>
              </w:rPr>
              <w:t>四川润尔科技有限公司</w:t>
            </w:r>
          </w:p>
        </w:tc>
      </w:tr>
      <w:tr w14:paraId="5248D538">
        <w:tblPrEx>
          <w:tblCellMar>
            <w:top w:w="0" w:type="dxa"/>
            <w:left w:w="0" w:type="dxa"/>
            <w:bottom w:w="0" w:type="dxa"/>
            <w:right w:w="0" w:type="dxa"/>
          </w:tblCellMar>
        </w:tblPrEx>
        <w:trPr>
          <w:wBefore w:w="0" w:type="auto"/>
          <w:tblCellSpacing w:w="0" w:type="dxa"/>
        </w:trPr>
        <w:tc>
          <w:tcPr>
            <w:tcW w:w="0" w:type="auto"/>
            <w:noWrap w:val="0"/>
            <w:vAlign w:val="center"/>
          </w:tcPr>
          <w:p w14:paraId="1E8A4F14">
            <w:r>
              <w:rPr>
                <w:rStyle w:val="10"/>
                <w:rFonts w:hint="eastAsia"/>
              </w:rPr>
              <w:t>农药名称：</w:t>
            </w:r>
            <w:r>
              <w:rPr>
                <w:rFonts w:hint="eastAsia"/>
              </w:rPr>
              <w:t>抑芽丹</w:t>
            </w:r>
          </w:p>
        </w:tc>
      </w:tr>
      <w:tr w14:paraId="4E13DA01">
        <w:tblPrEx>
          <w:tblCellMar>
            <w:top w:w="0" w:type="dxa"/>
            <w:left w:w="0" w:type="dxa"/>
            <w:bottom w:w="0" w:type="dxa"/>
            <w:right w:w="0" w:type="dxa"/>
          </w:tblCellMar>
        </w:tblPrEx>
        <w:trPr>
          <w:wBefore w:w="0" w:type="auto"/>
          <w:tblCellSpacing w:w="0" w:type="dxa"/>
        </w:trPr>
        <w:tc>
          <w:tcPr>
            <w:tcW w:w="0" w:type="auto"/>
            <w:noWrap w:val="0"/>
            <w:vAlign w:val="center"/>
          </w:tcPr>
          <w:p w14:paraId="366C857C">
            <w:r>
              <w:rPr>
                <w:rStyle w:val="10"/>
                <w:rFonts w:hint="eastAsia"/>
              </w:rPr>
              <w:t>剂型：</w:t>
            </w:r>
            <w:r>
              <w:rPr>
                <w:rFonts w:hint="eastAsia"/>
              </w:rPr>
              <w:t>水分散粒剂</w:t>
            </w:r>
          </w:p>
        </w:tc>
      </w:tr>
      <w:tr w14:paraId="4D1E7058">
        <w:tblPrEx>
          <w:tblCellMar>
            <w:top w:w="0" w:type="dxa"/>
            <w:left w:w="0" w:type="dxa"/>
            <w:bottom w:w="0" w:type="dxa"/>
            <w:right w:w="0" w:type="dxa"/>
          </w:tblCellMar>
        </w:tblPrEx>
        <w:trPr>
          <w:wBefore w:w="0" w:type="auto"/>
          <w:tblCellSpacing w:w="0" w:type="dxa"/>
        </w:trPr>
        <w:tc>
          <w:tcPr>
            <w:tcW w:w="0" w:type="auto"/>
            <w:noWrap w:val="0"/>
            <w:vAlign w:val="center"/>
          </w:tcPr>
          <w:p w14:paraId="38097050">
            <w:r>
              <w:rPr>
                <w:rStyle w:val="10"/>
                <w:rFonts w:hint="eastAsia"/>
              </w:rPr>
              <w:t>毒性及其标识：</w:t>
            </w:r>
            <w:r>
              <w:rPr>
                <w:rFonts w:hint="eastAsia"/>
              </w:rPr>
              <w:t xml:space="preserve"> </w:t>
            </w:r>
            <w:r>
              <w:rPr>
                <w:lang/>
              </w:rPr>
              <w:drawing>
                <wp:inline distT="0" distB="0" distL="114300" distR="114300">
                  <wp:extent cx="476250" cy="323850"/>
                  <wp:effectExtent l="0" t="0" r="0" b="0"/>
                  <wp:docPr id="404" name="图片 4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8C2278">
        <w:tblPrEx>
          <w:tblCellMar>
            <w:top w:w="0" w:type="dxa"/>
            <w:left w:w="0" w:type="dxa"/>
            <w:bottom w:w="0" w:type="dxa"/>
            <w:right w:w="0" w:type="dxa"/>
          </w:tblCellMar>
        </w:tblPrEx>
        <w:trPr>
          <w:wBefore w:w="0" w:type="auto"/>
          <w:tblCellSpacing w:w="0" w:type="dxa"/>
        </w:trPr>
        <w:tc>
          <w:tcPr>
            <w:tcW w:w="0" w:type="auto"/>
            <w:noWrap w:val="0"/>
            <w:vAlign w:val="center"/>
          </w:tcPr>
          <w:p w14:paraId="107902A4">
            <w:r>
              <w:rPr>
                <w:rStyle w:val="10"/>
                <w:rFonts w:hint="eastAsia"/>
              </w:rPr>
              <w:t>总有效成分含量：</w:t>
            </w:r>
            <w:r>
              <w:rPr>
                <w:rFonts w:hint="eastAsia"/>
              </w:rPr>
              <w:t>80%</w:t>
            </w:r>
          </w:p>
        </w:tc>
      </w:tr>
      <w:tr w14:paraId="05EB323A">
        <w:tblPrEx>
          <w:tblCellMar>
            <w:top w:w="0" w:type="dxa"/>
            <w:left w:w="0" w:type="dxa"/>
            <w:bottom w:w="0" w:type="dxa"/>
            <w:right w:w="0" w:type="dxa"/>
          </w:tblCellMar>
        </w:tblPrEx>
        <w:trPr>
          <w:wBefore w:w="0" w:type="auto"/>
          <w:tblCellSpacing w:w="0" w:type="dxa"/>
        </w:trPr>
        <w:tc>
          <w:tcPr>
            <w:tcW w:w="0" w:type="auto"/>
            <w:noWrap w:val="0"/>
            <w:vAlign w:val="center"/>
          </w:tcPr>
          <w:p w14:paraId="5D5455F9">
            <w:r>
              <w:rPr>
                <w:rFonts w:hint="eastAsia"/>
              </w:rPr>
              <w:t xml:space="preserve">有效成分及其含量： </w:t>
            </w:r>
          </w:p>
          <w:p w14:paraId="76CA00DA">
            <w:r>
              <w:rPr>
                <w:rFonts w:hint="eastAsia"/>
              </w:rPr>
              <w:t xml:space="preserve">    抑芽丹80%    </w:t>
            </w:r>
          </w:p>
        </w:tc>
      </w:tr>
      <w:tr w14:paraId="5BF6A914">
        <w:tblPrEx>
          <w:tblCellMar>
            <w:top w:w="0" w:type="dxa"/>
            <w:left w:w="0" w:type="dxa"/>
            <w:bottom w:w="0" w:type="dxa"/>
            <w:right w:w="0" w:type="dxa"/>
          </w:tblCellMar>
        </w:tblPrEx>
        <w:trPr>
          <w:wBefore w:w="0" w:type="auto"/>
          <w:tblCellSpacing w:w="0" w:type="dxa"/>
        </w:trPr>
        <w:tc>
          <w:tcPr>
            <w:tcW w:w="0" w:type="auto"/>
            <w:noWrap w:val="0"/>
            <w:vAlign w:val="center"/>
          </w:tcPr>
          <w:p w14:paraId="6CCFE5B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E854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B3BC7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D17A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0FF09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7652F3">
                  <w:r>
                    <w:rPr>
                      <w:rStyle w:val="11"/>
                      <w:rFonts w:hint="eastAsia"/>
                    </w:rPr>
                    <w:t>施用方式</w:t>
                  </w:r>
                </w:p>
              </w:tc>
            </w:tr>
            <w:tr w14:paraId="6DE978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59B6E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081E48">
                  <w:r>
                    <w:rPr>
                      <w:rStyle w:val="11"/>
                      <w:rFonts w:hint="eastAsia"/>
                    </w:rPr>
                    <w:t>控梢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E91DE4">
                  <w:r>
                    <w:rPr>
                      <w:rStyle w:val="11"/>
                      <w:rFonts w:hint="eastAsia"/>
                    </w:rPr>
                    <w:t>700-1000倍液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6058C3">
                  <w:r>
                    <w:rPr>
                      <w:rStyle w:val="11"/>
                      <w:rFonts w:hint="eastAsia"/>
                    </w:rPr>
                    <w:t>喷雾</w:t>
                  </w:r>
                </w:p>
              </w:tc>
            </w:tr>
          </w:tbl>
          <w:p w14:paraId="599FC38D">
            <w:pPr>
              <w:rPr>
                <w:rFonts w:ascii="Times New Roman" w:hAnsi="Times New Roman" w:cs="Times New Roman"/>
                <w:sz w:val="20"/>
                <w:szCs w:val="20"/>
              </w:rPr>
            </w:pPr>
          </w:p>
        </w:tc>
      </w:tr>
      <w:tr w14:paraId="7324D339">
        <w:tblPrEx>
          <w:tblCellMar>
            <w:top w:w="0" w:type="dxa"/>
            <w:left w:w="0" w:type="dxa"/>
            <w:bottom w:w="0" w:type="dxa"/>
            <w:right w:w="0" w:type="dxa"/>
          </w:tblCellMar>
        </w:tblPrEx>
        <w:trPr>
          <w:wBefore w:w="0" w:type="auto"/>
          <w:tblCellSpacing w:w="0" w:type="dxa"/>
        </w:trPr>
        <w:tc>
          <w:tcPr>
            <w:tcW w:w="0" w:type="auto"/>
            <w:noWrap w:val="0"/>
            <w:vAlign w:val="center"/>
          </w:tcPr>
          <w:p w14:paraId="50866BC5">
            <w:r>
              <w:rPr>
                <w:rStyle w:val="10"/>
                <w:rFonts w:hint="eastAsia"/>
              </w:rPr>
              <w:t>使用技术要求:</w:t>
            </w:r>
            <w:r>
              <w:rPr>
                <w:rFonts w:hint="eastAsia"/>
              </w:rPr>
              <w:br w:type="textWrapping"/>
            </w:r>
            <w:r>
              <w:rPr>
                <w:rStyle w:val="11"/>
                <w:rFonts w:hint="eastAsia"/>
              </w:rPr>
              <w:t>1.在柑橘夏梢开始生长时（长度0.5厘米以下），以推荐剂量兑水均匀喷雾施药1次。2.每季最多施药2次。3.未用过的地区或新品种或无用药经验的应先小面积试验成功后再扩大使用。4.大风天或预计1小时内降雨，请勿施药。5.使用剂量过高会造成叶片卷曲甚至枯萎，请勿超剂量使用或增加使用次数，以避免产生药害。6.树势较弱时勿用，避免药害。7.施用本品后应注意加强肥水及田间管理。</w:t>
            </w:r>
          </w:p>
        </w:tc>
      </w:tr>
      <w:tr w14:paraId="60E74394">
        <w:tblPrEx>
          <w:tblCellMar>
            <w:top w:w="0" w:type="dxa"/>
            <w:left w:w="0" w:type="dxa"/>
            <w:bottom w:w="0" w:type="dxa"/>
            <w:right w:w="0" w:type="dxa"/>
          </w:tblCellMar>
        </w:tblPrEx>
        <w:trPr>
          <w:wBefore w:w="0" w:type="auto"/>
          <w:tblCellSpacing w:w="0" w:type="dxa"/>
        </w:trPr>
        <w:tc>
          <w:tcPr>
            <w:tcW w:w="0" w:type="auto"/>
            <w:noWrap w:val="0"/>
            <w:vAlign w:val="center"/>
          </w:tcPr>
          <w:p w14:paraId="5F81ABDB">
            <w:r>
              <w:rPr>
                <w:rStyle w:val="10"/>
                <w:rFonts w:hint="eastAsia"/>
              </w:rPr>
              <w:t>产品性能:</w:t>
            </w:r>
            <w:r>
              <w:rPr>
                <w:rFonts w:hint="eastAsia"/>
              </w:rPr>
              <w:br w:type="textWrapping"/>
            </w:r>
            <w:r>
              <w:rPr>
                <w:rStyle w:val="11"/>
                <w:rFonts w:hint="eastAsia"/>
              </w:rPr>
              <w:t>抑芽丹是内吸性抑芽剂。从植物的叶面或根部吸入，由木质部和韧皮部传导至植株体内，通过阻止细胞分裂，从而抑制植物生长。抑制程度依剂量和作物生长阶段而不同。</w:t>
            </w:r>
          </w:p>
        </w:tc>
      </w:tr>
      <w:tr w14:paraId="4B535DAF">
        <w:tblPrEx>
          <w:tblCellMar>
            <w:top w:w="0" w:type="dxa"/>
            <w:left w:w="0" w:type="dxa"/>
            <w:bottom w:w="0" w:type="dxa"/>
            <w:right w:w="0" w:type="dxa"/>
          </w:tblCellMar>
        </w:tblPrEx>
        <w:trPr>
          <w:wBefore w:w="0" w:type="auto"/>
          <w:tblCellSpacing w:w="0" w:type="dxa"/>
        </w:trPr>
        <w:tc>
          <w:tcPr>
            <w:tcW w:w="0" w:type="auto"/>
            <w:noWrap w:val="0"/>
            <w:vAlign w:val="center"/>
          </w:tcPr>
          <w:p w14:paraId="1894F681">
            <w:r>
              <w:rPr>
                <w:rStyle w:val="10"/>
                <w:rFonts w:hint="eastAsia"/>
              </w:rPr>
              <w:t>注意事项：</w:t>
            </w:r>
            <w:r>
              <w:rPr>
                <w:rFonts w:hint="eastAsia"/>
              </w:rPr>
              <w:br w:type="textWrapping"/>
            </w:r>
            <w:r>
              <w:rPr>
                <w:rStyle w:val="11"/>
                <w:rFonts w:hint="eastAsia"/>
              </w:rPr>
              <w:t>1、宜在春梢老熟后使用，不可过早使用；树势较弱时，不建议使用本品。2、在雨前、露水未干时不宜施药，如果药后2小时内下雨，需重新喷施。3、喷洒本品时单独使用，不与其他叶面肥、植物生长调节等，随意混配使用，不可私自混配使用。4、请按推荐的稀释倍数使用，浓度过高或过低、喷雾不均匀或重复喷施，都会影响使用效果和安全性；配制药液时，计量一定要准确，应充分溶解并搅拌均匀。5、施药时远离家蚕养殖区或在桑园最外围设置隔离带，降低施药时对桑树种植区的影响，尽量避免采摘喷施农药地区附近的桑叶用于家蚕的饲养。远离水产养殖区施药，禁止在河塘等水体中清洗施药器具。洗涤水不可随意乱倒，以免污染环境。6、施药期间应穿戴长衣、长裤、帽子、口罩、手套等防护措施，避免吸入或皮肤触及药液；施药期间不可吃东西、喝水和吸烟等；施药后应及时洗手和洗脸等。7、孕妇及哺乳期妇女避免接触本品。8、用过的包装物及未用完的药液不能随意丢弃，也不能做他用，应交当地农业部门或环保部门指定的单位进行回收处理。</w:t>
            </w:r>
          </w:p>
        </w:tc>
      </w:tr>
      <w:tr w14:paraId="2A6279CC">
        <w:tblPrEx>
          <w:tblCellMar>
            <w:top w:w="0" w:type="dxa"/>
            <w:left w:w="0" w:type="dxa"/>
            <w:bottom w:w="0" w:type="dxa"/>
            <w:right w:w="0" w:type="dxa"/>
          </w:tblCellMar>
        </w:tblPrEx>
        <w:trPr>
          <w:wBefore w:w="0" w:type="auto"/>
          <w:tblCellSpacing w:w="0" w:type="dxa"/>
        </w:trPr>
        <w:tc>
          <w:tcPr>
            <w:tcW w:w="0" w:type="auto"/>
            <w:noWrap w:val="0"/>
            <w:vAlign w:val="center"/>
          </w:tcPr>
          <w:p w14:paraId="0CCC1178">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1、皮肤接触：脱去污染的衣物，用软布去除沾染农药，立即用大量清水冲洗。2、眼睛溅入：立即用流动清水冲洗不少于15分钟。3、吸入：立即离开施药现场，转移到空气清新处。4、误食：立即停止服用，用清水充分漱口后，立即携带农药标签到医院就诊。在医生的指导下需作催吐处理，无特效解毒剂，进行对症治疗。中毒急救电话：中国预防医学科学院中毒控制中心24小时服务电话:010-83132345。</w:t>
            </w:r>
          </w:p>
        </w:tc>
      </w:tr>
      <w:tr w14:paraId="0B9BD49B">
        <w:tblPrEx>
          <w:tblCellMar>
            <w:top w:w="0" w:type="dxa"/>
            <w:left w:w="0" w:type="dxa"/>
            <w:bottom w:w="0" w:type="dxa"/>
            <w:right w:w="0" w:type="dxa"/>
          </w:tblCellMar>
        </w:tblPrEx>
        <w:trPr>
          <w:wBefore w:w="0" w:type="auto"/>
          <w:tblCellSpacing w:w="0" w:type="dxa"/>
        </w:trPr>
        <w:tc>
          <w:tcPr>
            <w:tcW w:w="0" w:type="auto"/>
            <w:noWrap w:val="0"/>
            <w:vAlign w:val="center"/>
          </w:tcPr>
          <w:p w14:paraId="4121F756">
            <w:r>
              <w:rPr>
                <w:rStyle w:val="10"/>
                <w:rFonts w:hint="eastAsia"/>
              </w:rPr>
              <w:t>储存和运输方法：</w:t>
            </w:r>
            <w:r>
              <w:rPr>
                <w:rFonts w:hint="eastAsia"/>
              </w:rPr>
              <w:br w:type="textWrapping"/>
            </w:r>
            <w:r>
              <w:rPr>
                <w:rStyle w:val="11"/>
                <w:rFonts w:hint="eastAsia"/>
              </w:rPr>
              <w:t>1、本品应贮存在阴凉、干燥、通风处，严防受潮或雨淋，远离火源或热源。 2、置于儿童、无关人员触及不到之处，并加锁保存。勿与食品、饮料、粮食、饲料等其他商品同贮同运。</w:t>
            </w:r>
          </w:p>
        </w:tc>
      </w:tr>
      <w:tr w14:paraId="28C13964">
        <w:tblPrEx>
          <w:tblCellMar>
            <w:top w:w="0" w:type="dxa"/>
            <w:left w:w="0" w:type="dxa"/>
            <w:bottom w:w="0" w:type="dxa"/>
            <w:right w:w="0" w:type="dxa"/>
          </w:tblCellMar>
        </w:tblPrEx>
        <w:trPr>
          <w:wBefore w:w="0" w:type="auto"/>
          <w:tblCellSpacing w:w="0" w:type="dxa"/>
        </w:trPr>
        <w:tc>
          <w:tcPr>
            <w:tcW w:w="0" w:type="auto"/>
            <w:noWrap w:val="0"/>
            <w:vAlign w:val="center"/>
          </w:tcPr>
          <w:p w14:paraId="5B6F4EC8">
            <w:r>
              <w:rPr>
                <w:rStyle w:val="10"/>
                <w:rFonts w:hint="eastAsia"/>
              </w:rPr>
              <w:t>质量保证期：</w:t>
            </w:r>
            <w:r>
              <w:rPr>
                <w:rStyle w:val="11"/>
                <w:rFonts w:hint="eastAsia"/>
              </w:rPr>
              <w:t>2年</w:t>
            </w:r>
          </w:p>
        </w:tc>
      </w:tr>
      <w:tr w14:paraId="57A98B04">
        <w:tblPrEx>
          <w:tblCellMar>
            <w:top w:w="0" w:type="dxa"/>
            <w:left w:w="0" w:type="dxa"/>
            <w:bottom w:w="0" w:type="dxa"/>
            <w:right w:w="0" w:type="dxa"/>
          </w:tblCellMar>
        </w:tblPrEx>
        <w:trPr>
          <w:wBefore w:w="0" w:type="auto"/>
          <w:tblCellSpacing w:w="0" w:type="dxa"/>
        </w:trPr>
        <w:tc>
          <w:tcPr>
            <w:tcW w:w="0" w:type="auto"/>
            <w:noWrap w:val="0"/>
            <w:vAlign w:val="center"/>
          </w:tcPr>
          <w:p w14:paraId="5766CD3E">
            <w:r>
              <w:rPr>
                <w:rStyle w:val="10"/>
                <w:rFonts w:hint="eastAsia"/>
              </w:rPr>
              <w:t>备注：</w:t>
            </w:r>
          </w:p>
        </w:tc>
      </w:tr>
    </w:tbl>
    <w:p w14:paraId="27D1505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428210">
        <w:tblPrEx>
          <w:tblCellMar>
            <w:top w:w="0" w:type="dxa"/>
            <w:left w:w="0" w:type="dxa"/>
            <w:bottom w:w="0" w:type="dxa"/>
            <w:right w:w="0" w:type="dxa"/>
          </w:tblCellMar>
        </w:tblPrEx>
        <w:trPr>
          <w:wBefore w:w="0" w:type="auto"/>
          <w:tblCellSpacing w:w="0" w:type="dxa"/>
        </w:trPr>
        <w:tc>
          <w:tcPr>
            <w:tcW w:w="0" w:type="auto"/>
            <w:noWrap w:val="0"/>
            <w:vAlign w:val="center"/>
          </w:tcPr>
          <w:p w14:paraId="035C3488">
            <w:r>
              <w:rPr>
                <w:rStyle w:val="10"/>
                <w:rFonts w:hint="eastAsia"/>
              </w:rPr>
              <w:t>登记证号：</w:t>
            </w:r>
            <w:r>
              <w:rPr>
                <w:rFonts w:hint="eastAsia"/>
              </w:rPr>
              <w:t>PD20212407</w:t>
            </w:r>
          </w:p>
        </w:tc>
      </w:tr>
      <w:tr w14:paraId="1E76ABBB">
        <w:tblPrEx>
          <w:tblCellMar>
            <w:top w:w="0" w:type="dxa"/>
            <w:left w:w="0" w:type="dxa"/>
            <w:bottom w:w="0" w:type="dxa"/>
            <w:right w:w="0" w:type="dxa"/>
          </w:tblCellMar>
        </w:tblPrEx>
        <w:trPr>
          <w:wBefore w:w="0" w:type="auto"/>
          <w:tblCellSpacing w:w="0" w:type="dxa"/>
        </w:trPr>
        <w:tc>
          <w:tcPr>
            <w:tcW w:w="0" w:type="auto"/>
            <w:noWrap w:val="0"/>
            <w:vAlign w:val="center"/>
          </w:tcPr>
          <w:p w14:paraId="26C1BE74">
            <w:r>
              <w:rPr>
                <w:rStyle w:val="10"/>
                <w:rFonts w:hint="eastAsia"/>
              </w:rPr>
              <w:t>登记证持有人：</w:t>
            </w:r>
            <w:r>
              <w:rPr>
                <w:rFonts w:hint="eastAsia"/>
              </w:rPr>
              <w:t>菏泽龙歌植保技术有限公司</w:t>
            </w:r>
          </w:p>
        </w:tc>
      </w:tr>
      <w:tr w14:paraId="74DE9DF1">
        <w:tblPrEx>
          <w:tblCellMar>
            <w:top w:w="0" w:type="dxa"/>
            <w:left w:w="0" w:type="dxa"/>
            <w:bottom w:w="0" w:type="dxa"/>
            <w:right w:w="0" w:type="dxa"/>
          </w:tblCellMar>
        </w:tblPrEx>
        <w:trPr>
          <w:wBefore w:w="0" w:type="auto"/>
          <w:tblCellSpacing w:w="0" w:type="dxa"/>
        </w:trPr>
        <w:tc>
          <w:tcPr>
            <w:tcW w:w="0" w:type="auto"/>
            <w:noWrap w:val="0"/>
            <w:vAlign w:val="center"/>
          </w:tcPr>
          <w:p w14:paraId="7CF29EAD">
            <w:r>
              <w:rPr>
                <w:rStyle w:val="10"/>
                <w:rFonts w:hint="eastAsia"/>
              </w:rPr>
              <w:t>农药名称：</w:t>
            </w:r>
            <w:r>
              <w:rPr>
                <w:rFonts w:hint="eastAsia"/>
              </w:rPr>
              <w:t>烯啶·呋虫胺</w:t>
            </w:r>
          </w:p>
        </w:tc>
      </w:tr>
      <w:tr w14:paraId="0D0C0F74">
        <w:tblPrEx>
          <w:tblCellMar>
            <w:top w:w="0" w:type="dxa"/>
            <w:left w:w="0" w:type="dxa"/>
            <w:bottom w:w="0" w:type="dxa"/>
            <w:right w:w="0" w:type="dxa"/>
          </w:tblCellMar>
        </w:tblPrEx>
        <w:trPr>
          <w:wBefore w:w="0" w:type="auto"/>
          <w:tblCellSpacing w:w="0" w:type="dxa"/>
        </w:trPr>
        <w:tc>
          <w:tcPr>
            <w:tcW w:w="0" w:type="auto"/>
            <w:noWrap w:val="0"/>
            <w:vAlign w:val="center"/>
          </w:tcPr>
          <w:p w14:paraId="797017CE">
            <w:r>
              <w:rPr>
                <w:rStyle w:val="10"/>
                <w:rFonts w:hint="eastAsia"/>
              </w:rPr>
              <w:t>剂型：</w:t>
            </w:r>
            <w:r>
              <w:rPr>
                <w:rFonts w:hint="eastAsia"/>
              </w:rPr>
              <w:t>可溶粒剂</w:t>
            </w:r>
          </w:p>
        </w:tc>
      </w:tr>
      <w:tr w14:paraId="119C584D">
        <w:tblPrEx>
          <w:tblCellMar>
            <w:top w:w="0" w:type="dxa"/>
            <w:left w:w="0" w:type="dxa"/>
            <w:bottom w:w="0" w:type="dxa"/>
            <w:right w:w="0" w:type="dxa"/>
          </w:tblCellMar>
        </w:tblPrEx>
        <w:trPr>
          <w:wBefore w:w="0" w:type="auto"/>
          <w:tblCellSpacing w:w="0" w:type="dxa"/>
        </w:trPr>
        <w:tc>
          <w:tcPr>
            <w:tcW w:w="0" w:type="auto"/>
            <w:noWrap w:val="0"/>
            <w:vAlign w:val="center"/>
          </w:tcPr>
          <w:p w14:paraId="3CE07E46">
            <w:r>
              <w:rPr>
                <w:rStyle w:val="10"/>
                <w:rFonts w:hint="eastAsia"/>
              </w:rPr>
              <w:t>毒性及其标识：</w:t>
            </w:r>
            <w:r>
              <w:rPr>
                <w:rFonts w:hint="eastAsia"/>
              </w:rPr>
              <w:t xml:space="preserve"> </w:t>
            </w:r>
            <w:r>
              <w:rPr>
                <w:lang/>
              </w:rPr>
              <w:drawing>
                <wp:inline distT="0" distB="0" distL="114300" distR="114300">
                  <wp:extent cx="476250" cy="323850"/>
                  <wp:effectExtent l="0" t="0" r="0" b="0"/>
                  <wp:docPr id="405" name="图片 4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04D158">
        <w:tblPrEx>
          <w:tblCellMar>
            <w:top w:w="0" w:type="dxa"/>
            <w:left w:w="0" w:type="dxa"/>
            <w:bottom w:w="0" w:type="dxa"/>
            <w:right w:w="0" w:type="dxa"/>
          </w:tblCellMar>
        </w:tblPrEx>
        <w:trPr>
          <w:wBefore w:w="0" w:type="auto"/>
          <w:tblCellSpacing w:w="0" w:type="dxa"/>
        </w:trPr>
        <w:tc>
          <w:tcPr>
            <w:tcW w:w="0" w:type="auto"/>
            <w:noWrap w:val="0"/>
            <w:vAlign w:val="center"/>
          </w:tcPr>
          <w:p w14:paraId="16A6994D">
            <w:r>
              <w:rPr>
                <w:rStyle w:val="10"/>
                <w:rFonts w:hint="eastAsia"/>
              </w:rPr>
              <w:t>总有效成分含量：</w:t>
            </w:r>
            <w:r>
              <w:rPr>
                <w:rFonts w:hint="eastAsia"/>
              </w:rPr>
              <w:t>40%</w:t>
            </w:r>
          </w:p>
        </w:tc>
      </w:tr>
      <w:tr w14:paraId="634A0972">
        <w:tblPrEx>
          <w:tblCellMar>
            <w:top w:w="0" w:type="dxa"/>
            <w:left w:w="0" w:type="dxa"/>
            <w:bottom w:w="0" w:type="dxa"/>
            <w:right w:w="0" w:type="dxa"/>
          </w:tblCellMar>
        </w:tblPrEx>
        <w:trPr>
          <w:wBefore w:w="0" w:type="auto"/>
          <w:tblCellSpacing w:w="0" w:type="dxa"/>
        </w:trPr>
        <w:tc>
          <w:tcPr>
            <w:tcW w:w="0" w:type="auto"/>
            <w:noWrap w:val="0"/>
            <w:vAlign w:val="center"/>
          </w:tcPr>
          <w:p w14:paraId="5CF9A217">
            <w:r>
              <w:rPr>
                <w:rFonts w:hint="eastAsia"/>
              </w:rPr>
              <w:t xml:space="preserve">有效成分及其含量： </w:t>
            </w:r>
          </w:p>
          <w:p w14:paraId="59B2E620">
            <w:r>
              <w:rPr>
                <w:rFonts w:hint="eastAsia"/>
              </w:rPr>
              <w:t xml:space="preserve">    呋虫胺20%    烯啶虫胺20%    </w:t>
            </w:r>
          </w:p>
        </w:tc>
      </w:tr>
      <w:tr w14:paraId="023165FF">
        <w:tblPrEx>
          <w:tblCellMar>
            <w:top w:w="0" w:type="dxa"/>
            <w:left w:w="0" w:type="dxa"/>
            <w:bottom w:w="0" w:type="dxa"/>
            <w:right w:w="0" w:type="dxa"/>
          </w:tblCellMar>
        </w:tblPrEx>
        <w:trPr>
          <w:wBefore w:w="0" w:type="auto"/>
          <w:tblCellSpacing w:w="0" w:type="dxa"/>
        </w:trPr>
        <w:tc>
          <w:tcPr>
            <w:tcW w:w="0" w:type="auto"/>
            <w:noWrap w:val="0"/>
            <w:vAlign w:val="center"/>
          </w:tcPr>
          <w:p w14:paraId="7380B3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389F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71D6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7FF50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99739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00808D">
                  <w:r>
                    <w:rPr>
                      <w:rStyle w:val="11"/>
                      <w:rFonts w:hint="eastAsia"/>
                    </w:rPr>
                    <w:t>施用方式</w:t>
                  </w:r>
                </w:p>
              </w:tc>
            </w:tr>
            <w:tr w14:paraId="024B04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45466C">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34E37E">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1D45F3">
                  <w:r>
                    <w:rPr>
                      <w:rStyle w:val="11"/>
                      <w:rFonts w:hint="eastAsia"/>
                    </w:rPr>
                    <w:t>15-20克/亩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28A83D">
                  <w:r>
                    <w:rPr>
                      <w:rStyle w:val="11"/>
                      <w:rFonts w:hint="eastAsia"/>
                    </w:rPr>
                    <w:t>喷雾</w:t>
                  </w:r>
                </w:p>
              </w:tc>
            </w:tr>
          </w:tbl>
          <w:p w14:paraId="220D4B97">
            <w:pPr>
              <w:rPr>
                <w:rFonts w:ascii="Times New Roman" w:hAnsi="Times New Roman" w:cs="Times New Roman"/>
                <w:sz w:val="20"/>
                <w:szCs w:val="20"/>
              </w:rPr>
            </w:pPr>
          </w:p>
        </w:tc>
      </w:tr>
      <w:tr w14:paraId="0B2CF8AF">
        <w:tblPrEx>
          <w:tblCellMar>
            <w:top w:w="0" w:type="dxa"/>
            <w:left w:w="0" w:type="dxa"/>
            <w:bottom w:w="0" w:type="dxa"/>
            <w:right w:w="0" w:type="dxa"/>
          </w:tblCellMar>
        </w:tblPrEx>
        <w:trPr>
          <w:wBefore w:w="0" w:type="auto"/>
          <w:tblCellSpacing w:w="0" w:type="dxa"/>
        </w:trPr>
        <w:tc>
          <w:tcPr>
            <w:tcW w:w="0" w:type="auto"/>
            <w:noWrap w:val="0"/>
            <w:vAlign w:val="center"/>
          </w:tcPr>
          <w:p w14:paraId="2F8A75B6">
            <w:r>
              <w:rPr>
                <w:rStyle w:val="10"/>
                <w:rFonts w:hint="eastAsia"/>
              </w:rPr>
              <w:t>使用技术要求:</w:t>
            </w:r>
            <w:r>
              <w:rPr>
                <w:rFonts w:hint="eastAsia"/>
              </w:rPr>
              <w:br w:type="textWrapping"/>
            </w:r>
            <w:r>
              <w:rPr>
                <w:rStyle w:val="11"/>
                <w:rFonts w:hint="eastAsia"/>
              </w:rPr>
              <w:t>1. 在水稻飞虱低龄幼虫初发盛期喷雾施药。施药务必均匀周到。 2. 大风天或预计1小时内降雨，请勿施药。 3. 在水稻上安全间隔期为28天，每季作物最多用药1次。</w:t>
            </w:r>
          </w:p>
        </w:tc>
      </w:tr>
      <w:tr w14:paraId="785843FC">
        <w:tblPrEx>
          <w:tblCellMar>
            <w:top w:w="0" w:type="dxa"/>
            <w:left w:w="0" w:type="dxa"/>
            <w:bottom w:w="0" w:type="dxa"/>
            <w:right w:w="0" w:type="dxa"/>
          </w:tblCellMar>
        </w:tblPrEx>
        <w:trPr>
          <w:wBefore w:w="0" w:type="auto"/>
          <w:tblCellSpacing w:w="0" w:type="dxa"/>
        </w:trPr>
        <w:tc>
          <w:tcPr>
            <w:tcW w:w="0" w:type="auto"/>
            <w:noWrap w:val="0"/>
            <w:vAlign w:val="center"/>
          </w:tcPr>
          <w:p w14:paraId="580A3010">
            <w:r>
              <w:rPr>
                <w:rStyle w:val="10"/>
                <w:rFonts w:hint="eastAsia"/>
              </w:rPr>
              <w:t>产品性能:</w:t>
            </w:r>
            <w:r>
              <w:rPr>
                <w:rFonts w:hint="eastAsia"/>
              </w:rPr>
              <w:br w:type="textWrapping"/>
            </w:r>
            <w:r>
              <w:rPr>
                <w:rStyle w:val="11"/>
                <w:rFonts w:hint="eastAsia"/>
              </w:rPr>
              <w:t>本品为烟碱乙酰胆碱受体的兴奋剂，影响昆虫中枢神经系统的突触，可通过脊柱神经传递的内吸性杀虫剂，具有触杀和胃毒作用，可以快速被植物吸收并向顶传导，可用于防治水稻飞虱。</w:t>
            </w:r>
          </w:p>
        </w:tc>
      </w:tr>
      <w:tr w14:paraId="0406E7C3">
        <w:tblPrEx>
          <w:tblCellMar>
            <w:top w:w="0" w:type="dxa"/>
            <w:left w:w="0" w:type="dxa"/>
            <w:bottom w:w="0" w:type="dxa"/>
            <w:right w:w="0" w:type="dxa"/>
          </w:tblCellMar>
        </w:tblPrEx>
        <w:trPr>
          <w:wBefore w:w="0" w:type="auto"/>
          <w:tblCellSpacing w:w="0" w:type="dxa"/>
        </w:trPr>
        <w:tc>
          <w:tcPr>
            <w:tcW w:w="0" w:type="auto"/>
            <w:noWrap w:val="0"/>
            <w:vAlign w:val="center"/>
          </w:tcPr>
          <w:p w14:paraId="32AEC0A3">
            <w:r>
              <w:rPr>
                <w:rStyle w:val="10"/>
                <w:rFonts w:hint="eastAsia"/>
              </w:rPr>
              <w:t>注意事项：</w:t>
            </w:r>
            <w:r>
              <w:rPr>
                <w:rFonts w:hint="eastAsia"/>
              </w:rPr>
              <w:br w:type="textWrapping"/>
            </w:r>
            <w:r>
              <w:rPr>
                <w:rStyle w:val="11"/>
                <w:rFonts w:hint="eastAsia"/>
              </w:rPr>
              <w:t>1. 严格按照农药安全使用规则使用本品，做好安全防护。 2. 本品不可与呈碱性的农药等物质混合使用。 3. 建议与其他作用机制不同的杀虫剂轮换使用，以延缓抗性产生。 4. 本品对蜜蜂、鱼类等水生生物和家蚕有毒，（周围）开花植物花期禁用，施药期间应密切关注对附近蜂群的影响； 桑园及蚕室附近禁用； 赤眼蜂等天敌放飞区域禁用。 5. 防治药液污染水源地。水产养殖区、河塘等水体附近禁用，禁止在河塘等水域清洗施药器具。鱼或虾蟹套养稻田禁用，施药后的田水不得直接排入水体 6. 本品对眼睛有刺激性，使用时避免接触眼睛，穿戴长衣、长裤、帽子、口罩、手套等防护措施。施药期间不可吃东西和饮水。施药后应及时洗手和洗脸。 7. 孕妇及哺乳期妇女禁止接触。 8. 用过的容器应妥善处理，不可做他用，也不可随意丢弃。</w:t>
            </w:r>
          </w:p>
        </w:tc>
      </w:tr>
      <w:tr w14:paraId="3225AED1">
        <w:tblPrEx>
          <w:tblCellMar>
            <w:top w:w="0" w:type="dxa"/>
            <w:left w:w="0" w:type="dxa"/>
            <w:bottom w:w="0" w:type="dxa"/>
            <w:right w:w="0" w:type="dxa"/>
          </w:tblCellMar>
        </w:tblPrEx>
        <w:trPr>
          <w:wBefore w:w="0" w:type="auto"/>
          <w:tblCellSpacing w:w="0" w:type="dxa"/>
        </w:trPr>
        <w:tc>
          <w:tcPr>
            <w:tcW w:w="0" w:type="auto"/>
            <w:noWrap w:val="0"/>
            <w:vAlign w:val="center"/>
          </w:tcPr>
          <w:p w14:paraId="65DAB1E4">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 皮肤接触:脱去污染的衣物，立即用软布去除沾染农药，用大量清水和肥皂冲洗。 2. 眼睛溅入：立即用流动清水冲洗不少于15分钟。 3. 吸入：立即离开施药现场，转移到空气清新处。 4. 误食:立即停止服用，用清水充分漱口后，立即携带农药标签到医院就诊。 5. 无特效解毒剂，对症治疗。</w:t>
            </w:r>
          </w:p>
        </w:tc>
      </w:tr>
      <w:tr w14:paraId="2D4CD350">
        <w:tblPrEx>
          <w:tblCellMar>
            <w:top w:w="0" w:type="dxa"/>
            <w:left w:w="0" w:type="dxa"/>
            <w:bottom w:w="0" w:type="dxa"/>
            <w:right w:w="0" w:type="dxa"/>
          </w:tblCellMar>
        </w:tblPrEx>
        <w:trPr>
          <w:wBefore w:w="0" w:type="auto"/>
          <w:tblCellSpacing w:w="0" w:type="dxa"/>
        </w:trPr>
        <w:tc>
          <w:tcPr>
            <w:tcW w:w="0" w:type="auto"/>
            <w:noWrap w:val="0"/>
            <w:vAlign w:val="center"/>
          </w:tcPr>
          <w:p w14:paraId="4F6C649A">
            <w:r>
              <w:rPr>
                <w:rStyle w:val="10"/>
                <w:rFonts w:hint="eastAsia"/>
              </w:rPr>
              <w:t>储存和运输方法：</w:t>
            </w:r>
            <w:r>
              <w:rPr>
                <w:rFonts w:hint="eastAsia"/>
              </w:rPr>
              <w:br w:type="textWrapping"/>
            </w:r>
            <w:r>
              <w:rPr>
                <w:rStyle w:val="11"/>
                <w:rFonts w:hint="eastAsia"/>
              </w:rPr>
              <w:t>本品应贮存在干燥、阴凉、通风处，远离火源和热源。置于儿童、动物及无关人员触及不到之处，并加锁保存。勿与食品、饮料、饲料、粮食等同贮同运。</w:t>
            </w:r>
          </w:p>
        </w:tc>
      </w:tr>
      <w:tr w14:paraId="27FE6C38">
        <w:tblPrEx>
          <w:tblCellMar>
            <w:top w:w="0" w:type="dxa"/>
            <w:left w:w="0" w:type="dxa"/>
            <w:bottom w:w="0" w:type="dxa"/>
            <w:right w:w="0" w:type="dxa"/>
          </w:tblCellMar>
        </w:tblPrEx>
        <w:trPr>
          <w:wBefore w:w="0" w:type="auto"/>
          <w:tblCellSpacing w:w="0" w:type="dxa"/>
        </w:trPr>
        <w:tc>
          <w:tcPr>
            <w:tcW w:w="0" w:type="auto"/>
            <w:noWrap w:val="0"/>
            <w:vAlign w:val="center"/>
          </w:tcPr>
          <w:p w14:paraId="3471A4EC">
            <w:r>
              <w:rPr>
                <w:rStyle w:val="10"/>
                <w:rFonts w:hint="eastAsia"/>
              </w:rPr>
              <w:t>质量保证期：</w:t>
            </w:r>
            <w:r>
              <w:rPr>
                <w:rStyle w:val="11"/>
                <w:rFonts w:hint="eastAsia"/>
              </w:rPr>
              <w:t>2年</w:t>
            </w:r>
          </w:p>
        </w:tc>
      </w:tr>
      <w:tr w14:paraId="43CC745E">
        <w:tblPrEx>
          <w:tblCellMar>
            <w:top w:w="0" w:type="dxa"/>
            <w:left w:w="0" w:type="dxa"/>
            <w:bottom w:w="0" w:type="dxa"/>
            <w:right w:w="0" w:type="dxa"/>
          </w:tblCellMar>
        </w:tblPrEx>
        <w:trPr>
          <w:wBefore w:w="0" w:type="auto"/>
          <w:tblCellSpacing w:w="0" w:type="dxa"/>
        </w:trPr>
        <w:tc>
          <w:tcPr>
            <w:tcW w:w="0" w:type="auto"/>
            <w:noWrap w:val="0"/>
            <w:vAlign w:val="center"/>
          </w:tcPr>
          <w:p w14:paraId="222140CB">
            <w:r>
              <w:rPr>
                <w:rStyle w:val="10"/>
                <w:rFonts w:hint="eastAsia"/>
              </w:rPr>
              <w:t>备注：</w:t>
            </w:r>
          </w:p>
        </w:tc>
      </w:tr>
    </w:tbl>
    <w:p w14:paraId="67317C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0E4179">
        <w:tblPrEx>
          <w:tblCellMar>
            <w:top w:w="0" w:type="dxa"/>
            <w:left w:w="0" w:type="dxa"/>
            <w:bottom w:w="0" w:type="dxa"/>
            <w:right w:w="0" w:type="dxa"/>
          </w:tblCellMar>
        </w:tblPrEx>
        <w:trPr>
          <w:wBefore w:w="0" w:type="auto"/>
          <w:tblCellSpacing w:w="0" w:type="dxa"/>
        </w:trPr>
        <w:tc>
          <w:tcPr>
            <w:tcW w:w="0" w:type="auto"/>
            <w:noWrap w:val="0"/>
            <w:vAlign w:val="center"/>
          </w:tcPr>
          <w:p w14:paraId="5C0E4458">
            <w:r>
              <w:rPr>
                <w:rStyle w:val="10"/>
                <w:rFonts w:hint="eastAsia"/>
              </w:rPr>
              <w:t>登记证号：</w:t>
            </w:r>
            <w:r>
              <w:rPr>
                <w:rFonts w:hint="eastAsia"/>
              </w:rPr>
              <w:t>PD20212638</w:t>
            </w:r>
          </w:p>
        </w:tc>
      </w:tr>
      <w:tr w14:paraId="0EFC8124">
        <w:tblPrEx>
          <w:tblCellMar>
            <w:top w:w="0" w:type="dxa"/>
            <w:left w:w="0" w:type="dxa"/>
            <w:bottom w:w="0" w:type="dxa"/>
            <w:right w:w="0" w:type="dxa"/>
          </w:tblCellMar>
        </w:tblPrEx>
        <w:trPr>
          <w:wBefore w:w="0" w:type="auto"/>
          <w:tblCellSpacing w:w="0" w:type="dxa"/>
        </w:trPr>
        <w:tc>
          <w:tcPr>
            <w:tcW w:w="0" w:type="auto"/>
            <w:noWrap w:val="0"/>
            <w:vAlign w:val="center"/>
          </w:tcPr>
          <w:p w14:paraId="54DDBFB1">
            <w:r>
              <w:rPr>
                <w:rStyle w:val="10"/>
                <w:rFonts w:hint="eastAsia"/>
              </w:rPr>
              <w:t>登记证持有人：</w:t>
            </w:r>
            <w:r>
              <w:rPr>
                <w:rFonts w:hint="eastAsia"/>
              </w:rPr>
              <w:t>河南远见农业科技有限公司</w:t>
            </w:r>
          </w:p>
        </w:tc>
      </w:tr>
      <w:tr w14:paraId="12C8DF6B">
        <w:tblPrEx>
          <w:tblCellMar>
            <w:top w:w="0" w:type="dxa"/>
            <w:left w:w="0" w:type="dxa"/>
            <w:bottom w:w="0" w:type="dxa"/>
            <w:right w:w="0" w:type="dxa"/>
          </w:tblCellMar>
        </w:tblPrEx>
        <w:trPr>
          <w:wBefore w:w="0" w:type="auto"/>
          <w:tblCellSpacing w:w="0" w:type="dxa"/>
        </w:trPr>
        <w:tc>
          <w:tcPr>
            <w:tcW w:w="0" w:type="auto"/>
            <w:noWrap w:val="0"/>
            <w:vAlign w:val="center"/>
          </w:tcPr>
          <w:p w14:paraId="686DFF14">
            <w:r>
              <w:rPr>
                <w:rStyle w:val="10"/>
                <w:rFonts w:hint="eastAsia"/>
              </w:rPr>
              <w:t>农药名称：</w:t>
            </w:r>
            <w:r>
              <w:rPr>
                <w:rFonts w:hint="eastAsia"/>
              </w:rPr>
              <w:t>五氟·丙·吡嘧</w:t>
            </w:r>
          </w:p>
        </w:tc>
      </w:tr>
      <w:tr w14:paraId="477E406C">
        <w:tblPrEx>
          <w:tblCellMar>
            <w:top w:w="0" w:type="dxa"/>
            <w:left w:w="0" w:type="dxa"/>
            <w:bottom w:w="0" w:type="dxa"/>
            <w:right w:w="0" w:type="dxa"/>
          </w:tblCellMar>
        </w:tblPrEx>
        <w:trPr>
          <w:wBefore w:w="0" w:type="auto"/>
          <w:tblCellSpacing w:w="0" w:type="dxa"/>
        </w:trPr>
        <w:tc>
          <w:tcPr>
            <w:tcW w:w="0" w:type="auto"/>
            <w:noWrap w:val="0"/>
            <w:vAlign w:val="center"/>
          </w:tcPr>
          <w:p w14:paraId="4423684A">
            <w:r>
              <w:rPr>
                <w:rStyle w:val="10"/>
                <w:rFonts w:hint="eastAsia"/>
              </w:rPr>
              <w:t>剂型：</w:t>
            </w:r>
            <w:r>
              <w:rPr>
                <w:rFonts w:hint="eastAsia"/>
              </w:rPr>
              <w:t>颗粒剂</w:t>
            </w:r>
          </w:p>
        </w:tc>
      </w:tr>
      <w:tr w14:paraId="653323A0">
        <w:tblPrEx>
          <w:tblCellMar>
            <w:top w:w="0" w:type="dxa"/>
            <w:left w:w="0" w:type="dxa"/>
            <w:bottom w:w="0" w:type="dxa"/>
            <w:right w:w="0" w:type="dxa"/>
          </w:tblCellMar>
        </w:tblPrEx>
        <w:trPr>
          <w:wBefore w:w="0" w:type="auto"/>
          <w:tblCellSpacing w:w="0" w:type="dxa"/>
        </w:trPr>
        <w:tc>
          <w:tcPr>
            <w:tcW w:w="0" w:type="auto"/>
            <w:noWrap w:val="0"/>
            <w:vAlign w:val="center"/>
          </w:tcPr>
          <w:p w14:paraId="04FF3025">
            <w:r>
              <w:rPr>
                <w:rStyle w:val="10"/>
                <w:rFonts w:hint="eastAsia"/>
              </w:rPr>
              <w:t>毒性及其标识：</w:t>
            </w:r>
            <w:r>
              <w:rPr>
                <w:rFonts w:hint="eastAsia"/>
              </w:rPr>
              <w:t xml:space="preserve"> 微毒 </w:t>
            </w:r>
          </w:p>
        </w:tc>
      </w:tr>
      <w:tr w14:paraId="4F660700">
        <w:tblPrEx>
          <w:tblCellMar>
            <w:top w:w="0" w:type="dxa"/>
            <w:left w:w="0" w:type="dxa"/>
            <w:bottom w:w="0" w:type="dxa"/>
            <w:right w:w="0" w:type="dxa"/>
          </w:tblCellMar>
        </w:tblPrEx>
        <w:trPr>
          <w:wBefore w:w="0" w:type="auto"/>
          <w:tblCellSpacing w:w="0" w:type="dxa"/>
        </w:trPr>
        <w:tc>
          <w:tcPr>
            <w:tcW w:w="0" w:type="auto"/>
            <w:noWrap w:val="0"/>
            <w:vAlign w:val="center"/>
          </w:tcPr>
          <w:p w14:paraId="3078B55A">
            <w:r>
              <w:rPr>
                <w:rStyle w:val="10"/>
                <w:rFonts w:hint="eastAsia"/>
              </w:rPr>
              <w:t>总有效成分含量：</w:t>
            </w:r>
            <w:r>
              <w:rPr>
                <w:rFonts w:hint="eastAsia"/>
              </w:rPr>
              <w:t>0.6%</w:t>
            </w:r>
          </w:p>
        </w:tc>
      </w:tr>
      <w:tr w14:paraId="4C5F0E33">
        <w:tblPrEx>
          <w:tblCellMar>
            <w:top w:w="0" w:type="dxa"/>
            <w:left w:w="0" w:type="dxa"/>
            <w:bottom w:w="0" w:type="dxa"/>
            <w:right w:w="0" w:type="dxa"/>
          </w:tblCellMar>
        </w:tblPrEx>
        <w:trPr>
          <w:wBefore w:w="0" w:type="auto"/>
          <w:tblCellSpacing w:w="0" w:type="dxa"/>
        </w:trPr>
        <w:tc>
          <w:tcPr>
            <w:tcW w:w="0" w:type="auto"/>
            <w:noWrap w:val="0"/>
            <w:vAlign w:val="center"/>
          </w:tcPr>
          <w:p w14:paraId="2C61892C">
            <w:r>
              <w:rPr>
                <w:rFonts w:hint="eastAsia"/>
              </w:rPr>
              <w:t xml:space="preserve">有效成分及其含量： </w:t>
            </w:r>
          </w:p>
          <w:p w14:paraId="7B277850">
            <w:r>
              <w:rPr>
                <w:rFonts w:hint="eastAsia"/>
              </w:rPr>
              <w:t xml:space="preserve">    五氟磺草胺0.04%    丙草胺0.54%    吡嘧磺隆0.02%    </w:t>
            </w:r>
          </w:p>
        </w:tc>
      </w:tr>
      <w:tr w14:paraId="4D1F3CBE">
        <w:tblPrEx>
          <w:tblCellMar>
            <w:top w:w="0" w:type="dxa"/>
            <w:left w:w="0" w:type="dxa"/>
            <w:bottom w:w="0" w:type="dxa"/>
            <w:right w:w="0" w:type="dxa"/>
          </w:tblCellMar>
        </w:tblPrEx>
        <w:trPr>
          <w:wBefore w:w="0" w:type="auto"/>
          <w:tblCellSpacing w:w="0" w:type="dxa"/>
        </w:trPr>
        <w:tc>
          <w:tcPr>
            <w:tcW w:w="0" w:type="auto"/>
            <w:noWrap w:val="0"/>
            <w:vAlign w:val="center"/>
          </w:tcPr>
          <w:p w14:paraId="05E1E24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103E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D8956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029F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35AC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F20C71">
                  <w:r>
                    <w:rPr>
                      <w:rStyle w:val="11"/>
                      <w:rFonts w:hint="eastAsia"/>
                    </w:rPr>
                    <w:t>施用方式</w:t>
                  </w:r>
                </w:p>
              </w:tc>
            </w:tr>
            <w:tr w14:paraId="5D2632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02646C">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13B80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70A013">
                  <w:r>
                    <w:rPr>
                      <w:rStyle w:val="11"/>
                      <w:rFonts w:hint="eastAsia"/>
                    </w:rPr>
                    <w:t>4-5千克/亩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DAE92B">
                  <w:r>
                    <w:rPr>
                      <w:rStyle w:val="11"/>
                      <w:rFonts w:hint="eastAsia"/>
                    </w:rPr>
                    <w:t>撒施</w:t>
                  </w:r>
                </w:p>
              </w:tc>
            </w:tr>
          </w:tbl>
          <w:p w14:paraId="62E7385C">
            <w:pPr>
              <w:rPr>
                <w:rFonts w:ascii="Times New Roman" w:hAnsi="Times New Roman" w:cs="Times New Roman"/>
                <w:sz w:val="20"/>
                <w:szCs w:val="20"/>
              </w:rPr>
            </w:pPr>
          </w:p>
        </w:tc>
      </w:tr>
      <w:tr w14:paraId="5D69C9EE">
        <w:tblPrEx>
          <w:tblCellMar>
            <w:top w:w="0" w:type="dxa"/>
            <w:left w:w="0" w:type="dxa"/>
            <w:bottom w:w="0" w:type="dxa"/>
            <w:right w:w="0" w:type="dxa"/>
          </w:tblCellMar>
        </w:tblPrEx>
        <w:trPr>
          <w:wBefore w:w="0" w:type="auto"/>
          <w:tblCellSpacing w:w="0" w:type="dxa"/>
        </w:trPr>
        <w:tc>
          <w:tcPr>
            <w:tcW w:w="0" w:type="auto"/>
            <w:noWrap w:val="0"/>
            <w:vAlign w:val="center"/>
          </w:tcPr>
          <w:p w14:paraId="28E53F3D">
            <w:r>
              <w:rPr>
                <w:rStyle w:val="10"/>
                <w:rFonts w:hint="eastAsia"/>
              </w:rPr>
              <w:t>使用技术要求:</w:t>
            </w:r>
            <w:r>
              <w:rPr>
                <w:rFonts w:hint="eastAsia"/>
              </w:rPr>
              <w:br w:type="textWrapping"/>
            </w:r>
            <w:r>
              <w:rPr>
                <w:rStyle w:val="11"/>
                <w:rFonts w:hint="eastAsia"/>
              </w:rPr>
              <w:t>1、本品在水稻移栽后5-7天，施药前田间保持浅水层3-5厘米，以试验剂量均匀撒施一次，施药后保水5-7天后常规田管。 2、每季作物施药1次。3、水层勿淹没水稻心叶避免药害。4、施药时防止撒施到邻近作物，以免产生药害。5、病苗田、弱苗田、盐碱地、漏水田等及遭受冻涝害等胁迫田块不宜使用，避免药害。</w:t>
            </w:r>
          </w:p>
        </w:tc>
      </w:tr>
      <w:tr w14:paraId="4DC6502A">
        <w:tblPrEx>
          <w:tblCellMar>
            <w:top w:w="0" w:type="dxa"/>
            <w:left w:w="0" w:type="dxa"/>
            <w:bottom w:w="0" w:type="dxa"/>
            <w:right w:w="0" w:type="dxa"/>
          </w:tblCellMar>
        </w:tblPrEx>
        <w:trPr>
          <w:wBefore w:w="0" w:type="auto"/>
          <w:tblCellSpacing w:w="0" w:type="dxa"/>
        </w:trPr>
        <w:tc>
          <w:tcPr>
            <w:tcW w:w="0" w:type="auto"/>
            <w:noWrap w:val="0"/>
            <w:vAlign w:val="center"/>
          </w:tcPr>
          <w:p w14:paraId="45019B54">
            <w:r>
              <w:rPr>
                <w:rStyle w:val="10"/>
                <w:rFonts w:hint="eastAsia"/>
              </w:rPr>
              <w:t>产品性能:</w:t>
            </w:r>
            <w:r>
              <w:rPr>
                <w:rFonts w:hint="eastAsia"/>
              </w:rPr>
              <w:br w:type="textWrapping"/>
            </w:r>
            <w:r>
              <w:rPr>
                <w:rStyle w:val="11"/>
                <w:rFonts w:hint="eastAsia"/>
              </w:rPr>
              <w:t>本品由五氟磺草胺、吡嘧磺隆、丙草胺三个有效成分复配而成，可有效防治水稻移栽田里的稗草、野慈姑、鸭舌草、异型莎草等一年生杂草。</w:t>
            </w:r>
          </w:p>
        </w:tc>
      </w:tr>
      <w:tr w14:paraId="6045833C">
        <w:tblPrEx>
          <w:tblCellMar>
            <w:top w:w="0" w:type="dxa"/>
            <w:left w:w="0" w:type="dxa"/>
            <w:bottom w:w="0" w:type="dxa"/>
            <w:right w:w="0" w:type="dxa"/>
          </w:tblCellMar>
        </w:tblPrEx>
        <w:trPr>
          <w:wBefore w:w="0" w:type="auto"/>
          <w:tblCellSpacing w:w="0" w:type="dxa"/>
        </w:trPr>
        <w:tc>
          <w:tcPr>
            <w:tcW w:w="0" w:type="auto"/>
            <w:noWrap w:val="0"/>
            <w:vAlign w:val="center"/>
          </w:tcPr>
          <w:p w14:paraId="2AB399EA">
            <w:r>
              <w:rPr>
                <w:rStyle w:val="10"/>
                <w:rFonts w:hint="eastAsia"/>
              </w:rPr>
              <w:t>注意事项：</w:t>
            </w:r>
            <w:r>
              <w:rPr>
                <w:rFonts w:hint="eastAsia"/>
              </w:rPr>
              <w:br w:type="textWrapping"/>
            </w:r>
            <w:r>
              <w:rPr>
                <w:rStyle w:val="11"/>
                <w:rFonts w:hint="eastAsia"/>
              </w:rPr>
              <w:t>1、推荐在稗草、稻稗3叶期前撒施，秧苗必须彻底缓苗后使用。2、水深不过稻心，若遇暴雨应及时排水，否则易产生药害。3、施药时应穿戴长衣、长裤、帽子、口罩、手套等防护措施。施药期间不可以吃东西、吸烟和饮水，施药后应及时洗手、洗脸并更换衣物。 4、本剂对鱼等水生生物有毒，远离水产养殖区、河塘等水体施药，特别是禁止在河塘清洗施药器械。鱼或虾蟹套养稻田禁用，施药后的田水不得直接排入水体。鸟类保护区附近禁用；播种后立即覆土。 5、避免孕妇及哺乳期的妇女接触。 6、用过的容器应妥善处理，不可做他用，也不可随意丢弃。</w:t>
            </w:r>
          </w:p>
        </w:tc>
      </w:tr>
      <w:tr w14:paraId="2604927F">
        <w:tblPrEx>
          <w:tblCellMar>
            <w:top w:w="0" w:type="dxa"/>
            <w:left w:w="0" w:type="dxa"/>
            <w:bottom w:w="0" w:type="dxa"/>
            <w:right w:w="0" w:type="dxa"/>
          </w:tblCellMar>
        </w:tblPrEx>
        <w:trPr>
          <w:wBefore w:w="0" w:type="auto"/>
          <w:tblCellSpacing w:w="0" w:type="dxa"/>
        </w:trPr>
        <w:tc>
          <w:tcPr>
            <w:tcW w:w="0" w:type="auto"/>
            <w:noWrap w:val="0"/>
            <w:vAlign w:val="center"/>
          </w:tcPr>
          <w:p w14:paraId="76E3DE5C">
            <w:r>
              <w:rPr>
                <w:rStyle w:val="10"/>
                <w:rFonts w:hint="eastAsia"/>
              </w:rPr>
              <w:t>中毒急救措施：</w:t>
            </w:r>
            <w:r>
              <w:rPr>
                <w:rFonts w:hint="eastAsia"/>
              </w:rPr>
              <w:br w:type="textWrapping"/>
            </w:r>
            <w:r>
              <w:rPr>
                <w:rStyle w:val="11"/>
                <w:rFonts w:hint="eastAsia"/>
              </w:rPr>
              <w:t>该产品对眼睛有刺激性，使用时避免接触眼睛。1.使用中或使用后若感觉不适，立即停止工作，采取急救措施，并携带标签送医就诊。2.皮肤接触：立即脱掉被污染的衣物，用肥皂和大量清水彻底清洗受污染的皮肤。3.眼睛溅药：立即将眼睑翻开，用清水冲洗至少15分钟，再请医生诊治。4.吸入：立即离开施药现场，转移到空气清新处。5：误服：立即停止服用，用清水充分漱口后立即携带农药标签到医院就诊。本品无特效解毒剂，对症治疗。</w:t>
            </w:r>
          </w:p>
        </w:tc>
      </w:tr>
      <w:tr w14:paraId="51A1C214">
        <w:tblPrEx>
          <w:tblCellMar>
            <w:top w:w="0" w:type="dxa"/>
            <w:left w:w="0" w:type="dxa"/>
            <w:bottom w:w="0" w:type="dxa"/>
            <w:right w:w="0" w:type="dxa"/>
          </w:tblCellMar>
        </w:tblPrEx>
        <w:trPr>
          <w:wBefore w:w="0" w:type="auto"/>
          <w:tblCellSpacing w:w="0" w:type="dxa"/>
        </w:trPr>
        <w:tc>
          <w:tcPr>
            <w:tcW w:w="0" w:type="auto"/>
            <w:noWrap w:val="0"/>
            <w:vAlign w:val="center"/>
          </w:tcPr>
          <w:p w14:paraId="3580F1B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本品应贮存在干燥、阴凉、通风、防雨处，远离火源或热源。置于儿童、无关人员触及不到之处，并加锁。勿与食品、饮料、粮食、种子、饲料等同贮同运。</w:t>
            </w:r>
          </w:p>
        </w:tc>
      </w:tr>
      <w:tr w14:paraId="1E93B99C">
        <w:tblPrEx>
          <w:tblCellMar>
            <w:top w:w="0" w:type="dxa"/>
            <w:left w:w="0" w:type="dxa"/>
            <w:bottom w:w="0" w:type="dxa"/>
            <w:right w:w="0" w:type="dxa"/>
          </w:tblCellMar>
        </w:tblPrEx>
        <w:trPr>
          <w:wBefore w:w="0" w:type="auto"/>
          <w:tblCellSpacing w:w="0" w:type="dxa"/>
        </w:trPr>
        <w:tc>
          <w:tcPr>
            <w:tcW w:w="0" w:type="auto"/>
            <w:noWrap w:val="0"/>
            <w:vAlign w:val="center"/>
          </w:tcPr>
          <w:p w14:paraId="449C9C48">
            <w:r>
              <w:rPr>
                <w:rStyle w:val="10"/>
                <w:rFonts w:hint="eastAsia"/>
              </w:rPr>
              <w:t>质量保证期：</w:t>
            </w:r>
            <w:r>
              <w:rPr>
                <w:rStyle w:val="11"/>
                <w:rFonts w:hint="eastAsia"/>
              </w:rPr>
              <w:t>2年</w:t>
            </w:r>
          </w:p>
        </w:tc>
      </w:tr>
      <w:tr w14:paraId="0846CE1A">
        <w:tblPrEx>
          <w:tblCellMar>
            <w:top w:w="0" w:type="dxa"/>
            <w:left w:w="0" w:type="dxa"/>
            <w:bottom w:w="0" w:type="dxa"/>
            <w:right w:w="0" w:type="dxa"/>
          </w:tblCellMar>
        </w:tblPrEx>
        <w:trPr>
          <w:wBefore w:w="0" w:type="auto"/>
          <w:tblCellSpacing w:w="0" w:type="dxa"/>
        </w:trPr>
        <w:tc>
          <w:tcPr>
            <w:tcW w:w="0" w:type="auto"/>
            <w:noWrap w:val="0"/>
            <w:vAlign w:val="center"/>
          </w:tcPr>
          <w:p w14:paraId="031FC709">
            <w:r>
              <w:rPr>
                <w:rStyle w:val="10"/>
                <w:rFonts w:hint="eastAsia"/>
              </w:rPr>
              <w:t>备注：</w:t>
            </w:r>
          </w:p>
        </w:tc>
      </w:tr>
    </w:tbl>
    <w:p w14:paraId="522D3C6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3C94A8">
        <w:tblPrEx>
          <w:tblCellMar>
            <w:top w:w="0" w:type="dxa"/>
            <w:left w:w="0" w:type="dxa"/>
            <w:bottom w:w="0" w:type="dxa"/>
            <w:right w:w="0" w:type="dxa"/>
          </w:tblCellMar>
        </w:tblPrEx>
        <w:trPr>
          <w:wBefore w:w="0" w:type="auto"/>
          <w:tblCellSpacing w:w="0" w:type="dxa"/>
        </w:trPr>
        <w:tc>
          <w:tcPr>
            <w:tcW w:w="0" w:type="auto"/>
            <w:noWrap w:val="0"/>
            <w:vAlign w:val="center"/>
          </w:tcPr>
          <w:p w14:paraId="774A2831">
            <w:r>
              <w:rPr>
                <w:rStyle w:val="10"/>
                <w:rFonts w:hint="eastAsia"/>
              </w:rPr>
              <w:t>登记证号：</w:t>
            </w:r>
            <w:r>
              <w:rPr>
                <w:rFonts w:hint="eastAsia"/>
              </w:rPr>
              <w:t>PD20212419</w:t>
            </w:r>
          </w:p>
        </w:tc>
      </w:tr>
      <w:tr w14:paraId="37978E1A">
        <w:tblPrEx>
          <w:tblCellMar>
            <w:top w:w="0" w:type="dxa"/>
            <w:left w:w="0" w:type="dxa"/>
            <w:bottom w:w="0" w:type="dxa"/>
            <w:right w:w="0" w:type="dxa"/>
          </w:tblCellMar>
        </w:tblPrEx>
        <w:trPr>
          <w:wBefore w:w="0" w:type="auto"/>
          <w:tblCellSpacing w:w="0" w:type="dxa"/>
        </w:trPr>
        <w:tc>
          <w:tcPr>
            <w:tcW w:w="0" w:type="auto"/>
            <w:noWrap w:val="0"/>
            <w:vAlign w:val="center"/>
          </w:tcPr>
          <w:p w14:paraId="4BF1D082">
            <w:r>
              <w:rPr>
                <w:rStyle w:val="10"/>
                <w:rFonts w:hint="eastAsia"/>
              </w:rPr>
              <w:t>登记证持有人：</w:t>
            </w:r>
            <w:r>
              <w:rPr>
                <w:rFonts w:hint="eastAsia"/>
              </w:rPr>
              <w:t>山东圣鹏科技股份有限公司</w:t>
            </w:r>
          </w:p>
        </w:tc>
      </w:tr>
      <w:tr w14:paraId="615BD971">
        <w:tblPrEx>
          <w:tblCellMar>
            <w:top w:w="0" w:type="dxa"/>
            <w:left w:w="0" w:type="dxa"/>
            <w:bottom w:w="0" w:type="dxa"/>
            <w:right w:w="0" w:type="dxa"/>
          </w:tblCellMar>
        </w:tblPrEx>
        <w:trPr>
          <w:wBefore w:w="0" w:type="auto"/>
          <w:tblCellSpacing w:w="0" w:type="dxa"/>
        </w:trPr>
        <w:tc>
          <w:tcPr>
            <w:tcW w:w="0" w:type="auto"/>
            <w:noWrap w:val="0"/>
            <w:vAlign w:val="center"/>
          </w:tcPr>
          <w:p w14:paraId="3F9B9C25">
            <w:r>
              <w:rPr>
                <w:rStyle w:val="10"/>
                <w:rFonts w:hint="eastAsia"/>
              </w:rPr>
              <w:t>农药名称：</w:t>
            </w:r>
            <w:r>
              <w:rPr>
                <w:rFonts w:hint="eastAsia"/>
              </w:rPr>
              <w:t>甲基嘧啶磷</w:t>
            </w:r>
          </w:p>
        </w:tc>
      </w:tr>
      <w:tr w14:paraId="2FCE8338">
        <w:tblPrEx>
          <w:tblCellMar>
            <w:top w:w="0" w:type="dxa"/>
            <w:left w:w="0" w:type="dxa"/>
            <w:bottom w:w="0" w:type="dxa"/>
            <w:right w:w="0" w:type="dxa"/>
          </w:tblCellMar>
        </w:tblPrEx>
        <w:trPr>
          <w:wBefore w:w="0" w:type="auto"/>
          <w:tblCellSpacing w:w="0" w:type="dxa"/>
        </w:trPr>
        <w:tc>
          <w:tcPr>
            <w:tcW w:w="0" w:type="auto"/>
            <w:noWrap w:val="0"/>
            <w:vAlign w:val="center"/>
          </w:tcPr>
          <w:p w14:paraId="477076CD">
            <w:r>
              <w:rPr>
                <w:rStyle w:val="10"/>
                <w:rFonts w:hint="eastAsia"/>
              </w:rPr>
              <w:t>剂型：</w:t>
            </w:r>
            <w:r>
              <w:rPr>
                <w:rFonts w:hint="eastAsia"/>
              </w:rPr>
              <w:t>乳油</w:t>
            </w:r>
          </w:p>
        </w:tc>
      </w:tr>
      <w:tr w14:paraId="294DB2CE">
        <w:tblPrEx>
          <w:tblCellMar>
            <w:top w:w="0" w:type="dxa"/>
            <w:left w:w="0" w:type="dxa"/>
            <w:bottom w:w="0" w:type="dxa"/>
            <w:right w:w="0" w:type="dxa"/>
          </w:tblCellMar>
        </w:tblPrEx>
        <w:trPr>
          <w:wBefore w:w="0" w:type="auto"/>
          <w:tblCellSpacing w:w="0" w:type="dxa"/>
        </w:trPr>
        <w:tc>
          <w:tcPr>
            <w:tcW w:w="0" w:type="auto"/>
            <w:noWrap w:val="0"/>
            <w:vAlign w:val="center"/>
          </w:tcPr>
          <w:p w14:paraId="2B920428">
            <w:r>
              <w:rPr>
                <w:rStyle w:val="10"/>
                <w:rFonts w:hint="eastAsia"/>
              </w:rPr>
              <w:t>毒性及其标识：</w:t>
            </w:r>
            <w:r>
              <w:rPr>
                <w:rFonts w:hint="eastAsia"/>
              </w:rPr>
              <w:t xml:space="preserve"> </w:t>
            </w:r>
            <w:r>
              <w:rPr>
                <w:lang/>
              </w:rPr>
              <w:drawing>
                <wp:inline distT="0" distB="0" distL="114300" distR="114300">
                  <wp:extent cx="476250" cy="323850"/>
                  <wp:effectExtent l="0" t="0" r="0" b="0"/>
                  <wp:docPr id="406" name="图片 4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954CA9">
        <w:tblPrEx>
          <w:tblCellMar>
            <w:top w:w="0" w:type="dxa"/>
            <w:left w:w="0" w:type="dxa"/>
            <w:bottom w:w="0" w:type="dxa"/>
            <w:right w:w="0" w:type="dxa"/>
          </w:tblCellMar>
        </w:tblPrEx>
        <w:trPr>
          <w:wBefore w:w="0" w:type="auto"/>
          <w:tblCellSpacing w:w="0" w:type="dxa"/>
        </w:trPr>
        <w:tc>
          <w:tcPr>
            <w:tcW w:w="0" w:type="auto"/>
            <w:noWrap w:val="0"/>
            <w:vAlign w:val="center"/>
          </w:tcPr>
          <w:p w14:paraId="43782638">
            <w:r>
              <w:rPr>
                <w:rStyle w:val="10"/>
                <w:rFonts w:hint="eastAsia"/>
              </w:rPr>
              <w:t>总有效成分含量：</w:t>
            </w:r>
            <w:r>
              <w:rPr>
                <w:rFonts w:hint="eastAsia"/>
              </w:rPr>
              <w:t>55%</w:t>
            </w:r>
          </w:p>
        </w:tc>
      </w:tr>
      <w:tr w14:paraId="1E1A1813">
        <w:tblPrEx>
          <w:tblCellMar>
            <w:top w:w="0" w:type="dxa"/>
            <w:left w:w="0" w:type="dxa"/>
            <w:bottom w:w="0" w:type="dxa"/>
            <w:right w:w="0" w:type="dxa"/>
          </w:tblCellMar>
        </w:tblPrEx>
        <w:trPr>
          <w:wBefore w:w="0" w:type="auto"/>
          <w:tblCellSpacing w:w="0" w:type="dxa"/>
        </w:trPr>
        <w:tc>
          <w:tcPr>
            <w:tcW w:w="0" w:type="auto"/>
            <w:noWrap w:val="0"/>
            <w:vAlign w:val="center"/>
          </w:tcPr>
          <w:p w14:paraId="75A46159">
            <w:r>
              <w:rPr>
                <w:rFonts w:hint="eastAsia"/>
              </w:rPr>
              <w:t xml:space="preserve">有效成分及其含量： </w:t>
            </w:r>
          </w:p>
          <w:p w14:paraId="24B94C8B">
            <w:r>
              <w:rPr>
                <w:rFonts w:hint="eastAsia"/>
              </w:rPr>
              <w:t xml:space="preserve">    甲基嘧啶磷55%    </w:t>
            </w:r>
          </w:p>
        </w:tc>
      </w:tr>
      <w:tr w14:paraId="16F333F4">
        <w:tblPrEx>
          <w:tblCellMar>
            <w:top w:w="0" w:type="dxa"/>
            <w:left w:w="0" w:type="dxa"/>
            <w:bottom w:w="0" w:type="dxa"/>
            <w:right w:w="0" w:type="dxa"/>
          </w:tblCellMar>
        </w:tblPrEx>
        <w:trPr>
          <w:wBefore w:w="0" w:type="auto"/>
          <w:tblCellSpacing w:w="0" w:type="dxa"/>
        </w:trPr>
        <w:tc>
          <w:tcPr>
            <w:tcW w:w="0" w:type="auto"/>
            <w:noWrap w:val="0"/>
            <w:vAlign w:val="center"/>
          </w:tcPr>
          <w:p w14:paraId="5DB3257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B2A2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69CB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188B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8AC9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76FFCF">
                  <w:r>
                    <w:rPr>
                      <w:rStyle w:val="11"/>
                      <w:rFonts w:hint="eastAsia"/>
                    </w:rPr>
                    <w:t>施用方式</w:t>
                  </w:r>
                </w:p>
              </w:tc>
            </w:tr>
            <w:tr w14:paraId="42B861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BBBB2D">
                  <w:r>
                    <w:rPr>
                      <w:rStyle w:val="11"/>
                      <w:rFonts w:hint="eastAsia"/>
                    </w:rPr>
                    <w:t>小麦原粮</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C5F371">
                  <w:r>
                    <w:rPr>
                      <w:rStyle w:val="11"/>
                      <w:rFonts w:hint="eastAsia"/>
                    </w:rPr>
                    <w:t>储粮害虫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E6E0DB">
                  <w:r>
                    <w:rPr>
                      <w:rStyle w:val="11"/>
                      <w:rFonts w:hint="eastAsia"/>
                    </w:rPr>
                    <w:t>9-18毫升/千克原粮</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D84579">
                  <w:r>
                    <w:rPr>
                      <w:rStyle w:val="11"/>
                      <w:rFonts w:hint="eastAsia"/>
                    </w:rPr>
                    <w:t>拌粮</w:t>
                  </w:r>
                </w:p>
              </w:tc>
            </w:tr>
          </w:tbl>
          <w:p w14:paraId="77D8B004">
            <w:pPr>
              <w:rPr>
                <w:rFonts w:ascii="Times New Roman" w:hAnsi="Times New Roman" w:cs="Times New Roman"/>
                <w:sz w:val="20"/>
                <w:szCs w:val="20"/>
              </w:rPr>
            </w:pPr>
          </w:p>
        </w:tc>
      </w:tr>
      <w:tr w14:paraId="71211C32">
        <w:tblPrEx>
          <w:tblCellMar>
            <w:top w:w="0" w:type="dxa"/>
            <w:left w:w="0" w:type="dxa"/>
            <w:bottom w:w="0" w:type="dxa"/>
            <w:right w:w="0" w:type="dxa"/>
          </w:tblCellMar>
        </w:tblPrEx>
        <w:trPr>
          <w:wBefore w:w="0" w:type="auto"/>
          <w:tblCellSpacing w:w="0" w:type="dxa"/>
        </w:trPr>
        <w:tc>
          <w:tcPr>
            <w:tcW w:w="0" w:type="auto"/>
            <w:noWrap w:val="0"/>
            <w:vAlign w:val="center"/>
          </w:tcPr>
          <w:p w14:paraId="0E0AACE8">
            <w:r>
              <w:rPr>
                <w:rStyle w:val="10"/>
                <w:rFonts w:hint="eastAsia"/>
              </w:rPr>
              <w:t>使用技术要求:</w:t>
            </w:r>
            <w:r>
              <w:rPr>
                <w:rFonts w:hint="eastAsia"/>
              </w:rPr>
              <w:br w:type="textWrapping"/>
            </w:r>
            <w:r>
              <w:rPr>
                <w:rStyle w:val="11"/>
                <w:rFonts w:hint="eastAsia"/>
              </w:rPr>
              <w:t>使用场所:在原粮仓库内进行拌粮处理，使用推荐浓度处理仓库里的粮食，注意使药剂均匀接触原粮。</w:t>
            </w:r>
          </w:p>
        </w:tc>
      </w:tr>
      <w:tr w14:paraId="7F15157B">
        <w:tblPrEx>
          <w:tblCellMar>
            <w:top w:w="0" w:type="dxa"/>
            <w:left w:w="0" w:type="dxa"/>
            <w:bottom w:w="0" w:type="dxa"/>
            <w:right w:w="0" w:type="dxa"/>
          </w:tblCellMar>
        </w:tblPrEx>
        <w:trPr>
          <w:wBefore w:w="0" w:type="auto"/>
          <w:tblCellSpacing w:w="0" w:type="dxa"/>
        </w:trPr>
        <w:tc>
          <w:tcPr>
            <w:tcW w:w="0" w:type="auto"/>
            <w:noWrap w:val="0"/>
            <w:vAlign w:val="center"/>
          </w:tcPr>
          <w:p w14:paraId="24DB833C">
            <w:r>
              <w:rPr>
                <w:rStyle w:val="10"/>
                <w:rFonts w:hint="eastAsia"/>
              </w:rPr>
              <w:t>产品性能:</w:t>
            </w:r>
            <w:r>
              <w:rPr>
                <w:rFonts w:hint="eastAsia"/>
              </w:rPr>
              <w:br w:type="textWrapping"/>
            </w:r>
            <w:r>
              <w:rPr>
                <w:rStyle w:val="11"/>
                <w:rFonts w:hint="eastAsia"/>
              </w:rPr>
              <w:t>甲基嘧啶磷是有机磷杀虫剂，低毒。具有触杀、胃毒、熏蒸和一定的内吸作用，其作用机理为抑制乙酰胆碱酯酶。本品用于仓库内小麦原粮，对储粮害虫有防治效果。</w:t>
            </w:r>
          </w:p>
        </w:tc>
      </w:tr>
      <w:tr w14:paraId="610F7234">
        <w:tblPrEx>
          <w:tblCellMar>
            <w:top w:w="0" w:type="dxa"/>
            <w:left w:w="0" w:type="dxa"/>
            <w:bottom w:w="0" w:type="dxa"/>
            <w:right w:w="0" w:type="dxa"/>
          </w:tblCellMar>
        </w:tblPrEx>
        <w:trPr>
          <w:wBefore w:w="0" w:type="auto"/>
          <w:tblCellSpacing w:w="0" w:type="dxa"/>
        </w:trPr>
        <w:tc>
          <w:tcPr>
            <w:tcW w:w="0" w:type="auto"/>
            <w:noWrap w:val="0"/>
            <w:vAlign w:val="center"/>
          </w:tcPr>
          <w:p w14:paraId="7495CB21">
            <w:r>
              <w:rPr>
                <w:rStyle w:val="10"/>
                <w:rFonts w:hint="eastAsia"/>
              </w:rPr>
              <w:t>注意事项：</w:t>
            </w:r>
            <w:r>
              <w:rPr>
                <w:rFonts w:hint="eastAsia"/>
              </w:rPr>
              <w:br w:type="textWrapping"/>
            </w:r>
            <w:r>
              <w:rPr>
                <w:rStyle w:val="11"/>
                <w:rFonts w:hint="eastAsia"/>
              </w:rPr>
              <w:t>1. 在碱性介质中易分解，应避免与碱性药物混用。 2. 本品易燃，加水稀释后应一次用完，不能储存以防失效。应将本品存放在阴凉干燥处，远离火源。 3. 本品对眼睛有刺激性，使用时避免接触眼睛，穿戴长衣、长裤、帽子、口罩、手套等防护措施，操作过程中，不可吃东西和饮水。 4. 施用本品后应立即洗手和洗脸，以及皮肤暴露部位。 5. 该药有毒，孕妇及哺乳期妇女、过敏者禁用，使用中有任何不良反应请及时就医。 6. 禁止在河塘等水源内清洗施药器具。 7. 使用过的容器应妥善处理，不可做他用，也不可随意丢弃。8. 避免与氧化剂接触。</w:t>
            </w:r>
          </w:p>
        </w:tc>
      </w:tr>
      <w:tr w14:paraId="1EE6A09F">
        <w:tblPrEx>
          <w:tblCellMar>
            <w:top w:w="0" w:type="dxa"/>
            <w:left w:w="0" w:type="dxa"/>
            <w:bottom w:w="0" w:type="dxa"/>
            <w:right w:w="0" w:type="dxa"/>
          </w:tblCellMar>
        </w:tblPrEx>
        <w:trPr>
          <w:wBefore w:w="0" w:type="auto"/>
          <w:tblCellSpacing w:w="0" w:type="dxa"/>
        </w:trPr>
        <w:tc>
          <w:tcPr>
            <w:tcW w:w="0" w:type="auto"/>
            <w:noWrap w:val="0"/>
            <w:vAlign w:val="center"/>
          </w:tcPr>
          <w:p w14:paraId="318BF9D9">
            <w:r>
              <w:rPr>
                <w:rStyle w:val="10"/>
                <w:rFonts w:hint="eastAsia"/>
              </w:rPr>
              <w:t>中毒急救措施：</w:t>
            </w:r>
            <w:r>
              <w:rPr>
                <w:rFonts w:hint="eastAsia"/>
              </w:rPr>
              <w:br w:type="textWrapping"/>
            </w:r>
            <w:r>
              <w:rPr>
                <w:rStyle w:val="11"/>
                <w:rFonts w:hint="eastAsia"/>
              </w:rPr>
              <w:t>本品对眼睛有刺激性，若中毒，应将病人移至空气流通处，1. 用阿托品1～5mg皮下或静脉注射(按中毒轻重而定)；2. 用解磷定0.4－1.2g静脉注射(按中毒轻重而定)；3. 禁用吗啡、茶硷、吩噻嗪、利血平。4. 误服立即引吐、洗胃、导泻(清醒时才能引吐)。并立即携带此标签送医院诊治。不慎接触皮肤或溅入眼睛，应立即用大量清水冲洗至少15分钟。</w:t>
            </w:r>
          </w:p>
        </w:tc>
      </w:tr>
      <w:tr w14:paraId="0F3EB325">
        <w:tblPrEx>
          <w:tblCellMar>
            <w:top w:w="0" w:type="dxa"/>
            <w:left w:w="0" w:type="dxa"/>
            <w:bottom w:w="0" w:type="dxa"/>
            <w:right w:w="0" w:type="dxa"/>
          </w:tblCellMar>
        </w:tblPrEx>
        <w:trPr>
          <w:wBefore w:w="0" w:type="auto"/>
          <w:tblCellSpacing w:w="0" w:type="dxa"/>
        </w:trPr>
        <w:tc>
          <w:tcPr>
            <w:tcW w:w="0" w:type="auto"/>
            <w:noWrap w:val="0"/>
            <w:vAlign w:val="center"/>
          </w:tcPr>
          <w:p w14:paraId="33DB60BC">
            <w:r>
              <w:rPr>
                <w:rStyle w:val="10"/>
                <w:rFonts w:hint="eastAsia"/>
              </w:rPr>
              <w:t>储存和运输方法：</w:t>
            </w:r>
            <w:r>
              <w:rPr>
                <w:rFonts w:hint="eastAsia"/>
              </w:rPr>
              <w:br w:type="textWrapping"/>
            </w:r>
            <w:r>
              <w:rPr>
                <w:rStyle w:val="11"/>
                <w:rFonts w:hint="eastAsia"/>
              </w:rPr>
              <w:t>本品应贮存在干燥、阴凉、通风、防雨处，本品属易燃液体，远离火源或热源。置于儿童、无关人员触及不到之处，并加锁。勿与食品、饮料、种子、饲料等其他商品同贮同运。</w:t>
            </w:r>
          </w:p>
        </w:tc>
      </w:tr>
      <w:tr w14:paraId="616D55EE">
        <w:tblPrEx>
          <w:tblCellMar>
            <w:top w:w="0" w:type="dxa"/>
            <w:left w:w="0" w:type="dxa"/>
            <w:bottom w:w="0" w:type="dxa"/>
            <w:right w:w="0" w:type="dxa"/>
          </w:tblCellMar>
        </w:tblPrEx>
        <w:trPr>
          <w:wBefore w:w="0" w:type="auto"/>
          <w:tblCellSpacing w:w="0" w:type="dxa"/>
        </w:trPr>
        <w:tc>
          <w:tcPr>
            <w:tcW w:w="0" w:type="auto"/>
            <w:noWrap w:val="0"/>
            <w:vAlign w:val="center"/>
          </w:tcPr>
          <w:p w14:paraId="04A97B91">
            <w:r>
              <w:rPr>
                <w:rStyle w:val="10"/>
                <w:rFonts w:hint="eastAsia"/>
              </w:rPr>
              <w:t>质量保证期：</w:t>
            </w:r>
            <w:r>
              <w:rPr>
                <w:rStyle w:val="11"/>
                <w:rFonts w:hint="eastAsia"/>
              </w:rPr>
              <w:t>2年</w:t>
            </w:r>
          </w:p>
        </w:tc>
      </w:tr>
      <w:tr w14:paraId="24EE8F30">
        <w:tblPrEx>
          <w:tblCellMar>
            <w:top w:w="0" w:type="dxa"/>
            <w:left w:w="0" w:type="dxa"/>
            <w:bottom w:w="0" w:type="dxa"/>
            <w:right w:w="0" w:type="dxa"/>
          </w:tblCellMar>
        </w:tblPrEx>
        <w:trPr>
          <w:wBefore w:w="0" w:type="auto"/>
          <w:tblCellSpacing w:w="0" w:type="dxa"/>
        </w:trPr>
        <w:tc>
          <w:tcPr>
            <w:tcW w:w="0" w:type="auto"/>
            <w:noWrap w:val="0"/>
            <w:vAlign w:val="center"/>
          </w:tcPr>
          <w:p w14:paraId="4EC9EE7B">
            <w:r>
              <w:rPr>
                <w:rStyle w:val="10"/>
                <w:rFonts w:hint="eastAsia"/>
              </w:rPr>
              <w:t>备注：</w:t>
            </w:r>
          </w:p>
        </w:tc>
      </w:tr>
    </w:tbl>
    <w:p w14:paraId="72FD137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3A7B41">
        <w:tblPrEx>
          <w:tblCellMar>
            <w:top w:w="0" w:type="dxa"/>
            <w:left w:w="0" w:type="dxa"/>
            <w:bottom w:w="0" w:type="dxa"/>
            <w:right w:w="0" w:type="dxa"/>
          </w:tblCellMar>
        </w:tblPrEx>
        <w:trPr>
          <w:wBefore w:w="0" w:type="auto"/>
          <w:tblCellSpacing w:w="0" w:type="dxa"/>
        </w:trPr>
        <w:tc>
          <w:tcPr>
            <w:tcW w:w="0" w:type="auto"/>
            <w:noWrap w:val="0"/>
            <w:vAlign w:val="center"/>
          </w:tcPr>
          <w:p w14:paraId="531C25D2">
            <w:r>
              <w:rPr>
                <w:rStyle w:val="10"/>
                <w:rFonts w:hint="eastAsia"/>
              </w:rPr>
              <w:t>登记证号：</w:t>
            </w:r>
            <w:r>
              <w:rPr>
                <w:rFonts w:hint="eastAsia"/>
              </w:rPr>
              <w:t>PD20212564</w:t>
            </w:r>
          </w:p>
        </w:tc>
      </w:tr>
      <w:tr w14:paraId="57B52909">
        <w:tblPrEx>
          <w:tblCellMar>
            <w:top w:w="0" w:type="dxa"/>
            <w:left w:w="0" w:type="dxa"/>
            <w:bottom w:w="0" w:type="dxa"/>
            <w:right w:w="0" w:type="dxa"/>
          </w:tblCellMar>
        </w:tblPrEx>
        <w:trPr>
          <w:wBefore w:w="0" w:type="auto"/>
          <w:tblCellSpacing w:w="0" w:type="dxa"/>
        </w:trPr>
        <w:tc>
          <w:tcPr>
            <w:tcW w:w="0" w:type="auto"/>
            <w:noWrap w:val="0"/>
            <w:vAlign w:val="center"/>
          </w:tcPr>
          <w:p w14:paraId="20D88EB2">
            <w:r>
              <w:rPr>
                <w:rStyle w:val="10"/>
                <w:rFonts w:hint="eastAsia"/>
              </w:rPr>
              <w:t>登记证持有人：</w:t>
            </w:r>
            <w:r>
              <w:rPr>
                <w:rFonts w:hint="eastAsia"/>
              </w:rPr>
              <w:t>安徽沙隆达生物科技有限公司</w:t>
            </w:r>
          </w:p>
        </w:tc>
      </w:tr>
      <w:tr w14:paraId="0A61CC0D">
        <w:tblPrEx>
          <w:tblCellMar>
            <w:top w:w="0" w:type="dxa"/>
            <w:left w:w="0" w:type="dxa"/>
            <w:bottom w:w="0" w:type="dxa"/>
            <w:right w:w="0" w:type="dxa"/>
          </w:tblCellMar>
        </w:tblPrEx>
        <w:trPr>
          <w:wBefore w:w="0" w:type="auto"/>
          <w:tblCellSpacing w:w="0" w:type="dxa"/>
        </w:trPr>
        <w:tc>
          <w:tcPr>
            <w:tcW w:w="0" w:type="auto"/>
            <w:noWrap w:val="0"/>
            <w:vAlign w:val="center"/>
          </w:tcPr>
          <w:p w14:paraId="0FB2A730">
            <w:r>
              <w:rPr>
                <w:rStyle w:val="10"/>
                <w:rFonts w:hint="eastAsia"/>
              </w:rPr>
              <w:t>农药名称：</w:t>
            </w:r>
            <w:r>
              <w:rPr>
                <w:rFonts w:hint="eastAsia"/>
              </w:rPr>
              <w:t>噁唑草·氯吡酯·氰氟</w:t>
            </w:r>
          </w:p>
        </w:tc>
      </w:tr>
      <w:tr w14:paraId="2610CDC9">
        <w:tblPrEx>
          <w:tblCellMar>
            <w:top w:w="0" w:type="dxa"/>
            <w:left w:w="0" w:type="dxa"/>
            <w:bottom w:w="0" w:type="dxa"/>
            <w:right w:w="0" w:type="dxa"/>
          </w:tblCellMar>
        </w:tblPrEx>
        <w:trPr>
          <w:wBefore w:w="0" w:type="auto"/>
          <w:tblCellSpacing w:w="0" w:type="dxa"/>
        </w:trPr>
        <w:tc>
          <w:tcPr>
            <w:tcW w:w="0" w:type="auto"/>
            <w:noWrap w:val="0"/>
            <w:vAlign w:val="center"/>
          </w:tcPr>
          <w:p w14:paraId="6D6DB5A1">
            <w:r>
              <w:rPr>
                <w:rStyle w:val="10"/>
                <w:rFonts w:hint="eastAsia"/>
              </w:rPr>
              <w:t>剂型：</w:t>
            </w:r>
            <w:r>
              <w:rPr>
                <w:rFonts w:hint="eastAsia"/>
              </w:rPr>
              <w:t>乳油</w:t>
            </w:r>
          </w:p>
        </w:tc>
      </w:tr>
      <w:tr w14:paraId="06E8699A">
        <w:tblPrEx>
          <w:tblCellMar>
            <w:top w:w="0" w:type="dxa"/>
            <w:left w:w="0" w:type="dxa"/>
            <w:bottom w:w="0" w:type="dxa"/>
            <w:right w:w="0" w:type="dxa"/>
          </w:tblCellMar>
        </w:tblPrEx>
        <w:trPr>
          <w:wBefore w:w="0" w:type="auto"/>
          <w:tblCellSpacing w:w="0" w:type="dxa"/>
        </w:trPr>
        <w:tc>
          <w:tcPr>
            <w:tcW w:w="0" w:type="auto"/>
            <w:noWrap w:val="0"/>
            <w:vAlign w:val="center"/>
          </w:tcPr>
          <w:p w14:paraId="5B9BB2C4">
            <w:r>
              <w:rPr>
                <w:rStyle w:val="10"/>
                <w:rFonts w:hint="eastAsia"/>
              </w:rPr>
              <w:t>毒性及其标识：</w:t>
            </w:r>
            <w:r>
              <w:rPr>
                <w:rFonts w:hint="eastAsia"/>
              </w:rPr>
              <w:t xml:space="preserve"> </w:t>
            </w:r>
            <w:r>
              <w:rPr>
                <w:lang/>
              </w:rPr>
              <w:drawing>
                <wp:inline distT="0" distB="0" distL="114300" distR="114300">
                  <wp:extent cx="476250" cy="323850"/>
                  <wp:effectExtent l="0" t="0" r="0" b="0"/>
                  <wp:docPr id="407" name="图片 4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AD292C">
        <w:tblPrEx>
          <w:tblCellMar>
            <w:top w:w="0" w:type="dxa"/>
            <w:left w:w="0" w:type="dxa"/>
            <w:bottom w:w="0" w:type="dxa"/>
            <w:right w:w="0" w:type="dxa"/>
          </w:tblCellMar>
        </w:tblPrEx>
        <w:trPr>
          <w:wBefore w:w="0" w:type="auto"/>
          <w:tblCellSpacing w:w="0" w:type="dxa"/>
        </w:trPr>
        <w:tc>
          <w:tcPr>
            <w:tcW w:w="0" w:type="auto"/>
            <w:noWrap w:val="0"/>
            <w:vAlign w:val="center"/>
          </w:tcPr>
          <w:p w14:paraId="7095FE4A">
            <w:r>
              <w:rPr>
                <w:rStyle w:val="10"/>
                <w:rFonts w:hint="eastAsia"/>
              </w:rPr>
              <w:t>总有效成分含量：</w:t>
            </w:r>
            <w:r>
              <w:rPr>
                <w:rFonts w:hint="eastAsia"/>
              </w:rPr>
              <w:t>36%</w:t>
            </w:r>
          </w:p>
        </w:tc>
      </w:tr>
      <w:tr w14:paraId="567D0D51">
        <w:tblPrEx>
          <w:tblCellMar>
            <w:top w:w="0" w:type="dxa"/>
            <w:left w:w="0" w:type="dxa"/>
            <w:bottom w:w="0" w:type="dxa"/>
            <w:right w:w="0" w:type="dxa"/>
          </w:tblCellMar>
        </w:tblPrEx>
        <w:trPr>
          <w:wBefore w:w="0" w:type="auto"/>
          <w:tblCellSpacing w:w="0" w:type="dxa"/>
        </w:trPr>
        <w:tc>
          <w:tcPr>
            <w:tcW w:w="0" w:type="auto"/>
            <w:noWrap w:val="0"/>
            <w:vAlign w:val="center"/>
          </w:tcPr>
          <w:p w14:paraId="16AE945C">
            <w:r>
              <w:rPr>
                <w:rFonts w:hint="eastAsia"/>
              </w:rPr>
              <w:t xml:space="preserve">有效成分及其含量： </w:t>
            </w:r>
          </w:p>
          <w:p w14:paraId="22048DC5">
            <w:r>
              <w:rPr>
                <w:rFonts w:hint="eastAsia"/>
              </w:rPr>
              <w:t xml:space="preserve">    噁唑酰草胺12%    氰氟草酯18%    氯氟吡氧乙酸异辛酯6%    </w:t>
            </w:r>
          </w:p>
        </w:tc>
      </w:tr>
      <w:tr w14:paraId="6570FFEE">
        <w:tblPrEx>
          <w:tblCellMar>
            <w:top w:w="0" w:type="dxa"/>
            <w:left w:w="0" w:type="dxa"/>
            <w:bottom w:w="0" w:type="dxa"/>
            <w:right w:w="0" w:type="dxa"/>
          </w:tblCellMar>
        </w:tblPrEx>
        <w:trPr>
          <w:wBefore w:w="0" w:type="auto"/>
          <w:tblCellSpacing w:w="0" w:type="dxa"/>
        </w:trPr>
        <w:tc>
          <w:tcPr>
            <w:tcW w:w="0" w:type="auto"/>
            <w:noWrap w:val="0"/>
            <w:vAlign w:val="center"/>
          </w:tcPr>
          <w:p w14:paraId="5AD4EA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F5B2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4C1F3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C2FF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AD3A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1451EE">
                  <w:r>
                    <w:rPr>
                      <w:rStyle w:val="11"/>
                      <w:rFonts w:hint="eastAsia"/>
                    </w:rPr>
                    <w:t>施用方式</w:t>
                  </w:r>
                </w:p>
              </w:tc>
            </w:tr>
            <w:tr w14:paraId="75A101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C33B4E">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3ED0B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470B4A">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11C5F4">
                  <w:r>
                    <w:rPr>
                      <w:rStyle w:val="11"/>
                      <w:rFonts w:hint="eastAsia"/>
                    </w:rPr>
                    <w:t>茎叶喷雾</w:t>
                  </w:r>
                </w:p>
              </w:tc>
            </w:tr>
          </w:tbl>
          <w:p w14:paraId="36AD1CB7">
            <w:pPr>
              <w:rPr>
                <w:rFonts w:ascii="Times New Roman" w:hAnsi="Times New Roman" w:cs="Times New Roman"/>
                <w:sz w:val="20"/>
                <w:szCs w:val="20"/>
              </w:rPr>
            </w:pPr>
          </w:p>
        </w:tc>
      </w:tr>
      <w:tr w14:paraId="504C1F34">
        <w:tblPrEx>
          <w:tblCellMar>
            <w:top w:w="0" w:type="dxa"/>
            <w:left w:w="0" w:type="dxa"/>
            <w:bottom w:w="0" w:type="dxa"/>
            <w:right w:w="0" w:type="dxa"/>
          </w:tblCellMar>
        </w:tblPrEx>
        <w:trPr>
          <w:wBefore w:w="0" w:type="auto"/>
          <w:tblCellSpacing w:w="0" w:type="dxa"/>
        </w:trPr>
        <w:tc>
          <w:tcPr>
            <w:tcW w:w="0" w:type="auto"/>
            <w:noWrap w:val="0"/>
            <w:vAlign w:val="center"/>
          </w:tcPr>
          <w:p w14:paraId="4939D790">
            <w:r>
              <w:rPr>
                <w:rStyle w:val="10"/>
                <w:rFonts w:hint="eastAsia"/>
              </w:rPr>
              <w:t>使用技术要求:</w:t>
            </w:r>
            <w:r>
              <w:rPr>
                <w:rFonts w:hint="eastAsia"/>
              </w:rPr>
              <w:br w:type="textWrapping"/>
            </w:r>
            <w:r>
              <w:rPr>
                <w:rStyle w:val="11"/>
                <w:rFonts w:hint="eastAsia"/>
              </w:rPr>
              <w:t>1.应于直播稻3叶期以后，杂草2-5叶期进行茎叶喷雾1次，施药前排干田水，施药1-2天后复水，保持浅水层5-7天后正常田管。2.注意水层勿淹没水稻心叶，避免药害。3.大风天或预计1小时内降雨，请勿施药。4.每季最多使用1次。</w:t>
            </w:r>
          </w:p>
        </w:tc>
      </w:tr>
      <w:tr w14:paraId="48E22BF9">
        <w:tblPrEx>
          <w:tblCellMar>
            <w:top w:w="0" w:type="dxa"/>
            <w:left w:w="0" w:type="dxa"/>
            <w:bottom w:w="0" w:type="dxa"/>
            <w:right w:w="0" w:type="dxa"/>
          </w:tblCellMar>
        </w:tblPrEx>
        <w:trPr>
          <w:wBefore w:w="0" w:type="auto"/>
          <w:tblCellSpacing w:w="0" w:type="dxa"/>
        </w:trPr>
        <w:tc>
          <w:tcPr>
            <w:tcW w:w="0" w:type="auto"/>
            <w:noWrap w:val="0"/>
            <w:vAlign w:val="center"/>
          </w:tcPr>
          <w:p w14:paraId="4F4834E1">
            <w:r>
              <w:rPr>
                <w:rStyle w:val="10"/>
                <w:rFonts w:hint="eastAsia"/>
              </w:rPr>
              <w:t>产品性能:</w:t>
            </w:r>
            <w:r>
              <w:rPr>
                <w:rFonts w:hint="eastAsia"/>
              </w:rPr>
              <w:br w:type="textWrapping"/>
            </w:r>
            <w:r>
              <w:rPr>
                <w:rStyle w:val="11"/>
                <w:rFonts w:hint="eastAsia"/>
              </w:rPr>
              <w:t>氯氟吡氧乙酸异辛酯是吡啶羧酸类除草剂，噁唑酰草胺、氰氟草酯均为芳氧苯氧酸酯类除草剂。这三者混配能扩大杀草谱。</w:t>
            </w:r>
          </w:p>
        </w:tc>
      </w:tr>
      <w:tr w14:paraId="765312E4">
        <w:tblPrEx>
          <w:tblCellMar>
            <w:top w:w="0" w:type="dxa"/>
            <w:left w:w="0" w:type="dxa"/>
            <w:bottom w:w="0" w:type="dxa"/>
            <w:right w:w="0" w:type="dxa"/>
          </w:tblCellMar>
        </w:tblPrEx>
        <w:trPr>
          <w:wBefore w:w="0" w:type="auto"/>
          <w:tblCellSpacing w:w="0" w:type="dxa"/>
        </w:trPr>
        <w:tc>
          <w:tcPr>
            <w:tcW w:w="0" w:type="auto"/>
            <w:noWrap w:val="0"/>
            <w:vAlign w:val="center"/>
          </w:tcPr>
          <w:p w14:paraId="6ACCDD44">
            <w:r>
              <w:rPr>
                <w:rStyle w:val="10"/>
                <w:rFonts w:hint="eastAsia"/>
              </w:rPr>
              <w:t>注意事项：</w:t>
            </w:r>
            <w:r>
              <w:rPr>
                <w:rFonts w:hint="eastAsia"/>
              </w:rPr>
              <w:br w:type="textWrapping"/>
            </w:r>
            <w:r>
              <w:rPr>
                <w:rStyle w:val="11"/>
                <w:rFonts w:hint="eastAsia"/>
              </w:rPr>
              <w:t>1.建议与其他不同作用机理的除草剂轮换使用。2.使用本品时采取相应的安全防护措施，穿防护服、防护鞋、戴防护手套、防护口罩、防护面罩等。使用时要注意避免药液与眼睛接触。施药期间不可吃东西、饮水和吸烟，施药后应及时洗手和洗脸。3.远离水产养殖区、河塘等水体施药；禁止在河塘等水体中清洗施药器具；鱼或虾蟹套养稻田禁用，施药后的田水不得直接排入水体。4.桑园及蚕室附近禁用。5.用过的容器应妥善处理，不可做他用，也不可随意丢弃。6.孕妇及哺乳期妇女禁止接触本品。</w:t>
            </w:r>
          </w:p>
        </w:tc>
      </w:tr>
      <w:tr w14:paraId="26BEBB15">
        <w:tblPrEx>
          <w:tblCellMar>
            <w:top w:w="0" w:type="dxa"/>
            <w:left w:w="0" w:type="dxa"/>
            <w:bottom w:w="0" w:type="dxa"/>
            <w:right w:w="0" w:type="dxa"/>
          </w:tblCellMar>
        </w:tblPrEx>
        <w:trPr>
          <w:wBefore w:w="0" w:type="auto"/>
          <w:tblCellSpacing w:w="0" w:type="dxa"/>
        </w:trPr>
        <w:tc>
          <w:tcPr>
            <w:tcW w:w="0" w:type="auto"/>
            <w:noWrap w:val="0"/>
            <w:vAlign w:val="center"/>
          </w:tcPr>
          <w:p w14:paraId="7ADF5C4E">
            <w:r>
              <w:rPr>
                <w:rStyle w:val="10"/>
                <w:rFonts w:hint="eastAsia"/>
              </w:rPr>
              <w:t>中毒急救措施：</w:t>
            </w:r>
            <w:r>
              <w:rPr>
                <w:rFonts w:hint="eastAsia"/>
              </w:rPr>
              <w:br w:type="textWrapping"/>
            </w:r>
            <w:r>
              <w:rPr>
                <w:rStyle w:val="11"/>
                <w:rFonts w:hint="eastAsia"/>
              </w:rPr>
              <w:t>本品对眼睛有刺激性。1.皮肤接触：立即脱掉污染的衣物，用肥皂和大量清水彻底清洗污染的皮肤。 2.眼睛接触：立即分开眼睑，用清水冲洗眼至少15分钟，再请医生诊治。3.吸入：立即将患者转移到空气新鲜处，再请医生诊治。 4.误服：立即携带标签，送医院就诊，对症治疗。 5.本品无特效解毒剂，应对症治疗。</w:t>
            </w:r>
          </w:p>
        </w:tc>
      </w:tr>
      <w:tr w14:paraId="698F773E">
        <w:tblPrEx>
          <w:tblCellMar>
            <w:top w:w="0" w:type="dxa"/>
            <w:left w:w="0" w:type="dxa"/>
            <w:bottom w:w="0" w:type="dxa"/>
            <w:right w:w="0" w:type="dxa"/>
          </w:tblCellMar>
        </w:tblPrEx>
        <w:trPr>
          <w:wBefore w:w="0" w:type="auto"/>
          <w:tblCellSpacing w:w="0" w:type="dxa"/>
        </w:trPr>
        <w:tc>
          <w:tcPr>
            <w:tcW w:w="0" w:type="auto"/>
            <w:noWrap w:val="0"/>
            <w:vAlign w:val="center"/>
          </w:tcPr>
          <w:p w14:paraId="0FE3773E">
            <w:r>
              <w:rPr>
                <w:rStyle w:val="10"/>
                <w:rFonts w:hint="eastAsia"/>
              </w:rPr>
              <w:t>储存和运输方法：</w:t>
            </w:r>
            <w:r>
              <w:rPr>
                <w:rFonts w:hint="eastAsia"/>
              </w:rPr>
              <w:br w:type="textWrapping"/>
            </w:r>
            <w:r>
              <w:rPr>
                <w:rStyle w:val="11"/>
                <w:rFonts w:hint="eastAsia"/>
              </w:rPr>
              <w:t>1.本品应密封贮存在干燥、阴凉、通风、防雨处，远离火源或热源。 2.置于存放于儿童触及不到之处，并加锁。 3、勿与食品、饮料、粮食、饲料等同贮同运。</w:t>
            </w:r>
          </w:p>
        </w:tc>
      </w:tr>
      <w:tr w14:paraId="6C8CFDC0">
        <w:tblPrEx>
          <w:tblCellMar>
            <w:top w:w="0" w:type="dxa"/>
            <w:left w:w="0" w:type="dxa"/>
            <w:bottom w:w="0" w:type="dxa"/>
            <w:right w:w="0" w:type="dxa"/>
          </w:tblCellMar>
        </w:tblPrEx>
        <w:trPr>
          <w:wBefore w:w="0" w:type="auto"/>
          <w:tblCellSpacing w:w="0" w:type="dxa"/>
        </w:trPr>
        <w:tc>
          <w:tcPr>
            <w:tcW w:w="0" w:type="auto"/>
            <w:noWrap w:val="0"/>
            <w:vAlign w:val="center"/>
          </w:tcPr>
          <w:p w14:paraId="7843D973">
            <w:r>
              <w:rPr>
                <w:rStyle w:val="10"/>
                <w:rFonts w:hint="eastAsia"/>
              </w:rPr>
              <w:t>质量保证期：</w:t>
            </w:r>
            <w:r>
              <w:rPr>
                <w:rStyle w:val="11"/>
                <w:rFonts w:hint="eastAsia"/>
              </w:rPr>
              <w:t>2年</w:t>
            </w:r>
          </w:p>
        </w:tc>
      </w:tr>
      <w:tr w14:paraId="78799CDF">
        <w:tblPrEx>
          <w:tblCellMar>
            <w:top w:w="0" w:type="dxa"/>
            <w:left w:w="0" w:type="dxa"/>
            <w:bottom w:w="0" w:type="dxa"/>
            <w:right w:w="0" w:type="dxa"/>
          </w:tblCellMar>
        </w:tblPrEx>
        <w:trPr>
          <w:wBefore w:w="0" w:type="auto"/>
          <w:tblCellSpacing w:w="0" w:type="dxa"/>
        </w:trPr>
        <w:tc>
          <w:tcPr>
            <w:tcW w:w="0" w:type="auto"/>
            <w:noWrap w:val="0"/>
            <w:vAlign w:val="center"/>
          </w:tcPr>
          <w:p w14:paraId="1C37B884">
            <w:r>
              <w:rPr>
                <w:rStyle w:val="10"/>
                <w:rFonts w:hint="eastAsia"/>
              </w:rPr>
              <w:t>备注：</w:t>
            </w:r>
          </w:p>
        </w:tc>
      </w:tr>
    </w:tbl>
    <w:p w14:paraId="63BB92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21A90A">
        <w:tblPrEx>
          <w:tblCellMar>
            <w:top w:w="0" w:type="dxa"/>
            <w:left w:w="0" w:type="dxa"/>
            <w:bottom w:w="0" w:type="dxa"/>
            <w:right w:w="0" w:type="dxa"/>
          </w:tblCellMar>
        </w:tblPrEx>
        <w:trPr>
          <w:wBefore w:w="0" w:type="auto"/>
          <w:tblCellSpacing w:w="0" w:type="dxa"/>
        </w:trPr>
        <w:tc>
          <w:tcPr>
            <w:tcW w:w="0" w:type="auto"/>
            <w:noWrap w:val="0"/>
            <w:vAlign w:val="center"/>
          </w:tcPr>
          <w:p w14:paraId="20F5AEF4">
            <w:r>
              <w:rPr>
                <w:rStyle w:val="10"/>
                <w:rFonts w:hint="eastAsia"/>
              </w:rPr>
              <w:t>登记证号：</w:t>
            </w:r>
            <w:r>
              <w:rPr>
                <w:rFonts w:hint="eastAsia"/>
              </w:rPr>
              <w:t>WP20210425</w:t>
            </w:r>
          </w:p>
        </w:tc>
      </w:tr>
      <w:tr w14:paraId="6727E162">
        <w:tblPrEx>
          <w:tblCellMar>
            <w:top w:w="0" w:type="dxa"/>
            <w:left w:w="0" w:type="dxa"/>
            <w:bottom w:w="0" w:type="dxa"/>
            <w:right w:w="0" w:type="dxa"/>
          </w:tblCellMar>
        </w:tblPrEx>
        <w:trPr>
          <w:wBefore w:w="0" w:type="auto"/>
          <w:tblCellSpacing w:w="0" w:type="dxa"/>
        </w:trPr>
        <w:tc>
          <w:tcPr>
            <w:tcW w:w="0" w:type="auto"/>
            <w:noWrap w:val="0"/>
            <w:vAlign w:val="center"/>
          </w:tcPr>
          <w:p w14:paraId="4B3720EB">
            <w:r>
              <w:rPr>
                <w:rStyle w:val="10"/>
                <w:rFonts w:hint="eastAsia"/>
              </w:rPr>
              <w:t>登记证持有人：</w:t>
            </w:r>
            <w:r>
              <w:rPr>
                <w:rFonts w:hint="eastAsia"/>
              </w:rPr>
              <w:t>东元科技有限公司</w:t>
            </w:r>
          </w:p>
        </w:tc>
      </w:tr>
      <w:tr w14:paraId="71E63F33">
        <w:tblPrEx>
          <w:tblCellMar>
            <w:top w:w="0" w:type="dxa"/>
            <w:left w:w="0" w:type="dxa"/>
            <w:bottom w:w="0" w:type="dxa"/>
            <w:right w:w="0" w:type="dxa"/>
          </w:tblCellMar>
        </w:tblPrEx>
        <w:trPr>
          <w:wBefore w:w="0" w:type="auto"/>
          <w:tblCellSpacing w:w="0" w:type="dxa"/>
        </w:trPr>
        <w:tc>
          <w:tcPr>
            <w:tcW w:w="0" w:type="auto"/>
            <w:noWrap w:val="0"/>
            <w:vAlign w:val="center"/>
          </w:tcPr>
          <w:p w14:paraId="0CB25EB9">
            <w:r>
              <w:rPr>
                <w:rStyle w:val="10"/>
                <w:rFonts w:hint="eastAsia"/>
              </w:rPr>
              <w:t>农药名称：</w:t>
            </w:r>
            <w:r>
              <w:rPr>
                <w:rFonts w:hint="eastAsia"/>
              </w:rPr>
              <w:t>杀虫气雾剂</w:t>
            </w:r>
          </w:p>
        </w:tc>
      </w:tr>
      <w:tr w14:paraId="5247A6AE">
        <w:tblPrEx>
          <w:tblCellMar>
            <w:top w:w="0" w:type="dxa"/>
            <w:left w:w="0" w:type="dxa"/>
            <w:bottom w:w="0" w:type="dxa"/>
            <w:right w:w="0" w:type="dxa"/>
          </w:tblCellMar>
        </w:tblPrEx>
        <w:trPr>
          <w:wBefore w:w="0" w:type="auto"/>
          <w:tblCellSpacing w:w="0" w:type="dxa"/>
        </w:trPr>
        <w:tc>
          <w:tcPr>
            <w:tcW w:w="0" w:type="auto"/>
            <w:noWrap w:val="0"/>
            <w:vAlign w:val="center"/>
          </w:tcPr>
          <w:p w14:paraId="5616A3BF">
            <w:r>
              <w:rPr>
                <w:rStyle w:val="10"/>
                <w:rFonts w:hint="eastAsia"/>
              </w:rPr>
              <w:t>剂型：</w:t>
            </w:r>
            <w:r>
              <w:rPr>
                <w:rFonts w:hint="eastAsia"/>
              </w:rPr>
              <w:t>气雾剂</w:t>
            </w:r>
          </w:p>
        </w:tc>
      </w:tr>
      <w:tr w14:paraId="5D4B15B1">
        <w:tblPrEx>
          <w:tblCellMar>
            <w:top w:w="0" w:type="dxa"/>
            <w:left w:w="0" w:type="dxa"/>
            <w:bottom w:w="0" w:type="dxa"/>
            <w:right w:w="0" w:type="dxa"/>
          </w:tblCellMar>
        </w:tblPrEx>
        <w:trPr>
          <w:wBefore w:w="0" w:type="auto"/>
          <w:tblCellSpacing w:w="0" w:type="dxa"/>
        </w:trPr>
        <w:tc>
          <w:tcPr>
            <w:tcW w:w="0" w:type="auto"/>
            <w:noWrap w:val="0"/>
            <w:vAlign w:val="center"/>
          </w:tcPr>
          <w:p w14:paraId="284AAC56">
            <w:r>
              <w:rPr>
                <w:rStyle w:val="10"/>
                <w:rFonts w:hint="eastAsia"/>
              </w:rPr>
              <w:t>毒性及其标识：</w:t>
            </w:r>
            <w:r>
              <w:rPr>
                <w:rFonts w:hint="eastAsia"/>
              </w:rPr>
              <w:t xml:space="preserve"> 微毒 </w:t>
            </w:r>
          </w:p>
        </w:tc>
      </w:tr>
      <w:tr w14:paraId="516660AC">
        <w:tblPrEx>
          <w:tblCellMar>
            <w:top w:w="0" w:type="dxa"/>
            <w:left w:w="0" w:type="dxa"/>
            <w:bottom w:w="0" w:type="dxa"/>
            <w:right w:w="0" w:type="dxa"/>
          </w:tblCellMar>
        </w:tblPrEx>
        <w:trPr>
          <w:wBefore w:w="0" w:type="auto"/>
          <w:tblCellSpacing w:w="0" w:type="dxa"/>
        </w:trPr>
        <w:tc>
          <w:tcPr>
            <w:tcW w:w="0" w:type="auto"/>
            <w:noWrap w:val="0"/>
            <w:vAlign w:val="center"/>
          </w:tcPr>
          <w:p w14:paraId="65FC26FB">
            <w:r>
              <w:rPr>
                <w:rStyle w:val="10"/>
                <w:rFonts w:hint="eastAsia"/>
              </w:rPr>
              <w:t>总有效成分含量：</w:t>
            </w:r>
            <w:r>
              <w:rPr>
                <w:rFonts w:hint="eastAsia"/>
              </w:rPr>
              <w:t>0.5%</w:t>
            </w:r>
          </w:p>
        </w:tc>
      </w:tr>
      <w:tr w14:paraId="2E7A36C3">
        <w:tblPrEx>
          <w:tblCellMar>
            <w:top w:w="0" w:type="dxa"/>
            <w:left w:w="0" w:type="dxa"/>
            <w:bottom w:w="0" w:type="dxa"/>
            <w:right w:w="0" w:type="dxa"/>
          </w:tblCellMar>
        </w:tblPrEx>
        <w:trPr>
          <w:wBefore w:w="0" w:type="auto"/>
          <w:tblCellSpacing w:w="0" w:type="dxa"/>
        </w:trPr>
        <w:tc>
          <w:tcPr>
            <w:tcW w:w="0" w:type="auto"/>
            <w:noWrap w:val="0"/>
            <w:vAlign w:val="center"/>
          </w:tcPr>
          <w:p w14:paraId="5573878D">
            <w:r>
              <w:rPr>
                <w:rFonts w:hint="eastAsia"/>
              </w:rPr>
              <w:t xml:space="preserve">有效成分及其含量： </w:t>
            </w:r>
          </w:p>
          <w:p w14:paraId="2212A637">
            <w:r>
              <w:rPr>
                <w:rFonts w:hint="eastAsia"/>
              </w:rPr>
              <w:t xml:space="preserve">    四氟苯菊酯0.2%    右旋苯醚菊酯0.3%    </w:t>
            </w:r>
          </w:p>
        </w:tc>
      </w:tr>
      <w:tr w14:paraId="52F58329">
        <w:tblPrEx>
          <w:tblCellMar>
            <w:top w:w="0" w:type="dxa"/>
            <w:left w:w="0" w:type="dxa"/>
            <w:bottom w:w="0" w:type="dxa"/>
            <w:right w:w="0" w:type="dxa"/>
          </w:tblCellMar>
        </w:tblPrEx>
        <w:trPr>
          <w:wBefore w:w="0" w:type="auto"/>
          <w:tblCellSpacing w:w="0" w:type="dxa"/>
        </w:trPr>
        <w:tc>
          <w:tcPr>
            <w:tcW w:w="0" w:type="auto"/>
            <w:noWrap w:val="0"/>
            <w:vAlign w:val="center"/>
          </w:tcPr>
          <w:p w14:paraId="0086673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6D69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977F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443D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74225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C8790C">
                  <w:r>
                    <w:rPr>
                      <w:rStyle w:val="11"/>
                      <w:rFonts w:hint="eastAsia"/>
                    </w:rPr>
                    <w:t>施用方式</w:t>
                  </w:r>
                </w:p>
              </w:tc>
            </w:tr>
            <w:tr w14:paraId="04ED0C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47788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DA8A91">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9018E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6CC7D9">
                  <w:r>
                    <w:rPr>
                      <w:rStyle w:val="11"/>
                      <w:rFonts w:hint="eastAsia"/>
                    </w:rPr>
                    <w:t>喷雾</w:t>
                  </w:r>
                </w:p>
              </w:tc>
            </w:tr>
          </w:tbl>
          <w:p w14:paraId="0FE4B0C3">
            <w:pPr>
              <w:rPr>
                <w:rFonts w:ascii="Times New Roman" w:hAnsi="Times New Roman" w:cs="Times New Roman"/>
                <w:sz w:val="20"/>
                <w:szCs w:val="20"/>
              </w:rPr>
            </w:pPr>
          </w:p>
        </w:tc>
      </w:tr>
      <w:tr w14:paraId="0A21DC74">
        <w:tblPrEx>
          <w:tblCellMar>
            <w:top w:w="0" w:type="dxa"/>
            <w:left w:w="0" w:type="dxa"/>
            <w:bottom w:w="0" w:type="dxa"/>
            <w:right w:w="0" w:type="dxa"/>
          </w:tblCellMar>
        </w:tblPrEx>
        <w:trPr>
          <w:wBefore w:w="0" w:type="auto"/>
          <w:tblCellSpacing w:w="0" w:type="dxa"/>
        </w:trPr>
        <w:tc>
          <w:tcPr>
            <w:tcW w:w="0" w:type="auto"/>
            <w:noWrap w:val="0"/>
            <w:vAlign w:val="center"/>
          </w:tcPr>
          <w:p w14:paraId="7737BB01">
            <w:r>
              <w:rPr>
                <w:rStyle w:val="10"/>
                <w:rFonts w:hint="eastAsia"/>
              </w:rPr>
              <w:t>使用技术要求:</w:t>
            </w:r>
            <w:r>
              <w:rPr>
                <w:rFonts w:hint="eastAsia"/>
              </w:rPr>
              <w:br w:type="textWrapping"/>
            </w:r>
            <w:r>
              <w:rPr>
                <w:rStyle w:val="11"/>
                <w:rFonts w:hint="eastAsia"/>
              </w:rPr>
              <w:t>1、用前请摇匀。 2、驱杀蚊、蝇时，关闭门窗，竖直持罐向其活动空间斜上方喷射，每10平方米喷 雾8秒－10秒。 3、驱杀蟑螂时，直接对准其喷射，或向其栖息地及经常出没的地方喷射，每平方米喷雾1秒-3秒。 4、使用后人畜随即离开，20分钟后打开门窗，充分通风后即可进入。</w:t>
            </w:r>
          </w:p>
        </w:tc>
      </w:tr>
      <w:tr w14:paraId="4EEC4A0D">
        <w:tblPrEx>
          <w:tblCellMar>
            <w:top w:w="0" w:type="dxa"/>
            <w:left w:w="0" w:type="dxa"/>
            <w:bottom w:w="0" w:type="dxa"/>
            <w:right w:w="0" w:type="dxa"/>
          </w:tblCellMar>
        </w:tblPrEx>
        <w:trPr>
          <w:wBefore w:w="0" w:type="auto"/>
          <w:tblCellSpacing w:w="0" w:type="dxa"/>
        </w:trPr>
        <w:tc>
          <w:tcPr>
            <w:tcW w:w="0" w:type="auto"/>
            <w:noWrap w:val="0"/>
            <w:vAlign w:val="center"/>
          </w:tcPr>
          <w:p w14:paraId="6C504E21">
            <w:r>
              <w:rPr>
                <w:rStyle w:val="10"/>
                <w:rFonts w:hint="eastAsia"/>
              </w:rPr>
              <w:t>产品性能:</w:t>
            </w:r>
            <w:r>
              <w:rPr>
                <w:rFonts w:hint="eastAsia"/>
              </w:rPr>
              <w:br w:type="textWrapping"/>
            </w:r>
            <w:r>
              <w:rPr>
                <w:rStyle w:val="11"/>
                <w:rFonts w:hint="eastAsia"/>
              </w:rPr>
              <w:t xml:space="preserve">本品采用拟除虫菊酯类药剂配制而成，可有效驱杀蚊、蝇、蟑螂（学名蜚蠊）， 适合家庭、餐厅、宾馆、办公室等场所使用，是夏季驱杀蚊、蝇、蟑螂的理想选择之一。 </w:t>
            </w:r>
          </w:p>
        </w:tc>
      </w:tr>
      <w:tr w14:paraId="48DD1DFC">
        <w:tblPrEx>
          <w:tblCellMar>
            <w:top w:w="0" w:type="dxa"/>
            <w:left w:w="0" w:type="dxa"/>
            <w:bottom w:w="0" w:type="dxa"/>
            <w:right w:w="0" w:type="dxa"/>
          </w:tblCellMar>
        </w:tblPrEx>
        <w:trPr>
          <w:wBefore w:w="0" w:type="auto"/>
          <w:tblCellSpacing w:w="0" w:type="dxa"/>
        </w:trPr>
        <w:tc>
          <w:tcPr>
            <w:tcW w:w="0" w:type="auto"/>
            <w:noWrap w:val="0"/>
            <w:vAlign w:val="center"/>
          </w:tcPr>
          <w:p w14:paraId="0C298D34">
            <w:r>
              <w:rPr>
                <w:rStyle w:val="10"/>
                <w:rFonts w:hint="eastAsia"/>
              </w:rPr>
              <w:t>注意事项：</w:t>
            </w:r>
            <w:r>
              <w:rPr>
                <w:rFonts w:hint="eastAsia"/>
              </w:rPr>
              <w:br w:type="textWrapping"/>
            </w:r>
            <w:r>
              <w:rPr>
                <w:rStyle w:val="11"/>
                <w:rFonts w:hint="eastAsia"/>
              </w:rPr>
              <w:t>1. 本品属压力容器，内含易燃物，切勿受太阳直射，切勿接近火源和电源。 2. 过敏者禁用，使用中有任何不良反应请及时就医。 3. 用后请洗手。 4. 使用后请注意通风。 5. 切勿向人畜、食物、食具直接喷射。 6. 切勿将罐体戳破，即使用完也不许穿刺或火烧。 7. 切勿空罐再次充装。 8. 切勿倒置喷射。 9. 对鱼、家蚕有害，蚕室及其附近禁用。</w:t>
            </w:r>
          </w:p>
        </w:tc>
      </w:tr>
      <w:tr w14:paraId="5A84D4B8">
        <w:tblPrEx>
          <w:tblCellMar>
            <w:top w:w="0" w:type="dxa"/>
            <w:left w:w="0" w:type="dxa"/>
            <w:bottom w:w="0" w:type="dxa"/>
            <w:right w:w="0" w:type="dxa"/>
          </w:tblCellMar>
        </w:tblPrEx>
        <w:trPr>
          <w:wBefore w:w="0" w:type="auto"/>
          <w:tblCellSpacing w:w="0" w:type="dxa"/>
        </w:trPr>
        <w:tc>
          <w:tcPr>
            <w:tcW w:w="0" w:type="auto"/>
            <w:noWrap w:val="0"/>
            <w:vAlign w:val="center"/>
          </w:tcPr>
          <w:p w14:paraId="32962B67">
            <w:r>
              <w:rPr>
                <w:rStyle w:val="10"/>
                <w:rFonts w:hint="eastAsia"/>
              </w:rPr>
              <w:t>中毒急救措施：</w:t>
            </w:r>
            <w:r>
              <w:rPr>
                <w:rFonts w:hint="eastAsia"/>
              </w:rPr>
              <w:br w:type="textWrapping"/>
            </w:r>
            <w:r>
              <w:rPr>
                <w:rStyle w:val="11"/>
                <w:rFonts w:hint="eastAsia"/>
              </w:rPr>
              <w:t>1. 如不慎沾在皮肤上，请用肥皂水清洗。 2. 如不慎溅入眼睛，请用大量清水冲洗。 3. 如不慎误服，请立即携此标签将病人送医院诊治。</w:t>
            </w:r>
          </w:p>
        </w:tc>
      </w:tr>
      <w:tr w14:paraId="29A811E4">
        <w:tblPrEx>
          <w:tblCellMar>
            <w:top w:w="0" w:type="dxa"/>
            <w:left w:w="0" w:type="dxa"/>
            <w:bottom w:w="0" w:type="dxa"/>
            <w:right w:w="0" w:type="dxa"/>
          </w:tblCellMar>
        </w:tblPrEx>
        <w:trPr>
          <w:wBefore w:w="0" w:type="auto"/>
          <w:tblCellSpacing w:w="0" w:type="dxa"/>
        </w:trPr>
        <w:tc>
          <w:tcPr>
            <w:tcW w:w="0" w:type="auto"/>
            <w:noWrap w:val="0"/>
            <w:vAlign w:val="center"/>
          </w:tcPr>
          <w:p w14:paraId="5C6D13AD">
            <w:r>
              <w:rPr>
                <w:rStyle w:val="10"/>
                <w:rFonts w:hint="eastAsia"/>
              </w:rPr>
              <w:t>储存和运输方法：</w:t>
            </w:r>
            <w:r>
              <w:rPr>
                <w:rFonts w:hint="eastAsia"/>
              </w:rPr>
              <w:br w:type="textWrapping"/>
            </w:r>
            <w:r>
              <w:rPr>
                <w:rStyle w:val="11"/>
                <w:rFonts w:hint="eastAsia"/>
              </w:rPr>
              <w:t>1. 本品应贮存在阴凉、干燥、通风、防雨处，远离火源或热源。 2. 请放在儿童接触不到的地方。 3. 勿与食品、饮料、种子、粮食、饲料及易燃易爆物品混放。 4. 切勿放置在温度超过50℃或潮湿的地方，如阳台、厨房、浴室、汽车驾驶室。 5. 产品搬运时要轻取轻放，严禁猛烈碰撞、日晒、重压，并不得倒置。</w:t>
            </w:r>
          </w:p>
        </w:tc>
      </w:tr>
      <w:tr w14:paraId="799C0C12">
        <w:tblPrEx>
          <w:tblCellMar>
            <w:top w:w="0" w:type="dxa"/>
            <w:left w:w="0" w:type="dxa"/>
            <w:bottom w:w="0" w:type="dxa"/>
            <w:right w:w="0" w:type="dxa"/>
          </w:tblCellMar>
        </w:tblPrEx>
        <w:trPr>
          <w:wBefore w:w="0" w:type="auto"/>
          <w:tblCellSpacing w:w="0" w:type="dxa"/>
        </w:trPr>
        <w:tc>
          <w:tcPr>
            <w:tcW w:w="0" w:type="auto"/>
            <w:noWrap w:val="0"/>
            <w:vAlign w:val="center"/>
          </w:tcPr>
          <w:p w14:paraId="1F090E1D">
            <w:r>
              <w:rPr>
                <w:rStyle w:val="10"/>
                <w:rFonts w:hint="eastAsia"/>
              </w:rPr>
              <w:t>质量保证期：</w:t>
            </w:r>
            <w:r>
              <w:rPr>
                <w:rStyle w:val="11"/>
                <w:rFonts w:hint="eastAsia"/>
              </w:rPr>
              <w:t>3年</w:t>
            </w:r>
          </w:p>
        </w:tc>
      </w:tr>
      <w:tr w14:paraId="72DB3EFD">
        <w:tblPrEx>
          <w:tblCellMar>
            <w:top w:w="0" w:type="dxa"/>
            <w:left w:w="0" w:type="dxa"/>
            <w:bottom w:w="0" w:type="dxa"/>
            <w:right w:w="0" w:type="dxa"/>
          </w:tblCellMar>
        </w:tblPrEx>
        <w:trPr>
          <w:wBefore w:w="0" w:type="auto"/>
          <w:tblCellSpacing w:w="0" w:type="dxa"/>
        </w:trPr>
        <w:tc>
          <w:tcPr>
            <w:tcW w:w="0" w:type="auto"/>
            <w:noWrap w:val="0"/>
            <w:vAlign w:val="center"/>
          </w:tcPr>
          <w:p w14:paraId="019EDBF5">
            <w:r>
              <w:rPr>
                <w:rStyle w:val="10"/>
                <w:rFonts w:hint="eastAsia"/>
              </w:rPr>
              <w:t>备注：</w:t>
            </w:r>
          </w:p>
        </w:tc>
      </w:tr>
    </w:tbl>
    <w:p w14:paraId="519D41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BC4ECC">
        <w:tblPrEx>
          <w:tblCellMar>
            <w:top w:w="0" w:type="dxa"/>
            <w:left w:w="0" w:type="dxa"/>
            <w:bottom w:w="0" w:type="dxa"/>
            <w:right w:w="0" w:type="dxa"/>
          </w:tblCellMar>
        </w:tblPrEx>
        <w:trPr>
          <w:wBefore w:w="0" w:type="auto"/>
          <w:tblCellSpacing w:w="0" w:type="dxa"/>
        </w:trPr>
        <w:tc>
          <w:tcPr>
            <w:tcW w:w="0" w:type="auto"/>
            <w:noWrap w:val="0"/>
            <w:vAlign w:val="center"/>
          </w:tcPr>
          <w:p w14:paraId="5A8E3B2B">
            <w:r>
              <w:rPr>
                <w:rStyle w:val="10"/>
                <w:rFonts w:hint="eastAsia"/>
              </w:rPr>
              <w:t>登记证号：</w:t>
            </w:r>
            <w:r>
              <w:rPr>
                <w:rFonts w:hint="eastAsia"/>
              </w:rPr>
              <w:t>PD20212501</w:t>
            </w:r>
          </w:p>
        </w:tc>
      </w:tr>
      <w:tr w14:paraId="23A5AD0E">
        <w:tblPrEx>
          <w:tblCellMar>
            <w:top w:w="0" w:type="dxa"/>
            <w:left w:w="0" w:type="dxa"/>
            <w:bottom w:w="0" w:type="dxa"/>
            <w:right w:w="0" w:type="dxa"/>
          </w:tblCellMar>
        </w:tblPrEx>
        <w:trPr>
          <w:wBefore w:w="0" w:type="auto"/>
          <w:tblCellSpacing w:w="0" w:type="dxa"/>
        </w:trPr>
        <w:tc>
          <w:tcPr>
            <w:tcW w:w="0" w:type="auto"/>
            <w:noWrap w:val="0"/>
            <w:vAlign w:val="center"/>
          </w:tcPr>
          <w:p w14:paraId="0608A6DB">
            <w:r>
              <w:rPr>
                <w:rStyle w:val="10"/>
                <w:rFonts w:hint="eastAsia"/>
              </w:rPr>
              <w:t>登记证持有人：</w:t>
            </w:r>
            <w:r>
              <w:rPr>
                <w:rFonts w:hint="eastAsia"/>
              </w:rPr>
              <w:t>沈阳农帝生物技术有限公司</w:t>
            </w:r>
          </w:p>
        </w:tc>
      </w:tr>
      <w:tr w14:paraId="38D3CB33">
        <w:tblPrEx>
          <w:tblCellMar>
            <w:top w:w="0" w:type="dxa"/>
            <w:left w:w="0" w:type="dxa"/>
            <w:bottom w:w="0" w:type="dxa"/>
            <w:right w:w="0" w:type="dxa"/>
          </w:tblCellMar>
        </w:tblPrEx>
        <w:trPr>
          <w:wBefore w:w="0" w:type="auto"/>
          <w:tblCellSpacing w:w="0" w:type="dxa"/>
        </w:trPr>
        <w:tc>
          <w:tcPr>
            <w:tcW w:w="0" w:type="auto"/>
            <w:noWrap w:val="0"/>
            <w:vAlign w:val="center"/>
          </w:tcPr>
          <w:p w14:paraId="7CBEC143">
            <w:r>
              <w:rPr>
                <w:rStyle w:val="10"/>
                <w:rFonts w:hint="eastAsia"/>
              </w:rPr>
              <w:t>农药名称：</w:t>
            </w:r>
            <w:r>
              <w:rPr>
                <w:rFonts w:hint="eastAsia"/>
              </w:rPr>
              <w:t>二氯喹啉酸</w:t>
            </w:r>
          </w:p>
        </w:tc>
      </w:tr>
      <w:tr w14:paraId="5E7CB43F">
        <w:tblPrEx>
          <w:tblCellMar>
            <w:top w:w="0" w:type="dxa"/>
            <w:left w:w="0" w:type="dxa"/>
            <w:bottom w:w="0" w:type="dxa"/>
            <w:right w:w="0" w:type="dxa"/>
          </w:tblCellMar>
        </w:tblPrEx>
        <w:trPr>
          <w:wBefore w:w="0" w:type="auto"/>
          <w:tblCellSpacing w:w="0" w:type="dxa"/>
        </w:trPr>
        <w:tc>
          <w:tcPr>
            <w:tcW w:w="0" w:type="auto"/>
            <w:noWrap w:val="0"/>
            <w:vAlign w:val="center"/>
          </w:tcPr>
          <w:p w14:paraId="28DC51B5">
            <w:r>
              <w:rPr>
                <w:rStyle w:val="10"/>
                <w:rFonts w:hint="eastAsia"/>
              </w:rPr>
              <w:t>剂型：</w:t>
            </w:r>
            <w:r>
              <w:rPr>
                <w:rFonts w:hint="eastAsia"/>
              </w:rPr>
              <w:t>可溶粉剂</w:t>
            </w:r>
          </w:p>
        </w:tc>
      </w:tr>
      <w:tr w14:paraId="5E64DE56">
        <w:tblPrEx>
          <w:tblCellMar>
            <w:top w:w="0" w:type="dxa"/>
            <w:left w:w="0" w:type="dxa"/>
            <w:bottom w:w="0" w:type="dxa"/>
            <w:right w:w="0" w:type="dxa"/>
          </w:tblCellMar>
        </w:tblPrEx>
        <w:trPr>
          <w:wBefore w:w="0" w:type="auto"/>
          <w:tblCellSpacing w:w="0" w:type="dxa"/>
        </w:trPr>
        <w:tc>
          <w:tcPr>
            <w:tcW w:w="0" w:type="auto"/>
            <w:noWrap w:val="0"/>
            <w:vAlign w:val="center"/>
          </w:tcPr>
          <w:p w14:paraId="24FA59F8">
            <w:r>
              <w:rPr>
                <w:rStyle w:val="10"/>
                <w:rFonts w:hint="eastAsia"/>
              </w:rPr>
              <w:t>毒性及其标识：</w:t>
            </w:r>
            <w:r>
              <w:rPr>
                <w:rFonts w:hint="eastAsia"/>
              </w:rPr>
              <w:t xml:space="preserve"> </w:t>
            </w:r>
            <w:r>
              <w:rPr>
                <w:lang/>
              </w:rPr>
              <w:drawing>
                <wp:inline distT="0" distB="0" distL="114300" distR="114300">
                  <wp:extent cx="476250" cy="323850"/>
                  <wp:effectExtent l="0" t="0" r="0" b="0"/>
                  <wp:docPr id="408" name="图片 4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74F0E5">
        <w:tblPrEx>
          <w:tblCellMar>
            <w:top w:w="0" w:type="dxa"/>
            <w:left w:w="0" w:type="dxa"/>
            <w:bottom w:w="0" w:type="dxa"/>
            <w:right w:w="0" w:type="dxa"/>
          </w:tblCellMar>
        </w:tblPrEx>
        <w:trPr>
          <w:wBefore w:w="0" w:type="auto"/>
          <w:tblCellSpacing w:w="0" w:type="dxa"/>
        </w:trPr>
        <w:tc>
          <w:tcPr>
            <w:tcW w:w="0" w:type="auto"/>
            <w:noWrap w:val="0"/>
            <w:vAlign w:val="center"/>
          </w:tcPr>
          <w:p w14:paraId="712514DA">
            <w:r>
              <w:rPr>
                <w:rStyle w:val="10"/>
                <w:rFonts w:hint="eastAsia"/>
              </w:rPr>
              <w:t>总有效成分含量：</w:t>
            </w:r>
            <w:r>
              <w:rPr>
                <w:rFonts w:hint="eastAsia"/>
              </w:rPr>
              <w:t>50%</w:t>
            </w:r>
          </w:p>
        </w:tc>
      </w:tr>
      <w:tr w14:paraId="0A0ECD07">
        <w:tblPrEx>
          <w:tblCellMar>
            <w:top w:w="0" w:type="dxa"/>
            <w:left w:w="0" w:type="dxa"/>
            <w:bottom w:w="0" w:type="dxa"/>
            <w:right w:w="0" w:type="dxa"/>
          </w:tblCellMar>
        </w:tblPrEx>
        <w:trPr>
          <w:wBefore w:w="0" w:type="auto"/>
          <w:tblCellSpacing w:w="0" w:type="dxa"/>
        </w:trPr>
        <w:tc>
          <w:tcPr>
            <w:tcW w:w="0" w:type="auto"/>
            <w:noWrap w:val="0"/>
            <w:vAlign w:val="center"/>
          </w:tcPr>
          <w:p w14:paraId="30AA18EA">
            <w:r>
              <w:rPr>
                <w:rFonts w:hint="eastAsia"/>
              </w:rPr>
              <w:t xml:space="preserve">有效成分及其含量： </w:t>
            </w:r>
          </w:p>
          <w:p w14:paraId="5E2676BA">
            <w:r>
              <w:rPr>
                <w:rFonts w:hint="eastAsia"/>
              </w:rPr>
              <w:t xml:space="preserve">    二氯喹啉酸50%    </w:t>
            </w:r>
          </w:p>
        </w:tc>
      </w:tr>
      <w:tr w14:paraId="6E2F8C80">
        <w:tblPrEx>
          <w:tblCellMar>
            <w:top w:w="0" w:type="dxa"/>
            <w:left w:w="0" w:type="dxa"/>
            <w:bottom w:w="0" w:type="dxa"/>
            <w:right w:w="0" w:type="dxa"/>
          </w:tblCellMar>
        </w:tblPrEx>
        <w:trPr>
          <w:wBefore w:w="0" w:type="auto"/>
          <w:tblCellSpacing w:w="0" w:type="dxa"/>
        </w:trPr>
        <w:tc>
          <w:tcPr>
            <w:tcW w:w="0" w:type="auto"/>
            <w:noWrap w:val="0"/>
            <w:vAlign w:val="center"/>
          </w:tcPr>
          <w:p w14:paraId="4F71B8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0781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244B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8EE7A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C3A3E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8AE831">
                  <w:r>
                    <w:rPr>
                      <w:rStyle w:val="11"/>
                      <w:rFonts w:hint="eastAsia"/>
                    </w:rPr>
                    <w:t>施用方式</w:t>
                  </w:r>
                </w:p>
              </w:tc>
            </w:tr>
            <w:tr w14:paraId="46BE96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39F7D3">
                  <w:r>
                    <w:rPr>
                      <w:rStyle w:val="11"/>
                      <w:rFonts w:hint="eastAsia"/>
                    </w:rPr>
                    <w:t>移栽水稻田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46DE33">
                  <w:r>
                    <w:rPr>
                      <w:rStyle w:val="11"/>
                      <w:rFonts w:hint="eastAsia"/>
                    </w:rPr>
                    <w:t>稗草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1E2521">
                  <w:r>
                    <w:rPr>
                      <w:rStyle w:val="11"/>
                      <w:rFonts w:hint="eastAsia"/>
                    </w:rPr>
                    <w:t>40-50克/亩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D69873">
                  <w:r>
                    <w:rPr>
                      <w:rStyle w:val="11"/>
                      <w:rFonts w:hint="eastAsia"/>
                    </w:rPr>
                    <w:t>茎叶喷雾</w:t>
                  </w:r>
                </w:p>
              </w:tc>
            </w:tr>
          </w:tbl>
          <w:p w14:paraId="77314BEF">
            <w:pPr>
              <w:rPr>
                <w:rFonts w:ascii="Times New Roman" w:hAnsi="Times New Roman" w:cs="Times New Roman"/>
                <w:sz w:val="20"/>
                <w:szCs w:val="20"/>
              </w:rPr>
            </w:pPr>
          </w:p>
        </w:tc>
      </w:tr>
      <w:tr w14:paraId="7422EFC4">
        <w:tblPrEx>
          <w:tblCellMar>
            <w:top w:w="0" w:type="dxa"/>
            <w:left w:w="0" w:type="dxa"/>
            <w:bottom w:w="0" w:type="dxa"/>
            <w:right w:w="0" w:type="dxa"/>
          </w:tblCellMar>
        </w:tblPrEx>
        <w:trPr>
          <w:wBefore w:w="0" w:type="auto"/>
          <w:tblCellSpacing w:w="0" w:type="dxa"/>
        </w:trPr>
        <w:tc>
          <w:tcPr>
            <w:tcW w:w="0" w:type="auto"/>
            <w:noWrap w:val="0"/>
            <w:vAlign w:val="center"/>
          </w:tcPr>
          <w:p w14:paraId="6DE94C01">
            <w:r>
              <w:rPr>
                <w:rStyle w:val="10"/>
                <w:rFonts w:hint="eastAsia"/>
              </w:rPr>
              <w:t>使用技术要求:</w:t>
            </w:r>
            <w:r>
              <w:rPr>
                <w:rFonts w:hint="eastAsia"/>
              </w:rPr>
              <w:br w:type="textWrapping"/>
            </w:r>
            <w:r>
              <w:rPr>
                <w:rStyle w:val="11"/>
                <w:rFonts w:hint="eastAsia"/>
              </w:rPr>
              <w:t>1. 于水稻移栽后7-10天，稗草3叶期前进行茎叶喷雾1次，施药前排干田水，施药2天后复水，保持浅水层7天后正常田间管理。 2. 每亩喷足30-50公斤药液，均匀喷雾，使稗草全株受药，保证防效。 3. 大风或预计1小时内降雨，请勿施药。 4. 每季作物使用1次。</w:t>
            </w:r>
          </w:p>
        </w:tc>
      </w:tr>
      <w:tr w14:paraId="73BC3A73">
        <w:tblPrEx>
          <w:tblCellMar>
            <w:top w:w="0" w:type="dxa"/>
            <w:left w:w="0" w:type="dxa"/>
            <w:bottom w:w="0" w:type="dxa"/>
            <w:right w:w="0" w:type="dxa"/>
          </w:tblCellMar>
        </w:tblPrEx>
        <w:trPr>
          <w:wBefore w:w="0" w:type="auto"/>
          <w:tblCellSpacing w:w="0" w:type="dxa"/>
        </w:trPr>
        <w:tc>
          <w:tcPr>
            <w:tcW w:w="0" w:type="auto"/>
            <w:noWrap w:val="0"/>
            <w:vAlign w:val="center"/>
          </w:tcPr>
          <w:p w14:paraId="57E7EC07">
            <w:r>
              <w:rPr>
                <w:rStyle w:val="10"/>
                <w:rFonts w:hint="eastAsia"/>
              </w:rPr>
              <w:t>产品性能:</w:t>
            </w:r>
            <w:r>
              <w:rPr>
                <w:rFonts w:hint="eastAsia"/>
              </w:rPr>
              <w:br w:type="textWrapping"/>
            </w:r>
            <w:r>
              <w:rPr>
                <w:rStyle w:val="11"/>
                <w:rFonts w:hint="eastAsia"/>
              </w:rPr>
              <w:t>本品属类似激素类除草剂，能通过萌发的种子、根及叶部迅速吸收并起杀草作用。对土壤含水量要求不严格，在湿润情况下可发挥药效。有效防除稗草，对莎草和阔叶杂草基本无效。</w:t>
            </w:r>
          </w:p>
        </w:tc>
      </w:tr>
      <w:tr w14:paraId="16F49272">
        <w:tblPrEx>
          <w:tblCellMar>
            <w:top w:w="0" w:type="dxa"/>
            <w:left w:w="0" w:type="dxa"/>
            <w:bottom w:w="0" w:type="dxa"/>
            <w:right w:w="0" w:type="dxa"/>
          </w:tblCellMar>
        </w:tblPrEx>
        <w:trPr>
          <w:wBefore w:w="0" w:type="auto"/>
          <w:tblCellSpacing w:w="0" w:type="dxa"/>
        </w:trPr>
        <w:tc>
          <w:tcPr>
            <w:tcW w:w="0" w:type="auto"/>
            <w:noWrap w:val="0"/>
            <w:vAlign w:val="center"/>
          </w:tcPr>
          <w:p w14:paraId="43E7A135">
            <w:r>
              <w:rPr>
                <w:rStyle w:val="10"/>
                <w:rFonts w:hint="eastAsia"/>
              </w:rPr>
              <w:t>注意事项：</w:t>
            </w:r>
            <w:r>
              <w:rPr>
                <w:rFonts w:hint="eastAsia"/>
              </w:rPr>
              <w:br w:type="textWrapping"/>
            </w:r>
            <w:r>
              <w:rPr>
                <w:rStyle w:val="11"/>
                <w:rFonts w:hint="eastAsia"/>
              </w:rPr>
              <w:t>1. 施药田后茬及第二年不宜种甜菜、茄子、烟草、番茄等敏感作物，可种植水稻、小粒谷物、玉米、高粱。 2. 施药及排水时应注意对邻近旱田阔叶作物和禾本科作物的影响，以免发生药害。 3. 水稻病苗、弱苗慎用。在漏水比较严重的稻田施药时注意保持水层，否则会影响水稻正常生长。 4. 本品对鱼类等水生生物有毒，水产养殖区、河塘等水体附近禁用，禁止在河塘等水域清洗施药器具。桑园及蚕室附近禁用。养鱼稻田禁用。 5. 本品对眼睛有刺激性，使用时避免接触眼睛，穿戴长衣、长裤、帽子、口罩、手套等防护措施。施药期间不可吃东西和饮水。施药后应及时洗手和洗脸。</w:t>
            </w:r>
          </w:p>
        </w:tc>
      </w:tr>
      <w:tr w14:paraId="12DC0F1B">
        <w:tblPrEx>
          <w:tblCellMar>
            <w:top w:w="0" w:type="dxa"/>
            <w:left w:w="0" w:type="dxa"/>
            <w:bottom w:w="0" w:type="dxa"/>
            <w:right w:w="0" w:type="dxa"/>
          </w:tblCellMar>
        </w:tblPrEx>
        <w:trPr>
          <w:wBefore w:w="0" w:type="auto"/>
          <w:tblCellSpacing w:w="0" w:type="dxa"/>
        </w:trPr>
        <w:tc>
          <w:tcPr>
            <w:tcW w:w="0" w:type="auto"/>
            <w:noWrap w:val="0"/>
            <w:vAlign w:val="center"/>
          </w:tcPr>
          <w:p w14:paraId="202F2881">
            <w:r>
              <w:rPr>
                <w:rStyle w:val="10"/>
                <w:rFonts w:hint="eastAsia"/>
              </w:rPr>
              <w:t>中毒急救措施：</w:t>
            </w:r>
            <w:r>
              <w:rPr>
                <w:rFonts w:hint="eastAsia"/>
              </w:rPr>
              <w:br w:type="textWrapping"/>
            </w:r>
            <w:r>
              <w:rPr>
                <w:rStyle w:val="11"/>
                <w:rFonts w:hint="eastAsia"/>
              </w:rPr>
              <w:t>1. 若误食中毒，应立即服用大量清水催吐，并送医院对症治疗。 2. 如药液溅到眼内，应及时用清水冲洗至少15分钟。 3. 如药液溅到皮肤，应及时用水冲洗，并换洗衣服。</w:t>
            </w:r>
          </w:p>
        </w:tc>
      </w:tr>
      <w:tr w14:paraId="7629795F">
        <w:tblPrEx>
          <w:tblCellMar>
            <w:top w:w="0" w:type="dxa"/>
            <w:left w:w="0" w:type="dxa"/>
            <w:bottom w:w="0" w:type="dxa"/>
            <w:right w:w="0" w:type="dxa"/>
          </w:tblCellMar>
        </w:tblPrEx>
        <w:trPr>
          <w:wBefore w:w="0" w:type="auto"/>
          <w:tblCellSpacing w:w="0" w:type="dxa"/>
        </w:trPr>
        <w:tc>
          <w:tcPr>
            <w:tcW w:w="0" w:type="auto"/>
            <w:noWrap w:val="0"/>
            <w:vAlign w:val="center"/>
          </w:tcPr>
          <w:p w14:paraId="6FA53BA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本品应贮存在干燥、阴凉、通风、防雨处。远离火源或热源。置于儿童触及不到之处，并加锁。勿与食品、饮料、饲料等其他商品同贮同运。用过的容器应妥善处理，不可做它用，也不可随意丢弃。</w:t>
            </w:r>
          </w:p>
        </w:tc>
      </w:tr>
      <w:tr w14:paraId="05000718">
        <w:tblPrEx>
          <w:tblCellMar>
            <w:top w:w="0" w:type="dxa"/>
            <w:left w:w="0" w:type="dxa"/>
            <w:bottom w:w="0" w:type="dxa"/>
            <w:right w:w="0" w:type="dxa"/>
          </w:tblCellMar>
        </w:tblPrEx>
        <w:trPr>
          <w:wBefore w:w="0" w:type="auto"/>
          <w:tblCellSpacing w:w="0" w:type="dxa"/>
        </w:trPr>
        <w:tc>
          <w:tcPr>
            <w:tcW w:w="0" w:type="auto"/>
            <w:noWrap w:val="0"/>
            <w:vAlign w:val="center"/>
          </w:tcPr>
          <w:p w14:paraId="1607749A">
            <w:r>
              <w:rPr>
                <w:rStyle w:val="10"/>
                <w:rFonts w:hint="eastAsia"/>
              </w:rPr>
              <w:t>质量保证期：</w:t>
            </w:r>
            <w:r>
              <w:rPr>
                <w:rStyle w:val="11"/>
                <w:rFonts w:hint="eastAsia"/>
              </w:rPr>
              <w:t>2年</w:t>
            </w:r>
          </w:p>
        </w:tc>
      </w:tr>
      <w:tr w14:paraId="0351EBF5">
        <w:tblPrEx>
          <w:tblCellMar>
            <w:top w:w="0" w:type="dxa"/>
            <w:left w:w="0" w:type="dxa"/>
            <w:bottom w:w="0" w:type="dxa"/>
            <w:right w:w="0" w:type="dxa"/>
          </w:tblCellMar>
        </w:tblPrEx>
        <w:trPr>
          <w:wBefore w:w="0" w:type="auto"/>
          <w:tblCellSpacing w:w="0" w:type="dxa"/>
        </w:trPr>
        <w:tc>
          <w:tcPr>
            <w:tcW w:w="0" w:type="auto"/>
            <w:noWrap w:val="0"/>
            <w:vAlign w:val="center"/>
          </w:tcPr>
          <w:p w14:paraId="30ACDD87">
            <w:r>
              <w:rPr>
                <w:rStyle w:val="10"/>
                <w:rFonts w:hint="eastAsia"/>
              </w:rPr>
              <w:t>备注：</w:t>
            </w:r>
            <w:r>
              <w:rPr>
                <w:rFonts w:hint="eastAsia"/>
              </w:rPr>
              <w:br w:type="textWrapping"/>
            </w:r>
            <w:r>
              <w:rPr>
                <w:rStyle w:val="11"/>
                <w:rFonts w:hint="eastAsia"/>
              </w:rPr>
              <w:t>二氯喹啉酸钠盐57%。</w:t>
            </w:r>
          </w:p>
        </w:tc>
      </w:tr>
    </w:tbl>
    <w:p w14:paraId="08636F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42AC1B">
        <w:tblPrEx>
          <w:tblCellMar>
            <w:top w:w="0" w:type="dxa"/>
            <w:left w:w="0" w:type="dxa"/>
            <w:bottom w:w="0" w:type="dxa"/>
            <w:right w:w="0" w:type="dxa"/>
          </w:tblCellMar>
        </w:tblPrEx>
        <w:trPr>
          <w:wBefore w:w="0" w:type="auto"/>
          <w:tblCellSpacing w:w="0" w:type="dxa"/>
        </w:trPr>
        <w:tc>
          <w:tcPr>
            <w:tcW w:w="0" w:type="auto"/>
            <w:noWrap w:val="0"/>
            <w:vAlign w:val="center"/>
          </w:tcPr>
          <w:p w14:paraId="6283546A">
            <w:r>
              <w:rPr>
                <w:rStyle w:val="10"/>
                <w:rFonts w:hint="eastAsia"/>
              </w:rPr>
              <w:t>登记证号：</w:t>
            </w:r>
            <w:r>
              <w:rPr>
                <w:rFonts w:hint="eastAsia"/>
              </w:rPr>
              <w:t>PD20212640</w:t>
            </w:r>
          </w:p>
        </w:tc>
      </w:tr>
      <w:tr w14:paraId="298DCF69">
        <w:tblPrEx>
          <w:tblCellMar>
            <w:top w:w="0" w:type="dxa"/>
            <w:left w:w="0" w:type="dxa"/>
            <w:bottom w:w="0" w:type="dxa"/>
            <w:right w:w="0" w:type="dxa"/>
          </w:tblCellMar>
        </w:tblPrEx>
        <w:trPr>
          <w:wBefore w:w="0" w:type="auto"/>
          <w:tblCellSpacing w:w="0" w:type="dxa"/>
        </w:trPr>
        <w:tc>
          <w:tcPr>
            <w:tcW w:w="0" w:type="auto"/>
            <w:noWrap w:val="0"/>
            <w:vAlign w:val="center"/>
          </w:tcPr>
          <w:p w14:paraId="7E668792">
            <w:r>
              <w:rPr>
                <w:rStyle w:val="10"/>
                <w:rFonts w:hint="eastAsia"/>
              </w:rPr>
              <w:t>登记证持有人：</w:t>
            </w:r>
            <w:r>
              <w:rPr>
                <w:rFonts w:hint="eastAsia"/>
              </w:rPr>
              <w:t>安徽金土地生物科技有限公司</w:t>
            </w:r>
          </w:p>
        </w:tc>
      </w:tr>
      <w:tr w14:paraId="2E79BEB5">
        <w:tblPrEx>
          <w:tblCellMar>
            <w:top w:w="0" w:type="dxa"/>
            <w:left w:w="0" w:type="dxa"/>
            <w:bottom w:w="0" w:type="dxa"/>
            <w:right w:w="0" w:type="dxa"/>
          </w:tblCellMar>
        </w:tblPrEx>
        <w:trPr>
          <w:wBefore w:w="0" w:type="auto"/>
          <w:tblCellSpacing w:w="0" w:type="dxa"/>
        </w:trPr>
        <w:tc>
          <w:tcPr>
            <w:tcW w:w="0" w:type="auto"/>
            <w:noWrap w:val="0"/>
            <w:vAlign w:val="center"/>
          </w:tcPr>
          <w:p w14:paraId="27ADEEBC">
            <w:r>
              <w:rPr>
                <w:rStyle w:val="10"/>
                <w:rFonts w:hint="eastAsia"/>
              </w:rPr>
              <w:t>农药名称：</w:t>
            </w:r>
            <w:r>
              <w:rPr>
                <w:rFonts w:hint="eastAsia"/>
              </w:rPr>
              <w:t>吡嘧磺隆</w:t>
            </w:r>
          </w:p>
        </w:tc>
      </w:tr>
      <w:tr w14:paraId="2569F4D1">
        <w:tblPrEx>
          <w:tblCellMar>
            <w:top w:w="0" w:type="dxa"/>
            <w:left w:w="0" w:type="dxa"/>
            <w:bottom w:w="0" w:type="dxa"/>
            <w:right w:w="0" w:type="dxa"/>
          </w:tblCellMar>
        </w:tblPrEx>
        <w:trPr>
          <w:wBefore w:w="0" w:type="auto"/>
          <w:tblCellSpacing w:w="0" w:type="dxa"/>
        </w:trPr>
        <w:tc>
          <w:tcPr>
            <w:tcW w:w="0" w:type="auto"/>
            <w:noWrap w:val="0"/>
            <w:vAlign w:val="center"/>
          </w:tcPr>
          <w:p w14:paraId="697BE7DA">
            <w:r>
              <w:rPr>
                <w:rStyle w:val="10"/>
                <w:rFonts w:hint="eastAsia"/>
              </w:rPr>
              <w:t>剂型：</w:t>
            </w:r>
            <w:r>
              <w:rPr>
                <w:rFonts w:hint="eastAsia"/>
              </w:rPr>
              <w:t>可分散油悬浮剂</w:t>
            </w:r>
          </w:p>
        </w:tc>
      </w:tr>
      <w:tr w14:paraId="1D5D99AD">
        <w:tblPrEx>
          <w:tblCellMar>
            <w:top w:w="0" w:type="dxa"/>
            <w:left w:w="0" w:type="dxa"/>
            <w:bottom w:w="0" w:type="dxa"/>
            <w:right w:w="0" w:type="dxa"/>
          </w:tblCellMar>
        </w:tblPrEx>
        <w:trPr>
          <w:wBefore w:w="0" w:type="auto"/>
          <w:tblCellSpacing w:w="0" w:type="dxa"/>
        </w:trPr>
        <w:tc>
          <w:tcPr>
            <w:tcW w:w="0" w:type="auto"/>
            <w:noWrap w:val="0"/>
            <w:vAlign w:val="center"/>
          </w:tcPr>
          <w:p w14:paraId="7DB4BA9D">
            <w:r>
              <w:rPr>
                <w:rStyle w:val="10"/>
                <w:rFonts w:hint="eastAsia"/>
              </w:rPr>
              <w:t>毒性及其标识：</w:t>
            </w:r>
            <w:r>
              <w:rPr>
                <w:rFonts w:hint="eastAsia"/>
              </w:rPr>
              <w:t xml:space="preserve"> </w:t>
            </w:r>
            <w:r>
              <w:rPr>
                <w:lang/>
              </w:rPr>
              <w:drawing>
                <wp:inline distT="0" distB="0" distL="114300" distR="114300">
                  <wp:extent cx="476250" cy="323850"/>
                  <wp:effectExtent l="0" t="0" r="0" b="0"/>
                  <wp:docPr id="409" name="图片 4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869173">
        <w:tblPrEx>
          <w:tblCellMar>
            <w:top w:w="0" w:type="dxa"/>
            <w:left w:w="0" w:type="dxa"/>
            <w:bottom w:w="0" w:type="dxa"/>
            <w:right w:w="0" w:type="dxa"/>
          </w:tblCellMar>
        </w:tblPrEx>
        <w:trPr>
          <w:wBefore w:w="0" w:type="auto"/>
          <w:tblCellSpacing w:w="0" w:type="dxa"/>
        </w:trPr>
        <w:tc>
          <w:tcPr>
            <w:tcW w:w="0" w:type="auto"/>
            <w:noWrap w:val="0"/>
            <w:vAlign w:val="center"/>
          </w:tcPr>
          <w:p w14:paraId="0AD05A6C">
            <w:r>
              <w:rPr>
                <w:rStyle w:val="10"/>
                <w:rFonts w:hint="eastAsia"/>
              </w:rPr>
              <w:t>总有效成分含量：</w:t>
            </w:r>
            <w:r>
              <w:rPr>
                <w:rFonts w:hint="eastAsia"/>
              </w:rPr>
              <w:t>20%</w:t>
            </w:r>
          </w:p>
        </w:tc>
      </w:tr>
      <w:tr w14:paraId="549137C1">
        <w:tblPrEx>
          <w:tblCellMar>
            <w:top w:w="0" w:type="dxa"/>
            <w:left w:w="0" w:type="dxa"/>
            <w:bottom w:w="0" w:type="dxa"/>
            <w:right w:w="0" w:type="dxa"/>
          </w:tblCellMar>
        </w:tblPrEx>
        <w:trPr>
          <w:wBefore w:w="0" w:type="auto"/>
          <w:tblCellSpacing w:w="0" w:type="dxa"/>
        </w:trPr>
        <w:tc>
          <w:tcPr>
            <w:tcW w:w="0" w:type="auto"/>
            <w:noWrap w:val="0"/>
            <w:vAlign w:val="center"/>
          </w:tcPr>
          <w:p w14:paraId="632CCFF2">
            <w:r>
              <w:rPr>
                <w:rFonts w:hint="eastAsia"/>
              </w:rPr>
              <w:t xml:space="preserve">有效成分及其含量： </w:t>
            </w:r>
          </w:p>
          <w:p w14:paraId="00E84755">
            <w:r>
              <w:rPr>
                <w:rFonts w:hint="eastAsia"/>
              </w:rPr>
              <w:t xml:space="preserve">    吡嘧磺隆20%    </w:t>
            </w:r>
          </w:p>
        </w:tc>
      </w:tr>
      <w:tr w14:paraId="6744FC66">
        <w:tblPrEx>
          <w:tblCellMar>
            <w:top w:w="0" w:type="dxa"/>
            <w:left w:w="0" w:type="dxa"/>
            <w:bottom w:w="0" w:type="dxa"/>
            <w:right w:w="0" w:type="dxa"/>
          </w:tblCellMar>
        </w:tblPrEx>
        <w:trPr>
          <w:wBefore w:w="0" w:type="auto"/>
          <w:tblCellSpacing w:w="0" w:type="dxa"/>
        </w:trPr>
        <w:tc>
          <w:tcPr>
            <w:tcW w:w="0" w:type="auto"/>
            <w:noWrap w:val="0"/>
            <w:vAlign w:val="center"/>
          </w:tcPr>
          <w:p w14:paraId="01A1EB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C3F8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66BA7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8CE8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A623F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EC1AFD">
                  <w:r>
                    <w:rPr>
                      <w:rStyle w:val="11"/>
                      <w:rFonts w:hint="eastAsia"/>
                    </w:rPr>
                    <w:t>施用方式</w:t>
                  </w:r>
                </w:p>
              </w:tc>
            </w:tr>
            <w:tr w14:paraId="280A9E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1E6EF3">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CF02E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7C30EF">
                  <w:r>
                    <w:rPr>
                      <w:rStyle w:val="11"/>
                      <w:rFonts w:hint="eastAsia"/>
                    </w:rPr>
                    <w:t>7-11毫升/亩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940CD5">
                  <w:r>
                    <w:rPr>
                      <w:rStyle w:val="11"/>
                      <w:rFonts w:hint="eastAsia"/>
                    </w:rPr>
                    <w:t>茎叶喷雾</w:t>
                  </w:r>
                </w:p>
              </w:tc>
            </w:tr>
          </w:tbl>
          <w:p w14:paraId="0B1381A5">
            <w:pPr>
              <w:rPr>
                <w:rFonts w:ascii="Times New Roman" w:hAnsi="Times New Roman" w:cs="Times New Roman"/>
                <w:sz w:val="20"/>
                <w:szCs w:val="20"/>
              </w:rPr>
            </w:pPr>
          </w:p>
        </w:tc>
      </w:tr>
      <w:tr w14:paraId="4874FBA4">
        <w:tblPrEx>
          <w:tblCellMar>
            <w:top w:w="0" w:type="dxa"/>
            <w:left w:w="0" w:type="dxa"/>
            <w:bottom w:w="0" w:type="dxa"/>
            <w:right w:w="0" w:type="dxa"/>
          </w:tblCellMar>
        </w:tblPrEx>
        <w:trPr>
          <w:wBefore w:w="0" w:type="auto"/>
          <w:tblCellSpacing w:w="0" w:type="dxa"/>
        </w:trPr>
        <w:tc>
          <w:tcPr>
            <w:tcW w:w="0" w:type="auto"/>
            <w:noWrap w:val="0"/>
            <w:vAlign w:val="center"/>
          </w:tcPr>
          <w:p w14:paraId="3BAB03B9">
            <w:r>
              <w:rPr>
                <w:rStyle w:val="10"/>
                <w:rFonts w:hint="eastAsia"/>
              </w:rPr>
              <w:t>使用技术要求:</w:t>
            </w:r>
            <w:r>
              <w:rPr>
                <w:rFonts w:hint="eastAsia"/>
              </w:rPr>
              <w:br w:type="textWrapping"/>
            </w:r>
            <w:r>
              <w:rPr>
                <w:rStyle w:val="11"/>
                <w:rFonts w:hint="eastAsia"/>
              </w:rPr>
              <w:t>1、水稻秧苗二叶一心以后，杂草2～4叶期。2.茎叶喷雾，施药前排水，杂草2/3以上露出水面，第二天灌水，保持3～5厘米水层5～7天，以后正常管理。 3、大风天或预计1小时内降雨，请勿施药。 4、每季作物最多使用1次。</w:t>
            </w:r>
          </w:p>
        </w:tc>
      </w:tr>
      <w:tr w14:paraId="336DF55A">
        <w:tblPrEx>
          <w:tblCellMar>
            <w:top w:w="0" w:type="dxa"/>
            <w:left w:w="0" w:type="dxa"/>
            <w:bottom w:w="0" w:type="dxa"/>
            <w:right w:w="0" w:type="dxa"/>
          </w:tblCellMar>
        </w:tblPrEx>
        <w:trPr>
          <w:wBefore w:w="0" w:type="auto"/>
          <w:tblCellSpacing w:w="0" w:type="dxa"/>
        </w:trPr>
        <w:tc>
          <w:tcPr>
            <w:tcW w:w="0" w:type="auto"/>
            <w:noWrap w:val="0"/>
            <w:vAlign w:val="center"/>
          </w:tcPr>
          <w:p w14:paraId="45CBB842">
            <w:r>
              <w:rPr>
                <w:rStyle w:val="10"/>
                <w:rFonts w:hint="eastAsia"/>
              </w:rPr>
              <w:t>产品性能:</w:t>
            </w:r>
            <w:r>
              <w:rPr>
                <w:rFonts w:hint="eastAsia"/>
              </w:rPr>
              <w:br w:type="textWrapping"/>
            </w:r>
            <w:r>
              <w:rPr>
                <w:rStyle w:val="11"/>
                <w:rFonts w:hint="eastAsia"/>
              </w:rPr>
              <w:t>属磺酰脲类除草剂，为选择性内吸传导型除草剂，主要通过根系被吸收，在杂草植株体内迅速转移，抑制生长，杂草逐渐死亡。可以防除一年生和多年生阔叶杂草和莎草科杂草，如异性莎草、水莎草、萤蔺、鸭舌草、水芹等。</w:t>
            </w:r>
          </w:p>
        </w:tc>
      </w:tr>
      <w:tr w14:paraId="4E7050EB">
        <w:tblPrEx>
          <w:tblCellMar>
            <w:top w:w="0" w:type="dxa"/>
            <w:left w:w="0" w:type="dxa"/>
            <w:bottom w:w="0" w:type="dxa"/>
            <w:right w:w="0" w:type="dxa"/>
          </w:tblCellMar>
        </w:tblPrEx>
        <w:trPr>
          <w:wBefore w:w="0" w:type="auto"/>
          <w:tblCellSpacing w:w="0" w:type="dxa"/>
        </w:trPr>
        <w:tc>
          <w:tcPr>
            <w:tcW w:w="0" w:type="auto"/>
            <w:noWrap w:val="0"/>
            <w:vAlign w:val="center"/>
          </w:tcPr>
          <w:p w14:paraId="73C77212">
            <w:r>
              <w:rPr>
                <w:rStyle w:val="10"/>
                <w:rFonts w:hint="eastAsia"/>
              </w:rPr>
              <w:t>注意事项：</w:t>
            </w:r>
            <w:r>
              <w:rPr>
                <w:rFonts w:hint="eastAsia"/>
              </w:rPr>
              <w:br w:type="textWrapping"/>
            </w:r>
            <w:r>
              <w:rPr>
                <w:rStyle w:val="11"/>
                <w:rFonts w:hint="eastAsia"/>
              </w:rPr>
              <w:t>1、远离水产养殖区、河塘等水体施药；禁止在河塘等水体中清洗施药器具。 2.鱼或虾蟹套养稻田禁用，施药后的田水不得直接排入水体。2、请按照农药安全使用规范使用本品。应根据田间杂草草相及抗性等具体情况，科学合理用药。3、使用本品时应穿长衣长裤、靴子、戴手套、眼镜、口罩等适当的防护用具，避免吸入药液；施药期间不可吃东西、饮水、吸烟等；施药后应及时洗手、洗脸并洗涤施药时穿着的衣物。4、废弃物应妥善处理，不可做他用，也不可随意丢弃。药后及时彻底清洗药械，废弃物切勿污染水源或水体。5、避免孕妇及哺乳期的妇女接触本品。6、本产品符合标签说明，请严格按照标签说明使用。</w:t>
            </w:r>
          </w:p>
        </w:tc>
      </w:tr>
      <w:tr w14:paraId="684EBE53">
        <w:tblPrEx>
          <w:tblCellMar>
            <w:top w:w="0" w:type="dxa"/>
            <w:left w:w="0" w:type="dxa"/>
            <w:bottom w:w="0" w:type="dxa"/>
            <w:right w:w="0" w:type="dxa"/>
          </w:tblCellMar>
        </w:tblPrEx>
        <w:trPr>
          <w:wBefore w:w="0" w:type="auto"/>
          <w:tblCellSpacing w:w="0" w:type="dxa"/>
        </w:trPr>
        <w:tc>
          <w:tcPr>
            <w:tcW w:w="0" w:type="auto"/>
            <w:noWrap w:val="0"/>
            <w:vAlign w:val="center"/>
          </w:tcPr>
          <w:p w14:paraId="7F50B402">
            <w:r>
              <w:rPr>
                <w:rStyle w:val="10"/>
                <w:rFonts w:hint="eastAsia"/>
              </w:rPr>
              <w:t>中毒急救措施：</w:t>
            </w:r>
            <w:r>
              <w:rPr>
                <w:rFonts w:hint="eastAsia"/>
              </w:rPr>
              <w:br w:type="textWrapping"/>
            </w:r>
            <w:r>
              <w:rPr>
                <w:rStyle w:val="11"/>
                <w:rFonts w:hint="eastAsia"/>
              </w:rPr>
              <w:t>皮肤接触：立即脱掉被污染的衣物，用大量清水彻底冲洗受污染皮肤，如皮肤刺激感持续，请医生诊治。眼睛溅药：立即将眼睑翻开，用清水冲洗至少15分钟，再请医生诊治。发生吸入：立即将吸入者转移到空气清新处，如果吸入者停止呼吸，需要进行人工呼吸。注意保暖和休息。请医生诊治。误服：立即携带标签送医院就诊。不要自行引吐，不可饮水。无专用解毒剂，对症治疗。</w:t>
            </w:r>
          </w:p>
        </w:tc>
      </w:tr>
      <w:tr w14:paraId="1024E7E1">
        <w:tblPrEx>
          <w:tblCellMar>
            <w:top w:w="0" w:type="dxa"/>
            <w:left w:w="0" w:type="dxa"/>
            <w:bottom w:w="0" w:type="dxa"/>
            <w:right w:w="0" w:type="dxa"/>
          </w:tblCellMar>
        </w:tblPrEx>
        <w:trPr>
          <w:wBefore w:w="0" w:type="auto"/>
          <w:tblCellSpacing w:w="0" w:type="dxa"/>
        </w:trPr>
        <w:tc>
          <w:tcPr>
            <w:tcW w:w="0" w:type="auto"/>
            <w:noWrap w:val="0"/>
            <w:vAlign w:val="center"/>
          </w:tcPr>
          <w:p w14:paraId="37E10DB5">
            <w:r>
              <w:rPr>
                <w:rStyle w:val="10"/>
                <w:rFonts w:hint="eastAsia"/>
              </w:rPr>
              <w:t>储存和运输方法：</w:t>
            </w:r>
            <w:r>
              <w:rPr>
                <w:rFonts w:hint="eastAsia"/>
              </w:rPr>
              <w:br w:type="textWrapping"/>
            </w:r>
            <w:r>
              <w:rPr>
                <w:rStyle w:val="11"/>
                <w:rFonts w:hint="eastAsia"/>
              </w:rPr>
              <w:t>本品应贮存于通风、干燥、防雨、阴凉处，远离火源或热源置于儿童触及不到之处，并加锁，勿与食品、饮料、饲料、种子等混合储存。贮运时，严防潮湿和日晒，避免与皮肤、眼睛接触，防止口鼻吸入。运输前先检查包装容器是否完整、密封。运输过程中确保容器不泄漏、不倒塌、不坠落、不损坏。</w:t>
            </w:r>
          </w:p>
        </w:tc>
      </w:tr>
      <w:tr w14:paraId="52139BBD">
        <w:tblPrEx>
          <w:tblCellMar>
            <w:top w:w="0" w:type="dxa"/>
            <w:left w:w="0" w:type="dxa"/>
            <w:bottom w:w="0" w:type="dxa"/>
            <w:right w:w="0" w:type="dxa"/>
          </w:tblCellMar>
        </w:tblPrEx>
        <w:trPr>
          <w:wBefore w:w="0" w:type="auto"/>
          <w:tblCellSpacing w:w="0" w:type="dxa"/>
        </w:trPr>
        <w:tc>
          <w:tcPr>
            <w:tcW w:w="0" w:type="auto"/>
            <w:noWrap w:val="0"/>
            <w:vAlign w:val="center"/>
          </w:tcPr>
          <w:p w14:paraId="1F651963">
            <w:r>
              <w:rPr>
                <w:rStyle w:val="10"/>
                <w:rFonts w:hint="eastAsia"/>
              </w:rPr>
              <w:t>质量保证期：</w:t>
            </w:r>
            <w:r>
              <w:rPr>
                <w:rStyle w:val="11"/>
                <w:rFonts w:hint="eastAsia"/>
              </w:rPr>
              <w:t>2年</w:t>
            </w:r>
          </w:p>
        </w:tc>
      </w:tr>
      <w:tr w14:paraId="09DF861F">
        <w:tblPrEx>
          <w:tblCellMar>
            <w:top w:w="0" w:type="dxa"/>
            <w:left w:w="0" w:type="dxa"/>
            <w:bottom w:w="0" w:type="dxa"/>
            <w:right w:w="0" w:type="dxa"/>
          </w:tblCellMar>
        </w:tblPrEx>
        <w:trPr>
          <w:wBefore w:w="0" w:type="auto"/>
          <w:tblCellSpacing w:w="0" w:type="dxa"/>
        </w:trPr>
        <w:tc>
          <w:tcPr>
            <w:tcW w:w="0" w:type="auto"/>
            <w:noWrap w:val="0"/>
            <w:vAlign w:val="center"/>
          </w:tcPr>
          <w:p w14:paraId="38F12867">
            <w:r>
              <w:rPr>
                <w:rStyle w:val="10"/>
                <w:rFonts w:hint="eastAsia"/>
              </w:rPr>
              <w:t>备注：</w:t>
            </w:r>
          </w:p>
        </w:tc>
      </w:tr>
    </w:tbl>
    <w:p w14:paraId="439792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EDA3FD">
        <w:tblPrEx>
          <w:tblCellMar>
            <w:top w:w="0" w:type="dxa"/>
            <w:left w:w="0" w:type="dxa"/>
            <w:bottom w:w="0" w:type="dxa"/>
            <w:right w:w="0" w:type="dxa"/>
          </w:tblCellMar>
        </w:tblPrEx>
        <w:trPr>
          <w:wBefore w:w="0" w:type="auto"/>
          <w:tblCellSpacing w:w="0" w:type="dxa"/>
        </w:trPr>
        <w:tc>
          <w:tcPr>
            <w:tcW w:w="0" w:type="auto"/>
            <w:noWrap w:val="0"/>
            <w:vAlign w:val="center"/>
          </w:tcPr>
          <w:p w14:paraId="50B61292">
            <w:r>
              <w:rPr>
                <w:rStyle w:val="10"/>
                <w:rFonts w:hint="eastAsia"/>
              </w:rPr>
              <w:t>登记证号：</w:t>
            </w:r>
            <w:r>
              <w:rPr>
                <w:rFonts w:hint="eastAsia"/>
              </w:rPr>
              <w:t>PD20212567</w:t>
            </w:r>
          </w:p>
        </w:tc>
      </w:tr>
      <w:tr w14:paraId="19E9B46E">
        <w:tblPrEx>
          <w:tblCellMar>
            <w:top w:w="0" w:type="dxa"/>
            <w:left w:w="0" w:type="dxa"/>
            <w:bottom w:w="0" w:type="dxa"/>
            <w:right w:w="0" w:type="dxa"/>
          </w:tblCellMar>
        </w:tblPrEx>
        <w:trPr>
          <w:wBefore w:w="0" w:type="auto"/>
          <w:tblCellSpacing w:w="0" w:type="dxa"/>
        </w:trPr>
        <w:tc>
          <w:tcPr>
            <w:tcW w:w="0" w:type="auto"/>
            <w:noWrap w:val="0"/>
            <w:vAlign w:val="center"/>
          </w:tcPr>
          <w:p w14:paraId="06F67749">
            <w:r>
              <w:rPr>
                <w:rStyle w:val="10"/>
                <w:rFonts w:hint="eastAsia"/>
              </w:rPr>
              <w:t>登记证持有人：</w:t>
            </w:r>
            <w:r>
              <w:rPr>
                <w:rFonts w:hint="eastAsia"/>
              </w:rPr>
              <w:t>安徽金土地生物科技有限公司</w:t>
            </w:r>
          </w:p>
        </w:tc>
      </w:tr>
      <w:tr w14:paraId="6B765BD3">
        <w:tblPrEx>
          <w:tblCellMar>
            <w:top w:w="0" w:type="dxa"/>
            <w:left w:w="0" w:type="dxa"/>
            <w:bottom w:w="0" w:type="dxa"/>
            <w:right w:w="0" w:type="dxa"/>
          </w:tblCellMar>
        </w:tblPrEx>
        <w:trPr>
          <w:wBefore w:w="0" w:type="auto"/>
          <w:tblCellSpacing w:w="0" w:type="dxa"/>
        </w:trPr>
        <w:tc>
          <w:tcPr>
            <w:tcW w:w="0" w:type="auto"/>
            <w:noWrap w:val="0"/>
            <w:vAlign w:val="center"/>
          </w:tcPr>
          <w:p w14:paraId="26037B13">
            <w:r>
              <w:rPr>
                <w:rStyle w:val="10"/>
                <w:rFonts w:hint="eastAsia"/>
              </w:rPr>
              <w:t>农药名称：</w:t>
            </w:r>
            <w:r>
              <w:rPr>
                <w:rFonts w:hint="eastAsia"/>
              </w:rPr>
              <w:t>二氯喹啉酸·莎稗磷</w:t>
            </w:r>
          </w:p>
        </w:tc>
      </w:tr>
      <w:tr w14:paraId="445CE1B5">
        <w:tblPrEx>
          <w:tblCellMar>
            <w:top w:w="0" w:type="dxa"/>
            <w:left w:w="0" w:type="dxa"/>
            <w:bottom w:w="0" w:type="dxa"/>
            <w:right w:w="0" w:type="dxa"/>
          </w:tblCellMar>
        </w:tblPrEx>
        <w:trPr>
          <w:wBefore w:w="0" w:type="auto"/>
          <w:tblCellSpacing w:w="0" w:type="dxa"/>
        </w:trPr>
        <w:tc>
          <w:tcPr>
            <w:tcW w:w="0" w:type="auto"/>
            <w:noWrap w:val="0"/>
            <w:vAlign w:val="center"/>
          </w:tcPr>
          <w:p w14:paraId="0A79B6CF">
            <w:r>
              <w:rPr>
                <w:rStyle w:val="10"/>
                <w:rFonts w:hint="eastAsia"/>
              </w:rPr>
              <w:t>剂型：</w:t>
            </w:r>
            <w:r>
              <w:rPr>
                <w:rFonts w:hint="eastAsia"/>
              </w:rPr>
              <w:t>可分散油悬浮剂</w:t>
            </w:r>
          </w:p>
        </w:tc>
      </w:tr>
      <w:tr w14:paraId="33F2B241">
        <w:tblPrEx>
          <w:tblCellMar>
            <w:top w:w="0" w:type="dxa"/>
            <w:left w:w="0" w:type="dxa"/>
            <w:bottom w:w="0" w:type="dxa"/>
            <w:right w:w="0" w:type="dxa"/>
          </w:tblCellMar>
        </w:tblPrEx>
        <w:trPr>
          <w:wBefore w:w="0" w:type="auto"/>
          <w:tblCellSpacing w:w="0" w:type="dxa"/>
        </w:trPr>
        <w:tc>
          <w:tcPr>
            <w:tcW w:w="0" w:type="auto"/>
            <w:noWrap w:val="0"/>
            <w:vAlign w:val="center"/>
          </w:tcPr>
          <w:p w14:paraId="7C13BED1">
            <w:r>
              <w:rPr>
                <w:rStyle w:val="10"/>
                <w:rFonts w:hint="eastAsia"/>
              </w:rPr>
              <w:t>毒性及其标识：</w:t>
            </w:r>
            <w:r>
              <w:rPr>
                <w:rFonts w:hint="eastAsia"/>
              </w:rPr>
              <w:t xml:space="preserve"> </w:t>
            </w:r>
            <w:r>
              <w:rPr>
                <w:lang/>
              </w:rPr>
              <w:drawing>
                <wp:inline distT="0" distB="0" distL="114300" distR="114300">
                  <wp:extent cx="476250" cy="323850"/>
                  <wp:effectExtent l="0" t="0" r="0" b="0"/>
                  <wp:docPr id="410" name="图片 4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B7FEE1">
        <w:tblPrEx>
          <w:tblCellMar>
            <w:top w:w="0" w:type="dxa"/>
            <w:left w:w="0" w:type="dxa"/>
            <w:bottom w:w="0" w:type="dxa"/>
            <w:right w:w="0" w:type="dxa"/>
          </w:tblCellMar>
        </w:tblPrEx>
        <w:trPr>
          <w:wBefore w:w="0" w:type="auto"/>
          <w:tblCellSpacing w:w="0" w:type="dxa"/>
        </w:trPr>
        <w:tc>
          <w:tcPr>
            <w:tcW w:w="0" w:type="auto"/>
            <w:noWrap w:val="0"/>
            <w:vAlign w:val="center"/>
          </w:tcPr>
          <w:p w14:paraId="6C5AE6BA">
            <w:r>
              <w:rPr>
                <w:rStyle w:val="10"/>
                <w:rFonts w:hint="eastAsia"/>
              </w:rPr>
              <w:t>总有效成分含量：</w:t>
            </w:r>
            <w:r>
              <w:rPr>
                <w:rFonts w:hint="eastAsia"/>
              </w:rPr>
              <w:t>40%</w:t>
            </w:r>
          </w:p>
        </w:tc>
      </w:tr>
      <w:tr w14:paraId="37AC7761">
        <w:tblPrEx>
          <w:tblCellMar>
            <w:top w:w="0" w:type="dxa"/>
            <w:left w:w="0" w:type="dxa"/>
            <w:bottom w:w="0" w:type="dxa"/>
            <w:right w:w="0" w:type="dxa"/>
          </w:tblCellMar>
        </w:tblPrEx>
        <w:trPr>
          <w:wBefore w:w="0" w:type="auto"/>
          <w:tblCellSpacing w:w="0" w:type="dxa"/>
        </w:trPr>
        <w:tc>
          <w:tcPr>
            <w:tcW w:w="0" w:type="auto"/>
            <w:noWrap w:val="0"/>
            <w:vAlign w:val="center"/>
          </w:tcPr>
          <w:p w14:paraId="490F7953">
            <w:r>
              <w:rPr>
                <w:rFonts w:hint="eastAsia"/>
              </w:rPr>
              <w:t xml:space="preserve">有效成分及其含量： </w:t>
            </w:r>
          </w:p>
          <w:p w14:paraId="18DD2965">
            <w:r>
              <w:rPr>
                <w:rFonts w:hint="eastAsia"/>
              </w:rPr>
              <w:t xml:space="preserve">    二氯喹啉酸20%    莎稗磷20%    </w:t>
            </w:r>
          </w:p>
        </w:tc>
      </w:tr>
      <w:tr w14:paraId="4A7AE04B">
        <w:tblPrEx>
          <w:tblCellMar>
            <w:top w:w="0" w:type="dxa"/>
            <w:left w:w="0" w:type="dxa"/>
            <w:bottom w:w="0" w:type="dxa"/>
            <w:right w:w="0" w:type="dxa"/>
          </w:tblCellMar>
        </w:tblPrEx>
        <w:trPr>
          <w:wBefore w:w="0" w:type="auto"/>
          <w:tblCellSpacing w:w="0" w:type="dxa"/>
        </w:trPr>
        <w:tc>
          <w:tcPr>
            <w:tcW w:w="0" w:type="auto"/>
            <w:noWrap w:val="0"/>
            <w:vAlign w:val="center"/>
          </w:tcPr>
          <w:p w14:paraId="0B70FDD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7A37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E37CF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99E27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AA346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C8FB7C">
                  <w:r>
                    <w:rPr>
                      <w:rStyle w:val="11"/>
                      <w:rFonts w:hint="eastAsia"/>
                    </w:rPr>
                    <w:t>施用方式</w:t>
                  </w:r>
                </w:p>
              </w:tc>
            </w:tr>
            <w:tr w14:paraId="0743AD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761FE8">
                  <w:r>
                    <w:rPr>
                      <w:rStyle w:val="11"/>
                      <w:rFonts w:hint="eastAsia"/>
                    </w:rPr>
                    <w:t>直播水稻田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D73225">
                  <w:r>
                    <w:rPr>
                      <w:rStyle w:val="11"/>
                      <w:rFonts w:hint="eastAsia"/>
                    </w:rPr>
                    <w:t>一年生禾本科杂草、莎草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37C423">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7B17FA">
                  <w:r>
                    <w:rPr>
                      <w:rStyle w:val="11"/>
                      <w:rFonts w:hint="eastAsia"/>
                    </w:rPr>
                    <w:t>茎叶喷雾</w:t>
                  </w:r>
                </w:p>
              </w:tc>
            </w:tr>
          </w:tbl>
          <w:p w14:paraId="1C7D0157">
            <w:pPr>
              <w:rPr>
                <w:rFonts w:ascii="Times New Roman" w:hAnsi="Times New Roman" w:cs="Times New Roman"/>
                <w:sz w:val="20"/>
                <w:szCs w:val="20"/>
              </w:rPr>
            </w:pPr>
          </w:p>
        </w:tc>
      </w:tr>
      <w:tr w14:paraId="0B955EF1">
        <w:tblPrEx>
          <w:tblCellMar>
            <w:top w:w="0" w:type="dxa"/>
            <w:left w:w="0" w:type="dxa"/>
            <w:bottom w:w="0" w:type="dxa"/>
            <w:right w:w="0" w:type="dxa"/>
          </w:tblCellMar>
        </w:tblPrEx>
        <w:trPr>
          <w:wBefore w:w="0" w:type="auto"/>
          <w:tblCellSpacing w:w="0" w:type="dxa"/>
        </w:trPr>
        <w:tc>
          <w:tcPr>
            <w:tcW w:w="0" w:type="auto"/>
            <w:noWrap w:val="0"/>
            <w:vAlign w:val="center"/>
          </w:tcPr>
          <w:p w14:paraId="6CCB1384">
            <w:r>
              <w:rPr>
                <w:rStyle w:val="10"/>
                <w:rFonts w:hint="eastAsia"/>
              </w:rPr>
              <w:t>使用技术要求:</w:t>
            </w:r>
            <w:r>
              <w:rPr>
                <w:rFonts w:hint="eastAsia"/>
              </w:rPr>
              <w:br w:type="textWrapping"/>
            </w:r>
            <w:r>
              <w:rPr>
                <w:rStyle w:val="11"/>
                <w:rFonts w:hint="eastAsia"/>
              </w:rPr>
              <w:t>1、在直播水稻3-5叶期施用；2、施药前一天排干田水，药后1天复水，保水一星期，恢复正常管理，注意水层勿淹没水稻心叶避免药害；3、每季最多施药1次。</w:t>
            </w:r>
          </w:p>
        </w:tc>
      </w:tr>
      <w:tr w14:paraId="049CF138">
        <w:tblPrEx>
          <w:tblCellMar>
            <w:top w:w="0" w:type="dxa"/>
            <w:left w:w="0" w:type="dxa"/>
            <w:bottom w:w="0" w:type="dxa"/>
            <w:right w:w="0" w:type="dxa"/>
          </w:tblCellMar>
        </w:tblPrEx>
        <w:trPr>
          <w:wBefore w:w="0" w:type="auto"/>
          <w:tblCellSpacing w:w="0" w:type="dxa"/>
        </w:trPr>
        <w:tc>
          <w:tcPr>
            <w:tcW w:w="0" w:type="auto"/>
            <w:noWrap w:val="0"/>
            <w:vAlign w:val="center"/>
          </w:tcPr>
          <w:p w14:paraId="08C16AF2">
            <w:r>
              <w:rPr>
                <w:rStyle w:val="10"/>
                <w:rFonts w:hint="eastAsia"/>
              </w:rPr>
              <w:t>产品性能:</w:t>
            </w:r>
            <w:r>
              <w:rPr>
                <w:rFonts w:hint="eastAsia"/>
              </w:rPr>
              <w:br w:type="textWrapping"/>
            </w:r>
            <w:r>
              <w:rPr>
                <w:rStyle w:val="11"/>
                <w:rFonts w:hint="eastAsia"/>
              </w:rPr>
              <w:t>本品为二氯喹啉酸和莎稗磷的混配制剂，可有效防治直播水稻田一年生禾本科杂草和莎草科杂草。</w:t>
            </w:r>
          </w:p>
        </w:tc>
      </w:tr>
      <w:tr w14:paraId="38EA3421">
        <w:tblPrEx>
          <w:tblCellMar>
            <w:top w:w="0" w:type="dxa"/>
            <w:left w:w="0" w:type="dxa"/>
            <w:bottom w:w="0" w:type="dxa"/>
            <w:right w:w="0" w:type="dxa"/>
          </w:tblCellMar>
        </w:tblPrEx>
        <w:trPr>
          <w:wBefore w:w="0" w:type="auto"/>
          <w:tblCellSpacing w:w="0" w:type="dxa"/>
        </w:trPr>
        <w:tc>
          <w:tcPr>
            <w:tcW w:w="0" w:type="auto"/>
            <w:noWrap w:val="0"/>
            <w:vAlign w:val="center"/>
          </w:tcPr>
          <w:p w14:paraId="59167653">
            <w:r>
              <w:rPr>
                <w:rStyle w:val="10"/>
                <w:rFonts w:hint="eastAsia"/>
              </w:rPr>
              <w:t>注意事项：</w:t>
            </w:r>
            <w:r>
              <w:rPr>
                <w:rFonts w:hint="eastAsia"/>
              </w:rPr>
              <w:br w:type="textWrapping"/>
            </w:r>
            <w:r>
              <w:rPr>
                <w:rStyle w:val="11"/>
                <w:rFonts w:hint="eastAsia"/>
              </w:rPr>
              <w:t>1、本品对茄科、伞形花科、葫芦科、豆科等作物敏感，甜菜、烟草、向日葵、豌豆、苜蓿、马铃薯和蔬菜对本品敏感，施药时应避免药液飘移到上述作物上。2、土壤中残留量较大，对后茬易产生药害，后茬可种水稻、玉米、高粱。3、请按照农药安全使用规范使用本品。应根据田间杂草草相及抗性等具体情况，科学合理用药。4、注意水层勿淹没水稻心叶，避免药害。5、使用本品时应穿长衣长裤、靴子、戴手套、眼镜、口罩等适当的防护用具，避免吸入药液；施药期间不可吃东西、饮水、吸烟等；施药后应及时洗手、洗脸并洗涤施药时穿着的衣物。6、本品对水生生态系统存在一定风险，远离水产养殖区、河塘等水体施药，禁止在河塘等水体中清洗施药器具；鱼或虾蟹套养稻田禁用，施药后的田水不得直接排入水体。7、废弃物应妥善处理，不可做他用，也不可随意丢弃。药后及时彻底清洗药械，废弃物切勿污染水源或水体。8、避免孕妇及哺乳期的妇女接触本品。9、本产品符合标签说明，请严格按照标签说明使用。</w:t>
            </w:r>
          </w:p>
        </w:tc>
      </w:tr>
      <w:tr w14:paraId="569683E0">
        <w:tblPrEx>
          <w:tblCellMar>
            <w:top w:w="0" w:type="dxa"/>
            <w:left w:w="0" w:type="dxa"/>
            <w:bottom w:w="0" w:type="dxa"/>
            <w:right w:w="0" w:type="dxa"/>
          </w:tblCellMar>
        </w:tblPrEx>
        <w:trPr>
          <w:wBefore w:w="0" w:type="auto"/>
          <w:tblCellSpacing w:w="0" w:type="dxa"/>
        </w:trPr>
        <w:tc>
          <w:tcPr>
            <w:tcW w:w="0" w:type="auto"/>
            <w:noWrap w:val="0"/>
            <w:vAlign w:val="center"/>
          </w:tcPr>
          <w:p w14:paraId="55594D0C">
            <w:r>
              <w:rPr>
                <w:rStyle w:val="10"/>
                <w:rFonts w:hint="eastAsia"/>
              </w:rPr>
              <w:t>中毒急救措施：</w:t>
            </w:r>
            <w:r>
              <w:rPr>
                <w:rFonts w:hint="eastAsia"/>
              </w:rPr>
              <w:br w:type="textWrapping"/>
            </w:r>
            <w:r>
              <w:rPr>
                <w:rStyle w:val="11"/>
                <w:rFonts w:hint="eastAsia"/>
              </w:rPr>
              <w:t>皮肤接触：立即脱掉被污染的衣物，用大量清水彻底冲洗受污染皮肤，如皮肤刺激感持续，请医生诊治。眼睛溅药：立即将眼睑翻开，用清水冲洗至少15分钟，再请医生诊治。发生吸入：立即将吸入者转移到空气清新处，如果吸入者停止呼吸，需要进行人工呼吸。注意保暖和休息。请医生诊治。误服：立即携带标签送医院就诊。不要自行引吐，不可饮水。无专用解毒剂，对症治疗。</w:t>
            </w:r>
          </w:p>
        </w:tc>
      </w:tr>
      <w:tr w14:paraId="4C8907F0">
        <w:tblPrEx>
          <w:tblCellMar>
            <w:top w:w="0" w:type="dxa"/>
            <w:left w:w="0" w:type="dxa"/>
            <w:bottom w:w="0" w:type="dxa"/>
            <w:right w:w="0" w:type="dxa"/>
          </w:tblCellMar>
        </w:tblPrEx>
        <w:trPr>
          <w:wBefore w:w="0" w:type="auto"/>
          <w:tblCellSpacing w:w="0" w:type="dxa"/>
        </w:trPr>
        <w:tc>
          <w:tcPr>
            <w:tcW w:w="0" w:type="auto"/>
            <w:noWrap w:val="0"/>
            <w:vAlign w:val="center"/>
          </w:tcPr>
          <w:p w14:paraId="4559B5E7">
            <w:r>
              <w:rPr>
                <w:rStyle w:val="10"/>
                <w:rFonts w:hint="eastAsia"/>
              </w:rPr>
              <w:t>储存和运输方法：</w:t>
            </w:r>
            <w:r>
              <w:rPr>
                <w:rFonts w:hint="eastAsia"/>
              </w:rPr>
              <w:br w:type="textWrapping"/>
            </w:r>
            <w:r>
              <w:rPr>
                <w:rStyle w:val="11"/>
                <w:rFonts w:hint="eastAsia"/>
              </w:rPr>
              <w:t>本品应贮存于通风、干燥、防雨、阴凉处，远离火源或热源置于儿童触及不到之处，并加锁，勿与食品、饮料、饲料、种子等混合储存。贮运时，严防潮湿和日晒，避免与皮肤、眼睛接触，防止口鼻吸入。运输前先检查包装容器是否完整、密封。运输过程中确保容器不泄漏、不倒塌、不坠落、不损坏</w:t>
            </w:r>
          </w:p>
        </w:tc>
      </w:tr>
      <w:tr w14:paraId="67E6314A">
        <w:tblPrEx>
          <w:tblCellMar>
            <w:top w:w="0" w:type="dxa"/>
            <w:left w:w="0" w:type="dxa"/>
            <w:bottom w:w="0" w:type="dxa"/>
            <w:right w:w="0" w:type="dxa"/>
          </w:tblCellMar>
        </w:tblPrEx>
        <w:trPr>
          <w:wBefore w:w="0" w:type="auto"/>
          <w:tblCellSpacing w:w="0" w:type="dxa"/>
        </w:trPr>
        <w:tc>
          <w:tcPr>
            <w:tcW w:w="0" w:type="auto"/>
            <w:noWrap w:val="0"/>
            <w:vAlign w:val="center"/>
          </w:tcPr>
          <w:p w14:paraId="6360FD17">
            <w:r>
              <w:rPr>
                <w:rStyle w:val="10"/>
                <w:rFonts w:hint="eastAsia"/>
              </w:rPr>
              <w:t>质量保证期：</w:t>
            </w:r>
            <w:r>
              <w:rPr>
                <w:rStyle w:val="11"/>
                <w:rFonts w:hint="eastAsia"/>
              </w:rPr>
              <w:t>2年</w:t>
            </w:r>
          </w:p>
        </w:tc>
      </w:tr>
      <w:tr w14:paraId="5E7D409E">
        <w:tblPrEx>
          <w:tblCellMar>
            <w:top w:w="0" w:type="dxa"/>
            <w:left w:w="0" w:type="dxa"/>
            <w:bottom w:w="0" w:type="dxa"/>
            <w:right w:w="0" w:type="dxa"/>
          </w:tblCellMar>
        </w:tblPrEx>
        <w:trPr>
          <w:wBefore w:w="0" w:type="auto"/>
          <w:tblCellSpacing w:w="0" w:type="dxa"/>
        </w:trPr>
        <w:tc>
          <w:tcPr>
            <w:tcW w:w="0" w:type="auto"/>
            <w:noWrap w:val="0"/>
            <w:vAlign w:val="center"/>
          </w:tcPr>
          <w:p w14:paraId="57880E52">
            <w:r>
              <w:rPr>
                <w:rStyle w:val="10"/>
                <w:rFonts w:hint="eastAsia"/>
              </w:rPr>
              <w:t>备注：</w:t>
            </w:r>
          </w:p>
        </w:tc>
      </w:tr>
    </w:tbl>
    <w:p w14:paraId="5D6979E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85777F">
        <w:tblPrEx>
          <w:tblCellMar>
            <w:top w:w="0" w:type="dxa"/>
            <w:left w:w="0" w:type="dxa"/>
            <w:bottom w:w="0" w:type="dxa"/>
            <w:right w:w="0" w:type="dxa"/>
          </w:tblCellMar>
        </w:tblPrEx>
        <w:trPr>
          <w:wBefore w:w="0" w:type="auto"/>
          <w:tblCellSpacing w:w="0" w:type="dxa"/>
        </w:trPr>
        <w:tc>
          <w:tcPr>
            <w:tcW w:w="0" w:type="auto"/>
            <w:noWrap w:val="0"/>
            <w:vAlign w:val="center"/>
          </w:tcPr>
          <w:p w14:paraId="26A84B78">
            <w:r>
              <w:rPr>
                <w:rStyle w:val="10"/>
                <w:rFonts w:hint="eastAsia"/>
              </w:rPr>
              <w:t>登记证号：</w:t>
            </w:r>
            <w:r>
              <w:rPr>
                <w:rFonts w:hint="eastAsia"/>
              </w:rPr>
              <w:t>PD20212716</w:t>
            </w:r>
          </w:p>
        </w:tc>
      </w:tr>
      <w:tr w14:paraId="507C6E37">
        <w:tblPrEx>
          <w:tblCellMar>
            <w:top w:w="0" w:type="dxa"/>
            <w:left w:w="0" w:type="dxa"/>
            <w:bottom w:w="0" w:type="dxa"/>
            <w:right w:w="0" w:type="dxa"/>
          </w:tblCellMar>
        </w:tblPrEx>
        <w:trPr>
          <w:wBefore w:w="0" w:type="auto"/>
          <w:tblCellSpacing w:w="0" w:type="dxa"/>
        </w:trPr>
        <w:tc>
          <w:tcPr>
            <w:tcW w:w="0" w:type="auto"/>
            <w:noWrap w:val="0"/>
            <w:vAlign w:val="center"/>
          </w:tcPr>
          <w:p w14:paraId="7F7853D4">
            <w:r>
              <w:rPr>
                <w:rStyle w:val="10"/>
                <w:rFonts w:hint="eastAsia"/>
              </w:rPr>
              <w:t>登记证持有人：</w:t>
            </w:r>
            <w:r>
              <w:rPr>
                <w:rFonts w:hint="eastAsia"/>
              </w:rPr>
              <w:t>江苏华裕农化有限公司</w:t>
            </w:r>
          </w:p>
        </w:tc>
      </w:tr>
      <w:tr w14:paraId="785E5828">
        <w:tblPrEx>
          <w:tblCellMar>
            <w:top w:w="0" w:type="dxa"/>
            <w:left w:w="0" w:type="dxa"/>
            <w:bottom w:w="0" w:type="dxa"/>
            <w:right w:w="0" w:type="dxa"/>
          </w:tblCellMar>
        </w:tblPrEx>
        <w:trPr>
          <w:wBefore w:w="0" w:type="auto"/>
          <w:tblCellSpacing w:w="0" w:type="dxa"/>
        </w:trPr>
        <w:tc>
          <w:tcPr>
            <w:tcW w:w="0" w:type="auto"/>
            <w:noWrap w:val="0"/>
            <w:vAlign w:val="center"/>
          </w:tcPr>
          <w:p w14:paraId="64113A5D">
            <w:r>
              <w:rPr>
                <w:rStyle w:val="10"/>
                <w:rFonts w:hint="eastAsia"/>
              </w:rPr>
              <w:t>农药名称：</w:t>
            </w:r>
            <w:r>
              <w:rPr>
                <w:rFonts w:hint="eastAsia"/>
              </w:rPr>
              <w:t>戊唑·咪鲜胺</w:t>
            </w:r>
          </w:p>
        </w:tc>
      </w:tr>
      <w:tr w14:paraId="393A610C">
        <w:tblPrEx>
          <w:tblCellMar>
            <w:top w:w="0" w:type="dxa"/>
            <w:left w:w="0" w:type="dxa"/>
            <w:bottom w:w="0" w:type="dxa"/>
            <w:right w:w="0" w:type="dxa"/>
          </w:tblCellMar>
        </w:tblPrEx>
        <w:trPr>
          <w:wBefore w:w="0" w:type="auto"/>
          <w:tblCellSpacing w:w="0" w:type="dxa"/>
        </w:trPr>
        <w:tc>
          <w:tcPr>
            <w:tcW w:w="0" w:type="auto"/>
            <w:noWrap w:val="0"/>
            <w:vAlign w:val="center"/>
          </w:tcPr>
          <w:p w14:paraId="633E3489">
            <w:r>
              <w:rPr>
                <w:rStyle w:val="10"/>
                <w:rFonts w:hint="eastAsia"/>
              </w:rPr>
              <w:t>剂型：</w:t>
            </w:r>
            <w:r>
              <w:rPr>
                <w:rFonts w:hint="eastAsia"/>
              </w:rPr>
              <w:t>水乳剂</w:t>
            </w:r>
          </w:p>
        </w:tc>
      </w:tr>
      <w:tr w14:paraId="45983518">
        <w:tblPrEx>
          <w:tblCellMar>
            <w:top w:w="0" w:type="dxa"/>
            <w:left w:w="0" w:type="dxa"/>
            <w:bottom w:w="0" w:type="dxa"/>
            <w:right w:w="0" w:type="dxa"/>
          </w:tblCellMar>
        </w:tblPrEx>
        <w:trPr>
          <w:wBefore w:w="0" w:type="auto"/>
          <w:tblCellSpacing w:w="0" w:type="dxa"/>
        </w:trPr>
        <w:tc>
          <w:tcPr>
            <w:tcW w:w="0" w:type="auto"/>
            <w:noWrap w:val="0"/>
            <w:vAlign w:val="center"/>
          </w:tcPr>
          <w:p w14:paraId="628149C9">
            <w:r>
              <w:rPr>
                <w:rStyle w:val="10"/>
                <w:rFonts w:hint="eastAsia"/>
              </w:rPr>
              <w:t>毒性及其标识：</w:t>
            </w:r>
            <w:r>
              <w:rPr>
                <w:rFonts w:hint="eastAsia"/>
              </w:rPr>
              <w:t xml:space="preserve"> </w:t>
            </w:r>
            <w:r>
              <w:rPr>
                <w:lang/>
              </w:rPr>
              <w:drawing>
                <wp:inline distT="0" distB="0" distL="114300" distR="114300">
                  <wp:extent cx="476250" cy="323850"/>
                  <wp:effectExtent l="0" t="0" r="0" b="0"/>
                  <wp:docPr id="411" name="图片 4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2C09CF7">
        <w:tblPrEx>
          <w:tblCellMar>
            <w:top w:w="0" w:type="dxa"/>
            <w:left w:w="0" w:type="dxa"/>
            <w:bottom w:w="0" w:type="dxa"/>
            <w:right w:w="0" w:type="dxa"/>
          </w:tblCellMar>
        </w:tblPrEx>
        <w:trPr>
          <w:wBefore w:w="0" w:type="auto"/>
          <w:tblCellSpacing w:w="0" w:type="dxa"/>
        </w:trPr>
        <w:tc>
          <w:tcPr>
            <w:tcW w:w="0" w:type="auto"/>
            <w:noWrap w:val="0"/>
            <w:vAlign w:val="center"/>
          </w:tcPr>
          <w:p w14:paraId="23AF2419">
            <w:r>
              <w:rPr>
                <w:rStyle w:val="10"/>
                <w:rFonts w:hint="eastAsia"/>
              </w:rPr>
              <w:t>总有效成分含量：</w:t>
            </w:r>
            <w:r>
              <w:rPr>
                <w:rFonts w:hint="eastAsia"/>
              </w:rPr>
              <w:t>45%</w:t>
            </w:r>
          </w:p>
        </w:tc>
      </w:tr>
      <w:tr w14:paraId="2AA98BA1">
        <w:tblPrEx>
          <w:tblCellMar>
            <w:top w:w="0" w:type="dxa"/>
            <w:left w:w="0" w:type="dxa"/>
            <w:bottom w:w="0" w:type="dxa"/>
            <w:right w:w="0" w:type="dxa"/>
          </w:tblCellMar>
        </w:tblPrEx>
        <w:trPr>
          <w:wBefore w:w="0" w:type="auto"/>
          <w:tblCellSpacing w:w="0" w:type="dxa"/>
        </w:trPr>
        <w:tc>
          <w:tcPr>
            <w:tcW w:w="0" w:type="auto"/>
            <w:noWrap w:val="0"/>
            <w:vAlign w:val="center"/>
          </w:tcPr>
          <w:p w14:paraId="49FB478B">
            <w:r>
              <w:rPr>
                <w:rFonts w:hint="eastAsia"/>
              </w:rPr>
              <w:t xml:space="preserve">有效成分及其含量： </w:t>
            </w:r>
          </w:p>
          <w:p w14:paraId="577487BA">
            <w:r>
              <w:rPr>
                <w:rFonts w:hint="eastAsia"/>
              </w:rPr>
              <w:t xml:space="preserve">    戊唑醇15%    咪鲜胺30%    </w:t>
            </w:r>
          </w:p>
        </w:tc>
      </w:tr>
      <w:tr w14:paraId="36792770">
        <w:tblPrEx>
          <w:tblCellMar>
            <w:top w:w="0" w:type="dxa"/>
            <w:left w:w="0" w:type="dxa"/>
            <w:bottom w:w="0" w:type="dxa"/>
            <w:right w:w="0" w:type="dxa"/>
          </w:tblCellMar>
        </w:tblPrEx>
        <w:trPr>
          <w:wBefore w:w="0" w:type="auto"/>
          <w:tblCellSpacing w:w="0" w:type="dxa"/>
        </w:trPr>
        <w:tc>
          <w:tcPr>
            <w:tcW w:w="0" w:type="auto"/>
            <w:noWrap w:val="0"/>
            <w:vAlign w:val="center"/>
          </w:tcPr>
          <w:p w14:paraId="5F35840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88AD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DA96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D9584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EE73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649BFC">
                  <w:r>
                    <w:rPr>
                      <w:rStyle w:val="11"/>
                      <w:rFonts w:hint="eastAsia"/>
                    </w:rPr>
                    <w:t>施用方式</w:t>
                  </w:r>
                </w:p>
              </w:tc>
            </w:tr>
            <w:tr w14:paraId="2A40FD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9B1166">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577936">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6730C4">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C4F3CF">
                  <w:r>
                    <w:rPr>
                      <w:rStyle w:val="11"/>
                      <w:rFonts w:hint="eastAsia"/>
                    </w:rPr>
                    <w:t>喷雾</w:t>
                  </w:r>
                </w:p>
              </w:tc>
            </w:tr>
          </w:tbl>
          <w:p w14:paraId="6C290C4F">
            <w:pPr>
              <w:rPr>
                <w:rFonts w:ascii="Times New Roman" w:hAnsi="Times New Roman" w:cs="Times New Roman"/>
                <w:sz w:val="20"/>
                <w:szCs w:val="20"/>
              </w:rPr>
            </w:pPr>
          </w:p>
        </w:tc>
      </w:tr>
      <w:tr w14:paraId="08498127">
        <w:tblPrEx>
          <w:tblCellMar>
            <w:top w:w="0" w:type="dxa"/>
            <w:left w:w="0" w:type="dxa"/>
            <w:bottom w:w="0" w:type="dxa"/>
            <w:right w:w="0" w:type="dxa"/>
          </w:tblCellMar>
        </w:tblPrEx>
        <w:trPr>
          <w:wBefore w:w="0" w:type="auto"/>
          <w:tblCellSpacing w:w="0" w:type="dxa"/>
        </w:trPr>
        <w:tc>
          <w:tcPr>
            <w:tcW w:w="0" w:type="auto"/>
            <w:noWrap w:val="0"/>
            <w:vAlign w:val="center"/>
          </w:tcPr>
          <w:p w14:paraId="7951E5E6">
            <w:r>
              <w:rPr>
                <w:rStyle w:val="10"/>
                <w:rFonts w:hint="eastAsia"/>
              </w:rPr>
              <w:t>使用技术要求:</w:t>
            </w:r>
            <w:r>
              <w:rPr>
                <w:rFonts w:hint="eastAsia"/>
              </w:rPr>
              <w:br w:type="textWrapping"/>
            </w:r>
            <w:r>
              <w:rPr>
                <w:rStyle w:val="11"/>
                <w:rFonts w:hint="eastAsia"/>
              </w:rPr>
              <w:t>1．防治小麦赤霉病应在小麦抽穗期开始施药，施药2次，间隔7-10天。 本品在小麦上最多使用2次，安全间隔期28天。 2.大风天或预计1小时内降雨，请勿施药。</w:t>
            </w:r>
          </w:p>
        </w:tc>
      </w:tr>
      <w:tr w14:paraId="2AB1C88F">
        <w:tblPrEx>
          <w:tblCellMar>
            <w:top w:w="0" w:type="dxa"/>
            <w:left w:w="0" w:type="dxa"/>
            <w:bottom w:w="0" w:type="dxa"/>
            <w:right w:w="0" w:type="dxa"/>
          </w:tblCellMar>
        </w:tblPrEx>
        <w:trPr>
          <w:wBefore w:w="0" w:type="auto"/>
          <w:tblCellSpacing w:w="0" w:type="dxa"/>
        </w:trPr>
        <w:tc>
          <w:tcPr>
            <w:tcW w:w="0" w:type="auto"/>
            <w:noWrap w:val="0"/>
            <w:vAlign w:val="center"/>
          </w:tcPr>
          <w:p w14:paraId="13D991A4">
            <w:r>
              <w:rPr>
                <w:rStyle w:val="10"/>
                <w:rFonts w:hint="eastAsia"/>
              </w:rPr>
              <w:t>产品性能:</w:t>
            </w:r>
            <w:r>
              <w:rPr>
                <w:rFonts w:hint="eastAsia"/>
              </w:rPr>
              <w:br w:type="textWrapping"/>
            </w:r>
            <w:r>
              <w:rPr>
                <w:rStyle w:val="11"/>
                <w:rFonts w:hint="eastAsia"/>
              </w:rPr>
              <w:t>本品为三唑类与咪唑类复配而成的杀菌剂，在植物体内具有内吸传导性，主要通过抑制病原菌细胞膜上甾醇的生物合成及麦角甾醇的去甲基化而表现出杀菌作用，具有预防、保护和治疗作用。对小麦赤霉病具有较好的防治效果。</w:t>
            </w:r>
          </w:p>
        </w:tc>
      </w:tr>
      <w:tr w14:paraId="68F93512">
        <w:tblPrEx>
          <w:tblCellMar>
            <w:top w:w="0" w:type="dxa"/>
            <w:left w:w="0" w:type="dxa"/>
            <w:bottom w:w="0" w:type="dxa"/>
            <w:right w:w="0" w:type="dxa"/>
          </w:tblCellMar>
        </w:tblPrEx>
        <w:trPr>
          <w:wBefore w:w="0" w:type="auto"/>
          <w:tblCellSpacing w:w="0" w:type="dxa"/>
        </w:trPr>
        <w:tc>
          <w:tcPr>
            <w:tcW w:w="0" w:type="auto"/>
            <w:noWrap w:val="0"/>
            <w:vAlign w:val="center"/>
          </w:tcPr>
          <w:p w14:paraId="527B3BC9">
            <w:r>
              <w:rPr>
                <w:rStyle w:val="10"/>
                <w:rFonts w:hint="eastAsia"/>
              </w:rPr>
              <w:t>注意事项：</w:t>
            </w:r>
            <w:r>
              <w:rPr>
                <w:rFonts w:hint="eastAsia"/>
              </w:rPr>
              <w:br w:type="textWrapping"/>
            </w:r>
            <w:r>
              <w:rPr>
                <w:rStyle w:val="11"/>
                <w:rFonts w:hint="eastAsia"/>
              </w:rPr>
              <w:t>1、避免与氧化剂接触。 2、使用时应，穿戴长衣、长裤、帽子、口罩、手套等安全防护措施。避免吸入药液，施药期间不可吃东西和饮水，施药后应及时洗手和洗脸。 3、应远离水产养殖区、河塘等水体施药，禁止在河塘等水体中清洗施药器具。 4、在桑叶采摘期及大风天气禁止施药，蚕室和桑园禁用附近禁用。 5、用过的容器要妥善处理，不可作他用，也不可随意丢弃。 6、孕妇及哺乳期妇女禁止接触。</w:t>
            </w:r>
          </w:p>
        </w:tc>
      </w:tr>
      <w:tr w14:paraId="4C1B6CBA">
        <w:tblPrEx>
          <w:tblCellMar>
            <w:top w:w="0" w:type="dxa"/>
            <w:left w:w="0" w:type="dxa"/>
            <w:bottom w:w="0" w:type="dxa"/>
            <w:right w:w="0" w:type="dxa"/>
          </w:tblCellMar>
        </w:tblPrEx>
        <w:trPr>
          <w:wBefore w:w="0" w:type="auto"/>
          <w:tblCellSpacing w:w="0" w:type="dxa"/>
        </w:trPr>
        <w:tc>
          <w:tcPr>
            <w:tcW w:w="0" w:type="auto"/>
            <w:noWrap w:val="0"/>
            <w:vAlign w:val="center"/>
          </w:tcPr>
          <w:p w14:paraId="587E749E">
            <w:r>
              <w:rPr>
                <w:rStyle w:val="10"/>
                <w:rFonts w:hint="eastAsia"/>
              </w:rPr>
              <w:t>中毒急救措施：</w:t>
            </w:r>
            <w:r>
              <w:rPr>
                <w:rFonts w:hint="eastAsia"/>
              </w:rPr>
              <w:br w:type="textWrapping"/>
            </w:r>
            <w:r>
              <w:rPr>
                <w:rStyle w:val="11"/>
                <w:rFonts w:hint="eastAsia"/>
              </w:rPr>
              <w:t>对眼睛有刺激性，使用时避免接触眼睛。急救措施：使用中或使用后如果感觉不适，应立即停止工作，采取急救措施，并携带标签送医院对症治疗。 1）皮肤接触：脱去污染的衣物，用软布去除污染农药，立即用大量肥皂水和清水冲洗。 2）眼睛溅入：立即用流动清水冲洗至少15分钟。 3）吸入：立即离开施药现场，转移到空气新鲜处。如果吸入者停止呼吸，需进行人工呼吸。逐一保暖和休息，请医生诊治。 4）误服：立即停止服用，用清水充分漱口后，并携带农药标签到医院对症治疗。</w:t>
            </w:r>
          </w:p>
        </w:tc>
      </w:tr>
      <w:tr w14:paraId="411733FB">
        <w:tblPrEx>
          <w:tblCellMar>
            <w:top w:w="0" w:type="dxa"/>
            <w:left w:w="0" w:type="dxa"/>
            <w:bottom w:w="0" w:type="dxa"/>
            <w:right w:w="0" w:type="dxa"/>
          </w:tblCellMar>
        </w:tblPrEx>
        <w:trPr>
          <w:wBefore w:w="0" w:type="auto"/>
          <w:tblCellSpacing w:w="0" w:type="dxa"/>
        </w:trPr>
        <w:tc>
          <w:tcPr>
            <w:tcW w:w="0" w:type="auto"/>
            <w:noWrap w:val="0"/>
            <w:vAlign w:val="center"/>
          </w:tcPr>
          <w:p w14:paraId="1F62C58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本品应贮存在干燥、阴凉、通风、防雨处，远离火源或热源。置于儿童、无关人员触及不到之处，并加锁。运输时注意防日晒、防雨淋，轻搬轻放，确保无破损。勿与食品、饮料、粮食、饲料等同贮同运。</w:t>
            </w:r>
          </w:p>
        </w:tc>
      </w:tr>
      <w:tr w14:paraId="07014ECD">
        <w:tblPrEx>
          <w:tblCellMar>
            <w:top w:w="0" w:type="dxa"/>
            <w:left w:w="0" w:type="dxa"/>
            <w:bottom w:w="0" w:type="dxa"/>
            <w:right w:w="0" w:type="dxa"/>
          </w:tblCellMar>
        </w:tblPrEx>
        <w:trPr>
          <w:wBefore w:w="0" w:type="auto"/>
          <w:tblCellSpacing w:w="0" w:type="dxa"/>
        </w:trPr>
        <w:tc>
          <w:tcPr>
            <w:tcW w:w="0" w:type="auto"/>
            <w:noWrap w:val="0"/>
            <w:vAlign w:val="center"/>
          </w:tcPr>
          <w:p w14:paraId="661FBD59">
            <w:r>
              <w:rPr>
                <w:rStyle w:val="10"/>
                <w:rFonts w:hint="eastAsia"/>
              </w:rPr>
              <w:t>质量保证期：</w:t>
            </w:r>
            <w:r>
              <w:rPr>
                <w:rStyle w:val="11"/>
                <w:rFonts w:hint="eastAsia"/>
              </w:rPr>
              <w:t>2年</w:t>
            </w:r>
          </w:p>
        </w:tc>
      </w:tr>
      <w:tr w14:paraId="68610E39">
        <w:tblPrEx>
          <w:tblCellMar>
            <w:top w:w="0" w:type="dxa"/>
            <w:left w:w="0" w:type="dxa"/>
            <w:bottom w:w="0" w:type="dxa"/>
            <w:right w:w="0" w:type="dxa"/>
          </w:tblCellMar>
        </w:tblPrEx>
        <w:trPr>
          <w:wBefore w:w="0" w:type="auto"/>
          <w:tblCellSpacing w:w="0" w:type="dxa"/>
        </w:trPr>
        <w:tc>
          <w:tcPr>
            <w:tcW w:w="0" w:type="auto"/>
            <w:noWrap w:val="0"/>
            <w:vAlign w:val="center"/>
          </w:tcPr>
          <w:p w14:paraId="0D2E46E7">
            <w:r>
              <w:rPr>
                <w:rStyle w:val="10"/>
                <w:rFonts w:hint="eastAsia"/>
              </w:rPr>
              <w:t>备注：</w:t>
            </w:r>
          </w:p>
        </w:tc>
      </w:tr>
    </w:tbl>
    <w:p w14:paraId="2FF972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19E241">
        <w:tblPrEx>
          <w:tblCellMar>
            <w:top w:w="0" w:type="dxa"/>
            <w:left w:w="0" w:type="dxa"/>
            <w:bottom w:w="0" w:type="dxa"/>
            <w:right w:w="0" w:type="dxa"/>
          </w:tblCellMar>
        </w:tblPrEx>
        <w:trPr>
          <w:wBefore w:w="0" w:type="auto"/>
          <w:tblCellSpacing w:w="0" w:type="dxa"/>
        </w:trPr>
        <w:tc>
          <w:tcPr>
            <w:tcW w:w="0" w:type="auto"/>
            <w:noWrap w:val="0"/>
            <w:vAlign w:val="center"/>
          </w:tcPr>
          <w:p w14:paraId="694CD538">
            <w:r>
              <w:rPr>
                <w:rStyle w:val="10"/>
                <w:rFonts w:hint="eastAsia"/>
              </w:rPr>
              <w:t>登记证号：</w:t>
            </w:r>
            <w:r>
              <w:rPr>
                <w:rFonts w:hint="eastAsia"/>
              </w:rPr>
              <w:t>PD20212413</w:t>
            </w:r>
          </w:p>
        </w:tc>
      </w:tr>
      <w:tr w14:paraId="623BD935">
        <w:tblPrEx>
          <w:tblCellMar>
            <w:top w:w="0" w:type="dxa"/>
            <w:left w:w="0" w:type="dxa"/>
            <w:bottom w:w="0" w:type="dxa"/>
            <w:right w:w="0" w:type="dxa"/>
          </w:tblCellMar>
        </w:tblPrEx>
        <w:trPr>
          <w:wBefore w:w="0" w:type="auto"/>
          <w:tblCellSpacing w:w="0" w:type="dxa"/>
        </w:trPr>
        <w:tc>
          <w:tcPr>
            <w:tcW w:w="0" w:type="auto"/>
            <w:noWrap w:val="0"/>
            <w:vAlign w:val="center"/>
          </w:tcPr>
          <w:p w14:paraId="5684B67E">
            <w:r>
              <w:rPr>
                <w:rStyle w:val="10"/>
                <w:rFonts w:hint="eastAsia"/>
              </w:rPr>
              <w:t>登记证持有人：</w:t>
            </w:r>
            <w:r>
              <w:rPr>
                <w:rFonts w:hint="eastAsia"/>
              </w:rPr>
              <w:t>河北军星生物化工有限公司</w:t>
            </w:r>
          </w:p>
        </w:tc>
      </w:tr>
      <w:tr w14:paraId="17026BB8">
        <w:tblPrEx>
          <w:tblCellMar>
            <w:top w:w="0" w:type="dxa"/>
            <w:left w:w="0" w:type="dxa"/>
            <w:bottom w:w="0" w:type="dxa"/>
            <w:right w:w="0" w:type="dxa"/>
          </w:tblCellMar>
        </w:tblPrEx>
        <w:trPr>
          <w:wBefore w:w="0" w:type="auto"/>
          <w:tblCellSpacing w:w="0" w:type="dxa"/>
        </w:trPr>
        <w:tc>
          <w:tcPr>
            <w:tcW w:w="0" w:type="auto"/>
            <w:noWrap w:val="0"/>
            <w:vAlign w:val="center"/>
          </w:tcPr>
          <w:p w14:paraId="594ED745">
            <w:r>
              <w:rPr>
                <w:rStyle w:val="10"/>
                <w:rFonts w:hint="eastAsia"/>
              </w:rPr>
              <w:t>农药名称：</w:t>
            </w:r>
            <w:r>
              <w:rPr>
                <w:rFonts w:hint="eastAsia"/>
              </w:rPr>
              <w:t>虫螨腈·虱螨脲</w:t>
            </w:r>
          </w:p>
        </w:tc>
      </w:tr>
      <w:tr w14:paraId="26AFED3B">
        <w:tblPrEx>
          <w:tblCellMar>
            <w:top w:w="0" w:type="dxa"/>
            <w:left w:w="0" w:type="dxa"/>
            <w:bottom w:w="0" w:type="dxa"/>
            <w:right w:w="0" w:type="dxa"/>
          </w:tblCellMar>
        </w:tblPrEx>
        <w:trPr>
          <w:wBefore w:w="0" w:type="auto"/>
          <w:tblCellSpacing w:w="0" w:type="dxa"/>
        </w:trPr>
        <w:tc>
          <w:tcPr>
            <w:tcW w:w="0" w:type="auto"/>
            <w:noWrap w:val="0"/>
            <w:vAlign w:val="center"/>
          </w:tcPr>
          <w:p w14:paraId="04A80B48">
            <w:r>
              <w:rPr>
                <w:rStyle w:val="10"/>
                <w:rFonts w:hint="eastAsia"/>
              </w:rPr>
              <w:t>剂型：</w:t>
            </w:r>
            <w:r>
              <w:rPr>
                <w:rFonts w:hint="eastAsia"/>
              </w:rPr>
              <w:t>悬浮剂</w:t>
            </w:r>
          </w:p>
        </w:tc>
      </w:tr>
      <w:tr w14:paraId="45026522">
        <w:tblPrEx>
          <w:tblCellMar>
            <w:top w:w="0" w:type="dxa"/>
            <w:left w:w="0" w:type="dxa"/>
            <w:bottom w:w="0" w:type="dxa"/>
            <w:right w:w="0" w:type="dxa"/>
          </w:tblCellMar>
        </w:tblPrEx>
        <w:trPr>
          <w:wBefore w:w="0" w:type="auto"/>
          <w:tblCellSpacing w:w="0" w:type="dxa"/>
        </w:trPr>
        <w:tc>
          <w:tcPr>
            <w:tcW w:w="0" w:type="auto"/>
            <w:noWrap w:val="0"/>
            <w:vAlign w:val="center"/>
          </w:tcPr>
          <w:p w14:paraId="6E52D55F">
            <w:r>
              <w:rPr>
                <w:rStyle w:val="10"/>
                <w:rFonts w:hint="eastAsia"/>
              </w:rPr>
              <w:t>毒性及其标识：</w:t>
            </w:r>
            <w:r>
              <w:rPr>
                <w:rFonts w:hint="eastAsia"/>
              </w:rPr>
              <w:t xml:space="preserve"> </w:t>
            </w:r>
            <w:r>
              <w:rPr>
                <w:lang/>
              </w:rPr>
              <w:drawing>
                <wp:inline distT="0" distB="0" distL="114300" distR="114300">
                  <wp:extent cx="476250" cy="323850"/>
                  <wp:effectExtent l="0" t="0" r="0" b="0"/>
                  <wp:docPr id="412" name="图片 4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279B18">
        <w:tblPrEx>
          <w:tblCellMar>
            <w:top w:w="0" w:type="dxa"/>
            <w:left w:w="0" w:type="dxa"/>
            <w:bottom w:w="0" w:type="dxa"/>
            <w:right w:w="0" w:type="dxa"/>
          </w:tblCellMar>
        </w:tblPrEx>
        <w:trPr>
          <w:wBefore w:w="0" w:type="auto"/>
          <w:tblCellSpacing w:w="0" w:type="dxa"/>
        </w:trPr>
        <w:tc>
          <w:tcPr>
            <w:tcW w:w="0" w:type="auto"/>
            <w:noWrap w:val="0"/>
            <w:vAlign w:val="center"/>
          </w:tcPr>
          <w:p w14:paraId="66FA6078">
            <w:r>
              <w:rPr>
                <w:rStyle w:val="10"/>
                <w:rFonts w:hint="eastAsia"/>
              </w:rPr>
              <w:t>总有效成分含量：</w:t>
            </w:r>
            <w:r>
              <w:rPr>
                <w:rFonts w:hint="eastAsia"/>
              </w:rPr>
              <w:t>12%</w:t>
            </w:r>
          </w:p>
        </w:tc>
      </w:tr>
      <w:tr w14:paraId="7E1EBB63">
        <w:tblPrEx>
          <w:tblCellMar>
            <w:top w:w="0" w:type="dxa"/>
            <w:left w:w="0" w:type="dxa"/>
            <w:bottom w:w="0" w:type="dxa"/>
            <w:right w:w="0" w:type="dxa"/>
          </w:tblCellMar>
        </w:tblPrEx>
        <w:trPr>
          <w:wBefore w:w="0" w:type="auto"/>
          <w:tblCellSpacing w:w="0" w:type="dxa"/>
        </w:trPr>
        <w:tc>
          <w:tcPr>
            <w:tcW w:w="0" w:type="auto"/>
            <w:noWrap w:val="0"/>
            <w:vAlign w:val="center"/>
          </w:tcPr>
          <w:p w14:paraId="328EC40A">
            <w:r>
              <w:rPr>
                <w:rFonts w:hint="eastAsia"/>
              </w:rPr>
              <w:t xml:space="preserve">有效成分及其含量： </w:t>
            </w:r>
          </w:p>
          <w:p w14:paraId="00F4DBCA">
            <w:r>
              <w:rPr>
                <w:rFonts w:hint="eastAsia"/>
              </w:rPr>
              <w:t xml:space="preserve">    虱螨脲2.5%    虫螨腈9.5%    </w:t>
            </w:r>
          </w:p>
        </w:tc>
      </w:tr>
      <w:tr w14:paraId="51FEFD1A">
        <w:tblPrEx>
          <w:tblCellMar>
            <w:top w:w="0" w:type="dxa"/>
            <w:left w:w="0" w:type="dxa"/>
            <w:bottom w:w="0" w:type="dxa"/>
            <w:right w:w="0" w:type="dxa"/>
          </w:tblCellMar>
        </w:tblPrEx>
        <w:trPr>
          <w:wBefore w:w="0" w:type="auto"/>
          <w:tblCellSpacing w:w="0" w:type="dxa"/>
        </w:trPr>
        <w:tc>
          <w:tcPr>
            <w:tcW w:w="0" w:type="auto"/>
            <w:noWrap w:val="0"/>
            <w:vAlign w:val="center"/>
          </w:tcPr>
          <w:p w14:paraId="475ABE1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BD0A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B7B21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00C7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BB1F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31A17A">
                  <w:r>
                    <w:rPr>
                      <w:rStyle w:val="11"/>
                      <w:rFonts w:hint="eastAsia"/>
                    </w:rPr>
                    <w:t>施用方式</w:t>
                  </w:r>
                </w:p>
              </w:tc>
            </w:tr>
            <w:tr w14:paraId="446BC0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ECADC3">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A4713">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D70B96">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FCB6DC">
                  <w:r>
                    <w:rPr>
                      <w:rStyle w:val="11"/>
                      <w:rFonts w:hint="eastAsia"/>
                    </w:rPr>
                    <w:t>喷雾</w:t>
                  </w:r>
                </w:p>
              </w:tc>
            </w:tr>
          </w:tbl>
          <w:p w14:paraId="436626F8">
            <w:pPr>
              <w:rPr>
                <w:rFonts w:ascii="Times New Roman" w:hAnsi="Times New Roman" w:cs="Times New Roman"/>
                <w:sz w:val="20"/>
                <w:szCs w:val="20"/>
              </w:rPr>
            </w:pPr>
          </w:p>
        </w:tc>
      </w:tr>
      <w:tr w14:paraId="5C9EE514">
        <w:tblPrEx>
          <w:tblCellMar>
            <w:top w:w="0" w:type="dxa"/>
            <w:left w:w="0" w:type="dxa"/>
            <w:bottom w:w="0" w:type="dxa"/>
            <w:right w:w="0" w:type="dxa"/>
          </w:tblCellMar>
        </w:tblPrEx>
        <w:trPr>
          <w:wBefore w:w="0" w:type="auto"/>
          <w:tblCellSpacing w:w="0" w:type="dxa"/>
        </w:trPr>
        <w:tc>
          <w:tcPr>
            <w:tcW w:w="0" w:type="auto"/>
            <w:noWrap w:val="0"/>
            <w:vAlign w:val="center"/>
          </w:tcPr>
          <w:p w14:paraId="3C39A778">
            <w:r>
              <w:rPr>
                <w:rStyle w:val="10"/>
                <w:rFonts w:hint="eastAsia"/>
              </w:rPr>
              <w:t>使用技术要求:</w:t>
            </w:r>
            <w:r>
              <w:rPr>
                <w:rFonts w:hint="eastAsia"/>
              </w:rPr>
              <w:br w:type="textWrapping"/>
            </w:r>
            <w:r>
              <w:rPr>
                <w:rStyle w:val="11"/>
                <w:rFonts w:hint="eastAsia"/>
              </w:rPr>
              <w:t>1. 甘蓝甜菜夜蛾低龄幼虫始盛期施药1次，对甘蓝叶片正反两面均匀喷雾。 2. 本品在甘蓝上的安全间隔期为14天，每季作物使用1次。3. 大风天或预计1小时内有降雨，请勿施药。</w:t>
            </w:r>
          </w:p>
        </w:tc>
      </w:tr>
      <w:tr w14:paraId="1BB47F44">
        <w:tblPrEx>
          <w:tblCellMar>
            <w:top w:w="0" w:type="dxa"/>
            <w:left w:w="0" w:type="dxa"/>
            <w:bottom w:w="0" w:type="dxa"/>
            <w:right w:w="0" w:type="dxa"/>
          </w:tblCellMar>
        </w:tblPrEx>
        <w:trPr>
          <w:wBefore w:w="0" w:type="auto"/>
          <w:tblCellSpacing w:w="0" w:type="dxa"/>
        </w:trPr>
        <w:tc>
          <w:tcPr>
            <w:tcW w:w="0" w:type="auto"/>
            <w:noWrap w:val="0"/>
            <w:vAlign w:val="center"/>
          </w:tcPr>
          <w:p w14:paraId="06332AF3">
            <w:r>
              <w:rPr>
                <w:rStyle w:val="10"/>
                <w:rFonts w:hint="eastAsia"/>
              </w:rPr>
              <w:t>产品性能:</w:t>
            </w:r>
            <w:r>
              <w:rPr>
                <w:rFonts w:hint="eastAsia"/>
              </w:rPr>
              <w:br w:type="textWrapping"/>
            </w:r>
            <w:r>
              <w:rPr>
                <w:rStyle w:val="11"/>
                <w:rFonts w:hint="eastAsia"/>
              </w:rPr>
              <w:t>本品是新型吡咯类化合物和取代脲类复配杀虫剂，具有胃毒、触杀和内吸作用，在叶面渗透性强，对甘蓝甜菜夜蛾有较好的防治效果。</w:t>
            </w:r>
          </w:p>
        </w:tc>
      </w:tr>
      <w:tr w14:paraId="027D6031">
        <w:tblPrEx>
          <w:tblCellMar>
            <w:top w:w="0" w:type="dxa"/>
            <w:left w:w="0" w:type="dxa"/>
            <w:bottom w:w="0" w:type="dxa"/>
            <w:right w:w="0" w:type="dxa"/>
          </w:tblCellMar>
        </w:tblPrEx>
        <w:trPr>
          <w:wBefore w:w="0" w:type="auto"/>
          <w:tblCellSpacing w:w="0" w:type="dxa"/>
        </w:trPr>
        <w:tc>
          <w:tcPr>
            <w:tcW w:w="0" w:type="auto"/>
            <w:noWrap w:val="0"/>
            <w:vAlign w:val="center"/>
          </w:tcPr>
          <w:p w14:paraId="2051AB31">
            <w:r>
              <w:rPr>
                <w:rStyle w:val="10"/>
                <w:rFonts w:hint="eastAsia"/>
              </w:rPr>
              <w:t>注意事项：</w:t>
            </w:r>
            <w:r>
              <w:rPr>
                <w:rFonts w:hint="eastAsia"/>
              </w:rPr>
              <w:br w:type="textWrapping"/>
            </w:r>
            <w:r>
              <w:rPr>
                <w:rStyle w:val="11"/>
                <w:rFonts w:hint="eastAsia"/>
              </w:rPr>
              <w:t>1. 严格按照规定用药量和方法使用，本品不宜与碱性类农药混合使用。 2. 本品对鸟类、家蚕、蜜蜂、鱼类等水生生物有毒，鸟类保护区附近禁用，（周围）开花植物花期禁用，品使用时应密切关注对附近蜂群的影响；蚕室和桑园附近禁用，赤眼蜂、瓢虫等天敌放飞区禁用；远离水产养殖区、河塘施药，禁止在河塘等水域中清洗施药器具。 3. 用过的容器应妥善处理，不可做他用，也不可随意丢弃。 4. 使用本品严格按照农药安全使用规则操作，本品对眼睛有刺激性，使用时避免接触眼睛，穿戴长衣、长裤、帽子、口罩、手套等防护措施。避免接触皮肤，污染衣物，避免吸入药滴，勿在施药现场抽烟和饮食。 施药后应立即清洗，并更换工作服。 5. 孕妇、哺乳期妇女及过敏者禁止接触本品。</w:t>
            </w:r>
          </w:p>
        </w:tc>
      </w:tr>
      <w:tr w14:paraId="2F6295B7">
        <w:tblPrEx>
          <w:tblCellMar>
            <w:top w:w="0" w:type="dxa"/>
            <w:left w:w="0" w:type="dxa"/>
            <w:bottom w:w="0" w:type="dxa"/>
            <w:right w:w="0" w:type="dxa"/>
          </w:tblCellMar>
        </w:tblPrEx>
        <w:trPr>
          <w:wBefore w:w="0" w:type="auto"/>
          <w:tblCellSpacing w:w="0" w:type="dxa"/>
        </w:trPr>
        <w:tc>
          <w:tcPr>
            <w:tcW w:w="0" w:type="auto"/>
            <w:noWrap w:val="0"/>
            <w:vAlign w:val="center"/>
          </w:tcPr>
          <w:p w14:paraId="08E30F5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大量清水冲洗被污染的皮肤，如皮肤刺激感持续，请医生诊治。3.本品对眼睛有刺激性，眼睛溅药：立即将眼睑翻开，用清水冲洗至少15分钟，再请医生诊治。 4.发生吸入：立即将吸入者转移到空气新鲜处，如果吸入者停止呼吸，需进行人工呼吸。注意保暖和休息，请医生诊治。5.误服：立即携带标签，送医就诊。</w:t>
            </w:r>
          </w:p>
        </w:tc>
      </w:tr>
      <w:tr w14:paraId="05DE4973">
        <w:tblPrEx>
          <w:tblCellMar>
            <w:top w:w="0" w:type="dxa"/>
            <w:left w:w="0" w:type="dxa"/>
            <w:bottom w:w="0" w:type="dxa"/>
            <w:right w:w="0" w:type="dxa"/>
          </w:tblCellMar>
        </w:tblPrEx>
        <w:trPr>
          <w:wBefore w:w="0" w:type="auto"/>
          <w:tblCellSpacing w:w="0" w:type="dxa"/>
        </w:trPr>
        <w:tc>
          <w:tcPr>
            <w:tcW w:w="0" w:type="auto"/>
            <w:noWrap w:val="0"/>
            <w:vAlign w:val="center"/>
          </w:tcPr>
          <w:p w14:paraId="04177B46">
            <w:r>
              <w:rPr>
                <w:rStyle w:val="10"/>
                <w:rFonts w:hint="eastAsia"/>
              </w:rPr>
              <w:t>储存和运输方法：</w:t>
            </w:r>
            <w:r>
              <w:rPr>
                <w:rFonts w:hint="eastAsia"/>
              </w:rPr>
              <w:br w:type="textWrapping"/>
            </w:r>
            <w:r>
              <w:rPr>
                <w:rStyle w:val="11"/>
                <w:rFonts w:hint="eastAsia"/>
              </w:rPr>
              <w:t>1. 本品应贮存在干燥、阴凉、通风、防雨处，远离火源或热源。2. 置于儿童、无关人员及动物接触不到的地方，并加锁保存。3. 勿与食品、饮料、粮食、饲料等其他商品同贮同运。</w:t>
            </w:r>
          </w:p>
        </w:tc>
      </w:tr>
      <w:tr w14:paraId="18B0718A">
        <w:tblPrEx>
          <w:tblCellMar>
            <w:top w:w="0" w:type="dxa"/>
            <w:left w:w="0" w:type="dxa"/>
            <w:bottom w:w="0" w:type="dxa"/>
            <w:right w:w="0" w:type="dxa"/>
          </w:tblCellMar>
        </w:tblPrEx>
        <w:trPr>
          <w:wBefore w:w="0" w:type="auto"/>
          <w:tblCellSpacing w:w="0" w:type="dxa"/>
        </w:trPr>
        <w:tc>
          <w:tcPr>
            <w:tcW w:w="0" w:type="auto"/>
            <w:noWrap w:val="0"/>
            <w:vAlign w:val="center"/>
          </w:tcPr>
          <w:p w14:paraId="7E5837B8">
            <w:r>
              <w:rPr>
                <w:rStyle w:val="10"/>
                <w:rFonts w:hint="eastAsia"/>
              </w:rPr>
              <w:t>质量保证期：</w:t>
            </w:r>
            <w:r>
              <w:rPr>
                <w:rStyle w:val="11"/>
                <w:rFonts w:hint="eastAsia"/>
              </w:rPr>
              <w:t>2年</w:t>
            </w:r>
          </w:p>
        </w:tc>
      </w:tr>
      <w:tr w14:paraId="70015719">
        <w:tblPrEx>
          <w:tblCellMar>
            <w:top w:w="0" w:type="dxa"/>
            <w:left w:w="0" w:type="dxa"/>
            <w:bottom w:w="0" w:type="dxa"/>
            <w:right w:w="0" w:type="dxa"/>
          </w:tblCellMar>
        </w:tblPrEx>
        <w:trPr>
          <w:wBefore w:w="0" w:type="auto"/>
          <w:tblCellSpacing w:w="0" w:type="dxa"/>
        </w:trPr>
        <w:tc>
          <w:tcPr>
            <w:tcW w:w="0" w:type="auto"/>
            <w:noWrap w:val="0"/>
            <w:vAlign w:val="center"/>
          </w:tcPr>
          <w:p w14:paraId="5F425681">
            <w:r>
              <w:rPr>
                <w:rStyle w:val="10"/>
                <w:rFonts w:hint="eastAsia"/>
              </w:rPr>
              <w:t>备注：</w:t>
            </w:r>
          </w:p>
        </w:tc>
      </w:tr>
    </w:tbl>
    <w:p w14:paraId="1877BF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53E9B6">
        <w:tblPrEx>
          <w:tblCellMar>
            <w:top w:w="0" w:type="dxa"/>
            <w:left w:w="0" w:type="dxa"/>
            <w:bottom w:w="0" w:type="dxa"/>
            <w:right w:w="0" w:type="dxa"/>
          </w:tblCellMar>
        </w:tblPrEx>
        <w:trPr>
          <w:wBefore w:w="0" w:type="auto"/>
          <w:tblCellSpacing w:w="0" w:type="dxa"/>
        </w:trPr>
        <w:tc>
          <w:tcPr>
            <w:tcW w:w="0" w:type="auto"/>
            <w:noWrap w:val="0"/>
            <w:vAlign w:val="center"/>
          </w:tcPr>
          <w:p w14:paraId="7433E912">
            <w:r>
              <w:rPr>
                <w:rStyle w:val="10"/>
                <w:rFonts w:hint="eastAsia"/>
              </w:rPr>
              <w:t>登记证号：</w:t>
            </w:r>
            <w:r>
              <w:rPr>
                <w:rFonts w:hint="eastAsia"/>
              </w:rPr>
              <w:t>PD20181616</w:t>
            </w:r>
          </w:p>
        </w:tc>
      </w:tr>
      <w:tr w14:paraId="378DC8CE">
        <w:tblPrEx>
          <w:tblCellMar>
            <w:top w:w="0" w:type="dxa"/>
            <w:left w:w="0" w:type="dxa"/>
            <w:bottom w:w="0" w:type="dxa"/>
            <w:right w:w="0" w:type="dxa"/>
          </w:tblCellMar>
        </w:tblPrEx>
        <w:trPr>
          <w:wBefore w:w="0" w:type="auto"/>
          <w:tblCellSpacing w:w="0" w:type="dxa"/>
        </w:trPr>
        <w:tc>
          <w:tcPr>
            <w:tcW w:w="0" w:type="auto"/>
            <w:noWrap w:val="0"/>
            <w:vAlign w:val="center"/>
          </w:tcPr>
          <w:p w14:paraId="195D13BB">
            <w:r>
              <w:rPr>
                <w:rStyle w:val="10"/>
                <w:rFonts w:hint="eastAsia"/>
              </w:rPr>
              <w:t>登记证持有人：</w:t>
            </w:r>
            <w:r>
              <w:rPr>
                <w:rFonts w:hint="eastAsia"/>
              </w:rPr>
              <w:t>陕西上格之路生物科学有限公司</w:t>
            </w:r>
          </w:p>
        </w:tc>
      </w:tr>
      <w:tr w14:paraId="1A63FD15">
        <w:tblPrEx>
          <w:tblCellMar>
            <w:top w:w="0" w:type="dxa"/>
            <w:left w:w="0" w:type="dxa"/>
            <w:bottom w:w="0" w:type="dxa"/>
            <w:right w:w="0" w:type="dxa"/>
          </w:tblCellMar>
        </w:tblPrEx>
        <w:trPr>
          <w:wBefore w:w="0" w:type="auto"/>
          <w:tblCellSpacing w:w="0" w:type="dxa"/>
        </w:trPr>
        <w:tc>
          <w:tcPr>
            <w:tcW w:w="0" w:type="auto"/>
            <w:noWrap w:val="0"/>
            <w:vAlign w:val="center"/>
          </w:tcPr>
          <w:p w14:paraId="48717C49">
            <w:r>
              <w:rPr>
                <w:rStyle w:val="10"/>
                <w:rFonts w:hint="eastAsia"/>
              </w:rPr>
              <w:t>农药名称：</w:t>
            </w:r>
            <w:r>
              <w:rPr>
                <w:rFonts w:hint="eastAsia"/>
              </w:rPr>
              <w:t>苯肽胺酸</w:t>
            </w:r>
          </w:p>
        </w:tc>
      </w:tr>
      <w:tr w14:paraId="3DE7B007">
        <w:tblPrEx>
          <w:tblCellMar>
            <w:top w:w="0" w:type="dxa"/>
            <w:left w:w="0" w:type="dxa"/>
            <w:bottom w:w="0" w:type="dxa"/>
            <w:right w:w="0" w:type="dxa"/>
          </w:tblCellMar>
        </w:tblPrEx>
        <w:trPr>
          <w:wBefore w:w="0" w:type="auto"/>
          <w:tblCellSpacing w:w="0" w:type="dxa"/>
        </w:trPr>
        <w:tc>
          <w:tcPr>
            <w:tcW w:w="0" w:type="auto"/>
            <w:noWrap w:val="0"/>
            <w:vAlign w:val="center"/>
          </w:tcPr>
          <w:p w14:paraId="6B4CF99C">
            <w:r>
              <w:rPr>
                <w:rStyle w:val="10"/>
                <w:rFonts w:hint="eastAsia"/>
              </w:rPr>
              <w:t>剂型：</w:t>
            </w:r>
            <w:r>
              <w:rPr>
                <w:rFonts w:hint="eastAsia"/>
              </w:rPr>
              <w:t>可溶液剂</w:t>
            </w:r>
          </w:p>
        </w:tc>
      </w:tr>
      <w:tr w14:paraId="10EDFED7">
        <w:tblPrEx>
          <w:tblCellMar>
            <w:top w:w="0" w:type="dxa"/>
            <w:left w:w="0" w:type="dxa"/>
            <w:bottom w:w="0" w:type="dxa"/>
            <w:right w:w="0" w:type="dxa"/>
          </w:tblCellMar>
        </w:tblPrEx>
        <w:trPr>
          <w:wBefore w:w="0" w:type="auto"/>
          <w:tblCellSpacing w:w="0" w:type="dxa"/>
        </w:trPr>
        <w:tc>
          <w:tcPr>
            <w:tcW w:w="0" w:type="auto"/>
            <w:noWrap w:val="0"/>
            <w:vAlign w:val="center"/>
          </w:tcPr>
          <w:p w14:paraId="4FC9BBC0">
            <w:r>
              <w:rPr>
                <w:rStyle w:val="10"/>
                <w:rFonts w:hint="eastAsia"/>
              </w:rPr>
              <w:t>毒性及其标识：</w:t>
            </w:r>
            <w:r>
              <w:rPr>
                <w:rFonts w:hint="eastAsia"/>
              </w:rPr>
              <w:t xml:space="preserve"> </w:t>
            </w:r>
            <w:r>
              <w:rPr>
                <w:lang/>
              </w:rPr>
              <w:drawing>
                <wp:inline distT="0" distB="0" distL="114300" distR="114300">
                  <wp:extent cx="476250" cy="323850"/>
                  <wp:effectExtent l="0" t="0" r="0" b="0"/>
                  <wp:docPr id="413" name="图片 4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BCE9BE6">
        <w:tblPrEx>
          <w:tblCellMar>
            <w:top w:w="0" w:type="dxa"/>
            <w:left w:w="0" w:type="dxa"/>
            <w:bottom w:w="0" w:type="dxa"/>
            <w:right w:w="0" w:type="dxa"/>
          </w:tblCellMar>
        </w:tblPrEx>
        <w:trPr>
          <w:wBefore w:w="0" w:type="auto"/>
          <w:tblCellSpacing w:w="0" w:type="dxa"/>
        </w:trPr>
        <w:tc>
          <w:tcPr>
            <w:tcW w:w="0" w:type="auto"/>
            <w:noWrap w:val="0"/>
            <w:vAlign w:val="center"/>
          </w:tcPr>
          <w:p w14:paraId="79CFB339">
            <w:r>
              <w:rPr>
                <w:rStyle w:val="10"/>
                <w:rFonts w:hint="eastAsia"/>
              </w:rPr>
              <w:t>总有效成分含量：</w:t>
            </w:r>
            <w:r>
              <w:rPr>
                <w:rFonts w:hint="eastAsia"/>
              </w:rPr>
              <w:t>20%</w:t>
            </w:r>
          </w:p>
        </w:tc>
      </w:tr>
      <w:tr w14:paraId="7B58F8AB">
        <w:tblPrEx>
          <w:tblCellMar>
            <w:top w:w="0" w:type="dxa"/>
            <w:left w:w="0" w:type="dxa"/>
            <w:bottom w:w="0" w:type="dxa"/>
            <w:right w:w="0" w:type="dxa"/>
          </w:tblCellMar>
        </w:tblPrEx>
        <w:trPr>
          <w:wBefore w:w="0" w:type="auto"/>
          <w:tblCellSpacing w:w="0" w:type="dxa"/>
        </w:trPr>
        <w:tc>
          <w:tcPr>
            <w:tcW w:w="0" w:type="auto"/>
            <w:noWrap w:val="0"/>
            <w:vAlign w:val="center"/>
          </w:tcPr>
          <w:p w14:paraId="72A4F311">
            <w:r>
              <w:rPr>
                <w:rFonts w:hint="eastAsia"/>
              </w:rPr>
              <w:t xml:space="preserve">有效成分及其含量： </w:t>
            </w:r>
          </w:p>
          <w:p w14:paraId="50197078">
            <w:r>
              <w:rPr>
                <w:rFonts w:hint="eastAsia"/>
              </w:rPr>
              <w:t xml:space="preserve">    苯肽胺酸20%    </w:t>
            </w:r>
          </w:p>
        </w:tc>
      </w:tr>
      <w:tr w14:paraId="2FDD0ED2">
        <w:tblPrEx>
          <w:tblCellMar>
            <w:top w:w="0" w:type="dxa"/>
            <w:left w:w="0" w:type="dxa"/>
            <w:bottom w:w="0" w:type="dxa"/>
            <w:right w:w="0" w:type="dxa"/>
          </w:tblCellMar>
        </w:tblPrEx>
        <w:trPr>
          <w:wBefore w:w="0" w:type="auto"/>
          <w:tblCellSpacing w:w="0" w:type="dxa"/>
        </w:trPr>
        <w:tc>
          <w:tcPr>
            <w:tcW w:w="0" w:type="auto"/>
            <w:noWrap w:val="0"/>
            <w:vAlign w:val="center"/>
          </w:tcPr>
          <w:p w14:paraId="6F9CB5A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360C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67D5E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2351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4A3D8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90A12A">
                  <w:r>
                    <w:rPr>
                      <w:rStyle w:val="11"/>
                      <w:rFonts w:hint="eastAsia"/>
                    </w:rPr>
                    <w:t>施用方式</w:t>
                  </w:r>
                </w:p>
              </w:tc>
            </w:tr>
            <w:tr w14:paraId="057A62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75973E">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49FA8B">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93C655">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99E1D0">
                  <w:r>
                    <w:rPr>
                      <w:rStyle w:val="11"/>
                      <w:rFonts w:hint="eastAsia"/>
                    </w:rPr>
                    <w:t>喷雾</w:t>
                  </w:r>
                </w:p>
              </w:tc>
            </w:tr>
          </w:tbl>
          <w:p w14:paraId="16F69696">
            <w:pPr>
              <w:rPr>
                <w:rFonts w:ascii="Times New Roman" w:hAnsi="Times New Roman" w:cs="Times New Roman"/>
                <w:sz w:val="20"/>
                <w:szCs w:val="20"/>
              </w:rPr>
            </w:pPr>
          </w:p>
        </w:tc>
      </w:tr>
      <w:tr w14:paraId="11DBFE60">
        <w:tblPrEx>
          <w:tblCellMar>
            <w:top w:w="0" w:type="dxa"/>
            <w:left w:w="0" w:type="dxa"/>
            <w:bottom w:w="0" w:type="dxa"/>
            <w:right w:w="0" w:type="dxa"/>
          </w:tblCellMar>
        </w:tblPrEx>
        <w:trPr>
          <w:wBefore w:w="0" w:type="auto"/>
          <w:tblCellSpacing w:w="0" w:type="dxa"/>
        </w:trPr>
        <w:tc>
          <w:tcPr>
            <w:tcW w:w="0" w:type="auto"/>
            <w:noWrap w:val="0"/>
            <w:vAlign w:val="center"/>
          </w:tcPr>
          <w:p w14:paraId="0BA4CE83">
            <w:r>
              <w:rPr>
                <w:rStyle w:val="10"/>
                <w:rFonts w:hint="eastAsia"/>
              </w:rPr>
              <w:t>使用技术要求:</w:t>
            </w:r>
            <w:r>
              <w:rPr>
                <w:rFonts w:hint="eastAsia"/>
              </w:rPr>
              <w:br w:type="textWrapping"/>
            </w:r>
            <w:r>
              <w:rPr>
                <w:rStyle w:val="11"/>
                <w:rFonts w:hint="eastAsia"/>
              </w:rPr>
              <w:t>1. 大豆：应于花蕾期、初花期或开花后施药，使用时注意喷雾均匀、周到；枣树：应于幼果期施药，使用时注意喷雾均匀、周到；小麦：应于小麦返青拔节期、扬花期各施药一次；玉米：应于玉米5-6叶期，10-12叶期各施药一次； 2. 大风天或1小时内有降雨，请勿施药； 3. 大豆每季最多施药2次；枣树每季最多施药1次；小麦每季最多施药2次；玉米每季最多施药2次，鲜食玉米安全间隔期为21天，成熟玉米安全间隔期45天。</w:t>
            </w:r>
          </w:p>
        </w:tc>
      </w:tr>
      <w:tr w14:paraId="799D2935">
        <w:tblPrEx>
          <w:tblCellMar>
            <w:top w:w="0" w:type="dxa"/>
            <w:left w:w="0" w:type="dxa"/>
            <w:bottom w:w="0" w:type="dxa"/>
            <w:right w:w="0" w:type="dxa"/>
          </w:tblCellMar>
        </w:tblPrEx>
        <w:trPr>
          <w:wBefore w:w="0" w:type="auto"/>
          <w:tblCellSpacing w:w="0" w:type="dxa"/>
        </w:trPr>
        <w:tc>
          <w:tcPr>
            <w:tcW w:w="0" w:type="auto"/>
            <w:noWrap w:val="0"/>
            <w:vAlign w:val="center"/>
          </w:tcPr>
          <w:p w14:paraId="1F0C070B">
            <w:r>
              <w:rPr>
                <w:rStyle w:val="10"/>
                <w:rFonts w:hint="eastAsia"/>
              </w:rPr>
              <w:t>产品性能:</w:t>
            </w:r>
            <w:r>
              <w:rPr>
                <w:rFonts w:hint="eastAsia"/>
              </w:rPr>
              <w:br w:type="textWrapping"/>
            </w:r>
            <w:r>
              <w:rPr>
                <w:rStyle w:val="11"/>
                <w:rFonts w:hint="eastAsia"/>
              </w:rPr>
              <w:t>本品通过叶面喷施能迅速进入植物体内，通过协同植物体内内源激素和改变细胞内抗氧化和防御物质，来促进营养物质输送到植物生长点；增强植物细胞的活力，促进叶绿素的合成，增强植物抗逆能力。</w:t>
            </w:r>
          </w:p>
        </w:tc>
      </w:tr>
      <w:tr w14:paraId="2BF4404B">
        <w:tblPrEx>
          <w:tblCellMar>
            <w:top w:w="0" w:type="dxa"/>
            <w:left w:w="0" w:type="dxa"/>
            <w:bottom w:w="0" w:type="dxa"/>
            <w:right w:w="0" w:type="dxa"/>
          </w:tblCellMar>
        </w:tblPrEx>
        <w:trPr>
          <w:wBefore w:w="0" w:type="auto"/>
          <w:tblCellSpacing w:w="0" w:type="dxa"/>
        </w:trPr>
        <w:tc>
          <w:tcPr>
            <w:tcW w:w="0" w:type="auto"/>
            <w:noWrap w:val="0"/>
            <w:vAlign w:val="center"/>
          </w:tcPr>
          <w:p w14:paraId="34E699F1">
            <w:r>
              <w:rPr>
                <w:rStyle w:val="10"/>
                <w:rFonts w:hint="eastAsia"/>
              </w:rPr>
              <w:t>注意事项：</w:t>
            </w:r>
            <w:r>
              <w:rPr>
                <w:rFonts w:hint="eastAsia"/>
              </w:rPr>
              <w:br w:type="textWrapping"/>
            </w:r>
            <w:r>
              <w:rPr>
                <w:rStyle w:val="11"/>
                <w:rFonts w:hint="eastAsia"/>
              </w:rPr>
              <w:t>1. 请严格按照本标签推荐用药量及施用方法使用； 2. 避免在烈日下喷雾，施药后3小时遇雨需重喷； 3. 水产养殖区、河塘等水体附近禁用。禁止在河塘等水体中清洗施药器具，清洗施药器具的废水不得随意排入池塘、河流等水体；桑园和蚕室附近禁用。不可使用最外围桑树上的桑叶饲喂家蚕； 4. 本品不可直接与强酸强碱性农药等物质混用。使用时先将其他农药配好，然后加入本品后混合均匀； 5. 应采用高效的施药器械施药，使用本品时应穿长衣长裤、靴子、戴手套、口罩、帽子等适当的防护用具，避免吸入药液。施药期间不可吃东西和饮水，施药后应及时洗脸和洗手； 6. 孕妇及哺乳期妇女避免接触本品； 7. 用过的容器应妥善处理，不可做他用，也不可随意丢弃。</w:t>
            </w:r>
          </w:p>
        </w:tc>
      </w:tr>
      <w:tr w14:paraId="6423B411">
        <w:tblPrEx>
          <w:tblCellMar>
            <w:top w:w="0" w:type="dxa"/>
            <w:left w:w="0" w:type="dxa"/>
            <w:bottom w:w="0" w:type="dxa"/>
            <w:right w:w="0" w:type="dxa"/>
          </w:tblCellMar>
        </w:tblPrEx>
        <w:trPr>
          <w:wBefore w:w="0" w:type="auto"/>
          <w:tblCellSpacing w:w="0" w:type="dxa"/>
        </w:trPr>
        <w:tc>
          <w:tcPr>
            <w:tcW w:w="0" w:type="auto"/>
            <w:noWrap w:val="0"/>
            <w:vAlign w:val="center"/>
          </w:tcPr>
          <w:p w14:paraId="024A279A">
            <w:r>
              <w:rPr>
                <w:rStyle w:val="10"/>
                <w:rFonts w:hint="eastAsia"/>
              </w:rPr>
              <w:t>中毒急救措施：</w:t>
            </w:r>
            <w:r>
              <w:rPr>
                <w:rFonts w:hint="eastAsia"/>
              </w:rPr>
              <w:br w:type="textWrapping"/>
            </w:r>
            <w:r>
              <w:rPr>
                <w:rStyle w:val="11"/>
                <w:rFonts w:hint="eastAsia"/>
              </w:rPr>
              <w:t>不慎接触皮肤，应立即用肥皂和清水冲洗。不慎溅入眼睛，应用大量清水冲洗至少15分钟。误服则立即携此标签送病人去医院诊治，对症治疗，不能引吐。无特效解毒剂。</w:t>
            </w:r>
          </w:p>
        </w:tc>
      </w:tr>
      <w:tr w14:paraId="132FA4FE">
        <w:tblPrEx>
          <w:tblCellMar>
            <w:top w:w="0" w:type="dxa"/>
            <w:left w:w="0" w:type="dxa"/>
            <w:bottom w:w="0" w:type="dxa"/>
            <w:right w:w="0" w:type="dxa"/>
          </w:tblCellMar>
        </w:tblPrEx>
        <w:trPr>
          <w:wBefore w:w="0" w:type="auto"/>
          <w:tblCellSpacing w:w="0" w:type="dxa"/>
        </w:trPr>
        <w:tc>
          <w:tcPr>
            <w:tcW w:w="0" w:type="auto"/>
            <w:noWrap w:val="0"/>
            <w:vAlign w:val="center"/>
          </w:tcPr>
          <w:p w14:paraId="0AD0F8F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本品应贮存在干燥、阴凉、通风、防雨处，远离火源或热源。置于儿童、无关人员等触及不到之处，并加锁。勿与食品、粮食、饮料、饲料等同贮同运。</w:t>
            </w:r>
          </w:p>
        </w:tc>
      </w:tr>
      <w:tr w14:paraId="2AC48553">
        <w:tblPrEx>
          <w:tblCellMar>
            <w:top w:w="0" w:type="dxa"/>
            <w:left w:w="0" w:type="dxa"/>
            <w:bottom w:w="0" w:type="dxa"/>
            <w:right w:w="0" w:type="dxa"/>
          </w:tblCellMar>
        </w:tblPrEx>
        <w:trPr>
          <w:wBefore w:w="0" w:type="auto"/>
          <w:tblCellSpacing w:w="0" w:type="dxa"/>
        </w:trPr>
        <w:tc>
          <w:tcPr>
            <w:tcW w:w="0" w:type="auto"/>
            <w:noWrap w:val="0"/>
            <w:vAlign w:val="center"/>
          </w:tcPr>
          <w:p w14:paraId="08B4FBE8">
            <w:r>
              <w:rPr>
                <w:rStyle w:val="10"/>
                <w:rFonts w:hint="eastAsia"/>
              </w:rPr>
              <w:t>质量保证期：</w:t>
            </w:r>
            <w:r>
              <w:rPr>
                <w:rStyle w:val="11"/>
                <w:rFonts w:hint="eastAsia"/>
              </w:rPr>
              <w:t>2年</w:t>
            </w:r>
          </w:p>
        </w:tc>
      </w:tr>
      <w:tr w14:paraId="04D6BA58">
        <w:tblPrEx>
          <w:tblCellMar>
            <w:top w:w="0" w:type="dxa"/>
            <w:left w:w="0" w:type="dxa"/>
            <w:bottom w:w="0" w:type="dxa"/>
            <w:right w:w="0" w:type="dxa"/>
          </w:tblCellMar>
        </w:tblPrEx>
        <w:trPr>
          <w:wBefore w:w="0" w:type="auto"/>
          <w:tblCellSpacing w:w="0" w:type="dxa"/>
        </w:trPr>
        <w:tc>
          <w:tcPr>
            <w:tcW w:w="0" w:type="auto"/>
            <w:noWrap w:val="0"/>
            <w:vAlign w:val="center"/>
          </w:tcPr>
          <w:p w14:paraId="1605FC2B">
            <w:r>
              <w:rPr>
                <w:rStyle w:val="10"/>
                <w:rFonts w:hint="eastAsia"/>
              </w:rPr>
              <w:t>备注：</w:t>
            </w:r>
          </w:p>
        </w:tc>
      </w:tr>
    </w:tbl>
    <w:p w14:paraId="75A462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209B78">
        <w:tblPrEx>
          <w:tblCellMar>
            <w:top w:w="0" w:type="dxa"/>
            <w:left w:w="0" w:type="dxa"/>
            <w:bottom w:w="0" w:type="dxa"/>
            <w:right w:w="0" w:type="dxa"/>
          </w:tblCellMar>
        </w:tblPrEx>
        <w:trPr>
          <w:wBefore w:w="0" w:type="auto"/>
          <w:tblCellSpacing w:w="0" w:type="dxa"/>
        </w:trPr>
        <w:tc>
          <w:tcPr>
            <w:tcW w:w="0" w:type="auto"/>
            <w:noWrap w:val="0"/>
            <w:vAlign w:val="center"/>
          </w:tcPr>
          <w:p w14:paraId="5AEF8953">
            <w:r>
              <w:rPr>
                <w:rStyle w:val="10"/>
                <w:rFonts w:hint="eastAsia"/>
              </w:rPr>
              <w:t>登记证号：</w:t>
            </w:r>
            <w:r>
              <w:rPr>
                <w:rFonts w:hint="eastAsia"/>
              </w:rPr>
              <w:t>PD20080868</w:t>
            </w:r>
          </w:p>
        </w:tc>
      </w:tr>
      <w:tr w14:paraId="6DB7A563">
        <w:trPr>
          <w:wBefore w:w="0" w:type="auto"/>
          <w:tblCellSpacing w:w="0" w:type="dxa"/>
        </w:trPr>
        <w:tc>
          <w:tcPr>
            <w:tcW w:w="0" w:type="auto"/>
            <w:noWrap w:val="0"/>
            <w:vAlign w:val="center"/>
          </w:tcPr>
          <w:p w14:paraId="2B01E0FA">
            <w:r>
              <w:rPr>
                <w:rStyle w:val="10"/>
                <w:rFonts w:hint="eastAsia"/>
              </w:rPr>
              <w:t>登记证持有人：</w:t>
            </w:r>
            <w:r>
              <w:rPr>
                <w:rFonts w:hint="eastAsia"/>
              </w:rPr>
              <w:t>广东金农达生物科技有限公司</w:t>
            </w:r>
          </w:p>
        </w:tc>
      </w:tr>
      <w:tr w14:paraId="2F19872D">
        <w:tblPrEx>
          <w:tblCellMar>
            <w:top w:w="0" w:type="dxa"/>
            <w:left w:w="0" w:type="dxa"/>
            <w:bottom w:w="0" w:type="dxa"/>
            <w:right w:w="0" w:type="dxa"/>
          </w:tblCellMar>
        </w:tblPrEx>
        <w:trPr>
          <w:wBefore w:w="0" w:type="auto"/>
          <w:tblCellSpacing w:w="0" w:type="dxa"/>
        </w:trPr>
        <w:tc>
          <w:tcPr>
            <w:tcW w:w="0" w:type="auto"/>
            <w:noWrap w:val="0"/>
            <w:vAlign w:val="center"/>
          </w:tcPr>
          <w:p w14:paraId="6C54BF97">
            <w:r>
              <w:rPr>
                <w:rStyle w:val="10"/>
                <w:rFonts w:hint="eastAsia"/>
              </w:rPr>
              <w:t>农药名称：</w:t>
            </w:r>
            <w:r>
              <w:rPr>
                <w:rFonts w:hint="eastAsia"/>
              </w:rPr>
              <w:t>24-表芸·三表芸</w:t>
            </w:r>
          </w:p>
        </w:tc>
      </w:tr>
      <w:tr w14:paraId="13AD911C">
        <w:tblPrEx>
          <w:tblCellMar>
            <w:top w:w="0" w:type="dxa"/>
            <w:left w:w="0" w:type="dxa"/>
            <w:bottom w:w="0" w:type="dxa"/>
            <w:right w:w="0" w:type="dxa"/>
          </w:tblCellMar>
        </w:tblPrEx>
        <w:trPr>
          <w:wBefore w:w="0" w:type="auto"/>
          <w:tblCellSpacing w:w="0" w:type="dxa"/>
        </w:trPr>
        <w:tc>
          <w:tcPr>
            <w:tcW w:w="0" w:type="auto"/>
            <w:noWrap w:val="0"/>
            <w:vAlign w:val="center"/>
          </w:tcPr>
          <w:p w14:paraId="39C43D9A">
            <w:r>
              <w:rPr>
                <w:rStyle w:val="10"/>
                <w:rFonts w:hint="eastAsia"/>
              </w:rPr>
              <w:t>剂型：</w:t>
            </w:r>
            <w:r>
              <w:rPr>
                <w:rFonts w:hint="eastAsia"/>
              </w:rPr>
              <w:t>可溶液剂</w:t>
            </w:r>
          </w:p>
        </w:tc>
      </w:tr>
      <w:tr w14:paraId="62DBE566">
        <w:tblPrEx>
          <w:tblCellMar>
            <w:top w:w="0" w:type="dxa"/>
            <w:left w:w="0" w:type="dxa"/>
            <w:bottom w:w="0" w:type="dxa"/>
            <w:right w:w="0" w:type="dxa"/>
          </w:tblCellMar>
        </w:tblPrEx>
        <w:trPr>
          <w:wBefore w:w="0" w:type="auto"/>
          <w:tblCellSpacing w:w="0" w:type="dxa"/>
        </w:trPr>
        <w:tc>
          <w:tcPr>
            <w:tcW w:w="0" w:type="auto"/>
            <w:noWrap w:val="0"/>
            <w:vAlign w:val="center"/>
          </w:tcPr>
          <w:p w14:paraId="545AA8C5">
            <w:r>
              <w:rPr>
                <w:rStyle w:val="10"/>
                <w:rFonts w:hint="eastAsia"/>
              </w:rPr>
              <w:t>毒性及其标识：</w:t>
            </w:r>
            <w:r>
              <w:rPr>
                <w:rFonts w:hint="eastAsia"/>
              </w:rPr>
              <w:t xml:space="preserve"> </w:t>
            </w:r>
            <w:r>
              <w:rPr>
                <w:lang/>
              </w:rPr>
              <w:drawing>
                <wp:inline distT="0" distB="0" distL="114300" distR="114300">
                  <wp:extent cx="476250" cy="323850"/>
                  <wp:effectExtent l="0" t="0" r="0" b="0"/>
                  <wp:docPr id="414" name="图片 4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39D22D">
        <w:tblPrEx>
          <w:tblCellMar>
            <w:top w:w="0" w:type="dxa"/>
            <w:left w:w="0" w:type="dxa"/>
            <w:bottom w:w="0" w:type="dxa"/>
            <w:right w:w="0" w:type="dxa"/>
          </w:tblCellMar>
        </w:tblPrEx>
        <w:trPr>
          <w:wBefore w:w="0" w:type="auto"/>
          <w:tblCellSpacing w:w="0" w:type="dxa"/>
        </w:trPr>
        <w:tc>
          <w:tcPr>
            <w:tcW w:w="0" w:type="auto"/>
            <w:noWrap w:val="0"/>
            <w:vAlign w:val="center"/>
          </w:tcPr>
          <w:p w14:paraId="7468298C">
            <w:r>
              <w:rPr>
                <w:rStyle w:val="10"/>
                <w:rFonts w:hint="eastAsia"/>
              </w:rPr>
              <w:t>总有效成分含量：</w:t>
            </w:r>
            <w:r>
              <w:rPr>
                <w:rFonts w:hint="eastAsia"/>
              </w:rPr>
              <w:t>0.01%</w:t>
            </w:r>
          </w:p>
        </w:tc>
      </w:tr>
      <w:tr w14:paraId="141F0126">
        <w:tblPrEx>
          <w:tblCellMar>
            <w:top w:w="0" w:type="dxa"/>
            <w:left w:w="0" w:type="dxa"/>
            <w:bottom w:w="0" w:type="dxa"/>
            <w:right w:w="0" w:type="dxa"/>
          </w:tblCellMar>
        </w:tblPrEx>
        <w:trPr>
          <w:wBefore w:w="0" w:type="auto"/>
          <w:tblCellSpacing w:w="0" w:type="dxa"/>
        </w:trPr>
        <w:tc>
          <w:tcPr>
            <w:tcW w:w="0" w:type="auto"/>
            <w:noWrap w:val="0"/>
            <w:vAlign w:val="center"/>
          </w:tcPr>
          <w:p w14:paraId="76BD319C">
            <w:r>
              <w:rPr>
                <w:rFonts w:hint="eastAsia"/>
              </w:rPr>
              <w:t xml:space="preserve">有效成分及其含量： </w:t>
            </w:r>
          </w:p>
          <w:p w14:paraId="0AEA8D2C">
            <w:r>
              <w:rPr>
                <w:rFonts w:hint="eastAsia"/>
              </w:rPr>
              <w:t xml:space="preserve">    24-表芸苔素内酯0.0034%    22、23、24-表芸苔素内酯0.0066%    </w:t>
            </w:r>
          </w:p>
        </w:tc>
      </w:tr>
      <w:tr w14:paraId="77FD4DE6">
        <w:tblPrEx>
          <w:tblCellMar>
            <w:top w:w="0" w:type="dxa"/>
            <w:left w:w="0" w:type="dxa"/>
            <w:bottom w:w="0" w:type="dxa"/>
            <w:right w:w="0" w:type="dxa"/>
          </w:tblCellMar>
        </w:tblPrEx>
        <w:trPr>
          <w:wBefore w:w="0" w:type="auto"/>
          <w:tblCellSpacing w:w="0" w:type="dxa"/>
        </w:trPr>
        <w:tc>
          <w:tcPr>
            <w:tcW w:w="0" w:type="auto"/>
            <w:noWrap w:val="0"/>
            <w:vAlign w:val="center"/>
          </w:tcPr>
          <w:p w14:paraId="1BD839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5A54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5658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AE8D6C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63EC2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8DF4E5">
                  <w:r>
                    <w:rPr>
                      <w:rStyle w:val="11"/>
                      <w:rFonts w:hint="eastAsia"/>
                    </w:rPr>
                    <w:t>施用方式</w:t>
                  </w:r>
                </w:p>
              </w:tc>
            </w:tr>
            <w:tr w14:paraId="085FAE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C98118">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5240D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7131AD">
                  <w:r>
                    <w:rPr>
                      <w:rStyle w:val="11"/>
                      <w:rFonts w:hint="eastAsia"/>
                    </w:rPr>
                    <w:t>2000-3300倍液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386A69">
                  <w:r>
                    <w:rPr>
                      <w:rStyle w:val="11"/>
                      <w:rFonts w:hint="eastAsia"/>
                    </w:rPr>
                    <w:t>喷雾</w:t>
                  </w:r>
                </w:p>
              </w:tc>
            </w:tr>
          </w:tbl>
          <w:p w14:paraId="79577229">
            <w:pPr>
              <w:rPr>
                <w:rFonts w:ascii="Times New Roman" w:hAnsi="Times New Roman" w:cs="Times New Roman"/>
                <w:sz w:val="20"/>
                <w:szCs w:val="20"/>
              </w:rPr>
            </w:pPr>
          </w:p>
        </w:tc>
      </w:tr>
      <w:tr w14:paraId="22D2678B">
        <w:tblPrEx>
          <w:tblCellMar>
            <w:top w:w="0" w:type="dxa"/>
            <w:left w:w="0" w:type="dxa"/>
            <w:bottom w:w="0" w:type="dxa"/>
            <w:right w:w="0" w:type="dxa"/>
          </w:tblCellMar>
        </w:tblPrEx>
        <w:trPr>
          <w:wBefore w:w="0" w:type="auto"/>
          <w:tblCellSpacing w:w="0" w:type="dxa"/>
        </w:trPr>
        <w:tc>
          <w:tcPr>
            <w:tcW w:w="0" w:type="auto"/>
            <w:noWrap w:val="0"/>
            <w:vAlign w:val="center"/>
          </w:tcPr>
          <w:p w14:paraId="22D8C7C4">
            <w:r>
              <w:rPr>
                <w:rStyle w:val="10"/>
                <w:rFonts w:hint="eastAsia"/>
              </w:rPr>
              <w:t>使用技术要求:</w:t>
            </w:r>
            <w:r>
              <w:rPr>
                <w:rFonts w:hint="eastAsia"/>
              </w:rPr>
              <w:br w:type="textWrapping"/>
            </w:r>
            <w:r>
              <w:rPr>
                <w:rStyle w:val="11"/>
                <w:rFonts w:hint="eastAsia"/>
              </w:rPr>
              <w:t>作物（或范围） 防治对象 制剂用药量 使用方法 小麦 调节生长、增产 3333-5000倍液 扬花和齐穗期各喷药1次 小白菜 调节生长、增产 2500-5000倍液 苗期和莲座期各喷药1次 棉花 调节生长、增产 2500-5000倍液 苗期、初花、盛花期各喷药1次 水稻 调节生长、增产 3500-5000倍液 浸种及喷雾 玉米 调节生长、增产 700-1000倍液 浸种及喷雾 柑橘树 调节生长 2500-3000倍液 喷雾 马铃薯 调节生长、增产 2000-3300倍液 苗期（出齐苗后15天）、块茎形成期、块茎膨大期各喷药1次 花生 调节生长、增产 2500-3500倍液 苗期、花期、扎针期各喷药1次 1、喷药时最好选择在早、晚较凉爽时，下雨时不能喷药，喷药后6小时内下雨要重喷，大风天或预计1小时内降雨请勿施药。 2、按各个作物生长周期的施药方法进行施药，不得随意提高施药浓度和施药次数。</w:t>
            </w:r>
          </w:p>
        </w:tc>
      </w:tr>
      <w:tr w14:paraId="76A2EDB7">
        <w:tblPrEx>
          <w:tblCellMar>
            <w:top w:w="0" w:type="dxa"/>
            <w:left w:w="0" w:type="dxa"/>
            <w:bottom w:w="0" w:type="dxa"/>
            <w:right w:w="0" w:type="dxa"/>
          </w:tblCellMar>
        </w:tblPrEx>
        <w:trPr>
          <w:wBefore w:w="0" w:type="auto"/>
          <w:tblCellSpacing w:w="0" w:type="dxa"/>
        </w:trPr>
        <w:tc>
          <w:tcPr>
            <w:tcW w:w="0" w:type="auto"/>
            <w:noWrap w:val="0"/>
            <w:vAlign w:val="center"/>
          </w:tcPr>
          <w:p w14:paraId="10B42A89">
            <w:r>
              <w:rPr>
                <w:rStyle w:val="10"/>
                <w:rFonts w:hint="eastAsia"/>
              </w:rPr>
              <w:t>产品性能:</w:t>
            </w:r>
            <w:r>
              <w:rPr>
                <w:rFonts w:hint="eastAsia"/>
              </w:rPr>
              <w:br w:type="textWrapping"/>
            </w:r>
            <w:r>
              <w:rPr>
                <w:rStyle w:val="11"/>
                <w:rFonts w:hint="eastAsia"/>
              </w:rPr>
              <w:t>本品为植物生长调节的甾醇类化合物，具有使植物细胞分裂和延长的双重作用，促进根系发达，增强光合作用，提高作物叶绿素含量和增产效果。</w:t>
            </w:r>
          </w:p>
        </w:tc>
      </w:tr>
      <w:tr w14:paraId="6894C1A1">
        <w:tblPrEx>
          <w:tblCellMar>
            <w:top w:w="0" w:type="dxa"/>
            <w:left w:w="0" w:type="dxa"/>
            <w:bottom w:w="0" w:type="dxa"/>
            <w:right w:w="0" w:type="dxa"/>
          </w:tblCellMar>
        </w:tblPrEx>
        <w:trPr>
          <w:wBefore w:w="0" w:type="auto"/>
          <w:tblCellSpacing w:w="0" w:type="dxa"/>
        </w:trPr>
        <w:tc>
          <w:tcPr>
            <w:tcW w:w="0" w:type="auto"/>
            <w:noWrap w:val="0"/>
            <w:vAlign w:val="center"/>
          </w:tcPr>
          <w:p w14:paraId="4C40CB75">
            <w:r>
              <w:rPr>
                <w:rStyle w:val="10"/>
                <w:rFonts w:hint="eastAsia"/>
              </w:rPr>
              <w:t>注意事项：</w:t>
            </w:r>
            <w:r>
              <w:rPr>
                <w:rFonts w:hint="eastAsia"/>
              </w:rPr>
              <w:br w:type="textWrapping"/>
            </w:r>
            <w:r>
              <w:rPr>
                <w:rStyle w:val="11"/>
                <w:rFonts w:hint="eastAsia"/>
              </w:rPr>
              <w:t>1. 使用本品应戴保护手套，穿防护服，施药期间不可吃东西和饮水，避免吸入药液，施药后要及时更衣并用清水或肥皂水彻底清洗皮肤及手脸等。 2. 远离水产养殖区、河塘等水体施药，禁止在河塘等水域清洗施药器具。 3. 清洗器具的废水不能排入河流、池塘等水源， 4. 用过的容器要妥善处理，不能随意丢弃，也不能做他用。 5. 孕妇及哺乳期妇女避免接触。</w:t>
            </w:r>
          </w:p>
        </w:tc>
      </w:tr>
      <w:tr w14:paraId="76264125">
        <w:tblPrEx>
          <w:tblCellMar>
            <w:top w:w="0" w:type="dxa"/>
            <w:left w:w="0" w:type="dxa"/>
            <w:bottom w:w="0" w:type="dxa"/>
            <w:right w:w="0" w:type="dxa"/>
          </w:tblCellMar>
        </w:tblPrEx>
        <w:trPr>
          <w:wBefore w:w="0" w:type="auto"/>
          <w:tblCellSpacing w:w="0" w:type="dxa"/>
        </w:trPr>
        <w:tc>
          <w:tcPr>
            <w:tcW w:w="0" w:type="auto"/>
            <w:noWrap w:val="0"/>
            <w:vAlign w:val="center"/>
          </w:tcPr>
          <w:p w14:paraId="1CE578F8">
            <w:r>
              <w:rPr>
                <w:rStyle w:val="10"/>
                <w:rFonts w:hint="eastAsia"/>
              </w:rPr>
              <w:t>中毒急救措施：</w:t>
            </w:r>
            <w:r>
              <w:rPr>
                <w:rFonts w:hint="eastAsia"/>
              </w:rPr>
              <w:br w:type="textWrapping"/>
            </w:r>
            <w:r>
              <w:rPr>
                <w:rStyle w:val="11"/>
                <w:rFonts w:hint="eastAsia"/>
              </w:rPr>
              <w:t>不慎接触皮肤，应用清水及肥皂洗干净；溅入眼内，应用大量清水冲洗至少15分钟。中毒或误服应立即携带此标签将病人送医院对症治疗。 无特别解毒剂，误服者可催吐、洗胃。</w:t>
            </w:r>
          </w:p>
        </w:tc>
      </w:tr>
      <w:tr w14:paraId="2070F8F1">
        <w:tblPrEx>
          <w:tblCellMar>
            <w:top w:w="0" w:type="dxa"/>
            <w:left w:w="0" w:type="dxa"/>
            <w:bottom w:w="0" w:type="dxa"/>
            <w:right w:w="0" w:type="dxa"/>
          </w:tblCellMar>
        </w:tblPrEx>
        <w:trPr>
          <w:wBefore w:w="0" w:type="auto"/>
          <w:tblCellSpacing w:w="0" w:type="dxa"/>
        </w:trPr>
        <w:tc>
          <w:tcPr>
            <w:tcW w:w="0" w:type="auto"/>
            <w:noWrap w:val="0"/>
            <w:vAlign w:val="center"/>
          </w:tcPr>
          <w:p w14:paraId="275F8038">
            <w:r>
              <w:rPr>
                <w:rStyle w:val="10"/>
                <w:rFonts w:hint="eastAsia"/>
              </w:rPr>
              <w:t>储存和运输方法：</w:t>
            </w:r>
            <w:r>
              <w:rPr>
                <w:rFonts w:hint="eastAsia"/>
              </w:rPr>
              <w:br w:type="textWrapping"/>
            </w:r>
            <w:r>
              <w:rPr>
                <w:rStyle w:val="11"/>
                <w:rFonts w:hint="eastAsia"/>
              </w:rPr>
              <w:t>[1. 本品应贮存在通风、干燥、阴凉、防雨处，远离火源和热源。置于儿童接触不到 处，并加锁。 2. 不能与食品、饮料、饲料和其他商品同储同运。用过的容器应妥善处理，不可做它用。 3. 遇泄漏或燃烧时，使用砂土和灭火器处理，装卸时轻拿轻放。</w:t>
            </w:r>
          </w:p>
        </w:tc>
      </w:tr>
      <w:tr w14:paraId="76B92343">
        <w:tblPrEx>
          <w:tblCellMar>
            <w:top w:w="0" w:type="dxa"/>
            <w:left w:w="0" w:type="dxa"/>
            <w:bottom w:w="0" w:type="dxa"/>
            <w:right w:w="0" w:type="dxa"/>
          </w:tblCellMar>
        </w:tblPrEx>
        <w:trPr>
          <w:wBefore w:w="0" w:type="auto"/>
          <w:tblCellSpacing w:w="0" w:type="dxa"/>
        </w:trPr>
        <w:tc>
          <w:tcPr>
            <w:tcW w:w="0" w:type="auto"/>
            <w:noWrap w:val="0"/>
            <w:vAlign w:val="center"/>
          </w:tcPr>
          <w:p w14:paraId="157FAB4E">
            <w:r>
              <w:rPr>
                <w:rStyle w:val="10"/>
                <w:rFonts w:hint="eastAsia"/>
              </w:rPr>
              <w:t>质量保证期：</w:t>
            </w:r>
            <w:r>
              <w:rPr>
                <w:rStyle w:val="11"/>
                <w:rFonts w:hint="eastAsia"/>
              </w:rPr>
              <w:t>2年</w:t>
            </w:r>
          </w:p>
        </w:tc>
      </w:tr>
      <w:tr w14:paraId="3597D2D4">
        <w:tblPrEx>
          <w:tblCellMar>
            <w:top w:w="0" w:type="dxa"/>
            <w:left w:w="0" w:type="dxa"/>
            <w:bottom w:w="0" w:type="dxa"/>
            <w:right w:w="0" w:type="dxa"/>
          </w:tblCellMar>
        </w:tblPrEx>
        <w:trPr>
          <w:wBefore w:w="0" w:type="auto"/>
          <w:tblCellSpacing w:w="0" w:type="dxa"/>
        </w:trPr>
        <w:tc>
          <w:tcPr>
            <w:tcW w:w="0" w:type="auto"/>
            <w:noWrap w:val="0"/>
            <w:vAlign w:val="center"/>
          </w:tcPr>
          <w:p w14:paraId="68DBB909">
            <w:r>
              <w:rPr>
                <w:rStyle w:val="10"/>
                <w:rFonts w:hint="eastAsia"/>
              </w:rPr>
              <w:t>备注：</w:t>
            </w:r>
          </w:p>
        </w:tc>
      </w:tr>
    </w:tbl>
    <w:p w14:paraId="27AE63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296EE4">
        <w:tblPrEx>
          <w:tblCellMar>
            <w:top w:w="0" w:type="dxa"/>
            <w:left w:w="0" w:type="dxa"/>
            <w:bottom w:w="0" w:type="dxa"/>
            <w:right w:w="0" w:type="dxa"/>
          </w:tblCellMar>
        </w:tblPrEx>
        <w:trPr>
          <w:wBefore w:w="0" w:type="auto"/>
          <w:tblCellSpacing w:w="0" w:type="dxa"/>
        </w:trPr>
        <w:tc>
          <w:tcPr>
            <w:tcW w:w="0" w:type="auto"/>
            <w:noWrap w:val="0"/>
            <w:vAlign w:val="center"/>
          </w:tcPr>
          <w:p w14:paraId="4BD98CBE">
            <w:r>
              <w:rPr>
                <w:rStyle w:val="10"/>
                <w:rFonts w:hint="eastAsia"/>
              </w:rPr>
              <w:t>登记证号：</w:t>
            </w:r>
            <w:r>
              <w:rPr>
                <w:rFonts w:hint="eastAsia"/>
              </w:rPr>
              <w:t>PD97-89</w:t>
            </w:r>
          </w:p>
        </w:tc>
      </w:tr>
      <w:tr w14:paraId="34245BFD">
        <w:tblPrEx>
          <w:tblCellMar>
            <w:top w:w="0" w:type="dxa"/>
            <w:left w:w="0" w:type="dxa"/>
            <w:bottom w:w="0" w:type="dxa"/>
            <w:right w:w="0" w:type="dxa"/>
          </w:tblCellMar>
        </w:tblPrEx>
        <w:trPr>
          <w:wBefore w:w="0" w:type="auto"/>
          <w:tblCellSpacing w:w="0" w:type="dxa"/>
        </w:trPr>
        <w:tc>
          <w:tcPr>
            <w:tcW w:w="0" w:type="auto"/>
            <w:noWrap w:val="0"/>
            <w:vAlign w:val="center"/>
          </w:tcPr>
          <w:p w14:paraId="6ABC2F80">
            <w:r>
              <w:rPr>
                <w:rStyle w:val="10"/>
                <w:rFonts w:hint="eastAsia"/>
              </w:rPr>
              <w:t>登记证持有人：</w:t>
            </w:r>
            <w:r>
              <w:rPr>
                <w:rFonts w:hint="eastAsia"/>
              </w:rPr>
              <w:t>瑞士先正达作物保护有限公司</w:t>
            </w:r>
          </w:p>
        </w:tc>
      </w:tr>
      <w:tr w14:paraId="06F9CAAC">
        <w:tblPrEx>
          <w:tblCellMar>
            <w:top w:w="0" w:type="dxa"/>
            <w:left w:w="0" w:type="dxa"/>
            <w:bottom w:w="0" w:type="dxa"/>
            <w:right w:w="0" w:type="dxa"/>
          </w:tblCellMar>
        </w:tblPrEx>
        <w:trPr>
          <w:wBefore w:w="0" w:type="auto"/>
          <w:tblCellSpacing w:w="0" w:type="dxa"/>
        </w:trPr>
        <w:tc>
          <w:tcPr>
            <w:tcW w:w="0" w:type="auto"/>
            <w:noWrap w:val="0"/>
            <w:vAlign w:val="center"/>
          </w:tcPr>
          <w:p w14:paraId="2E0F572A">
            <w:r>
              <w:rPr>
                <w:rStyle w:val="10"/>
                <w:rFonts w:hint="eastAsia"/>
              </w:rPr>
              <w:t>农药名称：</w:t>
            </w:r>
            <w:r>
              <w:rPr>
                <w:rFonts w:hint="eastAsia"/>
              </w:rPr>
              <w:t>麦草畏</w:t>
            </w:r>
          </w:p>
        </w:tc>
      </w:tr>
      <w:tr w14:paraId="3B227EB9">
        <w:tblPrEx>
          <w:tblCellMar>
            <w:top w:w="0" w:type="dxa"/>
            <w:left w:w="0" w:type="dxa"/>
            <w:bottom w:w="0" w:type="dxa"/>
            <w:right w:w="0" w:type="dxa"/>
          </w:tblCellMar>
        </w:tblPrEx>
        <w:trPr>
          <w:wBefore w:w="0" w:type="auto"/>
          <w:tblCellSpacing w:w="0" w:type="dxa"/>
        </w:trPr>
        <w:tc>
          <w:tcPr>
            <w:tcW w:w="0" w:type="auto"/>
            <w:noWrap w:val="0"/>
            <w:vAlign w:val="center"/>
          </w:tcPr>
          <w:p w14:paraId="2319BC25">
            <w:r>
              <w:rPr>
                <w:rStyle w:val="10"/>
                <w:rFonts w:hint="eastAsia"/>
              </w:rPr>
              <w:t>剂型：</w:t>
            </w:r>
            <w:r>
              <w:rPr>
                <w:rFonts w:hint="eastAsia"/>
              </w:rPr>
              <w:t>水剂</w:t>
            </w:r>
          </w:p>
        </w:tc>
      </w:tr>
      <w:tr w14:paraId="2F58695A">
        <w:tblPrEx>
          <w:tblCellMar>
            <w:top w:w="0" w:type="dxa"/>
            <w:left w:w="0" w:type="dxa"/>
            <w:bottom w:w="0" w:type="dxa"/>
            <w:right w:w="0" w:type="dxa"/>
          </w:tblCellMar>
        </w:tblPrEx>
        <w:trPr>
          <w:wBefore w:w="0" w:type="auto"/>
          <w:tblCellSpacing w:w="0" w:type="dxa"/>
        </w:trPr>
        <w:tc>
          <w:tcPr>
            <w:tcW w:w="0" w:type="auto"/>
            <w:noWrap w:val="0"/>
            <w:vAlign w:val="center"/>
          </w:tcPr>
          <w:p w14:paraId="388BCD75">
            <w:r>
              <w:rPr>
                <w:rStyle w:val="10"/>
                <w:rFonts w:hint="eastAsia"/>
              </w:rPr>
              <w:t>毒性及其标识：</w:t>
            </w:r>
            <w:r>
              <w:rPr>
                <w:rFonts w:hint="eastAsia"/>
              </w:rPr>
              <w:t xml:space="preserve"> </w:t>
            </w:r>
            <w:r>
              <w:rPr>
                <w:lang/>
              </w:rPr>
              <w:drawing>
                <wp:inline distT="0" distB="0" distL="114300" distR="114300">
                  <wp:extent cx="476250" cy="323850"/>
                  <wp:effectExtent l="0" t="0" r="0" b="0"/>
                  <wp:docPr id="415" name="图片 4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3469C35">
        <w:tblPrEx>
          <w:tblCellMar>
            <w:top w:w="0" w:type="dxa"/>
            <w:left w:w="0" w:type="dxa"/>
            <w:bottom w:w="0" w:type="dxa"/>
            <w:right w:w="0" w:type="dxa"/>
          </w:tblCellMar>
        </w:tblPrEx>
        <w:trPr>
          <w:wBefore w:w="0" w:type="auto"/>
          <w:tblCellSpacing w:w="0" w:type="dxa"/>
        </w:trPr>
        <w:tc>
          <w:tcPr>
            <w:tcW w:w="0" w:type="auto"/>
            <w:noWrap w:val="0"/>
            <w:vAlign w:val="center"/>
          </w:tcPr>
          <w:p w14:paraId="743FB733">
            <w:r>
              <w:rPr>
                <w:rStyle w:val="10"/>
                <w:rFonts w:hint="eastAsia"/>
              </w:rPr>
              <w:t>总有效成分含量：</w:t>
            </w:r>
            <w:r>
              <w:rPr>
                <w:rFonts w:hint="eastAsia"/>
              </w:rPr>
              <w:t>480克/升</w:t>
            </w:r>
          </w:p>
        </w:tc>
      </w:tr>
      <w:tr w14:paraId="6611A1F0">
        <w:tblPrEx>
          <w:tblCellMar>
            <w:top w:w="0" w:type="dxa"/>
            <w:left w:w="0" w:type="dxa"/>
            <w:bottom w:w="0" w:type="dxa"/>
            <w:right w:w="0" w:type="dxa"/>
          </w:tblCellMar>
        </w:tblPrEx>
        <w:trPr>
          <w:wBefore w:w="0" w:type="auto"/>
          <w:tblCellSpacing w:w="0" w:type="dxa"/>
        </w:trPr>
        <w:tc>
          <w:tcPr>
            <w:tcW w:w="0" w:type="auto"/>
            <w:noWrap w:val="0"/>
            <w:vAlign w:val="center"/>
          </w:tcPr>
          <w:p w14:paraId="4C3ED432">
            <w:r>
              <w:rPr>
                <w:rFonts w:hint="eastAsia"/>
              </w:rPr>
              <w:t xml:space="preserve">有效成分及其含量： </w:t>
            </w:r>
          </w:p>
          <w:p w14:paraId="3D537EC0">
            <w:r>
              <w:rPr>
                <w:rFonts w:hint="eastAsia"/>
              </w:rPr>
              <w:t xml:space="preserve">    麦草畏480克/升    </w:t>
            </w:r>
          </w:p>
        </w:tc>
      </w:tr>
      <w:tr w14:paraId="419FE746">
        <w:tblPrEx>
          <w:tblCellMar>
            <w:top w:w="0" w:type="dxa"/>
            <w:left w:w="0" w:type="dxa"/>
            <w:bottom w:w="0" w:type="dxa"/>
            <w:right w:w="0" w:type="dxa"/>
          </w:tblCellMar>
        </w:tblPrEx>
        <w:trPr>
          <w:wBefore w:w="0" w:type="auto"/>
          <w:tblCellSpacing w:w="0" w:type="dxa"/>
        </w:trPr>
        <w:tc>
          <w:tcPr>
            <w:tcW w:w="0" w:type="auto"/>
            <w:noWrap w:val="0"/>
            <w:vAlign w:val="center"/>
          </w:tcPr>
          <w:p w14:paraId="703F4B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530D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4B503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A11EC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4C86B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D15464">
                  <w:r>
                    <w:rPr>
                      <w:rStyle w:val="11"/>
                      <w:rFonts w:hint="eastAsia"/>
                    </w:rPr>
                    <w:t>施用方式</w:t>
                  </w:r>
                </w:p>
              </w:tc>
            </w:tr>
            <w:tr w14:paraId="538633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FA91B0">
                  <w:r>
                    <w:rPr>
                      <w:rStyle w:val="11"/>
                      <w:rFonts w:hint="eastAsia"/>
                    </w:rPr>
                    <w:t>草坪(海滨雀稗)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C0D32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7D4ADE">
                  <w:r>
                    <w:rPr>
                      <w:rStyle w:val="11"/>
                      <w:rFonts w:hint="eastAsia"/>
                    </w:rPr>
                    <w:t>80-130毫升/亩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717E4E">
                  <w:r>
                    <w:rPr>
                      <w:rStyle w:val="11"/>
                      <w:rFonts w:hint="eastAsia"/>
                    </w:rPr>
                    <w:t>茎叶喷雾</w:t>
                  </w:r>
                </w:p>
              </w:tc>
            </w:tr>
          </w:tbl>
          <w:p w14:paraId="0E506C8B">
            <w:pPr>
              <w:rPr>
                <w:rFonts w:ascii="Times New Roman" w:hAnsi="Times New Roman" w:cs="Times New Roman"/>
                <w:sz w:val="20"/>
                <w:szCs w:val="20"/>
              </w:rPr>
            </w:pPr>
          </w:p>
        </w:tc>
      </w:tr>
      <w:tr w14:paraId="4A8221D4">
        <w:tblPrEx>
          <w:tblCellMar>
            <w:top w:w="0" w:type="dxa"/>
            <w:left w:w="0" w:type="dxa"/>
            <w:bottom w:w="0" w:type="dxa"/>
            <w:right w:w="0" w:type="dxa"/>
          </w:tblCellMar>
        </w:tblPrEx>
        <w:trPr>
          <w:wBefore w:w="0" w:type="auto"/>
          <w:tblCellSpacing w:w="0" w:type="dxa"/>
        </w:trPr>
        <w:tc>
          <w:tcPr>
            <w:tcW w:w="0" w:type="auto"/>
            <w:noWrap w:val="0"/>
            <w:vAlign w:val="center"/>
          </w:tcPr>
          <w:p w14:paraId="1C887CF6">
            <w:r>
              <w:rPr>
                <w:rStyle w:val="10"/>
                <w:rFonts w:hint="eastAsia"/>
              </w:rPr>
              <w:t>使用技术要求:</w:t>
            </w:r>
            <w:r>
              <w:rPr>
                <w:rFonts w:hint="eastAsia"/>
              </w:rPr>
              <w:br w:type="textWrapping"/>
            </w:r>
            <w:r>
              <w:rPr>
                <w:rStyle w:val="11"/>
                <w:rFonts w:hint="eastAsia"/>
              </w:rPr>
              <w:t>1.小麦拔节时绝对不能施用麦草畏及其混剂。不同类型小麦拔节期有差别，春小麦以主茎5叶为界，冬小麦以主茎6叶为界。不同小麦品种对麦草畏的敏感性也有差异，大面积应用前，应先在小范围内进行试验。小麦冬眠期间或气温低于5℃时，不宜施用麦草畏。 2.在玉米田施用时，切勿使玉米种子与本品接触；喷药后20天内避免铲墒；玉米株高达90厘米或雄穗抽出前15天内，不能施用本品；甜玉米、爆裂玉米等敏感品种，勿用本品，以免发生药害。 3.施药时均匀喷雾，避免重喷、漏喷。 4.切勿将麦草畏喷在大豆、棉花、烟草、蔬菜、向日葵和果树等阔叶作物上，以免发生药害。 5.与其它除草剂混用时，应参阅将要混用的除草剂的使用说明，以确定用药方法和时间。 6.防治小麦阔叶杂草，按推荐用量，3.5叶期至分蘖盛期用药。一季最多使用1次。 7.防治玉米阔叶杂草，按推荐用量，播后苗前或苗后早期用药。一季最多使用1次。 8.防治芦苇阔叶杂草，按推荐用量，杂草幼期用药。一季最多使用1次。9. 防治草坪（包括海滨雀稗）阔叶杂草，按推荐用量，在杂草3-5叶期至生长旺盛期用药。可间隔30天左右再施药1次，一季使用不超过2次。10. 为避免对新播草坪的伤害，应在第二次剪草后使用。剪股颖对本品较为敏感，推荐使用最低用量。</w:t>
            </w:r>
          </w:p>
        </w:tc>
      </w:tr>
      <w:tr w14:paraId="1BD14B3D">
        <w:tblPrEx>
          <w:tblCellMar>
            <w:top w:w="0" w:type="dxa"/>
            <w:left w:w="0" w:type="dxa"/>
            <w:bottom w:w="0" w:type="dxa"/>
            <w:right w:w="0" w:type="dxa"/>
          </w:tblCellMar>
        </w:tblPrEx>
        <w:trPr>
          <w:wBefore w:w="0" w:type="auto"/>
          <w:tblCellSpacing w:w="0" w:type="dxa"/>
        </w:trPr>
        <w:tc>
          <w:tcPr>
            <w:tcW w:w="0" w:type="auto"/>
            <w:noWrap w:val="0"/>
            <w:vAlign w:val="center"/>
          </w:tcPr>
          <w:p w14:paraId="62312D65">
            <w:r>
              <w:rPr>
                <w:rStyle w:val="10"/>
                <w:rFonts w:hint="eastAsia"/>
              </w:rPr>
              <w:t>产品性能:</w:t>
            </w:r>
            <w:r>
              <w:rPr>
                <w:rFonts w:hint="eastAsia"/>
              </w:rPr>
              <w:br w:type="textWrapping"/>
            </w:r>
            <w:r>
              <w:rPr>
                <w:rStyle w:val="11"/>
                <w:rFonts w:hint="eastAsia"/>
              </w:rPr>
              <w:t>本品为人工合成植物激素类除草剂。能通过阔叶杂草的根、茎、叶等部位迅速内吸传导，干扰和破坏阔叶杂草体内的原有激素平衡，阻止杂草正常生长，最终导致杂草死亡。本品能有效地控制猪殃殃、荠菜、苋菜、藜、蓼、小飞蓬、一年蓬、苦苣菜、田旋花等阔叶杂草。</w:t>
            </w:r>
          </w:p>
        </w:tc>
      </w:tr>
      <w:tr w14:paraId="2D7C67D7">
        <w:tblPrEx>
          <w:tblCellMar>
            <w:top w:w="0" w:type="dxa"/>
            <w:left w:w="0" w:type="dxa"/>
            <w:bottom w:w="0" w:type="dxa"/>
            <w:right w:w="0" w:type="dxa"/>
          </w:tblCellMar>
        </w:tblPrEx>
        <w:trPr>
          <w:wBefore w:w="0" w:type="auto"/>
          <w:tblCellSpacing w:w="0" w:type="dxa"/>
        </w:trPr>
        <w:tc>
          <w:tcPr>
            <w:tcW w:w="0" w:type="auto"/>
            <w:noWrap w:val="0"/>
            <w:vAlign w:val="center"/>
          </w:tcPr>
          <w:p w14:paraId="2EF86B9E">
            <w:r>
              <w:rPr>
                <w:rStyle w:val="10"/>
                <w:rFonts w:hint="eastAsia"/>
              </w:rPr>
              <w:t>注意事项：</w:t>
            </w:r>
            <w:r>
              <w:rPr>
                <w:rFonts w:hint="eastAsia"/>
              </w:rPr>
              <w:br w:type="textWrapping"/>
            </w:r>
            <w:r>
              <w:rPr>
                <w:rStyle w:val="11"/>
                <w:rFonts w:hint="eastAsia"/>
              </w:rPr>
              <w:t>1. 请按照农药安全使用准则使用本品。避免皮肤、眼睛暴露和吸入雾滴。切勿在施药现场抽烟或饮食。在饮水、进食和抽烟前，应先洗手、洗脸。配药和施药时，应穿长衣长裤、戴丁腈橡胶手套、防护面罩、穿防护靴；为高大作物施药时，还应佩戴宽边防护帽；施药后，应彻底清洗防护用具，洗澡，并更换和清洗工作服；确保施药衣物同普通衣物分开清洗。2. 请依照当地法律法规妥善处理农药包装废弃物。配药时应当通过清洗等方式充分利用包装物中的农药，减少残留；农药包装废弃物不得随意丢弃，应收集起来，交回农药经营者或农药包装废弃物回收站（点）处理；空塑料瓶包装废弃物等，可资源化再利用为非餐饮用具、非儿童玩具等的产品，防止危害人体健康；资源化利用外的包装废弃物，应当依法依规进行填埋、焚烧等无害化处置。可咨询县级以上地方人民政府农业农村主管部门、生态环境主管部门的指导处理。3. 药液及其废液不得污染各类水域，土壤等环境。远离水产养殖区、河塘等水体施药, 勿将药液或空包装弃于水中，禁止在生活用水、河塘、水源地等水体中清洗施药器具。切勿将本品及其废液、空包装等弃于池塘、河溪和湖泊等。4. 桑园及蚕室附近避免用药, 若在桑园及蚕室附近施用本药后, 禁止采集最外围桑叶饲喂家蚕。5. 本品按除草剂抗性行动委员会分类属于0类，人工合成的植物生长素。应注意与其他作用机理除草剂合理轮换使用或混用，以延缓抗药性发生。6. 孕妇、及哺乳期妇女、儿童、患者、身体有伤口及过敏者应避免接触本品。 制造厂敬告用户：用药前请先阅读标签上的安全使用说明，误用产品会导致危险。使用时应接受当地农业技术部门的指导。</w:t>
            </w:r>
          </w:p>
        </w:tc>
      </w:tr>
      <w:tr w14:paraId="0ABE8025">
        <w:tblPrEx>
          <w:tblCellMar>
            <w:top w:w="0" w:type="dxa"/>
            <w:left w:w="0" w:type="dxa"/>
            <w:bottom w:w="0" w:type="dxa"/>
            <w:right w:w="0" w:type="dxa"/>
          </w:tblCellMar>
        </w:tblPrEx>
        <w:trPr>
          <w:wBefore w:w="0" w:type="auto"/>
          <w:tblCellSpacing w:w="0" w:type="dxa"/>
        </w:trPr>
        <w:tc>
          <w:tcPr>
            <w:tcW w:w="0" w:type="auto"/>
            <w:noWrap w:val="0"/>
            <w:vAlign w:val="center"/>
          </w:tcPr>
          <w:p w14:paraId="5ED6ED14">
            <w:r>
              <w:rPr>
                <w:rStyle w:val="10"/>
                <w:rFonts w:hint="eastAsia"/>
              </w:rPr>
              <w:t>中毒急救措施：</w:t>
            </w:r>
            <w:r>
              <w:rPr>
                <w:rFonts w:hint="eastAsia"/>
              </w:rPr>
              <w:br w:type="textWrapping"/>
            </w:r>
            <w:r>
              <w:rPr>
                <w:rStyle w:val="11"/>
                <w:rFonts w:hint="eastAsia"/>
              </w:rPr>
              <w:t>中毒症状：按标签推荐方法使用，无中毒症状。。 中毒急救： 1.用药时如果感觉不适，立即停止工作，采取急救措施，并携此标签送医就诊，对症治疗。 2.皮肤接触：立即脱掉被污染的衣物，用大量清水清洗受污染的皮肤，请医生诊治。 3.眼睛溅药：立即用清水冲洗眼睛和眼睑15－20分钟，如果戴有隐形眼镜，将其摘掉后再继续冲洗15-20分钟，再请医生诊治。 4.发生吸入：立即将吸入者转移到空气新鲜处，请医生诊治。 5.误服：请勿引吐，立即携带标签，送医就诊。如果自口服2小时内，且口服剂量为致死剂量，使用医用活性炭洗胃，注意防止胃容物进入呼吸道。如果病人可以吞咽，可以给病人喝水。注意：如果患者无意识，不要给患者喂食任何食物和水。 解毒剂：无专用解毒剂，对症治疗。</w:t>
            </w:r>
          </w:p>
        </w:tc>
      </w:tr>
      <w:tr w14:paraId="7C65B5ED">
        <w:tblPrEx>
          <w:tblCellMar>
            <w:top w:w="0" w:type="dxa"/>
            <w:left w:w="0" w:type="dxa"/>
            <w:bottom w:w="0" w:type="dxa"/>
            <w:right w:w="0" w:type="dxa"/>
          </w:tblCellMar>
        </w:tblPrEx>
        <w:trPr>
          <w:wBefore w:w="0" w:type="auto"/>
          <w:tblCellSpacing w:w="0" w:type="dxa"/>
        </w:trPr>
        <w:tc>
          <w:tcPr>
            <w:tcW w:w="0" w:type="auto"/>
            <w:noWrap w:val="0"/>
            <w:vAlign w:val="center"/>
          </w:tcPr>
          <w:p w14:paraId="59D1245D">
            <w:r>
              <w:rPr>
                <w:rStyle w:val="10"/>
                <w:rFonts w:hint="eastAsia"/>
              </w:rPr>
              <w:t>储存和运输方法：</w:t>
            </w:r>
            <w:r>
              <w:rPr>
                <w:rFonts w:hint="eastAsia"/>
              </w:rPr>
              <w:br w:type="textWrapping"/>
            </w:r>
            <w:r>
              <w:rPr>
                <w:rStyle w:val="11"/>
                <w:rFonts w:hint="eastAsia"/>
              </w:rPr>
              <w:t>1.未用完的制剂应放在原包装内密封保存，稀释后的制剂应放入塑料、钢衬塑料、不锈钢和玻璃纤维容器的容器中储存，并清晰标注，切勿将本品置于饮、食容器内；本品应加锁保存，勿让儿童、无关人员和动物接触。勿与食物、饮料、粮食和动物饲料在一起存放或运输。 2.本品应贮藏在避光、干燥、通风、干燥处。运输时应注意避光、防高温、雨淋。 3.贮藏和运输温度应在0℃以上，长期储存时建议避免超过20℃，以免产品变质。 4.产品码放高度不宜超过2米，勿将产品倒置，以免损坏包装。</w:t>
            </w:r>
          </w:p>
        </w:tc>
      </w:tr>
      <w:tr w14:paraId="19954E55">
        <w:tblPrEx>
          <w:tblCellMar>
            <w:top w:w="0" w:type="dxa"/>
            <w:left w:w="0" w:type="dxa"/>
            <w:bottom w:w="0" w:type="dxa"/>
            <w:right w:w="0" w:type="dxa"/>
          </w:tblCellMar>
        </w:tblPrEx>
        <w:trPr>
          <w:wBefore w:w="0" w:type="auto"/>
          <w:tblCellSpacing w:w="0" w:type="dxa"/>
        </w:trPr>
        <w:tc>
          <w:tcPr>
            <w:tcW w:w="0" w:type="auto"/>
            <w:noWrap w:val="0"/>
            <w:vAlign w:val="center"/>
          </w:tcPr>
          <w:p w14:paraId="59192A3B">
            <w:r>
              <w:rPr>
                <w:rStyle w:val="10"/>
                <w:rFonts w:hint="eastAsia"/>
              </w:rPr>
              <w:t>质量保证期：</w:t>
            </w:r>
            <w:r>
              <w:rPr>
                <w:rStyle w:val="11"/>
                <w:rFonts w:hint="eastAsia"/>
              </w:rPr>
              <w:t>2年</w:t>
            </w:r>
          </w:p>
        </w:tc>
      </w:tr>
      <w:tr w14:paraId="41CDBD8A">
        <w:tblPrEx>
          <w:tblCellMar>
            <w:top w:w="0" w:type="dxa"/>
            <w:left w:w="0" w:type="dxa"/>
            <w:bottom w:w="0" w:type="dxa"/>
            <w:right w:w="0" w:type="dxa"/>
          </w:tblCellMar>
        </w:tblPrEx>
        <w:trPr>
          <w:wBefore w:w="0" w:type="auto"/>
          <w:tblCellSpacing w:w="0" w:type="dxa"/>
        </w:trPr>
        <w:tc>
          <w:tcPr>
            <w:tcW w:w="0" w:type="auto"/>
            <w:noWrap w:val="0"/>
            <w:vAlign w:val="center"/>
          </w:tcPr>
          <w:p w14:paraId="6C71C06A">
            <w:r>
              <w:rPr>
                <w:rStyle w:val="10"/>
                <w:rFonts w:hint="eastAsia"/>
              </w:rPr>
              <w:t>备注：</w:t>
            </w:r>
          </w:p>
        </w:tc>
      </w:tr>
    </w:tbl>
    <w:p w14:paraId="2149E7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D24367">
        <w:tblPrEx>
          <w:tblCellMar>
            <w:top w:w="0" w:type="dxa"/>
            <w:left w:w="0" w:type="dxa"/>
            <w:bottom w:w="0" w:type="dxa"/>
            <w:right w:w="0" w:type="dxa"/>
          </w:tblCellMar>
        </w:tblPrEx>
        <w:trPr>
          <w:wBefore w:w="0" w:type="auto"/>
          <w:tblCellSpacing w:w="0" w:type="dxa"/>
        </w:trPr>
        <w:tc>
          <w:tcPr>
            <w:tcW w:w="0" w:type="auto"/>
            <w:noWrap w:val="0"/>
            <w:vAlign w:val="center"/>
          </w:tcPr>
          <w:p w14:paraId="5EA41BC6">
            <w:r>
              <w:rPr>
                <w:rStyle w:val="10"/>
                <w:rFonts w:hint="eastAsia"/>
              </w:rPr>
              <w:t>登记证号：</w:t>
            </w:r>
            <w:r>
              <w:rPr>
                <w:rFonts w:hint="eastAsia"/>
              </w:rPr>
              <w:t>PD20181630</w:t>
            </w:r>
          </w:p>
        </w:tc>
      </w:tr>
      <w:tr w14:paraId="02FF6BCE">
        <w:tblPrEx>
          <w:tblCellMar>
            <w:top w:w="0" w:type="dxa"/>
            <w:left w:w="0" w:type="dxa"/>
            <w:bottom w:w="0" w:type="dxa"/>
            <w:right w:w="0" w:type="dxa"/>
          </w:tblCellMar>
        </w:tblPrEx>
        <w:trPr>
          <w:wBefore w:w="0" w:type="auto"/>
          <w:tblCellSpacing w:w="0" w:type="dxa"/>
        </w:trPr>
        <w:tc>
          <w:tcPr>
            <w:tcW w:w="0" w:type="auto"/>
            <w:noWrap w:val="0"/>
            <w:vAlign w:val="center"/>
          </w:tcPr>
          <w:p w14:paraId="52761F3F">
            <w:r>
              <w:rPr>
                <w:rStyle w:val="10"/>
                <w:rFonts w:hint="eastAsia"/>
              </w:rPr>
              <w:t>登记证持有人：</w:t>
            </w:r>
            <w:r>
              <w:rPr>
                <w:rFonts w:hint="eastAsia"/>
              </w:rPr>
              <w:t>澳大利亚纽发姆有限公司</w:t>
            </w:r>
          </w:p>
        </w:tc>
      </w:tr>
      <w:tr w14:paraId="7216D356">
        <w:tblPrEx>
          <w:tblCellMar>
            <w:top w:w="0" w:type="dxa"/>
            <w:left w:w="0" w:type="dxa"/>
            <w:bottom w:w="0" w:type="dxa"/>
            <w:right w:w="0" w:type="dxa"/>
          </w:tblCellMar>
        </w:tblPrEx>
        <w:trPr>
          <w:wBefore w:w="0" w:type="auto"/>
          <w:tblCellSpacing w:w="0" w:type="dxa"/>
        </w:trPr>
        <w:tc>
          <w:tcPr>
            <w:tcW w:w="0" w:type="auto"/>
            <w:noWrap w:val="0"/>
            <w:vAlign w:val="center"/>
          </w:tcPr>
          <w:p w14:paraId="2F10E151">
            <w:r>
              <w:rPr>
                <w:rStyle w:val="10"/>
                <w:rFonts w:hint="eastAsia"/>
              </w:rPr>
              <w:t>农药名称：</w:t>
            </w:r>
            <w:r>
              <w:rPr>
                <w:rFonts w:hint="eastAsia"/>
              </w:rPr>
              <w:t>氢氧化铜</w:t>
            </w:r>
          </w:p>
        </w:tc>
      </w:tr>
      <w:tr w14:paraId="744B9913">
        <w:tblPrEx>
          <w:tblCellMar>
            <w:top w:w="0" w:type="dxa"/>
            <w:left w:w="0" w:type="dxa"/>
            <w:bottom w:w="0" w:type="dxa"/>
            <w:right w:w="0" w:type="dxa"/>
          </w:tblCellMar>
        </w:tblPrEx>
        <w:trPr>
          <w:wBefore w:w="0" w:type="auto"/>
          <w:tblCellSpacing w:w="0" w:type="dxa"/>
        </w:trPr>
        <w:tc>
          <w:tcPr>
            <w:tcW w:w="0" w:type="auto"/>
            <w:noWrap w:val="0"/>
            <w:vAlign w:val="center"/>
          </w:tcPr>
          <w:p w14:paraId="6C917E34">
            <w:r>
              <w:rPr>
                <w:rStyle w:val="10"/>
                <w:rFonts w:hint="eastAsia"/>
              </w:rPr>
              <w:t>剂型：</w:t>
            </w:r>
            <w:r>
              <w:rPr>
                <w:rFonts w:hint="eastAsia"/>
              </w:rPr>
              <w:t>水分散粒剂</w:t>
            </w:r>
          </w:p>
        </w:tc>
      </w:tr>
      <w:tr w14:paraId="390D8950">
        <w:tblPrEx>
          <w:tblCellMar>
            <w:top w:w="0" w:type="dxa"/>
            <w:left w:w="0" w:type="dxa"/>
            <w:bottom w:w="0" w:type="dxa"/>
            <w:right w:w="0" w:type="dxa"/>
          </w:tblCellMar>
        </w:tblPrEx>
        <w:trPr>
          <w:wBefore w:w="0" w:type="auto"/>
          <w:tblCellSpacing w:w="0" w:type="dxa"/>
        </w:trPr>
        <w:tc>
          <w:tcPr>
            <w:tcW w:w="0" w:type="auto"/>
            <w:noWrap w:val="0"/>
            <w:vAlign w:val="center"/>
          </w:tcPr>
          <w:p w14:paraId="39131CF0">
            <w:r>
              <w:rPr>
                <w:rStyle w:val="10"/>
                <w:rFonts w:hint="eastAsia"/>
              </w:rPr>
              <w:t>毒性及其标识：</w:t>
            </w:r>
            <w:r>
              <w:rPr>
                <w:rFonts w:hint="eastAsia"/>
              </w:rPr>
              <w:t xml:space="preserve"> </w:t>
            </w:r>
            <w:r>
              <w:rPr>
                <w:lang/>
              </w:rPr>
              <w:drawing>
                <wp:inline distT="0" distB="0" distL="114300" distR="114300">
                  <wp:extent cx="476250" cy="323850"/>
                  <wp:effectExtent l="0" t="0" r="0" b="0"/>
                  <wp:docPr id="416" name="图片 416"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75A1C4CC">
        <w:tblPrEx>
          <w:tblCellMar>
            <w:top w:w="0" w:type="dxa"/>
            <w:left w:w="0" w:type="dxa"/>
            <w:bottom w:w="0" w:type="dxa"/>
            <w:right w:w="0" w:type="dxa"/>
          </w:tblCellMar>
        </w:tblPrEx>
        <w:trPr>
          <w:wBefore w:w="0" w:type="auto"/>
          <w:tblCellSpacing w:w="0" w:type="dxa"/>
        </w:trPr>
        <w:tc>
          <w:tcPr>
            <w:tcW w:w="0" w:type="auto"/>
            <w:noWrap w:val="0"/>
            <w:vAlign w:val="center"/>
          </w:tcPr>
          <w:p w14:paraId="0174DD12">
            <w:r>
              <w:rPr>
                <w:rStyle w:val="10"/>
                <w:rFonts w:hint="eastAsia"/>
              </w:rPr>
              <w:t>总有效成分含量：</w:t>
            </w:r>
            <w:r>
              <w:rPr>
                <w:rFonts w:hint="eastAsia"/>
              </w:rPr>
              <w:t>46%</w:t>
            </w:r>
          </w:p>
        </w:tc>
      </w:tr>
      <w:tr w14:paraId="3D5C0528">
        <w:tblPrEx>
          <w:tblCellMar>
            <w:top w:w="0" w:type="dxa"/>
            <w:left w:w="0" w:type="dxa"/>
            <w:bottom w:w="0" w:type="dxa"/>
            <w:right w:w="0" w:type="dxa"/>
          </w:tblCellMar>
        </w:tblPrEx>
        <w:trPr>
          <w:wBefore w:w="0" w:type="auto"/>
          <w:tblCellSpacing w:w="0" w:type="dxa"/>
        </w:trPr>
        <w:tc>
          <w:tcPr>
            <w:tcW w:w="0" w:type="auto"/>
            <w:noWrap w:val="0"/>
            <w:vAlign w:val="center"/>
          </w:tcPr>
          <w:p w14:paraId="495741F7">
            <w:r>
              <w:rPr>
                <w:rFonts w:hint="eastAsia"/>
              </w:rPr>
              <w:t xml:space="preserve">有效成分及其含量： </w:t>
            </w:r>
          </w:p>
          <w:p w14:paraId="4808ED94">
            <w:r>
              <w:rPr>
                <w:rFonts w:hint="eastAsia"/>
              </w:rPr>
              <w:t xml:space="preserve">    氢氧化铜46%    </w:t>
            </w:r>
          </w:p>
        </w:tc>
      </w:tr>
      <w:tr w14:paraId="3F464C6C">
        <w:tblPrEx>
          <w:tblCellMar>
            <w:top w:w="0" w:type="dxa"/>
            <w:left w:w="0" w:type="dxa"/>
            <w:bottom w:w="0" w:type="dxa"/>
            <w:right w:w="0" w:type="dxa"/>
          </w:tblCellMar>
        </w:tblPrEx>
        <w:trPr>
          <w:wBefore w:w="0" w:type="auto"/>
          <w:tblCellSpacing w:w="0" w:type="dxa"/>
        </w:trPr>
        <w:tc>
          <w:tcPr>
            <w:tcW w:w="0" w:type="auto"/>
            <w:noWrap w:val="0"/>
            <w:vAlign w:val="center"/>
          </w:tcPr>
          <w:p w14:paraId="29F547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CC53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0736A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BAE1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DA6DF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BD7881">
                  <w:r>
                    <w:rPr>
                      <w:rStyle w:val="11"/>
                      <w:rFonts w:hint="eastAsia"/>
                    </w:rPr>
                    <w:t>施用方式</w:t>
                  </w:r>
                </w:p>
              </w:tc>
            </w:tr>
            <w:tr w14:paraId="0A6EB8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919DCF">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AE6C93">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A14A73">
                  <w:r>
                    <w:rPr>
                      <w:rStyle w:val="11"/>
                      <w:rFonts w:hint="eastAsia"/>
                    </w:rPr>
                    <w:t>40-60克/亩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6CD807">
                  <w:r>
                    <w:rPr>
                      <w:rStyle w:val="11"/>
                      <w:rFonts w:hint="eastAsia"/>
                    </w:rPr>
                    <w:t>喷雾</w:t>
                  </w:r>
                </w:p>
              </w:tc>
            </w:tr>
            <w:tr w14:paraId="0ADD2D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E28817">
                  <w:r>
                    <w:rPr>
                      <w:rStyle w:val="11"/>
                      <w:rFonts w:hint="eastAsia"/>
                    </w:rPr>
                    <w:t>火龙果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FE4466">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77FA13">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725998">
                  <w:r>
                    <w:rPr>
                      <w:rStyle w:val="11"/>
                      <w:rFonts w:hint="eastAsia"/>
                    </w:rPr>
                    <w:t>喷雾</w:t>
                  </w:r>
                </w:p>
              </w:tc>
            </w:tr>
          </w:tbl>
          <w:p w14:paraId="2DBCD938">
            <w:pPr>
              <w:rPr>
                <w:rFonts w:ascii="Times New Roman" w:hAnsi="Times New Roman" w:cs="Times New Roman"/>
                <w:sz w:val="20"/>
                <w:szCs w:val="20"/>
              </w:rPr>
            </w:pPr>
          </w:p>
        </w:tc>
      </w:tr>
      <w:tr w14:paraId="792FB066">
        <w:tblPrEx>
          <w:tblCellMar>
            <w:top w:w="0" w:type="dxa"/>
            <w:left w:w="0" w:type="dxa"/>
            <w:bottom w:w="0" w:type="dxa"/>
            <w:right w:w="0" w:type="dxa"/>
          </w:tblCellMar>
        </w:tblPrEx>
        <w:trPr>
          <w:wBefore w:w="0" w:type="auto"/>
          <w:tblCellSpacing w:w="0" w:type="dxa"/>
        </w:trPr>
        <w:tc>
          <w:tcPr>
            <w:tcW w:w="0" w:type="auto"/>
            <w:noWrap w:val="0"/>
            <w:vAlign w:val="center"/>
          </w:tcPr>
          <w:p w14:paraId="7E27A747">
            <w:r>
              <w:rPr>
                <w:rStyle w:val="10"/>
                <w:rFonts w:hint="eastAsia"/>
              </w:rPr>
              <w:t>使用技术要求:</w:t>
            </w:r>
            <w:r>
              <w:rPr>
                <w:rFonts w:hint="eastAsia"/>
              </w:rPr>
              <w:br w:type="textWrapping"/>
            </w:r>
            <w:r>
              <w:rPr>
                <w:rStyle w:val="11"/>
                <w:rFonts w:hint="eastAsia"/>
              </w:rPr>
              <w:t>1. 防治火龙果溃疡病，建议于病害发生前喷雾施药，连续施药2-3次，每次间隔7-10天，推荐制剂量800-1200倍液。 防治马铃薯晚疫病，建议于病害发生前喷雾施药，连续施药2-3次，每次间隔7-10天，推荐制剂量40-60克/亩。防治黄瓜角斑病、柑橘树溃疡病、芒果树细菌性黑斑病，于作物发病前或初期开始用药，茎叶喷雾均匀地覆盖全株。连续用药2~3次，每次间隔7-10天。 2.二次稀释，先用少量清水溶解后再稀释到所需浓度。 3.适宜在上午10点前和下午4点后喷药；高温时请适当降低使用浓度。大风天或预计药后1小时内降雨，或在极端温湿度条件下，请勿使用本品。</w:t>
            </w:r>
          </w:p>
        </w:tc>
      </w:tr>
      <w:tr w14:paraId="67482A75">
        <w:tblPrEx>
          <w:tblCellMar>
            <w:top w:w="0" w:type="dxa"/>
            <w:left w:w="0" w:type="dxa"/>
            <w:bottom w:w="0" w:type="dxa"/>
            <w:right w:w="0" w:type="dxa"/>
          </w:tblCellMar>
        </w:tblPrEx>
        <w:trPr>
          <w:wBefore w:w="0" w:type="auto"/>
          <w:tblCellSpacing w:w="0" w:type="dxa"/>
        </w:trPr>
        <w:tc>
          <w:tcPr>
            <w:tcW w:w="0" w:type="auto"/>
            <w:noWrap w:val="0"/>
            <w:vAlign w:val="center"/>
          </w:tcPr>
          <w:p w14:paraId="745D42A0">
            <w:r>
              <w:rPr>
                <w:rStyle w:val="10"/>
                <w:rFonts w:hint="eastAsia"/>
              </w:rPr>
              <w:t>产品性能:</w:t>
            </w:r>
            <w:r>
              <w:rPr>
                <w:rFonts w:hint="eastAsia"/>
              </w:rPr>
              <w:br w:type="textWrapping"/>
            </w:r>
            <w:r>
              <w:rPr>
                <w:rStyle w:val="11"/>
                <w:rFonts w:hint="eastAsia"/>
              </w:rPr>
              <w:t>本品是杀菌剂，能稳定地释放具有杀菌活性粒径微小的铜离子，提高了铜离子的利用率和对病害的防治效果，并大大改善了铜制剂对作物的安全性。</w:t>
            </w:r>
          </w:p>
        </w:tc>
      </w:tr>
      <w:tr w14:paraId="66A1DF7E">
        <w:tblPrEx>
          <w:tblCellMar>
            <w:top w:w="0" w:type="dxa"/>
            <w:left w:w="0" w:type="dxa"/>
            <w:bottom w:w="0" w:type="dxa"/>
            <w:right w:w="0" w:type="dxa"/>
          </w:tblCellMar>
        </w:tblPrEx>
        <w:trPr>
          <w:wBefore w:w="0" w:type="auto"/>
          <w:tblCellSpacing w:w="0" w:type="dxa"/>
        </w:trPr>
        <w:tc>
          <w:tcPr>
            <w:tcW w:w="0" w:type="auto"/>
            <w:noWrap w:val="0"/>
            <w:vAlign w:val="center"/>
          </w:tcPr>
          <w:p w14:paraId="0CC69043">
            <w:r>
              <w:rPr>
                <w:rStyle w:val="10"/>
                <w:rFonts w:hint="eastAsia"/>
              </w:rPr>
              <w:t>注意事项：</w:t>
            </w:r>
            <w:r>
              <w:rPr>
                <w:rFonts w:hint="eastAsia"/>
              </w:rPr>
              <w:br w:type="textWrapping"/>
            </w:r>
            <w:r>
              <w:rPr>
                <w:rStyle w:val="11"/>
                <w:rFonts w:hint="eastAsia"/>
              </w:rPr>
              <w:t>1.避免与强酸物质混用，禁止与乙膦铝酸类农药混用。 2.请按照农药安全使用准则使用本品。避免皮肤、眼睛暴露和吸入雾滴。切勿在施药现场抽烟或饮食。在饮水、进食和抽烟前，应先洗手、洗脸。 3. 配药时，应穿长袖衣、长裤，戴口罩、护目镜、丁腈橡胶手套，穿防护靴。 4. 喷药时，应穿长袖衣、长裤，戴宽边帽、防护面罩、丁腈橡胶手套和防护靴。5. 施药后，应彻底清洗防护用具，洗澡，并更换和清洗工作服；确保施药衣物同普通衣物分开清洗。 6. 孕妇、哺乳期妇女、儿童、病人及身体有伤口者避免接触本品。 7. 应依照当地法律法规妥善处理农药空包装。使用过的铝箔袋空包装，请直接带离田间，安全保存，并交有资质的部门统一高温焚烧处理；其他类型的空包装，请用清水冲洗三次后，带离田间，妥善处理；切勿重复使用或改作其它用途。所有施药器具，用后应立即用清水或适当的洗涤剂清洗。 8.本品对鱼类等水生生物有毒，严禁在水产养殖区使用，远离水源。勿将药液或空包装弃于水中；严禁在河塘中洗涤喷雾器械。药液及其废液不得污染各类水域，土壤等环境。 9. 本品对家蚕有毒，蚕室、桑园及其附近禁用；施药时，避免药液漂移到蚕室及桑园。 10.建议与其他作用机制的杀菌剂轮换使用。 制造厂敬告用户：用药前请先阅读标签上的安全使用说明，误用产品会导致危险。必须始终按照产品标签说明或接受当地农业技术部门的指导使用本品。</w:t>
            </w:r>
          </w:p>
        </w:tc>
      </w:tr>
      <w:tr w14:paraId="21C50024">
        <w:tblPrEx>
          <w:tblCellMar>
            <w:top w:w="0" w:type="dxa"/>
            <w:left w:w="0" w:type="dxa"/>
            <w:bottom w:w="0" w:type="dxa"/>
            <w:right w:w="0" w:type="dxa"/>
          </w:tblCellMar>
        </w:tblPrEx>
        <w:trPr>
          <w:wBefore w:w="0" w:type="auto"/>
          <w:tblCellSpacing w:w="0" w:type="dxa"/>
        </w:trPr>
        <w:tc>
          <w:tcPr>
            <w:tcW w:w="0" w:type="auto"/>
            <w:noWrap w:val="0"/>
            <w:vAlign w:val="center"/>
          </w:tcPr>
          <w:p w14:paraId="320CA004">
            <w:r>
              <w:rPr>
                <w:rStyle w:val="10"/>
                <w:rFonts w:hint="eastAsia"/>
              </w:rPr>
              <w:t>中毒急救措施：</w:t>
            </w:r>
            <w:r>
              <w:rPr>
                <w:rFonts w:hint="eastAsia"/>
              </w:rPr>
              <w:br w:type="textWrapping"/>
            </w:r>
            <w:r>
              <w:rPr>
                <w:rStyle w:val="11"/>
                <w:rFonts w:hint="eastAsia"/>
              </w:rPr>
              <w:t>1. 按标签推荐方法使用，无中毒症状。 2. 用药时如果感觉不适，立即停止工作，拨打紧急服务热线咨询，并采取急救措施，并携此标签送医就诊，并对症治疗。 3. 皮肤接触：立即脱掉被污染的衣物，用大量清水冲洗被污染的皮肤，如皮肤刺激感持续，请携带产品标签寻求医生诊治。被污染的衣物再次使用前需同普通衣服分开彻底清洗。 4. 眼睛溅药：立即用清水冲洗至眼睛和眼睑至少15至20分钟，如果戴有隐形眼镜，将其摘掉后再继续冲洗15-20分钟， 然后尽快寻求医生诊治。 5. 发生吸入：将吸入者转移到空气新鲜处，立即请医生诊治。 6. 误服：请勿引吐，立即携带标签，送医就诊。 7. 紧急医疗措施：如果自口服2小时内，且口服剂量为致死剂量，使用医用活性炭洗胃，注意防止胃容物进入呼吸道。如果病人可以吞咽，可以给病人喝水。注意：如果患者无意识，不要给患者喂食任何食物和水。 8. 解毒剂：无专用解毒剂，对症治疗。 9. 中毒时，请拨打中国疾控中心中毒控制中心咨询热线： 400-650-5726</w:t>
            </w:r>
          </w:p>
        </w:tc>
      </w:tr>
      <w:tr w14:paraId="0F7963BF">
        <w:tblPrEx>
          <w:tblCellMar>
            <w:top w:w="0" w:type="dxa"/>
            <w:left w:w="0" w:type="dxa"/>
            <w:bottom w:w="0" w:type="dxa"/>
            <w:right w:w="0" w:type="dxa"/>
          </w:tblCellMar>
        </w:tblPrEx>
        <w:trPr>
          <w:wBefore w:w="0" w:type="auto"/>
          <w:tblCellSpacing w:w="0" w:type="dxa"/>
        </w:trPr>
        <w:tc>
          <w:tcPr>
            <w:tcW w:w="0" w:type="auto"/>
            <w:noWrap w:val="0"/>
            <w:vAlign w:val="center"/>
          </w:tcPr>
          <w:p w14:paraId="73960334">
            <w:r>
              <w:rPr>
                <w:rStyle w:val="10"/>
                <w:rFonts w:hint="eastAsia"/>
              </w:rPr>
              <w:t>储存和运输方法：</w:t>
            </w:r>
            <w:r>
              <w:rPr>
                <w:rFonts w:hint="eastAsia"/>
              </w:rPr>
              <w:br w:type="textWrapping"/>
            </w:r>
            <w:r>
              <w:rPr>
                <w:rStyle w:val="11"/>
                <w:rFonts w:hint="eastAsia"/>
              </w:rPr>
              <w:t>1. 未用完的制剂应放在原包装内密封保存，稀释后的制剂应放入塑料、钢衬塑料、不锈钢和玻璃纤维容器的容器中储存，并清晰标注；切勿置于饮、食、饲料等其他容器中，并应加锁保存，勿让儿童、无关人员和动物接触，勿与食物、饮料、动物饲料、粮食和种子在一起存放或运输。 2. 本品应密封贮藏在避光、干燥、通风处。贮藏温度应避免低于-10℃或高于35℃。远离热源或火源。 3. 产品码放高度不宜超过2米，以免损坏包装。请勿将产品倒置, 以免损坏包装。 4. 运输时应注意避光、防高温、雨淋。</w:t>
            </w:r>
          </w:p>
        </w:tc>
      </w:tr>
      <w:tr w14:paraId="3155E1BD">
        <w:tblPrEx>
          <w:tblCellMar>
            <w:top w:w="0" w:type="dxa"/>
            <w:left w:w="0" w:type="dxa"/>
            <w:bottom w:w="0" w:type="dxa"/>
            <w:right w:w="0" w:type="dxa"/>
          </w:tblCellMar>
        </w:tblPrEx>
        <w:trPr>
          <w:wBefore w:w="0" w:type="auto"/>
          <w:tblCellSpacing w:w="0" w:type="dxa"/>
        </w:trPr>
        <w:tc>
          <w:tcPr>
            <w:tcW w:w="0" w:type="auto"/>
            <w:noWrap w:val="0"/>
            <w:vAlign w:val="center"/>
          </w:tcPr>
          <w:p w14:paraId="36B4117F">
            <w:r>
              <w:rPr>
                <w:rStyle w:val="10"/>
                <w:rFonts w:hint="eastAsia"/>
              </w:rPr>
              <w:t>质量保证期：</w:t>
            </w:r>
            <w:r>
              <w:rPr>
                <w:rStyle w:val="11"/>
                <w:rFonts w:hint="eastAsia"/>
              </w:rPr>
              <w:t>2年</w:t>
            </w:r>
          </w:p>
        </w:tc>
      </w:tr>
      <w:tr w14:paraId="76D66908">
        <w:tblPrEx>
          <w:tblCellMar>
            <w:top w:w="0" w:type="dxa"/>
            <w:left w:w="0" w:type="dxa"/>
            <w:bottom w:w="0" w:type="dxa"/>
            <w:right w:w="0" w:type="dxa"/>
          </w:tblCellMar>
        </w:tblPrEx>
        <w:trPr>
          <w:wBefore w:w="0" w:type="auto"/>
          <w:tblCellSpacing w:w="0" w:type="dxa"/>
        </w:trPr>
        <w:tc>
          <w:tcPr>
            <w:tcW w:w="0" w:type="auto"/>
            <w:noWrap w:val="0"/>
            <w:vAlign w:val="center"/>
          </w:tcPr>
          <w:p w14:paraId="6B0C7739">
            <w:r>
              <w:rPr>
                <w:rStyle w:val="10"/>
                <w:rFonts w:hint="eastAsia"/>
              </w:rPr>
              <w:t>备注：</w:t>
            </w:r>
          </w:p>
        </w:tc>
      </w:tr>
    </w:tbl>
    <w:p w14:paraId="247521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C950C0">
        <w:tblPrEx>
          <w:tblCellMar>
            <w:top w:w="0" w:type="dxa"/>
            <w:left w:w="0" w:type="dxa"/>
            <w:bottom w:w="0" w:type="dxa"/>
            <w:right w:w="0" w:type="dxa"/>
          </w:tblCellMar>
        </w:tblPrEx>
        <w:trPr>
          <w:wBefore w:w="0" w:type="auto"/>
          <w:tblCellSpacing w:w="0" w:type="dxa"/>
        </w:trPr>
        <w:tc>
          <w:tcPr>
            <w:tcW w:w="0" w:type="auto"/>
            <w:noWrap w:val="0"/>
            <w:vAlign w:val="center"/>
          </w:tcPr>
          <w:p w14:paraId="1D8AE0E8">
            <w:r>
              <w:rPr>
                <w:rStyle w:val="10"/>
                <w:rFonts w:hint="eastAsia"/>
              </w:rPr>
              <w:t>登记证号：</w:t>
            </w:r>
            <w:r>
              <w:rPr>
                <w:rFonts w:hint="eastAsia"/>
              </w:rPr>
              <w:t>PD20212778</w:t>
            </w:r>
          </w:p>
        </w:tc>
      </w:tr>
      <w:tr w14:paraId="01E74CCE">
        <w:tblPrEx>
          <w:tblCellMar>
            <w:top w:w="0" w:type="dxa"/>
            <w:left w:w="0" w:type="dxa"/>
            <w:bottom w:w="0" w:type="dxa"/>
            <w:right w:w="0" w:type="dxa"/>
          </w:tblCellMar>
        </w:tblPrEx>
        <w:trPr>
          <w:wBefore w:w="0" w:type="auto"/>
          <w:tblCellSpacing w:w="0" w:type="dxa"/>
        </w:trPr>
        <w:tc>
          <w:tcPr>
            <w:tcW w:w="0" w:type="auto"/>
            <w:noWrap w:val="0"/>
            <w:vAlign w:val="center"/>
          </w:tcPr>
          <w:p w14:paraId="6D6E633B">
            <w:r>
              <w:rPr>
                <w:rStyle w:val="10"/>
                <w:rFonts w:hint="eastAsia"/>
              </w:rPr>
              <w:t>登记证持有人：</w:t>
            </w:r>
            <w:r>
              <w:rPr>
                <w:rFonts w:hint="eastAsia"/>
              </w:rPr>
              <w:t>新乡市莱恩坪安园林有限公司</w:t>
            </w:r>
          </w:p>
        </w:tc>
      </w:tr>
      <w:tr w14:paraId="0CEFC721">
        <w:tblPrEx>
          <w:tblCellMar>
            <w:top w:w="0" w:type="dxa"/>
            <w:left w:w="0" w:type="dxa"/>
            <w:bottom w:w="0" w:type="dxa"/>
            <w:right w:w="0" w:type="dxa"/>
          </w:tblCellMar>
        </w:tblPrEx>
        <w:trPr>
          <w:wBefore w:w="0" w:type="auto"/>
          <w:tblCellSpacing w:w="0" w:type="dxa"/>
        </w:trPr>
        <w:tc>
          <w:tcPr>
            <w:tcW w:w="0" w:type="auto"/>
            <w:noWrap w:val="0"/>
            <w:vAlign w:val="center"/>
          </w:tcPr>
          <w:p w14:paraId="115E944D">
            <w:r>
              <w:rPr>
                <w:rStyle w:val="10"/>
                <w:rFonts w:hint="eastAsia"/>
              </w:rPr>
              <w:t>农药名称：</w:t>
            </w:r>
            <w:r>
              <w:rPr>
                <w:rFonts w:hint="eastAsia"/>
              </w:rPr>
              <w:t>吲丁·萘乙酸</w:t>
            </w:r>
          </w:p>
        </w:tc>
      </w:tr>
      <w:tr w14:paraId="48EAE5C6">
        <w:tblPrEx>
          <w:tblCellMar>
            <w:top w:w="0" w:type="dxa"/>
            <w:left w:w="0" w:type="dxa"/>
            <w:bottom w:w="0" w:type="dxa"/>
            <w:right w:w="0" w:type="dxa"/>
          </w:tblCellMar>
        </w:tblPrEx>
        <w:trPr>
          <w:wBefore w:w="0" w:type="auto"/>
          <w:tblCellSpacing w:w="0" w:type="dxa"/>
        </w:trPr>
        <w:tc>
          <w:tcPr>
            <w:tcW w:w="0" w:type="auto"/>
            <w:noWrap w:val="0"/>
            <w:vAlign w:val="center"/>
          </w:tcPr>
          <w:p w14:paraId="0AE745F6">
            <w:r>
              <w:rPr>
                <w:rStyle w:val="10"/>
                <w:rFonts w:hint="eastAsia"/>
              </w:rPr>
              <w:t>剂型：</w:t>
            </w:r>
            <w:r>
              <w:rPr>
                <w:rFonts w:hint="eastAsia"/>
              </w:rPr>
              <w:t>可溶粉剂</w:t>
            </w:r>
          </w:p>
        </w:tc>
      </w:tr>
      <w:tr w14:paraId="3FD41899">
        <w:tblPrEx>
          <w:tblCellMar>
            <w:top w:w="0" w:type="dxa"/>
            <w:left w:w="0" w:type="dxa"/>
            <w:bottom w:w="0" w:type="dxa"/>
            <w:right w:w="0" w:type="dxa"/>
          </w:tblCellMar>
        </w:tblPrEx>
        <w:trPr>
          <w:wBefore w:w="0" w:type="auto"/>
          <w:tblCellSpacing w:w="0" w:type="dxa"/>
        </w:trPr>
        <w:tc>
          <w:tcPr>
            <w:tcW w:w="0" w:type="auto"/>
            <w:noWrap w:val="0"/>
            <w:vAlign w:val="center"/>
          </w:tcPr>
          <w:p w14:paraId="02AAF9C5">
            <w:r>
              <w:rPr>
                <w:rStyle w:val="10"/>
                <w:rFonts w:hint="eastAsia"/>
              </w:rPr>
              <w:t>毒性及其标识：</w:t>
            </w:r>
            <w:r>
              <w:rPr>
                <w:rFonts w:hint="eastAsia"/>
              </w:rPr>
              <w:t xml:space="preserve"> </w:t>
            </w:r>
            <w:r>
              <w:rPr>
                <w:lang/>
              </w:rPr>
              <w:drawing>
                <wp:inline distT="0" distB="0" distL="114300" distR="114300">
                  <wp:extent cx="476250" cy="323850"/>
                  <wp:effectExtent l="0" t="0" r="0" b="0"/>
                  <wp:docPr id="417" name="图片 4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1D44A1">
        <w:tblPrEx>
          <w:tblCellMar>
            <w:top w:w="0" w:type="dxa"/>
            <w:left w:w="0" w:type="dxa"/>
            <w:bottom w:w="0" w:type="dxa"/>
            <w:right w:w="0" w:type="dxa"/>
          </w:tblCellMar>
        </w:tblPrEx>
        <w:trPr>
          <w:wBefore w:w="0" w:type="auto"/>
          <w:tblCellSpacing w:w="0" w:type="dxa"/>
        </w:trPr>
        <w:tc>
          <w:tcPr>
            <w:tcW w:w="0" w:type="auto"/>
            <w:noWrap w:val="0"/>
            <w:vAlign w:val="center"/>
          </w:tcPr>
          <w:p w14:paraId="6B3C7BFD">
            <w:r>
              <w:rPr>
                <w:rStyle w:val="10"/>
                <w:rFonts w:hint="eastAsia"/>
              </w:rPr>
              <w:t>总有效成分含量：</w:t>
            </w:r>
            <w:r>
              <w:rPr>
                <w:rFonts w:hint="eastAsia"/>
              </w:rPr>
              <w:t>50%</w:t>
            </w:r>
          </w:p>
        </w:tc>
      </w:tr>
      <w:tr w14:paraId="0F7AB233">
        <w:tblPrEx>
          <w:tblCellMar>
            <w:top w:w="0" w:type="dxa"/>
            <w:left w:w="0" w:type="dxa"/>
            <w:bottom w:w="0" w:type="dxa"/>
            <w:right w:w="0" w:type="dxa"/>
          </w:tblCellMar>
        </w:tblPrEx>
        <w:trPr>
          <w:wBefore w:w="0" w:type="auto"/>
          <w:tblCellSpacing w:w="0" w:type="dxa"/>
        </w:trPr>
        <w:tc>
          <w:tcPr>
            <w:tcW w:w="0" w:type="auto"/>
            <w:noWrap w:val="0"/>
            <w:vAlign w:val="center"/>
          </w:tcPr>
          <w:p w14:paraId="0A25F1DA">
            <w:r>
              <w:rPr>
                <w:rFonts w:hint="eastAsia"/>
              </w:rPr>
              <w:t xml:space="preserve">有效成分及其含量： </w:t>
            </w:r>
          </w:p>
          <w:p w14:paraId="4E1BCD12">
            <w:r>
              <w:rPr>
                <w:rFonts w:hint="eastAsia"/>
              </w:rPr>
              <w:t xml:space="preserve">    吲哚丁酸25%    萘乙酸25%    </w:t>
            </w:r>
          </w:p>
        </w:tc>
      </w:tr>
      <w:tr w14:paraId="6A9148E8">
        <w:tblPrEx>
          <w:tblCellMar>
            <w:top w:w="0" w:type="dxa"/>
            <w:left w:w="0" w:type="dxa"/>
            <w:bottom w:w="0" w:type="dxa"/>
            <w:right w:w="0" w:type="dxa"/>
          </w:tblCellMar>
        </w:tblPrEx>
        <w:trPr>
          <w:wBefore w:w="0" w:type="auto"/>
          <w:tblCellSpacing w:w="0" w:type="dxa"/>
        </w:trPr>
        <w:tc>
          <w:tcPr>
            <w:tcW w:w="0" w:type="auto"/>
            <w:noWrap w:val="0"/>
            <w:vAlign w:val="center"/>
          </w:tcPr>
          <w:p w14:paraId="2017C6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A428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2EFF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93804A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CBCD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4864E8">
                  <w:r>
                    <w:rPr>
                      <w:rStyle w:val="11"/>
                      <w:rFonts w:hint="eastAsia"/>
                    </w:rPr>
                    <w:t>施用方式</w:t>
                  </w:r>
                </w:p>
              </w:tc>
            </w:tr>
            <w:tr w14:paraId="3FC013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EB0B9E">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4061F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4F41FD">
                  <w:r>
                    <w:rPr>
                      <w:rStyle w:val="11"/>
                      <w:rFonts w:hint="eastAsia"/>
                    </w:rPr>
                    <w:t>25000-33000倍液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64BFF4">
                  <w:r>
                    <w:rPr>
                      <w:rStyle w:val="11"/>
                      <w:rFonts w:hint="eastAsia"/>
                    </w:rPr>
                    <w:t>茎叶喷雾</w:t>
                  </w:r>
                </w:p>
              </w:tc>
            </w:tr>
            <w:tr w14:paraId="66B54B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FDB360">
                  <w:r>
                    <w:rPr>
                      <w:rStyle w:val="11"/>
                      <w:rFonts w:hint="eastAsia"/>
                    </w:rPr>
                    <w:t>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FC7EB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A74FFC">
                  <w:r>
                    <w:rPr>
                      <w:rStyle w:val="11"/>
                      <w:rFonts w:hint="eastAsia"/>
                    </w:rPr>
                    <w:t>3300-4000倍液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E7D697">
                  <w:r>
                    <w:rPr>
                      <w:rStyle w:val="11"/>
                      <w:rFonts w:hint="eastAsia"/>
                    </w:rPr>
                    <w:t>浸泡插条基部</w:t>
                  </w:r>
                </w:p>
              </w:tc>
            </w:tr>
          </w:tbl>
          <w:p w14:paraId="7F990661">
            <w:pPr>
              <w:rPr>
                <w:rFonts w:ascii="Times New Roman" w:hAnsi="Times New Roman" w:cs="Times New Roman"/>
                <w:sz w:val="20"/>
                <w:szCs w:val="20"/>
              </w:rPr>
            </w:pPr>
          </w:p>
        </w:tc>
      </w:tr>
      <w:tr w14:paraId="5A345C0F">
        <w:tblPrEx>
          <w:tblCellMar>
            <w:top w:w="0" w:type="dxa"/>
            <w:left w:w="0" w:type="dxa"/>
            <w:bottom w:w="0" w:type="dxa"/>
            <w:right w:w="0" w:type="dxa"/>
          </w:tblCellMar>
        </w:tblPrEx>
        <w:trPr>
          <w:wBefore w:w="0" w:type="auto"/>
          <w:tblCellSpacing w:w="0" w:type="dxa"/>
        </w:trPr>
        <w:tc>
          <w:tcPr>
            <w:tcW w:w="0" w:type="auto"/>
            <w:noWrap w:val="0"/>
            <w:vAlign w:val="center"/>
          </w:tcPr>
          <w:p w14:paraId="04350E9C">
            <w:r>
              <w:rPr>
                <w:rStyle w:val="10"/>
                <w:rFonts w:hint="eastAsia"/>
              </w:rPr>
              <w:t>使用技术要求:</w:t>
            </w:r>
            <w:r>
              <w:rPr>
                <w:rFonts w:hint="eastAsia"/>
              </w:rPr>
              <w:br w:type="textWrapping"/>
            </w:r>
            <w:r>
              <w:rPr>
                <w:rStyle w:val="11"/>
                <w:rFonts w:hint="eastAsia"/>
              </w:rPr>
              <w:t>将杨树技条成捆捆好后浸泡2~3小时左右，浸泡深度为插条基部2~3厘米，浸泡后捞出即可扦插。 于水稻一叶一心期和三叶一心期各施药 1次。施药后如遇下雨，雨后一定补喷。在水稻上每季最多用药2次。</w:t>
            </w:r>
          </w:p>
        </w:tc>
      </w:tr>
      <w:tr w14:paraId="25066149">
        <w:tblPrEx>
          <w:tblCellMar>
            <w:top w:w="0" w:type="dxa"/>
            <w:left w:w="0" w:type="dxa"/>
            <w:bottom w:w="0" w:type="dxa"/>
            <w:right w:w="0" w:type="dxa"/>
          </w:tblCellMar>
        </w:tblPrEx>
        <w:trPr>
          <w:wBefore w:w="0" w:type="auto"/>
          <w:tblCellSpacing w:w="0" w:type="dxa"/>
        </w:trPr>
        <w:tc>
          <w:tcPr>
            <w:tcW w:w="0" w:type="auto"/>
            <w:noWrap w:val="0"/>
            <w:vAlign w:val="center"/>
          </w:tcPr>
          <w:p w14:paraId="15BDF10B">
            <w:r>
              <w:rPr>
                <w:rStyle w:val="10"/>
                <w:rFonts w:hint="eastAsia"/>
              </w:rPr>
              <w:t>产品性能:</w:t>
            </w:r>
            <w:r>
              <w:rPr>
                <w:rFonts w:hint="eastAsia"/>
              </w:rPr>
              <w:br w:type="textWrapping"/>
            </w:r>
            <w:r>
              <w:rPr>
                <w:rStyle w:val="11"/>
                <w:rFonts w:hint="eastAsia"/>
              </w:rPr>
              <w:t>本品由萘乙酸和吲哚丁酸复配而成，具有促进细胞分裂与扩大，诱导形成不定根，可以明显促进杨树插条萌发生长，水稻生根、壮根，施用本药后可使秧苗很快缓活，新根多，抗逆性强，提高水稻秧苗素质，达到调节生长的效果。</w:t>
            </w:r>
          </w:p>
        </w:tc>
      </w:tr>
      <w:tr w14:paraId="5309006C">
        <w:tblPrEx>
          <w:tblCellMar>
            <w:top w:w="0" w:type="dxa"/>
            <w:left w:w="0" w:type="dxa"/>
            <w:bottom w:w="0" w:type="dxa"/>
            <w:right w:w="0" w:type="dxa"/>
          </w:tblCellMar>
        </w:tblPrEx>
        <w:trPr>
          <w:wBefore w:w="0" w:type="auto"/>
          <w:tblCellSpacing w:w="0" w:type="dxa"/>
        </w:trPr>
        <w:tc>
          <w:tcPr>
            <w:tcW w:w="0" w:type="auto"/>
            <w:noWrap w:val="0"/>
            <w:vAlign w:val="center"/>
          </w:tcPr>
          <w:p w14:paraId="4C3CC85E">
            <w:r>
              <w:rPr>
                <w:rStyle w:val="10"/>
                <w:rFonts w:hint="eastAsia"/>
              </w:rPr>
              <w:t>注意事项：</w:t>
            </w:r>
            <w:r>
              <w:rPr>
                <w:rFonts w:hint="eastAsia"/>
              </w:rPr>
              <w:br w:type="textWrapping"/>
            </w:r>
            <w:r>
              <w:rPr>
                <w:rStyle w:val="11"/>
                <w:rFonts w:hint="eastAsia"/>
              </w:rPr>
              <w:t>1.施药时，将浸泡好的杨树条与地面成45度角，埋入田间，上部露出1-2芽，不能将树条倒插。本品勿超浓度使用。 2.本品不能与铜制剂及碱性农药混用。 3.禁止在河塘等水体中清洗施药器具；</w:t>
            </w:r>
            <w:r>
              <w:rPr>
                <w:rStyle w:val="11"/>
                <w:rFonts w:hint="eastAsia"/>
              </w:rPr>
              <w:t> </w:t>
            </w:r>
            <w:r>
              <w:rPr>
                <w:rStyle w:val="11"/>
                <w:rFonts w:hint="eastAsia"/>
              </w:rPr>
              <w:t>禁止将废液倾倒于水产养殖区、河塘等水体。 4.使用时穿戴好防护用品，勿将药液溅到眼内、皮肤和衣服上，严防由口、鼻吸入。操作时，严禁吸烟、饮食，施药后用肥皂洗净身体暴露部分。5.喷洒完毕，喷雾器械应彻底清洗干净，用过的容器应妥善处理不可做他用，也不可随便乱扔。6.孕妇及哺乳期妇女避免接触本品。</w:t>
            </w:r>
          </w:p>
        </w:tc>
      </w:tr>
      <w:tr w14:paraId="46D03FE5">
        <w:tblPrEx>
          <w:tblCellMar>
            <w:top w:w="0" w:type="dxa"/>
            <w:left w:w="0" w:type="dxa"/>
            <w:bottom w:w="0" w:type="dxa"/>
            <w:right w:w="0" w:type="dxa"/>
          </w:tblCellMar>
        </w:tblPrEx>
        <w:trPr>
          <w:wBefore w:w="0" w:type="auto"/>
          <w:tblCellSpacing w:w="0" w:type="dxa"/>
        </w:trPr>
        <w:tc>
          <w:tcPr>
            <w:tcW w:w="0" w:type="auto"/>
            <w:noWrap w:val="0"/>
            <w:vAlign w:val="center"/>
          </w:tcPr>
          <w:p w14:paraId="26D7E893">
            <w:r>
              <w:rPr>
                <w:rStyle w:val="10"/>
                <w:rFonts w:hint="eastAsia"/>
              </w:rPr>
              <w:t>中毒急救措施：</w:t>
            </w:r>
            <w:r>
              <w:rPr>
                <w:rFonts w:hint="eastAsia"/>
              </w:rPr>
              <w:br w:type="textWrapping"/>
            </w:r>
            <w:r>
              <w:rPr>
                <w:rStyle w:val="11"/>
                <w:rFonts w:hint="eastAsia"/>
              </w:rPr>
              <w:t>若皮肤接触，立即脱掉被污染的衣着，用大量流动清水冲洗至少15分钟,就医。若眼睛接触，立即提起眼睑，用大量流动清水或生理盐水冲洗至少15分钟，就医。吸入：迅速脱离现场至空气新鲜处。保持呼吸通畅。如呼吸困难，给输氧。如呼吸停止，立即进行人工呼吸。就医。本品微毒，一般不会引起全身中毒，若大量摄入，需急送医院对症治疗。</w:t>
            </w:r>
          </w:p>
        </w:tc>
      </w:tr>
      <w:tr w14:paraId="20F2FD9A">
        <w:tblPrEx>
          <w:tblCellMar>
            <w:top w:w="0" w:type="dxa"/>
            <w:left w:w="0" w:type="dxa"/>
            <w:bottom w:w="0" w:type="dxa"/>
            <w:right w:w="0" w:type="dxa"/>
          </w:tblCellMar>
        </w:tblPrEx>
        <w:trPr>
          <w:wBefore w:w="0" w:type="auto"/>
          <w:tblCellSpacing w:w="0" w:type="dxa"/>
        </w:trPr>
        <w:tc>
          <w:tcPr>
            <w:tcW w:w="0" w:type="auto"/>
            <w:noWrap w:val="0"/>
            <w:vAlign w:val="center"/>
          </w:tcPr>
          <w:p w14:paraId="7E29DD9B">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本品应贮存于干燥、阴凉、通风、防雨处，远离火源或热源。置于儿童触及不到之处，并加锁保存。不能与食品、饮料、种子、粮食、饲料等同贮同运。</w:t>
            </w:r>
          </w:p>
        </w:tc>
      </w:tr>
      <w:tr w14:paraId="7DB22F2F">
        <w:tblPrEx>
          <w:tblCellMar>
            <w:top w:w="0" w:type="dxa"/>
            <w:left w:w="0" w:type="dxa"/>
            <w:bottom w:w="0" w:type="dxa"/>
            <w:right w:w="0" w:type="dxa"/>
          </w:tblCellMar>
        </w:tblPrEx>
        <w:trPr>
          <w:wBefore w:w="0" w:type="auto"/>
          <w:tblCellSpacing w:w="0" w:type="dxa"/>
        </w:trPr>
        <w:tc>
          <w:tcPr>
            <w:tcW w:w="0" w:type="auto"/>
            <w:noWrap w:val="0"/>
            <w:vAlign w:val="center"/>
          </w:tcPr>
          <w:p w14:paraId="41C96FF8">
            <w:r>
              <w:rPr>
                <w:rStyle w:val="10"/>
                <w:rFonts w:hint="eastAsia"/>
              </w:rPr>
              <w:t>质量保证期：</w:t>
            </w:r>
            <w:r>
              <w:rPr>
                <w:rStyle w:val="11"/>
                <w:rFonts w:hint="eastAsia"/>
              </w:rPr>
              <w:t>2年</w:t>
            </w:r>
          </w:p>
        </w:tc>
      </w:tr>
      <w:tr w14:paraId="53FFA937">
        <w:tblPrEx>
          <w:tblCellMar>
            <w:top w:w="0" w:type="dxa"/>
            <w:left w:w="0" w:type="dxa"/>
            <w:bottom w:w="0" w:type="dxa"/>
            <w:right w:w="0" w:type="dxa"/>
          </w:tblCellMar>
        </w:tblPrEx>
        <w:trPr>
          <w:wBefore w:w="0" w:type="auto"/>
          <w:tblCellSpacing w:w="0" w:type="dxa"/>
        </w:trPr>
        <w:tc>
          <w:tcPr>
            <w:tcW w:w="0" w:type="auto"/>
            <w:noWrap w:val="0"/>
            <w:vAlign w:val="center"/>
          </w:tcPr>
          <w:p w14:paraId="76642010">
            <w:r>
              <w:rPr>
                <w:rStyle w:val="10"/>
                <w:rFonts w:hint="eastAsia"/>
              </w:rPr>
              <w:t>备注：</w:t>
            </w:r>
          </w:p>
        </w:tc>
      </w:tr>
    </w:tbl>
    <w:p w14:paraId="02501E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691D9E">
        <w:tblPrEx>
          <w:tblCellMar>
            <w:top w:w="0" w:type="dxa"/>
            <w:left w:w="0" w:type="dxa"/>
            <w:bottom w:w="0" w:type="dxa"/>
            <w:right w:w="0" w:type="dxa"/>
          </w:tblCellMar>
        </w:tblPrEx>
        <w:trPr>
          <w:wBefore w:w="0" w:type="auto"/>
          <w:tblCellSpacing w:w="0" w:type="dxa"/>
        </w:trPr>
        <w:tc>
          <w:tcPr>
            <w:tcW w:w="0" w:type="auto"/>
            <w:noWrap w:val="0"/>
            <w:vAlign w:val="center"/>
          </w:tcPr>
          <w:p w14:paraId="28DBCF19">
            <w:r>
              <w:rPr>
                <w:rStyle w:val="10"/>
                <w:rFonts w:hint="eastAsia"/>
              </w:rPr>
              <w:t>登记证号：</w:t>
            </w:r>
            <w:r>
              <w:rPr>
                <w:rFonts w:hint="eastAsia"/>
              </w:rPr>
              <w:t>PD20212416</w:t>
            </w:r>
          </w:p>
        </w:tc>
      </w:tr>
      <w:tr w14:paraId="71D03672">
        <w:tblPrEx>
          <w:tblCellMar>
            <w:top w:w="0" w:type="dxa"/>
            <w:left w:w="0" w:type="dxa"/>
            <w:bottom w:w="0" w:type="dxa"/>
            <w:right w:w="0" w:type="dxa"/>
          </w:tblCellMar>
        </w:tblPrEx>
        <w:trPr>
          <w:wBefore w:w="0" w:type="auto"/>
          <w:tblCellSpacing w:w="0" w:type="dxa"/>
        </w:trPr>
        <w:tc>
          <w:tcPr>
            <w:tcW w:w="0" w:type="auto"/>
            <w:noWrap w:val="0"/>
            <w:vAlign w:val="center"/>
          </w:tcPr>
          <w:p w14:paraId="3F88C12B">
            <w:r>
              <w:rPr>
                <w:rStyle w:val="10"/>
                <w:rFonts w:hint="eastAsia"/>
              </w:rPr>
              <w:t>登记证持有人：</w:t>
            </w:r>
            <w:r>
              <w:rPr>
                <w:rFonts w:hint="eastAsia"/>
              </w:rPr>
              <w:t>湖南昊华化工股份有限公司</w:t>
            </w:r>
          </w:p>
        </w:tc>
      </w:tr>
      <w:tr w14:paraId="38DE7C27">
        <w:tblPrEx>
          <w:tblCellMar>
            <w:top w:w="0" w:type="dxa"/>
            <w:left w:w="0" w:type="dxa"/>
            <w:bottom w:w="0" w:type="dxa"/>
            <w:right w:w="0" w:type="dxa"/>
          </w:tblCellMar>
        </w:tblPrEx>
        <w:trPr>
          <w:wBefore w:w="0" w:type="auto"/>
          <w:tblCellSpacing w:w="0" w:type="dxa"/>
        </w:trPr>
        <w:tc>
          <w:tcPr>
            <w:tcW w:w="0" w:type="auto"/>
            <w:noWrap w:val="0"/>
            <w:vAlign w:val="center"/>
          </w:tcPr>
          <w:p w14:paraId="434C9950">
            <w:r>
              <w:rPr>
                <w:rStyle w:val="10"/>
                <w:rFonts w:hint="eastAsia"/>
              </w:rPr>
              <w:t>农药名称：</w:t>
            </w:r>
            <w:r>
              <w:rPr>
                <w:rFonts w:hint="eastAsia"/>
              </w:rPr>
              <w:t>杀虫环</w:t>
            </w:r>
          </w:p>
        </w:tc>
      </w:tr>
      <w:tr w14:paraId="5EA919EB">
        <w:tblPrEx>
          <w:tblCellMar>
            <w:top w:w="0" w:type="dxa"/>
            <w:left w:w="0" w:type="dxa"/>
            <w:bottom w:w="0" w:type="dxa"/>
            <w:right w:w="0" w:type="dxa"/>
          </w:tblCellMar>
        </w:tblPrEx>
        <w:trPr>
          <w:wBefore w:w="0" w:type="auto"/>
          <w:tblCellSpacing w:w="0" w:type="dxa"/>
        </w:trPr>
        <w:tc>
          <w:tcPr>
            <w:tcW w:w="0" w:type="auto"/>
            <w:noWrap w:val="0"/>
            <w:vAlign w:val="center"/>
          </w:tcPr>
          <w:p w14:paraId="0B5737B2">
            <w:r>
              <w:rPr>
                <w:rStyle w:val="10"/>
                <w:rFonts w:hint="eastAsia"/>
              </w:rPr>
              <w:t>剂型：</w:t>
            </w:r>
            <w:r>
              <w:rPr>
                <w:rFonts w:hint="eastAsia"/>
              </w:rPr>
              <w:t>可溶粉剂</w:t>
            </w:r>
          </w:p>
        </w:tc>
      </w:tr>
      <w:tr w14:paraId="7FAFF91F">
        <w:tblPrEx>
          <w:tblCellMar>
            <w:top w:w="0" w:type="dxa"/>
            <w:left w:w="0" w:type="dxa"/>
            <w:bottom w:w="0" w:type="dxa"/>
            <w:right w:w="0" w:type="dxa"/>
          </w:tblCellMar>
        </w:tblPrEx>
        <w:trPr>
          <w:wBefore w:w="0" w:type="auto"/>
          <w:tblCellSpacing w:w="0" w:type="dxa"/>
        </w:trPr>
        <w:tc>
          <w:tcPr>
            <w:tcW w:w="0" w:type="auto"/>
            <w:noWrap w:val="0"/>
            <w:vAlign w:val="center"/>
          </w:tcPr>
          <w:p w14:paraId="7A034FF7">
            <w:r>
              <w:rPr>
                <w:rStyle w:val="10"/>
                <w:rFonts w:hint="eastAsia"/>
              </w:rPr>
              <w:t>毒性及其标识：</w:t>
            </w:r>
            <w:r>
              <w:rPr>
                <w:rFonts w:hint="eastAsia"/>
              </w:rPr>
              <w:t xml:space="preserve"> </w:t>
            </w:r>
            <w:r>
              <w:rPr>
                <w:lang/>
              </w:rPr>
              <w:drawing>
                <wp:inline distT="0" distB="0" distL="114300" distR="114300">
                  <wp:extent cx="476250" cy="323850"/>
                  <wp:effectExtent l="0" t="0" r="0" b="0"/>
                  <wp:docPr id="418" name="图片 418"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63BB4EFA">
        <w:tblPrEx>
          <w:tblCellMar>
            <w:top w:w="0" w:type="dxa"/>
            <w:left w:w="0" w:type="dxa"/>
            <w:bottom w:w="0" w:type="dxa"/>
            <w:right w:w="0" w:type="dxa"/>
          </w:tblCellMar>
        </w:tblPrEx>
        <w:trPr>
          <w:wBefore w:w="0" w:type="auto"/>
          <w:tblCellSpacing w:w="0" w:type="dxa"/>
        </w:trPr>
        <w:tc>
          <w:tcPr>
            <w:tcW w:w="0" w:type="auto"/>
            <w:noWrap w:val="0"/>
            <w:vAlign w:val="center"/>
          </w:tcPr>
          <w:p w14:paraId="48698FF9">
            <w:r>
              <w:rPr>
                <w:rStyle w:val="10"/>
                <w:rFonts w:hint="eastAsia"/>
              </w:rPr>
              <w:t>总有效成分含量：</w:t>
            </w:r>
            <w:r>
              <w:rPr>
                <w:rFonts w:hint="eastAsia"/>
              </w:rPr>
              <w:t>50%</w:t>
            </w:r>
          </w:p>
        </w:tc>
      </w:tr>
      <w:tr w14:paraId="4B715A6B">
        <w:tblPrEx>
          <w:tblCellMar>
            <w:top w:w="0" w:type="dxa"/>
            <w:left w:w="0" w:type="dxa"/>
            <w:bottom w:w="0" w:type="dxa"/>
            <w:right w:w="0" w:type="dxa"/>
          </w:tblCellMar>
        </w:tblPrEx>
        <w:trPr>
          <w:wBefore w:w="0" w:type="auto"/>
          <w:tblCellSpacing w:w="0" w:type="dxa"/>
        </w:trPr>
        <w:tc>
          <w:tcPr>
            <w:tcW w:w="0" w:type="auto"/>
            <w:noWrap w:val="0"/>
            <w:vAlign w:val="center"/>
          </w:tcPr>
          <w:p w14:paraId="098E81FD">
            <w:r>
              <w:rPr>
                <w:rFonts w:hint="eastAsia"/>
              </w:rPr>
              <w:t xml:space="preserve">有效成分及其含量： </w:t>
            </w:r>
          </w:p>
          <w:p w14:paraId="5FF3D651">
            <w:r>
              <w:rPr>
                <w:rFonts w:hint="eastAsia"/>
              </w:rPr>
              <w:t xml:space="preserve">    杀虫环50%    </w:t>
            </w:r>
          </w:p>
        </w:tc>
      </w:tr>
      <w:tr w14:paraId="52DD8A23">
        <w:tblPrEx>
          <w:tblCellMar>
            <w:top w:w="0" w:type="dxa"/>
            <w:left w:w="0" w:type="dxa"/>
            <w:bottom w:w="0" w:type="dxa"/>
            <w:right w:w="0" w:type="dxa"/>
          </w:tblCellMar>
        </w:tblPrEx>
        <w:trPr>
          <w:wBefore w:w="0" w:type="auto"/>
          <w:tblCellSpacing w:w="0" w:type="dxa"/>
        </w:trPr>
        <w:tc>
          <w:tcPr>
            <w:tcW w:w="0" w:type="auto"/>
            <w:noWrap w:val="0"/>
            <w:vAlign w:val="center"/>
          </w:tcPr>
          <w:p w14:paraId="2382B2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55F5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14218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B490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DED2C2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416BD4">
                  <w:r>
                    <w:rPr>
                      <w:rStyle w:val="11"/>
                      <w:rFonts w:hint="eastAsia"/>
                    </w:rPr>
                    <w:t>施用方式</w:t>
                  </w:r>
                </w:p>
              </w:tc>
            </w:tr>
            <w:tr w14:paraId="081943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76603C">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1FA07B">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AA1D8B">
                  <w:r>
                    <w:rPr>
                      <w:rStyle w:val="11"/>
                      <w:rFonts w:hint="eastAsia"/>
                    </w:rPr>
                    <w:t>80-100克/亩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6E1956">
                  <w:r>
                    <w:rPr>
                      <w:rStyle w:val="11"/>
                      <w:rFonts w:hint="eastAsia"/>
                    </w:rPr>
                    <w:t>喷雾</w:t>
                  </w:r>
                </w:p>
              </w:tc>
            </w:tr>
          </w:tbl>
          <w:p w14:paraId="74A25572">
            <w:pPr>
              <w:rPr>
                <w:rFonts w:ascii="Times New Roman" w:hAnsi="Times New Roman" w:cs="Times New Roman"/>
                <w:sz w:val="20"/>
                <w:szCs w:val="20"/>
              </w:rPr>
            </w:pPr>
          </w:p>
        </w:tc>
      </w:tr>
      <w:tr w14:paraId="22345D27">
        <w:tblPrEx>
          <w:tblCellMar>
            <w:top w:w="0" w:type="dxa"/>
            <w:left w:w="0" w:type="dxa"/>
            <w:bottom w:w="0" w:type="dxa"/>
            <w:right w:w="0" w:type="dxa"/>
          </w:tblCellMar>
        </w:tblPrEx>
        <w:trPr>
          <w:wBefore w:w="0" w:type="auto"/>
          <w:tblCellSpacing w:w="0" w:type="dxa"/>
        </w:trPr>
        <w:tc>
          <w:tcPr>
            <w:tcW w:w="0" w:type="auto"/>
            <w:noWrap w:val="0"/>
            <w:vAlign w:val="center"/>
          </w:tcPr>
          <w:p w14:paraId="1F2B3BAF">
            <w:r>
              <w:rPr>
                <w:rStyle w:val="10"/>
                <w:rFonts w:hint="eastAsia"/>
              </w:rPr>
              <w:t>使用技术要求:</w:t>
            </w:r>
            <w:r>
              <w:rPr>
                <w:rFonts w:hint="eastAsia"/>
              </w:rPr>
              <w:br w:type="textWrapping"/>
            </w:r>
            <w:r>
              <w:rPr>
                <w:rStyle w:val="11"/>
                <w:rFonts w:hint="eastAsia"/>
              </w:rPr>
              <w:t>1、于水稻螟虫卵孵盛期至低龄幼虫期用药，兑水均匀喷雾。视虫情隔7-10天再次施药； 2、大风天或预计1小时内降雨，请勿施药。 3、本品在水稻上安全间隔期为15天，每季作物最多使用3次。</w:t>
            </w:r>
          </w:p>
        </w:tc>
      </w:tr>
      <w:tr w14:paraId="41C14716">
        <w:tblPrEx>
          <w:tblCellMar>
            <w:top w:w="0" w:type="dxa"/>
            <w:left w:w="0" w:type="dxa"/>
            <w:bottom w:w="0" w:type="dxa"/>
            <w:right w:w="0" w:type="dxa"/>
          </w:tblCellMar>
        </w:tblPrEx>
        <w:trPr>
          <w:wBefore w:w="0" w:type="auto"/>
          <w:tblCellSpacing w:w="0" w:type="dxa"/>
        </w:trPr>
        <w:tc>
          <w:tcPr>
            <w:tcW w:w="0" w:type="auto"/>
            <w:noWrap w:val="0"/>
            <w:vAlign w:val="center"/>
          </w:tcPr>
          <w:p w14:paraId="23A2467E">
            <w:r>
              <w:rPr>
                <w:rStyle w:val="10"/>
                <w:rFonts w:hint="eastAsia"/>
              </w:rPr>
              <w:t>产品性能:</w:t>
            </w:r>
            <w:r>
              <w:rPr>
                <w:rFonts w:hint="eastAsia"/>
              </w:rPr>
              <w:br w:type="textWrapping"/>
            </w:r>
            <w:r>
              <w:rPr>
                <w:rStyle w:val="11"/>
                <w:rFonts w:hint="eastAsia"/>
              </w:rPr>
              <w:t>本品是沙蚕毒素类杀虫剂，具有触杀、胃毒、内吸和熏蒸作用，且能杀卵。对害虫的毒效较迟缓，对水稻二化螟有良好的防除效果。它在植物体中消失较快，残效期较短，收获时作物中的残留量很少。</w:t>
            </w:r>
          </w:p>
        </w:tc>
      </w:tr>
      <w:tr w14:paraId="561A915B">
        <w:tblPrEx>
          <w:tblCellMar>
            <w:top w:w="0" w:type="dxa"/>
            <w:left w:w="0" w:type="dxa"/>
            <w:bottom w:w="0" w:type="dxa"/>
            <w:right w:w="0" w:type="dxa"/>
          </w:tblCellMar>
        </w:tblPrEx>
        <w:trPr>
          <w:wBefore w:w="0" w:type="auto"/>
          <w:tblCellSpacing w:w="0" w:type="dxa"/>
        </w:trPr>
        <w:tc>
          <w:tcPr>
            <w:tcW w:w="0" w:type="auto"/>
            <w:noWrap w:val="0"/>
            <w:vAlign w:val="center"/>
          </w:tcPr>
          <w:p w14:paraId="7B738732">
            <w:r>
              <w:rPr>
                <w:rStyle w:val="10"/>
                <w:rFonts w:hint="eastAsia"/>
              </w:rPr>
              <w:t>注意事项：</w:t>
            </w:r>
            <w:r>
              <w:rPr>
                <w:rFonts w:hint="eastAsia"/>
              </w:rPr>
              <w:br w:type="textWrapping"/>
            </w:r>
            <w:r>
              <w:rPr>
                <w:rStyle w:val="11"/>
                <w:rFonts w:hint="eastAsia"/>
              </w:rPr>
              <w:t>1、不宜与铜制剂、碱性物质混用，以防药效下降。 2、使用本品时应穿防护服、长衣、长裤，戴帽子、口罩和手套，避免吸入药液。施药期间不可吃东西和饮水，施药后应及时洗手和洗脸。 3、本品对鸟、蜜蜂、鱼类等水生生物、家蚕有毒，施药期间应避免对周围蜂群的影响，开花植物花期禁用，鸟类活动区附近禁用，鱼或虾蟹套养稻田禁用，蚕室及桑园附近禁用，赤眼蜂等天敌放飞区域禁用。 4、远离水产养殖区、河塘等水体施药，施药后的田水不得直接排入水体，禁止在河塘等水体中清洗施药器具。 5、不宜在棉花、果树、豆类等作物上使用。 6、用过的容器应妥善处理，不可做他用，也不可随意丢弃。 7、孕妇及哺乳期妇女应远离该品。</w:t>
            </w:r>
          </w:p>
        </w:tc>
      </w:tr>
      <w:tr w14:paraId="6DEADCC4">
        <w:tblPrEx>
          <w:tblCellMar>
            <w:top w:w="0" w:type="dxa"/>
            <w:left w:w="0" w:type="dxa"/>
            <w:bottom w:w="0" w:type="dxa"/>
            <w:right w:w="0" w:type="dxa"/>
          </w:tblCellMar>
        </w:tblPrEx>
        <w:trPr>
          <w:wBefore w:w="0" w:type="auto"/>
          <w:tblCellSpacing w:w="0" w:type="dxa"/>
        </w:trPr>
        <w:tc>
          <w:tcPr>
            <w:tcW w:w="0" w:type="auto"/>
            <w:noWrap w:val="0"/>
            <w:vAlign w:val="center"/>
          </w:tcPr>
          <w:p w14:paraId="7266AD2F">
            <w:r>
              <w:rPr>
                <w:rStyle w:val="10"/>
                <w:rFonts w:hint="eastAsia"/>
              </w:rPr>
              <w:t>中毒急救措施：</w:t>
            </w:r>
            <w:r>
              <w:rPr>
                <w:rFonts w:hint="eastAsia"/>
              </w:rPr>
              <w:br w:type="textWrapping"/>
            </w:r>
            <w:r>
              <w:rPr>
                <w:rStyle w:val="11"/>
                <w:rFonts w:hint="eastAsia"/>
              </w:rPr>
              <w:t>中毒表现：早期中毒为恶心、四肢发抖，继而全身发抖，流涎，痉挛，呼吸困难，瞳孔 放大。 中毒急救：如果不慎误服，要送医院对症治疗。神志清醒时可以催吐，用解毒剂为1－半光氨酸，静脉注射12.5－25mg/kg 。如果溅到眼睛和皮肤上，要用大量水冲洗至少15分钟；如果吸入，要立即将病人转移到空气清洁的通风处，严重者需要就医治疗。</w:t>
            </w:r>
          </w:p>
        </w:tc>
      </w:tr>
      <w:tr w14:paraId="528174D2">
        <w:tblPrEx>
          <w:tblCellMar>
            <w:top w:w="0" w:type="dxa"/>
            <w:left w:w="0" w:type="dxa"/>
            <w:bottom w:w="0" w:type="dxa"/>
            <w:right w:w="0" w:type="dxa"/>
          </w:tblCellMar>
        </w:tblPrEx>
        <w:trPr>
          <w:wBefore w:w="0" w:type="auto"/>
          <w:tblCellSpacing w:w="0" w:type="dxa"/>
        </w:trPr>
        <w:tc>
          <w:tcPr>
            <w:tcW w:w="0" w:type="auto"/>
            <w:noWrap w:val="0"/>
            <w:vAlign w:val="center"/>
          </w:tcPr>
          <w:p w14:paraId="10990001">
            <w:r>
              <w:rPr>
                <w:rStyle w:val="10"/>
                <w:rFonts w:hint="eastAsia"/>
              </w:rPr>
              <w:t>储存和运输方法：</w:t>
            </w:r>
            <w:r>
              <w:rPr>
                <w:rFonts w:hint="eastAsia"/>
              </w:rPr>
              <w:br w:type="textWrapping"/>
            </w:r>
            <w:r>
              <w:rPr>
                <w:rStyle w:val="11"/>
                <w:rFonts w:hint="eastAsia"/>
              </w:rPr>
              <w:t>1.运输时要避光照、避雨淋、避阳光直照、防撞击、防破包。如果破包洒漏，要立即打扫干净，以免污染环境。 2.应贮存在干燥、阴凉、通风处，置于儿童触及不到之处，并加锁保存。勿与食品、种子、饲料等其它商品一起贮运。</w:t>
            </w:r>
          </w:p>
        </w:tc>
      </w:tr>
      <w:tr w14:paraId="710DD144">
        <w:tblPrEx>
          <w:tblCellMar>
            <w:top w:w="0" w:type="dxa"/>
            <w:left w:w="0" w:type="dxa"/>
            <w:bottom w:w="0" w:type="dxa"/>
            <w:right w:w="0" w:type="dxa"/>
          </w:tblCellMar>
        </w:tblPrEx>
        <w:trPr>
          <w:wBefore w:w="0" w:type="auto"/>
          <w:tblCellSpacing w:w="0" w:type="dxa"/>
        </w:trPr>
        <w:tc>
          <w:tcPr>
            <w:tcW w:w="0" w:type="auto"/>
            <w:noWrap w:val="0"/>
            <w:vAlign w:val="center"/>
          </w:tcPr>
          <w:p w14:paraId="1EA418C8">
            <w:r>
              <w:rPr>
                <w:rStyle w:val="10"/>
                <w:rFonts w:hint="eastAsia"/>
              </w:rPr>
              <w:t>质量保证期：</w:t>
            </w:r>
            <w:r>
              <w:rPr>
                <w:rStyle w:val="11"/>
                <w:rFonts w:hint="eastAsia"/>
              </w:rPr>
              <w:t>2年</w:t>
            </w:r>
          </w:p>
        </w:tc>
      </w:tr>
      <w:tr w14:paraId="0C19C7AC">
        <w:tblPrEx>
          <w:tblCellMar>
            <w:top w:w="0" w:type="dxa"/>
            <w:left w:w="0" w:type="dxa"/>
            <w:bottom w:w="0" w:type="dxa"/>
            <w:right w:w="0" w:type="dxa"/>
          </w:tblCellMar>
        </w:tblPrEx>
        <w:trPr>
          <w:wBefore w:w="0" w:type="auto"/>
          <w:tblCellSpacing w:w="0" w:type="dxa"/>
        </w:trPr>
        <w:tc>
          <w:tcPr>
            <w:tcW w:w="0" w:type="auto"/>
            <w:noWrap w:val="0"/>
            <w:vAlign w:val="center"/>
          </w:tcPr>
          <w:p w14:paraId="34D59773">
            <w:r>
              <w:rPr>
                <w:rStyle w:val="10"/>
                <w:rFonts w:hint="eastAsia"/>
              </w:rPr>
              <w:t>备注：</w:t>
            </w:r>
          </w:p>
        </w:tc>
      </w:tr>
    </w:tbl>
    <w:p w14:paraId="01C6D560">
      <w:pPr>
        <w:rPr>
          <w:rFonts w:hint="eastAsia"/>
        </w:rPr>
      </w:pPr>
    </w:p>
    <w:sectPr>
      <w:footerReference r:id="rId3" w:type="default"/>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EFB99">
    <w:pPr>
      <w:pStyle w:val="3"/>
      <w:jc w:val="center"/>
      <w:rPr>
        <w:rFonts w:hint="eastAsia"/>
      </w:rPr>
    </w:pPr>
    <w:r>
      <w:rPr>
        <w:rFonts w:hint="eastAsia"/>
      </w:rPr>
      <w:fldChar w:fldCharType="begin"/>
    </w:r>
    <w:r>
      <w:rPr>
        <w:rFonts w:hint="eastAsia"/>
      </w:rPr>
      <w:instrText xml:space="preserve">PAGE   \* MERGEFORMAT</w:instrText>
    </w:r>
    <w:r>
      <w:fldChar w:fldCharType="separate"/>
    </w:r>
    <w:r>
      <w:rPr>
        <w:lang w:val="zh-CN"/>
      </w:rPr>
      <w:t>392</w:t>
    </w:r>
    <w:r>
      <w:rPr>
        <w:rFonts w:hint="eastAsia"/>
      </w:rPr>
      <w:fldChar w:fldCharType="end"/>
    </w:r>
  </w:p>
  <w:p w14:paraId="55E57BEF">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3B9"/>
    <w:rsid w:val="00123460"/>
    <w:rsid w:val="001448F8"/>
    <w:rsid w:val="00151BF6"/>
    <w:rsid w:val="002933B9"/>
    <w:rsid w:val="00340699"/>
    <w:rsid w:val="005A740B"/>
    <w:rsid w:val="005D1557"/>
    <w:rsid w:val="00603891"/>
    <w:rsid w:val="006F1D5D"/>
    <w:rsid w:val="007A78C1"/>
    <w:rsid w:val="00877B47"/>
    <w:rsid w:val="008823CE"/>
    <w:rsid w:val="009E0934"/>
    <w:rsid w:val="00B341D5"/>
    <w:rsid w:val="00C75E57"/>
    <w:rsid w:val="00DC1501"/>
    <w:rsid w:val="07FC2CD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Style w:val="5"/>
      <w:tblCellMar>
        <w:top w:w="0" w:type="dxa"/>
        <w:left w:w="108" w:type="dxa"/>
        <w:bottom w:w="0" w:type="dxa"/>
        <w:right w:w="108" w:type="dxa"/>
      </w:tblCellMar>
    </w:tblPr>
    <w:trPr>
      <w:wBefore w:w="0" w:type="dxa"/>
    </w:tr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link w:val="4"/>
    <w:semiHidden/>
    <w:locked/>
    <w:uiPriority w:val="99"/>
    <w:rPr>
      <w:rFonts w:hint="eastAsia" w:ascii="宋体" w:hAnsi="宋体" w:eastAsia="宋体" w:cs="宋体"/>
      <w:sz w:val="18"/>
      <w:szCs w:val="18"/>
    </w:rPr>
  </w:style>
  <w:style w:type="character" w:customStyle="1" w:styleId="8">
    <w:name w:val="页脚 Char"/>
    <w:link w:val="3"/>
    <w:locked/>
    <w:uiPriority w:val="99"/>
    <w:rPr>
      <w:rFonts w:hint="eastAsia" w:ascii="宋体" w:hAnsi="宋体" w:eastAsia="宋体" w:cs="宋体"/>
      <w:sz w:val="18"/>
      <w:szCs w:val="18"/>
    </w:rPr>
  </w:style>
  <w:style w:type="character" w:customStyle="1" w:styleId="9">
    <w:name w:val="批注框文本 Char"/>
    <w:link w:val="2"/>
    <w:semiHidden/>
    <w:locked/>
    <w:uiPriority w:val="99"/>
    <w:rPr>
      <w:rFonts w:hint="eastAsia" w:ascii="宋体" w:hAnsi="宋体" w:eastAsia="宋体" w:cs="宋体"/>
      <w:sz w:val="18"/>
      <w:szCs w:val="18"/>
    </w:rPr>
  </w:style>
  <w:style w:type="character" w:customStyle="1" w:styleId="10">
    <w:name w:val="style4"/>
    <w:basedOn w:val="6"/>
    <w:uiPriority w:val="0"/>
  </w:style>
  <w:style w:type="character" w:customStyle="1" w:styleId="11">
    <w:name w:val="style7"/>
    <w:basedOn w:val="6"/>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523</Pages>
  <Words>1916</Words>
  <Characters>1999</Characters>
  <Lines>3557</Lines>
  <Paragraphs>1001</Paragraphs>
  <TotalTime>1</TotalTime>
  <ScaleCrop>false</ScaleCrop>
  <LinksUpToDate>false</LinksUpToDate>
  <CharactersWithSpaces>2032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2024-04-22T11:59:00Z</dcterms:created>
  <dc:creator>fgp</dc:creator>
  <cp:lastModifiedBy>zys</cp:lastModifiedBy>
  <cp:lastPrinted>2021-10-15T06:19:00Z</cp:lastPrinted>
  <dcterms:modified xsi:type="dcterms:W3CDTF">2025-05-13T08:30:57Z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eyJoZGlkIjoiZDliZTgxZjExNTU0ZmQ4YWNmOTU4N2RkNTAxYWJiYzUiLCJ1c2VySWQiOiIxMTg1NDE4MTY3In0=</vt:lpwstr>
  </property>
  <property fmtid="{D5CDD505-2E9C-101B-9397-08002B2CF9AE}" pid="3" name="KSOProductBuildVer">
    <vt:lpwstr>2052-12.1.0.20784</vt:lpwstr>
  </property>
  <property fmtid="{D5CDD505-2E9C-101B-9397-08002B2CF9AE}" pid="4" name="ICV">
    <vt:lpwstr>DAAF2EC8F8CE43DC8B9B92A48045CDCD_13</vt:lpwstr>
  </property>
</Properties>
</file>